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08B7BA" w14:textId="77777777" w:rsidR="009408B4" w:rsidRDefault="009408B4" w:rsidP="00B85E2E">
      <w:pPr>
        <w:pStyle w:val="Dateoncover"/>
      </w:pPr>
      <w:bookmarkStart w:id="0" w:name="_GoBack"/>
      <w:bookmarkEnd w:id="0"/>
    </w:p>
    <w:p w14:paraId="6DA385DE" w14:textId="77777777" w:rsidR="00B85E2E" w:rsidRDefault="00B85E2E" w:rsidP="00B85E2E">
      <w:pPr>
        <w:pStyle w:val="Dateoncover"/>
      </w:pPr>
    </w:p>
    <w:p w14:paraId="35538691" w14:textId="77777777" w:rsidR="00B85E2E" w:rsidRPr="00642A5D" w:rsidRDefault="00B85E2E" w:rsidP="00B85E2E">
      <w:pPr>
        <w:pStyle w:val="Dateoncover"/>
      </w:pPr>
    </w:p>
    <w:p w14:paraId="53421276" w14:textId="01FE3DAF" w:rsidR="00844650" w:rsidRPr="00642A5D" w:rsidRDefault="00B15569" w:rsidP="00341CD7">
      <w:pPr>
        <w:pStyle w:val="Reportcovertitle"/>
      </w:pPr>
      <w:r w:rsidRPr="00B85E2E">
        <w:rPr>
          <w:color w:val="005A97"/>
        </w:rPr>
        <w:t xml:space="preserve">Otway </w:t>
      </w:r>
      <w:r w:rsidR="00F42BB2" w:rsidRPr="00B85E2E">
        <w:rPr>
          <w:color w:val="005A97"/>
        </w:rPr>
        <w:t>region</w:t>
      </w:r>
      <w:r w:rsidR="00341CD7" w:rsidRPr="00B85E2E">
        <w:rPr>
          <w:color w:val="005A97"/>
        </w:rPr>
        <w:br/>
      </w:r>
      <w:r w:rsidR="00F42BB2" w:rsidRPr="00B85E2E">
        <w:rPr>
          <w:color w:val="005A97"/>
        </w:rPr>
        <w:t xml:space="preserve">Assessment of Potential Impacts </w:t>
      </w:r>
      <w:r w:rsidR="002B7508">
        <w:rPr>
          <w:color w:val="005A97"/>
        </w:rPr>
        <w:br/>
      </w:r>
      <w:r w:rsidR="00F42BB2" w:rsidRPr="00B85E2E">
        <w:rPr>
          <w:color w:val="005A97"/>
        </w:rPr>
        <w:t>on Water Resources</w:t>
      </w:r>
      <w:r w:rsidR="00341CD7" w:rsidRPr="00642A5D">
        <w:br/>
      </w:r>
      <w:r w:rsidR="00041532" w:rsidRPr="00642A5D">
        <w:t xml:space="preserve"> </w:t>
      </w:r>
    </w:p>
    <w:p w14:paraId="44D810F9" w14:textId="5B2D22F9" w:rsidR="00B85E2E" w:rsidRPr="00B85E2E" w:rsidRDefault="00B85E2E" w:rsidP="00B85E2E">
      <w:pPr>
        <w:spacing w:after="200"/>
        <w:jc w:val="right"/>
        <w:rPr>
          <w:rFonts w:cs="Arial"/>
          <w:b/>
          <w:bCs/>
          <w:color w:val="AEC12D" w:themeColor="text2"/>
          <w:sz w:val="26"/>
          <w:szCs w:val="26"/>
        </w:rPr>
      </w:pPr>
      <w:r>
        <w:rPr>
          <w:rFonts w:cs="Arial"/>
          <w:b/>
          <w:bCs/>
          <w:color w:val="AEC12D" w:themeColor="text2"/>
          <w:sz w:val="26"/>
          <w:szCs w:val="26"/>
        </w:rPr>
        <w:br/>
      </w:r>
    </w:p>
    <w:p w14:paraId="30100037" w14:textId="77777777" w:rsidR="00B85E2E" w:rsidRPr="00B85E2E" w:rsidRDefault="00B85E2E" w:rsidP="00B85E2E">
      <w:pPr>
        <w:spacing w:after="200"/>
        <w:jc w:val="right"/>
        <w:rPr>
          <w:rFonts w:cs="Arial"/>
          <w:b/>
          <w:bCs/>
          <w:color w:val="AEC12D" w:themeColor="text2"/>
          <w:sz w:val="26"/>
          <w:szCs w:val="26"/>
        </w:rPr>
      </w:pPr>
    </w:p>
    <w:p w14:paraId="70E51D10" w14:textId="77777777" w:rsidR="00B85E2E" w:rsidRPr="00B85E2E" w:rsidRDefault="00B85E2E" w:rsidP="00B85E2E">
      <w:pPr>
        <w:pStyle w:val="Dateoncover"/>
      </w:pPr>
      <w:r w:rsidRPr="00B85E2E">
        <w:t>June 2015</w:t>
      </w:r>
    </w:p>
    <w:p w14:paraId="0DDC7985" w14:textId="77777777" w:rsidR="00DB78E4" w:rsidRPr="00642A5D" w:rsidRDefault="00DB78E4"/>
    <w:p w14:paraId="5E2E8A94" w14:textId="77777777" w:rsidR="00DB78E4" w:rsidRPr="00642A5D" w:rsidRDefault="00DB78E4"/>
    <w:p w14:paraId="3A873080" w14:textId="77777777" w:rsidR="00DB78E4" w:rsidRPr="00642A5D" w:rsidRDefault="00DB78E4">
      <w:pPr>
        <w:sectPr w:rsidR="00DB78E4" w:rsidRPr="00642A5D" w:rsidSect="00CF4178">
          <w:headerReference w:type="even" r:id="rId8"/>
          <w:headerReference w:type="default" r:id="rId9"/>
          <w:footerReference w:type="even" r:id="rId10"/>
          <w:footerReference w:type="default" r:id="rId11"/>
          <w:headerReference w:type="first" r:id="rId12"/>
          <w:footerReference w:type="first" r:id="rId13"/>
          <w:pgSz w:w="11906" w:h="16838" w:code="9"/>
          <w:pgMar w:top="2268" w:right="1134" w:bottom="1276" w:left="1134" w:header="567" w:footer="567" w:gutter="0"/>
          <w:pgNumType w:start="1"/>
          <w:cols w:space="708"/>
          <w:titlePg/>
          <w:docGrid w:linePitch="360"/>
        </w:sectPr>
      </w:pPr>
    </w:p>
    <w:p w14:paraId="31B385C7" w14:textId="77777777" w:rsidR="008E5B38" w:rsidRPr="008E5B38" w:rsidRDefault="008E5B38" w:rsidP="00B85E2E">
      <w:pPr>
        <w:pStyle w:val="Heading4"/>
        <w:rPr>
          <w:lang w:val="en-AU"/>
        </w:rPr>
      </w:pPr>
      <w:r w:rsidRPr="008E5B38">
        <w:rPr>
          <w:lang w:val="en-AU"/>
        </w:rPr>
        <w:lastRenderedPageBreak/>
        <w:t>Acknowledgements</w:t>
      </w:r>
    </w:p>
    <w:p w14:paraId="4F1FF6C3" w14:textId="0E218373" w:rsidR="008E5B38" w:rsidRPr="008E5B38" w:rsidRDefault="008E5B38">
      <w:pPr>
        <w:rPr>
          <w:lang w:val="en-AU"/>
        </w:rPr>
      </w:pPr>
      <w:r w:rsidRPr="008E5B38">
        <w:rPr>
          <w:lang w:val="en-AU"/>
        </w:rPr>
        <w:t xml:space="preserve">This report has been prepared by Jacobs (Australia) Pty Ltd for the Department of Environment, Land, Water and Planning in collaboration with </w:t>
      </w:r>
      <w:r w:rsidR="00594C2F">
        <w:rPr>
          <w:lang w:val="en-AU"/>
        </w:rPr>
        <w:t>the Geological Survey of Victoria (part the Department of Economic Development, Jobs, Transport and Resources)</w:t>
      </w:r>
      <w:r w:rsidR="008573A4">
        <w:rPr>
          <w:lang w:val="en-AU"/>
        </w:rPr>
        <w:t xml:space="preserve">. </w:t>
      </w:r>
    </w:p>
    <w:p w14:paraId="184A7E05" w14:textId="32B4E2F7" w:rsidR="008E5B38" w:rsidRPr="008E5B38" w:rsidRDefault="008E5B38">
      <w:pPr>
        <w:rPr>
          <w:lang w:val="en-AU"/>
        </w:rPr>
      </w:pPr>
      <w:r w:rsidRPr="008E5B38">
        <w:rPr>
          <w:lang w:val="en-AU"/>
        </w:rPr>
        <w:t xml:space="preserve">Independent review </w:t>
      </w:r>
      <w:r w:rsidR="00742DF8">
        <w:rPr>
          <w:lang w:val="en-AU"/>
        </w:rPr>
        <w:t xml:space="preserve">of this report </w:t>
      </w:r>
      <w:r w:rsidRPr="008E5B38">
        <w:rPr>
          <w:lang w:val="en-AU"/>
        </w:rPr>
        <w:t xml:space="preserve">was provided by: </w:t>
      </w:r>
    </w:p>
    <w:p w14:paraId="7CD13DDC" w14:textId="77777777" w:rsidR="008E5B38" w:rsidRPr="008E5B38" w:rsidRDefault="008E5B38" w:rsidP="00552019">
      <w:pPr>
        <w:ind w:left="720"/>
        <w:rPr>
          <w:lang w:val="en-AU"/>
        </w:rPr>
      </w:pPr>
      <w:r w:rsidRPr="008E5B38">
        <w:rPr>
          <w:lang w:val="en-AU"/>
        </w:rPr>
        <w:t>Professor Rae Mackay, Director, Geotechnical and Hydrogeological Engineering Group, Federation University Australia</w:t>
      </w:r>
    </w:p>
    <w:p w14:paraId="023F1C08" w14:textId="77777777" w:rsidR="008E5B38" w:rsidRPr="008E5B38" w:rsidRDefault="008E5B38" w:rsidP="00552019">
      <w:pPr>
        <w:ind w:left="720"/>
        <w:rPr>
          <w:lang w:val="en-AU"/>
        </w:rPr>
      </w:pPr>
      <w:r w:rsidRPr="008E5B38">
        <w:rPr>
          <w:lang w:val="en-AU"/>
        </w:rPr>
        <w:t>Professor Dayanthi Nugegoda, Ecotoxicology, School of Applied Science, RMIT University</w:t>
      </w:r>
    </w:p>
    <w:p w14:paraId="4A23232A" w14:textId="77777777" w:rsidR="008E5B38" w:rsidRPr="008E5B38" w:rsidRDefault="008E5B38" w:rsidP="00552019">
      <w:pPr>
        <w:ind w:left="720"/>
        <w:rPr>
          <w:lang w:val="en-AU"/>
        </w:rPr>
      </w:pPr>
      <w:r w:rsidRPr="008E5B38">
        <w:rPr>
          <w:lang w:val="en-AU"/>
        </w:rPr>
        <w:t>Professor Craig Simmons, Director, National Centre for Groundwater Research and Training, Flinders University.</w:t>
      </w:r>
    </w:p>
    <w:p w14:paraId="774A9D05" w14:textId="77777777" w:rsidR="00E562B3" w:rsidRDefault="00E562B3"/>
    <w:p w14:paraId="6D2C26DC" w14:textId="77777777" w:rsidR="00C125F3" w:rsidRPr="00642A5D" w:rsidRDefault="00C125F3">
      <w:pPr>
        <w:rPr>
          <w:rFonts w:cs="Arial"/>
          <w:bCs/>
          <w:iCs/>
          <w:color w:val="026CB6"/>
          <w:sz w:val="32"/>
          <w:szCs w:val="28"/>
        </w:rPr>
      </w:pPr>
      <w:r w:rsidRPr="00642A5D">
        <w:br w:type="page"/>
      </w:r>
    </w:p>
    <w:p w14:paraId="394DDD85" w14:textId="77777777" w:rsidR="0009788D" w:rsidRPr="00642A5D" w:rsidRDefault="0009788D">
      <w:pPr>
        <w:sectPr w:rsidR="0009788D" w:rsidRPr="00642A5D" w:rsidSect="00CF4178">
          <w:footerReference w:type="default" r:id="rId14"/>
          <w:headerReference w:type="first" r:id="rId15"/>
          <w:footerReference w:type="first" r:id="rId16"/>
          <w:pgSz w:w="11906" w:h="16838" w:code="9"/>
          <w:pgMar w:top="2268" w:right="1134" w:bottom="1276" w:left="1134" w:header="567" w:footer="567" w:gutter="0"/>
          <w:pgNumType w:start="1"/>
          <w:cols w:space="708"/>
          <w:titlePg/>
          <w:docGrid w:linePitch="360"/>
        </w:sectPr>
      </w:pPr>
    </w:p>
    <w:p w14:paraId="0838495D" w14:textId="77777777" w:rsidR="00A65062" w:rsidRDefault="00E86EEC" w:rsidP="0081053C">
      <w:pPr>
        <w:pStyle w:val="Head1x"/>
        <w:rPr>
          <w:noProof/>
        </w:rPr>
      </w:pPr>
      <w:bookmarkStart w:id="10" w:name="_Toc296657990"/>
      <w:bookmarkStart w:id="11" w:name="_Toc296760489"/>
      <w:bookmarkStart w:id="12" w:name="_Toc296766911"/>
      <w:bookmarkStart w:id="13" w:name="_Toc422927882"/>
      <w:r w:rsidRPr="00642A5D">
        <w:lastRenderedPageBreak/>
        <w:t>Contents</w:t>
      </w:r>
      <w:bookmarkEnd w:id="10"/>
      <w:bookmarkEnd w:id="11"/>
      <w:bookmarkEnd w:id="12"/>
      <w:bookmarkEnd w:id="13"/>
      <w:r w:rsidR="007569CD" w:rsidRPr="00642A5D">
        <w:rPr>
          <w:b/>
          <w:noProof/>
          <w:color w:val="005A97"/>
          <w:sz w:val="22"/>
          <w:szCs w:val="22"/>
        </w:rPr>
        <w:fldChar w:fldCharType="begin"/>
      </w:r>
      <w:r w:rsidR="00EB6F5B" w:rsidRPr="00642A5D">
        <w:instrText xml:space="preserve"> TOC \h \z \t "Heading 1,1,Heading 2,2,Head 1 x,1,Head 2 x.x,2" </w:instrText>
      </w:r>
      <w:r w:rsidR="007569CD" w:rsidRPr="00642A5D">
        <w:rPr>
          <w:b/>
          <w:noProof/>
          <w:color w:val="005A97"/>
          <w:sz w:val="22"/>
          <w:szCs w:val="22"/>
        </w:rPr>
        <w:fldChar w:fldCharType="separate"/>
      </w:r>
    </w:p>
    <w:p w14:paraId="623196D2" w14:textId="77777777" w:rsidR="00A65062" w:rsidRDefault="00367954" w:rsidP="00B85E2E">
      <w:pPr>
        <w:pStyle w:val="TOC2"/>
        <w:rPr>
          <w:rFonts w:asciiTheme="minorHAnsi" w:hAnsiTheme="minorHAnsi" w:cstheme="minorBidi"/>
          <w:sz w:val="22"/>
          <w:szCs w:val="22"/>
        </w:rPr>
      </w:pPr>
      <w:hyperlink w:anchor="_Toc422927883" w:history="1">
        <w:r w:rsidR="00A65062" w:rsidRPr="002230A7">
          <w:rPr>
            <w:rStyle w:val="Hyperlink"/>
          </w:rPr>
          <w:t>Figures</w:t>
        </w:r>
        <w:r w:rsidR="00A65062">
          <w:rPr>
            <w:webHidden/>
          </w:rPr>
          <w:tab/>
        </w:r>
        <w:r w:rsidR="00A65062">
          <w:rPr>
            <w:webHidden/>
          </w:rPr>
          <w:fldChar w:fldCharType="begin"/>
        </w:r>
        <w:r w:rsidR="00A65062">
          <w:rPr>
            <w:webHidden/>
          </w:rPr>
          <w:instrText xml:space="preserve"> PAGEREF _Toc422927883 \h </w:instrText>
        </w:r>
        <w:r w:rsidR="00A65062">
          <w:rPr>
            <w:webHidden/>
          </w:rPr>
        </w:r>
        <w:r w:rsidR="00A65062">
          <w:rPr>
            <w:webHidden/>
          </w:rPr>
          <w:fldChar w:fldCharType="separate"/>
        </w:r>
        <w:r w:rsidR="00171A5E">
          <w:rPr>
            <w:webHidden/>
          </w:rPr>
          <w:t>4</w:t>
        </w:r>
        <w:r w:rsidR="00A65062">
          <w:rPr>
            <w:webHidden/>
          </w:rPr>
          <w:fldChar w:fldCharType="end"/>
        </w:r>
      </w:hyperlink>
    </w:p>
    <w:p w14:paraId="2373D154" w14:textId="77777777" w:rsidR="00A65062" w:rsidRDefault="00367954" w:rsidP="00B85E2E">
      <w:pPr>
        <w:pStyle w:val="TOC2"/>
        <w:rPr>
          <w:rFonts w:asciiTheme="minorHAnsi" w:hAnsiTheme="minorHAnsi" w:cstheme="minorBidi"/>
          <w:sz w:val="22"/>
          <w:szCs w:val="22"/>
        </w:rPr>
      </w:pPr>
      <w:hyperlink w:anchor="_Toc422927884" w:history="1">
        <w:r w:rsidR="00A65062" w:rsidRPr="002230A7">
          <w:rPr>
            <w:rStyle w:val="Hyperlink"/>
          </w:rPr>
          <w:t>Tables</w:t>
        </w:r>
        <w:r w:rsidR="00A65062">
          <w:rPr>
            <w:webHidden/>
          </w:rPr>
          <w:tab/>
        </w:r>
        <w:r w:rsidR="00A65062">
          <w:rPr>
            <w:webHidden/>
          </w:rPr>
          <w:fldChar w:fldCharType="begin"/>
        </w:r>
        <w:r w:rsidR="00A65062">
          <w:rPr>
            <w:webHidden/>
          </w:rPr>
          <w:instrText xml:space="preserve"> PAGEREF _Toc422927884 \h </w:instrText>
        </w:r>
        <w:r w:rsidR="00A65062">
          <w:rPr>
            <w:webHidden/>
          </w:rPr>
        </w:r>
        <w:r w:rsidR="00A65062">
          <w:rPr>
            <w:webHidden/>
          </w:rPr>
          <w:fldChar w:fldCharType="separate"/>
        </w:r>
        <w:r w:rsidR="00171A5E">
          <w:rPr>
            <w:webHidden/>
          </w:rPr>
          <w:t>5</w:t>
        </w:r>
        <w:r w:rsidR="00A65062">
          <w:rPr>
            <w:webHidden/>
          </w:rPr>
          <w:fldChar w:fldCharType="end"/>
        </w:r>
      </w:hyperlink>
    </w:p>
    <w:p w14:paraId="2D325198" w14:textId="77777777" w:rsidR="00A65062" w:rsidRDefault="00367954" w:rsidP="00B85E2E">
      <w:pPr>
        <w:pStyle w:val="TOC2"/>
        <w:rPr>
          <w:rFonts w:asciiTheme="minorHAnsi" w:hAnsiTheme="minorHAnsi" w:cstheme="minorBidi"/>
          <w:sz w:val="22"/>
          <w:szCs w:val="22"/>
        </w:rPr>
      </w:pPr>
      <w:hyperlink w:anchor="_Toc422927885" w:history="1">
        <w:r w:rsidR="00A65062" w:rsidRPr="002230A7">
          <w:rPr>
            <w:rStyle w:val="Hyperlink"/>
          </w:rPr>
          <w:t>Glossary and abbreviations</w:t>
        </w:r>
        <w:r w:rsidR="00A65062">
          <w:rPr>
            <w:webHidden/>
          </w:rPr>
          <w:tab/>
        </w:r>
        <w:r w:rsidR="00A65062">
          <w:rPr>
            <w:webHidden/>
          </w:rPr>
          <w:fldChar w:fldCharType="begin"/>
        </w:r>
        <w:r w:rsidR="00A65062">
          <w:rPr>
            <w:webHidden/>
          </w:rPr>
          <w:instrText xml:space="preserve"> PAGEREF _Toc422927885 \h </w:instrText>
        </w:r>
        <w:r w:rsidR="00A65062">
          <w:rPr>
            <w:webHidden/>
          </w:rPr>
        </w:r>
        <w:r w:rsidR="00A65062">
          <w:rPr>
            <w:webHidden/>
          </w:rPr>
          <w:fldChar w:fldCharType="separate"/>
        </w:r>
        <w:r w:rsidR="00171A5E">
          <w:rPr>
            <w:webHidden/>
          </w:rPr>
          <w:t>6</w:t>
        </w:r>
        <w:r w:rsidR="00A65062">
          <w:rPr>
            <w:webHidden/>
          </w:rPr>
          <w:fldChar w:fldCharType="end"/>
        </w:r>
      </w:hyperlink>
    </w:p>
    <w:p w14:paraId="7E70F208" w14:textId="77777777" w:rsidR="00A65062" w:rsidRDefault="00367954">
      <w:pPr>
        <w:pStyle w:val="TOC1"/>
        <w:rPr>
          <w:rFonts w:asciiTheme="minorHAnsi" w:eastAsiaTheme="minorEastAsia" w:hAnsiTheme="minorHAnsi" w:cstheme="minorBidi"/>
          <w:b w:val="0"/>
          <w:color w:val="auto"/>
          <w:lang w:val="en-AU"/>
        </w:rPr>
      </w:pPr>
      <w:hyperlink w:anchor="_Toc422927886" w:history="1">
        <w:r w:rsidR="00A65062" w:rsidRPr="002230A7">
          <w:rPr>
            <w:rStyle w:val="Hyperlink"/>
          </w:rPr>
          <w:t>1</w:t>
        </w:r>
        <w:r w:rsidR="00A65062">
          <w:rPr>
            <w:rFonts w:asciiTheme="minorHAnsi" w:eastAsiaTheme="minorEastAsia" w:hAnsiTheme="minorHAnsi" w:cstheme="minorBidi"/>
            <w:b w:val="0"/>
            <w:color w:val="auto"/>
            <w:lang w:val="en-AU"/>
          </w:rPr>
          <w:tab/>
        </w:r>
        <w:r w:rsidR="00A65062" w:rsidRPr="002230A7">
          <w:rPr>
            <w:rStyle w:val="Hyperlink"/>
          </w:rPr>
          <w:t>Overview of impact assessment</w:t>
        </w:r>
        <w:r w:rsidR="00A65062">
          <w:rPr>
            <w:webHidden/>
          </w:rPr>
          <w:tab/>
        </w:r>
        <w:r w:rsidR="00A65062">
          <w:rPr>
            <w:webHidden/>
          </w:rPr>
          <w:fldChar w:fldCharType="begin"/>
        </w:r>
        <w:r w:rsidR="00A65062">
          <w:rPr>
            <w:webHidden/>
          </w:rPr>
          <w:instrText xml:space="preserve"> PAGEREF _Toc422927886 \h </w:instrText>
        </w:r>
        <w:r w:rsidR="00A65062">
          <w:rPr>
            <w:webHidden/>
          </w:rPr>
        </w:r>
        <w:r w:rsidR="00A65062">
          <w:rPr>
            <w:webHidden/>
          </w:rPr>
          <w:fldChar w:fldCharType="separate"/>
        </w:r>
        <w:r w:rsidR="00171A5E">
          <w:rPr>
            <w:webHidden/>
          </w:rPr>
          <w:t>8</w:t>
        </w:r>
        <w:r w:rsidR="00A65062">
          <w:rPr>
            <w:webHidden/>
          </w:rPr>
          <w:fldChar w:fldCharType="end"/>
        </w:r>
      </w:hyperlink>
    </w:p>
    <w:p w14:paraId="4E02177D" w14:textId="77777777" w:rsidR="00A65062" w:rsidRDefault="00367954" w:rsidP="00B85E2E">
      <w:pPr>
        <w:pStyle w:val="TOC2"/>
        <w:rPr>
          <w:rFonts w:asciiTheme="minorHAnsi" w:hAnsiTheme="minorHAnsi" w:cstheme="minorBidi"/>
          <w:sz w:val="22"/>
          <w:szCs w:val="22"/>
        </w:rPr>
      </w:pPr>
      <w:hyperlink w:anchor="_Toc422927887" w:history="1">
        <w:r w:rsidR="00A65062" w:rsidRPr="002230A7">
          <w:rPr>
            <w:rStyle w:val="Hyperlink"/>
          </w:rPr>
          <w:t>1.1</w:t>
        </w:r>
        <w:r w:rsidR="00A65062">
          <w:rPr>
            <w:rFonts w:asciiTheme="minorHAnsi" w:hAnsiTheme="minorHAnsi" w:cstheme="minorBidi"/>
            <w:sz w:val="22"/>
            <w:szCs w:val="22"/>
          </w:rPr>
          <w:tab/>
        </w:r>
        <w:r w:rsidR="00A65062" w:rsidRPr="002230A7">
          <w:rPr>
            <w:rStyle w:val="Hyperlink"/>
          </w:rPr>
          <w:t>Context</w:t>
        </w:r>
        <w:r w:rsidR="00A65062">
          <w:rPr>
            <w:webHidden/>
          </w:rPr>
          <w:tab/>
        </w:r>
        <w:r w:rsidR="00A65062">
          <w:rPr>
            <w:webHidden/>
          </w:rPr>
          <w:fldChar w:fldCharType="begin"/>
        </w:r>
        <w:r w:rsidR="00A65062">
          <w:rPr>
            <w:webHidden/>
          </w:rPr>
          <w:instrText xml:space="preserve"> PAGEREF _Toc422927887 \h </w:instrText>
        </w:r>
        <w:r w:rsidR="00A65062">
          <w:rPr>
            <w:webHidden/>
          </w:rPr>
        </w:r>
        <w:r w:rsidR="00A65062">
          <w:rPr>
            <w:webHidden/>
          </w:rPr>
          <w:fldChar w:fldCharType="separate"/>
        </w:r>
        <w:r w:rsidR="00171A5E">
          <w:rPr>
            <w:webHidden/>
          </w:rPr>
          <w:t>8</w:t>
        </w:r>
        <w:r w:rsidR="00A65062">
          <w:rPr>
            <w:webHidden/>
          </w:rPr>
          <w:fldChar w:fldCharType="end"/>
        </w:r>
      </w:hyperlink>
    </w:p>
    <w:p w14:paraId="414BF68B" w14:textId="77777777" w:rsidR="00A65062" w:rsidRDefault="00367954" w:rsidP="00B85E2E">
      <w:pPr>
        <w:pStyle w:val="TOC2"/>
        <w:rPr>
          <w:rFonts w:asciiTheme="minorHAnsi" w:hAnsiTheme="minorHAnsi" w:cstheme="minorBidi"/>
          <w:sz w:val="22"/>
          <w:szCs w:val="22"/>
        </w:rPr>
      </w:pPr>
      <w:hyperlink w:anchor="_Toc422927888" w:history="1">
        <w:r w:rsidR="00A65062" w:rsidRPr="00B85E2E">
          <w:t>1.2</w:t>
        </w:r>
        <w:r w:rsidR="00A65062" w:rsidRPr="00B85E2E">
          <w:tab/>
          <w:t>Study area</w:t>
        </w:r>
        <w:r w:rsidR="00A65062">
          <w:rPr>
            <w:webHidden/>
          </w:rPr>
          <w:tab/>
        </w:r>
        <w:r w:rsidR="00A65062">
          <w:rPr>
            <w:webHidden/>
          </w:rPr>
          <w:fldChar w:fldCharType="begin"/>
        </w:r>
        <w:r w:rsidR="00A65062">
          <w:rPr>
            <w:webHidden/>
          </w:rPr>
          <w:instrText xml:space="preserve"> PAGEREF _Toc422927888 \h </w:instrText>
        </w:r>
        <w:r w:rsidR="00A65062">
          <w:rPr>
            <w:webHidden/>
          </w:rPr>
        </w:r>
        <w:r w:rsidR="00A65062">
          <w:rPr>
            <w:webHidden/>
          </w:rPr>
          <w:fldChar w:fldCharType="separate"/>
        </w:r>
        <w:r w:rsidR="00171A5E">
          <w:rPr>
            <w:webHidden/>
          </w:rPr>
          <w:t>9</w:t>
        </w:r>
        <w:r w:rsidR="00A65062">
          <w:rPr>
            <w:webHidden/>
          </w:rPr>
          <w:fldChar w:fldCharType="end"/>
        </w:r>
      </w:hyperlink>
    </w:p>
    <w:p w14:paraId="1A3E0E10" w14:textId="77777777" w:rsidR="00A65062" w:rsidRDefault="00367954" w:rsidP="00B85E2E">
      <w:pPr>
        <w:pStyle w:val="TOC2"/>
        <w:rPr>
          <w:rFonts w:asciiTheme="minorHAnsi" w:hAnsiTheme="minorHAnsi" w:cstheme="minorBidi"/>
          <w:sz w:val="22"/>
          <w:szCs w:val="22"/>
        </w:rPr>
      </w:pPr>
      <w:hyperlink w:anchor="_Toc422927889" w:history="1">
        <w:r w:rsidR="00A65062" w:rsidRPr="002230A7">
          <w:rPr>
            <w:rStyle w:val="Hyperlink"/>
          </w:rPr>
          <w:t>1.3</w:t>
        </w:r>
        <w:r w:rsidR="00A65062">
          <w:rPr>
            <w:rFonts w:asciiTheme="minorHAnsi" w:hAnsiTheme="minorHAnsi" w:cstheme="minorBidi"/>
            <w:sz w:val="22"/>
            <w:szCs w:val="22"/>
          </w:rPr>
          <w:tab/>
        </w:r>
        <w:r w:rsidR="00A65062" w:rsidRPr="002230A7">
          <w:rPr>
            <w:rStyle w:val="Hyperlink"/>
          </w:rPr>
          <w:t>Onshore natural gas resources</w:t>
        </w:r>
        <w:r w:rsidR="00A65062">
          <w:rPr>
            <w:webHidden/>
          </w:rPr>
          <w:tab/>
        </w:r>
        <w:r w:rsidR="00A65062">
          <w:rPr>
            <w:webHidden/>
          </w:rPr>
          <w:fldChar w:fldCharType="begin"/>
        </w:r>
        <w:r w:rsidR="00A65062">
          <w:rPr>
            <w:webHidden/>
          </w:rPr>
          <w:instrText xml:space="preserve"> PAGEREF _Toc422927889 \h </w:instrText>
        </w:r>
        <w:r w:rsidR="00A65062">
          <w:rPr>
            <w:webHidden/>
          </w:rPr>
        </w:r>
        <w:r w:rsidR="00A65062">
          <w:rPr>
            <w:webHidden/>
          </w:rPr>
          <w:fldChar w:fldCharType="separate"/>
        </w:r>
        <w:r w:rsidR="00171A5E">
          <w:rPr>
            <w:webHidden/>
          </w:rPr>
          <w:t>10</w:t>
        </w:r>
        <w:r w:rsidR="00A65062">
          <w:rPr>
            <w:webHidden/>
          </w:rPr>
          <w:fldChar w:fldCharType="end"/>
        </w:r>
      </w:hyperlink>
    </w:p>
    <w:p w14:paraId="59AE2DF0" w14:textId="77777777" w:rsidR="00A65062" w:rsidRDefault="00367954" w:rsidP="00B85E2E">
      <w:pPr>
        <w:pStyle w:val="TOC2"/>
        <w:rPr>
          <w:rFonts w:asciiTheme="minorHAnsi" w:hAnsiTheme="minorHAnsi" w:cstheme="minorBidi"/>
          <w:sz w:val="22"/>
          <w:szCs w:val="22"/>
        </w:rPr>
      </w:pPr>
      <w:hyperlink w:anchor="_Toc422927890" w:history="1">
        <w:r w:rsidR="00A65062" w:rsidRPr="002230A7">
          <w:rPr>
            <w:rStyle w:val="Hyperlink"/>
          </w:rPr>
          <w:t>1.4</w:t>
        </w:r>
        <w:r w:rsidR="00A65062">
          <w:rPr>
            <w:rFonts w:asciiTheme="minorHAnsi" w:hAnsiTheme="minorHAnsi" w:cstheme="minorBidi"/>
            <w:sz w:val="22"/>
            <w:szCs w:val="22"/>
          </w:rPr>
          <w:tab/>
        </w:r>
        <w:r w:rsidR="00A65062" w:rsidRPr="002230A7">
          <w:rPr>
            <w:rStyle w:val="Hyperlink"/>
          </w:rPr>
          <w:t>Groundwater resources</w:t>
        </w:r>
        <w:r w:rsidR="00A65062">
          <w:rPr>
            <w:webHidden/>
          </w:rPr>
          <w:tab/>
        </w:r>
        <w:r w:rsidR="00A65062">
          <w:rPr>
            <w:webHidden/>
          </w:rPr>
          <w:fldChar w:fldCharType="begin"/>
        </w:r>
        <w:r w:rsidR="00A65062">
          <w:rPr>
            <w:webHidden/>
          </w:rPr>
          <w:instrText xml:space="preserve"> PAGEREF _Toc422927890 \h </w:instrText>
        </w:r>
        <w:r w:rsidR="00A65062">
          <w:rPr>
            <w:webHidden/>
          </w:rPr>
        </w:r>
        <w:r w:rsidR="00A65062">
          <w:rPr>
            <w:webHidden/>
          </w:rPr>
          <w:fldChar w:fldCharType="separate"/>
        </w:r>
        <w:r w:rsidR="00171A5E">
          <w:rPr>
            <w:webHidden/>
          </w:rPr>
          <w:t>10</w:t>
        </w:r>
        <w:r w:rsidR="00A65062">
          <w:rPr>
            <w:webHidden/>
          </w:rPr>
          <w:fldChar w:fldCharType="end"/>
        </w:r>
      </w:hyperlink>
    </w:p>
    <w:p w14:paraId="0A253DE3" w14:textId="77777777" w:rsidR="00A65062" w:rsidRDefault="00367954" w:rsidP="00B85E2E">
      <w:pPr>
        <w:pStyle w:val="TOC2"/>
        <w:rPr>
          <w:rFonts w:asciiTheme="minorHAnsi" w:hAnsiTheme="minorHAnsi" w:cstheme="minorBidi"/>
          <w:sz w:val="22"/>
          <w:szCs w:val="22"/>
        </w:rPr>
      </w:pPr>
      <w:hyperlink w:anchor="_Toc422927891" w:history="1">
        <w:r w:rsidR="00A65062" w:rsidRPr="002230A7">
          <w:rPr>
            <w:rStyle w:val="Hyperlink"/>
          </w:rPr>
          <w:t>1.5</w:t>
        </w:r>
        <w:r w:rsidR="00A65062">
          <w:rPr>
            <w:rFonts w:asciiTheme="minorHAnsi" w:hAnsiTheme="minorHAnsi" w:cstheme="minorBidi"/>
            <w:sz w:val="22"/>
            <w:szCs w:val="22"/>
          </w:rPr>
          <w:tab/>
        </w:r>
        <w:r w:rsidR="00A65062" w:rsidRPr="002230A7">
          <w:rPr>
            <w:rStyle w:val="Hyperlink"/>
          </w:rPr>
          <w:t>Assessment approach</w:t>
        </w:r>
        <w:r w:rsidR="00A65062">
          <w:rPr>
            <w:webHidden/>
          </w:rPr>
          <w:tab/>
        </w:r>
        <w:r w:rsidR="00A65062">
          <w:rPr>
            <w:webHidden/>
          </w:rPr>
          <w:fldChar w:fldCharType="begin"/>
        </w:r>
        <w:r w:rsidR="00A65062">
          <w:rPr>
            <w:webHidden/>
          </w:rPr>
          <w:instrText xml:space="preserve"> PAGEREF _Toc422927891 \h </w:instrText>
        </w:r>
        <w:r w:rsidR="00A65062">
          <w:rPr>
            <w:webHidden/>
          </w:rPr>
        </w:r>
        <w:r w:rsidR="00A65062">
          <w:rPr>
            <w:webHidden/>
          </w:rPr>
          <w:fldChar w:fldCharType="separate"/>
        </w:r>
        <w:r w:rsidR="00171A5E">
          <w:rPr>
            <w:webHidden/>
          </w:rPr>
          <w:t>12</w:t>
        </w:r>
        <w:r w:rsidR="00A65062">
          <w:rPr>
            <w:webHidden/>
          </w:rPr>
          <w:fldChar w:fldCharType="end"/>
        </w:r>
      </w:hyperlink>
    </w:p>
    <w:p w14:paraId="51C3DDF1" w14:textId="77777777" w:rsidR="00A65062" w:rsidRDefault="00367954" w:rsidP="00B85E2E">
      <w:pPr>
        <w:pStyle w:val="TOC2"/>
        <w:rPr>
          <w:rFonts w:asciiTheme="minorHAnsi" w:hAnsiTheme="minorHAnsi" w:cstheme="minorBidi"/>
          <w:sz w:val="22"/>
          <w:szCs w:val="22"/>
        </w:rPr>
      </w:pPr>
      <w:hyperlink w:anchor="_Toc422927892" w:history="1">
        <w:r w:rsidR="00A65062" w:rsidRPr="002230A7">
          <w:rPr>
            <w:rStyle w:val="Hyperlink"/>
          </w:rPr>
          <w:t>1.6</w:t>
        </w:r>
        <w:r w:rsidR="00A65062">
          <w:rPr>
            <w:rFonts w:asciiTheme="minorHAnsi" w:hAnsiTheme="minorHAnsi" w:cstheme="minorBidi"/>
            <w:sz w:val="22"/>
            <w:szCs w:val="22"/>
          </w:rPr>
          <w:tab/>
        </w:r>
        <w:r w:rsidR="00A65062" w:rsidRPr="002230A7">
          <w:rPr>
            <w:rStyle w:val="Hyperlink"/>
          </w:rPr>
          <w:t>Results</w:t>
        </w:r>
        <w:r w:rsidR="00A65062">
          <w:rPr>
            <w:webHidden/>
          </w:rPr>
          <w:tab/>
        </w:r>
        <w:r w:rsidR="00A65062">
          <w:rPr>
            <w:webHidden/>
          </w:rPr>
          <w:fldChar w:fldCharType="begin"/>
        </w:r>
        <w:r w:rsidR="00A65062">
          <w:rPr>
            <w:webHidden/>
          </w:rPr>
          <w:instrText xml:space="preserve"> PAGEREF _Toc422927892 \h </w:instrText>
        </w:r>
        <w:r w:rsidR="00A65062">
          <w:rPr>
            <w:webHidden/>
          </w:rPr>
        </w:r>
        <w:r w:rsidR="00A65062">
          <w:rPr>
            <w:webHidden/>
          </w:rPr>
          <w:fldChar w:fldCharType="separate"/>
        </w:r>
        <w:r w:rsidR="00171A5E">
          <w:rPr>
            <w:webHidden/>
          </w:rPr>
          <w:t>14</w:t>
        </w:r>
        <w:r w:rsidR="00A65062">
          <w:rPr>
            <w:webHidden/>
          </w:rPr>
          <w:fldChar w:fldCharType="end"/>
        </w:r>
      </w:hyperlink>
    </w:p>
    <w:p w14:paraId="62265465" w14:textId="77777777" w:rsidR="00A65062" w:rsidRDefault="00367954">
      <w:pPr>
        <w:pStyle w:val="TOC1"/>
        <w:rPr>
          <w:rFonts w:asciiTheme="minorHAnsi" w:eastAsiaTheme="minorEastAsia" w:hAnsiTheme="minorHAnsi" w:cstheme="minorBidi"/>
          <w:b w:val="0"/>
          <w:color w:val="auto"/>
          <w:lang w:val="en-AU"/>
        </w:rPr>
      </w:pPr>
      <w:hyperlink w:anchor="_Toc422927893" w:history="1">
        <w:r w:rsidR="00A65062" w:rsidRPr="002230A7">
          <w:rPr>
            <w:rStyle w:val="Hyperlink"/>
          </w:rPr>
          <w:t>2</w:t>
        </w:r>
        <w:r w:rsidR="00A65062">
          <w:rPr>
            <w:rFonts w:asciiTheme="minorHAnsi" w:eastAsiaTheme="minorEastAsia" w:hAnsiTheme="minorHAnsi" w:cstheme="minorBidi"/>
            <w:b w:val="0"/>
            <w:color w:val="auto"/>
            <w:lang w:val="en-AU"/>
          </w:rPr>
          <w:tab/>
        </w:r>
        <w:r w:rsidR="00A65062" w:rsidRPr="002230A7">
          <w:rPr>
            <w:rStyle w:val="Hyperlink"/>
          </w:rPr>
          <w:t>Hydrogeological conceptual model</w:t>
        </w:r>
        <w:r w:rsidR="00A65062">
          <w:rPr>
            <w:webHidden/>
          </w:rPr>
          <w:tab/>
        </w:r>
        <w:r w:rsidR="00A65062">
          <w:rPr>
            <w:webHidden/>
          </w:rPr>
          <w:fldChar w:fldCharType="begin"/>
        </w:r>
        <w:r w:rsidR="00A65062">
          <w:rPr>
            <w:webHidden/>
          </w:rPr>
          <w:instrText xml:space="preserve"> PAGEREF _Toc422927893 \h </w:instrText>
        </w:r>
        <w:r w:rsidR="00A65062">
          <w:rPr>
            <w:webHidden/>
          </w:rPr>
        </w:r>
        <w:r w:rsidR="00A65062">
          <w:rPr>
            <w:webHidden/>
          </w:rPr>
          <w:fldChar w:fldCharType="separate"/>
        </w:r>
        <w:r w:rsidR="00171A5E">
          <w:rPr>
            <w:webHidden/>
          </w:rPr>
          <w:t>16</w:t>
        </w:r>
        <w:r w:rsidR="00A65062">
          <w:rPr>
            <w:webHidden/>
          </w:rPr>
          <w:fldChar w:fldCharType="end"/>
        </w:r>
      </w:hyperlink>
    </w:p>
    <w:p w14:paraId="73808B78" w14:textId="77777777" w:rsidR="00A65062" w:rsidRDefault="00367954" w:rsidP="00B85E2E">
      <w:pPr>
        <w:pStyle w:val="TOC2"/>
        <w:rPr>
          <w:rFonts w:asciiTheme="minorHAnsi" w:hAnsiTheme="minorHAnsi" w:cstheme="minorBidi"/>
          <w:sz w:val="22"/>
          <w:szCs w:val="22"/>
        </w:rPr>
      </w:pPr>
      <w:hyperlink w:anchor="_Toc422927894" w:history="1">
        <w:r w:rsidR="00A65062" w:rsidRPr="002230A7">
          <w:rPr>
            <w:rStyle w:val="Hyperlink"/>
          </w:rPr>
          <w:t>2.1</w:t>
        </w:r>
        <w:r w:rsidR="00A65062">
          <w:rPr>
            <w:rFonts w:asciiTheme="minorHAnsi" w:hAnsiTheme="minorHAnsi" w:cstheme="minorBidi"/>
            <w:sz w:val="22"/>
            <w:szCs w:val="22"/>
          </w:rPr>
          <w:tab/>
        </w:r>
        <w:r w:rsidR="00A65062" w:rsidRPr="002230A7">
          <w:rPr>
            <w:rStyle w:val="Hyperlink"/>
          </w:rPr>
          <w:t>Introduction</w:t>
        </w:r>
        <w:r w:rsidR="00A65062">
          <w:rPr>
            <w:webHidden/>
          </w:rPr>
          <w:tab/>
        </w:r>
        <w:r w:rsidR="00A65062">
          <w:rPr>
            <w:webHidden/>
          </w:rPr>
          <w:fldChar w:fldCharType="begin"/>
        </w:r>
        <w:r w:rsidR="00A65062">
          <w:rPr>
            <w:webHidden/>
          </w:rPr>
          <w:instrText xml:space="preserve"> PAGEREF _Toc422927894 \h </w:instrText>
        </w:r>
        <w:r w:rsidR="00A65062">
          <w:rPr>
            <w:webHidden/>
          </w:rPr>
        </w:r>
        <w:r w:rsidR="00A65062">
          <w:rPr>
            <w:webHidden/>
          </w:rPr>
          <w:fldChar w:fldCharType="separate"/>
        </w:r>
        <w:r w:rsidR="00171A5E">
          <w:rPr>
            <w:webHidden/>
          </w:rPr>
          <w:t>16</w:t>
        </w:r>
        <w:r w:rsidR="00A65062">
          <w:rPr>
            <w:webHidden/>
          </w:rPr>
          <w:fldChar w:fldCharType="end"/>
        </w:r>
      </w:hyperlink>
    </w:p>
    <w:p w14:paraId="25736033" w14:textId="77777777" w:rsidR="00A65062" w:rsidRDefault="00367954" w:rsidP="00B85E2E">
      <w:pPr>
        <w:pStyle w:val="TOC2"/>
        <w:rPr>
          <w:rFonts w:asciiTheme="minorHAnsi" w:hAnsiTheme="minorHAnsi" w:cstheme="minorBidi"/>
          <w:sz w:val="22"/>
          <w:szCs w:val="22"/>
        </w:rPr>
      </w:pPr>
      <w:hyperlink w:anchor="_Toc422927895" w:history="1">
        <w:r w:rsidR="00A65062" w:rsidRPr="002230A7">
          <w:rPr>
            <w:rStyle w:val="Hyperlink"/>
          </w:rPr>
          <w:t>2.2</w:t>
        </w:r>
        <w:r w:rsidR="00A65062">
          <w:rPr>
            <w:rFonts w:asciiTheme="minorHAnsi" w:hAnsiTheme="minorHAnsi" w:cstheme="minorBidi"/>
            <w:sz w:val="22"/>
            <w:szCs w:val="22"/>
          </w:rPr>
          <w:tab/>
        </w:r>
        <w:r w:rsidR="00A65062" w:rsidRPr="002230A7">
          <w:rPr>
            <w:rStyle w:val="Hyperlink"/>
          </w:rPr>
          <w:t>Geology</w:t>
        </w:r>
        <w:r w:rsidR="00A65062">
          <w:rPr>
            <w:webHidden/>
          </w:rPr>
          <w:tab/>
        </w:r>
        <w:r w:rsidR="00A65062">
          <w:rPr>
            <w:webHidden/>
          </w:rPr>
          <w:fldChar w:fldCharType="begin"/>
        </w:r>
        <w:r w:rsidR="00A65062">
          <w:rPr>
            <w:webHidden/>
          </w:rPr>
          <w:instrText xml:space="preserve"> PAGEREF _Toc422927895 \h </w:instrText>
        </w:r>
        <w:r w:rsidR="00A65062">
          <w:rPr>
            <w:webHidden/>
          </w:rPr>
        </w:r>
        <w:r w:rsidR="00A65062">
          <w:rPr>
            <w:webHidden/>
          </w:rPr>
          <w:fldChar w:fldCharType="separate"/>
        </w:r>
        <w:r w:rsidR="00171A5E">
          <w:rPr>
            <w:webHidden/>
          </w:rPr>
          <w:t>16</w:t>
        </w:r>
        <w:r w:rsidR="00A65062">
          <w:rPr>
            <w:webHidden/>
          </w:rPr>
          <w:fldChar w:fldCharType="end"/>
        </w:r>
      </w:hyperlink>
    </w:p>
    <w:p w14:paraId="563E43B1" w14:textId="77777777" w:rsidR="00A65062" w:rsidRDefault="00367954" w:rsidP="00B85E2E">
      <w:pPr>
        <w:pStyle w:val="TOC2"/>
        <w:rPr>
          <w:rFonts w:asciiTheme="minorHAnsi" w:hAnsiTheme="minorHAnsi" w:cstheme="minorBidi"/>
          <w:sz w:val="22"/>
          <w:szCs w:val="22"/>
        </w:rPr>
      </w:pPr>
      <w:hyperlink w:anchor="_Toc422927896" w:history="1">
        <w:r w:rsidR="00A65062" w:rsidRPr="002230A7">
          <w:rPr>
            <w:rStyle w:val="Hyperlink"/>
          </w:rPr>
          <w:t>2.3</w:t>
        </w:r>
        <w:r w:rsidR="00A65062">
          <w:rPr>
            <w:rFonts w:asciiTheme="minorHAnsi" w:hAnsiTheme="minorHAnsi" w:cstheme="minorBidi"/>
            <w:sz w:val="22"/>
            <w:szCs w:val="22"/>
          </w:rPr>
          <w:tab/>
        </w:r>
        <w:r w:rsidR="00A65062" w:rsidRPr="002230A7">
          <w:rPr>
            <w:rStyle w:val="Hyperlink"/>
          </w:rPr>
          <w:t>Hydrogeology</w:t>
        </w:r>
        <w:r w:rsidR="00A65062">
          <w:rPr>
            <w:webHidden/>
          </w:rPr>
          <w:tab/>
        </w:r>
        <w:r w:rsidR="00A65062">
          <w:rPr>
            <w:webHidden/>
          </w:rPr>
          <w:fldChar w:fldCharType="begin"/>
        </w:r>
        <w:r w:rsidR="00A65062">
          <w:rPr>
            <w:webHidden/>
          </w:rPr>
          <w:instrText xml:space="preserve"> PAGEREF _Toc422927896 \h </w:instrText>
        </w:r>
        <w:r w:rsidR="00A65062">
          <w:rPr>
            <w:webHidden/>
          </w:rPr>
        </w:r>
        <w:r w:rsidR="00A65062">
          <w:rPr>
            <w:webHidden/>
          </w:rPr>
          <w:fldChar w:fldCharType="separate"/>
        </w:r>
        <w:r w:rsidR="00171A5E">
          <w:rPr>
            <w:webHidden/>
          </w:rPr>
          <w:t>27</w:t>
        </w:r>
        <w:r w:rsidR="00A65062">
          <w:rPr>
            <w:webHidden/>
          </w:rPr>
          <w:fldChar w:fldCharType="end"/>
        </w:r>
      </w:hyperlink>
    </w:p>
    <w:p w14:paraId="2DB7BBDD" w14:textId="77777777" w:rsidR="00A65062" w:rsidRDefault="00367954" w:rsidP="00B85E2E">
      <w:pPr>
        <w:pStyle w:val="TOC2"/>
        <w:rPr>
          <w:rFonts w:asciiTheme="minorHAnsi" w:hAnsiTheme="minorHAnsi" w:cstheme="minorBidi"/>
          <w:sz w:val="22"/>
          <w:szCs w:val="22"/>
        </w:rPr>
      </w:pPr>
      <w:hyperlink w:anchor="_Toc422927897" w:history="1">
        <w:r w:rsidR="00A65062" w:rsidRPr="002230A7">
          <w:rPr>
            <w:rStyle w:val="Hyperlink"/>
          </w:rPr>
          <w:t>2.4</w:t>
        </w:r>
        <w:r w:rsidR="00A65062">
          <w:rPr>
            <w:rFonts w:asciiTheme="minorHAnsi" w:hAnsiTheme="minorHAnsi" w:cstheme="minorBidi"/>
            <w:sz w:val="22"/>
            <w:szCs w:val="22"/>
          </w:rPr>
          <w:tab/>
        </w:r>
        <w:r w:rsidR="00A65062" w:rsidRPr="002230A7">
          <w:rPr>
            <w:rStyle w:val="Hyperlink"/>
          </w:rPr>
          <w:t>Water use</w:t>
        </w:r>
        <w:r w:rsidR="00A65062">
          <w:rPr>
            <w:webHidden/>
          </w:rPr>
          <w:tab/>
        </w:r>
        <w:r w:rsidR="00A65062">
          <w:rPr>
            <w:webHidden/>
          </w:rPr>
          <w:fldChar w:fldCharType="begin"/>
        </w:r>
        <w:r w:rsidR="00A65062">
          <w:rPr>
            <w:webHidden/>
          </w:rPr>
          <w:instrText xml:space="preserve"> PAGEREF _Toc422927897 \h </w:instrText>
        </w:r>
        <w:r w:rsidR="00A65062">
          <w:rPr>
            <w:webHidden/>
          </w:rPr>
        </w:r>
        <w:r w:rsidR="00A65062">
          <w:rPr>
            <w:webHidden/>
          </w:rPr>
          <w:fldChar w:fldCharType="separate"/>
        </w:r>
        <w:r w:rsidR="00171A5E">
          <w:rPr>
            <w:webHidden/>
          </w:rPr>
          <w:t>37</w:t>
        </w:r>
        <w:r w:rsidR="00A65062">
          <w:rPr>
            <w:webHidden/>
          </w:rPr>
          <w:fldChar w:fldCharType="end"/>
        </w:r>
      </w:hyperlink>
    </w:p>
    <w:p w14:paraId="7CAEC999" w14:textId="77777777" w:rsidR="00A65062" w:rsidRDefault="00367954" w:rsidP="00B85E2E">
      <w:pPr>
        <w:pStyle w:val="TOC2"/>
        <w:rPr>
          <w:rFonts w:asciiTheme="minorHAnsi" w:hAnsiTheme="minorHAnsi" w:cstheme="minorBidi"/>
          <w:sz w:val="22"/>
          <w:szCs w:val="22"/>
        </w:rPr>
      </w:pPr>
      <w:hyperlink w:anchor="_Toc422927898" w:history="1">
        <w:r w:rsidR="00A65062" w:rsidRPr="002230A7">
          <w:rPr>
            <w:rStyle w:val="Hyperlink"/>
          </w:rPr>
          <w:t>2.5</w:t>
        </w:r>
        <w:r w:rsidR="00A65062">
          <w:rPr>
            <w:rFonts w:asciiTheme="minorHAnsi" w:hAnsiTheme="minorHAnsi" w:cstheme="minorBidi"/>
            <w:sz w:val="22"/>
            <w:szCs w:val="22"/>
          </w:rPr>
          <w:tab/>
        </w:r>
        <w:r w:rsidR="00A65062" w:rsidRPr="002230A7">
          <w:rPr>
            <w:rStyle w:val="Hyperlink"/>
          </w:rPr>
          <w:t>Natural gas interactions with groundwater, surface water and ecosystems</w:t>
        </w:r>
        <w:r w:rsidR="00A65062">
          <w:rPr>
            <w:webHidden/>
          </w:rPr>
          <w:tab/>
        </w:r>
        <w:r w:rsidR="00A65062">
          <w:rPr>
            <w:webHidden/>
          </w:rPr>
          <w:fldChar w:fldCharType="begin"/>
        </w:r>
        <w:r w:rsidR="00A65062">
          <w:rPr>
            <w:webHidden/>
          </w:rPr>
          <w:instrText xml:space="preserve"> PAGEREF _Toc422927898 \h </w:instrText>
        </w:r>
        <w:r w:rsidR="00A65062">
          <w:rPr>
            <w:webHidden/>
          </w:rPr>
        </w:r>
        <w:r w:rsidR="00A65062">
          <w:rPr>
            <w:webHidden/>
          </w:rPr>
          <w:fldChar w:fldCharType="separate"/>
        </w:r>
        <w:r w:rsidR="00171A5E">
          <w:rPr>
            <w:webHidden/>
          </w:rPr>
          <w:t>39</w:t>
        </w:r>
        <w:r w:rsidR="00A65062">
          <w:rPr>
            <w:webHidden/>
          </w:rPr>
          <w:fldChar w:fldCharType="end"/>
        </w:r>
      </w:hyperlink>
    </w:p>
    <w:p w14:paraId="5878FB40" w14:textId="77777777" w:rsidR="00A65062" w:rsidRDefault="00367954">
      <w:pPr>
        <w:pStyle w:val="TOC1"/>
        <w:rPr>
          <w:rFonts w:asciiTheme="minorHAnsi" w:eastAsiaTheme="minorEastAsia" w:hAnsiTheme="minorHAnsi" w:cstheme="minorBidi"/>
          <w:b w:val="0"/>
          <w:color w:val="auto"/>
          <w:lang w:val="en-AU"/>
        </w:rPr>
      </w:pPr>
      <w:hyperlink w:anchor="_Toc422927899" w:history="1">
        <w:r w:rsidR="00A65062" w:rsidRPr="002230A7">
          <w:rPr>
            <w:rStyle w:val="Hyperlink"/>
          </w:rPr>
          <w:t>3</w:t>
        </w:r>
        <w:r w:rsidR="00A65062">
          <w:rPr>
            <w:rFonts w:asciiTheme="minorHAnsi" w:eastAsiaTheme="minorEastAsia" w:hAnsiTheme="minorHAnsi" w:cstheme="minorBidi"/>
            <w:b w:val="0"/>
            <w:color w:val="auto"/>
            <w:lang w:val="en-AU"/>
          </w:rPr>
          <w:tab/>
        </w:r>
        <w:r w:rsidR="00A65062" w:rsidRPr="002230A7">
          <w:rPr>
            <w:rStyle w:val="Hyperlink"/>
          </w:rPr>
          <w:t>Aquifer depressurisation impact assessment</w:t>
        </w:r>
        <w:r w:rsidR="00A65062">
          <w:rPr>
            <w:webHidden/>
          </w:rPr>
          <w:tab/>
        </w:r>
        <w:r w:rsidR="00A65062">
          <w:rPr>
            <w:webHidden/>
          </w:rPr>
          <w:fldChar w:fldCharType="begin"/>
        </w:r>
        <w:r w:rsidR="00A65062">
          <w:rPr>
            <w:webHidden/>
          </w:rPr>
          <w:instrText xml:space="preserve"> PAGEREF _Toc422927899 \h </w:instrText>
        </w:r>
        <w:r w:rsidR="00A65062">
          <w:rPr>
            <w:webHidden/>
          </w:rPr>
        </w:r>
        <w:r w:rsidR="00A65062">
          <w:rPr>
            <w:webHidden/>
          </w:rPr>
          <w:fldChar w:fldCharType="separate"/>
        </w:r>
        <w:r w:rsidR="00171A5E">
          <w:rPr>
            <w:webHidden/>
          </w:rPr>
          <w:t>48</w:t>
        </w:r>
        <w:r w:rsidR="00A65062">
          <w:rPr>
            <w:webHidden/>
          </w:rPr>
          <w:fldChar w:fldCharType="end"/>
        </w:r>
      </w:hyperlink>
    </w:p>
    <w:p w14:paraId="344BAC14" w14:textId="77777777" w:rsidR="00A65062" w:rsidRDefault="00367954" w:rsidP="00B85E2E">
      <w:pPr>
        <w:pStyle w:val="TOC2"/>
        <w:rPr>
          <w:rFonts w:asciiTheme="minorHAnsi" w:hAnsiTheme="minorHAnsi" w:cstheme="minorBidi"/>
          <w:sz w:val="22"/>
          <w:szCs w:val="22"/>
        </w:rPr>
      </w:pPr>
      <w:hyperlink w:anchor="_Toc422927900" w:history="1">
        <w:r w:rsidR="00A65062" w:rsidRPr="002230A7">
          <w:rPr>
            <w:rStyle w:val="Hyperlink"/>
          </w:rPr>
          <w:t>3.1</w:t>
        </w:r>
        <w:r w:rsidR="00A65062">
          <w:rPr>
            <w:rFonts w:asciiTheme="minorHAnsi" w:hAnsiTheme="minorHAnsi" w:cstheme="minorBidi"/>
            <w:sz w:val="22"/>
            <w:szCs w:val="22"/>
          </w:rPr>
          <w:tab/>
        </w:r>
        <w:r w:rsidR="00A65062" w:rsidRPr="002230A7">
          <w:rPr>
            <w:rStyle w:val="Hyperlink"/>
          </w:rPr>
          <w:t>Introduction</w:t>
        </w:r>
        <w:r w:rsidR="00A65062">
          <w:rPr>
            <w:webHidden/>
          </w:rPr>
          <w:tab/>
        </w:r>
        <w:r w:rsidR="00A65062">
          <w:rPr>
            <w:webHidden/>
          </w:rPr>
          <w:fldChar w:fldCharType="begin"/>
        </w:r>
        <w:r w:rsidR="00A65062">
          <w:rPr>
            <w:webHidden/>
          </w:rPr>
          <w:instrText xml:space="preserve"> PAGEREF _Toc422927900 \h </w:instrText>
        </w:r>
        <w:r w:rsidR="00A65062">
          <w:rPr>
            <w:webHidden/>
          </w:rPr>
        </w:r>
        <w:r w:rsidR="00A65062">
          <w:rPr>
            <w:webHidden/>
          </w:rPr>
          <w:fldChar w:fldCharType="separate"/>
        </w:r>
        <w:r w:rsidR="00171A5E">
          <w:rPr>
            <w:webHidden/>
          </w:rPr>
          <w:t>48</w:t>
        </w:r>
        <w:r w:rsidR="00A65062">
          <w:rPr>
            <w:webHidden/>
          </w:rPr>
          <w:fldChar w:fldCharType="end"/>
        </w:r>
      </w:hyperlink>
    </w:p>
    <w:p w14:paraId="56154F56" w14:textId="77777777" w:rsidR="00A65062" w:rsidRDefault="00367954" w:rsidP="00B85E2E">
      <w:pPr>
        <w:pStyle w:val="TOC2"/>
        <w:rPr>
          <w:rFonts w:asciiTheme="minorHAnsi" w:hAnsiTheme="minorHAnsi" w:cstheme="minorBidi"/>
          <w:sz w:val="22"/>
          <w:szCs w:val="22"/>
        </w:rPr>
      </w:pPr>
      <w:hyperlink w:anchor="_Toc422927901" w:history="1">
        <w:r w:rsidR="00A65062" w:rsidRPr="002230A7">
          <w:rPr>
            <w:rStyle w:val="Hyperlink"/>
          </w:rPr>
          <w:t>3.2</w:t>
        </w:r>
        <w:r w:rsidR="00A65062">
          <w:rPr>
            <w:rFonts w:asciiTheme="minorHAnsi" w:hAnsiTheme="minorHAnsi" w:cstheme="minorBidi"/>
            <w:sz w:val="22"/>
            <w:szCs w:val="22"/>
          </w:rPr>
          <w:tab/>
        </w:r>
        <w:r w:rsidR="00A65062" w:rsidRPr="002230A7">
          <w:rPr>
            <w:rStyle w:val="Hyperlink"/>
          </w:rPr>
          <w:t>Impact assessment approach</w:t>
        </w:r>
        <w:r w:rsidR="00A65062">
          <w:rPr>
            <w:webHidden/>
          </w:rPr>
          <w:tab/>
        </w:r>
        <w:r w:rsidR="00A65062">
          <w:rPr>
            <w:webHidden/>
          </w:rPr>
          <w:fldChar w:fldCharType="begin"/>
        </w:r>
        <w:r w:rsidR="00A65062">
          <w:rPr>
            <w:webHidden/>
          </w:rPr>
          <w:instrText xml:space="preserve"> PAGEREF _Toc422927901 \h </w:instrText>
        </w:r>
        <w:r w:rsidR="00A65062">
          <w:rPr>
            <w:webHidden/>
          </w:rPr>
        </w:r>
        <w:r w:rsidR="00A65062">
          <w:rPr>
            <w:webHidden/>
          </w:rPr>
          <w:fldChar w:fldCharType="separate"/>
        </w:r>
        <w:r w:rsidR="00171A5E">
          <w:rPr>
            <w:webHidden/>
          </w:rPr>
          <w:t>48</w:t>
        </w:r>
        <w:r w:rsidR="00A65062">
          <w:rPr>
            <w:webHidden/>
          </w:rPr>
          <w:fldChar w:fldCharType="end"/>
        </w:r>
      </w:hyperlink>
    </w:p>
    <w:p w14:paraId="0A916871" w14:textId="77777777" w:rsidR="00A65062" w:rsidRDefault="00367954" w:rsidP="00B85E2E">
      <w:pPr>
        <w:pStyle w:val="TOC2"/>
        <w:rPr>
          <w:rFonts w:asciiTheme="minorHAnsi" w:hAnsiTheme="minorHAnsi" w:cstheme="minorBidi"/>
          <w:sz w:val="22"/>
          <w:szCs w:val="22"/>
        </w:rPr>
      </w:pPr>
      <w:hyperlink w:anchor="_Toc422927902" w:history="1">
        <w:r w:rsidR="00A65062" w:rsidRPr="002230A7">
          <w:rPr>
            <w:rStyle w:val="Hyperlink"/>
          </w:rPr>
          <w:t>3.3</w:t>
        </w:r>
        <w:r w:rsidR="00A65062">
          <w:rPr>
            <w:rFonts w:asciiTheme="minorHAnsi" w:hAnsiTheme="minorHAnsi" w:cstheme="minorBidi"/>
            <w:sz w:val="22"/>
            <w:szCs w:val="22"/>
          </w:rPr>
          <w:tab/>
        </w:r>
        <w:r w:rsidR="00A65062" w:rsidRPr="002230A7">
          <w:rPr>
            <w:rStyle w:val="Hyperlink"/>
          </w:rPr>
          <w:t>Impact assessment results</w:t>
        </w:r>
        <w:r w:rsidR="00A65062">
          <w:rPr>
            <w:webHidden/>
          </w:rPr>
          <w:tab/>
        </w:r>
        <w:r w:rsidR="00A65062">
          <w:rPr>
            <w:webHidden/>
          </w:rPr>
          <w:fldChar w:fldCharType="begin"/>
        </w:r>
        <w:r w:rsidR="00A65062">
          <w:rPr>
            <w:webHidden/>
          </w:rPr>
          <w:instrText xml:space="preserve"> PAGEREF _Toc422927902 \h </w:instrText>
        </w:r>
        <w:r w:rsidR="00A65062">
          <w:rPr>
            <w:webHidden/>
          </w:rPr>
        </w:r>
        <w:r w:rsidR="00A65062">
          <w:rPr>
            <w:webHidden/>
          </w:rPr>
          <w:fldChar w:fldCharType="separate"/>
        </w:r>
        <w:r w:rsidR="00171A5E">
          <w:rPr>
            <w:webHidden/>
          </w:rPr>
          <w:t>53</w:t>
        </w:r>
        <w:r w:rsidR="00A65062">
          <w:rPr>
            <w:webHidden/>
          </w:rPr>
          <w:fldChar w:fldCharType="end"/>
        </w:r>
      </w:hyperlink>
    </w:p>
    <w:p w14:paraId="0760747F" w14:textId="77777777" w:rsidR="00A65062" w:rsidRDefault="00367954" w:rsidP="00B85E2E">
      <w:pPr>
        <w:pStyle w:val="TOC2"/>
        <w:rPr>
          <w:rFonts w:asciiTheme="minorHAnsi" w:hAnsiTheme="minorHAnsi" w:cstheme="minorBidi"/>
          <w:sz w:val="22"/>
          <w:szCs w:val="22"/>
        </w:rPr>
      </w:pPr>
      <w:hyperlink w:anchor="_Toc422927903" w:history="1">
        <w:r w:rsidR="00A65062" w:rsidRPr="002230A7">
          <w:rPr>
            <w:rStyle w:val="Hyperlink"/>
          </w:rPr>
          <w:t>3.4</w:t>
        </w:r>
        <w:r w:rsidR="00A65062">
          <w:rPr>
            <w:rFonts w:asciiTheme="minorHAnsi" w:hAnsiTheme="minorHAnsi" w:cstheme="minorBidi"/>
            <w:sz w:val="22"/>
            <w:szCs w:val="22"/>
          </w:rPr>
          <w:tab/>
        </w:r>
        <w:r w:rsidR="00A65062" w:rsidRPr="002230A7">
          <w:rPr>
            <w:rStyle w:val="Hyperlink"/>
          </w:rPr>
          <w:t>Potential impact to groundwater quality</w:t>
        </w:r>
        <w:r w:rsidR="00A65062">
          <w:rPr>
            <w:webHidden/>
          </w:rPr>
          <w:tab/>
        </w:r>
        <w:r w:rsidR="00A65062">
          <w:rPr>
            <w:webHidden/>
          </w:rPr>
          <w:fldChar w:fldCharType="begin"/>
        </w:r>
        <w:r w:rsidR="00A65062">
          <w:rPr>
            <w:webHidden/>
          </w:rPr>
          <w:instrText xml:space="preserve"> PAGEREF _Toc422927903 \h </w:instrText>
        </w:r>
        <w:r w:rsidR="00A65062">
          <w:rPr>
            <w:webHidden/>
          </w:rPr>
        </w:r>
        <w:r w:rsidR="00A65062">
          <w:rPr>
            <w:webHidden/>
          </w:rPr>
          <w:fldChar w:fldCharType="separate"/>
        </w:r>
        <w:r w:rsidR="00171A5E">
          <w:rPr>
            <w:webHidden/>
          </w:rPr>
          <w:t>61</w:t>
        </w:r>
        <w:r w:rsidR="00A65062">
          <w:rPr>
            <w:webHidden/>
          </w:rPr>
          <w:fldChar w:fldCharType="end"/>
        </w:r>
      </w:hyperlink>
    </w:p>
    <w:p w14:paraId="1A61DD84" w14:textId="77777777" w:rsidR="00A65062" w:rsidRDefault="00367954">
      <w:pPr>
        <w:pStyle w:val="TOC1"/>
        <w:rPr>
          <w:rFonts w:asciiTheme="minorHAnsi" w:eastAsiaTheme="minorEastAsia" w:hAnsiTheme="minorHAnsi" w:cstheme="minorBidi"/>
          <w:b w:val="0"/>
          <w:color w:val="auto"/>
          <w:lang w:val="en-AU"/>
        </w:rPr>
      </w:pPr>
      <w:hyperlink w:anchor="_Toc422927904" w:history="1">
        <w:r w:rsidR="00A65062" w:rsidRPr="002230A7">
          <w:rPr>
            <w:rStyle w:val="Hyperlink"/>
          </w:rPr>
          <w:t>4</w:t>
        </w:r>
        <w:r w:rsidR="00A65062">
          <w:rPr>
            <w:rFonts w:asciiTheme="minorHAnsi" w:eastAsiaTheme="minorEastAsia" w:hAnsiTheme="minorHAnsi" w:cstheme="minorBidi"/>
            <w:b w:val="0"/>
            <w:color w:val="auto"/>
            <w:lang w:val="en-AU"/>
          </w:rPr>
          <w:tab/>
        </w:r>
        <w:r w:rsidR="00A65062" w:rsidRPr="002230A7">
          <w:rPr>
            <w:rStyle w:val="Hyperlink"/>
          </w:rPr>
          <w:t>Chemical contamination of groundwater from hydraulic fracturing fluids: risk assessment</w:t>
        </w:r>
        <w:r w:rsidR="00A65062">
          <w:rPr>
            <w:webHidden/>
          </w:rPr>
          <w:tab/>
        </w:r>
        <w:r w:rsidR="00A65062">
          <w:rPr>
            <w:webHidden/>
          </w:rPr>
          <w:fldChar w:fldCharType="begin"/>
        </w:r>
        <w:r w:rsidR="00A65062">
          <w:rPr>
            <w:webHidden/>
          </w:rPr>
          <w:instrText xml:space="preserve"> PAGEREF _Toc422927904 \h </w:instrText>
        </w:r>
        <w:r w:rsidR="00A65062">
          <w:rPr>
            <w:webHidden/>
          </w:rPr>
        </w:r>
        <w:r w:rsidR="00A65062">
          <w:rPr>
            <w:webHidden/>
          </w:rPr>
          <w:fldChar w:fldCharType="separate"/>
        </w:r>
        <w:r w:rsidR="00171A5E">
          <w:rPr>
            <w:webHidden/>
          </w:rPr>
          <w:t>62</w:t>
        </w:r>
        <w:r w:rsidR="00A65062">
          <w:rPr>
            <w:webHidden/>
          </w:rPr>
          <w:fldChar w:fldCharType="end"/>
        </w:r>
      </w:hyperlink>
    </w:p>
    <w:p w14:paraId="377BDF54" w14:textId="77777777" w:rsidR="00A65062" w:rsidRDefault="00367954" w:rsidP="00B85E2E">
      <w:pPr>
        <w:pStyle w:val="TOC2"/>
        <w:rPr>
          <w:rFonts w:asciiTheme="minorHAnsi" w:hAnsiTheme="minorHAnsi" w:cstheme="minorBidi"/>
          <w:sz w:val="22"/>
          <w:szCs w:val="22"/>
        </w:rPr>
      </w:pPr>
      <w:hyperlink w:anchor="_Toc422927905" w:history="1">
        <w:r w:rsidR="00A65062" w:rsidRPr="002230A7">
          <w:rPr>
            <w:rStyle w:val="Hyperlink"/>
          </w:rPr>
          <w:t>4.1</w:t>
        </w:r>
        <w:r w:rsidR="00A65062">
          <w:rPr>
            <w:rFonts w:asciiTheme="minorHAnsi" w:hAnsiTheme="minorHAnsi" w:cstheme="minorBidi"/>
            <w:sz w:val="22"/>
            <w:szCs w:val="22"/>
          </w:rPr>
          <w:tab/>
        </w:r>
        <w:r w:rsidR="00A65062" w:rsidRPr="002230A7">
          <w:rPr>
            <w:rStyle w:val="Hyperlink"/>
          </w:rPr>
          <w:t>Overview of hydraulic fracturing</w:t>
        </w:r>
        <w:r w:rsidR="00A65062">
          <w:rPr>
            <w:webHidden/>
          </w:rPr>
          <w:tab/>
        </w:r>
        <w:r w:rsidR="00A65062">
          <w:rPr>
            <w:webHidden/>
          </w:rPr>
          <w:fldChar w:fldCharType="begin"/>
        </w:r>
        <w:r w:rsidR="00A65062">
          <w:rPr>
            <w:webHidden/>
          </w:rPr>
          <w:instrText xml:space="preserve"> PAGEREF _Toc422927905 \h </w:instrText>
        </w:r>
        <w:r w:rsidR="00A65062">
          <w:rPr>
            <w:webHidden/>
          </w:rPr>
        </w:r>
        <w:r w:rsidR="00A65062">
          <w:rPr>
            <w:webHidden/>
          </w:rPr>
          <w:fldChar w:fldCharType="separate"/>
        </w:r>
        <w:r w:rsidR="00171A5E">
          <w:rPr>
            <w:webHidden/>
          </w:rPr>
          <w:t>62</w:t>
        </w:r>
        <w:r w:rsidR="00A65062">
          <w:rPr>
            <w:webHidden/>
          </w:rPr>
          <w:fldChar w:fldCharType="end"/>
        </w:r>
      </w:hyperlink>
    </w:p>
    <w:p w14:paraId="26337335" w14:textId="77777777" w:rsidR="00A65062" w:rsidRDefault="00367954" w:rsidP="00B85E2E">
      <w:pPr>
        <w:pStyle w:val="TOC2"/>
        <w:rPr>
          <w:rFonts w:asciiTheme="minorHAnsi" w:hAnsiTheme="minorHAnsi" w:cstheme="minorBidi"/>
          <w:sz w:val="22"/>
          <w:szCs w:val="22"/>
        </w:rPr>
      </w:pPr>
      <w:hyperlink w:anchor="_Toc422927906" w:history="1">
        <w:r w:rsidR="00A65062" w:rsidRPr="002230A7">
          <w:rPr>
            <w:rStyle w:val="Hyperlink"/>
          </w:rPr>
          <w:t>4.2</w:t>
        </w:r>
        <w:r w:rsidR="00A65062">
          <w:rPr>
            <w:rFonts w:asciiTheme="minorHAnsi" w:hAnsiTheme="minorHAnsi" w:cstheme="minorBidi"/>
            <w:sz w:val="22"/>
            <w:szCs w:val="22"/>
          </w:rPr>
          <w:tab/>
        </w:r>
        <w:r w:rsidR="00A65062" w:rsidRPr="002230A7">
          <w:rPr>
            <w:rStyle w:val="Hyperlink"/>
          </w:rPr>
          <w:t>Key risks to water resources associated with hydraulic fracturing</w:t>
        </w:r>
        <w:r w:rsidR="00A65062">
          <w:rPr>
            <w:webHidden/>
          </w:rPr>
          <w:tab/>
        </w:r>
        <w:r w:rsidR="00A65062">
          <w:rPr>
            <w:webHidden/>
          </w:rPr>
          <w:fldChar w:fldCharType="begin"/>
        </w:r>
        <w:r w:rsidR="00A65062">
          <w:rPr>
            <w:webHidden/>
          </w:rPr>
          <w:instrText xml:space="preserve"> PAGEREF _Toc422927906 \h </w:instrText>
        </w:r>
        <w:r w:rsidR="00A65062">
          <w:rPr>
            <w:webHidden/>
          </w:rPr>
        </w:r>
        <w:r w:rsidR="00A65062">
          <w:rPr>
            <w:webHidden/>
          </w:rPr>
          <w:fldChar w:fldCharType="separate"/>
        </w:r>
        <w:r w:rsidR="00171A5E">
          <w:rPr>
            <w:webHidden/>
          </w:rPr>
          <w:t>64</w:t>
        </w:r>
        <w:r w:rsidR="00A65062">
          <w:rPr>
            <w:webHidden/>
          </w:rPr>
          <w:fldChar w:fldCharType="end"/>
        </w:r>
      </w:hyperlink>
    </w:p>
    <w:p w14:paraId="1ED77BFE" w14:textId="77777777" w:rsidR="00A65062" w:rsidRDefault="00367954" w:rsidP="00B85E2E">
      <w:pPr>
        <w:pStyle w:val="TOC2"/>
        <w:rPr>
          <w:rFonts w:asciiTheme="minorHAnsi" w:hAnsiTheme="minorHAnsi" w:cstheme="minorBidi"/>
          <w:sz w:val="22"/>
          <w:szCs w:val="22"/>
        </w:rPr>
      </w:pPr>
      <w:hyperlink w:anchor="_Toc422927907" w:history="1">
        <w:r w:rsidR="00A65062" w:rsidRPr="002230A7">
          <w:rPr>
            <w:rStyle w:val="Hyperlink"/>
          </w:rPr>
          <w:t>4.3</w:t>
        </w:r>
        <w:r w:rsidR="00A65062">
          <w:rPr>
            <w:rFonts w:asciiTheme="minorHAnsi" w:hAnsiTheme="minorHAnsi" w:cstheme="minorBidi"/>
            <w:sz w:val="22"/>
            <w:szCs w:val="22"/>
          </w:rPr>
          <w:tab/>
        </w:r>
        <w:r w:rsidR="00A65062" w:rsidRPr="002230A7">
          <w:rPr>
            <w:rStyle w:val="Hyperlink"/>
          </w:rPr>
          <w:t>Contaminant sources</w:t>
        </w:r>
        <w:r w:rsidR="00A65062">
          <w:rPr>
            <w:webHidden/>
          </w:rPr>
          <w:tab/>
        </w:r>
        <w:r w:rsidR="00A65062">
          <w:rPr>
            <w:webHidden/>
          </w:rPr>
          <w:fldChar w:fldCharType="begin"/>
        </w:r>
        <w:r w:rsidR="00A65062">
          <w:rPr>
            <w:webHidden/>
          </w:rPr>
          <w:instrText xml:space="preserve"> PAGEREF _Toc422927907 \h </w:instrText>
        </w:r>
        <w:r w:rsidR="00A65062">
          <w:rPr>
            <w:webHidden/>
          </w:rPr>
        </w:r>
        <w:r w:rsidR="00A65062">
          <w:rPr>
            <w:webHidden/>
          </w:rPr>
          <w:fldChar w:fldCharType="separate"/>
        </w:r>
        <w:r w:rsidR="00171A5E">
          <w:rPr>
            <w:webHidden/>
          </w:rPr>
          <w:t>65</w:t>
        </w:r>
        <w:r w:rsidR="00A65062">
          <w:rPr>
            <w:webHidden/>
          </w:rPr>
          <w:fldChar w:fldCharType="end"/>
        </w:r>
      </w:hyperlink>
    </w:p>
    <w:p w14:paraId="4BBC7A8B" w14:textId="77777777" w:rsidR="00A65062" w:rsidRDefault="00367954" w:rsidP="00B85E2E">
      <w:pPr>
        <w:pStyle w:val="TOC2"/>
        <w:rPr>
          <w:rFonts w:asciiTheme="minorHAnsi" w:hAnsiTheme="minorHAnsi" w:cstheme="minorBidi"/>
          <w:sz w:val="22"/>
          <w:szCs w:val="22"/>
        </w:rPr>
      </w:pPr>
      <w:hyperlink w:anchor="_Toc422927908" w:history="1">
        <w:r w:rsidR="00A65062" w:rsidRPr="002230A7">
          <w:rPr>
            <w:rStyle w:val="Hyperlink"/>
          </w:rPr>
          <w:t>4.4</w:t>
        </w:r>
        <w:r w:rsidR="00A65062">
          <w:rPr>
            <w:rFonts w:asciiTheme="minorHAnsi" w:hAnsiTheme="minorHAnsi" w:cstheme="minorBidi"/>
            <w:sz w:val="22"/>
            <w:szCs w:val="22"/>
          </w:rPr>
          <w:tab/>
        </w:r>
        <w:r w:rsidR="00A65062" w:rsidRPr="002230A7">
          <w:rPr>
            <w:rStyle w:val="Hyperlink"/>
          </w:rPr>
          <w:t>Contaminant pathways</w:t>
        </w:r>
        <w:r w:rsidR="00A65062">
          <w:rPr>
            <w:webHidden/>
          </w:rPr>
          <w:tab/>
        </w:r>
        <w:r w:rsidR="00A65062">
          <w:rPr>
            <w:webHidden/>
          </w:rPr>
          <w:fldChar w:fldCharType="begin"/>
        </w:r>
        <w:r w:rsidR="00A65062">
          <w:rPr>
            <w:webHidden/>
          </w:rPr>
          <w:instrText xml:space="preserve"> PAGEREF _Toc422927908 \h </w:instrText>
        </w:r>
        <w:r w:rsidR="00A65062">
          <w:rPr>
            <w:webHidden/>
          </w:rPr>
        </w:r>
        <w:r w:rsidR="00A65062">
          <w:rPr>
            <w:webHidden/>
          </w:rPr>
          <w:fldChar w:fldCharType="separate"/>
        </w:r>
        <w:r w:rsidR="00171A5E">
          <w:rPr>
            <w:webHidden/>
          </w:rPr>
          <w:t>66</w:t>
        </w:r>
        <w:r w:rsidR="00A65062">
          <w:rPr>
            <w:webHidden/>
          </w:rPr>
          <w:fldChar w:fldCharType="end"/>
        </w:r>
      </w:hyperlink>
    </w:p>
    <w:p w14:paraId="18B5F3FA" w14:textId="77777777" w:rsidR="00A65062" w:rsidRDefault="00367954" w:rsidP="00B85E2E">
      <w:pPr>
        <w:pStyle w:val="TOC2"/>
        <w:rPr>
          <w:rFonts w:asciiTheme="minorHAnsi" w:hAnsiTheme="minorHAnsi" w:cstheme="minorBidi"/>
          <w:sz w:val="22"/>
          <w:szCs w:val="22"/>
        </w:rPr>
      </w:pPr>
      <w:hyperlink w:anchor="_Toc422927909" w:history="1">
        <w:r w:rsidR="00A65062" w:rsidRPr="002230A7">
          <w:rPr>
            <w:rStyle w:val="Hyperlink"/>
          </w:rPr>
          <w:t>4.5</w:t>
        </w:r>
        <w:r w:rsidR="00A65062">
          <w:rPr>
            <w:rFonts w:asciiTheme="minorHAnsi" w:hAnsiTheme="minorHAnsi" w:cstheme="minorBidi"/>
            <w:sz w:val="22"/>
            <w:szCs w:val="22"/>
          </w:rPr>
          <w:tab/>
        </w:r>
        <w:r w:rsidR="00A65062" w:rsidRPr="002230A7">
          <w:rPr>
            <w:rStyle w:val="Hyperlink"/>
          </w:rPr>
          <w:t>Contamination mechanisms</w:t>
        </w:r>
        <w:r w:rsidR="00A65062">
          <w:rPr>
            <w:webHidden/>
          </w:rPr>
          <w:tab/>
        </w:r>
        <w:r w:rsidR="00A65062">
          <w:rPr>
            <w:webHidden/>
          </w:rPr>
          <w:fldChar w:fldCharType="begin"/>
        </w:r>
        <w:r w:rsidR="00A65062">
          <w:rPr>
            <w:webHidden/>
          </w:rPr>
          <w:instrText xml:space="preserve"> PAGEREF _Toc422927909 \h </w:instrText>
        </w:r>
        <w:r w:rsidR="00A65062">
          <w:rPr>
            <w:webHidden/>
          </w:rPr>
        </w:r>
        <w:r w:rsidR="00A65062">
          <w:rPr>
            <w:webHidden/>
          </w:rPr>
          <w:fldChar w:fldCharType="separate"/>
        </w:r>
        <w:r w:rsidR="00171A5E">
          <w:rPr>
            <w:webHidden/>
          </w:rPr>
          <w:t>68</w:t>
        </w:r>
        <w:r w:rsidR="00A65062">
          <w:rPr>
            <w:webHidden/>
          </w:rPr>
          <w:fldChar w:fldCharType="end"/>
        </w:r>
      </w:hyperlink>
    </w:p>
    <w:p w14:paraId="175D6A41" w14:textId="77777777" w:rsidR="00A65062" w:rsidRDefault="00367954" w:rsidP="00B85E2E">
      <w:pPr>
        <w:pStyle w:val="TOC2"/>
        <w:rPr>
          <w:rFonts w:asciiTheme="minorHAnsi" w:hAnsiTheme="minorHAnsi" w:cstheme="minorBidi"/>
          <w:sz w:val="22"/>
          <w:szCs w:val="22"/>
        </w:rPr>
      </w:pPr>
      <w:hyperlink w:anchor="_Toc422927910" w:history="1">
        <w:r w:rsidR="00A65062" w:rsidRPr="002230A7">
          <w:rPr>
            <w:rStyle w:val="Hyperlink"/>
          </w:rPr>
          <w:t>4.6</w:t>
        </w:r>
        <w:r w:rsidR="00A65062">
          <w:rPr>
            <w:rFonts w:asciiTheme="minorHAnsi" w:hAnsiTheme="minorHAnsi" w:cstheme="minorBidi"/>
            <w:sz w:val="22"/>
            <w:szCs w:val="22"/>
          </w:rPr>
          <w:tab/>
        </w:r>
        <w:r w:rsidR="00A65062" w:rsidRPr="002230A7">
          <w:rPr>
            <w:rStyle w:val="Hyperlink"/>
          </w:rPr>
          <w:t>Summary of potential risks of hydraulic fracturing</w:t>
        </w:r>
        <w:r w:rsidR="00A65062">
          <w:rPr>
            <w:webHidden/>
          </w:rPr>
          <w:tab/>
        </w:r>
        <w:r w:rsidR="00A65062">
          <w:rPr>
            <w:webHidden/>
          </w:rPr>
          <w:fldChar w:fldCharType="begin"/>
        </w:r>
        <w:r w:rsidR="00A65062">
          <w:rPr>
            <w:webHidden/>
          </w:rPr>
          <w:instrText xml:space="preserve"> PAGEREF _Toc422927910 \h </w:instrText>
        </w:r>
        <w:r w:rsidR="00A65062">
          <w:rPr>
            <w:webHidden/>
          </w:rPr>
        </w:r>
        <w:r w:rsidR="00A65062">
          <w:rPr>
            <w:webHidden/>
          </w:rPr>
          <w:fldChar w:fldCharType="separate"/>
        </w:r>
        <w:r w:rsidR="00171A5E">
          <w:rPr>
            <w:webHidden/>
          </w:rPr>
          <w:t>73</w:t>
        </w:r>
        <w:r w:rsidR="00A65062">
          <w:rPr>
            <w:webHidden/>
          </w:rPr>
          <w:fldChar w:fldCharType="end"/>
        </w:r>
      </w:hyperlink>
    </w:p>
    <w:p w14:paraId="75C20E6F" w14:textId="77777777" w:rsidR="00A65062" w:rsidRDefault="00367954" w:rsidP="00B85E2E">
      <w:pPr>
        <w:pStyle w:val="TOC2"/>
        <w:rPr>
          <w:rFonts w:asciiTheme="minorHAnsi" w:hAnsiTheme="minorHAnsi" w:cstheme="minorBidi"/>
          <w:sz w:val="22"/>
          <w:szCs w:val="22"/>
        </w:rPr>
      </w:pPr>
      <w:hyperlink w:anchor="_Toc422927911" w:history="1">
        <w:r w:rsidR="00A65062" w:rsidRPr="002230A7">
          <w:rPr>
            <w:rStyle w:val="Hyperlink"/>
          </w:rPr>
          <w:t>4.7</w:t>
        </w:r>
        <w:r w:rsidR="00A65062">
          <w:rPr>
            <w:rFonts w:asciiTheme="minorHAnsi" w:hAnsiTheme="minorHAnsi" w:cstheme="minorBidi"/>
            <w:sz w:val="22"/>
            <w:szCs w:val="22"/>
          </w:rPr>
          <w:tab/>
        </w:r>
        <w:r w:rsidR="00A65062" w:rsidRPr="002230A7">
          <w:rPr>
            <w:rStyle w:val="Hyperlink"/>
          </w:rPr>
          <w:t>Qualitative risk assessment</w:t>
        </w:r>
        <w:r w:rsidR="00A65062">
          <w:rPr>
            <w:webHidden/>
          </w:rPr>
          <w:tab/>
        </w:r>
        <w:r w:rsidR="00A65062">
          <w:rPr>
            <w:webHidden/>
          </w:rPr>
          <w:fldChar w:fldCharType="begin"/>
        </w:r>
        <w:r w:rsidR="00A65062">
          <w:rPr>
            <w:webHidden/>
          </w:rPr>
          <w:instrText xml:space="preserve"> PAGEREF _Toc422927911 \h </w:instrText>
        </w:r>
        <w:r w:rsidR="00A65062">
          <w:rPr>
            <w:webHidden/>
          </w:rPr>
        </w:r>
        <w:r w:rsidR="00A65062">
          <w:rPr>
            <w:webHidden/>
          </w:rPr>
          <w:fldChar w:fldCharType="separate"/>
        </w:r>
        <w:r w:rsidR="00171A5E">
          <w:rPr>
            <w:webHidden/>
          </w:rPr>
          <w:t>73</w:t>
        </w:r>
        <w:r w:rsidR="00A65062">
          <w:rPr>
            <w:webHidden/>
          </w:rPr>
          <w:fldChar w:fldCharType="end"/>
        </w:r>
      </w:hyperlink>
    </w:p>
    <w:p w14:paraId="30B0BBD3" w14:textId="77777777" w:rsidR="00A65062" w:rsidRDefault="00367954">
      <w:pPr>
        <w:pStyle w:val="TOC1"/>
        <w:rPr>
          <w:rFonts w:asciiTheme="minorHAnsi" w:eastAsiaTheme="minorEastAsia" w:hAnsiTheme="minorHAnsi" w:cstheme="minorBidi"/>
          <w:b w:val="0"/>
          <w:color w:val="auto"/>
          <w:lang w:val="en-AU"/>
        </w:rPr>
      </w:pPr>
      <w:hyperlink w:anchor="_Toc422927912" w:history="1">
        <w:r w:rsidR="00A65062" w:rsidRPr="002230A7">
          <w:rPr>
            <w:rStyle w:val="Hyperlink"/>
          </w:rPr>
          <w:t>5</w:t>
        </w:r>
        <w:r w:rsidR="00A65062">
          <w:rPr>
            <w:rFonts w:asciiTheme="minorHAnsi" w:eastAsiaTheme="minorEastAsia" w:hAnsiTheme="minorHAnsi" w:cstheme="minorBidi"/>
            <w:b w:val="0"/>
            <w:color w:val="auto"/>
            <w:lang w:val="en-AU"/>
          </w:rPr>
          <w:tab/>
        </w:r>
        <w:r w:rsidR="00A65062" w:rsidRPr="002230A7">
          <w:rPr>
            <w:rStyle w:val="Hyperlink"/>
          </w:rPr>
          <w:t>Induced seismicity risk assessment</w:t>
        </w:r>
        <w:r w:rsidR="00A65062">
          <w:rPr>
            <w:webHidden/>
          </w:rPr>
          <w:tab/>
        </w:r>
        <w:r w:rsidR="00A65062">
          <w:rPr>
            <w:webHidden/>
          </w:rPr>
          <w:fldChar w:fldCharType="begin"/>
        </w:r>
        <w:r w:rsidR="00A65062">
          <w:rPr>
            <w:webHidden/>
          </w:rPr>
          <w:instrText xml:space="preserve"> PAGEREF _Toc422927912 \h </w:instrText>
        </w:r>
        <w:r w:rsidR="00A65062">
          <w:rPr>
            <w:webHidden/>
          </w:rPr>
        </w:r>
        <w:r w:rsidR="00A65062">
          <w:rPr>
            <w:webHidden/>
          </w:rPr>
          <w:fldChar w:fldCharType="separate"/>
        </w:r>
        <w:r w:rsidR="00171A5E">
          <w:rPr>
            <w:webHidden/>
          </w:rPr>
          <w:t>76</w:t>
        </w:r>
        <w:r w:rsidR="00A65062">
          <w:rPr>
            <w:webHidden/>
          </w:rPr>
          <w:fldChar w:fldCharType="end"/>
        </w:r>
      </w:hyperlink>
    </w:p>
    <w:p w14:paraId="07225F1A" w14:textId="77777777" w:rsidR="00A65062" w:rsidRDefault="00367954" w:rsidP="00B85E2E">
      <w:pPr>
        <w:pStyle w:val="TOC2"/>
        <w:rPr>
          <w:rFonts w:asciiTheme="minorHAnsi" w:hAnsiTheme="minorHAnsi" w:cstheme="minorBidi"/>
          <w:sz w:val="22"/>
          <w:szCs w:val="22"/>
        </w:rPr>
      </w:pPr>
      <w:hyperlink w:anchor="_Toc422927913" w:history="1">
        <w:r w:rsidR="00A65062" w:rsidRPr="002230A7">
          <w:rPr>
            <w:rStyle w:val="Hyperlink"/>
          </w:rPr>
          <w:t>5.1</w:t>
        </w:r>
        <w:r w:rsidR="00A65062">
          <w:rPr>
            <w:rFonts w:asciiTheme="minorHAnsi" w:hAnsiTheme="minorHAnsi" w:cstheme="minorBidi"/>
            <w:sz w:val="22"/>
            <w:szCs w:val="22"/>
          </w:rPr>
          <w:tab/>
        </w:r>
        <w:r w:rsidR="00A65062" w:rsidRPr="002230A7">
          <w:rPr>
            <w:rStyle w:val="Hyperlink"/>
          </w:rPr>
          <w:t>Seismicity</w:t>
        </w:r>
        <w:r w:rsidR="00A65062">
          <w:rPr>
            <w:webHidden/>
          </w:rPr>
          <w:tab/>
        </w:r>
        <w:r w:rsidR="00A65062">
          <w:rPr>
            <w:webHidden/>
          </w:rPr>
          <w:fldChar w:fldCharType="begin"/>
        </w:r>
        <w:r w:rsidR="00A65062">
          <w:rPr>
            <w:webHidden/>
          </w:rPr>
          <w:instrText xml:space="preserve"> PAGEREF _Toc422927913 \h </w:instrText>
        </w:r>
        <w:r w:rsidR="00A65062">
          <w:rPr>
            <w:webHidden/>
          </w:rPr>
        </w:r>
        <w:r w:rsidR="00A65062">
          <w:rPr>
            <w:webHidden/>
          </w:rPr>
          <w:fldChar w:fldCharType="separate"/>
        </w:r>
        <w:r w:rsidR="00171A5E">
          <w:rPr>
            <w:webHidden/>
          </w:rPr>
          <w:t>76</w:t>
        </w:r>
        <w:r w:rsidR="00A65062">
          <w:rPr>
            <w:webHidden/>
          </w:rPr>
          <w:fldChar w:fldCharType="end"/>
        </w:r>
      </w:hyperlink>
    </w:p>
    <w:p w14:paraId="4CA72CEE" w14:textId="77777777" w:rsidR="00A65062" w:rsidRDefault="00367954" w:rsidP="00B85E2E">
      <w:pPr>
        <w:pStyle w:val="TOC2"/>
        <w:rPr>
          <w:rFonts w:asciiTheme="minorHAnsi" w:hAnsiTheme="minorHAnsi" w:cstheme="minorBidi"/>
          <w:sz w:val="22"/>
          <w:szCs w:val="22"/>
        </w:rPr>
      </w:pPr>
      <w:hyperlink w:anchor="_Toc422927914" w:history="1">
        <w:r w:rsidR="00A65062" w:rsidRPr="002230A7">
          <w:rPr>
            <w:rStyle w:val="Hyperlink"/>
          </w:rPr>
          <w:t>5.2</w:t>
        </w:r>
        <w:r w:rsidR="00A65062">
          <w:rPr>
            <w:rFonts w:asciiTheme="minorHAnsi" w:hAnsiTheme="minorHAnsi" w:cstheme="minorBidi"/>
            <w:sz w:val="22"/>
            <w:szCs w:val="22"/>
          </w:rPr>
          <w:tab/>
        </w:r>
        <w:r w:rsidR="00A65062" w:rsidRPr="002230A7">
          <w:rPr>
            <w:rStyle w:val="Hyperlink"/>
          </w:rPr>
          <w:t>Induced seismicity</w:t>
        </w:r>
        <w:r w:rsidR="00A65062">
          <w:rPr>
            <w:webHidden/>
          </w:rPr>
          <w:tab/>
        </w:r>
        <w:r w:rsidR="00A65062">
          <w:rPr>
            <w:webHidden/>
          </w:rPr>
          <w:fldChar w:fldCharType="begin"/>
        </w:r>
        <w:r w:rsidR="00A65062">
          <w:rPr>
            <w:webHidden/>
          </w:rPr>
          <w:instrText xml:space="preserve"> PAGEREF _Toc422927914 \h </w:instrText>
        </w:r>
        <w:r w:rsidR="00A65062">
          <w:rPr>
            <w:webHidden/>
          </w:rPr>
        </w:r>
        <w:r w:rsidR="00A65062">
          <w:rPr>
            <w:webHidden/>
          </w:rPr>
          <w:fldChar w:fldCharType="separate"/>
        </w:r>
        <w:r w:rsidR="00171A5E">
          <w:rPr>
            <w:webHidden/>
          </w:rPr>
          <w:t>78</w:t>
        </w:r>
        <w:r w:rsidR="00A65062">
          <w:rPr>
            <w:webHidden/>
          </w:rPr>
          <w:fldChar w:fldCharType="end"/>
        </w:r>
      </w:hyperlink>
    </w:p>
    <w:p w14:paraId="4473810D" w14:textId="77777777" w:rsidR="00A65062" w:rsidRDefault="00367954" w:rsidP="00B85E2E">
      <w:pPr>
        <w:pStyle w:val="TOC2"/>
        <w:rPr>
          <w:rFonts w:asciiTheme="minorHAnsi" w:hAnsiTheme="minorHAnsi" w:cstheme="minorBidi"/>
          <w:sz w:val="22"/>
          <w:szCs w:val="22"/>
        </w:rPr>
      </w:pPr>
      <w:hyperlink w:anchor="_Toc422927915" w:history="1">
        <w:r w:rsidR="00A65062" w:rsidRPr="002230A7">
          <w:rPr>
            <w:rStyle w:val="Hyperlink"/>
          </w:rPr>
          <w:t>5.3</w:t>
        </w:r>
        <w:r w:rsidR="00A65062">
          <w:rPr>
            <w:rFonts w:asciiTheme="minorHAnsi" w:hAnsiTheme="minorHAnsi" w:cstheme="minorBidi"/>
            <w:sz w:val="22"/>
            <w:szCs w:val="22"/>
          </w:rPr>
          <w:tab/>
        </w:r>
        <w:r w:rsidR="00A65062" w:rsidRPr="002230A7">
          <w:rPr>
            <w:rStyle w:val="Hyperlink"/>
          </w:rPr>
          <w:t>Hydraulic fracturing</w:t>
        </w:r>
        <w:r w:rsidR="00A65062">
          <w:rPr>
            <w:webHidden/>
          </w:rPr>
          <w:tab/>
        </w:r>
        <w:r w:rsidR="00A65062">
          <w:rPr>
            <w:webHidden/>
          </w:rPr>
          <w:fldChar w:fldCharType="begin"/>
        </w:r>
        <w:r w:rsidR="00A65062">
          <w:rPr>
            <w:webHidden/>
          </w:rPr>
          <w:instrText xml:space="preserve"> PAGEREF _Toc422927915 \h </w:instrText>
        </w:r>
        <w:r w:rsidR="00A65062">
          <w:rPr>
            <w:webHidden/>
          </w:rPr>
        </w:r>
        <w:r w:rsidR="00A65062">
          <w:rPr>
            <w:webHidden/>
          </w:rPr>
          <w:fldChar w:fldCharType="separate"/>
        </w:r>
        <w:r w:rsidR="00171A5E">
          <w:rPr>
            <w:webHidden/>
          </w:rPr>
          <w:t>80</w:t>
        </w:r>
        <w:r w:rsidR="00A65062">
          <w:rPr>
            <w:webHidden/>
          </w:rPr>
          <w:fldChar w:fldCharType="end"/>
        </w:r>
      </w:hyperlink>
    </w:p>
    <w:p w14:paraId="1E2A9A5B" w14:textId="77777777" w:rsidR="00A65062" w:rsidRDefault="00367954" w:rsidP="00B85E2E">
      <w:pPr>
        <w:pStyle w:val="TOC2"/>
        <w:rPr>
          <w:rFonts w:asciiTheme="minorHAnsi" w:hAnsiTheme="minorHAnsi" w:cstheme="minorBidi"/>
          <w:sz w:val="22"/>
          <w:szCs w:val="22"/>
        </w:rPr>
      </w:pPr>
      <w:hyperlink w:anchor="_Toc422927916" w:history="1">
        <w:r w:rsidR="00A65062" w:rsidRPr="002230A7">
          <w:rPr>
            <w:rStyle w:val="Hyperlink"/>
          </w:rPr>
          <w:t>5.4</w:t>
        </w:r>
        <w:r w:rsidR="00A65062">
          <w:rPr>
            <w:rFonts w:asciiTheme="minorHAnsi" w:hAnsiTheme="minorHAnsi" w:cstheme="minorBidi"/>
            <w:sz w:val="22"/>
            <w:szCs w:val="22"/>
          </w:rPr>
          <w:tab/>
        </w:r>
        <w:r w:rsidR="00A65062" w:rsidRPr="002230A7">
          <w:rPr>
            <w:rStyle w:val="Hyperlink"/>
          </w:rPr>
          <w:t>Gas development</w:t>
        </w:r>
        <w:r w:rsidR="00A65062">
          <w:rPr>
            <w:webHidden/>
          </w:rPr>
          <w:tab/>
        </w:r>
        <w:r w:rsidR="00A65062">
          <w:rPr>
            <w:webHidden/>
          </w:rPr>
          <w:fldChar w:fldCharType="begin"/>
        </w:r>
        <w:r w:rsidR="00A65062">
          <w:rPr>
            <w:webHidden/>
          </w:rPr>
          <w:instrText xml:space="preserve"> PAGEREF _Toc422927916 \h </w:instrText>
        </w:r>
        <w:r w:rsidR="00A65062">
          <w:rPr>
            <w:webHidden/>
          </w:rPr>
        </w:r>
        <w:r w:rsidR="00A65062">
          <w:rPr>
            <w:webHidden/>
          </w:rPr>
          <w:fldChar w:fldCharType="separate"/>
        </w:r>
        <w:r w:rsidR="00171A5E">
          <w:rPr>
            <w:webHidden/>
          </w:rPr>
          <w:t>81</w:t>
        </w:r>
        <w:r w:rsidR="00A65062">
          <w:rPr>
            <w:webHidden/>
          </w:rPr>
          <w:fldChar w:fldCharType="end"/>
        </w:r>
      </w:hyperlink>
    </w:p>
    <w:p w14:paraId="6370453C" w14:textId="77777777" w:rsidR="00A65062" w:rsidRDefault="00367954" w:rsidP="00B85E2E">
      <w:pPr>
        <w:pStyle w:val="TOC2"/>
        <w:rPr>
          <w:rFonts w:asciiTheme="minorHAnsi" w:hAnsiTheme="minorHAnsi" w:cstheme="minorBidi"/>
          <w:sz w:val="22"/>
          <w:szCs w:val="22"/>
        </w:rPr>
      </w:pPr>
      <w:hyperlink w:anchor="_Toc422927917" w:history="1">
        <w:r w:rsidR="00A65062" w:rsidRPr="002230A7">
          <w:rPr>
            <w:rStyle w:val="Hyperlink"/>
          </w:rPr>
          <w:t>5.5</w:t>
        </w:r>
        <w:r w:rsidR="00A65062">
          <w:rPr>
            <w:rFonts w:asciiTheme="minorHAnsi" w:hAnsiTheme="minorHAnsi" w:cstheme="minorBidi"/>
            <w:sz w:val="22"/>
            <w:szCs w:val="22"/>
          </w:rPr>
          <w:tab/>
        </w:r>
        <w:r w:rsidR="00A65062" w:rsidRPr="002230A7">
          <w:rPr>
            <w:rStyle w:val="Hyperlink"/>
          </w:rPr>
          <w:t>Qualitative risk assessment</w:t>
        </w:r>
        <w:r w:rsidR="00A65062">
          <w:rPr>
            <w:webHidden/>
          </w:rPr>
          <w:tab/>
        </w:r>
        <w:r w:rsidR="00A65062">
          <w:rPr>
            <w:webHidden/>
          </w:rPr>
          <w:fldChar w:fldCharType="begin"/>
        </w:r>
        <w:r w:rsidR="00A65062">
          <w:rPr>
            <w:webHidden/>
          </w:rPr>
          <w:instrText xml:space="preserve"> PAGEREF _Toc422927917 \h </w:instrText>
        </w:r>
        <w:r w:rsidR="00A65062">
          <w:rPr>
            <w:webHidden/>
          </w:rPr>
        </w:r>
        <w:r w:rsidR="00A65062">
          <w:rPr>
            <w:webHidden/>
          </w:rPr>
          <w:fldChar w:fldCharType="separate"/>
        </w:r>
        <w:r w:rsidR="00171A5E">
          <w:rPr>
            <w:webHidden/>
          </w:rPr>
          <w:t>82</w:t>
        </w:r>
        <w:r w:rsidR="00A65062">
          <w:rPr>
            <w:webHidden/>
          </w:rPr>
          <w:fldChar w:fldCharType="end"/>
        </w:r>
      </w:hyperlink>
    </w:p>
    <w:p w14:paraId="651D0721" w14:textId="77777777" w:rsidR="00A65062" w:rsidRDefault="00367954">
      <w:pPr>
        <w:pStyle w:val="TOC1"/>
        <w:rPr>
          <w:rFonts w:asciiTheme="minorHAnsi" w:eastAsiaTheme="minorEastAsia" w:hAnsiTheme="minorHAnsi" w:cstheme="minorBidi"/>
          <w:b w:val="0"/>
          <w:color w:val="auto"/>
          <w:lang w:val="en-AU"/>
        </w:rPr>
      </w:pPr>
      <w:hyperlink w:anchor="_Toc422927918" w:history="1">
        <w:r w:rsidR="00A65062" w:rsidRPr="002230A7">
          <w:rPr>
            <w:rStyle w:val="Hyperlink"/>
          </w:rPr>
          <w:t>6</w:t>
        </w:r>
        <w:r w:rsidR="00A65062">
          <w:rPr>
            <w:rFonts w:asciiTheme="minorHAnsi" w:eastAsiaTheme="minorEastAsia" w:hAnsiTheme="minorHAnsi" w:cstheme="minorBidi"/>
            <w:b w:val="0"/>
            <w:color w:val="auto"/>
            <w:lang w:val="en-AU"/>
          </w:rPr>
          <w:tab/>
        </w:r>
        <w:r w:rsidR="00A65062" w:rsidRPr="002230A7">
          <w:rPr>
            <w:rStyle w:val="Hyperlink"/>
          </w:rPr>
          <w:t>Land subsidence risk assessment</w:t>
        </w:r>
        <w:r w:rsidR="00A65062">
          <w:rPr>
            <w:webHidden/>
          </w:rPr>
          <w:tab/>
        </w:r>
        <w:r w:rsidR="00A65062">
          <w:rPr>
            <w:webHidden/>
          </w:rPr>
          <w:fldChar w:fldCharType="begin"/>
        </w:r>
        <w:r w:rsidR="00A65062">
          <w:rPr>
            <w:webHidden/>
          </w:rPr>
          <w:instrText xml:space="preserve"> PAGEREF _Toc422927918 \h </w:instrText>
        </w:r>
        <w:r w:rsidR="00A65062">
          <w:rPr>
            <w:webHidden/>
          </w:rPr>
        </w:r>
        <w:r w:rsidR="00A65062">
          <w:rPr>
            <w:webHidden/>
          </w:rPr>
          <w:fldChar w:fldCharType="separate"/>
        </w:r>
        <w:r w:rsidR="00171A5E">
          <w:rPr>
            <w:webHidden/>
          </w:rPr>
          <w:t>84</w:t>
        </w:r>
        <w:r w:rsidR="00A65062">
          <w:rPr>
            <w:webHidden/>
          </w:rPr>
          <w:fldChar w:fldCharType="end"/>
        </w:r>
      </w:hyperlink>
    </w:p>
    <w:p w14:paraId="25A77241" w14:textId="77777777" w:rsidR="00A65062" w:rsidRDefault="00367954" w:rsidP="00B85E2E">
      <w:pPr>
        <w:pStyle w:val="TOC2"/>
        <w:rPr>
          <w:rFonts w:asciiTheme="minorHAnsi" w:hAnsiTheme="minorHAnsi" w:cstheme="minorBidi"/>
          <w:sz w:val="22"/>
          <w:szCs w:val="22"/>
        </w:rPr>
      </w:pPr>
      <w:hyperlink w:anchor="_Toc422927919" w:history="1">
        <w:r w:rsidR="00A65062" w:rsidRPr="002230A7">
          <w:rPr>
            <w:rStyle w:val="Hyperlink"/>
          </w:rPr>
          <w:t>6.1</w:t>
        </w:r>
        <w:r w:rsidR="00A65062">
          <w:rPr>
            <w:rFonts w:asciiTheme="minorHAnsi" w:hAnsiTheme="minorHAnsi" w:cstheme="minorBidi"/>
            <w:sz w:val="22"/>
            <w:szCs w:val="22"/>
          </w:rPr>
          <w:tab/>
        </w:r>
        <w:r w:rsidR="00A65062" w:rsidRPr="002230A7">
          <w:rPr>
            <w:rStyle w:val="Hyperlink"/>
          </w:rPr>
          <w:t>Overview</w:t>
        </w:r>
        <w:r w:rsidR="00A65062">
          <w:rPr>
            <w:webHidden/>
          </w:rPr>
          <w:tab/>
        </w:r>
        <w:r w:rsidR="00A65062">
          <w:rPr>
            <w:webHidden/>
          </w:rPr>
          <w:fldChar w:fldCharType="begin"/>
        </w:r>
        <w:r w:rsidR="00A65062">
          <w:rPr>
            <w:webHidden/>
          </w:rPr>
          <w:instrText xml:space="preserve"> PAGEREF _Toc422927919 \h </w:instrText>
        </w:r>
        <w:r w:rsidR="00A65062">
          <w:rPr>
            <w:webHidden/>
          </w:rPr>
        </w:r>
        <w:r w:rsidR="00A65062">
          <w:rPr>
            <w:webHidden/>
          </w:rPr>
          <w:fldChar w:fldCharType="separate"/>
        </w:r>
        <w:r w:rsidR="00171A5E">
          <w:rPr>
            <w:webHidden/>
          </w:rPr>
          <w:t>84</w:t>
        </w:r>
        <w:r w:rsidR="00A65062">
          <w:rPr>
            <w:webHidden/>
          </w:rPr>
          <w:fldChar w:fldCharType="end"/>
        </w:r>
      </w:hyperlink>
    </w:p>
    <w:p w14:paraId="23D6E55B" w14:textId="77777777" w:rsidR="00A65062" w:rsidRDefault="00367954" w:rsidP="00B85E2E">
      <w:pPr>
        <w:pStyle w:val="TOC2"/>
        <w:rPr>
          <w:rFonts w:asciiTheme="minorHAnsi" w:hAnsiTheme="minorHAnsi" w:cstheme="minorBidi"/>
          <w:sz w:val="22"/>
          <w:szCs w:val="22"/>
        </w:rPr>
      </w:pPr>
      <w:hyperlink w:anchor="_Toc422927920" w:history="1">
        <w:r w:rsidR="00A65062" w:rsidRPr="002230A7">
          <w:rPr>
            <w:rStyle w:val="Hyperlink"/>
          </w:rPr>
          <w:t>6.2</w:t>
        </w:r>
        <w:r w:rsidR="00A65062">
          <w:rPr>
            <w:rFonts w:asciiTheme="minorHAnsi" w:hAnsiTheme="minorHAnsi" w:cstheme="minorBidi"/>
            <w:sz w:val="22"/>
            <w:szCs w:val="22"/>
          </w:rPr>
          <w:tab/>
        </w:r>
        <w:r w:rsidR="00A65062" w:rsidRPr="002230A7">
          <w:rPr>
            <w:rStyle w:val="Hyperlink"/>
          </w:rPr>
          <w:t>Summary of subsidence processes</w:t>
        </w:r>
        <w:r w:rsidR="00A65062">
          <w:rPr>
            <w:webHidden/>
          </w:rPr>
          <w:tab/>
        </w:r>
        <w:r w:rsidR="00A65062">
          <w:rPr>
            <w:webHidden/>
          </w:rPr>
          <w:fldChar w:fldCharType="begin"/>
        </w:r>
        <w:r w:rsidR="00A65062">
          <w:rPr>
            <w:webHidden/>
          </w:rPr>
          <w:instrText xml:space="preserve"> PAGEREF _Toc422927920 \h </w:instrText>
        </w:r>
        <w:r w:rsidR="00A65062">
          <w:rPr>
            <w:webHidden/>
          </w:rPr>
        </w:r>
        <w:r w:rsidR="00A65062">
          <w:rPr>
            <w:webHidden/>
          </w:rPr>
          <w:fldChar w:fldCharType="separate"/>
        </w:r>
        <w:r w:rsidR="00171A5E">
          <w:rPr>
            <w:webHidden/>
          </w:rPr>
          <w:t>84</w:t>
        </w:r>
        <w:r w:rsidR="00A65062">
          <w:rPr>
            <w:webHidden/>
          </w:rPr>
          <w:fldChar w:fldCharType="end"/>
        </w:r>
      </w:hyperlink>
    </w:p>
    <w:p w14:paraId="0629A150" w14:textId="77777777" w:rsidR="00A65062" w:rsidRDefault="00367954" w:rsidP="00B85E2E">
      <w:pPr>
        <w:pStyle w:val="TOC2"/>
        <w:rPr>
          <w:rFonts w:asciiTheme="minorHAnsi" w:hAnsiTheme="minorHAnsi" w:cstheme="minorBidi"/>
          <w:sz w:val="22"/>
          <w:szCs w:val="22"/>
        </w:rPr>
      </w:pPr>
      <w:hyperlink w:anchor="_Toc422927921" w:history="1">
        <w:r w:rsidR="00A65062" w:rsidRPr="002230A7">
          <w:rPr>
            <w:rStyle w:val="Hyperlink"/>
          </w:rPr>
          <w:t>6.3</w:t>
        </w:r>
        <w:r w:rsidR="00A65062">
          <w:rPr>
            <w:rFonts w:asciiTheme="minorHAnsi" w:hAnsiTheme="minorHAnsi" w:cstheme="minorBidi"/>
            <w:sz w:val="22"/>
            <w:szCs w:val="22"/>
          </w:rPr>
          <w:tab/>
        </w:r>
        <w:r w:rsidR="00A65062" w:rsidRPr="002230A7">
          <w:rPr>
            <w:rStyle w:val="Hyperlink"/>
          </w:rPr>
          <w:t>Summary of subsidence processes</w:t>
        </w:r>
        <w:r w:rsidR="00A65062">
          <w:rPr>
            <w:webHidden/>
          </w:rPr>
          <w:tab/>
        </w:r>
        <w:r w:rsidR="00A65062">
          <w:rPr>
            <w:webHidden/>
          </w:rPr>
          <w:fldChar w:fldCharType="begin"/>
        </w:r>
        <w:r w:rsidR="00A65062">
          <w:rPr>
            <w:webHidden/>
          </w:rPr>
          <w:instrText xml:space="preserve"> PAGEREF _Toc422927921 \h </w:instrText>
        </w:r>
        <w:r w:rsidR="00A65062">
          <w:rPr>
            <w:webHidden/>
          </w:rPr>
        </w:r>
        <w:r w:rsidR="00A65062">
          <w:rPr>
            <w:webHidden/>
          </w:rPr>
          <w:fldChar w:fldCharType="separate"/>
        </w:r>
        <w:r w:rsidR="00171A5E">
          <w:rPr>
            <w:webHidden/>
          </w:rPr>
          <w:t>84</w:t>
        </w:r>
        <w:r w:rsidR="00A65062">
          <w:rPr>
            <w:webHidden/>
          </w:rPr>
          <w:fldChar w:fldCharType="end"/>
        </w:r>
      </w:hyperlink>
    </w:p>
    <w:p w14:paraId="061E37F5" w14:textId="77777777" w:rsidR="00A65062" w:rsidRDefault="00367954" w:rsidP="00B85E2E">
      <w:pPr>
        <w:pStyle w:val="TOC2"/>
        <w:rPr>
          <w:rFonts w:asciiTheme="minorHAnsi" w:hAnsiTheme="minorHAnsi" w:cstheme="minorBidi"/>
          <w:sz w:val="22"/>
          <w:szCs w:val="22"/>
        </w:rPr>
      </w:pPr>
      <w:hyperlink w:anchor="_Toc422927922" w:history="1">
        <w:r w:rsidR="00A65062" w:rsidRPr="002230A7">
          <w:rPr>
            <w:rStyle w:val="Hyperlink"/>
          </w:rPr>
          <w:t>6.4</w:t>
        </w:r>
        <w:r w:rsidR="00A65062">
          <w:rPr>
            <w:rFonts w:asciiTheme="minorHAnsi" w:hAnsiTheme="minorHAnsi" w:cstheme="minorBidi"/>
            <w:sz w:val="22"/>
            <w:szCs w:val="22"/>
          </w:rPr>
          <w:tab/>
        </w:r>
        <w:r w:rsidR="00A65062" w:rsidRPr="002230A7">
          <w:rPr>
            <w:rStyle w:val="Hyperlink"/>
          </w:rPr>
          <w:t>Qualitative risk assessment</w:t>
        </w:r>
        <w:r w:rsidR="00A65062">
          <w:rPr>
            <w:webHidden/>
          </w:rPr>
          <w:tab/>
        </w:r>
        <w:r w:rsidR="00A65062">
          <w:rPr>
            <w:webHidden/>
          </w:rPr>
          <w:fldChar w:fldCharType="begin"/>
        </w:r>
        <w:r w:rsidR="00A65062">
          <w:rPr>
            <w:webHidden/>
          </w:rPr>
          <w:instrText xml:space="preserve"> PAGEREF _Toc422927922 \h </w:instrText>
        </w:r>
        <w:r w:rsidR="00A65062">
          <w:rPr>
            <w:webHidden/>
          </w:rPr>
        </w:r>
        <w:r w:rsidR="00A65062">
          <w:rPr>
            <w:webHidden/>
          </w:rPr>
          <w:fldChar w:fldCharType="separate"/>
        </w:r>
        <w:r w:rsidR="00171A5E">
          <w:rPr>
            <w:webHidden/>
          </w:rPr>
          <w:t>86</w:t>
        </w:r>
        <w:r w:rsidR="00A65062">
          <w:rPr>
            <w:webHidden/>
          </w:rPr>
          <w:fldChar w:fldCharType="end"/>
        </w:r>
      </w:hyperlink>
    </w:p>
    <w:p w14:paraId="505566D4" w14:textId="77777777" w:rsidR="00A65062" w:rsidRDefault="00367954" w:rsidP="00B85E2E">
      <w:pPr>
        <w:pStyle w:val="TOC2"/>
        <w:rPr>
          <w:rFonts w:asciiTheme="minorHAnsi" w:hAnsiTheme="minorHAnsi" w:cstheme="minorBidi"/>
          <w:sz w:val="22"/>
          <w:szCs w:val="22"/>
        </w:rPr>
      </w:pPr>
      <w:hyperlink w:anchor="_Toc422927923" w:history="1">
        <w:r w:rsidR="00A65062" w:rsidRPr="002230A7">
          <w:rPr>
            <w:rStyle w:val="Hyperlink"/>
          </w:rPr>
          <w:t>6.5</w:t>
        </w:r>
        <w:r w:rsidR="00A65062">
          <w:rPr>
            <w:rFonts w:asciiTheme="minorHAnsi" w:hAnsiTheme="minorHAnsi" w:cstheme="minorBidi"/>
            <w:sz w:val="22"/>
            <w:szCs w:val="22"/>
          </w:rPr>
          <w:tab/>
        </w:r>
        <w:r w:rsidR="00A65062" w:rsidRPr="002230A7">
          <w:rPr>
            <w:rStyle w:val="Hyperlink"/>
          </w:rPr>
          <w:t>Summary</w:t>
        </w:r>
        <w:r w:rsidR="00A65062">
          <w:rPr>
            <w:webHidden/>
          </w:rPr>
          <w:tab/>
        </w:r>
        <w:r w:rsidR="00A65062">
          <w:rPr>
            <w:webHidden/>
          </w:rPr>
          <w:fldChar w:fldCharType="begin"/>
        </w:r>
        <w:r w:rsidR="00A65062">
          <w:rPr>
            <w:webHidden/>
          </w:rPr>
          <w:instrText xml:space="preserve"> PAGEREF _Toc422927923 \h </w:instrText>
        </w:r>
        <w:r w:rsidR="00A65062">
          <w:rPr>
            <w:webHidden/>
          </w:rPr>
        </w:r>
        <w:r w:rsidR="00A65062">
          <w:rPr>
            <w:webHidden/>
          </w:rPr>
          <w:fldChar w:fldCharType="separate"/>
        </w:r>
        <w:r w:rsidR="00171A5E">
          <w:rPr>
            <w:webHidden/>
          </w:rPr>
          <w:t>87</w:t>
        </w:r>
        <w:r w:rsidR="00A65062">
          <w:rPr>
            <w:webHidden/>
          </w:rPr>
          <w:fldChar w:fldCharType="end"/>
        </w:r>
      </w:hyperlink>
    </w:p>
    <w:p w14:paraId="7756AF06" w14:textId="77777777" w:rsidR="00A65062" w:rsidRDefault="00367954">
      <w:pPr>
        <w:pStyle w:val="TOC1"/>
        <w:rPr>
          <w:rFonts w:asciiTheme="minorHAnsi" w:eastAsiaTheme="minorEastAsia" w:hAnsiTheme="minorHAnsi" w:cstheme="minorBidi"/>
          <w:b w:val="0"/>
          <w:color w:val="auto"/>
          <w:lang w:val="en-AU"/>
        </w:rPr>
      </w:pPr>
      <w:hyperlink w:anchor="_Toc422927924" w:history="1">
        <w:r w:rsidR="00A65062" w:rsidRPr="002230A7">
          <w:rPr>
            <w:rStyle w:val="Hyperlink"/>
          </w:rPr>
          <w:t>7</w:t>
        </w:r>
        <w:r w:rsidR="00A65062">
          <w:rPr>
            <w:rFonts w:asciiTheme="minorHAnsi" w:eastAsiaTheme="minorEastAsia" w:hAnsiTheme="minorHAnsi" w:cstheme="minorBidi"/>
            <w:b w:val="0"/>
            <w:color w:val="auto"/>
            <w:lang w:val="en-AU"/>
          </w:rPr>
          <w:tab/>
        </w:r>
        <w:r w:rsidR="00A65062" w:rsidRPr="002230A7">
          <w:rPr>
            <w:rStyle w:val="Hyperlink"/>
          </w:rPr>
          <w:t>Conclusions</w:t>
        </w:r>
        <w:r w:rsidR="00A65062">
          <w:rPr>
            <w:webHidden/>
          </w:rPr>
          <w:tab/>
        </w:r>
        <w:r w:rsidR="00A65062">
          <w:rPr>
            <w:webHidden/>
          </w:rPr>
          <w:fldChar w:fldCharType="begin"/>
        </w:r>
        <w:r w:rsidR="00A65062">
          <w:rPr>
            <w:webHidden/>
          </w:rPr>
          <w:instrText xml:space="preserve"> PAGEREF _Toc422927924 \h </w:instrText>
        </w:r>
        <w:r w:rsidR="00A65062">
          <w:rPr>
            <w:webHidden/>
          </w:rPr>
        </w:r>
        <w:r w:rsidR="00A65062">
          <w:rPr>
            <w:webHidden/>
          </w:rPr>
          <w:fldChar w:fldCharType="separate"/>
        </w:r>
        <w:r w:rsidR="00171A5E">
          <w:rPr>
            <w:webHidden/>
          </w:rPr>
          <w:t>88</w:t>
        </w:r>
        <w:r w:rsidR="00A65062">
          <w:rPr>
            <w:webHidden/>
          </w:rPr>
          <w:fldChar w:fldCharType="end"/>
        </w:r>
      </w:hyperlink>
    </w:p>
    <w:p w14:paraId="53857B7B" w14:textId="77777777" w:rsidR="00A65062" w:rsidRDefault="00367954" w:rsidP="00B85E2E">
      <w:pPr>
        <w:pStyle w:val="TOC2"/>
        <w:rPr>
          <w:rFonts w:asciiTheme="minorHAnsi" w:hAnsiTheme="minorHAnsi" w:cstheme="minorBidi"/>
          <w:sz w:val="22"/>
          <w:szCs w:val="22"/>
        </w:rPr>
      </w:pPr>
      <w:hyperlink w:anchor="_Toc422927925" w:history="1">
        <w:r w:rsidR="00A65062" w:rsidRPr="002230A7">
          <w:rPr>
            <w:rStyle w:val="Hyperlink"/>
          </w:rPr>
          <w:t>7.1</w:t>
        </w:r>
        <w:r w:rsidR="00A65062">
          <w:rPr>
            <w:rFonts w:asciiTheme="minorHAnsi" w:hAnsiTheme="minorHAnsi" w:cstheme="minorBidi"/>
            <w:sz w:val="22"/>
            <w:szCs w:val="22"/>
          </w:rPr>
          <w:tab/>
        </w:r>
        <w:r w:rsidR="00A65062" w:rsidRPr="002230A7">
          <w:rPr>
            <w:rStyle w:val="Hyperlink"/>
          </w:rPr>
          <w:t>Aquifer depressurisation</w:t>
        </w:r>
        <w:r w:rsidR="00A65062">
          <w:rPr>
            <w:webHidden/>
          </w:rPr>
          <w:tab/>
        </w:r>
        <w:r w:rsidR="00A65062">
          <w:rPr>
            <w:webHidden/>
          </w:rPr>
          <w:fldChar w:fldCharType="begin"/>
        </w:r>
        <w:r w:rsidR="00A65062">
          <w:rPr>
            <w:webHidden/>
          </w:rPr>
          <w:instrText xml:space="preserve"> PAGEREF _Toc422927925 \h </w:instrText>
        </w:r>
        <w:r w:rsidR="00A65062">
          <w:rPr>
            <w:webHidden/>
          </w:rPr>
        </w:r>
        <w:r w:rsidR="00A65062">
          <w:rPr>
            <w:webHidden/>
          </w:rPr>
          <w:fldChar w:fldCharType="separate"/>
        </w:r>
        <w:r w:rsidR="00171A5E">
          <w:rPr>
            <w:webHidden/>
          </w:rPr>
          <w:t>88</w:t>
        </w:r>
        <w:r w:rsidR="00A65062">
          <w:rPr>
            <w:webHidden/>
          </w:rPr>
          <w:fldChar w:fldCharType="end"/>
        </w:r>
      </w:hyperlink>
    </w:p>
    <w:p w14:paraId="42DEF2BA" w14:textId="77777777" w:rsidR="00A65062" w:rsidRDefault="00367954" w:rsidP="00B85E2E">
      <w:pPr>
        <w:pStyle w:val="TOC2"/>
        <w:rPr>
          <w:rFonts w:asciiTheme="minorHAnsi" w:hAnsiTheme="minorHAnsi" w:cstheme="minorBidi"/>
          <w:sz w:val="22"/>
          <w:szCs w:val="22"/>
        </w:rPr>
      </w:pPr>
      <w:hyperlink w:anchor="_Toc422927926" w:history="1">
        <w:r w:rsidR="00A65062" w:rsidRPr="002230A7">
          <w:rPr>
            <w:rStyle w:val="Hyperlink"/>
          </w:rPr>
          <w:t>7.2</w:t>
        </w:r>
        <w:r w:rsidR="00A65062">
          <w:rPr>
            <w:rFonts w:asciiTheme="minorHAnsi" w:hAnsiTheme="minorHAnsi" w:cstheme="minorBidi"/>
            <w:sz w:val="22"/>
            <w:szCs w:val="22"/>
          </w:rPr>
          <w:tab/>
        </w:r>
        <w:r w:rsidR="00A65062" w:rsidRPr="002230A7">
          <w:rPr>
            <w:rStyle w:val="Hyperlink"/>
          </w:rPr>
          <w:t>Chemical contamination of groundwater from hydraulic fracturing fluids</w:t>
        </w:r>
        <w:r w:rsidR="00A65062">
          <w:rPr>
            <w:webHidden/>
          </w:rPr>
          <w:tab/>
        </w:r>
        <w:r w:rsidR="00A65062">
          <w:rPr>
            <w:webHidden/>
          </w:rPr>
          <w:fldChar w:fldCharType="begin"/>
        </w:r>
        <w:r w:rsidR="00A65062">
          <w:rPr>
            <w:webHidden/>
          </w:rPr>
          <w:instrText xml:space="preserve"> PAGEREF _Toc422927926 \h </w:instrText>
        </w:r>
        <w:r w:rsidR="00A65062">
          <w:rPr>
            <w:webHidden/>
          </w:rPr>
        </w:r>
        <w:r w:rsidR="00A65062">
          <w:rPr>
            <w:webHidden/>
          </w:rPr>
          <w:fldChar w:fldCharType="separate"/>
        </w:r>
        <w:r w:rsidR="00171A5E">
          <w:rPr>
            <w:webHidden/>
          </w:rPr>
          <w:t>88</w:t>
        </w:r>
        <w:r w:rsidR="00A65062">
          <w:rPr>
            <w:webHidden/>
          </w:rPr>
          <w:fldChar w:fldCharType="end"/>
        </w:r>
      </w:hyperlink>
    </w:p>
    <w:p w14:paraId="7E12A9A0" w14:textId="77777777" w:rsidR="00A65062" w:rsidRDefault="00367954" w:rsidP="00B85E2E">
      <w:pPr>
        <w:pStyle w:val="TOC2"/>
        <w:rPr>
          <w:rFonts w:asciiTheme="minorHAnsi" w:hAnsiTheme="minorHAnsi" w:cstheme="minorBidi"/>
          <w:sz w:val="22"/>
          <w:szCs w:val="22"/>
        </w:rPr>
      </w:pPr>
      <w:hyperlink w:anchor="_Toc422927927" w:history="1">
        <w:r w:rsidR="00A65062" w:rsidRPr="002230A7">
          <w:rPr>
            <w:rStyle w:val="Hyperlink"/>
          </w:rPr>
          <w:t>7.3</w:t>
        </w:r>
        <w:r w:rsidR="00A65062">
          <w:rPr>
            <w:rFonts w:asciiTheme="minorHAnsi" w:hAnsiTheme="minorHAnsi" w:cstheme="minorBidi"/>
            <w:sz w:val="22"/>
            <w:szCs w:val="22"/>
          </w:rPr>
          <w:tab/>
        </w:r>
        <w:r w:rsidR="00A65062" w:rsidRPr="002230A7">
          <w:rPr>
            <w:rStyle w:val="Hyperlink"/>
          </w:rPr>
          <w:t>Induced seismicity</w:t>
        </w:r>
        <w:r w:rsidR="00A65062">
          <w:rPr>
            <w:webHidden/>
          </w:rPr>
          <w:tab/>
        </w:r>
        <w:r w:rsidR="00A65062">
          <w:rPr>
            <w:webHidden/>
          </w:rPr>
          <w:fldChar w:fldCharType="begin"/>
        </w:r>
        <w:r w:rsidR="00A65062">
          <w:rPr>
            <w:webHidden/>
          </w:rPr>
          <w:instrText xml:space="preserve"> PAGEREF _Toc422927927 \h </w:instrText>
        </w:r>
        <w:r w:rsidR="00A65062">
          <w:rPr>
            <w:webHidden/>
          </w:rPr>
        </w:r>
        <w:r w:rsidR="00A65062">
          <w:rPr>
            <w:webHidden/>
          </w:rPr>
          <w:fldChar w:fldCharType="separate"/>
        </w:r>
        <w:r w:rsidR="00171A5E">
          <w:rPr>
            <w:webHidden/>
          </w:rPr>
          <w:t>89</w:t>
        </w:r>
        <w:r w:rsidR="00A65062">
          <w:rPr>
            <w:webHidden/>
          </w:rPr>
          <w:fldChar w:fldCharType="end"/>
        </w:r>
      </w:hyperlink>
    </w:p>
    <w:p w14:paraId="2D025A15" w14:textId="77777777" w:rsidR="00A65062" w:rsidRDefault="00367954" w:rsidP="00B85E2E">
      <w:pPr>
        <w:pStyle w:val="TOC2"/>
        <w:rPr>
          <w:rFonts w:asciiTheme="minorHAnsi" w:hAnsiTheme="minorHAnsi" w:cstheme="minorBidi"/>
          <w:sz w:val="22"/>
          <w:szCs w:val="22"/>
        </w:rPr>
      </w:pPr>
      <w:hyperlink w:anchor="_Toc422927928" w:history="1">
        <w:r w:rsidR="00A65062" w:rsidRPr="002230A7">
          <w:rPr>
            <w:rStyle w:val="Hyperlink"/>
          </w:rPr>
          <w:t>7.4</w:t>
        </w:r>
        <w:r w:rsidR="00A65062">
          <w:rPr>
            <w:rFonts w:asciiTheme="minorHAnsi" w:hAnsiTheme="minorHAnsi" w:cstheme="minorBidi"/>
            <w:sz w:val="22"/>
            <w:szCs w:val="22"/>
          </w:rPr>
          <w:tab/>
        </w:r>
        <w:r w:rsidR="00A65062" w:rsidRPr="002230A7">
          <w:rPr>
            <w:rStyle w:val="Hyperlink"/>
          </w:rPr>
          <w:t>Land subsidence</w:t>
        </w:r>
        <w:r w:rsidR="00A65062">
          <w:rPr>
            <w:webHidden/>
          </w:rPr>
          <w:tab/>
        </w:r>
        <w:r w:rsidR="00A65062">
          <w:rPr>
            <w:webHidden/>
          </w:rPr>
          <w:fldChar w:fldCharType="begin"/>
        </w:r>
        <w:r w:rsidR="00A65062">
          <w:rPr>
            <w:webHidden/>
          </w:rPr>
          <w:instrText xml:space="preserve"> PAGEREF _Toc422927928 \h </w:instrText>
        </w:r>
        <w:r w:rsidR="00A65062">
          <w:rPr>
            <w:webHidden/>
          </w:rPr>
        </w:r>
        <w:r w:rsidR="00A65062">
          <w:rPr>
            <w:webHidden/>
          </w:rPr>
          <w:fldChar w:fldCharType="separate"/>
        </w:r>
        <w:r w:rsidR="00171A5E">
          <w:rPr>
            <w:webHidden/>
          </w:rPr>
          <w:t>89</w:t>
        </w:r>
        <w:r w:rsidR="00A65062">
          <w:rPr>
            <w:webHidden/>
          </w:rPr>
          <w:fldChar w:fldCharType="end"/>
        </w:r>
      </w:hyperlink>
    </w:p>
    <w:p w14:paraId="4E46B451" w14:textId="77777777" w:rsidR="00A65062" w:rsidRDefault="00367954" w:rsidP="00B85E2E">
      <w:pPr>
        <w:pStyle w:val="TOC2"/>
        <w:rPr>
          <w:rFonts w:asciiTheme="minorHAnsi" w:hAnsiTheme="minorHAnsi" w:cstheme="minorBidi"/>
          <w:sz w:val="22"/>
          <w:szCs w:val="22"/>
        </w:rPr>
      </w:pPr>
      <w:hyperlink w:anchor="_Toc422927929" w:history="1">
        <w:r w:rsidR="00A65062" w:rsidRPr="002230A7">
          <w:rPr>
            <w:rStyle w:val="Hyperlink"/>
          </w:rPr>
          <w:t>7.5</w:t>
        </w:r>
        <w:r w:rsidR="00A65062">
          <w:rPr>
            <w:rFonts w:asciiTheme="minorHAnsi" w:hAnsiTheme="minorHAnsi" w:cstheme="minorBidi"/>
            <w:sz w:val="22"/>
            <w:szCs w:val="22"/>
          </w:rPr>
          <w:tab/>
        </w:r>
        <w:r w:rsidR="00A65062" w:rsidRPr="002230A7">
          <w:rPr>
            <w:rStyle w:val="Hyperlink"/>
          </w:rPr>
          <w:t>Summary of potential impacts</w:t>
        </w:r>
        <w:r w:rsidR="00A65062">
          <w:rPr>
            <w:webHidden/>
          </w:rPr>
          <w:tab/>
        </w:r>
        <w:r w:rsidR="00A65062">
          <w:rPr>
            <w:webHidden/>
          </w:rPr>
          <w:fldChar w:fldCharType="begin"/>
        </w:r>
        <w:r w:rsidR="00A65062">
          <w:rPr>
            <w:webHidden/>
          </w:rPr>
          <w:instrText xml:space="preserve"> PAGEREF _Toc422927929 \h </w:instrText>
        </w:r>
        <w:r w:rsidR="00A65062">
          <w:rPr>
            <w:webHidden/>
          </w:rPr>
        </w:r>
        <w:r w:rsidR="00A65062">
          <w:rPr>
            <w:webHidden/>
          </w:rPr>
          <w:fldChar w:fldCharType="separate"/>
        </w:r>
        <w:r w:rsidR="00171A5E">
          <w:rPr>
            <w:webHidden/>
          </w:rPr>
          <w:t>90</w:t>
        </w:r>
        <w:r w:rsidR="00A65062">
          <w:rPr>
            <w:webHidden/>
          </w:rPr>
          <w:fldChar w:fldCharType="end"/>
        </w:r>
      </w:hyperlink>
    </w:p>
    <w:p w14:paraId="0980555B" w14:textId="77777777" w:rsidR="00A65062" w:rsidRDefault="00367954" w:rsidP="00B85E2E">
      <w:pPr>
        <w:pStyle w:val="TOC2"/>
        <w:rPr>
          <w:rFonts w:asciiTheme="minorHAnsi" w:hAnsiTheme="minorHAnsi" w:cstheme="minorBidi"/>
          <w:sz w:val="22"/>
          <w:szCs w:val="22"/>
        </w:rPr>
      </w:pPr>
      <w:hyperlink w:anchor="_Toc422927930" w:history="1">
        <w:r w:rsidR="00A65062" w:rsidRPr="002230A7">
          <w:rPr>
            <w:rStyle w:val="Hyperlink"/>
          </w:rPr>
          <w:t>7.6</w:t>
        </w:r>
        <w:r w:rsidR="00A65062">
          <w:rPr>
            <w:rFonts w:asciiTheme="minorHAnsi" w:hAnsiTheme="minorHAnsi" w:cstheme="minorBidi"/>
            <w:sz w:val="22"/>
            <w:szCs w:val="22"/>
          </w:rPr>
          <w:tab/>
        </w:r>
        <w:r w:rsidR="00A65062" w:rsidRPr="002230A7">
          <w:rPr>
            <w:rStyle w:val="Hyperlink"/>
          </w:rPr>
          <w:t>Gaps and uncertainty</w:t>
        </w:r>
        <w:r w:rsidR="00A65062">
          <w:rPr>
            <w:webHidden/>
          </w:rPr>
          <w:tab/>
        </w:r>
        <w:r w:rsidR="00A65062">
          <w:rPr>
            <w:webHidden/>
          </w:rPr>
          <w:fldChar w:fldCharType="begin"/>
        </w:r>
        <w:r w:rsidR="00A65062">
          <w:rPr>
            <w:webHidden/>
          </w:rPr>
          <w:instrText xml:space="preserve"> PAGEREF _Toc422927930 \h </w:instrText>
        </w:r>
        <w:r w:rsidR="00A65062">
          <w:rPr>
            <w:webHidden/>
          </w:rPr>
        </w:r>
        <w:r w:rsidR="00A65062">
          <w:rPr>
            <w:webHidden/>
          </w:rPr>
          <w:fldChar w:fldCharType="separate"/>
        </w:r>
        <w:r w:rsidR="00171A5E">
          <w:rPr>
            <w:webHidden/>
          </w:rPr>
          <w:t>91</w:t>
        </w:r>
        <w:r w:rsidR="00A65062">
          <w:rPr>
            <w:webHidden/>
          </w:rPr>
          <w:fldChar w:fldCharType="end"/>
        </w:r>
      </w:hyperlink>
    </w:p>
    <w:p w14:paraId="1B5733F1" w14:textId="39DC46E1" w:rsidR="00A65062" w:rsidRDefault="00367954" w:rsidP="00705681">
      <w:pPr>
        <w:pStyle w:val="TOC1"/>
        <w:tabs>
          <w:tab w:val="clear" w:pos="1560"/>
          <w:tab w:val="left" w:pos="1276"/>
        </w:tabs>
        <w:rPr>
          <w:rFonts w:asciiTheme="minorHAnsi" w:eastAsiaTheme="minorEastAsia" w:hAnsiTheme="minorHAnsi" w:cstheme="minorBidi"/>
          <w:b w:val="0"/>
          <w:color w:val="auto"/>
          <w:lang w:val="en-AU"/>
        </w:rPr>
      </w:pPr>
      <w:hyperlink w:anchor="_Toc422927931" w:history="1">
        <w:r w:rsidR="00A65062" w:rsidRPr="002230A7">
          <w:rPr>
            <w:rStyle w:val="Hyperlink"/>
          </w:rPr>
          <w:t>References</w:t>
        </w:r>
        <w:r w:rsidR="00EC1C1F">
          <w:rPr>
            <w:rStyle w:val="Hyperlink"/>
          </w:rPr>
          <w:tab/>
        </w:r>
        <w:r w:rsidR="00A65062">
          <w:rPr>
            <w:webHidden/>
          </w:rPr>
          <w:tab/>
        </w:r>
        <w:r w:rsidR="00A65062">
          <w:rPr>
            <w:webHidden/>
          </w:rPr>
          <w:fldChar w:fldCharType="begin"/>
        </w:r>
        <w:r w:rsidR="00A65062">
          <w:rPr>
            <w:webHidden/>
          </w:rPr>
          <w:instrText xml:space="preserve"> PAGEREF _Toc422927931 \h </w:instrText>
        </w:r>
        <w:r w:rsidR="00A65062">
          <w:rPr>
            <w:webHidden/>
          </w:rPr>
        </w:r>
        <w:r w:rsidR="00A65062">
          <w:rPr>
            <w:webHidden/>
          </w:rPr>
          <w:fldChar w:fldCharType="separate"/>
        </w:r>
        <w:r w:rsidR="00171A5E">
          <w:rPr>
            <w:webHidden/>
          </w:rPr>
          <w:t>93</w:t>
        </w:r>
        <w:r w:rsidR="00A65062">
          <w:rPr>
            <w:webHidden/>
          </w:rPr>
          <w:fldChar w:fldCharType="end"/>
        </w:r>
      </w:hyperlink>
    </w:p>
    <w:p w14:paraId="7B705AA5" w14:textId="77777777" w:rsidR="00A65062" w:rsidRDefault="00367954">
      <w:pPr>
        <w:pStyle w:val="TOC1"/>
        <w:rPr>
          <w:rFonts w:asciiTheme="minorHAnsi" w:eastAsiaTheme="minorEastAsia" w:hAnsiTheme="minorHAnsi" w:cstheme="minorBidi"/>
          <w:b w:val="0"/>
          <w:color w:val="auto"/>
          <w:lang w:val="en-AU"/>
        </w:rPr>
      </w:pPr>
      <w:hyperlink w:anchor="_Toc422927932" w:history="1">
        <w:r w:rsidR="00A65062" w:rsidRPr="002230A7">
          <w:rPr>
            <w:rStyle w:val="Hyperlink"/>
          </w:rPr>
          <w:t>Appendix A: Literature review on risk assessment frameworks for onshore gas</w:t>
        </w:r>
        <w:r w:rsidR="00A65062">
          <w:rPr>
            <w:webHidden/>
          </w:rPr>
          <w:tab/>
        </w:r>
        <w:r w:rsidR="00A65062">
          <w:rPr>
            <w:webHidden/>
          </w:rPr>
          <w:fldChar w:fldCharType="begin"/>
        </w:r>
        <w:r w:rsidR="00A65062">
          <w:rPr>
            <w:webHidden/>
          </w:rPr>
          <w:instrText xml:space="preserve"> PAGEREF _Toc422927932 \h </w:instrText>
        </w:r>
        <w:r w:rsidR="00A65062">
          <w:rPr>
            <w:webHidden/>
          </w:rPr>
        </w:r>
        <w:r w:rsidR="00A65062">
          <w:rPr>
            <w:webHidden/>
          </w:rPr>
          <w:fldChar w:fldCharType="separate"/>
        </w:r>
        <w:r w:rsidR="00171A5E">
          <w:rPr>
            <w:webHidden/>
          </w:rPr>
          <w:t>98</w:t>
        </w:r>
        <w:r w:rsidR="00A65062">
          <w:rPr>
            <w:webHidden/>
          </w:rPr>
          <w:fldChar w:fldCharType="end"/>
        </w:r>
      </w:hyperlink>
    </w:p>
    <w:p w14:paraId="205271B1" w14:textId="77777777" w:rsidR="00A65062" w:rsidRDefault="00367954">
      <w:pPr>
        <w:pStyle w:val="TOC1"/>
        <w:rPr>
          <w:rFonts w:asciiTheme="minorHAnsi" w:eastAsiaTheme="minorEastAsia" w:hAnsiTheme="minorHAnsi" w:cstheme="minorBidi"/>
          <w:b w:val="0"/>
          <w:color w:val="auto"/>
          <w:lang w:val="en-AU"/>
        </w:rPr>
      </w:pPr>
      <w:hyperlink w:anchor="_Toc422927933" w:history="1">
        <w:r w:rsidR="00A65062" w:rsidRPr="002230A7">
          <w:rPr>
            <w:rStyle w:val="Hyperlink"/>
          </w:rPr>
          <w:t>Appendix B: Otway region assessment method</w:t>
        </w:r>
        <w:r w:rsidR="00A65062">
          <w:rPr>
            <w:webHidden/>
          </w:rPr>
          <w:tab/>
        </w:r>
        <w:r w:rsidR="00A65062">
          <w:rPr>
            <w:webHidden/>
          </w:rPr>
          <w:fldChar w:fldCharType="begin"/>
        </w:r>
        <w:r w:rsidR="00A65062">
          <w:rPr>
            <w:webHidden/>
          </w:rPr>
          <w:instrText xml:space="preserve"> PAGEREF _Toc422927933 \h </w:instrText>
        </w:r>
        <w:r w:rsidR="00A65062">
          <w:rPr>
            <w:webHidden/>
          </w:rPr>
        </w:r>
        <w:r w:rsidR="00A65062">
          <w:rPr>
            <w:webHidden/>
          </w:rPr>
          <w:fldChar w:fldCharType="separate"/>
        </w:r>
        <w:r w:rsidR="00171A5E">
          <w:rPr>
            <w:webHidden/>
          </w:rPr>
          <w:t>164</w:t>
        </w:r>
        <w:r w:rsidR="00A65062">
          <w:rPr>
            <w:webHidden/>
          </w:rPr>
          <w:fldChar w:fldCharType="end"/>
        </w:r>
      </w:hyperlink>
    </w:p>
    <w:p w14:paraId="15E04F9F" w14:textId="77777777" w:rsidR="00A65062" w:rsidRDefault="00367954">
      <w:pPr>
        <w:pStyle w:val="TOC1"/>
        <w:rPr>
          <w:rFonts w:asciiTheme="minorHAnsi" w:eastAsiaTheme="minorEastAsia" w:hAnsiTheme="minorHAnsi" w:cstheme="minorBidi"/>
          <w:b w:val="0"/>
          <w:color w:val="auto"/>
          <w:lang w:val="en-AU"/>
        </w:rPr>
      </w:pPr>
      <w:hyperlink w:anchor="_Toc422927934" w:history="1">
        <w:r w:rsidR="00A65062" w:rsidRPr="002230A7">
          <w:rPr>
            <w:rStyle w:val="Hyperlink"/>
          </w:rPr>
          <w:t>Appendix C:  Maps of aquifer depressurisation assessment results</w:t>
        </w:r>
        <w:r w:rsidR="00A65062">
          <w:rPr>
            <w:webHidden/>
          </w:rPr>
          <w:tab/>
        </w:r>
        <w:r w:rsidR="00A65062">
          <w:rPr>
            <w:webHidden/>
          </w:rPr>
          <w:fldChar w:fldCharType="begin"/>
        </w:r>
        <w:r w:rsidR="00A65062">
          <w:rPr>
            <w:webHidden/>
          </w:rPr>
          <w:instrText xml:space="preserve"> PAGEREF _Toc422927934 \h </w:instrText>
        </w:r>
        <w:r w:rsidR="00A65062">
          <w:rPr>
            <w:webHidden/>
          </w:rPr>
        </w:r>
        <w:r w:rsidR="00A65062">
          <w:rPr>
            <w:webHidden/>
          </w:rPr>
          <w:fldChar w:fldCharType="separate"/>
        </w:r>
        <w:r w:rsidR="00171A5E">
          <w:rPr>
            <w:webHidden/>
          </w:rPr>
          <w:t>192</w:t>
        </w:r>
        <w:r w:rsidR="00A65062">
          <w:rPr>
            <w:webHidden/>
          </w:rPr>
          <w:fldChar w:fldCharType="end"/>
        </w:r>
      </w:hyperlink>
    </w:p>
    <w:p w14:paraId="7CC52B9D" w14:textId="67517F37" w:rsidR="008C7BEA" w:rsidRPr="008C7BEA" w:rsidRDefault="007569CD">
      <w:r w:rsidRPr="00642A5D">
        <w:fldChar w:fldCharType="end"/>
      </w:r>
    </w:p>
    <w:p w14:paraId="61B29361" w14:textId="77777777" w:rsidR="005A65A8" w:rsidRDefault="005A65A8">
      <w:pPr>
        <w:spacing w:after="200"/>
        <w:rPr>
          <w:rFonts w:cs="Arial"/>
          <w:bCs/>
          <w:color w:val="005A97"/>
          <w:kern w:val="32"/>
          <w:sz w:val="52"/>
          <w:szCs w:val="32"/>
        </w:rPr>
      </w:pPr>
      <w:r>
        <w:br w:type="page"/>
      </w:r>
    </w:p>
    <w:p w14:paraId="57BEFEE2" w14:textId="647B1A73" w:rsidR="00E562B3" w:rsidRDefault="000F46D3" w:rsidP="00C150BC">
      <w:pPr>
        <w:pStyle w:val="Head2xx"/>
      </w:pPr>
      <w:bookmarkStart w:id="14" w:name="_Toc296657991"/>
      <w:bookmarkStart w:id="15" w:name="_Toc296766912"/>
      <w:bookmarkStart w:id="16" w:name="_Toc422927883"/>
      <w:r>
        <w:lastRenderedPageBreak/>
        <w:t>Figures</w:t>
      </w:r>
      <w:bookmarkEnd w:id="14"/>
      <w:bookmarkEnd w:id="15"/>
      <w:bookmarkEnd w:id="16"/>
    </w:p>
    <w:p w14:paraId="273F4C0F" w14:textId="77777777" w:rsidR="00686EFB" w:rsidRDefault="000F46D3"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r>
        <w:rPr>
          <w:color w:val="AEC12D" w:themeColor="text2"/>
          <w:sz w:val="32"/>
          <w:szCs w:val="32"/>
          <w:lang w:val="en-AU" w:eastAsia="en-US"/>
        </w:rPr>
        <w:fldChar w:fldCharType="begin"/>
      </w:r>
      <w:r>
        <w:instrText xml:space="preserve"> TOC \h \z \c "Figure" </w:instrText>
      </w:r>
      <w:r>
        <w:rPr>
          <w:color w:val="AEC12D" w:themeColor="text2"/>
          <w:sz w:val="32"/>
          <w:szCs w:val="32"/>
          <w:lang w:val="en-AU" w:eastAsia="en-US"/>
        </w:rPr>
        <w:fldChar w:fldCharType="separate"/>
      </w:r>
      <w:hyperlink w:anchor="_Toc422928772" w:history="1">
        <w:r w:rsidR="00686EFB" w:rsidRPr="00FE254D">
          <w:rPr>
            <w:rStyle w:val="Hyperlink"/>
            <w:noProof/>
          </w:rPr>
          <w:t>Figure 1:  Otway study area, showing surface water catchments.</w:t>
        </w:r>
        <w:r w:rsidR="00686EFB">
          <w:rPr>
            <w:noProof/>
            <w:webHidden/>
          </w:rPr>
          <w:tab/>
        </w:r>
        <w:r w:rsidR="00686EFB">
          <w:rPr>
            <w:noProof/>
            <w:webHidden/>
          </w:rPr>
          <w:fldChar w:fldCharType="begin"/>
        </w:r>
        <w:r w:rsidR="00686EFB">
          <w:rPr>
            <w:noProof/>
            <w:webHidden/>
          </w:rPr>
          <w:instrText xml:space="preserve"> PAGEREF _Toc422928772 \h </w:instrText>
        </w:r>
        <w:r w:rsidR="00686EFB">
          <w:rPr>
            <w:noProof/>
            <w:webHidden/>
          </w:rPr>
        </w:r>
        <w:r w:rsidR="00686EFB">
          <w:rPr>
            <w:noProof/>
            <w:webHidden/>
          </w:rPr>
          <w:fldChar w:fldCharType="separate"/>
        </w:r>
        <w:r w:rsidR="00171A5E">
          <w:rPr>
            <w:noProof/>
            <w:webHidden/>
          </w:rPr>
          <w:t>9</w:t>
        </w:r>
        <w:r w:rsidR="00686EFB">
          <w:rPr>
            <w:noProof/>
            <w:webHidden/>
          </w:rPr>
          <w:fldChar w:fldCharType="end"/>
        </w:r>
      </w:hyperlink>
    </w:p>
    <w:p w14:paraId="42559871" w14:textId="360E33C3"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73" w:history="1">
        <w:r w:rsidR="00686EFB" w:rsidRPr="00FE254D">
          <w:rPr>
            <w:rStyle w:val="Hyperlink"/>
            <w:noProof/>
          </w:rPr>
          <w:t xml:space="preserve">Figure 2:  Location of protential onshore natural gas scenario areas used for </w:t>
        </w:r>
        <w:r w:rsidR="00686EFB">
          <w:rPr>
            <w:rStyle w:val="Hyperlink"/>
            <w:noProof/>
          </w:rPr>
          <w:t>the impact assessment</w:t>
        </w:r>
        <w:r w:rsidR="00686EFB">
          <w:rPr>
            <w:noProof/>
            <w:webHidden/>
          </w:rPr>
          <w:tab/>
        </w:r>
        <w:r w:rsidR="00686EFB">
          <w:rPr>
            <w:noProof/>
            <w:webHidden/>
          </w:rPr>
          <w:fldChar w:fldCharType="begin"/>
        </w:r>
        <w:r w:rsidR="00686EFB">
          <w:rPr>
            <w:noProof/>
            <w:webHidden/>
          </w:rPr>
          <w:instrText xml:space="preserve"> PAGEREF _Toc422928773 \h </w:instrText>
        </w:r>
        <w:r w:rsidR="00686EFB">
          <w:rPr>
            <w:noProof/>
            <w:webHidden/>
          </w:rPr>
        </w:r>
        <w:r w:rsidR="00686EFB">
          <w:rPr>
            <w:noProof/>
            <w:webHidden/>
          </w:rPr>
          <w:fldChar w:fldCharType="separate"/>
        </w:r>
        <w:r w:rsidR="00171A5E">
          <w:rPr>
            <w:noProof/>
            <w:webHidden/>
          </w:rPr>
          <w:t>11</w:t>
        </w:r>
        <w:r w:rsidR="00686EFB">
          <w:rPr>
            <w:noProof/>
            <w:webHidden/>
          </w:rPr>
          <w:fldChar w:fldCharType="end"/>
        </w:r>
      </w:hyperlink>
    </w:p>
    <w:p w14:paraId="68C5FB58" w14:textId="320BAB7A"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74" w:history="1">
        <w:r w:rsidR="00686EFB" w:rsidRPr="00FE254D">
          <w:rPr>
            <w:rStyle w:val="Hyperlink"/>
            <w:noProof/>
          </w:rPr>
          <w:t>Figure 3:  Typical geological formations bearing prospective onshore natural gas in the Otwa</w:t>
        </w:r>
        <w:r w:rsidR="00686EFB">
          <w:rPr>
            <w:rStyle w:val="Hyperlink"/>
            <w:noProof/>
          </w:rPr>
          <w:t>y region</w:t>
        </w:r>
        <w:r w:rsidR="00686EFB" w:rsidRPr="00FE254D">
          <w:rPr>
            <w:rStyle w:val="Hyperlink"/>
            <w:noProof/>
          </w:rPr>
          <w:t>.</w:t>
        </w:r>
        <w:r w:rsidR="00686EFB">
          <w:rPr>
            <w:noProof/>
            <w:webHidden/>
          </w:rPr>
          <w:tab/>
        </w:r>
        <w:r w:rsidR="00686EFB">
          <w:rPr>
            <w:noProof/>
            <w:webHidden/>
          </w:rPr>
          <w:fldChar w:fldCharType="begin"/>
        </w:r>
        <w:r w:rsidR="00686EFB">
          <w:rPr>
            <w:noProof/>
            <w:webHidden/>
          </w:rPr>
          <w:instrText xml:space="preserve"> PAGEREF _Toc422928774 \h </w:instrText>
        </w:r>
        <w:r w:rsidR="00686EFB">
          <w:rPr>
            <w:noProof/>
            <w:webHidden/>
          </w:rPr>
        </w:r>
        <w:r w:rsidR="00686EFB">
          <w:rPr>
            <w:noProof/>
            <w:webHidden/>
          </w:rPr>
          <w:fldChar w:fldCharType="separate"/>
        </w:r>
        <w:r w:rsidR="00171A5E">
          <w:rPr>
            <w:noProof/>
            <w:webHidden/>
          </w:rPr>
          <w:t>12</w:t>
        </w:r>
        <w:r w:rsidR="00686EFB">
          <w:rPr>
            <w:noProof/>
            <w:webHidden/>
          </w:rPr>
          <w:fldChar w:fldCharType="end"/>
        </w:r>
      </w:hyperlink>
    </w:p>
    <w:p w14:paraId="0E484613" w14:textId="1EAF3DA5"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75" w:history="1">
        <w:r w:rsidR="00686EFB" w:rsidRPr="00FE254D">
          <w:rPr>
            <w:rStyle w:val="Hyperlink"/>
            <w:noProof/>
          </w:rPr>
          <w:t>Figure 4:  Major structures an</w:t>
        </w:r>
        <w:r w:rsidR="00686EFB">
          <w:rPr>
            <w:rStyle w:val="Hyperlink"/>
            <w:noProof/>
          </w:rPr>
          <w:t>d sub-basins in the Otway Basin</w:t>
        </w:r>
        <w:r w:rsidR="00686EFB">
          <w:rPr>
            <w:noProof/>
            <w:webHidden/>
          </w:rPr>
          <w:tab/>
        </w:r>
        <w:r w:rsidR="00686EFB">
          <w:rPr>
            <w:noProof/>
            <w:webHidden/>
          </w:rPr>
          <w:fldChar w:fldCharType="begin"/>
        </w:r>
        <w:r w:rsidR="00686EFB">
          <w:rPr>
            <w:noProof/>
            <w:webHidden/>
          </w:rPr>
          <w:instrText xml:space="preserve"> PAGEREF _Toc422928775 \h </w:instrText>
        </w:r>
        <w:r w:rsidR="00686EFB">
          <w:rPr>
            <w:noProof/>
            <w:webHidden/>
          </w:rPr>
        </w:r>
        <w:r w:rsidR="00686EFB">
          <w:rPr>
            <w:noProof/>
            <w:webHidden/>
          </w:rPr>
          <w:fldChar w:fldCharType="separate"/>
        </w:r>
        <w:r w:rsidR="00171A5E">
          <w:rPr>
            <w:noProof/>
            <w:webHidden/>
          </w:rPr>
          <w:t>17</w:t>
        </w:r>
        <w:r w:rsidR="00686EFB">
          <w:rPr>
            <w:noProof/>
            <w:webHidden/>
          </w:rPr>
          <w:fldChar w:fldCharType="end"/>
        </w:r>
      </w:hyperlink>
    </w:p>
    <w:p w14:paraId="05B4F7FC" w14:textId="5C54660A"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76" w:history="1">
        <w:r w:rsidR="00686EFB" w:rsidRPr="00FE254D">
          <w:rPr>
            <w:rStyle w:val="Hyperlink"/>
            <w:noProof/>
          </w:rPr>
          <w:t xml:space="preserve">Figure 5:  </w:t>
        </w:r>
        <w:r w:rsidR="00686EFB">
          <w:rPr>
            <w:rStyle w:val="Hyperlink"/>
            <w:noProof/>
          </w:rPr>
          <w:t>Stratigraphy of the Otway Basin</w:t>
        </w:r>
        <w:r w:rsidR="00686EFB">
          <w:rPr>
            <w:noProof/>
            <w:webHidden/>
          </w:rPr>
          <w:tab/>
        </w:r>
        <w:r w:rsidR="00686EFB">
          <w:rPr>
            <w:noProof/>
            <w:webHidden/>
          </w:rPr>
          <w:fldChar w:fldCharType="begin"/>
        </w:r>
        <w:r w:rsidR="00686EFB">
          <w:rPr>
            <w:noProof/>
            <w:webHidden/>
          </w:rPr>
          <w:instrText xml:space="preserve"> PAGEREF _Toc422928776 \h </w:instrText>
        </w:r>
        <w:r w:rsidR="00686EFB">
          <w:rPr>
            <w:noProof/>
            <w:webHidden/>
          </w:rPr>
        </w:r>
        <w:r w:rsidR="00686EFB">
          <w:rPr>
            <w:noProof/>
            <w:webHidden/>
          </w:rPr>
          <w:fldChar w:fldCharType="separate"/>
        </w:r>
        <w:r w:rsidR="00171A5E">
          <w:rPr>
            <w:noProof/>
            <w:webHidden/>
          </w:rPr>
          <w:t>18</w:t>
        </w:r>
        <w:r w:rsidR="00686EFB">
          <w:rPr>
            <w:noProof/>
            <w:webHidden/>
          </w:rPr>
          <w:fldChar w:fldCharType="end"/>
        </w:r>
      </w:hyperlink>
    </w:p>
    <w:p w14:paraId="0A9A310D" w14:textId="2A11969C"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77" w:history="1">
        <w:r w:rsidR="00686EFB" w:rsidRPr="00FE254D">
          <w:rPr>
            <w:rStyle w:val="Hyperlink"/>
            <w:noProof/>
          </w:rPr>
          <w:t>Figure 6:  Distribution of Crayfish Group, Eumeralla Formation and Tertiary sediment outcrop</w:t>
        </w:r>
        <w:r w:rsidR="00686EFB">
          <w:rPr>
            <w:noProof/>
            <w:webHidden/>
          </w:rPr>
          <w:tab/>
        </w:r>
        <w:r w:rsidR="00686EFB">
          <w:rPr>
            <w:noProof/>
            <w:webHidden/>
          </w:rPr>
          <w:fldChar w:fldCharType="begin"/>
        </w:r>
        <w:r w:rsidR="00686EFB">
          <w:rPr>
            <w:noProof/>
            <w:webHidden/>
          </w:rPr>
          <w:instrText xml:space="preserve"> PAGEREF _Toc422928777 \h </w:instrText>
        </w:r>
        <w:r w:rsidR="00686EFB">
          <w:rPr>
            <w:noProof/>
            <w:webHidden/>
          </w:rPr>
        </w:r>
        <w:r w:rsidR="00686EFB">
          <w:rPr>
            <w:noProof/>
            <w:webHidden/>
          </w:rPr>
          <w:fldChar w:fldCharType="separate"/>
        </w:r>
        <w:r w:rsidR="00171A5E">
          <w:rPr>
            <w:noProof/>
            <w:webHidden/>
          </w:rPr>
          <w:t>19</w:t>
        </w:r>
        <w:r w:rsidR="00686EFB">
          <w:rPr>
            <w:noProof/>
            <w:webHidden/>
          </w:rPr>
          <w:fldChar w:fldCharType="end"/>
        </w:r>
      </w:hyperlink>
    </w:p>
    <w:p w14:paraId="58588388" w14:textId="18AA0228"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78" w:history="1">
        <w:r w:rsidR="00686EFB" w:rsidRPr="00FE254D">
          <w:rPr>
            <w:rStyle w:val="Hyperlink"/>
            <w:noProof/>
          </w:rPr>
          <w:t>Figure 7:  Isopach of the Wangerrip Group</w:t>
        </w:r>
        <w:r w:rsidR="00686EFB">
          <w:rPr>
            <w:noProof/>
            <w:webHidden/>
          </w:rPr>
          <w:tab/>
        </w:r>
        <w:r w:rsidR="00686EFB">
          <w:rPr>
            <w:noProof/>
            <w:webHidden/>
          </w:rPr>
          <w:fldChar w:fldCharType="begin"/>
        </w:r>
        <w:r w:rsidR="00686EFB">
          <w:rPr>
            <w:noProof/>
            <w:webHidden/>
          </w:rPr>
          <w:instrText xml:space="preserve"> PAGEREF _Toc422928778 \h </w:instrText>
        </w:r>
        <w:r w:rsidR="00686EFB">
          <w:rPr>
            <w:noProof/>
            <w:webHidden/>
          </w:rPr>
        </w:r>
        <w:r w:rsidR="00686EFB">
          <w:rPr>
            <w:noProof/>
            <w:webHidden/>
          </w:rPr>
          <w:fldChar w:fldCharType="separate"/>
        </w:r>
        <w:r w:rsidR="00171A5E">
          <w:rPr>
            <w:noProof/>
            <w:webHidden/>
          </w:rPr>
          <w:t>21</w:t>
        </w:r>
        <w:r w:rsidR="00686EFB">
          <w:rPr>
            <w:noProof/>
            <w:webHidden/>
          </w:rPr>
          <w:fldChar w:fldCharType="end"/>
        </w:r>
      </w:hyperlink>
    </w:p>
    <w:p w14:paraId="56BAE101" w14:textId="0B82CE65"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79" w:history="1">
        <w:r w:rsidR="00686EFB" w:rsidRPr="00FE254D">
          <w:rPr>
            <w:rStyle w:val="Hyperlink"/>
            <w:noProof/>
          </w:rPr>
          <w:t>Figure 8:  Isopach of the Nirranda Group</w:t>
        </w:r>
        <w:r w:rsidR="00686EFB">
          <w:rPr>
            <w:noProof/>
            <w:webHidden/>
          </w:rPr>
          <w:tab/>
        </w:r>
        <w:r w:rsidR="00686EFB">
          <w:rPr>
            <w:noProof/>
            <w:webHidden/>
          </w:rPr>
          <w:fldChar w:fldCharType="begin"/>
        </w:r>
        <w:r w:rsidR="00686EFB">
          <w:rPr>
            <w:noProof/>
            <w:webHidden/>
          </w:rPr>
          <w:instrText xml:space="preserve"> PAGEREF _Toc422928779 \h </w:instrText>
        </w:r>
        <w:r w:rsidR="00686EFB">
          <w:rPr>
            <w:noProof/>
            <w:webHidden/>
          </w:rPr>
        </w:r>
        <w:r w:rsidR="00686EFB">
          <w:rPr>
            <w:noProof/>
            <w:webHidden/>
          </w:rPr>
          <w:fldChar w:fldCharType="separate"/>
        </w:r>
        <w:r w:rsidR="00171A5E">
          <w:rPr>
            <w:noProof/>
            <w:webHidden/>
          </w:rPr>
          <w:t>22</w:t>
        </w:r>
        <w:r w:rsidR="00686EFB">
          <w:rPr>
            <w:noProof/>
            <w:webHidden/>
          </w:rPr>
          <w:fldChar w:fldCharType="end"/>
        </w:r>
      </w:hyperlink>
    </w:p>
    <w:p w14:paraId="5A56D315" w14:textId="76A49086"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0" w:history="1">
        <w:r w:rsidR="00686EFB" w:rsidRPr="00FE254D">
          <w:rPr>
            <w:rStyle w:val="Hyperlink"/>
            <w:noProof/>
          </w:rPr>
          <w:t>Figure 9:  Isopach of the Heytesbury Group</w:t>
        </w:r>
        <w:r w:rsidR="00686EFB">
          <w:rPr>
            <w:noProof/>
            <w:webHidden/>
          </w:rPr>
          <w:tab/>
        </w:r>
        <w:r w:rsidR="00686EFB">
          <w:rPr>
            <w:noProof/>
            <w:webHidden/>
          </w:rPr>
          <w:fldChar w:fldCharType="begin"/>
        </w:r>
        <w:r w:rsidR="00686EFB">
          <w:rPr>
            <w:noProof/>
            <w:webHidden/>
          </w:rPr>
          <w:instrText xml:space="preserve"> PAGEREF _Toc422928780 \h </w:instrText>
        </w:r>
        <w:r w:rsidR="00686EFB">
          <w:rPr>
            <w:noProof/>
            <w:webHidden/>
          </w:rPr>
        </w:r>
        <w:r w:rsidR="00686EFB">
          <w:rPr>
            <w:noProof/>
            <w:webHidden/>
          </w:rPr>
          <w:fldChar w:fldCharType="separate"/>
        </w:r>
        <w:r w:rsidR="00171A5E">
          <w:rPr>
            <w:noProof/>
            <w:webHidden/>
          </w:rPr>
          <w:t>23</w:t>
        </w:r>
        <w:r w:rsidR="00686EFB">
          <w:rPr>
            <w:noProof/>
            <w:webHidden/>
          </w:rPr>
          <w:fldChar w:fldCharType="end"/>
        </w:r>
      </w:hyperlink>
    </w:p>
    <w:p w14:paraId="4FEC9FCC" w14:textId="67E24BEF"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1" w:history="1">
        <w:r w:rsidR="00686EFB" w:rsidRPr="00FE254D">
          <w:rPr>
            <w:rStyle w:val="Hyperlink"/>
            <w:noProof/>
          </w:rPr>
          <w:t>Figure 10:  Isopach of the Newer Volcanics at 20 m contour intervals</w:t>
        </w:r>
        <w:r w:rsidR="00686EFB">
          <w:rPr>
            <w:noProof/>
            <w:webHidden/>
          </w:rPr>
          <w:tab/>
        </w:r>
        <w:r w:rsidR="00686EFB">
          <w:rPr>
            <w:noProof/>
            <w:webHidden/>
          </w:rPr>
          <w:fldChar w:fldCharType="begin"/>
        </w:r>
        <w:r w:rsidR="00686EFB">
          <w:rPr>
            <w:noProof/>
            <w:webHidden/>
          </w:rPr>
          <w:instrText xml:space="preserve"> PAGEREF _Toc422928781 \h </w:instrText>
        </w:r>
        <w:r w:rsidR="00686EFB">
          <w:rPr>
            <w:noProof/>
            <w:webHidden/>
          </w:rPr>
        </w:r>
        <w:r w:rsidR="00686EFB">
          <w:rPr>
            <w:noProof/>
            <w:webHidden/>
          </w:rPr>
          <w:fldChar w:fldCharType="separate"/>
        </w:r>
        <w:r w:rsidR="00171A5E">
          <w:rPr>
            <w:noProof/>
            <w:webHidden/>
          </w:rPr>
          <w:t>24</w:t>
        </w:r>
        <w:r w:rsidR="00686EFB">
          <w:rPr>
            <w:noProof/>
            <w:webHidden/>
          </w:rPr>
          <w:fldChar w:fldCharType="end"/>
        </w:r>
      </w:hyperlink>
    </w:p>
    <w:p w14:paraId="43BB46C7" w14:textId="7E56D34C"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2" w:history="1">
        <w:r w:rsidR="00686EFB" w:rsidRPr="00FE254D">
          <w:rPr>
            <w:rStyle w:val="Hyperlink"/>
            <w:noProof/>
          </w:rPr>
          <w:t>Figure 11:  Otway region tight gas resource development scenario area</w:t>
        </w:r>
        <w:r w:rsidR="00686EFB">
          <w:rPr>
            <w:noProof/>
            <w:webHidden/>
          </w:rPr>
          <w:tab/>
        </w:r>
        <w:r w:rsidR="00686EFB">
          <w:rPr>
            <w:noProof/>
            <w:webHidden/>
          </w:rPr>
          <w:fldChar w:fldCharType="begin"/>
        </w:r>
        <w:r w:rsidR="00686EFB">
          <w:rPr>
            <w:noProof/>
            <w:webHidden/>
          </w:rPr>
          <w:instrText xml:space="preserve"> PAGEREF _Toc422928782 \h </w:instrText>
        </w:r>
        <w:r w:rsidR="00686EFB">
          <w:rPr>
            <w:noProof/>
            <w:webHidden/>
          </w:rPr>
        </w:r>
        <w:r w:rsidR="00686EFB">
          <w:rPr>
            <w:noProof/>
            <w:webHidden/>
          </w:rPr>
          <w:fldChar w:fldCharType="separate"/>
        </w:r>
        <w:r w:rsidR="00171A5E">
          <w:rPr>
            <w:noProof/>
            <w:webHidden/>
          </w:rPr>
          <w:t>25</w:t>
        </w:r>
        <w:r w:rsidR="00686EFB">
          <w:rPr>
            <w:noProof/>
            <w:webHidden/>
          </w:rPr>
          <w:fldChar w:fldCharType="end"/>
        </w:r>
      </w:hyperlink>
    </w:p>
    <w:p w14:paraId="029708D4" w14:textId="024DC74D"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3" w:history="1">
        <w:r w:rsidR="00686EFB" w:rsidRPr="00FE254D">
          <w:rPr>
            <w:rStyle w:val="Hyperlink"/>
            <w:noProof/>
          </w:rPr>
          <w:t xml:space="preserve">Figure 12:  Otway region shale gas resource development scenario </w:t>
        </w:r>
        <w:r w:rsidR="00686EFB">
          <w:rPr>
            <w:rStyle w:val="Hyperlink"/>
            <w:noProof/>
          </w:rPr>
          <w:t>area.</w:t>
        </w:r>
        <w:r w:rsidR="00686EFB">
          <w:rPr>
            <w:noProof/>
            <w:webHidden/>
          </w:rPr>
          <w:tab/>
        </w:r>
        <w:r w:rsidR="00686EFB">
          <w:rPr>
            <w:noProof/>
            <w:webHidden/>
          </w:rPr>
          <w:fldChar w:fldCharType="begin"/>
        </w:r>
        <w:r w:rsidR="00686EFB">
          <w:rPr>
            <w:noProof/>
            <w:webHidden/>
          </w:rPr>
          <w:instrText xml:space="preserve"> PAGEREF _Toc422928783 \h </w:instrText>
        </w:r>
        <w:r w:rsidR="00686EFB">
          <w:rPr>
            <w:noProof/>
            <w:webHidden/>
          </w:rPr>
        </w:r>
        <w:r w:rsidR="00686EFB">
          <w:rPr>
            <w:noProof/>
            <w:webHidden/>
          </w:rPr>
          <w:fldChar w:fldCharType="separate"/>
        </w:r>
        <w:r w:rsidR="00171A5E">
          <w:rPr>
            <w:noProof/>
            <w:webHidden/>
          </w:rPr>
          <w:t>26</w:t>
        </w:r>
        <w:r w:rsidR="00686EFB">
          <w:rPr>
            <w:noProof/>
            <w:webHidden/>
          </w:rPr>
          <w:fldChar w:fldCharType="end"/>
        </w:r>
      </w:hyperlink>
    </w:p>
    <w:p w14:paraId="773A59E5" w14:textId="7C284DD9"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4" w:history="1">
        <w:r w:rsidR="00686EFB" w:rsidRPr="00FE254D">
          <w:rPr>
            <w:rStyle w:val="Hyperlink"/>
            <w:noProof/>
          </w:rPr>
          <w:t>Figure 13:  Otway region coal seam gas resource development scenario area</w:t>
        </w:r>
        <w:r w:rsidR="00686EFB">
          <w:rPr>
            <w:noProof/>
            <w:webHidden/>
          </w:rPr>
          <w:tab/>
        </w:r>
        <w:r w:rsidR="00686EFB">
          <w:rPr>
            <w:noProof/>
            <w:webHidden/>
          </w:rPr>
          <w:fldChar w:fldCharType="begin"/>
        </w:r>
        <w:r w:rsidR="00686EFB">
          <w:rPr>
            <w:noProof/>
            <w:webHidden/>
          </w:rPr>
          <w:instrText xml:space="preserve"> PAGEREF _Toc422928784 \h </w:instrText>
        </w:r>
        <w:r w:rsidR="00686EFB">
          <w:rPr>
            <w:noProof/>
            <w:webHidden/>
          </w:rPr>
        </w:r>
        <w:r w:rsidR="00686EFB">
          <w:rPr>
            <w:noProof/>
            <w:webHidden/>
          </w:rPr>
          <w:fldChar w:fldCharType="separate"/>
        </w:r>
        <w:r w:rsidR="00171A5E">
          <w:rPr>
            <w:noProof/>
            <w:webHidden/>
          </w:rPr>
          <w:t>26</w:t>
        </w:r>
        <w:r w:rsidR="00686EFB">
          <w:rPr>
            <w:noProof/>
            <w:webHidden/>
          </w:rPr>
          <w:fldChar w:fldCharType="end"/>
        </w:r>
      </w:hyperlink>
    </w:p>
    <w:p w14:paraId="14979ED5" w14:textId="2D1290FD"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5" w:history="1">
        <w:r w:rsidR="00686EFB" w:rsidRPr="00FE254D">
          <w:rPr>
            <w:rStyle w:val="Hyperlink"/>
            <w:noProof/>
          </w:rPr>
          <w:t>Figure 14:  Otway region conventional gas resource development scenario are</w:t>
        </w:r>
        <w:r w:rsidR="00686EFB">
          <w:rPr>
            <w:rStyle w:val="Hyperlink"/>
            <w:noProof/>
          </w:rPr>
          <w:t>a</w:t>
        </w:r>
        <w:r w:rsidR="00686EFB">
          <w:rPr>
            <w:noProof/>
            <w:webHidden/>
          </w:rPr>
          <w:tab/>
        </w:r>
        <w:r w:rsidR="00686EFB">
          <w:rPr>
            <w:noProof/>
            <w:webHidden/>
          </w:rPr>
          <w:fldChar w:fldCharType="begin"/>
        </w:r>
        <w:r w:rsidR="00686EFB">
          <w:rPr>
            <w:noProof/>
            <w:webHidden/>
          </w:rPr>
          <w:instrText xml:space="preserve"> PAGEREF _Toc422928785 \h </w:instrText>
        </w:r>
        <w:r w:rsidR="00686EFB">
          <w:rPr>
            <w:noProof/>
            <w:webHidden/>
          </w:rPr>
        </w:r>
        <w:r w:rsidR="00686EFB">
          <w:rPr>
            <w:noProof/>
            <w:webHidden/>
          </w:rPr>
          <w:fldChar w:fldCharType="separate"/>
        </w:r>
        <w:r w:rsidR="00171A5E">
          <w:rPr>
            <w:noProof/>
            <w:webHidden/>
          </w:rPr>
          <w:t>27</w:t>
        </w:r>
        <w:r w:rsidR="00686EFB">
          <w:rPr>
            <w:noProof/>
            <w:webHidden/>
          </w:rPr>
          <w:fldChar w:fldCharType="end"/>
        </w:r>
      </w:hyperlink>
    </w:p>
    <w:p w14:paraId="17B5065B" w14:textId="687A9333"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6" w:history="1">
        <w:r w:rsidR="00686EFB" w:rsidRPr="00FE254D">
          <w:rPr>
            <w:rStyle w:val="Hyperlink"/>
            <w:noProof/>
          </w:rPr>
          <w:t>Figure 15:  Groundwater salinity and water level contour map of the upper aquifers</w:t>
        </w:r>
        <w:r w:rsidR="00686EFB">
          <w:rPr>
            <w:noProof/>
            <w:webHidden/>
          </w:rPr>
          <w:tab/>
        </w:r>
        <w:r w:rsidR="00686EFB">
          <w:rPr>
            <w:noProof/>
            <w:webHidden/>
          </w:rPr>
          <w:fldChar w:fldCharType="begin"/>
        </w:r>
        <w:r w:rsidR="00686EFB">
          <w:rPr>
            <w:noProof/>
            <w:webHidden/>
          </w:rPr>
          <w:instrText xml:space="preserve"> PAGEREF _Toc422928786 \h </w:instrText>
        </w:r>
        <w:r w:rsidR="00686EFB">
          <w:rPr>
            <w:noProof/>
            <w:webHidden/>
          </w:rPr>
        </w:r>
        <w:r w:rsidR="00686EFB">
          <w:rPr>
            <w:noProof/>
            <w:webHidden/>
          </w:rPr>
          <w:fldChar w:fldCharType="separate"/>
        </w:r>
        <w:r w:rsidR="00171A5E">
          <w:rPr>
            <w:noProof/>
            <w:webHidden/>
          </w:rPr>
          <w:t>29</w:t>
        </w:r>
        <w:r w:rsidR="00686EFB">
          <w:rPr>
            <w:noProof/>
            <w:webHidden/>
          </w:rPr>
          <w:fldChar w:fldCharType="end"/>
        </w:r>
      </w:hyperlink>
    </w:p>
    <w:p w14:paraId="16C194A6" w14:textId="18D77303"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7" w:history="1">
        <w:r w:rsidR="00686EFB" w:rsidRPr="00FE254D">
          <w:rPr>
            <w:rStyle w:val="Hyperlink"/>
            <w:noProof/>
          </w:rPr>
          <w:t>Figure 16:  Groundwater salinity and yield map of the Upper Mid-Tertia</w:t>
        </w:r>
        <w:r w:rsidR="00686EFB">
          <w:rPr>
            <w:rStyle w:val="Hyperlink"/>
            <w:noProof/>
          </w:rPr>
          <w:t>ry Aquifer</w:t>
        </w:r>
        <w:r w:rsidR="00686EFB">
          <w:rPr>
            <w:noProof/>
            <w:webHidden/>
          </w:rPr>
          <w:tab/>
        </w:r>
        <w:r w:rsidR="00686EFB">
          <w:rPr>
            <w:noProof/>
            <w:webHidden/>
          </w:rPr>
          <w:fldChar w:fldCharType="begin"/>
        </w:r>
        <w:r w:rsidR="00686EFB">
          <w:rPr>
            <w:noProof/>
            <w:webHidden/>
          </w:rPr>
          <w:instrText xml:space="preserve"> PAGEREF _Toc422928787 \h </w:instrText>
        </w:r>
        <w:r w:rsidR="00686EFB">
          <w:rPr>
            <w:noProof/>
            <w:webHidden/>
          </w:rPr>
        </w:r>
        <w:r w:rsidR="00686EFB">
          <w:rPr>
            <w:noProof/>
            <w:webHidden/>
          </w:rPr>
          <w:fldChar w:fldCharType="separate"/>
        </w:r>
        <w:r w:rsidR="00171A5E">
          <w:rPr>
            <w:noProof/>
            <w:webHidden/>
          </w:rPr>
          <w:t>31</w:t>
        </w:r>
        <w:r w:rsidR="00686EFB">
          <w:rPr>
            <w:noProof/>
            <w:webHidden/>
          </w:rPr>
          <w:fldChar w:fldCharType="end"/>
        </w:r>
      </w:hyperlink>
    </w:p>
    <w:p w14:paraId="1B7051A4" w14:textId="31B294B1"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8" w:history="1">
        <w:r w:rsidR="00686EFB" w:rsidRPr="00FE254D">
          <w:rPr>
            <w:rStyle w:val="Hyperlink"/>
            <w:noProof/>
          </w:rPr>
          <w:t>Figure 17:  Potentiometric surface and groundwater flow directions in</w:t>
        </w:r>
        <w:r w:rsidR="00686EFB">
          <w:rPr>
            <w:rStyle w:val="Hyperlink"/>
            <w:noProof/>
          </w:rPr>
          <w:t xml:space="preserve"> the UMTA</w:t>
        </w:r>
        <w:r w:rsidR="00686EFB">
          <w:rPr>
            <w:noProof/>
            <w:webHidden/>
          </w:rPr>
          <w:tab/>
        </w:r>
        <w:r w:rsidR="00686EFB">
          <w:rPr>
            <w:noProof/>
            <w:webHidden/>
          </w:rPr>
          <w:fldChar w:fldCharType="begin"/>
        </w:r>
        <w:r w:rsidR="00686EFB">
          <w:rPr>
            <w:noProof/>
            <w:webHidden/>
          </w:rPr>
          <w:instrText xml:space="preserve"> PAGEREF _Toc422928788 \h </w:instrText>
        </w:r>
        <w:r w:rsidR="00686EFB">
          <w:rPr>
            <w:noProof/>
            <w:webHidden/>
          </w:rPr>
        </w:r>
        <w:r w:rsidR="00686EFB">
          <w:rPr>
            <w:noProof/>
            <w:webHidden/>
          </w:rPr>
          <w:fldChar w:fldCharType="separate"/>
        </w:r>
        <w:r w:rsidR="00171A5E">
          <w:rPr>
            <w:noProof/>
            <w:webHidden/>
          </w:rPr>
          <w:t>32</w:t>
        </w:r>
        <w:r w:rsidR="00686EFB">
          <w:rPr>
            <w:noProof/>
            <w:webHidden/>
          </w:rPr>
          <w:fldChar w:fldCharType="end"/>
        </w:r>
      </w:hyperlink>
    </w:p>
    <w:p w14:paraId="3EF8AFEF" w14:textId="1DE96DA2"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89" w:history="1">
        <w:r w:rsidR="00686EFB" w:rsidRPr="00FE254D">
          <w:rPr>
            <w:rStyle w:val="Hyperlink"/>
            <w:noProof/>
          </w:rPr>
          <w:t xml:space="preserve">Figure 18:  Groundwater salinity and yield map </w:t>
        </w:r>
        <w:r w:rsidR="00686EFB">
          <w:rPr>
            <w:rStyle w:val="Hyperlink"/>
            <w:noProof/>
          </w:rPr>
          <w:t>of the LTA</w:t>
        </w:r>
        <w:r w:rsidR="00686EFB">
          <w:rPr>
            <w:noProof/>
            <w:webHidden/>
          </w:rPr>
          <w:tab/>
        </w:r>
        <w:r w:rsidR="00686EFB">
          <w:rPr>
            <w:noProof/>
            <w:webHidden/>
          </w:rPr>
          <w:fldChar w:fldCharType="begin"/>
        </w:r>
        <w:r w:rsidR="00686EFB">
          <w:rPr>
            <w:noProof/>
            <w:webHidden/>
          </w:rPr>
          <w:instrText xml:space="preserve"> PAGEREF _Toc422928789 \h </w:instrText>
        </w:r>
        <w:r w:rsidR="00686EFB">
          <w:rPr>
            <w:noProof/>
            <w:webHidden/>
          </w:rPr>
        </w:r>
        <w:r w:rsidR="00686EFB">
          <w:rPr>
            <w:noProof/>
            <w:webHidden/>
          </w:rPr>
          <w:fldChar w:fldCharType="separate"/>
        </w:r>
        <w:r w:rsidR="00171A5E">
          <w:rPr>
            <w:noProof/>
            <w:webHidden/>
          </w:rPr>
          <w:t>33</w:t>
        </w:r>
        <w:r w:rsidR="00686EFB">
          <w:rPr>
            <w:noProof/>
            <w:webHidden/>
          </w:rPr>
          <w:fldChar w:fldCharType="end"/>
        </w:r>
      </w:hyperlink>
    </w:p>
    <w:p w14:paraId="658235DE" w14:textId="6023D8B2"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0" w:history="1">
        <w:r w:rsidR="00686EFB" w:rsidRPr="00FE254D">
          <w:rPr>
            <w:rStyle w:val="Hyperlink"/>
            <w:noProof/>
          </w:rPr>
          <w:t>Figure 19:  Potentiometric surface and groundwater flow directions in the Lower Tertiary aquifer of the southwest Ot</w:t>
        </w:r>
        <w:r w:rsidR="00686EFB">
          <w:rPr>
            <w:rStyle w:val="Hyperlink"/>
            <w:noProof/>
          </w:rPr>
          <w:t>way Basin</w:t>
        </w:r>
        <w:r w:rsidR="00686EFB">
          <w:rPr>
            <w:noProof/>
            <w:webHidden/>
          </w:rPr>
          <w:tab/>
        </w:r>
        <w:r w:rsidR="00686EFB">
          <w:rPr>
            <w:noProof/>
            <w:webHidden/>
          </w:rPr>
          <w:fldChar w:fldCharType="begin"/>
        </w:r>
        <w:r w:rsidR="00686EFB">
          <w:rPr>
            <w:noProof/>
            <w:webHidden/>
          </w:rPr>
          <w:instrText xml:space="preserve"> PAGEREF _Toc422928790 \h </w:instrText>
        </w:r>
        <w:r w:rsidR="00686EFB">
          <w:rPr>
            <w:noProof/>
            <w:webHidden/>
          </w:rPr>
        </w:r>
        <w:r w:rsidR="00686EFB">
          <w:rPr>
            <w:noProof/>
            <w:webHidden/>
          </w:rPr>
          <w:fldChar w:fldCharType="separate"/>
        </w:r>
        <w:r w:rsidR="00171A5E">
          <w:rPr>
            <w:noProof/>
            <w:webHidden/>
          </w:rPr>
          <w:t>34</w:t>
        </w:r>
        <w:r w:rsidR="00686EFB">
          <w:rPr>
            <w:noProof/>
            <w:webHidden/>
          </w:rPr>
          <w:fldChar w:fldCharType="end"/>
        </w:r>
      </w:hyperlink>
    </w:p>
    <w:p w14:paraId="4F5981E1" w14:textId="32B81EC2"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1" w:history="1">
        <w:r w:rsidR="00686EFB" w:rsidRPr="00FE254D">
          <w:rPr>
            <w:rStyle w:val="Hyperlink"/>
            <w:noProof/>
          </w:rPr>
          <w:t>Figure 20:  Isopach of the Cretaceou</w:t>
        </w:r>
        <w:r w:rsidR="00686EFB">
          <w:rPr>
            <w:rStyle w:val="Hyperlink"/>
            <w:noProof/>
          </w:rPr>
          <w:t>s Aquifer</w:t>
        </w:r>
        <w:r w:rsidR="00686EFB">
          <w:rPr>
            <w:noProof/>
            <w:webHidden/>
          </w:rPr>
          <w:tab/>
        </w:r>
        <w:r w:rsidR="00686EFB">
          <w:rPr>
            <w:noProof/>
            <w:webHidden/>
          </w:rPr>
          <w:fldChar w:fldCharType="begin"/>
        </w:r>
        <w:r w:rsidR="00686EFB">
          <w:rPr>
            <w:noProof/>
            <w:webHidden/>
          </w:rPr>
          <w:instrText xml:space="preserve"> PAGEREF _Toc422928791 \h </w:instrText>
        </w:r>
        <w:r w:rsidR="00686EFB">
          <w:rPr>
            <w:noProof/>
            <w:webHidden/>
          </w:rPr>
        </w:r>
        <w:r w:rsidR="00686EFB">
          <w:rPr>
            <w:noProof/>
            <w:webHidden/>
          </w:rPr>
          <w:fldChar w:fldCharType="separate"/>
        </w:r>
        <w:r w:rsidR="00171A5E">
          <w:rPr>
            <w:noProof/>
            <w:webHidden/>
          </w:rPr>
          <w:t>35</w:t>
        </w:r>
        <w:r w:rsidR="00686EFB">
          <w:rPr>
            <w:noProof/>
            <w:webHidden/>
          </w:rPr>
          <w:fldChar w:fldCharType="end"/>
        </w:r>
      </w:hyperlink>
    </w:p>
    <w:p w14:paraId="37D874B9" w14:textId="17571B13"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2" w:history="1">
        <w:r w:rsidR="00686EFB" w:rsidRPr="00FE254D">
          <w:rPr>
            <w:rStyle w:val="Hyperlink"/>
            <w:noProof/>
          </w:rPr>
          <w:t>Figure 21:  Groundwater salinity map of the upper Cretaceou</w:t>
        </w:r>
        <w:r w:rsidR="00686EFB">
          <w:rPr>
            <w:rStyle w:val="Hyperlink"/>
            <w:noProof/>
          </w:rPr>
          <w:t>s aquifer</w:t>
        </w:r>
        <w:r w:rsidR="00686EFB">
          <w:rPr>
            <w:noProof/>
            <w:webHidden/>
          </w:rPr>
          <w:tab/>
        </w:r>
        <w:r w:rsidR="00686EFB">
          <w:rPr>
            <w:noProof/>
            <w:webHidden/>
          </w:rPr>
          <w:fldChar w:fldCharType="begin"/>
        </w:r>
        <w:r w:rsidR="00686EFB">
          <w:rPr>
            <w:noProof/>
            <w:webHidden/>
          </w:rPr>
          <w:instrText xml:space="preserve"> PAGEREF _Toc422928792 \h </w:instrText>
        </w:r>
        <w:r w:rsidR="00686EFB">
          <w:rPr>
            <w:noProof/>
            <w:webHidden/>
          </w:rPr>
        </w:r>
        <w:r w:rsidR="00686EFB">
          <w:rPr>
            <w:noProof/>
            <w:webHidden/>
          </w:rPr>
          <w:fldChar w:fldCharType="separate"/>
        </w:r>
        <w:r w:rsidR="00171A5E">
          <w:rPr>
            <w:noProof/>
            <w:webHidden/>
          </w:rPr>
          <w:t>36</w:t>
        </w:r>
        <w:r w:rsidR="00686EFB">
          <w:rPr>
            <w:noProof/>
            <w:webHidden/>
          </w:rPr>
          <w:fldChar w:fldCharType="end"/>
        </w:r>
      </w:hyperlink>
    </w:p>
    <w:p w14:paraId="0602AAD6" w14:textId="6CC0A4B1"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3" w:history="1">
        <w:r w:rsidR="00686EFB" w:rsidRPr="00FE254D">
          <w:rPr>
            <w:rStyle w:val="Hyperlink"/>
            <w:noProof/>
          </w:rPr>
          <w:t>Figure 22:  Potentiometric surface and groundwater flow directions in the Cretaceou</w:t>
        </w:r>
        <w:r w:rsidR="00686EFB">
          <w:rPr>
            <w:rStyle w:val="Hyperlink"/>
            <w:noProof/>
          </w:rPr>
          <w:t>s aquifer</w:t>
        </w:r>
        <w:r w:rsidR="00686EFB">
          <w:rPr>
            <w:noProof/>
            <w:webHidden/>
          </w:rPr>
          <w:tab/>
        </w:r>
        <w:r w:rsidR="00686EFB">
          <w:rPr>
            <w:noProof/>
            <w:webHidden/>
          </w:rPr>
          <w:fldChar w:fldCharType="begin"/>
        </w:r>
        <w:r w:rsidR="00686EFB">
          <w:rPr>
            <w:noProof/>
            <w:webHidden/>
          </w:rPr>
          <w:instrText xml:space="preserve"> PAGEREF _Toc422928793 \h </w:instrText>
        </w:r>
        <w:r w:rsidR="00686EFB">
          <w:rPr>
            <w:noProof/>
            <w:webHidden/>
          </w:rPr>
        </w:r>
        <w:r w:rsidR="00686EFB">
          <w:rPr>
            <w:noProof/>
            <w:webHidden/>
          </w:rPr>
          <w:fldChar w:fldCharType="separate"/>
        </w:r>
        <w:r w:rsidR="00171A5E">
          <w:rPr>
            <w:noProof/>
            <w:webHidden/>
          </w:rPr>
          <w:t>37</w:t>
        </w:r>
        <w:r w:rsidR="00686EFB">
          <w:rPr>
            <w:noProof/>
            <w:webHidden/>
          </w:rPr>
          <w:fldChar w:fldCharType="end"/>
        </w:r>
      </w:hyperlink>
    </w:p>
    <w:p w14:paraId="2F608E1D" w14:textId="0FBE3D3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4" w:history="1">
        <w:r w:rsidR="00686EFB" w:rsidRPr="00FE254D">
          <w:rPr>
            <w:rStyle w:val="Hyperlink"/>
            <w:noProof/>
          </w:rPr>
          <w:t>Figure 23:  Surface water consumptive use for 2003 to 2013</w:t>
        </w:r>
        <w:r w:rsidR="00686EFB">
          <w:rPr>
            <w:noProof/>
            <w:webHidden/>
          </w:rPr>
          <w:tab/>
        </w:r>
        <w:r w:rsidR="00686EFB">
          <w:rPr>
            <w:noProof/>
            <w:webHidden/>
          </w:rPr>
          <w:fldChar w:fldCharType="begin"/>
        </w:r>
        <w:r w:rsidR="00686EFB">
          <w:rPr>
            <w:noProof/>
            <w:webHidden/>
          </w:rPr>
          <w:instrText xml:space="preserve"> PAGEREF _Toc422928794 \h </w:instrText>
        </w:r>
        <w:r w:rsidR="00686EFB">
          <w:rPr>
            <w:noProof/>
            <w:webHidden/>
          </w:rPr>
        </w:r>
        <w:r w:rsidR="00686EFB">
          <w:rPr>
            <w:noProof/>
            <w:webHidden/>
          </w:rPr>
          <w:fldChar w:fldCharType="separate"/>
        </w:r>
        <w:r w:rsidR="00171A5E">
          <w:rPr>
            <w:noProof/>
            <w:webHidden/>
          </w:rPr>
          <w:t>38</w:t>
        </w:r>
        <w:r w:rsidR="00686EFB">
          <w:rPr>
            <w:noProof/>
            <w:webHidden/>
          </w:rPr>
          <w:fldChar w:fldCharType="end"/>
        </w:r>
      </w:hyperlink>
    </w:p>
    <w:p w14:paraId="2638B51F" w14:textId="79CDF2F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5" w:history="1">
        <w:r w:rsidR="00686EFB" w:rsidRPr="00FE254D">
          <w:rPr>
            <w:rStyle w:val="Hyperlink"/>
            <w:noProof/>
          </w:rPr>
          <w:t>Figure 24:  Penola Trough cr</w:t>
        </w:r>
        <w:r w:rsidR="00686EFB">
          <w:rPr>
            <w:rStyle w:val="Hyperlink"/>
            <w:noProof/>
          </w:rPr>
          <w:t>oss section</w:t>
        </w:r>
        <w:r w:rsidR="00686EFB">
          <w:rPr>
            <w:noProof/>
            <w:webHidden/>
          </w:rPr>
          <w:tab/>
        </w:r>
        <w:r w:rsidR="00686EFB">
          <w:rPr>
            <w:noProof/>
            <w:webHidden/>
          </w:rPr>
          <w:fldChar w:fldCharType="begin"/>
        </w:r>
        <w:r w:rsidR="00686EFB">
          <w:rPr>
            <w:noProof/>
            <w:webHidden/>
          </w:rPr>
          <w:instrText xml:space="preserve"> PAGEREF _Toc422928795 \h </w:instrText>
        </w:r>
        <w:r w:rsidR="00686EFB">
          <w:rPr>
            <w:noProof/>
            <w:webHidden/>
          </w:rPr>
        </w:r>
        <w:r w:rsidR="00686EFB">
          <w:rPr>
            <w:noProof/>
            <w:webHidden/>
          </w:rPr>
          <w:fldChar w:fldCharType="separate"/>
        </w:r>
        <w:r w:rsidR="00171A5E">
          <w:rPr>
            <w:noProof/>
            <w:webHidden/>
          </w:rPr>
          <w:t>40</w:t>
        </w:r>
        <w:r w:rsidR="00686EFB">
          <w:rPr>
            <w:noProof/>
            <w:webHidden/>
          </w:rPr>
          <w:fldChar w:fldCharType="end"/>
        </w:r>
      </w:hyperlink>
    </w:p>
    <w:p w14:paraId="68891DC8" w14:textId="59DE4A8E"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6" w:history="1">
        <w:r w:rsidR="00686EFB" w:rsidRPr="00FE254D">
          <w:rPr>
            <w:rStyle w:val="Hyperlink"/>
            <w:noProof/>
          </w:rPr>
          <w:t>Figure 25:  Hydrostratigraphic cross-section of the Port Campbell Sub-basin</w:t>
        </w:r>
        <w:r w:rsidR="00686EFB">
          <w:rPr>
            <w:noProof/>
            <w:webHidden/>
          </w:rPr>
          <w:tab/>
        </w:r>
        <w:r w:rsidR="00686EFB">
          <w:rPr>
            <w:noProof/>
            <w:webHidden/>
          </w:rPr>
          <w:fldChar w:fldCharType="begin"/>
        </w:r>
        <w:r w:rsidR="00686EFB">
          <w:rPr>
            <w:noProof/>
            <w:webHidden/>
          </w:rPr>
          <w:instrText xml:space="preserve"> PAGEREF _Toc422928796 \h </w:instrText>
        </w:r>
        <w:r w:rsidR="00686EFB">
          <w:rPr>
            <w:noProof/>
            <w:webHidden/>
          </w:rPr>
        </w:r>
        <w:r w:rsidR="00686EFB">
          <w:rPr>
            <w:noProof/>
            <w:webHidden/>
          </w:rPr>
          <w:fldChar w:fldCharType="separate"/>
        </w:r>
        <w:r w:rsidR="00171A5E">
          <w:rPr>
            <w:noProof/>
            <w:webHidden/>
          </w:rPr>
          <w:t>42</w:t>
        </w:r>
        <w:r w:rsidR="00686EFB">
          <w:rPr>
            <w:noProof/>
            <w:webHidden/>
          </w:rPr>
          <w:fldChar w:fldCharType="end"/>
        </w:r>
      </w:hyperlink>
    </w:p>
    <w:p w14:paraId="6F487259" w14:textId="7C91F06D"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7" w:history="1">
        <w:r w:rsidR="00686EFB" w:rsidRPr="00FE254D">
          <w:rPr>
            <w:rStyle w:val="Hyperlink"/>
            <w:noProof/>
          </w:rPr>
          <w:t>Figure 26:  Hydrostratigraphic cross section of the Tyrendarra Sub-basin</w:t>
        </w:r>
        <w:r w:rsidR="00686EFB">
          <w:rPr>
            <w:noProof/>
            <w:webHidden/>
          </w:rPr>
          <w:tab/>
        </w:r>
        <w:r w:rsidR="00686EFB">
          <w:rPr>
            <w:noProof/>
            <w:webHidden/>
          </w:rPr>
          <w:fldChar w:fldCharType="begin"/>
        </w:r>
        <w:r w:rsidR="00686EFB">
          <w:rPr>
            <w:noProof/>
            <w:webHidden/>
          </w:rPr>
          <w:instrText xml:space="preserve"> PAGEREF _Toc422928797 \h </w:instrText>
        </w:r>
        <w:r w:rsidR="00686EFB">
          <w:rPr>
            <w:noProof/>
            <w:webHidden/>
          </w:rPr>
        </w:r>
        <w:r w:rsidR="00686EFB">
          <w:rPr>
            <w:noProof/>
            <w:webHidden/>
          </w:rPr>
          <w:fldChar w:fldCharType="separate"/>
        </w:r>
        <w:r w:rsidR="00171A5E">
          <w:rPr>
            <w:noProof/>
            <w:webHidden/>
          </w:rPr>
          <w:t>43</w:t>
        </w:r>
        <w:r w:rsidR="00686EFB">
          <w:rPr>
            <w:noProof/>
            <w:webHidden/>
          </w:rPr>
          <w:fldChar w:fldCharType="end"/>
        </w:r>
      </w:hyperlink>
    </w:p>
    <w:p w14:paraId="4957A15D"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8" w:history="1">
        <w:r w:rsidR="00686EFB" w:rsidRPr="00FE254D">
          <w:rPr>
            <w:rStyle w:val="Hyperlink"/>
            <w:noProof/>
          </w:rPr>
          <w:t>Figure 27:  Location of surface water features and depth to groundwater in the Otway region with sub-regional development scenario areas.</w:t>
        </w:r>
        <w:r w:rsidR="00686EFB">
          <w:rPr>
            <w:noProof/>
            <w:webHidden/>
          </w:rPr>
          <w:tab/>
        </w:r>
        <w:r w:rsidR="00686EFB">
          <w:rPr>
            <w:noProof/>
            <w:webHidden/>
          </w:rPr>
          <w:fldChar w:fldCharType="begin"/>
        </w:r>
        <w:r w:rsidR="00686EFB">
          <w:rPr>
            <w:noProof/>
            <w:webHidden/>
          </w:rPr>
          <w:instrText xml:space="preserve"> PAGEREF _Toc422928798 \h </w:instrText>
        </w:r>
        <w:r w:rsidR="00686EFB">
          <w:rPr>
            <w:noProof/>
            <w:webHidden/>
          </w:rPr>
        </w:r>
        <w:r w:rsidR="00686EFB">
          <w:rPr>
            <w:noProof/>
            <w:webHidden/>
          </w:rPr>
          <w:fldChar w:fldCharType="separate"/>
        </w:r>
        <w:r w:rsidR="00171A5E">
          <w:rPr>
            <w:noProof/>
            <w:webHidden/>
          </w:rPr>
          <w:t>46</w:t>
        </w:r>
        <w:r w:rsidR="00686EFB">
          <w:rPr>
            <w:noProof/>
            <w:webHidden/>
          </w:rPr>
          <w:fldChar w:fldCharType="end"/>
        </w:r>
      </w:hyperlink>
    </w:p>
    <w:p w14:paraId="41D64F51" w14:textId="0C346F3F"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799" w:history="1">
        <w:r w:rsidR="00686EFB" w:rsidRPr="00FE254D">
          <w:rPr>
            <w:rStyle w:val="Hyperlink"/>
            <w:noProof/>
          </w:rPr>
          <w:t>Figure 28:  Baseflow estimates to Victori</w:t>
        </w:r>
        <w:r w:rsidR="00686EFB">
          <w:rPr>
            <w:rStyle w:val="Hyperlink"/>
            <w:noProof/>
          </w:rPr>
          <w:t>an rivers</w:t>
        </w:r>
        <w:r w:rsidR="00686EFB">
          <w:rPr>
            <w:noProof/>
            <w:webHidden/>
          </w:rPr>
          <w:tab/>
        </w:r>
        <w:r w:rsidR="00686EFB">
          <w:rPr>
            <w:noProof/>
            <w:webHidden/>
          </w:rPr>
          <w:fldChar w:fldCharType="begin"/>
        </w:r>
        <w:r w:rsidR="00686EFB">
          <w:rPr>
            <w:noProof/>
            <w:webHidden/>
          </w:rPr>
          <w:instrText xml:space="preserve"> PAGEREF _Toc422928799 \h </w:instrText>
        </w:r>
        <w:r w:rsidR="00686EFB">
          <w:rPr>
            <w:noProof/>
            <w:webHidden/>
          </w:rPr>
        </w:r>
        <w:r w:rsidR="00686EFB">
          <w:rPr>
            <w:noProof/>
            <w:webHidden/>
          </w:rPr>
          <w:fldChar w:fldCharType="separate"/>
        </w:r>
        <w:r w:rsidR="00171A5E">
          <w:rPr>
            <w:noProof/>
            <w:webHidden/>
          </w:rPr>
          <w:t>47</w:t>
        </w:r>
        <w:r w:rsidR="00686EFB">
          <w:rPr>
            <w:noProof/>
            <w:webHidden/>
          </w:rPr>
          <w:fldChar w:fldCharType="end"/>
        </w:r>
      </w:hyperlink>
    </w:p>
    <w:p w14:paraId="55ADAACB"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0" w:history="1">
        <w:r w:rsidR="00686EFB" w:rsidRPr="00FE254D">
          <w:rPr>
            <w:rStyle w:val="Hyperlink"/>
            <w:noProof/>
          </w:rPr>
          <w:t>Figure 29:  Overview of impact assessment.</w:t>
        </w:r>
        <w:r w:rsidR="00686EFB">
          <w:rPr>
            <w:noProof/>
            <w:webHidden/>
          </w:rPr>
          <w:tab/>
        </w:r>
        <w:r w:rsidR="00686EFB">
          <w:rPr>
            <w:noProof/>
            <w:webHidden/>
          </w:rPr>
          <w:fldChar w:fldCharType="begin"/>
        </w:r>
        <w:r w:rsidR="00686EFB">
          <w:rPr>
            <w:noProof/>
            <w:webHidden/>
          </w:rPr>
          <w:instrText xml:space="preserve"> PAGEREF _Toc422928800 \h </w:instrText>
        </w:r>
        <w:r w:rsidR="00686EFB">
          <w:rPr>
            <w:noProof/>
            <w:webHidden/>
          </w:rPr>
        </w:r>
        <w:r w:rsidR="00686EFB">
          <w:rPr>
            <w:noProof/>
            <w:webHidden/>
          </w:rPr>
          <w:fldChar w:fldCharType="separate"/>
        </w:r>
        <w:r w:rsidR="00171A5E">
          <w:rPr>
            <w:noProof/>
            <w:webHidden/>
          </w:rPr>
          <w:t>49</w:t>
        </w:r>
        <w:r w:rsidR="00686EFB">
          <w:rPr>
            <w:noProof/>
            <w:webHidden/>
          </w:rPr>
          <w:fldChar w:fldCharType="end"/>
        </w:r>
      </w:hyperlink>
    </w:p>
    <w:p w14:paraId="027E1BD2"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1" w:history="1">
        <w:r w:rsidR="00686EFB" w:rsidRPr="00FE254D">
          <w:rPr>
            <w:rStyle w:val="Hyperlink"/>
            <w:noProof/>
          </w:rPr>
          <w:t>Figure 30:  Potential impact on receptors due to aquifer depressurisation.</w:t>
        </w:r>
        <w:r w:rsidR="00686EFB">
          <w:rPr>
            <w:noProof/>
            <w:webHidden/>
          </w:rPr>
          <w:tab/>
        </w:r>
        <w:r w:rsidR="00686EFB">
          <w:rPr>
            <w:noProof/>
            <w:webHidden/>
          </w:rPr>
          <w:fldChar w:fldCharType="begin"/>
        </w:r>
        <w:r w:rsidR="00686EFB">
          <w:rPr>
            <w:noProof/>
            <w:webHidden/>
          </w:rPr>
          <w:instrText xml:space="preserve"> PAGEREF _Toc422928801 \h </w:instrText>
        </w:r>
        <w:r w:rsidR="00686EFB">
          <w:rPr>
            <w:noProof/>
            <w:webHidden/>
          </w:rPr>
        </w:r>
        <w:r w:rsidR="00686EFB">
          <w:rPr>
            <w:noProof/>
            <w:webHidden/>
          </w:rPr>
          <w:fldChar w:fldCharType="separate"/>
        </w:r>
        <w:r w:rsidR="00171A5E">
          <w:rPr>
            <w:noProof/>
            <w:webHidden/>
          </w:rPr>
          <w:t>52</w:t>
        </w:r>
        <w:r w:rsidR="00686EFB">
          <w:rPr>
            <w:noProof/>
            <w:webHidden/>
          </w:rPr>
          <w:fldChar w:fldCharType="end"/>
        </w:r>
      </w:hyperlink>
    </w:p>
    <w:p w14:paraId="3AFDF43F"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2" w:history="1">
        <w:r w:rsidR="00686EFB" w:rsidRPr="00FE254D">
          <w:rPr>
            <w:rStyle w:val="Hyperlink"/>
            <w:noProof/>
          </w:rPr>
          <w:t>Figure 31:  Potential impact to aquifers from possible conventional gas development.</w:t>
        </w:r>
        <w:r w:rsidR="00686EFB">
          <w:rPr>
            <w:noProof/>
            <w:webHidden/>
          </w:rPr>
          <w:tab/>
        </w:r>
        <w:r w:rsidR="00686EFB">
          <w:rPr>
            <w:noProof/>
            <w:webHidden/>
          </w:rPr>
          <w:fldChar w:fldCharType="begin"/>
        </w:r>
        <w:r w:rsidR="00686EFB">
          <w:rPr>
            <w:noProof/>
            <w:webHidden/>
          </w:rPr>
          <w:instrText xml:space="preserve"> PAGEREF _Toc422928802 \h </w:instrText>
        </w:r>
        <w:r w:rsidR="00686EFB">
          <w:rPr>
            <w:noProof/>
            <w:webHidden/>
          </w:rPr>
        </w:r>
        <w:r w:rsidR="00686EFB">
          <w:rPr>
            <w:noProof/>
            <w:webHidden/>
          </w:rPr>
          <w:fldChar w:fldCharType="separate"/>
        </w:r>
        <w:r w:rsidR="00171A5E">
          <w:rPr>
            <w:noProof/>
            <w:webHidden/>
          </w:rPr>
          <w:t>53</w:t>
        </w:r>
        <w:r w:rsidR="00686EFB">
          <w:rPr>
            <w:noProof/>
            <w:webHidden/>
          </w:rPr>
          <w:fldChar w:fldCharType="end"/>
        </w:r>
      </w:hyperlink>
    </w:p>
    <w:p w14:paraId="3B8FEE21"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3" w:history="1">
        <w:r w:rsidR="00686EFB" w:rsidRPr="00FE254D">
          <w:rPr>
            <w:rStyle w:val="Hyperlink"/>
            <w:noProof/>
          </w:rPr>
          <w:t>Figure 32:  Potential impact to surface water users from possible conventional gas development.</w:t>
        </w:r>
        <w:r w:rsidR="00686EFB">
          <w:rPr>
            <w:noProof/>
            <w:webHidden/>
          </w:rPr>
          <w:tab/>
        </w:r>
        <w:r w:rsidR="00686EFB">
          <w:rPr>
            <w:noProof/>
            <w:webHidden/>
          </w:rPr>
          <w:fldChar w:fldCharType="begin"/>
        </w:r>
        <w:r w:rsidR="00686EFB">
          <w:rPr>
            <w:noProof/>
            <w:webHidden/>
          </w:rPr>
          <w:instrText xml:space="preserve"> PAGEREF _Toc422928803 \h </w:instrText>
        </w:r>
        <w:r w:rsidR="00686EFB">
          <w:rPr>
            <w:noProof/>
            <w:webHidden/>
          </w:rPr>
        </w:r>
        <w:r w:rsidR="00686EFB">
          <w:rPr>
            <w:noProof/>
            <w:webHidden/>
          </w:rPr>
          <w:fldChar w:fldCharType="separate"/>
        </w:r>
        <w:r w:rsidR="00171A5E">
          <w:rPr>
            <w:noProof/>
            <w:webHidden/>
          </w:rPr>
          <w:t>54</w:t>
        </w:r>
        <w:r w:rsidR="00686EFB">
          <w:rPr>
            <w:noProof/>
            <w:webHidden/>
          </w:rPr>
          <w:fldChar w:fldCharType="end"/>
        </w:r>
      </w:hyperlink>
    </w:p>
    <w:p w14:paraId="1BAF3F48"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4" w:history="1">
        <w:r w:rsidR="00686EFB" w:rsidRPr="00FE254D">
          <w:rPr>
            <w:rStyle w:val="Hyperlink"/>
            <w:noProof/>
          </w:rPr>
          <w:t>Figure 33:  Potential impact to surface water ecosystems from possible conventional gas development.</w:t>
        </w:r>
        <w:r w:rsidR="00686EFB">
          <w:rPr>
            <w:noProof/>
            <w:webHidden/>
          </w:rPr>
          <w:tab/>
        </w:r>
        <w:r w:rsidR="00686EFB">
          <w:rPr>
            <w:noProof/>
            <w:webHidden/>
          </w:rPr>
          <w:fldChar w:fldCharType="begin"/>
        </w:r>
        <w:r w:rsidR="00686EFB">
          <w:rPr>
            <w:noProof/>
            <w:webHidden/>
          </w:rPr>
          <w:instrText xml:space="preserve"> PAGEREF _Toc422928804 \h </w:instrText>
        </w:r>
        <w:r w:rsidR="00686EFB">
          <w:rPr>
            <w:noProof/>
            <w:webHidden/>
          </w:rPr>
        </w:r>
        <w:r w:rsidR="00686EFB">
          <w:rPr>
            <w:noProof/>
            <w:webHidden/>
          </w:rPr>
          <w:fldChar w:fldCharType="separate"/>
        </w:r>
        <w:r w:rsidR="00171A5E">
          <w:rPr>
            <w:noProof/>
            <w:webHidden/>
          </w:rPr>
          <w:t>54</w:t>
        </w:r>
        <w:r w:rsidR="00686EFB">
          <w:rPr>
            <w:noProof/>
            <w:webHidden/>
          </w:rPr>
          <w:fldChar w:fldCharType="end"/>
        </w:r>
      </w:hyperlink>
    </w:p>
    <w:p w14:paraId="2D1B7816"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5" w:history="1">
        <w:r w:rsidR="00686EFB" w:rsidRPr="00FE254D">
          <w:rPr>
            <w:rStyle w:val="Hyperlink"/>
            <w:noProof/>
          </w:rPr>
          <w:t>Figure 34: Potential impact to aquifers from possible tight gas development</w:t>
        </w:r>
        <w:r w:rsidR="00686EFB">
          <w:rPr>
            <w:noProof/>
            <w:webHidden/>
          </w:rPr>
          <w:tab/>
        </w:r>
        <w:r w:rsidR="00686EFB">
          <w:rPr>
            <w:noProof/>
            <w:webHidden/>
          </w:rPr>
          <w:fldChar w:fldCharType="begin"/>
        </w:r>
        <w:r w:rsidR="00686EFB">
          <w:rPr>
            <w:noProof/>
            <w:webHidden/>
          </w:rPr>
          <w:instrText xml:space="preserve"> PAGEREF _Toc422928805 \h </w:instrText>
        </w:r>
        <w:r w:rsidR="00686EFB">
          <w:rPr>
            <w:noProof/>
            <w:webHidden/>
          </w:rPr>
        </w:r>
        <w:r w:rsidR="00686EFB">
          <w:rPr>
            <w:noProof/>
            <w:webHidden/>
          </w:rPr>
          <w:fldChar w:fldCharType="separate"/>
        </w:r>
        <w:r w:rsidR="00171A5E">
          <w:rPr>
            <w:noProof/>
            <w:webHidden/>
          </w:rPr>
          <w:t>55</w:t>
        </w:r>
        <w:r w:rsidR="00686EFB">
          <w:rPr>
            <w:noProof/>
            <w:webHidden/>
          </w:rPr>
          <w:fldChar w:fldCharType="end"/>
        </w:r>
      </w:hyperlink>
    </w:p>
    <w:p w14:paraId="11DAB00C"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6" w:history="1">
        <w:r w:rsidR="00686EFB" w:rsidRPr="00FE254D">
          <w:rPr>
            <w:rStyle w:val="Hyperlink"/>
            <w:noProof/>
          </w:rPr>
          <w:t>Figure 35:  Potential impact to surface water users from possible tight gas development.</w:t>
        </w:r>
        <w:r w:rsidR="00686EFB">
          <w:rPr>
            <w:noProof/>
            <w:webHidden/>
          </w:rPr>
          <w:tab/>
        </w:r>
        <w:r w:rsidR="00686EFB">
          <w:rPr>
            <w:noProof/>
            <w:webHidden/>
          </w:rPr>
          <w:fldChar w:fldCharType="begin"/>
        </w:r>
        <w:r w:rsidR="00686EFB">
          <w:rPr>
            <w:noProof/>
            <w:webHidden/>
          </w:rPr>
          <w:instrText xml:space="preserve"> PAGEREF _Toc422928806 \h </w:instrText>
        </w:r>
        <w:r w:rsidR="00686EFB">
          <w:rPr>
            <w:noProof/>
            <w:webHidden/>
          </w:rPr>
        </w:r>
        <w:r w:rsidR="00686EFB">
          <w:rPr>
            <w:noProof/>
            <w:webHidden/>
          </w:rPr>
          <w:fldChar w:fldCharType="separate"/>
        </w:r>
        <w:r w:rsidR="00171A5E">
          <w:rPr>
            <w:noProof/>
            <w:webHidden/>
          </w:rPr>
          <w:t>56</w:t>
        </w:r>
        <w:r w:rsidR="00686EFB">
          <w:rPr>
            <w:noProof/>
            <w:webHidden/>
          </w:rPr>
          <w:fldChar w:fldCharType="end"/>
        </w:r>
      </w:hyperlink>
    </w:p>
    <w:p w14:paraId="0DA07DDA"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7" w:history="1">
        <w:r w:rsidR="00686EFB" w:rsidRPr="00FE254D">
          <w:rPr>
            <w:rStyle w:val="Hyperlink"/>
            <w:noProof/>
          </w:rPr>
          <w:t>Figure 36:  Potential impact to surface water ecosystems from possible tight gas development.</w:t>
        </w:r>
        <w:r w:rsidR="00686EFB">
          <w:rPr>
            <w:noProof/>
            <w:webHidden/>
          </w:rPr>
          <w:tab/>
        </w:r>
        <w:r w:rsidR="00686EFB">
          <w:rPr>
            <w:noProof/>
            <w:webHidden/>
          </w:rPr>
          <w:fldChar w:fldCharType="begin"/>
        </w:r>
        <w:r w:rsidR="00686EFB">
          <w:rPr>
            <w:noProof/>
            <w:webHidden/>
          </w:rPr>
          <w:instrText xml:space="preserve"> PAGEREF _Toc422928807 \h </w:instrText>
        </w:r>
        <w:r w:rsidR="00686EFB">
          <w:rPr>
            <w:noProof/>
            <w:webHidden/>
          </w:rPr>
        </w:r>
        <w:r w:rsidR="00686EFB">
          <w:rPr>
            <w:noProof/>
            <w:webHidden/>
          </w:rPr>
          <w:fldChar w:fldCharType="separate"/>
        </w:r>
        <w:r w:rsidR="00171A5E">
          <w:rPr>
            <w:noProof/>
            <w:webHidden/>
          </w:rPr>
          <w:t>56</w:t>
        </w:r>
        <w:r w:rsidR="00686EFB">
          <w:rPr>
            <w:noProof/>
            <w:webHidden/>
          </w:rPr>
          <w:fldChar w:fldCharType="end"/>
        </w:r>
      </w:hyperlink>
    </w:p>
    <w:p w14:paraId="6108BE3A"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8" w:history="1">
        <w:r w:rsidR="00686EFB" w:rsidRPr="00FE254D">
          <w:rPr>
            <w:rStyle w:val="Hyperlink"/>
            <w:noProof/>
          </w:rPr>
          <w:t>Figure 37:  Potential impact to aquifers from possible shale gas development.</w:t>
        </w:r>
        <w:r w:rsidR="00686EFB">
          <w:rPr>
            <w:noProof/>
            <w:webHidden/>
          </w:rPr>
          <w:tab/>
        </w:r>
        <w:r w:rsidR="00686EFB">
          <w:rPr>
            <w:noProof/>
            <w:webHidden/>
          </w:rPr>
          <w:fldChar w:fldCharType="begin"/>
        </w:r>
        <w:r w:rsidR="00686EFB">
          <w:rPr>
            <w:noProof/>
            <w:webHidden/>
          </w:rPr>
          <w:instrText xml:space="preserve"> PAGEREF _Toc422928808 \h </w:instrText>
        </w:r>
        <w:r w:rsidR="00686EFB">
          <w:rPr>
            <w:noProof/>
            <w:webHidden/>
          </w:rPr>
        </w:r>
        <w:r w:rsidR="00686EFB">
          <w:rPr>
            <w:noProof/>
            <w:webHidden/>
          </w:rPr>
          <w:fldChar w:fldCharType="separate"/>
        </w:r>
        <w:r w:rsidR="00171A5E">
          <w:rPr>
            <w:noProof/>
            <w:webHidden/>
          </w:rPr>
          <w:t>57</w:t>
        </w:r>
        <w:r w:rsidR="00686EFB">
          <w:rPr>
            <w:noProof/>
            <w:webHidden/>
          </w:rPr>
          <w:fldChar w:fldCharType="end"/>
        </w:r>
      </w:hyperlink>
    </w:p>
    <w:p w14:paraId="2776B374"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09" w:history="1">
        <w:r w:rsidR="00686EFB" w:rsidRPr="00FE254D">
          <w:rPr>
            <w:rStyle w:val="Hyperlink"/>
            <w:noProof/>
          </w:rPr>
          <w:t>Figure 38:  Potential impact to surface water users from possible shale gas development.</w:t>
        </w:r>
        <w:r w:rsidR="00686EFB">
          <w:rPr>
            <w:noProof/>
            <w:webHidden/>
          </w:rPr>
          <w:tab/>
        </w:r>
        <w:r w:rsidR="00686EFB">
          <w:rPr>
            <w:noProof/>
            <w:webHidden/>
          </w:rPr>
          <w:fldChar w:fldCharType="begin"/>
        </w:r>
        <w:r w:rsidR="00686EFB">
          <w:rPr>
            <w:noProof/>
            <w:webHidden/>
          </w:rPr>
          <w:instrText xml:space="preserve"> PAGEREF _Toc422928809 \h </w:instrText>
        </w:r>
        <w:r w:rsidR="00686EFB">
          <w:rPr>
            <w:noProof/>
            <w:webHidden/>
          </w:rPr>
        </w:r>
        <w:r w:rsidR="00686EFB">
          <w:rPr>
            <w:noProof/>
            <w:webHidden/>
          </w:rPr>
          <w:fldChar w:fldCharType="separate"/>
        </w:r>
        <w:r w:rsidR="00171A5E">
          <w:rPr>
            <w:noProof/>
            <w:webHidden/>
          </w:rPr>
          <w:t>58</w:t>
        </w:r>
        <w:r w:rsidR="00686EFB">
          <w:rPr>
            <w:noProof/>
            <w:webHidden/>
          </w:rPr>
          <w:fldChar w:fldCharType="end"/>
        </w:r>
      </w:hyperlink>
    </w:p>
    <w:p w14:paraId="0FCF30B3"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0" w:history="1">
        <w:r w:rsidR="00686EFB" w:rsidRPr="00FE254D">
          <w:rPr>
            <w:rStyle w:val="Hyperlink"/>
            <w:noProof/>
          </w:rPr>
          <w:t>Figure 39:  Potential impact to surface water ecosystems from possible shale gas development.</w:t>
        </w:r>
        <w:r w:rsidR="00686EFB">
          <w:rPr>
            <w:noProof/>
            <w:webHidden/>
          </w:rPr>
          <w:tab/>
        </w:r>
        <w:r w:rsidR="00686EFB">
          <w:rPr>
            <w:noProof/>
            <w:webHidden/>
          </w:rPr>
          <w:fldChar w:fldCharType="begin"/>
        </w:r>
        <w:r w:rsidR="00686EFB">
          <w:rPr>
            <w:noProof/>
            <w:webHidden/>
          </w:rPr>
          <w:instrText xml:space="preserve"> PAGEREF _Toc422928810 \h </w:instrText>
        </w:r>
        <w:r w:rsidR="00686EFB">
          <w:rPr>
            <w:noProof/>
            <w:webHidden/>
          </w:rPr>
        </w:r>
        <w:r w:rsidR="00686EFB">
          <w:rPr>
            <w:noProof/>
            <w:webHidden/>
          </w:rPr>
          <w:fldChar w:fldCharType="separate"/>
        </w:r>
        <w:r w:rsidR="00171A5E">
          <w:rPr>
            <w:noProof/>
            <w:webHidden/>
          </w:rPr>
          <w:t>58</w:t>
        </w:r>
        <w:r w:rsidR="00686EFB">
          <w:rPr>
            <w:noProof/>
            <w:webHidden/>
          </w:rPr>
          <w:fldChar w:fldCharType="end"/>
        </w:r>
      </w:hyperlink>
    </w:p>
    <w:p w14:paraId="1A8C086A"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1" w:history="1">
        <w:r w:rsidR="00686EFB" w:rsidRPr="00FE254D">
          <w:rPr>
            <w:rStyle w:val="Hyperlink"/>
            <w:noProof/>
          </w:rPr>
          <w:t>Figure 40:  Potential impact to aquifers from possible coal seam gas (black coal) development.</w:t>
        </w:r>
        <w:r w:rsidR="00686EFB">
          <w:rPr>
            <w:noProof/>
            <w:webHidden/>
          </w:rPr>
          <w:tab/>
        </w:r>
        <w:r w:rsidR="00686EFB">
          <w:rPr>
            <w:noProof/>
            <w:webHidden/>
          </w:rPr>
          <w:fldChar w:fldCharType="begin"/>
        </w:r>
        <w:r w:rsidR="00686EFB">
          <w:rPr>
            <w:noProof/>
            <w:webHidden/>
          </w:rPr>
          <w:instrText xml:space="preserve"> PAGEREF _Toc422928811 \h </w:instrText>
        </w:r>
        <w:r w:rsidR="00686EFB">
          <w:rPr>
            <w:noProof/>
            <w:webHidden/>
          </w:rPr>
        </w:r>
        <w:r w:rsidR="00686EFB">
          <w:rPr>
            <w:noProof/>
            <w:webHidden/>
          </w:rPr>
          <w:fldChar w:fldCharType="separate"/>
        </w:r>
        <w:r w:rsidR="00171A5E">
          <w:rPr>
            <w:noProof/>
            <w:webHidden/>
          </w:rPr>
          <w:t>59</w:t>
        </w:r>
        <w:r w:rsidR="00686EFB">
          <w:rPr>
            <w:noProof/>
            <w:webHidden/>
          </w:rPr>
          <w:fldChar w:fldCharType="end"/>
        </w:r>
      </w:hyperlink>
    </w:p>
    <w:p w14:paraId="092B85A1"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2" w:history="1">
        <w:r w:rsidR="00686EFB" w:rsidRPr="00FE254D">
          <w:rPr>
            <w:rStyle w:val="Hyperlink"/>
            <w:noProof/>
          </w:rPr>
          <w:t>Figure 41:  Potential impact to surface water users from possible coal seam gas (black coal) development.</w:t>
        </w:r>
        <w:r w:rsidR="00686EFB">
          <w:rPr>
            <w:noProof/>
            <w:webHidden/>
          </w:rPr>
          <w:tab/>
        </w:r>
        <w:r w:rsidR="00686EFB">
          <w:rPr>
            <w:noProof/>
            <w:webHidden/>
          </w:rPr>
          <w:fldChar w:fldCharType="begin"/>
        </w:r>
        <w:r w:rsidR="00686EFB">
          <w:rPr>
            <w:noProof/>
            <w:webHidden/>
          </w:rPr>
          <w:instrText xml:space="preserve"> PAGEREF _Toc422928812 \h </w:instrText>
        </w:r>
        <w:r w:rsidR="00686EFB">
          <w:rPr>
            <w:noProof/>
            <w:webHidden/>
          </w:rPr>
        </w:r>
        <w:r w:rsidR="00686EFB">
          <w:rPr>
            <w:noProof/>
            <w:webHidden/>
          </w:rPr>
          <w:fldChar w:fldCharType="separate"/>
        </w:r>
        <w:r w:rsidR="00171A5E">
          <w:rPr>
            <w:noProof/>
            <w:webHidden/>
          </w:rPr>
          <w:t>60</w:t>
        </w:r>
        <w:r w:rsidR="00686EFB">
          <w:rPr>
            <w:noProof/>
            <w:webHidden/>
          </w:rPr>
          <w:fldChar w:fldCharType="end"/>
        </w:r>
      </w:hyperlink>
    </w:p>
    <w:p w14:paraId="65B23107" w14:textId="7777777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3" w:history="1">
        <w:r w:rsidR="00686EFB" w:rsidRPr="00FE254D">
          <w:rPr>
            <w:rStyle w:val="Hyperlink"/>
            <w:noProof/>
          </w:rPr>
          <w:t>Figure 42:  Potential impact to surface water ecosystems from possible coal seam gas (black coal) development.</w:t>
        </w:r>
        <w:r w:rsidR="00686EFB">
          <w:rPr>
            <w:noProof/>
            <w:webHidden/>
          </w:rPr>
          <w:tab/>
        </w:r>
        <w:r w:rsidR="00686EFB">
          <w:rPr>
            <w:noProof/>
            <w:webHidden/>
          </w:rPr>
          <w:fldChar w:fldCharType="begin"/>
        </w:r>
        <w:r w:rsidR="00686EFB">
          <w:rPr>
            <w:noProof/>
            <w:webHidden/>
          </w:rPr>
          <w:instrText xml:space="preserve"> PAGEREF _Toc422928813 \h </w:instrText>
        </w:r>
        <w:r w:rsidR="00686EFB">
          <w:rPr>
            <w:noProof/>
            <w:webHidden/>
          </w:rPr>
        </w:r>
        <w:r w:rsidR="00686EFB">
          <w:rPr>
            <w:noProof/>
            <w:webHidden/>
          </w:rPr>
          <w:fldChar w:fldCharType="separate"/>
        </w:r>
        <w:r w:rsidR="00171A5E">
          <w:rPr>
            <w:noProof/>
            <w:webHidden/>
          </w:rPr>
          <w:t>60</w:t>
        </w:r>
        <w:r w:rsidR="00686EFB">
          <w:rPr>
            <w:noProof/>
            <w:webHidden/>
          </w:rPr>
          <w:fldChar w:fldCharType="end"/>
        </w:r>
      </w:hyperlink>
    </w:p>
    <w:p w14:paraId="000FB496" w14:textId="273B7610"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4" w:history="1">
        <w:r w:rsidR="00686EFB" w:rsidRPr="00FE254D">
          <w:rPr>
            <w:rStyle w:val="Hyperlink"/>
            <w:noProof/>
          </w:rPr>
          <w:t>Figure 43:  Schematic of a deep unconventional (shale) gas well in the Cooper Basin, Austral</w:t>
        </w:r>
        <w:r w:rsidR="00686EFB">
          <w:rPr>
            <w:rStyle w:val="Hyperlink"/>
            <w:noProof/>
          </w:rPr>
          <w:t>ia</w:t>
        </w:r>
        <w:r w:rsidR="00686EFB">
          <w:rPr>
            <w:noProof/>
            <w:webHidden/>
          </w:rPr>
          <w:tab/>
        </w:r>
        <w:r w:rsidR="00686EFB">
          <w:rPr>
            <w:noProof/>
            <w:webHidden/>
          </w:rPr>
          <w:fldChar w:fldCharType="begin"/>
        </w:r>
        <w:r w:rsidR="00686EFB">
          <w:rPr>
            <w:noProof/>
            <w:webHidden/>
          </w:rPr>
          <w:instrText xml:space="preserve"> PAGEREF _Toc422928814 \h </w:instrText>
        </w:r>
        <w:r w:rsidR="00686EFB">
          <w:rPr>
            <w:noProof/>
            <w:webHidden/>
          </w:rPr>
        </w:r>
        <w:r w:rsidR="00686EFB">
          <w:rPr>
            <w:noProof/>
            <w:webHidden/>
          </w:rPr>
          <w:fldChar w:fldCharType="separate"/>
        </w:r>
        <w:r w:rsidR="00171A5E">
          <w:rPr>
            <w:noProof/>
            <w:webHidden/>
          </w:rPr>
          <w:t>63</w:t>
        </w:r>
        <w:r w:rsidR="00686EFB">
          <w:rPr>
            <w:noProof/>
            <w:webHidden/>
          </w:rPr>
          <w:fldChar w:fldCharType="end"/>
        </w:r>
      </w:hyperlink>
    </w:p>
    <w:p w14:paraId="758F8634" w14:textId="40A0421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5" w:history="1">
        <w:r w:rsidR="00686EFB" w:rsidRPr="00FE254D">
          <w:rPr>
            <w:rStyle w:val="Hyperlink"/>
            <w:noProof/>
          </w:rPr>
          <w:t>Figure 44:  Location of formations where fracture height and HF fluid volume were collected</w:t>
        </w:r>
        <w:r w:rsidR="00686EFB">
          <w:rPr>
            <w:rStyle w:val="Hyperlink"/>
            <w:noProof/>
          </w:rPr>
          <w:t xml:space="preserve"> and c</w:t>
        </w:r>
        <w:r w:rsidR="00686EFB" w:rsidRPr="00FE254D">
          <w:rPr>
            <w:rStyle w:val="Hyperlink"/>
            <w:noProof/>
          </w:rPr>
          <w:t>o</w:t>
        </w:r>
        <w:r w:rsidR="00686EFB">
          <w:rPr>
            <w:rStyle w:val="Hyperlink"/>
            <w:noProof/>
          </w:rPr>
          <w:t>-</w:t>
        </w:r>
        <w:r w:rsidR="00686EFB" w:rsidRPr="00FE254D">
          <w:rPr>
            <w:rStyle w:val="Hyperlink"/>
            <w:noProof/>
          </w:rPr>
          <w:t>variance between fracture height and HF fluid vo</w:t>
        </w:r>
        <w:r w:rsidR="00686EFB">
          <w:rPr>
            <w:rStyle w:val="Hyperlink"/>
            <w:noProof/>
          </w:rPr>
          <w:t>lume</w:t>
        </w:r>
        <w:r w:rsidR="00686EFB">
          <w:rPr>
            <w:noProof/>
            <w:webHidden/>
          </w:rPr>
          <w:tab/>
        </w:r>
        <w:r w:rsidR="00686EFB">
          <w:rPr>
            <w:noProof/>
            <w:webHidden/>
          </w:rPr>
          <w:fldChar w:fldCharType="begin"/>
        </w:r>
        <w:r w:rsidR="00686EFB">
          <w:rPr>
            <w:noProof/>
            <w:webHidden/>
          </w:rPr>
          <w:instrText xml:space="preserve"> PAGEREF _Toc422928815 \h </w:instrText>
        </w:r>
        <w:r w:rsidR="00686EFB">
          <w:rPr>
            <w:noProof/>
            <w:webHidden/>
          </w:rPr>
        </w:r>
        <w:r w:rsidR="00686EFB">
          <w:rPr>
            <w:noProof/>
            <w:webHidden/>
          </w:rPr>
          <w:fldChar w:fldCharType="separate"/>
        </w:r>
        <w:r w:rsidR="00171A5E">
          <w:rPr>
            <w:noProof/>
            <w:webHidden/>
          </w:rPr>
          <w:t>68</w:t>
        </w:r>
        <w:r w:rsidR="00686EFB">
          <w:rPr>
            <w:noProof/>
            <w:webHidden/>
          </w:rPr>
          <w:fldChar w:fldCharType="end"/>
        </w:r>
      </w:hyperlink>
    </w:p>
    <w:p w14:paraId="1E1C5D13" w14:textId="4EA05AB0"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6" w:history="1">
        <w:r w:rsidR="00686EFB" w:rsidRPr="00FE254D">
          <w:rPr>
            <w:rStyle w:val="Hyperlink"/>
            <w:noProof/>
          </w:rPr>
          <w:t>Figure 45: Conceptual shape of zone of hydraulic frac</w:t>
        </w:r>
        <w:r w:rsidR="00686EFB">
          <w:rPr>
            <w:rStyle w:val="Hyperlink"/>
            <w:noProof/>
          </w:rPr>
          <w:t>ture extent for a vertical well</w:t>
        </w:r>
        <w:r w:rsidR="00686EFB">
          <w:rPr>
            <w:noProof/>
            <w:webHidden/>
          </w:rPr>
          <w:tab/>
        </w:r>
        <w:r w:rsidR="00686EFB">
          <w:rPr>
            <w:noProof/>
            <w:webHidden/>
          </w:rPr>
          <w:fldChar w:fldCharType="begin"/>
        </w:r>
        <w:r w:rsidR="00686EFB">
          <w:rPr>
            <w:noProof/>
            <w:webHidden/>
          </w:rPr>
          <w:instrText xml:space="preserve"> PAGEREF _Toc422928816 \h </w:instrText>
        </w:r>
        <w:r w:rsidR="00686EFB">
          <w:rPr>
            <w:noProof/>
            <w:webHidden/>
          </w:rPr>
        </w:r>
        <w:r w:rsidR="00686EFB">
          <w:rPr>
            <w:noProof/>
            <w:webHidden/>
          </w:rPr>
          <w:fldChar w:fldCharType="separate"/>
        </w:r>
        <w:r w:rsidR="00171A5E">
          <w:rPr>
            <w:noProof/>
            <w:webHidden/>
          </w:rPr>
          <w:t>69</w:t>
        </w:r>
        <w:r w:rsidR="00686EFB">
          <w:rPr>
            <w:noProof/>
            <w:webHidden/>
          </w:rPr>
          <w:fldChar w:fldCharType="end"/>
        </w:r>
      </w:hyperlink>
    </w:p>
    <w:p w14:paraId="412B5D78" w14:textId="1F1D5B17"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7" w:history="1">
        <w:r w:rsidR="00686EFB" w:rsidRPr="00FE254D">
          <w:rPr>
            <w:rStyle w:val="Hyperlink"/>
            <w:noProof/>
          </w:rPr>
          <w:t>Figure 46:  Number and magnitude of earthquakes recorded from 2000 to 2012 worldwide and i</w:t>
        </w:r>
        <w:r w:rsidR="00686EFB">
          <w:rPr>
            <w:rStyle w:val="Hyperlink"/>
            <w:noProof/>
          </w:rPr>
          <w:t>n the USA</w:t>
        </w:r>
        <w:r w:rsidR="00686EFB">
          <w:rPr>
            <w:noProof/>
            <w:webHidden/>
          </w:rPr>
          <w:tab/>
        </w:r>
        <w:r w:rsidR="00686EFB">
          <w:rPr>
            <w:noProof/>
            <w:webHidden/>
          </w:rPr>
          <w:fldChar w:fldCharType="begin"/>
        </w:r>
        <w:r w:rsidR="00686EFB">
          <w:rPr>
            <w:noProof/>
            <w:webHidden/>
          </w:rPr>
          <w:instrText xml:space="preserve"> PAGEREF _Toc422928817 \h </w:instrText>
        </w:r>
        <w:r w:rsidR="00686EFB">
          <w:rPr>
            <w:noProof/>
            <w:webHidden/>
          </w:rPr>
        </w:r>
        <w:r w:rsidR="00686EFB">
          <w:rPr>
            <w:noProof/>
            <w:webHidden/>
          </w:rPr>
          <w:fldChar w:fldCharType="separate"/>
        </w:r>
        <w:r w:rsidR="00171A5E">
          <w:rPr>
            <w:noProof/>
            <w:webHidden/>
          </w:rPr>
          <w:t>76</w:t>
        </w:r>
        <w:r w:rsidR="00686EFB">
          <w:rPr>
            <w:noProof/>
            <w:webHidden/>
          </w:rPr>
          <w:fldChar w:fldCharType="end"/>
        </w:r>
      </w:hyperlink>
    </w:p>
    <w:p w14:paraId="37ADADF2" w14:textId="33DEE74D"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8" w:history="1">
        <w:r w:rsidR="00686EFB" w:rsidRPr="00FE254D">
          <w:rPr>
            <w:rStyle w:val="Hyperlink"/>
            <w:noProof/>
          </w:rPr>
          <w:t>Figure 47:  Earthquake magnitude and typical eff</w:t>
        </w:r>
        <w:r w:rsidR="00686EFB">
          <w:rPr>
            <w:rStyle w:val="Hyperlink"/>
            <w:noProof/>
          </w:rPr>
          <w:t>ect.</w:t>
        </w:r>
        <w:r w:rsidR="00686EFB">
          <w:rPr>
            <w:noProof/>
            <w:webHidden/>
          </w:rPr>
          <w:tab/>
        </w:r>
        <w:r w:rsidR="00686EFB">
          <w:rPr>
            <w:noProof/>
            <w:webHidden/>
          </w:rPr>
          <w:fldChar w:fldCharType="begin"/>
        </w:r>
        <w:r w:rsidR="00686EFB">
          <w:rPr>
            <w:noProof/>
            <w:webHidden/>
          </w:rPr>
          <w:instrText xml:space="preserve"> PAGEREF _Toc422928818 \h </w:instrText>
        </w:r>
        <w:r w:rsidR="00686EFB">
          <w:rPr>
            <w:noProof/>
            <w:webHidden/>
          </w:rPr>
        </w:r>
        <w:r w:rsidR="00686EFB">
          <w:rPr>
            <w:noProof/>
            <w:webHidden/>
          </w:rPr>
          <w:fldChar w:fldCharType="separate"/>
        </w:r>
        <w:r w:rsidR="00171A5E">
          <w:rPr>
            <w:noProof/>
            <w:webHidden/>
          </w:rPr>
          <w:t>77</w:t>
        </w:r>
        <w:r w:rsidR="00686EFB">
          <w:rPr>
            <w:noProof/>
            <w:webHidden/>
          </w:rPr>
          <w:fldChar w:fldCharType="end"/>
        </w:r>
      </w:hyperlink>
    </w:p>
    <w:p w14:paraId="1CF6DF3A" w14:textId="408DFCD1"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19" w:history="1">
        <w:r w:rsidR="00686EFB" w:rsidRPr="00FE254D">
          <w:rPr>
            <w:rStyle w:val="Hyperlink"/>
            <w:noProof/>
          </w:rPr>
          <w:t>Figure 48:  Frequency and magnitude of earthquakes in Vi</w:t>
        </w:r>
        <w:r w:rsidR="00686EFB">
          <w:rPr>
            <w:rStyle w:val="Hyperlink"/>
            <w:noProof/>
          </w:rPr>
          <w:t>ctoria from 1990 to 2014</w:t>
        </w:r>
        <w:r w:rsidR="00686EFB">
          <w:rPr>
            <w:noProof/>
            <w:webHidden/>
          </w:rPr>
          <w:tab/>
        </w:r>
        <w:r w:rsidR="00686EFB">
          <w:rPr>
            <w:noProof/>
            <w:webHidden/>
          </w:rPr>
          <w:fldChar w:fldCharType="begin"/>
        </w:r>
        <w:r w:rsidR="00686EFB">
          <w:rPr>
            <w:noProof/>
            <w:webHidden/>
          </w:rPr>
          <w:instrText xml:space="preserve"> PAGEREF _Toc422928819 \h </w:instrText>
        </w:r>
        <w:r w:rsidR="00686EFB">
          <w:rPr>
            <w:noProof/>
            <w:webHidden/>
          </w:rPr>
        </w:r>
        <w:r w:rsidR="00686EFB">
          <w:rPr>
            <w:noProof/>
            <w:webHidden/>
          </w:rPr>
          <w:fldChar w:fldCharType="separate"/>
        </w:r>
        <w:r w:rsidR="00171A5E">
          <w:rPr>
            <w:noProof/>
            <w:webHidden/>
          </w:rPr>
          <w:t>77</w:t>
        </w:r>
        <w:r w:rsidR="00686EFB">
          <w:rPr>
            <w:noProof/>
            <w:webHidden/>
          </w:rPr>
          <w:fldChar w:fldCharType="end"/>
        </w:r>
      </w:hyperlink>
    </w:p>
    <w:p w14:paraId="45DE8465" w14:textId="61A6E39B"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20" w:history="1">
        <w:r w:rsidR="00686EFB" w:rsidRPr="00FE254D">
          <w:rPr>
            <w:rStyle w:val="Hyperlink"/>
            <w:noProof/>
          </w:rPr>
          <w:t>Figure 49:  Distribution and magnitude of earthquakes in Victoria from 19</w:t>
        </w:r>
        <w:r w:rsidR="00686EFB">
          <w:rPr>
            <w:rStyle w:val="Hyperlink"/>
            <w:noProof/>
          </w:rPr>
          <w:t>90 to 2014 current</w:t>
        </w:r>
        <w:r w:rsidR="00686EFB">
          <w:rPr>
            <w:noProof/>
            <w:webHidden/>
          </w:rPr>
          <w:tab/>
        </w:r>
        <w:r w:rsidR="00686EFB">
          <w:rPr>
            <w:noProof/>
            <w:webHidden/>
          </w:rPr>
          <w:fldChar w:fldCharType="begin"/>
        </w:r>
        <w:r w:rsidR="00686EFB">
          <w:rPr>
            <w:noProof/>
            <w:webHidden/>
          </w:rPr>
          <w:instrText xml:space="preserve"> PAGEREF _Toc422928820 \h </w:instrText>
        </w:r>
        <w:r w:rsidR="00686EFB">
          <w:rPr>
            <w:noProof/>
            <w:webHidden/>
          </w:rPr>
        </w:r>
        <w:r w:rsidR="00686EFB">
          <w:rPr>
            <w:noProof/>
            <w:webHidden/>
          </w:rPr>
          <w:fldChar w:fldCharType="separate"/>
        </w:r>
        <w:r w:rsidR="00171A5E">
          <w:rPr>
            <w:noProof/>
            <w:webHidden/>
          </w:rPr>
          <w:t>78</w:t>
        </w:r>
        <w:r w:rsidR="00686EFB">
          <w:rPr>
            <w:noProof/>
            <w:webHidden/>
          </w:rPr>
          <w:fldChar w:fldCharType="end"/>
        </w:r>
      </w:hyperlink>
    </w:p>
    <w:p w14:paraId="0489E5BF" w14:textId="045CE162" w:rsidR="00686EFB" w:rsidRDefault="00367954" w:rsidP="00896387">
      <w:pPr>
        <w:pStyle w:val="TableofFigures"/>
        <w:tabs>
          <w:tab w:val="right" w:leader="dot" w:pos="9628"/>
        </w:tabs>
        <w:ind w:left="0" w:firstLine="0"/>
        <w:rPr>
          <w:rFonts w:asciiTheme="minorHAnsi" w:eastAsiaTheme="minorEastAsia" w:hAnsiTheme="minorHAnsi" w:cstheme="minorBidi"/>
          <w:noProof/>
          <w:sz w:val="22"/>
          <w:szCs w:val="22"/>
          <w:lang w:val="en-AU"/>
        </w:rPr>
      </w:pPr>
      <w:hyperlink w:anchor="_Toc422928821" w:history="1">
        <w:r w:rsidR="00686EFB" w:rsidRPr="00FE254D">
          <w:rPr>
            <w:rStyle w:val="Hyperlink"/>
            <w:noProof/>
          </w:rPr>
          <w:t xml:space="preserve">Figure 50:  Location and magnitude of seismic events caused by or likely to be related to  energy development from various energy technologies </w:t>
        </w:r>
        <w:r w:rsidR="00686EFB">
          <w:rPr>
            <w:rStyle w:val="Hyperlink"/>
            <w:noProof/>
          </w:rPr>
          <w:t>worldwide.</w:t>
        </w:r>
        <w:r w:rsidR="00686EFB">
          <w:rPr>
            <w:noProof/>
            <w:webHidden/>
          </w:rPr>
          <w:tab/>
        </w:r>
        <w:r w:rsidR="00686EFB">
          <w:rPr>
            <w:noProof/>
            <w:webHidden/>
          </w:rPr>
          <w:fldChar w:fldCharType="begin"/>
        </w:r>
        <w:r w:rsidR="00686EFB">
          <w:rPr>
            <w:noProof/>
            <w:webHidden/>
          </w:rPr>
          <w:instrText xml:space="preserve"> PAGEREF _Toc422928821 \h </w:instrText>
        </w:r>
        <w:r w:rsidR="00686EFB">
          <w:rPr>
            <w:noProof/>
            <w:webHidden/>
          </w:rPr>
        </w:r>
        <w:r w:rsidR="00686EFB">
          <w:rPr>
            <w:noProof/>
            <w:webHidden/>
          </w:rPr>
          <w:fldChar w:fldCharType="separate"/>
        </w:r>
        <w:r w:rsidR="00171A5E">
          <w:rPr>
            <w:noProof/>
            <w:webHidden/>
          </w:rPr>
          <w:t>79</w:t>
        </w:r>
        <w:r w:rsidR="00686EFB">
          <w:rPr>
            <w:noProof/>
            <w:webHidden/>
          </w:rPr>
          <w:fldChar w:fldCharType="end"/>
        </w:r>
      </w:hyperlink>
    </w:p>
    <w:p w14:paraId="0D4B7DAE" w14:textId="77777777" w:rsidR="000E2370" w:rsidRDefault="000F46D3">
      <w:r>
        <w:rPr>
          <w:rFonts w:cs="Arial"/>
        </w:rPr>
        <w:fldChar w:fldCharType="end"/>
      </w:r>
    </w:p>
    <w:p w14:paraId="4092FA37" w14:textId="2AA90E46" w:rsidR="000F46D3" w:rsidRDefault="000F46D3" w:rsidP="00C150BC">
      <w:pPr>
        <w:pStyle w:val="Head2xx"/>
      </w:pPr>
      <w:bookmarkStart w:id="17" w:name="_Toc296657992"/>
      <w:bookmarkStart w:id="18" w:name="_Toc296766913"/>
      <w:bookmarkStart w:id="19" w:name="_Toc422927884"/>
      <w:r>
        <w:t>Tables</w:t>
      </w:r>
      <w:bookmarkEnd w:id="17"/>
      <w:bookmarkEnd w:id="18"/>
      <w:bookmarkEnd w:id="19"/>
    </w:p>
    <w:p w14:paraId="67F6AB31" w14:textId="457BDE61" w:rsidR="009C08E6" w:rsidRDefault="000F46D3"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fldChar w:fldCharType="begin"/>
      </w:r>
      <w:r>
        <w:instrText xml:space="preserve"> TOC \h \z \c "Table" </w:instrText>
      </w:r>
      <w:r>
        <w:fldChar w:fldCharType="separate"/>
      </w:r>
      <w:r w:rsidR="009C08E6">
        <w:rPr>
          <w:noProof/>
        </w:rPr>
        <w:t>Table 1:  Relationship between stratigraphic units and hydrogeological units.</w:t>
      </w:r>
      <w:r w:rsidR="009C08E6">
        <w:rPr>
          <w:noProof/>
        </w:rPr>
        <w:tab/>
      </w:r>
      <w:r w:rsidR="009C08E6">
        <w:rPr>
          <w:noProof/>
        </w:rPr>
        <w:fldChar w:fldCharType="begin"/>
      </w:r>
      <w:r w:rsidR="009C08E6">
        <w:rPr>
          <w:noProof/>
        </w:rPr>
        <w:instrText xml:space="preserve"> PAGEREF _Toc296770881 \h </w:instrText>
      </w:r>
      <w:r w:rsidR="009C08E6">
        <w:rPr>
          <w:noProof/>
        </w:rPr>
      </w:r>
      <w:r w:rsidR="009C08E6">
        <w:rPr>
          <w:noProof/>
        </w:rPr>
        <w:fldChar w:fldCharType="separate"/>
      </w:r>
      <w:r w:rsidR="00171A5E">
        <w:rPr>
          <w:noProof/>
        </w:rPr>
        <w:t>28</w:t>
      </w:r>
      <w:r w:rsidR="009C08E6">
        <w:rPr>
          <w:noProof/>
        </w:rPr>
        <w:fldChar w:fldCharType="end"/>
      </w:r>
    </w:p>
    <w:p w14:paraId="7D127739" w14:textId="3C0EFC0A"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 xml:space="preserve">Table 2:  Surface water entitlements and volumes taken (i.e. usage) figures for 2012–2013. </w:t>
      </w:r>
      <w:r>
        <w:rPr>
          <w:noProof/>
        </w:rPr>
        <w:tab/>
      </w:r>
      <w:r>
        <w:rPr>
          <w:noProof/>
        </w:rPr>
        <w:fldChar w:fldCharType="begin"/>
      </w:r>
      <w:r>
        <w:rPr>
          <w:noProof/>
        </w:rPr>
        <w:instrText xml:space="preserve"> PAGEREF _Toc296770882 \h </w:instrText>
      </w:r>
      <w:r>
        <w:rPr>
          <w:noProof/>
        </w:rPr>
      </w:r>
      <w:r>
        <w:rPr>
          <w:noProof/>
        </w:rPr>
        <w:fldChar w:fldCharType="separate"/>
      </w:r>
      <w:r w:rsidR="00171A5E">
        <w:rPr>
          <w:noProof/>
        </w:rPr>
        <w:t>38</w:t>
      </w:r>
      <w:r>
        <w:rPr>
          <w:noProof/>
        </w:rPr>
        <w:fldChar w:fldCharType="end"/>
      </w:r>
    </w:p>
    <w:p w14:paraId="4874D2A6" w14:textId="3D948121"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 xml:space="preserve">Table 3:  Summary of total groundwater use in groundwater management units for the </w:t>
      </w:r>
      <w:r w:rsidR="00896387">
        <w:rPr>
          <w:noProof/>
        </w:rPr>
        <w:br/>
      </w:r>
      <w:r>
        <w:rPr>
          <w:noProof/>
        </w:rPr>
        <w:t xml:space="preserve">2012–2013 period. </w:t>
      </w:r>
      <w:r>
        <w:rPr>
          <w:noProof/>
        </w:rPr>
        <w:tab/>
      </w:r>
      <w:r>
        <w:rPr>
          <w:noProof/>
        </w:rPr>
        <w:fldChar w:fldCharType="begin"/>
      </w:r>
      <w:r>
        <w:rPr>
          <w:noProof/>
        </w:rPr>
        <w:instrText xml:space="preserve"> PAGEREF _Toc296770883 \h </w:instrText>
      </w:r>
      <w:r>
        <w:rPr>
          <w:noProof/>
        </w:rPr>
      </w:r>
      <w:r>
        <w:rPr>
          <w:noProof/>
        </w:rPr>
        <w:fldChar w:fldCharType="separate"/>
      </w:r>
      <w:r w:rsidR="00171A5E">
        <w:rPr>
          <w:noProof/>
        </w:rPr>
        <w:t>39</w:t>
      </w:r>
      <w:r>
        <w:rPr>
          <w:noProof/>
        </w:rPr>
        <w:fldChar w:fldCharType="end"/>
      </w:r>
    </w:p>
    <w:p w14:paraId="44C1F768" w14:textId="4D66789A"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4:  Rules to define water receptors’ potential connection to groundwater.</w:t>
      </w:r>
      <w:r>
        <w:rPr>
          <w:noProof/>
        </w:rPr>
        <w:tab/>
      </w:r>
      <w:r>
        <w:rPr>
          <w:noProof/>
        </w:rPr>
        <w:fldChar w:fldCharType="begin"/>
      </w:r>
      <w:r>
        <w:rPr>
          <w:noProof/>
        </w:rPr>
        <w:instrText xml:space="preserve"> PAGEREF _Toc296770884 \h </w:instrText>
      </w:r>
      <w:r>
        <w:rPr>
          <w:noProof/>
        </w:rPr>
      </w:r>
      <w:r>
        <w:rPr>
          <w:noProof/>
        </w:rPr>
        <w:fldChar w:fldCharType="separate"/>
      </w:r>
      <w:r w:rsidR="00171A5E">
        <w:rPr>
          <w:noProof/>
        </w:rPr>
        <w:t>50</w:t>
      </w:r>
      <w:r>
        <w:rPr>
          <w:noProof/>
        </w:rPr>
        <w:fldChar w:fldCharType="end"/>
      </w:r>
    </w:p>
    <w:p w14:paraId="603D2719" w14:textId="6F2D85B5"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5:  Rules defining the potential effect on water receptors of groundwater drawdown.</w:t>
      </w:r>
      <w:r>
        <w:rPr>
          <w:noProof/>
        </w:rPr>
        <w:tab/>
      </w:r>
      <w:r>
        <w:rPr>
          <w:noProof/>
        </w:rPr>
        <w:fldChar w:fldCharType="begin"/>
      </w:r>
      <w:r>
        <w:rPr>
          <w:noProof/>
        </w:rPr>
        <w:instrText xml:space="preserve"> PAGEREF _Toc296770885 \h </w:instrText>
      </w:r>
      <w:r>
        <w:rPr>
          <w:noProof/>
        </w:rPr>
      </w:r>
      <w:r>
        <w:rPr>
          <w:noProof/>
        </w:rPr>
        <w:fldChar w:fldCharType="separate"/>
      </w:r>
      <w:r w:rsidR="00171A5E">
        <w:rPr>
          <w:noProof/>
        </w:rPr>
        <w:t>51</w:t>
      </w:r>
      <w:r>
        <w:rPr>
          <w:noProof/>
        </w:rPr>
        <w:fldChar w:fldCharType="end"/>
      </w:r>
    </w:p>
    <w:p w14:paraId="2511CD84" w14:textId="406F61D2"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6:  Hydraulic fracturing fluid constituents.</w:t>
      </w:r>
      <w:r>
        <w:rPr>
          <w:noProof/>
        </w:rPr>
        <w:tab/>
      </w:r>
      <w:r>
        <w:rPr>
          <w:noProof/>
        </w:rPr>
        <w:fldChar w:fldCharType="begin"/>
      </w:r>
      <w:r>
        <w:rPr>
          <w:noProof/>
        </w:rPr>
        <w:instrText xml:space="preserve"> PAGEREF _Toc296770886 \h </w:instrText>
      </w:r>
      <w:r>
        <w:rPr>
          <w:noProof/>
        </w:rPr>
      </w:r>
      <w:r>
        <w:rPr>
          <w:noProof/>
        </w:rPr>
        <w:fldChar w:fldCharType="separate"/>
      </w:r>
      <w:r w:rsidR="00171A5E">
        <w:rPr>
          <w:noProof/>
        </w:rPr>
        <w:t>65</w:t>
      </w:r>
      <w:r>
        <w:rPr>
          <w:noProof/>
        </w:rPr>
        <w:fldChar w:fldCharType="end"/>
      </w:r>
    </w:p>
    <w:p w14:paraId="3705F5DA" w14:textId="0C0892E1"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7:  Proposed connection assessment criteria for hydraulic fracturing impacts.</w:t>
      </w:r>
      <w:r>
        <w:rPr>
          <w:noProof/>
        </w:rPr>
        <w:tab/>
      </w:r>
      <w:r>
        <w:rPr>
          <w:noProof/>
        </w:rPr>
        <w:fldChar w:fldCharType="begin"/>
      </w:r>
      <w:r>
        <w:rPr>
          <w:noProof/>
        </w:rPr>
        <w:instrText xml:space="preserve"> PAGEREF _Toc296770887 \h </w:instrText>
      </w:r>
      <w:r>
        <w:rPr>
          <w:noProof/>
        </w:rPr>
      </w:r>
      <w:r>
        <w:rPr>
          <w:noProof/>
        </w:rPr>
        <w:fldChar w:fldCharType="separate"/>
      </w:r>
      <w:r w:rsidR="00171A5E">
        <w:rPr>
          <w:noProof/>
        </w:rPr>
        <w:t>73</w:t>
      </w:r>
      <w:r>
        <w:rPr>
          <w:noProof/>
        </w:rPr>
        <w:fldChar w:fldCharType="end"/>
      </w:r>
    </w:p>
    <w:p w14:paraId="7AB58F2C" w14:textId="3FF77032"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8:  Proposed consequence scale for hydraulic fracturing impacts.</w:t>
      </w:r>
      <w:r>
        <w:rPr>
          <w:noProof/>
        </w:rPr>
        <w:tab/>
      </w:r>
      <w:r>
        <w:rPr>
          <w:noProof/>
        </w:rPr>
        <w:fldChar w:fldCharType="begin"/>
      </w:r>
      <w:r>
        <w:rPr>
          <w:noProof/>
        </w:rPr>
        <w:instrText xml:space="preserve"> PAGEREF _Toc296770888 \h </w:instrText>
      </w:r>
      <w:r>
        <w:rPr>
          <w:noProof/>
        </w:rPr>
      </w:r>
      <w:r>
        <w:rPr>
          <w:noProof/>
        </w:rPr>
        <w:fldChar w:fldCharType="separate"/>
      </w:r>
      <w:r w:rsidR="00171A5E">
        <w:rPr>
          <w:noProof/>
        </w:rPr>
        <w:t>73</w:t>
      </w:r>
      <w:r>
        <w:rPr>
          <w:noProof/>
        </w:rPr>
        <w:fldChar w:fldCharType="end"/>
      </w:r>
    </w:p>
    <w:p w14:paraId="2242892A" w14:textId="1297F952"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9:  Proposed likelihood assessment criteria for induced seismicity.</w:t>
      </w:r>
      <w:r>
        <w:rPr>
          <w:noProof/>
        </w:rPr>
        <w:tab/>
      </w:r>
      <w:r>
        <w:rPr>
          <w:noProof/>
        </w:rPr>
        <w:fldChar w:fldCharType="begin"/>
      </w:r>
      <w:r>
        <w:rPr>
          <w:noProof/>
        </w:rPr>
        <w:instrText xml:space="preserve"> PAGEREF _Toc296770889 \h </w:instrText>
      </w:r>
      <w:r>
        <w:rPr>
          <w:noProof/>
        </w:rPr>
      </w:r>
      <w:r>
        <w:rPr>
          <w:noProof/>
        </w:rPr>
        <w:fldChar w:fldCharType="separate"/>
      </w:r>
      <w:r w:rsidR="00171A5E">
        <w:rPr>
          <w:noProof/>
        </w:rPr>
        <w:t>82</w:t>
      </w:r>
      <w:r>
        <w:rPr>
          <w:noProof/>
        </w:rPr>
        <w:fldChar w:fldCharType="end"/>
      </w:r>
    </w:p>
    <w:p w14:paraId="6D94E599" w14:textId="6B447961"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10:  Proposed consequence scale for induced seismicity.</w:t>
      </w:r>
      <w:r>
        <w:rPr>
          <w:noProof/>
        </w:rPr>
        <w:tab/>
      </w:r>
      <w:r>
        <w:rPr>
          <w:noProof/>
        </w:rPr>
        <w:fldChar w:fldCharType="begin"/>
      </w:r>
      <w:r>
        <w:rPr>
          <w:noProof/>
        </w:rPr>
        <w:instrText xml:space="preserve"> PAGEREF _Toc296770890 \h </w:instrText>
      </w:r>
      <w:r>
        <w:rPr>
          <w:noProof/>
        </w:rPr>
      </w:r>
      <w:r>
        <w:rPr>
          <w:noProof/>
        </w:rPr>
        <w:fldChar w:fldCharType="separate"/>
      </w:r>
      <w:r w:rsidR="00171A5E">
        <w:rPr>
          <w:noProof/>
        </w:rPr>
        <w:t>83</w:t>
      </w:r>
      <w:r>
        <w:rPr>
          <w:noProof/>
        </w:rPr>
        <w:fldChar w:fldCharType="end"/>
      </w:r>
    </w:p>
    <w:p w14:paraId="04391A84" w14:textId="3CF18017"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11:  Proposed likelihood scale for subsidence caused by drawdown in aquifers.</w:t>
      </w:r>
      <w:r>
        <w:rPr>
          <w:noProof/>
        </w:rPr>
        <w:tab/>
      </w:r>
      <w:r>
        <w:rPr>
          <w:noProof/>
        </w:rPr>
        <w:fldChar w:fldCharType="begin"/>
      </w:r>
      <w:r>
        <w:rPr>
          <w:noProof/>
        </w:rPr>
        <w:instrText xml:space="preserve"> PAGEREF _Toc296770891 \h </w:instrText>
      </w:r>
      <w:r>
        <w:rPr>
          <w:noProof/>
        </w:rPr>
      </w:r>
      <w:r>
        <w:rPr>
          <w:noProof/>
        </w:rPr>
        <w:fldChar w:fldCharType="separate"/>
      </w:r>
      <w:r w:rsidR="00171A5E">
        <w:rPr>
          <w:noProof/>
        </w:rPr>
        <w:t>87</w:t>
      </w:r>
      <w:r>
        <w:rPr>
          <w:noProof/>
        </w:rPr>
        <w:fldChar w:fldCharType="end"/>
      </w:r>
    </w:p>
    <w:p w14:paraId="1DBAFE37" w14:textId="071C1F57"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 xml:space="preserve">Table 12:  Proposed likelihood assessment criteria for subsidence as a result of onshore </w:t>
      </w:r>
      <w:r w:rsidR="00896387">
        <w:rPr>
          <w:noProof/>
        </w:rPr>
        <w:br/>
      </w:r>
      <w:r>
        <w:rPr>
          <w:noProof/>
        </w:rPr>
        <w:t>gas development.</w:t>
      </w:r>
      <w:r>
        <w:rPr>
          <w:noProof/>
        </w:rPr>
        <w:tab/>
      </w:r>
      <w:r>
        <w:rPr>
          <w:noProof/>
        </w:rPr>
        <w:fldChar w:fldCharType="begin"/>
      </w:r>
      <w:r>
        <w:rPr>
          <w:noProof/>
        </w:rPr>
        <w:instrText xml:space="preserve"> PAGEREF _Toc296770892 \h </w:instrText>
      </w:r>
      <w:r>
        <w:rPr>
          <w:noProof/>
        </w:rPr>
      </w:r>
      <w:r>
        <w:rPr>
          <w:noProof/>
        </w:rPr>
        <w:fldChar w:fldCharType="separate"/>
      </w:r>
      <w:r w:rsidR="00171A5E">
        <w:rPr>
          <w:noProof/>
        </w:rPr>
        <w:t>87</w:t>
      </w:r>
      <w:r>
        <w:rPr>
          <w:noProof/>
        </w:rPr>
        <w:fldChar w:fldCharType="end"/>
      </w:r>
    </w:p>
    <w:p w14:paraId="29B749AA" w14:textId="5CEAFA63"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 xml:space="preserve">Table 13:  Potential for impact due to aquifer depressurisation from onshore natural gas development </w:t>
      </w:r>
      <w:r w:rsidR="00896387">
        <w:rPr>
          <w:noProof/>
        </w:rPr>
        <w:br/>
      </w:r>
      <w:r>
        <w:rPr>
          <w:noProof/>
        </w:rPr>
        <w:t>in the Otway region.</w:t>
      </w:r>
      <w:r>
        <w:rPr>
          <w:noProof/>
        </w:rPr>
        <w:tab/>
      </w:r>
      <w:r>
        <w:rPr>
          <w:noProof/>
        </w:rPr>
        <w:fldChar w:fldCharType="begin"/>
      </w:r>
      <w:r>
        <w:rPr>
          <w:noProof/>
        </w:rPr>
        <w:instrText xml:space="preserve"> PAGEREF _Toc296770893 \h </w:instrText>
      </w:r>
      <w:r>
        <w:rPr>
          <w:noProof/>
        </w:rPr>
      </w:r>
      <w:r>
        <w:rPr>
          <w:noProof/>
        </w:rPr>
        <w:fldChar w:fldCharType="separate"/>
      </w:r>
      <w:r w:rsidR="00171A5E">
        <w:rPr>
          <w:noProof/>
        </w:rPr>
        <w:t>90</w:t>
      </w:r>
      <w:r>
        <w:rPr>
          <w:noProof/>
        </w:rPr>
        <w:fldChar w:fldCharType="end"/>
      </w:r>
    </w:p>
    <w:p w14:paraId="7791D5BF" w14:textId="6BA54A28" w:rsidR="009C08E6" w:rsidRDefault="009C08E6" w:rsidP="00896387">
      <w:pPr>
        <w:pStyle w:val="TableofFigures"/>
        <w:tabs>
          <w:tab w:val="right" w:leader="dot" w:pos="9628"/>
        </w:tabs>
        <w:ind w:left="0" w:firstLine="0"/>
        <w:rPr>
          <w:rFonts w:asciiTheme="minorHAnsi" w:eastAsiaTheme="minorEastAsia" w:hAnsiTheme="minorHAnsi" w:cstheme="minorBidi"/>
          <w:noProof/>
          <w:sz w:val="24"/>
          <w:szCs w:val="24"/>
          <w:lang w:val="en-AU" w:eastAsia="ja-JP"/>
        </w:rPr>
      </w:pPr>
      <w:r>
        <w:rPr>
          <w:noProof/>
        </w:rPr>
        <w:t>Table 14:  Potential risks due chemical contamination of groundwater from hydraulic fracturing fluids, induced seismicity and land subsidence from onshore natural gas development in the Otway region.</w:t>
      </w:r>
      <w:r>
        <w:rPr>
          <w:noProof/>
        </w:rPr>
        <w:tab/>
      </w:r>
      <w:r>
        <w:rPr>
          <w:noProof/>
        </w:rPr>
        <w:fldChar w:fldCharType="begin"/>
      </w:r>
      <w:r>
        <w:rPr>
          <w:noProof/>
        </w:rPr>
        <w:instrText xml:space="preserve"> PAGEREF _Toc296770894 \h </w:instrText>
      </w:r>
      <w:r>
        <w:rPr>
          <w:noProof/>
        </w:rPr>
      </w:r>
      <w:r>
        <w:rPr>
          <w:noProof/>
        </w:rPr>
        <w:fldChar w:fldCharType="separate"/>
      </w:r>
      <w:r w:rsidR="00171A5E">
        <w:rPr>
          <w:noProof/>
        </w:rPr>
        <w:t>90</w:t>
      </w:r>
      <w:r>
        <w:rPr>
          <w:noProof/>
        </w:rPr>
        <w:fldChar w:fldCharType="end"/>
      </w:r>
    </w:p>
    <w:p w14:paraId="53E6038F" w14:textId="77777777" w:rsidR="000F46D3" w:rsidRDefault="000F46D3" w:rsidP="00896387">
      <w:r>
        <w:fldChar w:fldCharType="end"/>
      </w:r>
    </w:p>
    <w:p w14:paraId="75ADD8D7" w14:textId="77777777" w:rsidR="00501191" w:rsidRDefault="00501191"/>
    <w:p w14:paraId="29649FC0" w14:textId="77777777" w:rsidR="00501191" w:rsidRPr="00642A5D" w:rsidRDefault="00501191"/>
    <w:p w14:paraId="2A00EFA9" w14:textId="338B307E" w:rsidR="00EE0F7D" w:rsidRDefault="00EE0F7D">
      <w:pPr>
        <w:spacing w:after="200"/>
      </w:pPr>
      <w:r>
        <w:br w:type="page"/>
      </w:r>
    </w:p>
    <w:p w14:paraId="53E04D50" w14:textId="1A686CBD" w:rsidR="00D671B2" w:rsidRDefault="00D671B2" w:rsidP="00C150BC">
      <w:pPr>
        <w:pStyle w:val="Head2xx"/>
        <w:ind w:left="720" w:hanging="720"/>
      </w:pPr>
      <w:bookmarkStart w:id="20" w:name="_Toc419895445"/>
      <w:bookmarkStart w:id="21" w:name="_Toc420330887"/>
      <w:bookmarkStart w:id="22" w:name="_Toc420570225"/>
      <w:bookmarkStart w:id="23" w:name="_Toc420571421"/>
      <w:bookmarkStart w:id="24" w:name="_Toc420572059"/>
      <w:bookmarkStart w:id="25" w:name="_Toc296766914"/>
      <w:bookmarkStart w:id="26" w:name="_Toc422927885"/>
      <w:r w:rsidRPr="00544AE6">
        <w:lastRenderedPageBreak/>
        <w:t>Glossary</w:t>
      </w:r>
      <w:bookmarkEnd w:id="20"/>
      <w:bookmarkEnd w:id="21"/>
      <w:r>
        <w:t xml:space="preserve"> and </w:t>
      </w:r>
      <w:r w:rsidR="002D4544">
        <w:t>abbreviations</w:t>
      </w:r>
      <w:bookmarkEnd w:id="22"/>
      <w:bookmarkEnd w:id="23"/>
      <w:bookmarkEnd w:id="24"/>
      <w:bookmarkEnd w:id="25"/>
      <w:bookmarkEnd w:id="26"/>
    </w:p>
    <w:tbl>
      <w:tblPr>
        <w:tblStyle w:val="TableGrid"/>
        <w:tblW w:w="9781" w:type="dxa"/>
        <w:tblInd w:w="108" w:type="dxa"/>
        <w:tblBorders>
          <w:top w:val="none" w:sz="0" w:space="0" w:color="auto"/>
          <w:left w:val="none" w:sz="0" w:space="0" w:color="auto"/>
          <w:bottom w:val="single" w:sz="4" w:space="0" w:color="005A97"/>
          <w:right w:val="none" w:sz="0" w:space="0" w:color="auto"/>
          <w:insideH w:val="single" w:sz="4" w:space="0" w:color="005A97"/>
          <w:insideV w:val="none" w:sz="0" w:space="0" w:color="auto"/>
        </w:tblBorders>
        <w:tblLayout w:type="fixed"/>
        <w:tblLook w:val="04A0" w:firstRow="1" w:lastRow="0" w:firstColumn="1" w:lastColumn="0" w:noHBand="0" w:noVBand="1"/>
      </w:tblPr>
      <w:tblGrid>
        <w:gridCol w:w="2410"/>
        <w:gridCol w:w="7371"/>
      </w:tblGrid>
      <w:tr w:rsidR="00A24A41" w:rsidRPr="00A24A41" w14:paraId="1C8371E5" w14:textId="77777777" w:rsidTr="008658DE">
        <w:trPr>
          <w:cantSplit/>
          <w:tblHeader/>
        </w:trPr>
        <w:tc>
          <w:tcPr>
            <w:tcW w:w="2410" w:type="dxa"/>
            <w:shd w:val="clear" w:color="auto" w:fill="005A97"/>
          </w:tcPr>
          <w:p w14:paraId="71A8CE80" w14:textId="79B51FAD" w:rsidR="00A24A41" w:rsidRPr="005229A4" w:rsidRDefault="00A24A41" w:rsidP="00936508">
            <w:pPr>
              <w:pStyle w:val="TableHeaderrow"/>
            </w:pPr>
            <w:r w:rsidRPr="005229A4">
              <w:t>Term</w:t>
            </w:r>
          </w:p>
        </w:tc>
        <w:tc>
          <w:tcPr>
            <w:tcW w:w="7371" w:type="dxa"/>
            <w:shd w:val="clear" w:color="auto" w:fill="005A97"/>
          </w:tcPr>
          <w:p w14:paraId="7406F9E9" w14:textId="348D269C" w:rsidR="00A24A41" w:rsidRPr="00A24A41" w:rsidRDefault="00A24A41" w:rsidP="00936508">
            <w:pPr>
              <w:pStyle w:val="TableHeaderrow"/>
              <w:rPr>
                <w:iCs/>
                <w:color w:val="AEC12D"/>
                <w:sz w:val="32"/>
                <w:szCs w:val="28"/>
              </w:rPr>
            </w:pPr>
            <w:r w:rsidRPr="00A24A41">
              <w:t>Meaning</w:t>
            </w:r>
          </w:p>
        </w:tc>
      </w:tr>
      <w:tr w:rsidR="00A24A41" w:rsidRPr="005229A4" w14:paraId="5962ADC4" w14:textId="77777777" w:rsidTr="008658DE">
        <w:trPr>
          <w:tblHeader/>
        </w:trPr>
        <w:tc>
          <w:tcPr>
            <w:tcW w:w="2410" w:type="dxa"/>
          </w:tcPr>
          <w:p w14:paraId="0908ACF1" w14:textId="77777777" w:rsidR="00A24A41" w:rsidRPr="005229A4" w:rsidRDefault="00A24A41" w:rsidP="00936508">
            <w:pPr>
              <w:pStyle w:val="Tabletext"/>
            </w:pPr>
            <w:r w:rsidRPr="005229A4">
              <w:t>AHD</w:t>
            </w:r>
          </w:p>
        </w:tc>
        <w:tc>
          <w:tcPr>
            <w:tcW w:w="7371" w:type="dxa"/>
          </w:tcPr>
          <w:p w14:paraId="2CDF3CFE" w14:textId="77777777" w:rsidR="00A24A41" w:rsidRPr="005229A4" w:rsidRDefault="00A24A41" w:rsidP="00936508">
            <w:pPr>
              <w:pStyle w:val="Tabletext"/>
            </w:pPr>
            <w:r w:rsidRPr="005229A4">
              <w:t>Australian Height Datum</w:t>
            </w:r>
          </w:p>
        </w:tc>
      </w:tr>
      <w:tr w:rsidR="00A24A41" w:rsidRPr="00B00B1A" w14:paraId="31819CE0" w14:textId="77777777" w:rsidTr="008658DE">
        <w:trPr>
          <w:tblHeader/>
        </w:trPr>
        <w:tc>
          <w:tcPr>
            <w:tcW w:w="2410" w:type="dxa"/>
            <w:hideMark/>
          </w:tcPr>
          <w:p w14:paraId="39B12958" w14:textId="77777777" w:rsidR="00A24A41" w:rsidRPr="00B00B1A" w:rsidRDefault="00A24A41" w:rsidP="00936508">
            <w:pPr>
              <w:pStyle w:val="Tabletext"/>
              <w:rPr>
                <w:bCs/>
                <w:iCs/>
                <w:color w:val="AEC12D"/>
                <w:sz w:val="32"/>
                <w:szCs w:val="28"/>
              </w:rPr>
            </w:pPr>
            <w:r w:rsidRPr="00B00B1A">
              <w:t>aquifer</w:t>
            </w:r>
          </w:p>
        </w:tc>
        <w:tc>
          <w:tcPr>
            <w:tcW w:w="7371" w:type="dxa"/>
            <w:hideMark/>
          </w:tcPr>
          <w:p w14:paraId="5C8BF972" w14:textId="77777777" w:rsidR="00A24A41" w:rsidRPr="00B00B1A" w:rsidRDefault="00A24A41" w:rsidP="00936508">
            <w:pPr>
              <w:pStyle w:val="Tabletext"/>
              <w:rPr>
                <w:rFonts w:cs="Arial"/>
                <w:bCs/>
                <w:iCs/>
                <w:color w:val="AEC12D"/>
                <w:sz w:val="32"/>
                <w:szCs w:val="28"/>
              </w:rPr>
            </w:pPr>
            <w:r w:rsidRPr="00B00B1A">
              <w:rPr>
                <w:rFonts w:cs="Arial"/>
              </w:rPr>
              <w:t xml:space="preserve">rock or soil that readily transmits water </w:t>
            </w:r>
          </w:p>
        </w:tc>
      </w:tr>
      <w:tr w:rsidR="00A24A41" w:rsidRPr="002D4544" w14:paraId="51CD0E8B" w14:textId="77777777" w:rsidTr="008658DE">
        <w:trPr>
          <w:tblHeader/>
        </w:trPr>
        <w:tc>
          <w:tcPr>
            <w:tcW w:w="2410" w:type="dxa"/>
            <w:hideMark/>
          </w:tcPr>
          <w:p w14:paraId="546C1A70" w14:textId="77777777" w:rsidR="00A24A41" w:rsidRPr="00B00B1A" w:rsidRDefault="00A24A41" w:rsidP="00936508">
            <w:pPr>
              <w:pStyle w:val="Tabletext"/>
              <w:rPr>
                <w:bCs/>
                <w:iCs/>
                <w:color w:val="AEC12D"/>
                <w:sz w:val="32"/>
                <w:szCs w:val="28"/>
              </w:rPr>
            </w:pPr>
            <w:r w:rsidRPr="00B00B1A">
              <w:t>aquitard</w:t>
            </w:r>
          </w:p>
        </w:tc>
        <w:tc>
          <w:tcPr>
            <w:tcW w:w="7371" w:type="dxa"/>
            <w:hideMark/>
          </w:tcPr>
          <w:p w14:paraId="523F1098" w14:textId="77777777" w:rsidR="00A24A41" w:rsidRPr="00B00B1A" w:rsidRDefault="00A24A41" w:rsidP="00936508">
            <w:pPr>
              <w:pStyle w:val="Tabletext"/>
              <w:rPr>
                <w:rFonts w:cs="Arial"/>
                <w:bCs/>
                <w:iCs/>
                <w:color w:val="AEC12D"/>
                <w:sz w:val="32"/>
                <w:szCs w:val="28"/>
              </w:rPr>
            </w:pPr>
            <w:r w:rsidRPr="00B00B1A">
              <w:rPr>
                <w:rFonts w:cs="Arial"/>
              </w:rPr>
              <w:t>rock or soil that transmits water very slowly</w:t>
            </w:r>
          </w:p>
        </w:tc>
      </w:tr>
      <w:tr w:rsidR="00A24A41" w:rsidRPr="00B00B1A" w14:paraId="193E72C7" w14:textId="77777777" w:rsidTr="008658DE">
        <w:trPr>
          <w:tblHeader/>
        </w:trPr>
        <w:tc>
          <w:tcPr>
            <w:tcW w:w="2410" w:type="dxa"/>
            <w:hideMark/>
          </w:tcPr>
          <w:p w14:paraId="42B3DC8A" w14:textId="77777777" w:rsidR="00A24A41" w:rsidRPr="00B00B1A" w:rsidRDefault="00A24A41" w:rsidP="00936508">
            <w:pPr>
              <w:pStyle w:val="Tabletext"/>
              <w:rPr>
                <w:bCs/>
                <w:iCs/>
                <w:color w:val="AEC12D"/>
                <w:sz w:val="32"/>
                <w:szCs w:val="28"/>
              </w:rPr>
            </w:pPr>
            <w:r w:rsidRPr="002D4544">
              <w:t>baseflow</w:t>
            </w:r>
          </w:p>
        </w:tc>
        <w:tc>
          <w:tcPr>
            <w:tcW w:w="7371" w:type="dxa"/>
            <w:hideMark/>
          </w:tcPr>
          <w:p w14:paraId="09205F25" w14:textId="77777777" w:rsidR="00A24A41" w:rsidRPr="00B00B1A" w:rsidRDefault="00A24A41" w:rsidP="00936508">
            <w:pPr>
              <w:pStyle w:val="Tabletext"/>
              <w:rPr>
                <w:rFonts w:cs="Arial"/>
                <w:bCs/>
                <w:iCs/>
                <w:color w:val="AEC12D"/>
                <w:sz w:val="32"/>
                <w:szCs w:val="28"/>
              </w:rPr>
            </w:pPr>
            <w:r w:rsidRPr="00B00B1A">
              <w:rPr>
                <w:rFonts w:cs="Arial"/>
              </w:rPr>
              <w:t>contribution of surface water flow due attributed to groundwater</w:t>
            </w:r>
          </w:p>
        </w:tc>
      </w:tr>
      <w:tr w:rsidR="00A24A41" w:rsidRPr="00B00B1A" w14:paraId="720D009F" w14:textId="77777777" w:rsidTr="008658DE">
        <w:trPr>
          <w:tblHeader/>
        </w:trPr>
        <w:tc>
          <w:tcPr>
            <w:tcW w:w="2410" w:type="dxa"/>
            <w:hideMark/>
          </w:tcPr>
          <w:p w14:paraId="0BC5EF19" w14:textId="77777777" w:rsidR="00A24A41" w:rsidRPr="00B00B1A" w:rsidRDefault="00A24A41" w:rsidP="00936508">
            <w:pPr>
              <w:pStyle w:val="Tabletext"/>
              <w:rPr>
                <w:bCs/>
                <w:iCs/>
                <w:color w:val="AEC12D"/>
                <w:sz w:val="32"/>
                <w:szCs w:val="28"/>
              </w:rPr>
            </w:pPr>
            <w:r w:rsidRPr="00B00B1A">
              <w:t>BoM</w:t>
            </w:r>
          </w:p>
        </w:tc>
        <w:tc>
          <w:tcPr>
            <w:tcW w:w="7371" w:type="dxa"/>
            <w:hideMark/>
          </w:tcPr>
          <w:p w14:paraId="43724B67" w14:textId="77777777" w:rsidR="00A24A41" w:rsidRPr="00B00B1A" w:rsidRDefault="00A24A41" w:rsidP="00936508">
            <w:pPr>
              <w:pStyle w:val="Tabletext"/>
              <w:rPr>
                <w:rFonts w:cs="Arial"/>
                <w:bCs/>
                <w:iCs/>
                <w:color w:val="AEC12D"/>
                <w:sz w:val="32"/>
                <w:szCs w:val="28"/>
              </w:rPr>
            </w:pPr>
            <w:r w:rsidRPr="00B00B1A">
              <w:rPr>
                <w:rFonts w:cs="Arial"/>
              </w:rPr>
              <w:t>Bureau of Meteorology</w:t>
            </w:r>
          </w:p>
        </w:tc>
      </w:tr>
      <w:tr w:rsidR="00A24A41" w:rsidRPr="00B00B1A" w14:paraId="32206F21" w14:textId="77777777" w:rsidTr="008658DE">
        <w:trPr>
          <w:tblHeader/>
        </w:trPr>
        <w:tc>
          <w:tcPr>
            <w:tcW w:w="2410" w:type="dxa"/>
            <w:hideMark/>
          </w:tcPr>
          <w:p w14:paraId="77DDBF35" w14:textId="77777777" w:rsidR="00A24A41" w:rsidRPr="00B00B1A" w:rsidRDefault="00A24A41" w:rsidP="00936508">
            <w:pPr>
              <w:pStyle w:val="Tabletext"/>
              <w:rPr>
                <w:bCs/>
                <w:iCs/>
                <w:color w:val="AEC12D"/>
                <w:sz w:val="32"/>
                <w:szCs w:val="28"/>
              </w:rPr>
            </w:pPr>
            <w:r w:rsidRPr="00B00B1A">
              <w:t>CMA</w:t>
            </w:r>
          </w:p>
        </w:tc>
        <w:tc>
          <w:tcPr>
            <w:tcW w:w="7371" w:type="dxa"/>
            <w:hideMark/>
          </w:tcPr>
          <w:p w14:paraId="10FD403B" w14:textId="77777777" w:rsidR="00A24A41" w:rsidRPr="00B00B1A" w:rsidRDefault="00A24A41" w:rsidP="00936508">
            <w:pPr>
              <w:pStyle w:val="Tabletext"/>
              <w:rPr>
                <w:rFonts w:cs="Arial"/>
                <w:bCs/>
                <w:iCs/>
                <w:color w:val="AEC12D"/>
                <w:sz w:val="32"/>
                <w:szCs w:val="28"/>
              </w:rPr>
            </w:pPr>
            <w:r w:rsidRPr="00B00B1A">
              <w:rPr>
                <w:rFonts w:cs="Arial"/>
              </w:rPr>
              <w:t>Catchment Management Authority</w:t>
            </w:r>
          </w:p>
        </w:tc>
      </w:tr>
      <w:tr w:rsidR="00A24A41" w:rsidRPr="00B00B1A" w14:paraId="3E7BF0E0" w14:textId="77777777" w:rsidTr="008658DE">
        <w:trPr>
          <w:tblHeader/>
        </w:trPr>
        <w:tc>
          <w:tcPr>
            <w:tcW w:w="2410" w:type="dxa"/>
            <w:hideMark/>
          </w:tcPr>
          <w:p w14:paraId="21541D08" w14:textId="77777777" w:rsidR="00A24A41" w:rsidRPr="00B00B1A" w:rsidRDefault="00A24A41" w:rsidP="00936508">
            <w:pPr>
              <w:pStyle w:val="Tabletext"/>
              <w:rPr>
                <w:bCs/>
                <w:iCs/>
                <w:color w:val="AEC12D"/>
                <w:sz w:val="32"/>
                <w:szCs w:val="28"/>
              </w:rPr>
            </w:pPr>
            <w:r w:rsidRPr="00B00B1A">
              <w:t>confined aquifer</w:t>
            </w:r>
          </w:p>
        </w:tc>
        <w:tc>
          <w:tcPr>
            <w:tcW w:w="7371" w:type="dxa"/>
            <w:hideMark/>
          </w:tcPr>
          <w:p w14:paraId="32EA7FCB" w14:textId="77777777" w:rsidR="00A24A41" w:rsidRPr="00B00B1A" w:rsidRDefault="00A24A41" w:rsidP="00936508">
            <w:pPr>
              <w:pStyle w:val="Tabletext"/>
              <w:rPr>
                <w:rFonts w:cs="Arial"/>
                <w:bCs/>
                <w:iCs/>
                <w:color w:val="AEC12D"/>
                <w:sz w:val="32"/>
                <w:szCs w:val="28"/>
              </w:rPr>
            </w:pPr>
            <w:r w:rsidRPr="00B00B1A">
              <w:rPr>
                <w:rFonts w:cs="Arial"/>
              </w:rPr>
              <w:t xml:space="preserve">an aquifer in which an </w:t>
            </w:r>
            <w:hyperlink r:id="rId17" w:anchor="impermeable" w:history="1">
              <w:r w:rsidRPr="00B00B1A">
                <w:rPr>
                  <w:rFonts w:cs="Arial"/>
                </w:rPr>
                <w:t>impermeable</w:t>
              </w:r>
            </w:hyperlink>
            <w:r w:rsidRPr="00B00B1A">
              <w:rPr>
                <w:rFonts w:cs="Arial"/>
              </w:rPr>
              <w:t xml:space="preserve"> rock or soil layer or layers prevents water from seeping into the aquifer vertically</w:t>
            </w:r>
          </w:p>
        </w:tc>
      </w:tr>
      <w:tr w:rsidR="00A24A41" w:rsidRPr="00B00B1A" w14:paraId="5FE1EAB7" w14:textId="77777777" w:rsidTr="008658DE">
        <w:trPr>
          <w:tblHeader/>
        </w:trPr>
        <w:tc>
          <w:tcPr>
            <w:tcW w:w="2410" w:type="dxa"/>
            <w:hideMark/>
          </w:tcPr>
          <w:p w14:paraId="33D494EC" w14:textId="77777777" w:rsidR="00A24A41" w:rsidRPr="00B00B1A" w:rsidRDefault="00A24A41" w:rsidP="00936508">
            <w:pPr>
              <w:pStyle w:val="Tabletext"/>
              <w:rPr>
                <w:bCs/>
                <w:iCs/>
                <w:color w:val="AEC12D"/>
                <w:sz w:val="32"/>
                <w:szCs w:val="28"/>
              </w:rPr>
            </w:pPr>
            <w:r w:rsidRPr="00B00B1A">
              <w:t>constant head boundary</w:t>
            </w:r>
          </w:p>
        </w:tc>
        <w:tc>
          <w:tcPr>
            <w:tcW w:w="7371" w:type="dxa"/>
            <w:hideMark/>
          </w:tcPr>
          <w:p w14:paraId="7D61E983" w14:textId="77777777" w:rsidR="00A24A41" w:rsidRPr="00B00B1A" w:rsidRDefault="00A24A41" w:rsidP="00936508">
            <w:pPr>
              <w:pStyle w:val="Tabletext"/>
              <w:rPr>
                <w:rFonts w:cs="Arial"/>
                <w:bCs/>
                <w:iCs/>
                <w:color w:val="AEC12D"/>
                <w:sz w:val="32"/>
                <w:szCs w:val="28"/>
              </w:rPr>
            </w:pPr>
            <w:r w:rsidRPr="00B00B1A">
              <w:rPr>
                <w:rFonts w:cs="Arial"/>
              </w:rPr>
              <w:t>time constant specified head which represents flows into or out of the model domain where groundwater connects or interacts with features (and the ocean) outside the model domain</w:t>
            </w:r>
          </w:p>
        </w:tc>
      </w:tr>
      <w:tr w:rsidR="00A24A41" w:rsidRPr="00B00B1A" w14:paraId="0645DB9F" w14:textId="77777777" w:rsidTr="008658DE">
        <w:trPr>
          <w:tblHeader/>
        </w:trPr>
        <w:tc>
          <w:tcPr>
            <w:tcW w:w="2410" w:type="dxa"/>
          </w:tcPr>
          <w:p w14:paraId="78F65C79" w14:textId="77777777" w:rsidR="00A24A41" w:rsidRPr="00B00B1A" w:rsidRDefault="00A24A41" w:rsidP="00936508">
            <w:pPr>
              <w:pStyle w:val="Tabletext"/>
              <w:rPr>
                <w:bCs/>
                <w:iCs/>
                <w:color w:val="AEC12D"/>
                <w:sz w:val="32"/>
                <w:szCs w:val="28"/>
              </w:rPr>
            </w:pPr>
            <w:r>
              <w:t>co-produced water</w:t>
            </w:r>
          </w:p>
        </w:tc>
        <w:tc>
          <w:tcPr>
            <w:tcW w:w="7371" w:type="dxa"/>
          </w:tcPr>
          <w:p w14:paraId="1E4680AD" w14:textId="77777777" w:rsidR="00A24A41" w:rsidRPr="00B00B1A" w:rsidRDefault="00A24A41" w:rsidP="00936508">
            <w:pPr>
              <w:pStyle w:val="Tabletext"/>
              <w:rPr>
                <w:rFonts w:cs="Arial"/>
                <w:bCs/>
                <w:iCs/>
                <w:color w:val="AEC12D"/>
                <w:sz w:val="32"/>
                <w:szCs w:val="28"/>
              </w:rPr>
            </w:pPr>
            <w:r>
              <w:rPr>
                <w:rFonts w:cs="Arial"/>
              </w:rPr>
              <w:t>the water extracted from coal seams to depressurise the coal seam thereby releasing gas</w:t>
            </w:r>
          </w:p>
        </w:tc>
      </w:tr>
      <w:tr w:rsidR="00A24A41" w:rsidRPr="00B00B1A" w14:paraId="3954615B" w14:textId="77777777" w:rsidTr="008658DE">
        <w:trPr>
          <w:tblHeader/>
        </w:trPr>
        <w:tc>
          <w:tcPr>
            <w:tcW w:w="2410" w:type="dxa"/>
            <w:hideMark/>
          </w:tcPr>
          <w:p w14:paraId="41070FCB" w14:textId="03376202" w:rsidR="00A24A41" w:rsidRPr="00B00B1A" w:rsidRDefault="00A24A41" w:rsidP="00936508">
            <w:pPr>
              <w:pStyle w:val="Tabletext"/>
              <w:rPr>
                <w:bCs/>
                <w:iCs/>
                <w:color w:val="AEC12D"/>
                <w:sz w:val="32"/>
                <w:szCs w:val="28"/>
              </w:rPr>
            </w:pPr>
            <w:r>
              <w:t>coal seam gas</w:t>
            </w:r>
          </w:p>
        </w:tc>
        <w:tc>
          <w:tcPr>
            <w:tcW w:w="7371" w:type="dxa"/>
            <w:hideMark/>
          </w:tcPr>
          <w:p w14:paraId="46F5BEF4" w14:textId="77777777" w:rsidR="00A24A41" w:rsidRPr="00B00B1A" w:rsidRDefault="00A24A41" w:rsidP="00936508">
            <w:pPr>
              <w:pStyle w:val="Tabletext"/>
              <w:rPr>
                <w:rFonts w:cs="Arial"/>
                <w:bCs/>
                <w:iCs/>
                <w:color w:val="AEC12D"/>
                <w:sz w:val="32"/>
                <w:szCs w:val="28"/>
              </w:rPr>
            </w:pPr>
            <w:r w:rsidRPr="00B00B1A">
              <w:rPr>
                <w:rFonts w:cs="Arial"/>
              </w:rPr>
              <w:t>coal seam gas</w:t>
            </w:r>
          </w:p>
        </w:tc>
      </w:tr>
      <w:tr w:rsidR="00A24A41" w:rsidRPr="00B00B1A" w14:paraId="0B9DBC07" w14:textId="77777777" w:rsidTr="008658DE">
        <w:trPr>
          <w:tblHeader/>
        </w:trPr>
        <w:tc>
          <w:tcPr>
            <w:tcW w:w="2410" w:type="dxa"/>
            <w:hideMark/>
          </w:tcPr>
          <w:p w14:paraId="7527A7C3" w14:textId="77777777" w:rsidR="00A24A41" w:rsidRPr="00B00B1A" w:rsidRDefault="00A24A41" w:rsidP="00936508">
            <w:pPr>
              <w:pStyle w:val="Tabletext"/>
              <w:rPr>
                <w:bCs/>
                <w:iCs/>
                <w:color w:val="AEC12D"/>
                <w:sz w:val="32"/>
                <w:szCs w:val="28"/>
              </w:rPr>
            </w:pPr>
            <w:r w:rsidRPr="00B00B1A">
              <w:t>CSIRO</w:t>
            </w:r>
          </w:p>
        </w:tc>
        <w:tc>
          <w:tcPr>
            <w:tcW w:w="7371" w:type="dxa"/>
            <w:hideMark/>
          </w:tcPr>
          <w:p w14:paraId="0D5BDD87" w14:textId="77777777" w:rsidR="00A24A41" w:rsidRPr="00B00B1A" w:rsidRDefault="00A24A41" w:rsidP="00936508">
            <w:pPr>
              <w:pStyle w:val="Tabletext"/>
              <w:rPr>
                <w:rFonts w:cs="Arial"/>
                <w:bCs/>
                <w:iCs/>
                <w:color w:val="AEC12D"/>
                <w:sz w:val="32"/>
                <w:szCs w:val="28"/>
              </w:rPr>
            </w:pPr>
            <w:r w:rsidRPr="00B00B1A">
              <w:rPr>
                <w:rFonts w:cs="Arial"/>
              </w:rPr>
              <w:t xml:space="preserve">Commonwealth Scientific </w:t>
            </w:r>
            <w:r>
              <w:rPr>
                <w:rFonts w:cs="Arial"/>
              </w:rPr>
              <w:t xml:space="preserve">and </w:t>
            </w:r>
            <w:r w:rsidRPr="00B00B1A">
              <w:rPr>
                <w:rFonts w:cs="Arial"/>
              </w:rPr>
              <w:t>Industrial Research Organisation</w:t>
            </w:r>
          </w:p>
        </w:tc>
      </w:tr>
      <w:tr w:rsidR="00A24A41" w:rsidRPr="00B00B1A" w14:paraId="0CBEEFE3" w14:textId="77777777" w:rsidTr="008658DE">
        <w:trPr>
          <w:tblHeader/>
        </w:trPr>
        <w:tc>
          <w:tcPr>
            <w:tcW w:w="2410" w:type="dxa"/>
            <w:hideMark/>
          </w:tcPr>
          <w:p w14:paraId="3D43062D" w14:textId="77777777" w:rsidR="00A24A41" w:rsidRPr="00B00B1A" w:rsidRDefault="00A24A41" w:rsidP="00936508">
            <w:pPr>
              <w:pStyle w:val="Tabletext"/>
              <w:rPr>
                <w:bCs/>
                <w:iCs/>
                <w:color w:val="AEC12D"/>
                <w:sz w:val="32"/>
                <w:szCs w:val="28"/>
              </w:rPr>
            </w:pPr>
            <w:r w:rsidRPr="00B00B1A">
              <w:t>DEDJTR</w:t>
            </w:r>
          </w:p>
        </w:tc>
        <w:tc>
          <w:tcPr>
            <w:tcW w:w="7371" w:type="dxa"/>
            <w:hideMark/>
          </w:tcPr>
          <w:p w14:paraId="4F50B793" w14:textId="77777777" w:rsidR="00A24A41" w:rsidRPr="00B00B1A" w:rsidRDefault="00A24A41" w:rsidP="00936508">
            <w:pPr>
              <w:pStyle w:val="Tabletext"/>
              <w:rPr>
                <w:rFonts w:cs="Arial"/>
                <w:bCs/>
                <w:iCs/>
                <w:color w:val="AEC12D"/>
                <w:sz w:val="32"/>
                <w:szCs w:val="28"/>
              </w:rPr>
            </w:pPr>
            <w:r w:rsidRPr="00B00B1A">
              <w:rPr>
                <w:rFonts w:cs="Arial"/>
              </w:rPr>
              <w:t>Department of Economic Development, Jobs, Transport and Resources</w:t>
            </w:r>
          </w:p>
        </w:tc>
      </w:tr>
      <w:tr w:rsidR="00A24A41" w:rsidRPr="00B00B1A" w14:paraId="01DF04D1" w14:textId="77777777" w:rsidTr="008658DE">
        <w:trPr>
          <w:tblHeader/>
        </w:trPr>
        <w:tc>
          <w:tcPr>
            <w:tcW w:w="2410" w:type="dxa"/>
            <w:hideMark/>
          </w:tcPr>
          <w:p w14:paraId="14058300" w14:textId="77777777" w:rsidR="00A24A41" w:rsidRPr="00B00B1A" w:rsidRDefault="00A24A41" w:rsidP="00936508">
            <w:pPr>
              <w:pStyle w:val="Tabletext"/>
              <w:rPr>
                <w:bCs/>
                <w:iCs/>
                <w:color w:val="AEC12D"/>
                <w:sz w:val="32"/>
                <w:szCs w:val="28"/>
              </w:rPr>
            </w:pPr>
            <w:r w:rsidRPr="00B00B1A">
              <w:t>DELWP</w:t>
            </w:r>
          </w:p>
        </w:tc>
        <w:tc>
          <w:tcPr>
            <w:tcW w:w="7371" w:type="dxa"/>
            <w:hideMark/>
          </w:tcPr>
          <w:p w14:paraId="327F5EEF" w14:textId="77777777" w:rsidR="00A24A41" w:rsidRPr="00B00B1A" w:rsidRDefault="00A24A41" w:rsidP="00936508">
            <w:pPr>
              <w:pStyle w:val="Tabletext"/>
              <w:rPr>
                <w:rFonts w:cs="Arial"/>
                <w:bCs/>
                <w:iCs/>
                <w:color w:val="AEC12D"/>
                <w:sz w:val="32"/>
                <w:szCs w:val="28"/>
              </w:rPr>
            </w:pPr>
            <w:r w:rsidRPr="00B00B1A">
              <w:rPr>
                <w:rFonts w:cs="Arial"/>
              </w:rPr>
              <w:t>Department of Environment, Land, Water and Planning</w:t>
            </w:r>
          </w:p>
        </w:tc>
      </w:tr>
      <w:tr w:rsidR="00A24A41" w:rsidRPr="00B00B1A" w14:paraId="34B9D0A0" w14:textId="77777777" w:rsidTr="008658DE">
        <w:trPr>
          <w:tblHeader/>
        </w:trPr>
        <w:tc>
          <w:tcPr>
            <w:tcW w:w="2410" w:type="dxa"/>
            <w:hideMark/>
          </w:tcPr>
          <w:p w14:paraId="63C88756" w14:textId="77777777" w:rsidR="00A24A41" w:rsidRPr="00B00B1A" w:rsidRDefault="00A24A41" w:rsidP="00936508">
            <w:pPr>
              <w:pStyle w:val="Tabletext"/>
              <w:rPr>
                <w:bCs/>
                <w:iCs/>
                <w:color w:val="AEC12D"/>
                <w:sz w:val="32"/>
                <w:szCs w:val="28"/>
              </w:rPr>
            </w:pPr>
            <w:r w:rsidRPr="00B00B1A">
              <w:t>DEM</w:t>
            </w:r>
          </w:p>
        </w:tc>
        <w:tc>
          <w:tcPr>
            <w:tcW w:w="7371" w:type="dxa"/>
            <w:hideMark/>
          </w:tcPr>
          <w:p w14:paraId="1EFCDE0A" w14:textId="77777777" w:rsidR="00A24A41" w:rsidRPr="00B00B1A" w:rsidRDefault="00A24A41" w:rsidP="00936508">
            <w:pPr>
              <w:pStyle w:val="Tabletext"/>
              <w:rPr>
                <w:rFonts w:cs="Arial"/>
                <w:bCs/>
                <w:iCs/>
                <w:color w:val="AEC12D"/>
                <w:sz w:val="32"/>
                <w:szCs w:val="28"/>
              </w:rPr>
            </w:pPr>
            <w:r w:rsidRPr="00B00B1A">
              <w:rPr>
                <w:rFonts w:cs="Arial"/>
              </w:rPr>
              <w:t>digital elevation model</w:t>
            </w:r>
            <w:r>
              <w:rPr>
                <w:rFonts w:cs="Arial"/>
              </w:rPr>
              <w:t xml:space="preserve"> defining surface elevations</w:t>
            </w:r>
          </w:p>
        </w:tc>
      </w:tr>
      <w:tr w:rsidR="00A24A41" w:rsidRPr="00B00B1A" w14:paraId="755ECBD4" w14:textId="77777777" w:rsidTr="008658DE">
        <w:trPr>
          <w:tblHeader/>
        </w:trPr>
        <w:tc>
          <w:tcPr>
            <w:tcW w:w="2410" w:type="dxa"/>
            <w:hideMark/>
          </w:tcPr>
          <w:p w14:paraId="578553DA" w14:textId="77777777" w:rsidR="00A24A41" w:rsidRPr="00B00B1A" w:rsidRDefault="00A24A41" w:rsidP="00936508">
            <w:pPr>
              <w:pStyle w:val="Tabletext"/>
              <w:rPr>
                <w:bCs/>
                <w:iCs/>
                <w:color w:val="AEC12D"/>
                <w:sz w:val="32"/>
                <w:szCs w:val="28"/>
              </w:rPr>
            </w:pPr>
            <w:r w:rsidRPr="00B00B1A">
              <w:t>DEPI</w:t>
            </w:r>
          </w:p>
        </w:tc>
        <w:tc>
          <w:tcPr>
            <w:tcW w:w="7371" w:type="dxa"/>
            <w:hideMark/>
          </w:tcPr>
          <w:p w14:paraId="30EEC835" w14:textId="77777777" w:rsidR="00A24A41" w:rsidRPr="00B00B1A" w:rsidRDefault="00A24A41" w:rsidP="00936508">
            <w:pPr>
              <w:pStyle w:val="Tabletext"/>
              <w:rPr>
                <w:rFonts w:cs="Arial"/>
                <w:bCs/>
                <w:iCs/>
                <w:color w:val="AEC12D"/>
                <w:sz w:val="32"/>
                <w:szCs w:val="28"/>
              </w:rPr>
            </w:pPr>
            <w:r>
              <w:rPr>
                <w:rFonts w:cs="Arial"/>
              </w:rPr>
              <w:t xml:space="preserve">former </w:t>
            </w:r>
            <w:r w:rsidRPr="00B00B1A">
              <w:rPr>
                <w:rFonts w:cs="Arial"/>
              </w:rPr>
              <w:t>Department of Environment and Primary Industries</w:t>
            </w:r>
          </w:p>
        </w:tc>
      </w:tr>
      <w:tr w:rsidR="00A24A41" w:rsidRPr="00B00B1A" w14:paraId="32105F34" w14:textId="77777777" w:rsidTr="008658DE">
        <w:trPr>
          <w:tblHeader/>
        </w:trPr>
        <w:tc>
          <w:tcPr>
            <w:tcW w:w="2410" w:type="dxa"/>
            <w:hideMark/>
          </w:tcPr>
          <w:p w14:paraId="50BE6C04" w14:textId="77777777" w:rsidR="00A24A41" w:rsidRPr="00B00B1A" w:rsidRDefault="00A24A41" w:rsidP="00936508">
            <w:pPr>
              <w:pStyle w:val="Tabletext"/>
              <w:rPr>
                <w:bCs/>
                <w:iCs/>
                <w:color w:val="AEC12D"/>
                <w:sz w:val="32"/>
                <w:szCs w:val="28"/>
              </w:rPr>
            </w:pPr>
            <w:r w:rsidRPr="00B00B1A">
              <w:t>drawdown</w:t>
            </w:r>
          </w:p>
        </w:tc>
        <w:tc>
          <w:tcPr>
            <w:tcW w:w="7371" w:type="dxa"/>
            <w:hideMark/>
          </w:tcPr>
          <w:p w14:paraId="3442B3CA" w14:textId="77777777" w:rsidR="00A24A41" w:rsidRPr="00B00B1A" w:rsidRDefault="00A24A41" w:rsidP="00936508">
            <w:pPr>
              <w:pStyle w:val="Tabletext"/>
              <w:rPr>
                <w:rFonts w:cs="Arial"/>
                <w:bCs/>
                <w:iCs/>
                <w:color w:val="AEC12D"/>
                <w:sz w:val="32"/>
                <w:szCs w:val="28"/>
              </w:rPr>
            </w:pPr>
            <w:r w:rsidRPr="00B00B1A">
              <w:rPr>
                <w:rFonts w:cs="Arial"/>
              </w:rPr>
              <w:t>reduction in groundwater head elevation relative to a nominated baseline condition.</w:t>
            </w:r>
          </w:p>
        </w:tc>
      </w:tr>
      <w:tr w:rsidR="00A24A41" w:rsidRPr="00B00B1A" w14:paraId="26E3700B" w14:textId="77777777" w:rsidTr="008658DE">
        <w:trPr>
          <w:tblHeader/>
        </w:trPr>
        <w:tc>
          <w:tcPr>
            <w:tcW w:w="2410" w:type="dxa"/>
            <w:hideMark/>
          </w:tcPr>
          <w:p w14:paraId="39210C4E" w14:textId="77777777" w:rsidR="00A24A41" w:rsidRPr="00B00B1A" w:rsidRDefault="00A24A41" w:rsidP="00936508">
            <w:pPr>
              <w:pStyle w:val="Tabletext"/>
              <w:rPr>
                <w:bCs/>
                <w:iCs/>
                <w:color w:val="AEC12D"/>
                <w:sz w:val="32"/>
                <w:szCs w:val="28"/>
              </w:rPr>
            </w:pPr>
            <w:r w:rsidRPr="00B00B1A">
              <w:t>DSE</w:t>
            </w:r>
          </w:p>
        </w:tc>
        <w:tc>
          <w:tcPr>
            <w:tcW w:w="7371" w:type="dxa"/>
            <w:hideMark/>
          </w:tcPr>
          <w:p w14:paraId="43E1F1F0" w14:textId="77777777" w:rsidR="00A24A41" w:rsidRPr="00B00B1A" w:rsidRDefault="00A24A41" w:rsidP="00936508">
            <w:pPr>
              <w:pStyle w:val="Tabletext"/>
              <w:rPr>
                <w:rFonts w:cs="Arial"/>
                <w:bCs/>
                <w:iCs/>
                <w:color w:val="AEC12D"/>
                <w:sz w:val="32"/>
                <w:szCs w:val="28"/>
              </w:rPr>
            </w:pPr>
            <w:r>
              <w:rPr>
                <w:rFonts w:cs="Arial"/>
              </w:rPr>
              <w:t xml:space="preserve">former </w:t>
            </w:r>
            <w:r w:rsidRPr="00B00B1A">
              <w:rPr>
                <w:rFonts w:cs="Arial"/>
              </w:rPr>
              <w:t>Department of Sustainability and Environment</w:t>
            </w:r>
          </w:p>
        </w:tc>
      </w:tr>
      <w:tr w:rsidR="00A24A41" w:rsidRPr="00B00B1A" w14:paraId="4501EAE4" w14:textId="77777777" w:rsidTr="008658DE">
        <w:trPr>
          <w:tblHeader/>
        </w:trPr>
        <w:tc>
          <w:tcPr>
            <w:tcW w:w="2410" w:type="dxa"/>
            <w:hideMark/>
          </w:tcPr>
          <w:p w14:paraId="7E4E124F" w14:textId="77777777" w:rsidR="00A24A41" w:rsidRPr="00B00B1A" w:rsidRDefault="00A24A41" w:rsidP="00936508">
            <w:pPr>
              <w:pStyle w:val="Tabletext"/>
              <w:rPr>
                <w:bCs/>
                <w:iCs/>
                <w:color w:val="AEC12D"/>
                <w:sz w:val="32"/>
                <w:szCs w:val="28"/>
              </w:rPr>
            </w:pPr>
            <w:r w:rsidRPr="00B00B1A">
              <w:t>ET</w:t>
            </w:r>
          </w:p>
        </w:tc>
        <w:tc>
          <w:tcPr>
            <w:tcW w:w="7371" w:type="dxa"/>
            <w:hideMark/>
          </w:tcPr>
          <w:p w14:paraId="1421695F" w14:textId="77777777" w:rsidR="00A24A41" w:rsidRPr="00B00B1A" w:rsidRDefault="00A24A41" w:rsidP="00936508">
            <w:pPr>
              <w:pStyle w:val="Tabletext"/>
              <w:rPr>
                <w:rFonts w:cs="Arial"/>
                <w:bCs/>
                <w:iCs/>
                <w:color w:val="AEC12D"/>
                <w:sz w:val="32"/>
                <w:szCs w:val="28"/>
              </w:rPr>
            </w:pPr>
            <w:r w:rsidRPr="00B00B1A">
              <w:rPr>
                <w:rFonts w:cs="Arial"/>
              </w:rPr>
              <w:t>water lost due to a combination of soil evaporation and vegetation transpiration</w:t>
            </w:r>
          </w:p>
        </w:tc>
      </w:tr>
      <w:tr w:rsidR="00A24A41" w:rsidRPr="00B00B1A" w14:paraId="01FD0043" w14:textId="77777777" w:rsidTr="008658DE">
        <w:trPr>
          <w:tblHeader/>
        </w:trPr>
        <w:tc>
          <w:tcPr>
            <w:tcW w:w="2410" w:type="dxa"/>
            <w:hideMark/>
          </w:tcPr>
          <w:p w14:paraId="759CFF06" w14:textId="77777777" w:rsidR="00A24A41" w:rsidRPr="00B00B1A" w:rsidRDefault="00A24A41" w:rsidP="00936508">
            <w:pPr>
              <w:pStyle w:val="Tabletext"/>
              <w:rPr>
                <w:bCs/>
                <w:iCs/>
                <w:color w:val="AEC12D"/>
                <w:sz w:val="32"/>
                <w:szCs w:val="28"/>
              </w:rPr>
            </w:pPr>
            <w:r w:rsidRPr="00B00B1A">
              <w:t>GA</w:t>
            </w:r>
          </w:p>
        </w:tc>
        <w:tc>
          <w:tcPr>
            <w:tcW w:w="7371" w:type="dxa"/>
            <w:hideMark/>
          </w:tcPr>
          <w:p w14:paraId="22F06CFC" w14:textId="77777777" w:rsidR="00A24A41" w:rsidRPr="00B00B1A" w:rsidRDefault="00A24A41" w:rsidP="00936508">
            <w:pPr>
              <w:pStyle w:val="Tabletext"/>
              <w:rPr>
                <w:rFonts w:cs="Arial"/>
                <w:bCs/>
                <w:iCs/>
                <w:color w:val="AEC12D"/>
                <w:sz w:val="32"/>
                <w:szCs w:val="28"/>
              </w:rPr>
            </w:pPr>
            <w:r w:rsidRPr="00B00B1A">
              <w:rPr>
                <w:rFonts w:cs="Arial"/>
              </w:rPr>
              <w:t>Geoscience Australia</w:t>
            </w:r>
          </w:p>
        </w:tc>
      </w:tr>
      <w:tr w:rsidR="00A24A41" w:rsidRPr="00B00B1A" w14:paraId="48941093" w14:textId="77777777" w:rsidTr="008658DE">
        <w:trPr>
          <w:tblHeader/>
        </w:trPr>
        <w:tc>
          <w:tcPr>
            <w:tcW w:w="2410" w:type="dxa"/>
            <w:hideMark/>
          </w:tcPr>
          <w:p w14:paraId="61FFBDAA" w14:textId="77777777" w:rsidR="00A24A41" w:rsidRPr="00B00B1A" w:rsidRDefault="00A24A41" w:rsidP="00936508">
            <w:pPr>
              <w:pStyle w:val="Tabletext"/>
              <w:rPr>
                <w:bCs/>
                <w:iCs/>
                <w:color w:val="AEC12D"/>
                <w:sz w:val="32"/>
                <w:szCs w:val="28"/>
              </w:rPr>
            </w:pPr>
            <w:r w:rsidRPr="00B00B1A">
              <w:t>GDE</w:t>
            </w:r>
          </w:p>
        </w:tc>
        <w:tc>
          <w:tcPr>
            <w:tcW w:w="7371" w:type="dxa"/>
            <w:hideMark/>
          </w:tcPr>
          <w:p w14:paraId="2B1C0CDC" w14:textId="1144C23D" w:rsidR="00A24A41" w:rsidRPr="00B00B1A" w:rsidRDefault="00CF440F" w:rsidP="00936508">
            <w:pPr>
              <w:pStyle w:val="Tabletext"/>
            </w:pPr>
            <w:r>
              <w:rPr>
                <w:rFonts w:cs="Arial"/>
              </w:rPr>
              <w:t>g</w:t>
            </w:r>
            <w:r w:rsidR="00A24A41" w:rsidRPr="00B00B1A">
              <w:rPr>
                <w:rFonts w:cs="Arial"/>
              </w:rPr>
              <w:t>roundwater</w:t>
            </w:r>
            <w:r>
              <w:rPr>
                <w:rFonts w:cs="Arial"/>
              </w:rPr>
              <w:t>-d</w:t>
            </w:r>
            <w:r w:rsidR="00A24A41" w:rsidRPr="00B00B1A">
              <w:rPr>
                <w:rFonts w:cs="Arial"/>
              </w:rPr>
              <w:t xml:space="preserve">ependent </w:t>
            </w:r>
            <w:r>
              <w:rPr>
                <w:rFonts w:cs="Arial"/>
              </w:rPr>
              <w:t>e</w:t>
            </w:r>
            <w:r w:rsidR="00A24A41" w:rsidRPr="00B00B1A">
              <w:rPr>
                <w:rFonts w:cs="Arial"/>
              </w:rPr>
              <w:t>cosystem</w:t>
            </w:r>
          </w:p>
        </w:tc>
      </w:tr>
      <w:tr w:rsidR="00A24A41" w:rsidRPr="00B00B1A" w14:paraId="70CD712E" w14:textId="77777777" w:rsidTr="008658DE">
        <w:trPr>
          <w:tblHeader/>
        </w:trPr>
        <w:tc>
          <w:tcPr>
            <w:tcW w:w="2410" w:type="dxa"/>
          </w:tcPr>
          <w:p w14:paraId="734CAB18" w14:textId="77777777" w:rsidR="00A24A41" w:rsidRPr="00B00B1A" w:rsidRDefault="00A24A41" w:rsidP="00936508">
            <w:pPr>
              <w:pStyle w:val="Tabletext"/>
              <w:rPr>
                <w:bCs/>
                <w:iCs/>
                <w:color w:val="AEC12D"/>
                <w:sz w:val="32"/>
                <w:szCs w:val="28"/>
              </w:rPr>
            </w:pPr>
            <w:r>
              <w:t>GL</w:t>
            </w:r>
          </w:p>
        </w:tc>
        <w:tc>
          <w:tcPr>
            <w:tcW w:w="7371" w:type="dxa"/>
          </w:tcPr>
          <w:p w14:paraId="5F4CB3CC" w14:textId="3F7134AE" w:rsidR="00A24A41" w:rsidRPr="00B00B1A" w:rsidRDefault="00CF440F" w:rsidP="00936508">
            <w:pPr>
              <w:pStyle w:val="Tabletext"/>
            </w:pPr>
            <w:r>
              <w:rPr>
                <w:rFonts w:cs="Arial"/>
              </w:rPr>
              <w:t>g</w:t>
            </w:r>
            <w:r w:rsidR="00A24A41">
              <w:rPr>
                <w:rFonts w:cs="Arial"/>
              </w:rPr>
              <w:t>ig</w:t>
            </w:r>
            <w:r>
              <w:rPr>
                <w:rFonts w:cs="Arial"/>
              </w:rPr>
              <w:t>a</w:t>
            </w:r>
            <w:r w:rsidR="00A24A41">
              <w:rPr>
                <w:rFonts w:cs="Arial"/>
              </w:rPr>
              <w:t>litres</w:t>
            </w:r>
          </w:p>
        </w:tc>
      </w:tr>
      <w:tr w:rsidR="00A24A41" w:rsidRPr="00B00B1A" w14:paraId="6A2DDFB0" w14:textId="77777777" w:rsidTr="008658DE">
        <w:trPr>
          <w:tblHeader/>
        </w:trPr>
        <w:tc>
          <w:tcPr>
            <w:tcW w:w="2410" w:type="dxa"/>
            <w:hideMark/>
          </w:tcPr>
          <w:p w14:paraId="147BF80F" w14:textId="77777777" w:rsidR="00A24A41" w:rsidRPr="00B00B1A" w:rsidRDefault="00A24A41" w:rsidP="00936508">
            <w:pPr>
              <w:pStyle w:val="Tabletext"/>
              <w:rPr>
                <w:bCs/>
                <w:iCs/>
                <w:color w:val="AEC12D"/>
                <w:sz w:val="32"/>
                <w:szCs w:val="28"/>
              </w:rPr>
            </w:pPr>
            <w:r w:rsidRPr="00B00B1A">
              <w:t>GMA</w:t>
            </w:r>
          </w:p>
        </w:tc>
        <w:tc>
          <w:tcPr>
            <w:tcW w:w="7371" w:type="dxa"/>
            <w:hideMark/>
          </w:tcPr>
          <w:p w14:paraId="72E82526" w14:textId="77777777" w:rsidR="00A24A41" w:rsidRPr="00B00B1A" w:rsidRDefault="00A24A41" w:rsidP="00936508">
            <w:pPr>
              <w:pStyle w:val="Tabletext"/>
              <w:rPr>
                <w:rFonts w:cs="Arial"/>
                <w:bCs/>
                <w:iCs/>
                <w:color w:val="AEC12D"/>
                <w:sz w:val="32"/>
                <w:szCs w:val="28"/>
              </w:rPr>
            </w:pPr>
            <w:r w:rsidRPr="00B00B1A">
              <w:rPr>
                <w:rFonts w:cs="Arial"/>
              </w:rPr>
              <w:t>Groundwater Management Area</w:t>
            </w:r>
          </w:p>
        </w:tc>
      </w:tr>
      <w:tr w:rsidR="00A24A41" w:rsidRPr="00B00B1A" w14:paraId="3CDF3F52" w14:textId="77777777" w:rsidTr="008658DE">
        <w:trPr>
          <w:tblHeader/>
        </w:trPr>
        <w:tc>
          <w:tcPr>
            <w:tcW w:w="2410" w:type="dxa"/>
          </w:tcPr>
          <w:p w14:paraId="7CEB4132" w14:textId="77777777" w:rsidR="00A24A41" w:rsidRPr="00B00B1A" w:rsidRDefault="00A24A41" w:rsidP="00936508">
            <w:pPr>
              <w:pStyle w:val="Tabletext"/>
              <w:rPr>
                <w:bCs/>
                <w:iCs/>
                <w:color w:val="AEC12D"/>
                <w:sz w:val="32"/>
                <w:szCs w:val="28"/>
              </w:rPr>
            </w:pPr>
            <w:r w:rsidRPr="00F44433">
              <w:rPr>
                <w:bCs/>
              </w:rPr>
              <w:t xml:space="preserve">IESC </w:t>
            </w:r>
          </w:p>
        </w:tc>
        <w:tc>
          <w:tcPr>
            <w:tcW w:w="7371" w:type="dxa"/>
          </w:tcPr>
          <w:p w14:paraId="68310855" w14:textId="77777777" w:rsidR="00A24A41" w:rsidRDefault="00A24A41" w:rsidP="00936508">
            <w:pPr>
              <w:pStyle w:val="Tabletext"/>
              <w:rPr>
                <w:rFonts w:cs="Arial"/>
                <w:bCs/>
                <w:iCs/>
                <w:color w:val="AEC12D"/>
                <w:sz w:val="32"/>
                <w:szCs w:val="28"/>
              </w:rPr>
            </w:pPr>
            <w:r w:rsidRPr="00F44433">
              <w:rPr>
                <w:bCs/>
              </w:rPr>
              <w:t>Independent Expert Scientific Committee</w:t>
            </w:r>
          </w:p>
        </w:tc>
      </w:tr>
      <w:tr w:rsidR="00A24A41" w:rsidRPr="00B00B1A" w14:paraId="0880B01A" w14:textId="77777777" w:rsidTr="008658DE">
        <w:trPr>
          <w:tblHeader/>
        </w:trPr>
        <w:tc>
          <w:tcPr>
            <w:tcW w:w="2410" w:type="dxa"/>
            <w:hideMark/>
          </w:tcPr>
          <w:p w14:paraId="5B8D0AD3" w14:textId="77777777" w:rsidR="00A24A41" w:rsidRPr="00B00B1A" w:rsidRDefault="00A24A41" w:rsidP="00936508">
            <w:pPr>
              <w:pStyle w:val="Tabletext"/>
              <w:rPr>
                <w:bCs/>
                <w:iCs/>
                <w:color w:val="AEC12D"/>
                <w:sz w:val="32"/>
                <w:szCs w:val="28"/>
              </w:rPr>
            </w:pPr>
            <w:r w:rsidRPr="00B00B1A">
              <w:t>hydraulic head</w:t>
            </w:r>
          </w:p>
        </w:tc>
        <w:tc>
          <w:tcPr>
            <w:tcW w:w="7371" w:type="dxa"/>
          </w:tcPr>
          <w:p w14:paraId="4CE518EB" w14:textId="77777777" w:rsidR="00A24A41" w:rsidRPr="00B00B1A" w:rsidRDefault="00A24A41" w:rsidP="00936508">
            <w:pPr>
              <w:pStyle w:val="Tabletext"/>
              <w:rPr>
                <w:rFonts w:cs="Arial"/>
                <w:bCs/>
                <w:iCs/>
                <w:color w:val="AEC12D"/>
                <w:sz w:val="32"/>
                <w:szCs w:val="28"/>
              </w:rPr>
            </w:pPr>
            <w:r>
              <w:rPr>
                <w:rFonts w:cs="Arial"/>
              </w:rPr>
              <w:t>energy contained in a water mass, produced by elevation, pressure or velocity</w:t>
            </w:r>
          </w:p>
        </w:tc>
      </w:tr>
      <w:tr w:rsidR="00A24A41" w:rsidRPr="00B00B1A" w14:paraId="667B3B4E" w14:textId="77777777" w:rsidTr="008658DE">
        <w:trPr>
          <w:tblHeader/>
        </w:trPr>
        <w:tc>
          <w:tcPr>
            <w:tcW w:w="2410" w:type="dxa"/>
            <w:hideMark/>
          </w:tcPr>
          <w:p w14:paraId="4BF09BCD" w14:textId="77777777" w:rsidR="00A24A41" w:rsidRPr="00B00B1A" w:rsidRDefault="00A24A41" w:rsidP="00936508">
            <w:pPr>
              <w:pStyle w:val="Tabletext"/>
              <w:rPr>
                <w:bCs/>
                <w:iCs/>
                <w:color w:val="AEC12D"/>
                <w:sz w:val="32"/>
                <w:szCs w:val="28"/>
              </w:rPr>
            </w:pPr>
            <w:r>
              <w:t>hydraulic conductivity (K</w:t>
            </w:r>
            <w:r w:rsidRPr="00B00B1A">
              <w:t>)</w:t>
            </w:r>
          </w:p>
        </w:tc>
        <w:tc>
          <w:tcPr>
            <w:tcW w:w="7371" w:type="dxa"/>
          </w:tcPr>
          <w:p w14:paraId="6895F6D0" w14:textId="77777777" w:rsidR="00A24A41" w:rsidRPr="00B00B1A" w:rsidRDefault="00A24A41" w:rsidP="00936508">
            <w:pPr>
              <w:pStyle w:val="Tabletext"/>
              <w:rPr>
                <w:rFonts w:cs="Arial"/>
                <w:bCs/>
                <w:iCs/>
                <w:color w:val="AEC12D"/>
                <w:sz w:val="32"/>
                <w:szCs w:val="28"/>
              </w:rPr>
            </w:pPr>
            <w:r>
              <w:rPr>
                <w:rFonts w:cs="Arial"/>
              </w:rPr>
              <w:t>the rate of flow of water through a cross section area under a unit gradient head</w:t>
            </w:r>
          </w:p>
        </w:tc>
      </w:tr>
      <w:tr w:rsidR="00A24A41" w:rsidRPr="00B00B1A" w14:paraId="745A7562" w14:textId="77777777" w:rsidTr="008658DE">
        <w:trPr>
          <w:tblHeader/>
        </w:trPr>
        <w:tc>
          <w:tcPr>
            <w:tcW w:w="2410" w:type="dxa"/>
            <w:hideMark/>
          </w:tcPr>
          <w:p w14:paraId="209F0C5C" w14:textId="77777777" w:rsidR="00A24A41" w:rsidRPr="00B00B1A" w:rsidRDefault="00A24A41" w:rsidP="00936508">
            <w:pPr>
              <w:pStyle w:val="Tabletext"/>
              <w:rPr>
                <w:bCs/>
                <w:iCs/>
                <w:color w:val="AEC12D"/>
                <w:sz w:val="32"/>
                <w:szCs w:val="28"/>
              </w:rPr>
            </w:pPr>
            <w:r w:rsidRPr="00B00B1A">
              <w:t>mAHD</w:t>
            </w:r>
          </w:p>
        </w:tc>
        <w:tc>
          <w:tcPr>
            <w:tcW w:w="7371" w:type="dxa"/>
            <w:hideMark/>
          </w:tcPr>
          <w:p w14:paraId="10A9E3EA" w14:textId="77777777" w:rsidR="00A24A41" w:rsidRPr="00B00B1A" w:rsidRDefault="00A24A41" w:rsidP="00936508">
            <w:pPr>
              <w:pStyle w:val="Tabletext"/>
              <w:rPr>
                <w:rFonts w:cs="Arial"/>
                <w:bCs/>
                <w:iCs/>
                <w:color w:val="AEC12D"/>
                <w:sz w:val="32"/>
                <w:szCs w:val="28"/>
              </w:rPr>
            </w:pPr>
            <w:r>
              <w:rPr>
                <w:rFonts w:cs="Arial"/>
              </w:rPr>
              <w:t>elevation in m</w:t>
            </w:r>
            <w:r w:rsidRPr="00B00B1A">
              <w:rPr>
                <w:rFonts w:cs="Arial"/>
              </w:rPr>
              <w:t xml:space="preserve">etres </w:t>
            </w:r>
            <w:r>
              <w:rPr>
                <w:rFonts w:cs="Arial"/>
              </w:rPr>
              <w:t xml:space="preserve">with reference to the </w:t>
            </w:r>
            <w:r w:rsidRPr="00B00B1A">
              <w:rPr>
                <w:rFonts w:cs="Arial"/>
              </w:rPr>
              <w:t>Australian Height Datum</w:t>
            </w:r>
          </w:p>
        </w:tc>
      </w:tr>
      <w:tr w:rsidR="00A24A41" w:rsidRPr="00B00B1A" w14:paraId="529A8ACD" w14:textId="77777777" w:rsidTr="008658DE">
        <w:trPr>
          <w:tblHeader/>
        </w:trPr>
        <w:tc>
          <w:tcPr>
            <w:tcW w:w="2410" w:type="dxa"/>
          </w:tcPr>
          <w:p w14:paraId="055E4009" w14:textId="0DCBB1C4" w:rsidR="00A24A41" w:rsidRPr="00B00B1A" w:rsidRDefault="00A24A41" w:rsidP="00936508">
            <w:pPr>
              <w:pStyle w:val="Tabletext"/>
              <w:rPr>
                <w:bCs/>
                <w:iCs/>
                <w:color w:val="AEC12D"/>
                <w:sz w:val="32"/>
                <w:szCs w:val="28"/>
              </w:rPr>
            </w:pPr>
            <w:r>
              <w:t>m/day</w:t>
            </w:r>
          </w:p>
        </w:tc>
        <w:tc>
          <w:tcPr>
            <w:tcW w:w="7371" w:type="dxa"/>
          </w:tcPr>
          <w:p w14:paraId="0BCB5DE8" w14:textId="1DC05AF5" w:rsidR="00A24A41" w:rsidRDefault="00A24A41" w:rsidP="00936508">
            <w:pPr>
              <w:pStyle w:val="Tabletext"/>
              <w:rPr>
                <w:rFonts w:cs="Arial"/>
                <w:bCs/>
                <w:iCs/>
                <w:color w:val="AEC12D"/>
                <w:sz w:val="32"/>
                <w:szCs w:val="28"/>
              </w:rPr>
            </w:pPr>
            <w:r>
              <w:rPr>
                <w:rFonts w:cs="Arial"/>
              </w:rPr>
              <w:t>metres per day</w:t>
            </w:r>
          </w:p>
        </w:tc>
      </w:tr>
      <w:tr w:rsidR="00A24A41" w:rsidRPr="00B00B1A" w14:paraId="6C65E5F1" w14:textId="77777777" w:rsidTr="008658DE">
        <w:trPr>
          <w:tblHeader/>
        </w:trPr>
        <w:tc>
          <w:tcPr>
            <w:tcW w:w="2410" w:type="dxa"/>
          </w:tcPr>
          <w:p w14:paraId="13B1537B" w14:textId="4663CAAA" w:rsidR="00A24A41" w:rsidRDefault="00A24A41" w:rsidP="00936508">
            <w:pPr>
              <w:pStyle w:val="Tabletext"/>
              <w:rPr>
                <w:bCs/>
                <w:iCs/>
                <w:color w:val="AEC12D"/>
                <w:sz w:val="32"/>
                <w:szCs w:val="28"/>
              </w:rPr>
            </w:pPr>
            <w:r w:rsidRPr="00B00B1A">
              <w:t>m</w:t>
            </w:r>
            <w:r w:rsidRPr="00B00B1A">
              <w:rPr>
                <w:vertAlign w:val="superscript"/>
              </w:rPr>
              <w:t>2</w:t>
            </w:r>
            <w:r w:rsidRPr="00B00B1A">
              <w:t>/day</w:t>
            </w:r>
          </w:p>
        </w:tc>
        <w:tc>
          <w:tcPr>
            <w:tcW w:w="7371" w:type="dxa"/>
          </w:tcPr>
          <w:p w14:paraId="14DC5227" w14:textId="74FEDC49" w:rsidR="00A24A41" w:rsidRDefault="00CF440F" w:rsidP="00936508">
            <w:pPr>
              <w:pStyle w:val="Tabletext"/>
            </w:pPr>
            <w:r>
              <w:rPr>
                <w:rFonts w:cs="Arial"/>
              </w:rPr>
              <w:t>c</w:t>
            </w:r>
            <w:r w:rsidR="00A24A41">
              <w:rPr>
                <w:rFonts w:cs="Arial"/>
              </w:rPr>
              <w:t>ubic metres per day</w:t>
            </w:r>
          </w:p>
        </w:tc>
      </w:tr>
      <w:tr w:rsidR="00A24A41" w:rsidRPr="00B00B1A" w14:paraId="5F52D74D" w14:textId="77777777" w:rsidTr="008658DE">
        <w:trPr>
          <w:tblHeader/>
        </w:trPr>
        <w:tc>
          <w:tcPr>
            <w:tcW w:w="2410" w:type="dxa"/>
            <w:hideMark/>
          </w:tcPr>
          <w:p w14:paraId="4D5635E6" w14:textId="77777777" w:rsidR="00A24A41" w:rsidRPr="00B00B1A" w:rsidRDefault="00A24A41" w:rsidP="00936508">
            <w:pPr>
              <w:pStyle w:val="Tabletext"/>
              <w:rPr>
                <w:bCs/>
                <w:iCs/>
                <w:color w:val="AEC12D"/>
                <w:sz w:val="32"/>
                <w:szCs w:val="28"/>
              </w:rPr>
            </w:pPr>
            <w:r w:rsidRPr="00B00B1A">
              <w:t>MDBA</w:t>
            </w:r>
          </w:p>
        </w:tc>
        <w:tc>
          <w:tcPr>
            <w:tcW w:w="7371" w:type="dxa"/>
            <w:hideMark/>
          </w:tcPr>
          <w:p w14:paraId="7F5E97C9" w14:textId="77777777" w:rsidR="00A24A41" w:rsidRPr="00B00B1A" w:rsidRDefault="00A24A41" w:rsidP="00936508">
            <w:pPr>
              <w:pStyle w:val="Tabletext"/>
              <w:rPr>
                <w:rFonts w:cs="Arial"/>
                <w:bCs/>
                <w:iCs/>
                <w:color w:val="AEC12D"/>
                <w:sz w:val="32"/>
                <w:szCs w:val="28"/>
              </w:rPr>
            </w:pPr>
            <w:r w:rsidRPr="00B00B1A">
              <w:rPr>
                <w:rFonts w:cs="Arial"/>
              </w:rPr>
              <w:t>Murray</w:t>
            </w:r>
            <w:r>
              <w:rPr>
                <w:rFonts w:cs="Arial"/>
              </w:rPr>
              <w:t xml:space="preserve"> </w:t>
            </w:r>
            <w:r w:rsidRPr="00B00B1A">
              <w:rPr>
                <w:rFonts w:cs="Arial"/>
              </w:rPr>
              <w:t>Darling Basin Authority</w:t>
            </w:r>
          </w:p>
        </w:tc>
      </w:tr>
      <w:tr w:rsidR="00A24A41" w:rsidRPr="00B00B1A" w14:paraId="1E9CBF83" w14:textId="77777777" w:rsidTr="008658DE">
        <w:trPr>
          <w:tblHeader/>
        </w:trPr>
        <w:tc>
          <w:tcPr>
            <w:tcW w:w="2410" w:type="dxa"/>
            <w:hideMark/>
          </w:tcPr>
          <w:p w14:paraId="081A8E40" w14:textId="77777777" w:rsidR="00A24A41" w:rsidRPr="00B00B1A" w:rsidRDefault="00A24A41" w:rsidP="00936508">
            <w:pPr>
              <w:pStyle w:val="Tabletext"/>
              <w:rPr>
                <w:bCs/>
                <w:iCs/>
                <w:color w:val="AEC12D"/>
                <w:sz w:val="32"/>
                <w:szCs w:val="28"/>
              </w:rPr>
            </w:pPr>
            <w:r w:rsidRPr="00B00B1A">
              <w:t>MDBC</w:t>
            </w:r>
          </w:p>
        </w:tc>
        <w:tc>
          <w:tcPr>
            <w:tcW w:w="7371" w:type="dxa"/>
            <w:hideMark/>
          </w:tcPr>
          <w:p w14:paraId="7DCFE897" w14:textId="77777777" w:rsidR="00A24A41" w:rsidRPr="00B00B1A" w:rsidRDefault="00A24A41" w:rsidP="00936508">
            <w:pPr>
              <w:pStyle w:val="Tabletext"/>
              <w:rPr>
                <w:rFonts w:cs="Arial"/>
                <w:bCs/>
                <w:iCs/>
                <w:color w:val="AEC12D"/>
                <w:sz w:val="32"/>
                <w:szCs w:val="28"/>
              </w:rPr>
            </w:pPr>
            <w:r w:rsidRPr="00B00B1A">
              <w:rPr>
                <w:rFonts w:cs="Arial"/>
              </w:rPr>
              <w:t>Murray</w:t>
            </w:r>
            <w:r>
              <w:rPr>
                <w:rFonts w:cs="Arial"/>
              </w:rPr>
              <w:t>–</w:t>
            </w:r>
            <w:r w:rsidRPr="00B00B1A">
              <w:rPr>
                <w:rFonts w:cs="Arial"/>
              </w:rPr>
              <w:t>Darling Basin Commission</w:t>
            </w:r>
          </w:p>
        </w:tc>
      </w:tr>
      <w:tr w:rsidR="00A24A41" w:rsidRPr="00B00B1A" w14:paraId="60BAF27A" w14:textId="77777777" w:rsidTr="008658DE">
        <w:trPr>
          <w:tblHeader/>
        </w:trPr>
        <w:tc>
          <w:tcPr>
            <w:tcW w:w="2410" w:type="dxa"/>
          </w:tcPr>
          <w:p w14:paraId="2527651B" w14:textId="5AD6F73C" w:rsidR="00A24A41" w:rsidRPr="00B00B1A" w:rsidRDefault="00A24A41" w:rsidP="00936508">
            <w:pPr>
              <w:pStyle w:val="Tabletext"/>
              <w:rPr>
                <w:rFonts w:cs="Arial"/>
                <w:bCs/>
                <w:iCs/>
                <w:color w:val="AEC12D"/>
                <w:sz w:val="32"/>
                <w:szCs w:val="28"/>
              </w:rPr>
            </w:pPr>
            <w:r>
              <w:rPr>
                <w:rFonts w:cs="Arial"/>
              </w:rPr>
              <w:t>mg/L</w:t>
            </w:r>
          </w:p>
        </w:tc>
        <w:tc>
          <w:tcPr>
            <w:tcW w:w="7371" w:type="dxa"/>
          </w:tcPr>
          <w:p w14:paraId="735E82A4" w14:textId="7055DDFE" w:rsidR="00A24A41" w:rsidRPr="00B00B1A" w:rsidRDefault="00CF440F" w:rsidP="00936508">
            <w:pPr>
              <w:pStyle w:val="Tabletext"/>
            </w:pPr>
            <w:r>
              <w:rPr>
                <w:rFonts w:cs="Arial"/>
              </w:rPr>
              <w:t>m</w:t>
            </w:r>
            <w:r w:rsidR="00A24A41">
              <w:rPr>
                <w:rFonts w:cs="Arial"/>
              </w:rPr>
              <w:t>illigrams per litre</w:t>
            </w:r>
          </w:p>
        </w:tc>
      </w:tr>
      <w:tr w:rsidR="00A24A41" w:rsidRPr="00B00B1A" w14:paraId="567FA1DE" w14:textId="77777777" w:rsidTr="008658DE">
        <w:trPr>
          <w:tblHeader/>
        </w:trPr>
        <w:tc>
          <w:tcPr>
            <w:tcW w:w="2410" w:type="dxa"/>
          </w:tcPr>
          <w:p w14:paraId="7E6BB464" w14:textId="77777777" w:rsidR="00A24A41" w:rsidRPr="00B00B1A" w:rsidRDefault="00A24A41" w:rsidP="00936508">
            <w:pPr>
              <w:pStyle w:val="Tabletext"/>
              <w:rPr>
                <w:rFonts w:cs="Arial"/>
                <w:bCs/>
                <w:iCs/>
                <w:color w:val="AEC12D"/>
                <w:sz w:val="32"/>
                <w:szCs w:val="28"/>
              </w:rPr>
            </w:pPr>
            <w:r w:rsidRPr="00DF4D67">
              <w:t>M</w:t>
            </w:r>
            <w:r w:rsidRPr="00DF4D67">
              <w:rPr>
                <w:vertAlign w:val="subscript"/>
              </w:rPr>
              <w:t>L</w:t>
            </w:r>
            <w:r w:rsidRPr="00926442">
              <w:rPr>
                <w:rFonts w:cs="Arial"/>
                <w:highlight w:val="yellow"/>
              </w:rPr>
              <w:t xml:space="preserve"> </w:t>
            </w:r>
          </w:p>
        </w:tc>
        <w:tc>
          <w:tcPr>
            <w:tcW w:w="7371" w:type="dxa"/>
          </w:tcPr>
          <w:p w14:paraId="04F45C30" w14:textId="293254AF" w:rsidR="00A24A41" w:rsidRPr="00B00B1A" w:rsidRDefault="00CF440F" w:rsidP="00936508">
            <w:pPr>
              <w:pStyle w:val="Tabletext"/>
            </w:pPr>
            <w:r>
              <w:rPr>
                <w:rFonts w:cs="Arial"/>
                <w:lang w:val="en"/>
              </w:rPr>
              <w:t>l</w:t>
            </w:r>
            <w:r w:rsidR="00A24A41" w:rsidRPr="00BD7EC0">
              <w:rPr>
                <w:rFonts w:cs="Arial"/>
                <w:lang w:val="en"/>
              </w:rPr>
              <w:t xml:space="preserve">ocal magnitude, from the </w:t>
            </w:r>
            <w:r w:rsidR="00A24A41" w:rsidRPr="00BD7EC0">
              <w:rPr>
                <w:rFonts w:cs="Arial"/>
                <w:bCs/>
                <w:lang w:val="en"/>
              </w:rPr>
              <w:t>Richter magnitude scale</w:t>
            </w:r>
            <w:r w:rsidR="00A24A41" w:rsidRPr="00BD7EC0">
              <w:rPr>
                <w:rFonts w:cs="Arial"/>
                <w:lang w:val="en"/>
              </w:rPr>
              <w:t xml:space="preserve"> </w:t>
            </w:r>
            <w:r w:rsidR="00A24A41">
              <w:rPr>
                <w:rFonts w:cs="Arial"/>
                <w:lang w:val="en"/>
              </w:rPr>
              <w:t>that</w:t>
            </w:r>
            <w:r w:rsidR="00A24A41" w:rsidRPr="00BD7EC0">
              <w:rPr>
                <w:rFonts w:cs="Arial"/>
                <w:lang w:val="en"/>
              </w:rPr>
              <w:t xml:space="preserve"> assigns a magnitude number to quantify the energy released by an </w:t>
            </w:r>
            <w:r w:rsidR="00A24A41">
              <w:rPr>
                <w:rFonts w:cs="Arial"/>
                <w:lang w:val="en"/>
              </w:rPr>
              <w:t>earthquake</w:t>
            </w:r>
          </w:p>
        </w:tc>
      </w:tr>
      <w:tr w:rsidR="00A24A41" w:rsidRPr="00B00B1A" w14:paraId="6036C550" w14:textId="77777777" w:rsidTr="008658DE">
        <w:trPr>
          <w:tblHeader/>
        </w:trPr>
        <w:tc>
          <w:tcPr>
            <w:tcW w:w="2410" w:type="dxa"/>
          </w:tcPr>
          <w:p w14:paraId="56301405" w14:textId="303C8700" w:rsidR="00A24A41" w:rsidRPr="00DF4D67" w:rsidRDefault="00A24A41" w:rsidP="00936508">
            <w:pPr>
              <w:pStyle w:val="Tabletext"/>
              <w:rPr>
                <w:rFonts w:cs="Arial"/>
                <w:bCs/>
                <w:iCs/>
                <w:color w:val="AEC12D"/>
                <w:sz w:val="32"/>
                <w:szCs w:val="28"/>
              </w:rPr>
            </w:pPr>
            <w:r>
              <w:t>ML</w:t>
            </w:r>
          </w:p>
        </w:tc>
        <w:tc>
          <w:tcPr>
            <w:tcW w:w="7371" w:type="dxa"/>
          </w:tcPr>
          <w:p w14:paraId="0D7CE633" w14:textId="0AE77759" w:rsidR="00A24A41" w:rsidRPr="00BD7EC0" w:rsidRDefault="00CF440F" w:rsidP="00936508">
            <w:pPr>
              <w:pStyle w:val="Tabletext"/>
              <w:rPr>
                <w:lang w:val="en"/>
              </w:rPr>
            </w:pPr>
            <w:r>
              <w:rPr>
                <w:rFonts w:cs="Arial"/>
                <w:lang w:val="en"/>
              </w:rPr>
              <w:t>m</w:t>
            </w:r>
            <w:r w:rsidR="00A24A41">
              <w:rPr>
                <w:rFonts w:cs="Arial"/>
                <w:lang w:val="en"/>
              </w:rPr>
              <w:t>egalitres</w:t>
            </w:r>
          </w:p>
        </w:tc>
      </w:tr>
      <w:tr w:rsidR="00A24A41" w:rsidRPr="00B00B1A" w14:paraId="2279AF7A" w14:textId="77777777" w:rsidTr="008658DE">
        <w:trPr>
          <w:tblHeader/>
        </w:trPr>
        <w:tc>
          <w:tcPr>
            <w:tcW w:w="2410" w:type="dxa"/>
          </w:tcPr>
          <w:p w14:paraId="79719C62" w14:textId="77777777" w:rsidR="00A24A41" w:rsidRPr="00DF4D67" w:rsidRDefault="00A24A41" w:rsidP="00936508">
            <w:pPr>
              <w:pStyle w:val="Tabletext"/>
              <w:rPr>
                <w:rFonts w:cs="Arial"/>
                <w:bCs/>
                <w:iCs/>
                <w:color w:val="AEC12D"/>
                <w:sz w:val="32"/>
                <w:szCs w:val="28"/>
              </w:rPr>
            </w:pPr>
            <w:r>
              <w:t>MPa</w:t>
            </w:r>
          </w:p>
        </w:tc>
        <w:tc>
          <w:tcPr>
            <w:tcW w:w="7371" w:type="dxa"/>
          </w:tcPr>
          <w:p w14:paraId="16895A88" w14:textId="6CDA4687" w:rsidR="00A24A41" w:rsidRPr="00BD7EC0" w:rsidRDefault="00A24A41" w:rsidP="00936508">
            <w:pPr>
              <w:pStyle w:val="Tabletext"/>
              <w:rPr>
                <w:rFonts w:cs="Arial"/>
                <w:bCs/>
                <w:iCs/>
                <w:color w:val="AEC12D"/>
                <w:sz w:val="32"/>
                <w:szCs w:val="28"/>
                <w:lang w:val="en"/>
              </w:rPr>
            </w:pPr>
            <w:r>
              <w:rPr>
                <w:rFonts w:cs="Arial"/>
                <w:lang w:val="en"/>
              </w:rPr>
              <w:t>mega</w:t>
            </w:r>
            <w:r w:rsidR="00CF440F">
              <w:rPr>
                <w:rFonts w:cs="Arial"/>
                <w:lang w:val="en"/>
              </w:rPr>
              <w:t>p</w:t>
            </w:r>
            <w:r>
              <w:rPr>
                <w:rFonts w:cs="Arial"/>
                <w:lang w:val="en"/>
              </w:rPr>
              <w:t>ascal</w:t>
            </w:r>
          </w:p>
        </w:tc>
      </w:tr>
      <w:tr w:rsidR="00A24A41" w:rsidRPr="00B00B1A" w14:paraId="27799CBD" w14:textId="77777777" w:rsidTr="008658DE">
        <w:trPr>
          <w:tblHeader/>
        </w:trPr>
        <w:tc>
          <w:tcPr>
            <w:tcW w:w="2410" w:type="dxa"/>
            <w:hideMark/>
          </w:tcPr>
          <w:p w14:paraId="314DA32E" w14:textId="77777777" w:rsidR="00A24A41" w:rsidRPr="00B00B1A" w:rsidRDefault="00A24A41" w:rsidP="00936508">
            <w:pPr>
              <w:pStyle w:val="Tabletext"/>
              <w:rPr>
                <w:rFonts w:cs="Arial"/>
                <w:bCs/>
                <w:iCs/>
                <w:color w:val="AEC12D"/>
                <w:sz w:val="32"/>
                <w:szCs w:val="28"/>
              </w:rPr>
            </w:pPr>
            <w:r w:rsidRPr="00B00B1A">
              <w:rPr>
                <w:rFonts w:cs="Arial"/>
              </w:rPr>
              <w:t>permeability</w:t>
            </w:r>
          </w:p>
        </w:tc>
        <w:tc>
          <w:tcPr>
            <w:tcW w:w="7371" w:type="dxa"/>
          </w:tcPr>
          <w:p w14:paraId="0A79D69C" w14:textId="77777777" w:rsidR="00A24A41" w:rsidRPr="00B00B1A" w:rsidRDefault="00A24A41" w:rsidP="00936508">
            <w:pPr>
              <w:pStyle w:val="Tabletext"/>
              <w:rPr>
                <w:rFonts w:cs="Arial"/>
                <w:bCs/>
                <w:iCs/>
                <w:color w:val="AEC12D"/>
                <w:sz w:val="32"/>
                <w:szCs w:val="28"/>
              </w:rPr>
            </w:pPr>
            <w:r>
              <w:rPr>
                <w:rFonts w:cs="Arial"/>
              </w:rPr>
              <w:t>the property or capacity of a porous rock, sediment or soil for transmitting a fluid; it is the a measure of the relative ease of fluid to flow under unequal pressure</w:t>
            </w:r>
          </w:p>
        </w:tc>
      </w:tr>
      <w:tr w:rsidR="00A24A41" w:rsidRPr="00B00B1A" w14:paraId="2705933A" w14:textId="77777777" w:rsidTr="008658DE">
        <w:trPr>
          <w:tblHeader/>
        </w:trPr>
        <w:tc>
          <w:tcPr>
            <w:tcW w:w="2410" w:type="dxa"/>
            <w:hideMark/>
          </w:tcPr>
          <w:p w14:paraId="7F7ECB9C" w14:textId="77777777" w:rsidR="00A24A41" w:rsidRPr="00B00B1A" w:rsidRDefault="00A24A41" w:rsidP="00936508">
            <w:pPr>
              <w:pStyle w:val="Tabletext"/>
              <w:rPr>
                <w:rFonts w:cs="Arial"/>
                <w:bCs/>
                <w:iCs/>
                <w:color w:val="AEC12D"/>
                <w:sz w:val="32"/>
                <w:szCs w:val="28"/>
              </w:rPr>
            </w:pPr>
            <w:r w:rsidRPr="00B00B1A">
              <w:rPr>
                <w:rFonts w:cs="Arial"/>
              </w:rPr>
              <w:t>porosity</w:t>
            </w:r>
          </w:p>
        </w:tc>
        <w:tc>
          <w:tcPr>
            <w:tcW w:w="7371" w:type="dxa"/>
          </w:tcPr>
          <w:p w14:paraId="3E560E6B" w14:textId="77777777" w:rsidR="00A24A41" w:rsidRPr="00B00B1A" w:rsidRDefault="00A24A41" w:rsidP="00936508">
            <w:pPr>
              <w:pStyle w:val="Tabletext"/>
              <w:rPr>
                <w:rFonts w:cs="Arial"/>
                <w:bCs/>
                <w:iCs/>
                <w:color w:val="AEC12D"/>
                <w:sz w:val="32"/>
                <w:szCs w:val="28"/>
              </w:rPr>
            </w:pPr>
            <w:r>
              <w:rPr>
                <w:rFonts w:cs="Arial"/>
              </w:rPr>
              <w:t>the percentage of the bulk volume of a rock or soil that is occupied by interstices, whether isolated or connected</w:t>
            </w:r>
          </w:p>
        </w:tc>
      </w:tr>
      <w:tr w:rsidR="00A24A41" w:rsidRPr="00B00B1A" w14:paraId="459F4122" w14:textId="77777777" w:rsidTr="008658DE">
        <w:trPr>
          <w:tblHeader/>
        </w:trPr>
        <w:tc>
          <w:tcPr>
            <w:tcW w:w="2410" w:type="dxa"/>
            <w:hideMark/>
          </w:tcPr>
          <w:p w14:paraId="1BEDDBBC" w14:textId="77777777" w:rsidR="00A24A41" w:rsidRPr="00B00B1A" w:rsidRDefault="00A24A41" w:rsidP="00936508">
            <w:pPr>
              <w:pStyle w:val="Tabletext"/>
              <w:rPr>
                <w:rFonts w:cs="Arial"/>
                <w:bCs/>
                <w:iCs/>
                <w:color w:val="AEC12D"/>
                <w:sz w:val="32"/>
                <w:szCs w:val="28"/>
              </w:rPr>
            </w:pPr>
            <w:r w:rsidRPr="00B00B1A">
              <w:rPr>
                <w:rFonts w:cs="Arial"/>
              </w:rPr>
              <w:lastRenderedPageBreak/>
              <w:t>potentiometric surface</w:t>
            </w:r>
          </w:p>
        </w:tc>
        <w:tc>
          <w:tcPr>
            <w:tcW w:w="7371" w:type="dxa"/>
          </w:tcPr>
          <w:p w14:paraId="0F136F9A" w14:textId="77777777" w:rsidR="00A24A41" w:rsidRPr="00B00B1A" w:rsidRDefault="00A24A41" w:rsidP="00936508">
            <w:pPr>
              <w:pStyle w:val="Tabletext"/>
              <w:rPr>
                <w:rFonts w:cs="Arial"/>
                <w:bCs/>
                <w:iCs/>
                <w:color w:val="AEC12D"/>
                <w:sz w:val="32"/>
                <w:szCs w:val="28"/>
              </w:rPr>
            </w:pPr>
            <w:r>
              <w:rPr>
                <w:rFonts w:cs="Arial"/>
              </w:rPr>
              <w:t>an imaginary surface representing the total head of groundwater in a confined aquifer that is defined by the level to which the water rise in a bore</w:t>
            </w:r>
          </w:p>
        </w:tc>
      </w:tr>
      <w:tr w:rsidR="008658DE" w:rsidRPr="00A24A41" w14:paraId="6991D57F" w14:textId="77777777" w:rsidTr="00E7436B">
        <w:trPr>
          <w:cantSplit/>
          <w:tblHeader/>
        </w:trPr>
        <w:tc>
          <w:tcPr>
            <w:tcW w:w="2410" w:type="dxa"/>
            <w:shd w:val="clear" w:color="auto" w:fill="005A97"/>
          </w:tcPr>
          <w:p w14:paraId="05B9B48F" w14:textId="77777777" w:rsidR="008658DE" w:rsidRPr="005229A4" w:rsidRDefault="008658DE" w:rsidP="00E7436B">
            <w:pPr>
              <w:pStyle w:val="TableHeaderrow"/>
            </w:pPr>
            <w:r w:rsidRPr="005229A4">
              <w:t>Term</w:t>
            </w:r>
          </w:p>
        </w:tc>
        <w:tc>
          <w:tcPr>
            <w:tcW w:w="7371" w:type="dxa"/>
            <w:shd w:val="clear" w:color="auto" w:fill="005A97"/>
          </w:tcPr>
          <w:p w14:paraId="4050747E" w14:textId="77777777" w:rsidR="008658DE" w:rsidRPr="00A24A41" w:rsidRDefault="008658DE" w:rsidP="00E7436B">
            <w:pPr>
              <w:pStyle w:val="TableHeaderrow"/>
              <w:rPr>
                <w:iCs/>
                <w:color w:val="AEC12D"/>
                <w:sz w:val="32"/>
                <w:szCs w:val="28"/>
              </w:rPr>
            </w:pPr>
            <w:r w:rsidRPr="00A24A41">
              <w:t>Meaning</w:t>
            </w:r>
          </w:p>
        </w:tc>
      </w:tr>
      <w:tr w:rsidR="00A24A41" w:rsidRPr="00B00B1A" w14:paraId="0D7BFB49" w14:textId="77777777" w:rsidTr="008658DE">
        <w:trPr>
          <w:tblHeader/>
        </w:trPr>
        <w:tc>
          <w:tcPr>
            <w:tcW w:w="2410" w:type="dxa"/>
          </w:tcPr>
          <w:p w14:paraId="099287B4" w14:textId="77777777" w:rsidR="00A24A41" w:rsidRPr="00B00B1A" w:rsidRDefault="00A24A41" w:rsidP="00FD7B36">
            <w:pPr>
              <w:pStyle w:val="Tabletext"/>
              <w:rPr>
                <w:rFonts w:cs="Arial"/>
                <w:bCs/>
                <w:iCs/>
                <w:color w:val="AEC12D"/>
                <w:sz w:val="32"/>
                <w:szCs w:val="28"/>
              </w:rPr>
            </w:pPr>
            <w:r w:rsidRPr="005E64D6">
              <w:rPr>
                <w:rFonts w:cs="Arial"/>
              </w:rPr>
              <w:t>prospectivity</w:t>
            </w:r>
          </w:p>
        </w:tc>
        <w:tc>
          <w:tcPr>
            <w:tcW w:w="7371" w:type="dxa"/>
          </w:tcPr>
          <w:p w14:paraId="556CA967" w14:textId="27EE5537" w:rsidR="00A24A41" w:rsidRPr="00B00B1A" w:rsidRDefault="00A24A41" w:rsidP="008658DE">
            <w:pPr>
              <w:pStyle w:val="Tabletext"/>
              <w:rPr>
                <w:rFonts w:cs="Arial"/>
                <w:bCs/>
                <w:iCs/>
                <w:color w:val="AEC12D"/>
                <w:sz w:val="32"/>
                <w:szCs w:val="28"/>
              </w:rPr>
            </w:pPr>
            <w:r w:rsidRPr="00571CCE">
              <w:rPr>
                <w:rFonts w:cs="Arial"/>
              </w:rPr>
              <w:t>an assessment, whether qualitative or quantitative, of the potential for prospective resources</w:t>
            </w:r>
          </w:p>
        </w:tc>
      </w:tr>
      <w:tr w:rsidR="00A24A41" w:rsidRPr="00B00B1A" w14:paraId="7C867F1D" w14:textId="77777777" w:rsidTr="008658DE">
        <w:trPr>
          <w:tblHeader/>
        </w:trPr>
        <w:tc>
          <w:tcPr>
            <w:tcW w:w="2410" w:type="dxa"/>
          </w:tcPr>
          <w:p w14:paraId="6863CBCD" w14:textId="77777777" w:rsidR="00A24A41" w:rsidRPr="00B00B1A" w:rsidRDefault="00A24A41" w:rsidP="00FD7B36">
            <w:pPr>
              <w:pStyle w:val="Tabletext"/>
              <w:rPr>
                <w:rFonts w:cs="Arial"/>
                <w:bCs/>
                <w:iCs/>
                <w:color w:val="AEC12D"/>
                <w:sz w:val="32"/>
                <w:szCs w:val="28"/>
              </w:rPr>
            </w:pPr>
            <w:r>
              <w:rPr>
                <w:rFonts w:cs="Arial"/>
              </w:rPr>
              <w:t>prospective resources</w:t>
            </w:r>
          </w:p>
        </w:tc>
        <w:tc>
          <w:tcPr>
            <w:tcW w:w="7371" w:type="dxa"/>
          </w:tcPr>
          <w:p w14:paraId="578E5EB9" w14:textId="77777777" w:rsidR="00A24A41" w:rsidRPr="00B00B1A" w:rsidRDefault="00A24A41" w:rsidP="00FD7B36">
            <w:pPr>
              <w:pStyle w:val="Tabletext"/>
              <w:rPr>
                <w:rFonts w:cs="Arial"/>
                <w:bCs/>
                <w:iCs/>
                <w:color w:val="AEC12D"/>
                <w:sz w:val="32"/>
                <w:szCs w:val="28"/>
              </w:rPr>
            </w:pPr>
            <w:r w:rsidRPr="005E64D6">
              <w:rPr>
                <w:rFonts w:cs="Arial"/>
              </w:rPr>
              <w:t xml:space="preserve">petroleum </w:t>
            </w:r>
            <w:r>
              <w:rPr>
                <w:rFonts w:cs="Arial"/>
              </w:rPr>
              <w:t xml:space="preserve">(including natural gas) </w:t>
            </w:r>
            <w:r w:rsidRPr="005E64D6">
              <w:rPr>
                <w:rFonts w:cs="Arial"/>
              </w:rPr>
              <w:t>which is potentially recoverable from undiscovered accumulations</w:t>
            </w:r>
          </w:p>
        </w:tc>
      </w:tr>
      <w:tr w:rsidR="00A24A41" w:rsidRPr="00B00B1A" w14:paraId="5722BE98" w14:textId="77777777" w:rsidTr="008658DE">
        <w:trPr>
          <w:tblHeader/>
        </w:trPr>
        <w:tc>
          <w:tcPr>
            <w:tcW w:w="2410" w:type="dxa"/>
            <w:hideMark/>
          </w:tcPr>
          <w:p w14:paraId="4EC76675" w14:textId="77777777" w:rsidR="00A24A41" w:rsidRPr="00B00B1A" w:rsidRDefault="00A24A41" w:rsidP="00FD7B36">
            <w:pPr>
              <w:pStyle w:val="Tabletext"/>
              <w:rPr>
                <w:rFonts w:cs="Arial"/>
                <w:bCs/>
                <w:iCs/>
                <w:color w:val="AEC12D"/>
                <w:sz w:val="32"/>
                <w:szCs w:val="28"/>
              </w:rPr>
            </w:pPr>
            <w:r w:rsidRPr="00B00B1A">
              <w:rPr>
                <w:rFonts w:cs="Arial"/>
              </w:rPr>
              <w:t>recharge rate</w:t>
            </w:r>
          </w:p>
        </w:tc>
        <w:tc>
          <w:tcPr>
            <w:tcW w:w="7371" w:type="dxa"/>
            <w:hideMark/>
          </w:tcPr>
          <w:p w14:paraId="52B27822" w14:textId="77777777" w:rsidR="00A24A41" w:rsidRPr="00B00B1A" w:rsidRDefault="00A24A41" w:rsidP="00FD7B36">
            <w:pPr>
              <w:pStyle w:val="Tabletext"/>
              <w:rPr>
                <w:rFonts w:cs="Arial"/>
                <w:bCs/>
                <w:iCs/>
                <w:color w:val="AEC12D"/>
                <w:sz w:val="32"/>
                <w:szCs w:val="28"/>
              </w:rPr>
            </w:pPr>
            <w:r w:rsidRPr="00B00B1A">
              <w:rPr>
                <w:rFonts w:cs="Arial"/>
              </w:rPr>
              <w:t>water that flows below the root zone and enters the groundwater</w:t>
            </w:r>
          </w:p>
        </w:tc>
      </w:tr>
      <w:tr w:rsidR="00A24A41" w:rsidRPr="00B00B1A" w14:paraId="38B070C6" w14:textId="77777777" w:rsidTr="008658DE">
        <w:trPr>
          <w:tblHeader/>
        </w:trPr>
        <w:tc>
          <w:tcPr>
            <w:tcW w:w="2410" w:type="dxa"/>
            <w:vAlign w:val="bottom"/>
            <w:hideMark/>
          </w:tcPr>
          <w:p w14:paraId="6AF6C268" w14:textId="77777777" w:rsidR="00A24A41" w:rsidRPr="00B00B1A" w:rsidRDefault="00A24A41" w:rsidP="00FD7B36">
            <w:pPr>
              <w:pStyle w:val="Tabletext"/>
              <w:rPr>
                <w:rFonts w:cs="Arial"/>
                <w:bCs/>
                <w:iCs/>
                <w:color w:val="AEC12D"/>
                <w:sz w:val="32"/>
                <w:szCs w:val="28"/>
              </w:rPr>
            </w:pPr>
            <w:r w:rsidRPr="00B00B1A">
              <w:rPr>
                <w:rFonts w:cs="Arial"/>
              </w:rPr>
              <w:t>SAFE</w:t>
            </w:r>
          </w:p>
        </w:tc>
        <w:tc>
          <w:tcPr>
            <w:tcW w:w="7371" w:type="dxa"/>
            <w:hideMark/>
          </w:tcPr>
          <w:p w14:paraId="178CECEB" w14:textId="77777777" w:rsidR="00A24A41" w:rsidRPr="00B00B1A" w:rsidRDefault="00A24A41" w:rsidP="00FD7B36">
            <w:pPr>
              <w:pStyle w:val="Tabletext"/>
              <w:rPr>
                <w:rFonts w:cs="Arial"/>
                <w:bCs/>
                <w:iCs/>
                <w:color w:val="AEC12D"/>
                <w:sz w:val="32"/>
                <w:szCs w:val="28"/>
              </w:rPr>
            </w:pPr>
            <w:r w:rsidRPr="00B00B1A">
              <w:rPr>
                <w:rFonts w:cs="Arial"/>
              </w:rPr>
              <w:t>Victorian Secure Allocation Future Entitlement</w:t>
            </w:r>
          </w:p>
        </w:tc>
      </w:tr>
      <w:tr w:rsidR="00A24A41" w:rsidRPr="00B00B1A" w14:paraId="79F95279" w14:textId="77777777" w:rsidTr="008658DE">
        <w:trPr>
          <w:tblHeader/>
        </w:trPr>
        <w:tc>
          <w:tcPr>
            <w:tcW w:w="2410" w:type="dxa"/>
            <w:hideMark/>
          </w:tcPr>
          <w:p w14:paraId="63E33684" w14:textId="77777777" w:rsidR="00A24A41" w:rsidRPr="00B00B1A" w:rsidRDefault="00A24A41" w:rsidP="00FD7B36">
            <w:pPr>
              <w:pStyle w:val="Tabletext"/>
              <w:rPr>
                <w:rFonts w:cs="Arial"/>
                <w:bCs/>
                <w:iCs/>
                <w:color w:val="AEC12D"/>
                <w:sz w:val="32"/>
                <w:szCs w:val="28"/>
              </w:rPr>
            </w:pPr>
            <w:r w:rsidRPr="00B00B1A">
              <w:rPr>
                <w:rFonts w:cs="Arial"/>
              </w:rPr>
              <w:t>specific yield (Sy)</w:t>
            </w:r>
          </w:p>
        </w:tc>
        <w:tc>
          <w:tcPr>
            <w:tcW w:w="7371" w:type="dxa"/>
          </w:tcPr>
          <w:p w14:paraId="1EAF56F3" w14:textId="7873C3EA" w:rsidR="00A24A41" w:rsidRPr="00B00B1A" w:rsidRDefault="00A24A41" w:rsidP="00FD7B36">
            <w:pPr>
              <w:pStyle w:val="Tabletext"/>
              <w:rPr>
                <w:rFonts w:cs="Arial"/>
                <w:bCs/>
                <w:iCs/>
                <w:color w:val="AEC12D"/>
                <w:sz w:val="32"/>
                <w:szCs w:val="28"/>
              </w:rPr>
            </w:pPr>
            <w:r>
              <w:rPr>
                <w:rFonts w:cs="Arial"/>
              </w:rPr>
              <w:t>the ratio of the volume of water that a given body of rock or soil will hold against the pull of gravity to the volume of the body itself</w:t>
            </w:r>
            <w:r w:rsidR="008573A4">
              <w:rPr>
                <w:rFonts w:cs="Arial"/>
              </w:rPr>
              <w:t xml:space="preserve">. </w:t>
            </w:r>
            <w:r>
              <w:rPr>
                <w:rFonts w:cs="Arial"/>
              </w:rPr>
              <w:t>It is usually expressed as a percentage</w:t>
            </w:r>
          </w:p>
        </w:tc>
      </w:tr>
      <w:tr w:rsidR="00A24A41" w:rsidRPr="00B00B1A" w14:paraId="75916C8E" w14:textId="77777777" w:rsidTr="008658DE">
        <w:trPr>
          <w:tblHeader/>
        </w:trPr>
        <w:tc>
          <w:tcPr>
            <w:tcW w:w="2410" w:type="dxa"/>
            <w:hideMark/>
          </w:tcPr>
          <w:p w14:paraId="6CDDE138" w14:textId="77777777" w:rsidR="00A24A41" w:rsidRPr="00B00B1A" w:rsidRDefault="00A24A41" w:rsidP="00FD7B36">
            <w:pPr>
              <w:pStyle w:val="Tabletext"/>
            </w:pPr>
            <w:r w:rsidRPr="00B00B1A">
              <w:rPr>
                <w:rFonts w:cs="Arial"/>
              </w:rPr>
              <w:t>specific storage (Ss)</w:t>
            </w:r>
          </w:p>
        </w:tc>
        <w:tc>
          <w:tcPr>
            <w:tcW w:w="7371" w:type="dxa"/>
          </w:tcPr>
          <w:p w14:paraId="17160587" w14:textId="77777777" w:rsidR="00A24A41" w:rsidRPr="00B00B1A" w:rsidRDefault="00A24A41" w:rsidP="00FD7B36">
            <w:pPr>
              <w:pStyle w:val="Tabletext"/>
              <w:rPr>
                <w:rFonts w:cs="Arial"/>
                <w:bCs/>
                <w:iCs/>
                <w:color w:val="AEC12D"/>
                <w:sz w:val="32"/>
                <w:szCs w:val="28"/>
              </w:rPr>
            </w:pPr>
            <w:r>
              <w:rPr>
                <w:rFonts w:cs="Arial"/>
                <w:lang w:val="en"/>
              </w:rPr>
              <w:t>t</w:t>
            </w:r>
            <w:r w:rsidRPr="000624D8">
              <w:rPr>
                <w:rFonts w:cs="Arial"/>
                <w:lang w:val="en"/>
              </w:rPr>
              <w:t>he amount of water that a portion of an aquifer releases from storage, per unit mass or volume of aquifer, per unit change in hydraulic head, while remaining fully saturated</w:t>
            </w:r>
          </w:p>
        </w:tc>
      </w:tr>
      <w:tr w:rsidR="00A24A41" w:rsidRPr="00B00B1A" w14:paraId="4C5601F2" w14:textId="77777777" w:rsidTr="008658DE">
        <w:trPr>
          <w:tblHeader/>
        </w:trPr>
        <w:tc>
          <w:tcPr>
            <w:tcW w:w="2410" w:type="dxa"/>
          </w:tcPr>
          <w:p w14:paraId="66FE8163" w14:textId="77777777" w:rsidR="00A24A41" w:rsidRPr="00B00B1A" w:rsidRDefault="00A24A41" w:rsidP="00FD7B36">
            <w:pPr>
              <w:pStyle w:val="Tabletext"/>
              <w:rPr>
                <w:rFonts w:cs="Arial"/>
                <w:bCs/>
                <w:iCs/>
                <w:color w:val="AEC12D"/>
                <w:sz w:val="32"/>
                <w:szCs w:val="28"/>
              </w:rPr>
            </w:pPr>
            <w:r>
              <w:rPr>
                <w:rFonts w:cs="Arial"/>
              </w:rPr>
              <w:t>TCF</w:t>
            </w:r>
          </w:p>
        </w:tc>
        <w:tc>
          <w:tcPr>
            <w:tcW w:w="7371" w:type="dxa"/>
          </w:tcPr>
          <w:p w14:paraId="4CB6B244" w14:textId="0CD0A7E6" w:rsidR="00A24A41" w:rsidRDefault="00CF440F" w:rsidP="00FD7B36">
            <w:pPr>
              <w:pStyle w:val="Tabletext"/>
              <w:rPr>
                <w:lang w:val="en"/>
              </w:rPr>
            </w:pPr>
            <w:r>
              <w:rPr>
                <w:rFonts w:cs="Arial"/>
                <w:lang w:val="en"/>
              </w:rPr>
              <w:t>t</w:t>
            </w:r>
            <w:r w:rsidR="00A24A41">
              <w:rPr>
                <w:rFonts w:cs="Arial"/>
                <w:lang w:val="en"/>
              </w:rPr>
              <w:t>rillion cubic feet</w:t>
            </w:r>
          </w:p>
        </w:tc>
      </w:tr>
      <w:tr w:rsidR="00A24A41" w:rsidRPr="00B00B1A" w14:paraId="2F9B7598" w14:textId="77777777" w:rsidTr="008658DE">
        <w:trPr>
          <w:tblHeader/>
        </w:trPr>
        <w:tc>
          <w:tcPr>
            <w:tcW w:w="2410" w:type="dxa"/>
            <w:hideMark/>
          </w:tcPr>
          <w:p w14:paraId="1A959102" w14:textId="77777777" w:rsidR="00A24A41" w:rsidRPr="00B00B1A" w:rsidRDefault="00A24A41" w:rsidP="00FD7B36">
            <w:pPr>
              <w:pStyle w:val="Tabletext"/>
              <w:rPr>
                <w:rFonts w:cs="Arial"/>
                <w:bCs/>
                <w:iCs/>
                <w:color w:val="AEC12D"/>
                <w:sz w:val="32"/>
                <w:szCs w:val="28"/>
              </w:rPr>
            </w:pPr>
            <w:r w:rsidRPr="00B00B1A">
              <w:rPr>
                <w:rFonts w:cs="Arial"/>
              </w:rPr>
              <w:t>TDS</w:t>
            </w:r>
          </w:p>
        </w:tc>
        <w:tc>
          <w:tcPr>
            <w:tcW w:w="7371" w:type="dxa"/>
            <w:hideMark/>
          </w:tcPr>
          <w:p w14:paraId="76E8C95F" w14:textId="77777777" w:rsidR="00A24A41" w:rsidRPr="00B00B1A" w:rsidRDefault="00A24A41" w:rsidP="00FD7B36">
            <w:pPr>
              <w:pStyle w:val="Tabletext"/>
              <w:rPr>
                <w:rFonts w:cs="Arial"/>
                <w:bCs/>
                <w:iCs/>
                <w:color w:val="AEC12D"/>
                <w:sz w:val="32"/>
                <w:szCs w:val="28"/>
              </w:rPr>
            </w:pPr>
            <w:r w:rsidRPr="00B00B1A">
              <w:rPr>
                <w:rFonts w:cs="Arial"/>
              </w:rPr>
              <w:t>total dissolved solids</w:t>
            </w:r>
          </w:p>
        </w:tc>
      </w:tr>
      <w:tr w:rsidR="00A24A41" w:rsidRPr="00B00B1A" w14:paraId="07C74C46" w14:textId="77777777" w:rsidTr="008658DE">
        <w:trPr>
          <w:tblHeader/>
        </w:trPr>
        <w:tc>
          <w:tcPr>
            <w:tcW w:w="2410" w:type="dxa"/>
            <w:hideMark/>
          </w:tcPr>
          <w:p w14:paraId="79FB09DA" w14:textId="77777777" w:rsidR="00A24A41" w:rsidRPr="00B00B1A" w:rsidRDefault="00A24A41" w:rsidP="00FD7B36">
            <w:pPr>
              <w:pStyle w:val="Tabletext"/>
              <w:rPr>
                <w:rFonts w:cs="Arial"/>
                <w:bCs/>
                <w:iCs/>
                <w:color w:val="AEC12D"/>
                <w:sz w:val="32"/>
                <w:szCs w:val="28"/>
              </w:rPr>
            </w:pPr>
            <w:r w:rsidRPr="00B00B1A">
              <w:rPr>
                <w:rFonts w:cs="Arial"/>
              </w:rPr>
              <w:t>transient</w:t>
            </w:r>
          </w:p>
        </w:tc>
        <w:tc>
          <w:tcPr>
            <w:tcW w:w="7371" w:type="dxa"/>
            <w:hideMark/>
          </w:tcPr>
          <w:p w14:paraId="2EB5F4E5" w14:textId="77777777" w:rsidR="00A24A41" w:rsidRPr="00B00B1A" w:rsidRDefault="00A24A41" w:rsidP="00FD7B36">
            <w:pPr>
              <w:pStyle w:val="Tabletext"/>
              <w:rPr>
                <w:rFonts w:cs="Arial"/>
                <w:bCs/>
                <w:iCs/>
                <w:color w:val="AEC12D"/>
                <w:sz w:val="32"/>
                <w:szCs w:val="28"/>
              </w:rPr>
            </w:pPr>
            <w:r w:rsidRPr="00B00B1A">
              <w:rPr>
                <w:rFonts w:cs="Arial"/>
              </w:rPr>
              <w:t>time-varying</w:t>
            </w:r>
          </w:p>
        </w:tc>
      </w:tr>
      <w:tr w:rsidR="00A24A41" w:rsidRPr="00B00B1A" w14:paraId="5D2BAE61" w14:textId="77777777" w:rsidTr="008658DE">
        <w:trPr>
          <w:tblHeader/>
        </w:trPr>
        <w:tc>
          <w:tcPr>
            <w:tcW w:w="2410" w:type="dxa"/>
            <w:hideMark/>
          </w:tcPr>
          <w:p w14:paraId="03C5D3A7" w14:textId="77777777" w:rsidR="00A24A41" w:rsidRPr="00B00B1A" w:rsidRDefault="00A24A41" w:rsidP="00FD7B36">
            <w:pPr>
              <w:pStyle w:val="Tabletext"/>
              <w:rPr>
                <w:rFonts w:cs="Arial"/>
                <w:bCs/>
                <w:iCs/>
                <w:color w:val="AEC12D"/>
                <w:sz w:val="32"/>
                <w:szCs w:val="28"/>
              </w:rPr>
            </w:pPr>
            <w:r w:rsidRPr="00B00B1A">
              <w:rPr>
                <w:rFonts w:cs="Arial"/>
              </w:rPr>
              <w:t>transmissivity</w:t>
            </w:r>
          </w:p>
        </w:tc>
        <w:tc>
          <w:tcPr>
            <w:tcW w:w="7371" w:type="dxa"/>
          </w:tcPr>
          <w:p w14:paraId="57556650" w14:textId="77777777" w:rsidR="00A24A41" w:rsidRPr="00B00B1A" w:rsidRDefault="00A24A41" w:rsidP="00FD7B36">
            <w:pPr>
              <w:pStyle w:val="Tabletext"/>
              <w:rPr>
                <w:rFonts w:cs="Arial"/>
                <w:bCs/>
                <w:iCs/>
                <w:color w:val="AEC12D"/>
                <w:sz w:val="32"/>
                <w:szCs w:val="28"/>
              </w:rPr>
            </w:pPr>
            <w:r>
              <w:rPr>
                <w:rFonts w:cs="Arial"/>
              </w:rPr>
              <w:t>the rates at which water is transmitted through a unit width of an aquifer under a unit hydraulic gradient</w:t>
            </w:r>
          </w:p>
        </w:tc>
      </w:tr>
      <w:tr w:rsidR="00A24A41" w:rsidRPr="00B00B1A" w14:paraId="715C3BD1" w14:textId="77777777" w:rsidTr="008658DE">
        <w:trPr>
          <w:tblHeader/>
        </w:trPr>
        <w:tc>
          <w:tcPr>
            <w:tcW w:w="2410" w:type="dxa"/>
            <w:hideMark/>
          </w:tcPr>
          <w:p w14:paraId="6FCDA750" w14:textId="77777777" w:rsidR="00A24A41" w:rsidRPr="00B00B1A" w:rsidRDefault="00A24A41" w:rsidP="00FD7B36">
            <w:pPr>
              <w:pStyle w:val="Tabletext"/>
              <w:rPr>
                <w:rFonts w:cs="Arial"/>
                <w:bCs/>
                <w:iCs/>
                <w:color w:val="AEC12D"/>
                <w:sz w:val="32"/>
                <w:szCs w:val="28"/>
              </w:rPr>
            </w:pPr>
            <w:r w:rsidRPr="00B00B1A">
              <w:rPr>
                <w:rFonts w:cs="Arial"/>
              </w:rPr>
              <w:t>unconfined aquifer</w:t>
            </w:r>
          </w:p>
        </w:tc>
        <w:tc>
          <w:tcPr>
            <w:tcW w:w="7371" w:type="dxa"/>
          </w:tcPr>
          <w:p w14:paraId="3F98A45E" w14:textId="77777777" w:rsidR="00A24A41" w:rsidRPr="00B00B1A" w:rsidRDefault="00A24A41" w:rsidP="00FD7B36">
            <w:pPr>
              <w:pStyle w:val="Tabletext"/>
              <w:rPr>
                <w:rFonts w:cs="Arial"/>
                <w:bCs/>
                <w:iCs/>
                <w:color w:val="AEC12D"/>
                <w:sz w:val="32"/>
                <w:szCs w:val="28"/>
              </w:rPr>
            </w:pPr>
            <w:r>
              <w:rPr>
                <w:rFonts w:cs="Arial"/>
              </w:rPr>
              <w:t>an aquifer where the watertable is exposed to the atmosphere through openings in the overlying materials</w:t>
            </w:r>
          </w:p>
        </w:tc>
      </w:tr>
      <w:tr w:rsidR="00A24A41" w:rsidRPr="00B00B1A" w14:paraId="3C3F3B86" w14:textId="77777777" w:rsidTr="008658DE">
        <w:trPr>
          <w:tblHeader/>
        </w:trPr>
        <w:tc>
          <w:tcPr>
            <w:tcW w:w="2410" w:type="dxa"/>
            <w:hideMark/>
          </w:tcPr>
          <w:p w14:paraId="7A6FC446" w14:textId="77777777" w:rsidR="00A24A41" w:rsidRPr="00B00B1A" w:rsidRDefault="00A24A41" w:rsidP="00FD7B36">
            <w:pPr>
              <w:pStyle w:val="Tabletext"/>
              <w:rPr>
                <w:rFonts w:cs="Arial"/>
                <w:bCs/>
                <w:iCs/>
                <w:color w:val="AEC12D"/>
                <w:sz w:val="32"/>
                <w:szCs w:val="28"/>
              </w:rPr>
            </w:pPr>
            <w:r w:rsidRPr="00B00B1A">
              <w:rPr>
                <w:rFonts w:cs="Arial"/>
              </w:rPr>
              <w:t>VAF</w:t>
            </w:r>
          </w:p>
        </w:tc>
        <w:tc>
          <w:tcPr>
            <w:tcW w:w="7371" w:type="dxa"/>
            <w:hideMark/>
          </w:tcPr>
          <w:p w14:paraId="2CC99B4E" w14:textId="77777777" w:rsidR="00A24A41" w:rsidRPr="00B00B1A" w:rsidRDefault="00A24A41" w:rsidP="00FD7B36">
            <w:pPr>
              <w:pStyle w:val="Tabletext"/>
              <w:rPr>
                <w:rFonts w:cs="Arial"/>
                <w:bCs/>
                <w:iCs/>
                <w:color w:val="AEC12D"/>
                <w:sz w:val="32"/>
                <w:szCs w:val="28"/>
              </w:rPr>
            </w:pPr>
            <w:r w:rsidRPr="00B00B1A">
              <w:rPr>
                <w:rFonts w:cs="Arial"/>
              </w:rPr>
              <w:t>Victorian Aquifer Framework</w:t>
            </w:r>
          </w:p>
        </w:tc>
      </w:tr>
      <w:tr w:rsidR="00A24A41" w:rsidRPr="00B00B1A" w14:paraId="4F4195F2" w14:textId="77777777" w:rsidTr="008658DE">
        <w:trPr>
          <w:tblHeader/>
        </w:trPr>
        <w:tc>
          <w:tcPr>
            <w:tcW w:w="2410" w:type="dxa"/>
            <w:hideMark/>
          </w:tcPr>
          <w:p w14:paraId="60DB513B" w14:textId="77777777" w:rsidR="00A24A41" w:rsidRPr="00B00B1A" w:rsidRDefault="00A24A41" w:rsidP="00FD7B36">
            <w:pPr>
              <w:pStyle w:val="Tabletext"/>
              <w:rPr>
                <w:rFonts w:cs="Arial"/>
                <w:bCs/>
                <w:iCs/>
                <w:color w:val="AEC12D"/>
                <w:sz w:val="32"/>
                <w:szCs w:val="28"/>
              </w:rPr>
            </w:pPr>
            <w:r w:rsidRPr="00B00B1A">
              <w:rPr>
                <w:rFonts w:cs="Arial"/>
              </w:rPr>
              <w:t>vertical hydraulic conductivity (Kz)</w:t>
            </w:r>
          </w:p>
        </w:tc>
        <w:tc>
          <w:tcPr>
            <w:tcW w:w="7371" w:type="dxa"/>
          </w:tcPr>
          <w:p w14:paraId="58C81E32" w14:textId="77777777" w:rsidR="00A24A41" w:rsidRPr="00B00B1A" w:rsidRDefault="00A24A41" w:rsidP="00FD7B36">
            <w:pPr>
              <w:pStyle w:val="Tabletext"/>
              <w:rPr>
                <w:rFonts w:cs="Arial"/>
                <w:bCs/>
                <w:iCs/>
                <w:color w:val="AEC12D"/>
                <w:sz w:val="32"/>
                <w:szCs w:val="28"/>
              </w:rPr>
            </w:pPr>
            <w:r w:rsidRPr="00D25264">
              <w:rPr>
                <w:rFonts w:cs="Arial"/>
              </w:rPr>
              <w:t xml:space="preserve">the rate of </w:t>
            </w:r>
            <w:r>
              <w:rPr>
                <w:rFonts w:cs="Arial"/>
              </w:rPr>
              <w:t xml:space="preserve">vertical </w:t>
            </w:r>
            <w:r w:rsidRPr="00D25264">
              <w:rPr>
                <w:rFonts w:cs="Arial"/>
              </w:rPr>
              <w:t>flow of water through a cross section area under a unit gradient head</w:t>
            </w:r>
          </w:p>
        </w:tc>
      </w:tr>
      <w:tr w:rsidR="00A24A41" w:rsidRPr="00B00B1A" w14:paraId="77401CED" w14:textId="77777777" w:rsidTr="008658DE">
        <w:trPr>
          <w:tblHeader/>
        </w:trPr>
        <w:tc>
          <w:tcPr>
            <w:tcW w:w="2410" w:type="dxa"/>
            <w:hideMark/>
          </w:tcPr>
          <w:p w14:paraId="222232C4" w14:textId="77777777" w:rsidR="00A24A41" w:rsidRPr="00B00B1A" w:rsidRDefault="00A24A41" w:rsidP="00FD7B36">
            <w:pPr>
              <w:pStyle w:val="Tabletext"/>
              <w:rPr>
                <w:rFonts w:cs="Arial"/>
                <w:bCs/>
                <w:iCs/>
                <w:color w:val="AEC12D"/>
                <w:sz w:val="32"/>
                <w:szCs w:val="28"/>
              </w:rPr>
            </w:pPr>
            <w:r w:rsidRPr="00B00B1A">
              <w:rPr>
                <w:rFonts w:cs="Arial"/>
              </w:rPr>
              <w:t>watertable</w:t>
            </w:r>
          </w:p>
        </w:tc>
        <w:tc>
          <w:tcPr>
            <w:tcW w:w="7371" w:type="dxa"/>
            <w:hideMark/>
          </w:tcPr>
          <w:p w14:paraId="1502587B" w14:textId="77777777" w:rsidR="00A24A41" w:rsidRPr="00B00B1A" w:rsidRDefault="00A24A41" w:rsidP="00FD7B36">
            <w:pPr>
              <w:pStyle w:val="Tabletext"/>
              <w:rPr>
                <w:rFonts w:cs="Arial"/>
                <w:bCs/>
                <w:iCs/>
                <w:color w:val="AEC12D"/>
                <w:sz w:val="32"/>
                <w:szCs w:val="28"/>
              </w:rPr>
            </w:pPr>
            <w:r>
              <w:rPr>
                <w:rFonts w:ascii="Helv" w:hAnsi="Helv" w:cs="Helv"/>
                <w:color w:val="000000"/>
              </w:rPr>
              <w:t>t</w:t>
            </w:r>
            <w:r w:rsidRPr="002B7508">
              <w:rPr>
                <w:rFonts w:cs="Arial"/>
                <w:color w:val="000000"/>
              </w:rPr>
              <w:t>he surface where the groundwater level is balanced against atmospheric pressure. Often, this is the shallowest water below the ground</w:t>
            </w:r>
          </w:p>
        </w:tc>
      </w:tr>
      <w:tr w:rsidR="00A24A41" w:rsidRPr="00B00B1A" w14:paraId="061A184E" w14:textId="77777777" w:rsidTr="008658DE">
        <w:trPr>
          <w:tblHeader/>
        </w:trPr>
        <w:tc>
          <w:tcPr>
            <w:tcW w:w="2410" w:type="dxa"/>
            <w:hideMark/>
          </w:tcPr>
          <w:p w14:paraId="71A29639" w14:textId="77777777" w:rsidR="00A24A41" w:rsidRPr="00B00B1A" w:rsidRDefault="00A24A41" w:rsidP="00FD7B36">
            <w:pPr>
              <w:pStyle w:val="Tabletext"/>
              <w:rPr>
                <w:rFonts w:cs="Arial"/>
                <w:bCs/>
                <w:iCs/>
                <w:color w:val="AEC12D"/>
                <w:sz w:val="32"/>
                <w:szCs w:val="28"/>
              </w:rPr>
            </w:pPr>
            <w:r w:rsidRPr="00B00B1A">
              <w:rPr>
                <w:rFonts w:cs="Arial"/>
              </w:rPr>
              <w:t>WSPA</w:t>
            </w:r>
          </w:p>
        </w:tc>
        <w:tc>
          <w:tcPr>
            <w:tcW w:w="7371" w:type="dxa"/>
            <w:hideMark/>
          </w:tcPr>
          <w:p w14:paraId="0569F8BB" w14:textId="77777777" w:rsidR="00A24A41" w:rsidRPr="00B00B1A" w:rsidRDefault="00A24A41" w:rsidP="00FD7B36">
            <w:pPr>
              <w:pStyle w:val="Tabletext"/>
              <w:rPr>
                <w:rFonts w:cs="Arial"/>
                <w:bCs/>
                <w:iCs/>
                <w:color w:val="AEC12D"/>
                <w:sz w:val="32"/>
                <w:szCs w:val="28"/>
              </w:rPr>
            </w:pPr>
            <w:r>
              <w:rPr>
                <w:rFonts w:cs="Arial"/>
              </w:rPr>
              <w:t>Water Supply Protection A</w:t>
            </w:r>
            <w:r w:rsidRPr="00B00B1A">
              <w:rPr>
                <w:rFonts w:cs="Arial"/>
              </w:rPr>
              <w:t>rea</w:t>
            </w:r>
          </w:p>
        </w:tc>
      </w:tr>
      <w:tr w:rsidR="00A24A41" w:rsidRPr="00B00B1A" w14:paraId="165C588C" w14:textId="77777777" w:rsidTr="008658DE">
        <w:trPr>
          <w:tblHeader/>
        </w:trPr>
        <w:tc>
          <w:tcPr>
            <w:tcW w:w="2410" w:type="dxa"/>
            <w:hideMark/>
          </w:tcPr>
          <w:p w14:paraId="32232E3F" w14:textId="77777777" w:rsidR="00A24A41" w:rsidRPr="00B00B1A" w:rsidRDefault="00A24A41" w:rsidP="00FD7B36">
            <w:pPr>
              <w:pStyle w:val="Tabletext"/>
              <w:rPr>
                <w:rFonts w:cs="Arial"/>
                <w:bCs/>
                <w:iCs/>
                <w:color w:val="AEC12D"/>
                <w:sz w:val="32"/>
                <w:szCs w:val="28"/>
              </w:rPr>
            </w:pPr>
            <w:r w:rsidRPr="00B00B1A">
              <w:rPr>
                <w:rFonts w:cs="Arial"/>
              </w:rPr>
              <w:t>yield</w:t>
            </w:r>
          </w:p>
        </w:tc>
        <w:tc>
          <w:tcPr>
            <w:tcW w:w="7371" w:type="dxa"/>
          </w:tcPr>
          <w:p w14:paraId="0AB1EC6C" w14:textId="77777777" w:rsidR="00A24A41" w:rsidRPr="00B00B1A" w:rsidRDefault="00A24A41" w:rsidP="00FD7B36">
            <w:pPr>
              <w:pStyle w:val="Tabletext"/>
              <w:rPr>
                <w:rFonts w:cs="Arial"/>
                <w:bCs/>
                <w:iCs/>
                <w:color w:val="AEC12D"/>
                <w:sz w:val="32"/>
                <w:szCs w:val="28"/>
              </w:rPr>
            </w:pPr>
            <w:r>
              <w:rPr>
                <w:rFonts w:cs="Arial"/>
              </w:rPr>
              <w:t>the volume of water discharged from a bore</w:t>
            </w:r>
          </w:p>
        </w:tc>
      </w:tr>
    </w:tbl>
    <w:p w14:paraId="3E7DB1EF" w14:textId="2B20437C" w:rsidR="00D671B2" w:rsidRDefault="00D671B2" w:rsidP="002A2245"/>
    <w:p w14:paraId="423748FA" w14:textId="5DF78698" w:rsidR="005229A4" w:rsidRDefault="005229A4">
      <w:pPr>
        <w:spacing w:after="200"/>
      </w:pPr>
      <w:r>
        <w:br w:type="page"/>
      </w:r>
    </w:p>
    <w:p w14:paraId="00F6F05A" w14:textId="77C9ABA9" w:rsidR="000F4905" w:rsidRPr="00A159B8" w:rsidRDefault="003629D2" w:rsidP="00C150BC">
      <w:pPr>
        <w:pStyle w:val="Head1x"/>
      </w:pPr>
      <w:bookmarkStart w:id="27" w:name="_Toc420568644"/>
      <w:bookmarkStart w:id="28" w:name="_Toc420570226"/>
      <w:bookmarkStart w:id="29" w:name="_Toc420571422"/>
      <w:bookmarkStart w:id="30" w:name="_Toc420572060"/>
      <w:bookmarkStart w:id="31" w:name="_Toc296766915"/>
      <w:bookmarkStart w:id="32" w:name="_Toc422927886"/>
      <w:r>
        <w:lastRenderedPageBreak/>
        <w:t>1</w:t>
      </w:r>
      <w:r>
        <w:tab/>
      </w:r>
      <w:r w:rsidR="00D50830" w:rsidRPr="00A159B8">
        <w:t xml:space="preserve">Overview of </w:t>
      </w:r>
      <w:r w:rsidR="008C0645" w:rsidRPr="00A159B8">
        <w:t>impact assessment</w:t>
      </w:r>
      <w:bookmarkEnd w:id="27"/>
      <w:bookmarkEnd w:id="28"/>
      <w:bookmarkEnd w:id="29"/>
      <w:bookmarkEnd w:id="30"/>
      <w:bookmarkEnd w:id="31"/>
      <w:bookmarkEnd w:id="32"/>
    </w:p>
    <w:p w14:paraId="1C6F6AE3" w14:textId="10B57EFF" w:rsidR="00C8015D" w:rsidRPr="00A159B8" w:rsidRDefault="00DA6E1A" w:rsidP="009C4BA5">
      <w:pPr>
        <w:pStyle w:val="Head2xx"/>
      </w:pPr>
      <w:bookmarkStart w:id="33" w:name="_Toc420568645"/>
      <w:bookmarkStart w:id="34" w:name="_Toc420570227"/>
      <w:bookmarkStart w:id="35" w:name="_Toc420571423"/>
      <w:bookmarkStart w:id="36" w:name="_Toc420572061"/>
      <w:bookmarkStart w:id="37" w:name="_Toc296766916"/>
      <w:bookmarkStart w:id="38" w:name="_Toc422927887"/>
      <w:r>
        <w:t>1.1</w:t>
      </w:r>
      <w:r>
        <w:tab/>
      </w:r>
      <w:r w:rsidR="00C8015D" w:rsidRPr="00A159B8">
        <w:t>Context</w:t>
      </w:r>
      <w:bookmarkEnd w:id="33"/>
      <w:bookmarkEnd w:id="34"/>
      <w:bookmarkEnd w:id="35"/>
      <w:bookmarkEnd w:id="36"/>
      <w:bookmarkEnd w:id="37"/>
      <w:bookmarkEnd w:id="38"/>
    </w:p>
    <w:p w14:paraId="2B825677" w14:textId="77777777" w:rsidR="005229A4" w:rsidRPr="005B48DC" w:rsidRDefault="005229A4" w:rsidP="005229A4">
      <w:pPr>
        <w:rPr>
          <w:rFonts w:cs="Arial"/>
          <w:color w:val="000000"/>
        </w:rPr>
      </w:pPr>
      <w:r w:rsidRPr="005B48DC">
        <w:rPr>
          <w:rFonts w:cs="Arial"/>
          <w:color w:val="000000"/>
        </w:rPr>
        <w:t xml:space="preserve">The purpose of the water science studies on onshore natural gas is to provide an initial screening analysis of the potential impacts of possible onshore gas exploration and development on water users and ecosystems. </w:t>
      </w:r>
    </w:p>
    <w:p w14:paraId="423BE2BB" w14:textId="77777777" w:rsidR="005229A4" w:rsidRPr="005B48DC" w:rsidRDefault="005229A4" w:rsidP="005229A4">
      <w:pPr>
        <w:rPr>
          <w:rFonts w:cs="Arial"/>
          <w:color w:val="000000"/>
        </w:rPr>
      </w:pPr>
      <w:r w:rsidRPr="005B48DC">
        <w:rPr>
          <w:rFonts w:cs="Arial"/>
          <w:color w:val="000000"/>
        </w:rPr>
        <w:t>There are four different types of possible onshore natural gas development in Victoria: conventional, shale, tight and coal seam gas. These types of natural gas developments may have different impacts on water resources.</w:t>
      </w:r>
    </w:p>
    <w:p w14:paraId="0E75EF10" w14:textId="77777777" w:rsidR="005229A4" w:rsidRPr="005B48DC" w:rsidRDefault="005229A4" w:rsidP="005229A4">
      <w:pPr>
        <w:rPr>
          <w:rFonts w:cs="Arial"/>
          <w:color w:val="000000"/>
        </w:rPr>
      </w:pPr>
      <w:r w:rsidRPr="005B48DC">
        <w:rPr>
          <w:rFonts w:cs="Arial"/>
          <w:color w:val="000000"/>
        </w:rPr>
        <w:t>At present there is no active onshore natural gas development in Victoria. The Geological Survey of Victoria has conducted research into potential areas where onshore natural gas resources may exist. However, the commercial feasibility of onshore gas development has not been determined. As a consequence, the studies documented here test the potential effects of hypothetical natural gas developments.</w:t>
      </w:r>
    </w:p>
    <w:p w14:paraId="5D60E518" w14:textId="77777777" w:rsidR="005229A4" w:rsidRPr="005B48DC" w:rsidRDefault="005229A4" w:rsidP="005229A4">
      <w:pPr>
        <w:rPr>
          <w:rFonts w:cs="Arial"/>
          <w:color w:val="000000"/>
        </w:rPr>
      </w:pPr>
      <w:r w:rsidRPr="005B48DC">
        <w:rPr>
          <w:rFonts w:cs="Arial"/>
          <w:color w:val="000000"/>
        </w:rPr>
        <w:t xml:space="preserve">The studies assess the potential impacts due to; aquifer depressurisation (i.e. groundwater level decline), chemical contamination of groundwater from hydraulic fracturing fluids, induced seismicity and land subsidence. </w:t>
      </w:r>
    </w:p>
    <w:p w14:paraId="6941B0F8" w14:textId="77777777" w:rsidR="005229A4" w:rsidRPr="005B48DC" w:rsidRDefault="005229A4" w:rsidP="005229A4">
      <w:pPr>
        <w:rPr>
          <w:rFonts w:cs="Arial"/>
          <w:color w:val="000000"/>
        </w:rPr>
      </w:pPr>
      <w:r w:rsidRPr="005B48DC">
        <w:rPr>
          <w:rFonts w:cs="Arial"/>
          <w:color w:val="000000"/>
        </w:rPr>
        <w:t>Gas extraction depressurises the gas bearing formation and this may cause groundwater level decline, impacting water users and ecosystems. Groundwater level decline may also cause land subsidence.</w:t>
      </w:r>
    </w:p>
    <w:p w14:paraId="182EFF79" w14:textId="77777777" w:rsidR="005229A4" w:rsidRPr="005B48DC" w:rsidRDefault="005229A4" w:rsidP="005229A4">
      <w:pPr>
        <w:rPr>
          <w:rFonts w:cs="Arial"/>
          <w:color w:val="000000"/>
        </w:rPr>
      </w:pPr>
      <w:r w:rsidRPr="005B48DC">
        <w:rPr>
          <w:rFonts w:cs="Arial"/>
          <w:color w:val="000000"/>
        </w:rPr>
        <w:t xml:space="preserve">Hydraulic fracturing can increase gas yield </w:t>
      </w:r>
      <w:r w:rsidRPr="00A53AE8">
        <w:rPr>
          <w:rFonts w:cs="Arial"/>
        </w:rPr>
        <w:t xml:space="preserve">but </w:t>
      </w:r>
      <w:r w:rsidRPr="005B48DC">
        <w:rPr>
          <w:rFonts w:cs="Arial"/>
          <w:color w:val="000000"/>
        </w:rPr>
        <w:t xml:space="preserve">may have the unintended consequence of contaminating water supply. Contamination could occur if as a result of fracturing there was a change in the connection between a gas source and the relevant groundwater resource. There is also a potential to induce seismicity (earth tremor). </w:t>
      </w:r>
    </w:p>
    <w:p w14:paraId="5E0B9594" w14:textId="77777777" w:rsidR="005229A4" w:rsidRPr="005B48DC" w:rsidRDefault="005229A4" w:rsidP="005229A4">
      <w:pPr>
        <w:rPr>
          <w:rFonts w:cs="Arial"/>
          <w:color w:val="000000"/>
        </w:rPr>
      </w:pPr>
      <w:r w:rsidRPr="005B48DC">
        <w:rPr>
          <w:rFonts w:cs="Arial"/>
          <w:color w:val="000000"/>
        </w:rPr>
        <w:t xml:space="preserve">The studies apply a causal pathway approach, describing where natural gas might be, where water resources are, and the physical connections between the gas and water resources. For aquifer depressurisation, modelling and analysis is utilised to assess the potential impacts on groundwater levels and by inference the potential impacts on water users and ecosystems, as relevant region-specific data was not available for a quantitative risk assessment approach but suitable for impact assessment. For chemical contamination of groundwater from hydraulic fracturing fluids, induced seismicity and land subsidence, a qualitative risk assessment approach is utilised to assess the potential risks to water users and ecosystems, as the necessary region-specific data for a quantitative risk assessment or impact assessment approach is not currently available. </w:t>
      </w:r>
    </w:p>
    <w:p w14:paraId="7D7639AF" w14:textId="77777777" w:rsidR="005229A4" w:rsidRPr="005B48DC" w:rsidRDefault="005229A4" w:rsidP="005229A4">
      <w:pPr>
        <w:rPr>
          <w:rFonts w:cs="Arial"/>
          <w:color w:val="000000"/>
        </w:rPr>
      </w:pPr>
      <w:r w:rsidRPr="005B48DC">
        <w:rPr>
          <w:rFonts w:cs="Arial"/>
          <w:color w:val="000000"/>
        </w:rPr>
        <w:t>The studies were conducted by the Department of Environment, Land, Water and Planning and the Geological Survey of Victoria (part of the Department of Economic Development, Jobs, Transport and Resources)</w:t>
      </w:r>
      <w:r w:rsidRPr="00A53AE8">
        <w:rPr>
          <w:rFonts w:cs="Arial"/>
        </w:rPr>
        <w:t>. An integral part of the water science studies has been the engagement of a scientific review panel, which has pro</w:t>
      </w:r>
      <w:r w:rsidRPr="005B48DC">
        <w:rPr>
          <w:rFonts w:cs="Arial"/>
          <w:color w:val="000000"/>
        </w:rPr>
        <w:t>vided an independent peer review of this report, ensuring the rigour of the significant body of technical work that has been undertaken.</w:t>
      </w:r>
    </w:p>
    <w:p w14:paraId="3B8FF67F" w14:textId="77777777" w:rsidR="005229A4" w:rsidRPr="005B48DC" w:rsidRDefault="005229A4" w:rsidP="005229A4">
      <w:pPr>
        <w:rPr>
          <w:rFonts w:cs="Arial"/>
          <w:color w:val="000000"/>
        </w:rPr>
      </w:pPr>
      <w:r w:rsidRPr="005B48DC">
        <w:rPr>
          <w:rFonts w:cs="Arial"/>
          <w:color w:val="000000"/>
        </w:rPr>
        <w:t xml:space="preserve">The studies have used the best available information, noting that there are known gaps in the geological and hydrogeological data sets. In light of this, the impact assessment has been completed conservatively; the results are likely to estimate higher impacts than may eventuate if development did occur. </w:t>
      </w:r>
    </w:p>
    <w:p w14:paraId="1CF02CCC" w14:textId="77777777" w:rsidR="005229A4" w:rsidRPr="005B48DC" w:rsidRDefault="005229A4" w:rsidP="005229A4">
      <w:pPr>
        <w:rPr>
          <w:rFonts w:cs="Arial"/>
          <w:color w:val="000000"/>
        </w:rPr>
      </w:pPr>
      <w:r w:rsidRPr="005B48DC">
        <w:rPr>
          <w:rFonts w:cs="Arial"/>
          <w:color w:val="000000"/>
        </w:rPr>
        <w:t>There are issues that are beyond the scope of these water science studies. These include treatment and disposal of coproduced water, water use for fracturing and gas production, non-water resource issues such as amenity, air quality, fugitive gas emissions, on-site chemical management and bore integrity. Therefore the findings should be considered only with respect to the topics addressed.</w:t>
      </w:r>
    </w:p>
    <w:p w14:paraId="38D5A6C1" w14:textId="3F979793" w:rsidR="00644A9F" w:rsidRPr="005229A4" w:rsidRDefault="005229A4" w:rsidP="00A35B08">
      <w:pPr>
        <w:rPr>
          <w:rFonts w:cs="Arial"/>
          <w:color w:val="000000"/>
        </w:rPr>
      </w:pPr>
      <w:r w:rsidRPr="005B48DC">
        <w:rPr>
          <w:rFonts w:cs="Arial"/>
          <w:color w:val="000000"/>
        </w:rPr>
        <w:lastRenderedPageBreak/>
        <w:t>The outputs of the studies take the form of two plain</w:t>
      </w:r>
      <w:r w:rsidRPr="005B48DC">
        <w:rPr>
          <w:rFonts w:cs="Arial"/>
          <w:color w:val="2CA01D"/>
          <w:u w:val="single"/>
        </w:rPr>
        <w:t>-</w:t>
      </w:r>
      <w:r w:rsidRPr="005B48DC">
        <w:rPr>
          <w:rFonts w:cs="Arial"/>
          <w:color w:val="000000"/>
        </w:rPr>
        <w:t>language synthesis reports, one each for the Gippsland Region and Otway Region, and a series of stand-alone technical reports. This technical report presents the Gippsland</w:t>
      </w:r>
      <w:r>
        <w:rPr>
          <w:rFonts w:cs="Arial"/>
          <w:color w:val="000000"/>
        </w:rPr>
        <w:t xml:space="preserve"> region impact assessment work.</w:t>
      </w:r>
    </w:p>
    <w:p w14:paraId="15BC2AF6" w14:textId="1DD5BB0E" w:rsidR="008C73C5" w:rsidRPr="00A159B8" w:rsidRDefault="00DA6E1A" w:rsidP="009C4BA5">
      <w:pPr>
        <w:pStyle w:val="Head2xx"/>
      </w:pPr>
      <w:bookmarkStart w:id="39" w:name="_Toc419109684"/>
      <w:bookmarkStart w:id="40" w:name="_Toc420568646"/>
      <w:bookmarkStart w:id="41" w:name="_Toc420570228"/>
      <w:bookmarkStart w:id="42" w:name="_Toc420571424"/>
      <w:bookmarkStart w:id="43" w:name="_Toc420572062"/>
      <w:bookmarkStart w:id="44" w:name="_Toc296766917"/>
      <w:bookmarkStart w:id="45" w:name="_Toc422927888"/>
      <w:r>
        <w:t>1.2</w:t>
      </w:r>
      <w:r>
        <w:tab/>
      </w:r>
      <w:r w:rsidR="008C73C5" w:rsidRPr="00A159B8">
        <w:t>Study area</w:t>
      </w:r>
      <w:bookmarkEnd w:id="39"/>
      <w:bookmarkEnd w:id="40"/>
      <w:bookmarkEnd w:id="41"/>
      <w:bookmarkEnd w:id="42"/>
      <w:bookmarkEnd w:id="43"/>
      <w:bookmarkEnd w:id="44"/>
      <w:bookmarkEnd w:id="45"/>
    </w:p>
    <w:p w14:paraId="7803B66D" w14:textId="4623FFB1" w:rsidR="00715102" w:rsidRPr="007077FC" w:rsidRDefault="005229A4" w:rsidP="00C150BC">
      <w:r>
        <w:t>The report focus</w:t>
      </w:r>
      <w:r w:rsidR="008C73C5" w:rsidRPr="007077FC">
        <w:t xml:space="preserve">es on the potential impacts and risk to water resources that might arise from onshore gas development in the </w:t>
      </w:r>
      <w:r w:rsidR="004A5C34" w:rsidRPr="007077FC">
        <w:t xml:space="preserve">Otway </w:t>
      </w:r>
      <w:r w:rsidR="007C4916">
        <w:t>region</w:t>
      </w:r>
      <w:r w:rsidR="008C73C5" w:rsidRPr="007077FC">
        <w:t xml:space="preserve"> </w:t>
      </w:r>
      <w:r w:rsidR="00841403" w:rsidRPr="007077FC">
        <w:t>(</w:t>
      </w:r>
      <w:r w:rsidR="00841403" w:rsidRPr="007077FC">
        <w:fldChar w:fldCharType="begin"/>
      </w:r>
      <w:r w:rsidR="00841403" w:rsidRPr="007077FC">
        <w:instrText xml:space="preserve"> REF _Ref419879882 \h </w:instrText>
      </w:r>
      <w:r w:rsidR="00715102" w:rsidRPr="007077FC">
        <w:instrText xml:space="preserve"> \* MERGEFORMAT </w:instrText>
      </w:r>
      <w:r w:rsidR="00841403" w:rsidRPr="007077FC">
        <w:fldChar w:fldCharType="separate"/>
      </w:r>
      <w:r w:rsidR="00171A5E" w:rsidRPr="00A53AE8">
        <w:t xml:space="preserve">Figure </w:t>
      </w:r>
      <w:r w:rsidR="00171A5E">
        <w:rPr>
          <w:noProof/>
        </w:rPr>
        <w:t>1</w:t>
      </w:r>
      <w:r w:rsidR="00841403" w:rsidRPr="007077FC">
        <w:fldChar w:fldCharType="end"/>
      </w:r>
      <w:r w:rsidR="00841403" w:rsidRPr="007077FC">
        <w:t>)</w:t>
      </w:r>
      <w:r w:rsidR="008C73C5" w:rsidRPr="007077FC">
        <w:t>.</w:t>
      </w:r>
      <w:r w:rsidR="009A72C5" w:rsidRPr="007077FC">
        <w:t xml:space="preserve"> </w:t>
      </w:r>
      <w:r w:rsidR="00715102" w:rsidRPr="007077FC">
        <w:t xml:space="preserve">The areal extent of the Otway region is defined by the surface water catchment areas shown in </w:t>
      </w:r>
      <w:r w:rsidR="00155BFB">
        <w:fldChar w:fldCharType="begin"/>
      </w:r>
      <w:r w:rsidR="00155BFB">
        <w:instrText xml:space="preserve"> REF _Ref419879882 \h </w:instrText>
      </w:r>
      <w:r w:rsidR="00155BFB">
        <w:fldChar w:fldCharType="separate"/>
      </w:r>
      <w:r w:rsidR="00171A5E" w:rsidRPr="00A53AE8">
        <w:t xml:space="preserve">Figure </w:t>
      </w:r>
      <w:r w:rsidR="00171A5E">
        <w:rPr>
          <w:noProof/>
        </w:rPr>
        <w:t>1</w:t>
      </w:r>
      <w:r w:rsidR="00155BFB">
        <w:fldChar w:fldCharType="end"/>
      </w:r>
      <w:r w:rsidR="00715102" w:rsidRPr="007077FC">
        <w:t xml:space="preserve">. The study area incorporates the water resources and water users that may be impacted by gas exploration or development. </w:t>
      </w:r>
    </w:p>
    <w:p w14:paraId="22E64C24" w14:textId="6E150B61" w:rsidR="00715102" w:rsidRDefault="00715102" w:rsidP="00C150BC">
      <w:r w:rsidRPr="007077FC">
        <w:t xml:space="preserve">The </w:t>
      </w:r>
      <w:r w:rsidR="007077FC" w:rsidRPr="00D37991">
        <w:t xml:space="preserve">vertical extent of the study area includes the entire aquifer sequence that </w:t>
      </w:r>
      <w:r w:rsidR="006E7503">
        <w:t>forms</w:t>
      </w:r>
      <w:r w:rsidR="006E7503" w:rsidRPr="00D37991">
        <w:t xml:space="preserve"> </w:t>
      </w:r>
      <w:r w:rsidRPr="007077FC">
        <w:t>the onshore Otway Basin. This includes all the sedimentary sequence overlying the Palaeozoic basement. The basement formation also</w:t>
      </w:r>
      <w:r w:rsidR="00932254">
        <w:t xml:space="preserve"> contains the geological </w:t>
      </w:r>
      <w:r w:rsidRPr="007077FC">
        <w:t>formations with potential gas resources. The potential gas formations occur deep in the geological sequence and are below all the aquifers. A detailed description of the geology and hydrogeology of the study area is included in Chapter 2, which describes the conceptual model used as the basis of this study.</w:t>
      </w:r>
    </w:p>
    <w:p w14:paraId="5FB947AA" w14:textId="77777777" w:rsidR="006E7503" w:rsidRDefault="006E7503" w:rsidP="00C150BC"/>
    <w:p w14:paraId="668BCC70" w14:textId="49677020" w:rsidR="003A09AE" w:rsidRDefault="003A09AE" w:rsidP="00A53AE8">
      <w:pPr>
        <w:pStyle w:val="figurereturn"/>
      </w:pPr>
      <w:r w:rsidRPr="003A09AE">
        <w:drawing>
          <wp:inline distT="0" distB="0" distL="0" distR="0" wp14:anchorId="20454F2C" wp14:editId="5440EEBF">
            <wp:extent cx="5943600" cy="37585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5943600" cy="3758565"/>
                    </a:xfrm>
                    <a:prstGeom prst="rect">
                      <a:avLst/>
                    </a:prstGeom>
                  </pic:spPr>
                </pic:pic>
              </a:graphicData>
            </a:graphic>
          </wp:inline>
        </w:drawing>
      </w:r>
    </w:p>
    <w:p w14:paraId="68579255" w14:textId="35C3181D" w:rsidR="008C73C5" w:rsidRPr="00A53AE8" w:rsidRDefault="008C73C5" w:rsidP="00A53AE8">
      <w:pPr>
        <w:pStyle w:val="Figuretitle"/>
      </w:pPr>
      <w:bookmarkStart w:id="46" w:name="_Ref419879882"/>
      <w:bookmarkStart w:id="47" w:name="_Toc422928772"/>
      <w:r w:rsidRPr="00A53AE8">
        <w:t xml:space="preserve">Figure </w:t>
      </w:r>
      <w:r w:rsidRPr="00A53AE8">
        <w:fldChar w:fldCharType="begin"/>
      </w:r>
      <w:r w:rsidRPr="00A53AE8">
        <w:instrText xml:space="preserve"> SEQ Figure \* ARABIC </w:instrText>
      </w:r>
      <w:r w:rsidRPr="00A53AE8">
        <w:fldChar w:fldCharType="separate"/>
      </w:r>
      <w:r w:rsidR="00171A5E">
        <w:t>1</w:t>
      </w:r>
      <w:r w:rsidRPr="00A53AE8">
        <w:fldChar w:fldCharType="end"/>
      </w:r>
      <w:bookmarkEnd w:id="46"/>
      <w:r w:rsidR="00F95BE3" w:rsidRPr="00A53AE8">
        <w:t>:</w:t>
      </w:r>
      <w:r w:rsidRPr="00A53AE8">
        <w:t xml:space="preserve"> </w:t>
      </w:r>
      <w:r w:rsidR="005229A4" w:rsidRPr="00A53AE8">
        <w:t xml:space="preserve"> </w:t>
      </w:r>
      <w:r w:rsidRPr="00A53AE8">
        <w:t>Otway study area</w:t>
      </w:r>
      <w:r w:rsidR="006E7503" w:rsidRPr="00A53AE8">
        <w:t>,</w:t>
      </w:r>
      <w:r w:rsidRPr="00A53AE8">
        <w:t xml:space="preserve"> showing surface water catchments</w:t>
      </w:r>
      <w:r w:rsidR="005229A4" w:rsidRPr="00A53AE8">
        <w:t>.</w:t>
      </w:r>
      <w:bookmarkEnd w:id="47"/>
    </w:p>
    <w:p w14:paraId="66F2F14A" w14:textId="77777777" w:rsidR="008F65CB" w:rsidRDefault="008F65CB" w:rsidP="00A35B08">
      <w:pPr>
        <w:rPr>
          <w:lang w:val="en-AU" w:eastAsia="en-US"/>
        </w:rPr>
      </w:pPr>
      <w:r>
        <w:br w:type="page"/>
      </w:r>
    </w:p>
    <w:p w14:paraId="0295BC25" w14:textId="2B75C754" w:rsidR="009616A3" w:rsidRDefault="00DA6E1A" w:rsidP="009C4BA5">
      <w:pPr>
        <w:pStyle w:val="Head2xx"/>
      </w:pPr>
      <w:bookmarkStart w:id="48" w:name="_Toc420568647"/>
      <w:bookmarkStart w:id="49" w:name="_Toc420570229"/>
      <w:bookmarkStart w:id="50" w:name="_Toc420571425"/>
      <w:bookmarkStart w:id="51" w:name="_Toc420572063"/>
      <w:bookmarkStart w:id="52" w:name="_Toc296766918"/>
      <w:bookmarkStart w:id="53" w:name="_Toc422927889"/>
      <w:r>
        <w:lastRenderedPageBreak/>
        <w:t>1.3</w:t>
      </w:r>
      <w:r>
        <w:tab/>
      </w:r>
      <w:r w:rsidR="0034550B">
        <w:t>Onshore natural gas resources</w:t>
      </w:r>
      <w:bookmarkEnd w:id="48"/>
      <w:bookmarkEnd w:id="49"/>
      <w:bookmarkEnd w:id="50"/>
      <w:bookmarkEnd w:id="51"/>
      <w:bookmarkEnd w:id="52"/>
      <w:bookmarkEnd w:id="53"/>
    </w:p>
    <w:p w14:paraId="455F952F" w14:textId="67367796" w:rsidR="009616A3" w:rsidRPr="00642A5D" w:rsidRDefault="00B25A63">
      <w:r>
        <w:t xml:space="preserve">The analysis </w:t>
      </w:r>
      <w:r w:rsidR="008C73C5" w:rsidRPr="000E6D32">
        <w:t>has considered</w:t>
      </w:r>
      <w:r w:rsidR="008C73C5" w:rsidRPr="00642A5D" w:rsidDel="008C73C5">
        <w:t xml:space="preserve"> </w:t>
      </w:r>
      <w:r w:rsidR="009616A3" w:rsidRPr="00642A5D">
        <w:t xml:space="preserve">the </w:t>
      </w:r>
      <w:r w:rsidR="00DA0492" w:rsidRPr="00642A5D">
        <w:t xml:space="preserve">range of natural gas resources that </w:t>
      </w:r>
      <w:r w:rsidR="0051770D">
        <w:t>might</w:t>
      </w:r>
      <w:r w:rsidR="00DA0492" w:rsidRPr="00642A5D">
        <w:t xml:space="preserve"> be developed in the </w:t>
      </w:r>
      <w:r w:rsidR="00DE4271">
        <w:t>onshore</w:t>
      </w:r>
      <w:r w:rsidR="00DA0492">
        <w:t xml:space="preserve"> </w:t>
      </w:r>
      <w:r w:rsidR="00DA0492" w:rsidRPr="00642A5D">
        <w:t xml:space="preserve">Otway </w:t>
      </w:r>
      <w:r w:rsidR="00DA0492">
        <w:t>region</w:t>
      </w:r>
      <w:r w:rsidR="001C6FCB">
        <w:t>. Figure 2 s</w:t>
      </w:r>
      <w:r w:rsidR="009616A3" w:rsidRPr="00485E32">
        <w:t>hows t</w:t>
      </w:r>
      <w:r w:rsidR="00DE4271">
        <w:t>he areas in the region</w:t>
      </w:r>
      <w:r w:rsidR="009616A3" w:rsidRPr="00642A5D">
        <w:t xml:space="preserve"> where gas might be found</w:t>
      </w:r>
      <w:r w:rsidR="00D740E4">
        <w:t>,</w:t>
      </w:r>
      <w:r w:rsidR="009616A3" w:rsidRPr="00642A5D">
        <w:t xml:space="preserve"> ba</w:t>
      </w:r>
      <w:r w:rsidR="00932254">
        <w:t xml:space="preserve">sed on the presence of a prospective gas </w:t>
      </w:r>
      <w:r w:rsidR="009616A3" w:rsidRPr="00642A5D">
        <w:t>geological unit and previous pe</w:t>
      </w:r>
      <w:r w:rsidR="00DE4271">
        <w:t>troleum exploration in the region</w:t>
      </w:r>
      <w:r w:rsidR="009616A3" w:rsidRPr="00642A5D">
        <w:t>.</w:t>
      </w:r>
    </w:p>
    <w:p w14:paraId="7EEAF953" w14:textId="523C19A0" w:rsidR="009616A3" w:rsidRPr="00642A5D" w:rsidRDefault="00E07AA3">
      <w:r>
        <w:t>Potential g</w:t>
      </w:r>
      <w:r w:rsidRPr="00642A5D">
        <w:t xml:space="preserve">as </w:t>
      </w:r>
      <w:r w:rsidR="009616A3" w:rsidRPr="00642A5D">
        <w:t>resources in the Otway region are located at great depth below the surface</w:t>
      </w:r>
      <w:r w:rsidR="001831C4">
        <w:t>,</w:t>
      </w:r>
      <w:r w:rsidR="009616A3" w:rsidRPr="00642A5D">
        <w:t xml:space="preserve"> underneath many geology types, including aquifers. A diagrammatic view of the relationship between surface water features, aquifers and gas resources areas is shown in </w:t>
      </w:r>
      <w:r w:rsidR="00565CC1">
        <w:fldChar w:fldCharType="begin"/>
      </w:r>
      <w:r w:rsidR="00565CC1">
        <w:instrText xml:space="preserve"> REF _Ref419882125 \h </w:instrText>
      </w:r>
      <w:r w:rsidR="00565CC1">
        <w:fldChar w:fldCharType="separate"/>
      </w:r>
      <w:r w:rsidR="00171A5E" w:rsidRPr="00887E16">
        <w:t xml:space="preserve">Figure </w:t>
      </w:r>
      <w:r w:rsidR="00171A5E">
        <w:rPr>
          <w:noProof/>
        </w:rPr>
        <w:t>3</w:t>
      </w:r>
      <w:r w:rsidR="00565CC1">
        <w:fldChar w:fldCharType="end"/>
      </w:r>
      <w:r w:rsidR="009616A3" w:rsidRPr="00642A5D">
        <w:t>.</w:t>
      </w:r>
    </w:p>
    <w:p w14:paraId="176BE06A" w14:textId="606CA0AE" w:rsidR="009616A3" w:rsidRPr="00A159B8" w:rsidRDefault="00DA6E1A" w:rsidP="001A061A">
      <w:pPr>
        <w:pStyle w:val="Head3xxx"/>
      </w:pPr>
      <w:bookmarkStart w:id="54" w:name="_Toc420568648"/>
      <w:bookmarkStart w:id="55" w:name="_Toc420570230"/>
      <w:bookmarkStart w:id="56" w:name="_Toc420571426"/>
      <w:bookmarkStart w:id="57" w:name="_Toc420572064"/>
      <w:bookmarkStart w:id="58" w:name="_Toc296766919"/>
      <w:r>
        <w:t>1.3.1</w:t>
      </w:r>
      <w:r>
        <w:tab/>
      </w:r>
      <w:r w:rsidR="009616A3" w:rsidRPr="00A159B8">
        <w:t>Tight gas</w:t>
      </w:r>
      <w:bookmarkEnd w:id="54"/>
      <w:bookmarkEnd w:id="55"/>
      <w:bookmarkEnd w:id="56"/>
      <w:bookmarkEnd w:id="57"/>
      <w:bookmarkEnd w:id="58"/>
    </w:p>
    <w:p w14:paraId="5707F21C" w14:textId="0A31A222" w:rsidR="008B410B" w:rsidRDefault="009616A3">
      <w:r w:rsidRPr="00642A5D">
        <w:t>The most prospective geological unit for tight ga</w:t>
      </w:r>
      <w:r w:rsidR="00644A9F">
        <w:t xml:space="preserve">s in the </w:t>
      </w:r>
      <w:r w:rsidR="007C4916">
        <w:t>Otway region</w:t>
      </w:r>
      <w:r w:rsidR="00644A9F">
        <w:t xml:space="preserve"> is the Euma</w:t>
      </w:r>
      <w:r w:rsidRPr="00642A5D">
        <w:t>r</w:t>
      </w:r>
      <w:r w:rsidR="00644A9F">
        <w:t>e</w:t>
      </w:r>
      <w:r w:rsidRPr="00642A5D">
        <w:t xml:space="preserve">lla Formation. In an area near Port Campbell, previous drilling for conventional gas found gas in the tight rocks of </w:t>
      </w:r>
      <w:r w:rsidR="001831C4">
        <w:t>this</w:t>
      </w:r>
      <w:r w:rsidRPr="00642A5D">
        <w:t xml:space="preserve"> </w:t>
      </w:r>
      <w:r w:rsidR="001831C4">
        <w:t>f</w:t>
      </w:r>
      <w:r w:rsidR="001831C4" w:rsidRPr="00642A5D">
        <w:t>ormation</w:t>
      </w:r>
      <w:r w:rsidRPr="00642A5D">
        <w:t xml:space="preserve">. In this area potential tight gas resources may be present from approximately </w:t>
      </w:r>
      <w:r w:rsidR="0051770D">
        <w:t>1300 m</w:t>
      </w:r>
      <w:r w:rsidRPr="00642A5D">
        <w:t xml:space="preserve"> to greater than </w:t>
      </w:r>
      <w:r w:rsidR="0051770D">
        <w:t>3500 m</w:t>
      </w:r>
      <w:r w:rsidR="00715102">
        <w:t xml:space="preserve"> below the ground surface. This covers a</w:t>
      </w:r>
      <w:r w:rsidR="00E07AA3">
        <w:t xml:space="preserve"> prospective </w:t>
      </w:r>
      <w:r w:rsidRPr="00642A5D">
        <w:t>area of approximately 140 km</w:t>
      </w:r>
      <w:r w:rsidRPr="00642A5D">
        <w:rPr>
          <w:vertAlign w:val="superscript"/>
        </w:rPr>
        <w:t>2</w:t>
      </w:r>
      <w:r w:rsidRPr="00642A5D">
        <w:t xml:space="preserve"> near Port Campbell.</w:t>
      </w:r>
    </w:p>
    <w:p w14:paraId="59A06369" w14:textId="20170D26" w:rsidR="009616A3" w:rsidRPr="00A159B8" w:rsidRDefault="00DA6E1A" w:rsidP="008B410B">
      <w:pPr>
        <w:pStyle w:val="Head3xxx"/>
      </w:pPr>
      <w:bookmarkStart w:id="59" w:name="_Toc296766920"/>
      <w:r>
        <w:t>1.3.2</w:t>
      </w:r>
      <w:bookmarkStart w:id="60" w:name="_Toc420568649"/>
      <w:bookmarkStart w:id="61" w:name="_Toc420570231"/>
      <w:bookmarkStart w:id="62" w:name="_Toc420571427"/>
      <w:bookmarkStart w:id="63" w:name="_Toc420572065"/>
      <w:r>
        <w:tab/>
      </w:r>
      <w:r w:rsidR="009616A3" w:rsidRPr="00A159B8">
        <w:t>Shale gas</w:t>
      </w:r>
      <w:bookmarkEnd w:id="59"/>
      <w:bookmarkEnd w:id="60"/>
      <w:bookmarkEnd w:id="61"/>
      <w:bookmarkEnd w:id="62"/>
      <w:bookmarkEnd w:id="63"/>
    </w:p>
    <w:p w14:paraId="79128AE2" w14:textId="1FD9C8EE" w:rsidR="009616A3" w:rsidRPr="00642A5D" w:rsidRDefault="009616A3" w:rsidP="00A35B08">
      <w:r w:rsidRPr="00642A5D">
        <w:t>Potential shale gas resources may be present in the Casterton Formation at depths greater than 3.5 km in the far west of the state. Drilling of the same rock unit over the border in South Australia shows that there is interest in exploring for this resource in the area. For this assessment an area (of approximately 326 km</w:t>
      </w:r>
      <w:r w:rsidRPr="00642A5D">
        <w:rPr>
          <w:vertAlign w:val="superscript"/>
        </w:rPr>
        <w:t>2</w:t>
      </w:r>
      <w:r w:rsidRPr="00642A5D">
        <w:t>) was delineated where the Casterton Formation is found at sufficient depth where it may hold gas.</w:t>
      </w:r>
    </w:p>
    <w:p w14:paraId="5766F4D7" w14:textId="2F603F40" w:rsidR="009616A3" w:rsidRPr="00642A5D" w:rsidRDefault="00DA6E1A" w:rsidP="001A061A">
      <w:pPr>
        <w:pStyle w:val="Head3xxx"/>
      </w:pPr>
      <w:bookmarkStart w:id="64" w:name="_Toc420568650"/>
      <w:bookmarkStart w:id="65" w:name="_Toc420570232"/>
      <w:bookmarkStart w:id="66" w:name="_Toc420571428"/>
      <w:bookmarkStart w:id="67" w:name="_Toc420572066"/>
      <w:bookmarkStart w:id="68" w:name="_Toc296766921"/>
      <w:r>
        <w:t>1.3.3</w:t>
      </w:r>
      <w:r>
        <w:tab/>
      </w:r>
      <w:r w:rsidR="009616A3" w:rsidRPr="00642A5D">
        <w:t xml:space="preserve">Coal </w:t>
      </w:r>
      <w:r w:rsidR="009616A3">
        <w:t>s</w:t>
      </w:r>
      <w:r w:rsidR="009616A3" w:rsidRPr="00642A5D">
        <w:t xml:space="preserve">eam </w:t>
      </w:r>
      <w:r w:rsidR="009616A3">
        <w:t>g</w:t>
      </w:r>
      <w:r w:rsidR="009616A3" w:rsidRPr="00642A5D">
        <w:t>as (</w:t>
      </w:r>
      <w:r w:rsidR="009616A3">
        <w:t>b</w:t>
      </w:r>
      <w:r w:rsidR="009616A3" w:rsidRPr="00642A5D">
        <w:t xml:space="preserve">lack </w:t>
      </w:r>
      <w:r w:rsidR="009616A3">
        <w:t>c</w:t>
      </w:r>
      <w:r w:rsidR="009616A3" w:rsidRPr="00642A5D">
        <w:t>oal)</w:t>
      </w:r>
      <w:bookmarkEnd w:id="64"/>
      <w:bookmarkEnd w:id="65"/>
      <w:bookmarkEnd w:id="66"/>
      <w:bookmarkEnd w:id="67"/>
      <w:bookmarkEnd w:id="68"/>
    </w:p>
    <w:p w14:paraId="23CBB5F2" w14:textId="4B06FD87" w:rsidR="009616A3" w:rsidRPr="00642A5D" w:rsidRDefault="009616A3">
      <w:r w:rsidRPr="00642A5D">
        <w:t xml:space="preserve">Six separate areas </w:t>
      </w:r>
      <w:r w:rsidR="0051770D">
        <w:t>in</w:t>
      </w:r>
      <w:r w:rsidRPr="00642A5D">
        <w:t xml:space="preserve"> the Otway region potentially hold coal seam gas in black coal deposits known as the Killara </w:t>
      </w:r>
      <w:r w:rsidR="0051770D">
        <w:t>c</w:t>
      </w:r>
      <w:r w:rsidRPr="00642A5D">
        <w:t xml:space="preserve">oal </w:t>
      </w:r>
      <w:r w:rsidR="0051770D">
        <w:t>m</w:t>
      </w:r>
      <w:r w:rsidRPr="00642A5D">
        <w:t xml:space="preserve">easures. These areas are based on previous exploration across the northern part of the </w:t>
      </w:r>
      <w:r w:rsidR="007C4916">
        <w:t>Otway region</w:t>
      </w:r>
      <w:r w:rsidRPr="00642A5D">
        <w:t xml:space="preserve">. Although the discovery of low gas readings and thin coal seams resulted in the previous tenement holder relinquishing licences across the region, these areas would still </w:t>
      </w:r>
      <w:r w:rsidR="00A76D25">
        <w:t xml:space="preserve">is </w:t>
      </w:r>
      <w:r w:rsidRPr="00642A5D">
        <w:t xml:space="preserve">the most prospective for coal seam gas in the </w:t>
      </w:r>
      <w:r w:rsidR="007C4916">
        <w:t>Otway region</w:t>
      </w:r>
      <w:r w:rsidRPr="00642A5D">
        <w:t>. The six areas range from approximately 46 to 159 km</w:t>
      </w:r>
      <w:r w:rsidRPr="00642A5D">
        <w:rPr>
          <w:vertAlign w:val="superscript"/>
        </w:rPr>
        <w:t>2</w:t>
      </w:r>
      <w:r w:rsidRPr="00642A5D">
        <w:t xml:space="preserve"> and are at approximate depths below the surface </w:t>
      </w:r>
      <w:r w:rsidR="0022740D">
        <w:t>of</w:t>
      </w:r>
      <w:r w:rsidRPr="00642A5D">
        <w:t xml:space="preserve"> </w:t>
      </w:r>
      <w:r w:rsidR="0051770D">
        <w:t xml:space="preserve">at least </w:t>
      </w:r>
      <w:r w:rsidR="009B4CC4">
        <w:t>60</w:t>
      </w:r>
      <w:r w:rsidRPr="00642A5D">
        <w:t xml:space="preserve">0 m. </w:t>
      </w:r>
    </w:p>
    <w:p w14:paraId="590FD696" w14:textId="1A6748ED" w:rsidR="009616A3" w:rsidRPr="001A061A" w:rsidRDefault="00DA6E1A" w:rsidP="001A061A">
      <w:pPr>
        <w:pStyle w:val="Head3xxx"/>
      </w:pPr>
      <w:bookmarkStart w:id="69" w:name="_Toc420568651"/>
      <w:bookmarkStart w:id="70" w:name="_Toc420570233"/>
      <w:bookmarkStart w:id="71" w:name="_Toc420571429"/>
      <w:bookmarkStart w:id="72" w:name="_Toc420572067"/>
      <w:bookmarkStart w:id="73" w:name="_Toc296766922"/>
      <w:r>
        <w:t>1.3.4</w:t>
      </w:r>
      <w:r>
        <w:tab/>
      </w:r>
      <w:r w:rsidR="009616A3" w:rsidRPr="001A061A">
        <w:t>Conventional gas</w:t>
      </w:r>
      <w:bookmarkEnd w:id="69"/>
      <w:bookmarkEnd w:id="70"/>
      <w:bookmarkEnd w:id="71"/>
      <w:bookmarkEnd w:id="72"/>
      <w:bookmarkEnd w:id="73"/>
    </w:p>
    <w:p w14:paraId="4FA811E2" w14:textId="112AE254" w:rsidR="009616A3" w:rsidRDefault="009616A3">
      <w:r w:rsidRPr="00642A5D">
        <w:t xml:space="preserve">Conventional gas has been discovered and produced from the onshore Otway Basin near Port Campbell. Future discoveries of conventional gas are most likely to occur in the same region. Conventional onshore gas is located in a rock unit known as the Waarre Formation </w:t>
      </w:r>
      <w:r w:rsidR="0051770D">
        <w:t>from</w:t>
      </w:r>
      <w:r w:rsidR="0051770D" w:rsidRPr="00642A5D">
        <w:t xml:space="preserve"> </w:t>
      </w:r>
      <w:r w:rsidR="0051770D">
        <w:t>1100 m</w:t>
      </w:r>
      <w:r w:rsidRPr="00642A5D">
        <w:t xml:space="preserve"> </w:t>
      </w:r>
      <w:r w:rsidR="0051770D">
        <w:t>to more than</w:t>
      </w:r>
      <w:r w:rsidRPr="00642A5D">
        <w:t xml:space="preserve"> </w:t>
      </w:r>
      <w:r w:rsidR="0051770D">
        <w:t>1500</w:t>
      </w:r>
      <w:r w:rsidRPr="00642A5D">
        <w:t xml:space="preserve"> m below the surface. As conventional gas resources are found in </w:t>
      </w:r>
      <w:r w:rsidR="0051770D">
        <w:t xml:space="preserve">more </w:t>
      </w:r>
      <w:r w:rsidRPr="00642A5D">
        <w:t>concentrated discrete areas in comparison to the other gas types</w:t>
      </w:r>
      <w:r w:rsidR="008501C3">
        <w:t>,</w:t>
      </w:r>
      <w:r w:rsidRPr="00642A5D">
        <w:t xml:space="preserve"> the area covered is much smaller. An area </w:t>
      </w:r>
      <w:r w:rsidR="00255BC3">
        <w:t>of</w:t>
      </w:r>
      <w:r w:rsidR="00255BC3" w:rsidRPr="00642A5D">
        <w:t xml:space="preserve"> </w:t>
      </w:r>
      <w:r w:rsidRPr="00642A5D">
        <w:t>5 km</w:t>
      </w:r>
      <w:r w:rsidRPr="00642A5D">
        <w:rPr>
          <w:vertAlign w:val="superscript"/>
        </w:rPr>
        <w:t>2</w:t>
      </w:r>
      <w:r w:rsidRPr="00642A5D">
        <w:t xml:space="preserve"> identified for this assessment is based on the size of</w:t>
      </w:r>
      <w:r w:rsidR="00715102">
        <w:t xml:space="preserve"> </w:t>
      </w:r>
      <w:r w:rsidR="005262E4">
        <w:t>conventional gas developments</w:t>
      </w:r>
      <w:r w:rsidRPr="00642A5D">
        <w:t xml:space="preserve"> that have </w:t>
      </w:r>
      <w:r w:rsidR="005262E4">
        <w:t>previously</w:t>
      </w:r>
      <w:r w:rsidR="005262E4" w:rsidRPr="00642A5D">
        <w:t xml:space="preserve"> </w:t>
      </w:r>
      <w:r w:rsidRPr="00642A5D">
        <w:t xml:space="preserve">been </w:t>
      </w:r>
      <w:r w:rsidR="005262E4">
        <w:t>developed</w:t>
      </w:r>
      <w:r w:rsidRPr="00642A5D">
        <w:t xml:space="preserve">. </w:t>
      </w:r>
    </w:p>
    <w:p w14:paraId="37A90461" w14:textId="77777777" w:rsidR="00316CCA" w:rsidRPr="00642A5D" w:rsidRDefault="00316CCA" w:rsidP="00316CCA">
      <w:pPr>
        <w:pStyle w:val="Head2xx"/>
      </w:pPr>
      <w:bookmarkStart w:id="74" w:name="_Toc420568652"/>
      <w:bookmarkStart w:id="75" w:name="_Toc420570234"/>
      <w:bookmarkStart w:id="76" w:name="_Toc420571430"/>
      <w:bookmarkStart w:id="77" w:name="_Toc420572068"/>
      <w:bookmarkStart w:id="78" w:name="_Toc296766923"/>
      <w:bookmarkStart w:id="79" w:name="_Toc422927890"/>
      <w:r>
        <w:t>1.4</w:t>
      </w:r>
      <w:r>
        <w:tab/>
      </w:r>
      <w:r w:rsidRPr="002E0737">
        <w:t>Groundwater resources</w:t>
      </w:r>
      <w:bookmarkEnd w:id="74"/>
      <w:bookmarkEnd w:id="75"/>
      <w:bookmarkEnd w:id="76"/>
      <w:bookmarkEnd w:id="77"/>
      <w:bookmarkEnd w:id="78"/>
      <w:bookmarkEnd w:id="79"/>
      <w:r w:rsidRPr="00642A5D">
        <w:t xml:space="preserve"> </w:t>
      </w:r>
    </w:p>
    <w:p w14:paraId="6A19D979" w14:textId="6A2487B2" w:rsidR="00316CCA" w:rsidRPr="00642A5D" w:rsidRDefault="00316CCA" w:rsidP="00316CCA">
      <w:r w:rsidRPr="00642A5D">
        <w:t>Groundwater</w:t>
      </w:r>
      <w:r>
        <w:t xml:space="preserve"> resources are</w:t>
      </w:r>
      <w:r w:rsidRPr="00642A5D">
        <w:t xml:space="preserve"> contained in layers of high water yield (aquifers) and low water yield (aquitards) and may be relatively fresh or saline.</w:t>
      </w:r>
      <w:r>
        <w:t xml:space="preserve"> </w:t>
      </w:r>
      <w:r w:rsidRPr="00642A5D">
        <w:t xml:space="preserve">The Otway </w:t>
      </w:r>
      <w:r>
        <w:t>B</w:t>
      </w:r>
      <w:r w:rsidRPr="00642A5D">
        <w:t>asin is a highly variable sequence of aquifers and aquitards that generally thicken and deepen as they approach the coast.</w:t>
      </w:r>
      <w:r>
        <w:t xml:space="preserve"> Onshore t</w:t>
      </w:r>
      <w:r w:rsidRPr="00642A5D">
        <w:t xml:space="preserve">here is significant groundwater </w:t>
      </w:r>
      <w:r>
        <w:t xml:space="preserve">extraction </w:t>
      </w:r>
      <w:r w:rsidRPr="00642A5D">
        <w:t>for agriculture and</w:t>
      </w:r>
      <w:r>
        <w:t xml:space="preserve"> town supply (approximately 177 </w:t>
      </w:r>
      <w:r w:rsidRPr="00642A5D">
        <w:t>000 ML</w:t>
      </w:r>
      <w:r>
        <w:t>/annum</w:t>
      </w:r>
      <w:r w:rsidRPr="00642A5D">
        <w:t xml:space="preserve"> of aggregated entitlement and registered bores</w:t>
      </w:r>
      <w:r>
        <w:t xml:space="preserve"> for domestic and stock use</w:t>
      </w:r>
      <w:r w:rsidRPr="00642A5D">
        <w:t>) in areas where surface water is limited</w:t>
      </w:r>
      <w:r>
        <w:t>. S</w:t>
      </w:r>
      <w:r w:rsidRPr="00642A5D">
        <w:t>urface water users and groundwater</w:t>
      </w:r>
      <w:r>
        <w:t>-</w:t>
      </w:r>
      <w:r w:rsidRPr="00642A5D">
        <w:t xml:space="preserve">dependent ecosystems </w:t>
      </w:r>
      <w:r>
        <w:t xml:space="preserve">also rely </w:t>
      </w:r>
      <w:r w:rsidRPr="00642A5D">
        <w:t xml:space="preserve">on baseflow and depth to the water table. </w:t>
      </w:r>
    </w:p>
    <w:p w14:paraId="37BC158E" w14:textId="13ECD561" w:rsidR="00316CCA" w:rsidRPr="00642A5D" w:rsidRDefault="00316CCA" w:rsidP="00316CCA">
      <w:pPr>
        <w:pStyle w:val="Para0"/>
      </w:pPr>
      <w:r w:rsidRPr="00C150BC">
        <w:t xml:space="preserve">Groundwater resources in the Otway region are can be generally classified divided into three broad groups </w:t>
      </w:r>
      <w:r w:rsidR="00255BC3" w:rsidRPr="00C150BC">
        <w:t>(</w:t>
      </w:r>
      <w:r w:rsidRPr="00C150BC">
        <w:fldChar w:fldCharType="begin"/>
      </w:r>
      <w:r w:rsidRPr="00C150BC">
        <w:instrText xml:space="preserve"> REF _Ref403373930 \h </w:instrText>
      </w:r>
      <w:r w:rsidR="00C150BC">
        <w:instrText xml:space="preserve"> \* MERGEFORMAT </w:instrText>
      </w:r>
      <w:r w:rsidRPr="00C150BC">
        <w:fldChar w:fldCharType="separate"/>
      </w:r>
      <w:r w:rsidR="00171A5E" w:rsidRPr="00642A5D">
        <w:t xml:space="preserve">Figure </w:t>
      </w:r>
      <w:r w:rsidR="00171A5E">
        <w:rPr>
          <w:noProof/>
        </w:rPr>
        <w:t>5</w:t>
      </w:r>
      <w:r w:rsidRPr="00C150BC">
        <w:fldChar w:fldCharType="end"/>
      </w:r>
      <w:r w:rsidR="00255BC3" w:rsidRPr="00C150BC">
        <w:t>)</w:t>
      </w:r>
      <w:r w:rsidRPr="00C150BC">
        <w:t>:</w:t>
      </w:r>
      <w:r w:rsidRPr="00642A5D">
        <w:t xml:space="preserve"> </w:t>
      </w:r>
      <w:r>
        <w:t>the u</w:t>
      </w:r>
      <w:r w:rsidRPr="00642A5D">
        <w:t xml:space="preserve">pper (generally less than 100 m), </w:t>
      </w:r>
      <w:r>
        <w:t xml:space="preserve">the </w:t>
      </w:r>
      <w:r w:rsidRPr="00642A5D">
        <w:t xml:space="preserve">middle (which may be very shallow to the north of the basin and deepen towards the coast) and </w:t>
      </w:r>
      <w:r>
        <w:t xml:space="preserve">the </w:t>
      </w:r>
      <w:r w:rsidRPr="00642A5D">
        <w:t>lower (generally underneath the middle layer)</w:t>
      </w:r>
      <w:r>
        <w:t>.</w:t>
      </w:r>
      <w:r w:rsidRPr="00642A5D">
        <w:t xml:space="preserve"> </w:t>
      </w:r>
      <w:r>
        <w:t xml:space="preserve">These aquifer groups </w:t>
      </w:r>
      <w:r w:rsidRPr="00642A5D">
        <w:t xml:space="preserve">are </w:t>
      </w:r>
      <w:r>
        <w:t xml:space="preserve">generally </w:t>
      </w:r>
      <w:r w:rsidRPr="00642A5D">
        <w:t>separated by aquitards</w:t>
      </w:r>
      <w:r>
        <w:t>, which are low water yielding formations</w:t>
      </w:r>
      <w:r w:rsidRPr="00642A5D">
        <w:t xml:space="preserve">. </w:t>
      </w:r>
    </w:p>
    <w:p w14:paraId="2A57149B" w14:textId="7370F8B5" w:rsidR="006E7503" w:rsidRDefault="00316CCA" w:rsidP="0051770D">
      <w:r w:rsidRPr="00642A5D">
        <w:t>Aquitards are always present between the gas source units (reservoir</w:t>
      </w:r>
      <w:r>
        <w:t>s</w:t>
      </w:r>
      <w:r w:rsidRPr="00642A5D">
        <w:t xml:space="preserve">) and the aquifers in the Otway region. </w:t>
      </w:r>
      <w:r w:rsidR="006E7503">
        <w:br w:type="page"/>
      </w:r>
    </w:p>
    <w:p w14:paraId="71B92A05" w14:textId="77777777" w:rsidR="006E7503" w:rsidRDefault="006E7503"/>
    <w:p w14:paraId="678DE3E5" w14:textId="77777777" w:rsidR="006E7503" w:rsidRDefault="006E7503"/>
    <w:p w14:paraId="496CBF8D" w14:textId="77777777" w:rsidR="006E7503" w:rsidRDefault="006E7503"/>
    <w:p w14:paraId="6BFD6B9F" w14:textId="77777777" w:rsidR="006E7503" w:rsidRDefault="006E7503"/>
    <w:p w14:paraId="7416A613" w14:textId="77777777" w:rsidR="006E7503" w:rsidRDefault="006E7503"/>
    <w:p w14:paraId="23EE15B9" w14:textId="77777777" w:rsidR="006E7503" w:rsidRDefault="006E7503"/>
    <w:p w14:paraId="7FC4268E" w14:textId="77777777" w:rsidR="006E7503" w:rsidRDefault="006E7503"/>
    <w:p w14:paraId="23081950" w14:textId="77777777" w:rsidR="006E7503" w:rsidRDefault="006E7503"/>
    <w:p w14:paraId="08BFD221" w14:textId="77777777" w:rsidR="006E7503" w:rsidRDefault="006E7503"/>
    <w:p w14:paraId="41ECFB14" w14:textId="77777777" w:rsidR="006E7503" w:rsidRDefault="006E7503"/>
    <w:p w14:paraId="3B6905DB" w14:textId="77777777" w:rsidR="006E7503" w:rsidRDefault="006E7503"/>
    <w:p w14:paraId="4712895C" w14:textId="77777777" w:rsidR="006E7503" w:rsidRDefault="006E7503"/>
    <w:p w14:paraId="2D2C705B" w14:textId="77777777" w:rsidR="006E7503" w:rsidRDefault="006E7503"/>
    <w:p w14:paraId="1CDF160C" w14:textId="77777777" w:rsidR="006E7503" w:rsidRDefault="006E7503"/>
    <w:p w14:paraId="355D8CAC" w14:textId="77777777" w:rsidR="006E7503" w:rsidRDefault="006E7503"/>
    <w:p w14:paraId="60EA72CE" w14:textId="77777777" w:rsidR="006E7503" w:rsidRDefault="006E7503"/>
    <w:p w14:paraId="1D433E40" w14:textId="77777777" w:rsidR="006E7503" w:rsidRDefault="006E7503"/>
    <w:p w14:paraId="37B7E8EE" w14:textId="77777777" w:rsidR="006E7503" w:rsidRDefault="006E7503"/>
    <w:p w14:paraId="256FB779" w14:textId="77777777" w:rsidR="006E7503" w:rsidRDefault="006E7503"/>
    <w:p w14:paraId="49DE5B99" w14:textId="77777777" w:rsidR="006E7503" w:rsidRDefault="006E7503"/>
    <w:p w14:paraId="726CD0B9" w14:textId="77777777" w:rsidR="006E7503" w:rsidRDefault="006E7503"/>
    <w:p w14:paraId="539048BC" w14:textId="77777777" w:rsidR="006E7503" w:rsidRDefault="006E7503"/>
    <w:p w14:paraId="61433421" w14:textId="77777777" w:rsidR="006E7503" w:rsidRDefault="006E7503"/>
    <w:p w14:paraId="6A33BC0A" w14:textId="77777777" w:rsidR="006E7503" w:rsidRDefault="006E7503"/>
    <w:p w14:paraId="5DC1B49B" w14:textId="77777777" w:rsidR="006E7503" w:rsidRDefault="006E7503"/>
    <w:p w14:paraId="6B3A8A81" w14:textId="77777777" w:rsidR="006E7503" w:rsidRDefault="006E7503"/>
    <w:p w14:paraId="3FE05BCB" w14:textId="77777777" w:rsidR="006E7503" w:rsidRDefault="006E7503"/>
    <w:p w14:paraId="1D2E4800" w14:textId="77777777" w:rsidR="006E7503" w:rsidRDefault="006E7503"/>
    <w:p w14:paraId="138CE5E5" w14:textId="77777777" w:rsidR="006E7503" w:rsidRDefault="006E7503"/>
    <w:p w14:paraId="1F5C3705" w14:textId="77777777" w:rsidR="006E7503" w:rsidRPr="00642A5D" w:rsidRDefault="006E7503"/>
    <w:p w14:paraId="4B359EA5" w14:textId="6CFBDFF7" w:rsidR="00260600" w:rsidRDefault="00260600" w:rsidP="00A159B8">
      <w:pPr>
        <w:pStyle w:val="figurereturn"/>
      </w:pPr>
    </w:p>
    <w:p w14:paraId="000D03E6" w14:textId="76B19614" w:rsidR="003A09AE" w:rsidRDefault="003A09AE" w:rsidP="00A159B8">
      <w:pPr>
        <w:pStyle w:val="figurereturn"/>
      </w:pPr>
      <w:r w:rsidRPr="003A09AE">
        <w:drawing>
          <wp:anchor distT="0" distB="0" distL="114300" distR="114300" simplePos="0" relativeHeight="251655680" behindDoc="0" locked="0" layoutInCell="1" allowOverlap="1" wp14:anchorId="50465914" wp14:editId="513D7161">
            <wp:simplePos x="0" y="0"/>
            <wp:positionH relativeFrom="column">
              <wp:posOffset>-897890</wp:posOffset>
            </wp:positionH>
            <wp:positionV relativeFrom="line">
              <wp:posOffset>-4705350</wp:posOffset>
            </wp:positionV>
            <wp:extent cx="7903210" cy="4773930"/>
            <wp:effectExtent l="0" t="10160" r="11430" b="1143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a:ext>
                      </a:extLst>
                    </a:blip>
                    <a:stretch>
                      <a:fillRect/>
                    </a:stretch>
                  </pic:blipFill>
                  <pic:spPr>
                    <a:xfrm rot="16200000">
                      <a:off x="0" y="0"/>
                      <a:ext cx="7903210" cy="4773930"/>
                    </a:xfrm>
                    <a:prstGeom prst="rect">
                      <a:avLst/>
                    </a:prstGeom>
                  </pic:spPr>
                </pic:pic>
              </a:graphicData>
            </a:graphic>
            <wp14:sizeRelH relativeFrom="page">
              <wp14:pctWidth>0</wp14:pctWidth>
            </wp14:sizeRelH>
            <wp14:sizeRelV relativeFrom="page">
              <wp14:pctHeight>0</wp14:pctHeight>
            </wp14:sizeRelV>
          </wp:anchor>
        </w:drawing>
      </w:r>
    </w:p>
    <w:p w14:paraId="12187B7E" w14:textId="77777777" w:rsidR="006E7503" w:rsidRDefault="006E7503" w:rsidP="00A159B8">
      <w:pPr>
        <w:pStyle w:val="figurereturn"/>
      </w:pPr>
    </w:p>
    <w:p w14:paraId="78368396" w14:textId="77777777" w:rsidR="006E7503" w:rsidRDefault="006E7503" w:rsidP="0022740D">
      <w:pPr>
        <w:pStyle w:val="figurereturn"/>
      </w:pPr>
      <w:bookmarkStart w:id="80" w:name="_Ref419975799"/>
    </w:p>
    <w:p w14:paraId="5E6310F2" w14:textId="77777777" w:rsidR="006E7503" w:rsidRDefault="006E7503" w:rsidP="0022740D">
      <w:pPr>
        <w:pStyle w:val="figurereturn"/>
      </w:pPr>
    </w:p>
    <w:p w14:paraId="198DECB5" w14:textId="77777777" w:rsidR="006E7503" w:rsidRDefault="006E7503" w:rsidP="0022740D">
      <w:pPr>
        <w:pStyle w:val="figurereturn"/>
      </w:pPr>
    </w:p>
    <w:p w14:paraId="74BE9898" w14:textId="77777777" w:rsidR="006E7503" w:rsidRDefault="006E7503" w:rsidP="0022740D">
      <w:pPr>
        <w:pStyle w:val="figurereturn"/>
      </w:pPr>
    </w:p>
    <w:p w14:paraId="4EF0EBF0" w14:textId="77777777" w:rsidR="006E7503" w:rsidRDefault="006E7503" w:rsidP="0022740D">
      <w:pPr>
        <w:pStyle w:val="figurereturn"/>
      </w:pPr>
    </w:p>
    <w:p w14:paraId="0B98459C" w14:textId="77777777" w:rsidR="006E7503" w:rsidRDefault="006E7503" w:rsidP="0022740D">
      <w:pPr>
        <w:pStyle w:val="figurereturn"/>
      </w:pPr>
    </w:p>
    <w:p w14:paraId="6BB328F7" w14:textId="77777777" w:rsidR="006E7503" w:rsidRDefault="006E7503" w:rsidP="0022740D">
      <w:pPr>
        <w:pStyle w:val="figurereturn"/>
      </w:pPr>
    </w:p>
    <w:p w14:paraId="53378DE1" w14:textId="77777777" w:rsidR="006E7503" w:rsidRPr="00A53AE8" w:rsidRDefault="006E7503" w:rsidP="00A53AE8">
      <w:pPr>
        <w:pStyle w:val="figurereturn"/>
      </w:pPr>
    </w:p>
    <w:p w14:paraId="154ADE36" w14:textId="067ADCDB" w:rsidR="006E7503" w:rsidRDefault="00260600" w:rsidP="00A53AE8">
      <w:pPr>
        <w:pStyle w:val="Figuretitle"/>
      </w:pPr>
      <w:bookmarkStart w:id="81" w:name="_Toc422928773"/>
      <w:r w:rsidRPr="00887E16">
        <w:lastRenderedPageBreak/>
        <w:t xml:space="preserve">Figure </w:t>
      </w:r>
      <w:r>
        <w:fldChar w:fldCharType="begin"/>
      </w:r>
      <w:r>
        <w:instrText xml:space="preserve"> SEQ Figure \* ARABIC </w:instrText>
      </w:r>
      <w:r>
        <w:fldChar w:fldCharType="separate"/>
      </w:r>
      <w:r w:rsidR="00171A5E">
        <w:t>2</w:t>
      </w:r>
      <w:r>
        <w:fldChar w:fldCharType="end"/>
      </w:r>
      <w:bookmarkEnd w:id="80"/>
      <w:r w:rsidR="00F95BE3">
        <w:t>:</w:t>
      </w:r>
      <w:r w:rsidRPr="00887E16">
        <w:t xml:space="preserve"> </w:t>
      </w:r>
      <w:r w:rsidR="006E7503">
        <w:t xml:space="preserve"> </w:t>
      </w:r>
      <w:r w:rsidR="00155BFB">
        <w:t>L</w:t>
      </w:r>
      <w:r w:rsidRPr="00642A5D">
        <w:t>ocation of pro</w:t>
      </w:r>
      <w:r w:rsidR="00DE4271">
        <w:t>tential</w:t>
      </w:r>
      <w:r w:rsidRPr="00642A5D">
        <w:t xml:space="preserve"> </w:t>
      </w:r>
      <w:r w:rsidR="00DE4271">
        <w:t>onshore</w:t>
      </w:r>
      <w:r w:rsidRPr="00642A5D">
        <w:t xml:space="preserve"> natural gas scenario areas used for the </w:t>
      </w:r>
      <w:r>
        <w:t>impact</w:t>
      </w:r>
      <w:r w:rsidRPr="00642A5D">
        <w:t xml:space="preserve"> assessment</w:t>
      </w:r>
      <w:r w:rsidR="00DA6E1A">
        <w:t>.</w:t>
      </w:r>
      <w:r w:rsidR="00155BFB">
        <w:t xml:space="preserve"> </w:t>
      </w:r>
      <w:r w:rsidR="00E03514">
        <w:t>(</w:t>
      </w:r>
      <w:r w:rsidR="00DA6E1A">
        <w:t>S</w:t>
      </w:r>
      <w:r w:rsidR="00E03514">
        <w:t xml:space="preserve">ource: </w:t>
      </w:r>
      <w:r w:rsidR="00DE4271">
        <w:rPr>
          <w:bCs/>
        </w:rPr>
        <w:t>Goldie</w:t>
      </w:r>
      <w:r w:rsidR="00DA6E1A">
        <w:rPr>
          <w:bCs/>
        </w:rPr>
        <w:t xml:space="preserve"> </w:t>
      </w:r>
      <w:r w:rsidR="00DE4271">
        <w:rPr>
          <w:bCs/>
        </w:rPr>
        <w:t>Divko</w:t>
      </w:r>
      <w:r w:rsidR="00E03514">
        <w:t xml:space="preserve">, </w:t>
      </w:r>
      <w:r w:rsidR="00155BFB" w:rsidRPr="00B47B02">
        <w:t>2015</w:t>
      </w:r>
      <w:r w:rsidR="00E979BC">
        <w:t>.</w:t>
      </w:r>
      <w:r w:rsidR="00155BFB" w:rsidRPr="00B47B02">
        <w:t>)</w:t>
      </w:r>
      <w:bookmarkEnd w:id="81"/>
    </w:p>
    <w:p w14:paraId="370D1E1F" w14:textId="18C7A2D2" w:rsidR="009616A3" w:rsidRPr="00A53AE8" w:rsidRDefault="004D49F2" w:rsidP="00A53AE8">
      <w:pPr>
        <w:pStyle w:val="figurereturn"/>
      </w:pPr>
      <w:r w:rsidRPr="004D49F2">
        <w:drawing>
          <wp:inline distT="0" distB="0" distL="0" distR="0" wp14:anchorId="3DBE1C52" wp14:editId="3D336A15">
            <wp:extent cx="6247028" cy="4148667"/>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247343" cy="4148876"/>
                    </a:xfrm>
                    <a:prstGeom prst="rect">
                      <a:avLst/>
                    </a:prstGeom>
                  </pic:spPr>
                </pic:pic>
              </a:graphicData>
            </a:graphic>
          </wp:inline>
        </w:drawing>
      </w:r>
    </w:p>
    <w:p w14:paraId="0D494CC1" w14:textId="0AA1E898" w:rsidR="009616A3" w:rsidRDefault="005262E4" w:rsidP="00A53AE8">
      <w:pPr>
        <w:pStyle w:val="Figuretitle"/>
      </w:pPr>
      <w:bookmarkStart w:id="82" w:name="_Ref419882125"/>
      <w:bookmarkStart w:id="83" w:name="_Toc422928774"/>
      <w:r w:rsidRPr="00887E16">
        <w:t xml:space="preserve">Figure </w:t>
      </w:r>
      <w:r>
        <w:fldChar w:fldCharType="begin"/>
      </w:r>
      <w:r>
        <w:instrText xml:space="preserve"> SEQ Figure \* ARABIC </w:instrText>
      </w:r>
      <w:r>
        <w:fldChar w:fldCharType="separate"/>
      </w:r>
      <w:r w:rsidR="00171A5E">
        <w:t>3</w:t>
      </w:r>
      <w:r>
        <w:fldChar w:fldCharType="end"/>
      </w:r>
      <w:bookmarkEnd w:id="82"/>
      <w:r w:rsidR="00F95BE3">
        <w:t>:</w:t>
      </w:r>
      <w:r w:rsidR="009616A3" w:rsidRPr="00642A5D">
        <w:t xml:space="preserve"> </w:t>
      </w:r>
      <w:r w:rsidR="00E979BC">
        <w:t xml:space="preserve"> </w:t>
      </w:r>
      <w:r w:rsidR="008F67C9" w:rsidRPr="00C87CB0">
        <w:t>Typical geological formations bearing prospective</w:t>
      </w:r>
      <w:r w:rsidR="008F67C9">
        <w:t xml:space="preserve"> </w:t>
      </w:r>
      <w:r w:rsidR="008F67C9" w:rsidRPr="00C87CB0">
        <w:t xml:space="preserve">onshore natural gas in the </w:t>
      </w:r>
      <w:r w:rsidR="008F67C9">
        <w:t>Otway</w:t>
      </w:r>
      <w:r w:rsidR="008F67C9" w:rsidRPr="00C87CB0">
        <w:t xml:space="preserve"> </w:t>
      </w:r>
      <w:r w:rsidR="008F67C9" w:rsidRPr="00C77878">
        <w:t>region (depth</w:t>
      </w:r>
      <w:r w:rsidR="008F67C9" w:rsidRPr="001E696A">
        <w:t xml:space="preserve"> </w:t>
      </w:r>
      <w:r w:rsidR="008F67C9" w:rsidRPr="00C77878">
        <w:t>shown in metres</w:t>
      </w:r>
      <w:r w:rsidR="008F67C9">
        <w:t>)</w:t>
      </w:r>
      <w:r w:rsidR="00DA6E1A">
        <w:t>.</w:t>
      </w:r>
      <w:bookmarkEnd w:id="83"/>
    </w:p>
    <w:p w14:paraId="0341F689" w14:textId="5B37EC39" w:rsidR="009616A3" w:rsidRPr="005936CA" w:rsidRDefault="00DA6E1A" w:rsidP="001A061A">
      <w:pPr>
        <w:pStyle w:val="Head2xx"/>
      </w:pPr>
      <w:bookmarkStart w:id="84" w:name="_Toc420568653"/>
      <w:bookmarkStart w:id="85" w:name="_Toc420570235"/>
      <w:bookmarkStart w:id="86" w:name="_Toc420571431"/>
      <w:bookmarkStart w:id="87" w:name="_Toc420572069"/>
      <w:bookmarkStart w:id="88" w:name="_Toc296766924"/>
      <w:bookmarkStart w:id="89" w:name="_Toc422927891"/>
      <w:r>
        <w:t>1.5</w:t>
      </w:r>
      <w:r>
        <w:tab/>
      </w:r>
      <w:r w:rsidR="009616A3">
        <w:t>A</w:t>
      </w:r>
      <w:r w:rsidR="009616A3" w:rsidRPr="005936CA">
        <w:t>ssessment approach</w:t>
      </w:r>
      <w:bookmarkEnd w:id="84"/>
      <w:bookmarkEnd w:id="85"/>
      <w:bookmarkEnd w:id="86"/>
      <w:bookmarkEnd w:id="87"/>
      <w:bookmarkEnd w:id="88"/>
      <w:bookmarkEnd w:id="89"/>
    </w:p>
    <w:p w14:paraId="149B8D7C" w14:textId="6D1F0980" w:rsidR="00E07AA3" w:rsidRPr="008B7664" w:rsidRDefault="00E07AA3">
      <w:r w:rsidRPr="00642A75">
        <w:t xml:space="preserve">Prior to developing this impact assessment, </w:t>
      </w:r>
      <w:r>
        <w:t>a review of relevant Australian and international literature which looked at risk from gas development was completed</w:t>
      </w:r>
      <w:r>
        <w:rPr>
          <w:rFonts w:cs="Arial"/>
        </w:rPr>
        <w:t xml:space="preserve">. This is </w:t>
      </w:r>
      <w:r w:rsidRPr="00997739">
        <w:rPr>
          <w:rFonts w:cs="Arial"/>
        </w:rPr>
        <w:t>presented in Appendix A.</w:t>
      </w:r>
      <w:r w:rsidR="009A72C5">
        <w:rPr>
          <w:rFonts w:cs="Arial"/>
        </w:rPr>
        <w:t xml:space="preserve"> </w:t>
      </w:r>
      <w:r w:rsidRPr="008B7664">
        <w:rPr>
          <w:rFonts w:cs="Arial"/>
        </w:rPr>
        <w:t>This assessment consider</w:t>
      </w:r>
      <w:r>
        <w:rPr>
          <w:rFonts w:cs="Arial"/>
        </w:rPr>
        <w:t>s</w:t>
      </w:r>
      <w:r w:rsidRPr="008B7664">
        <w:rPr>
          <w:rFonts w:cs="Arial"/>
        </w:rPr>
        <w:t xml:space="preserve"> </w:t>
      </w:r>
      <w:r>
        <w:rPr>
          <w:rFonts w:cs="Arial"/>
        </w:rPr>
        <w:t xml:space="preserve">impacts and </w:t>
      </w:r>
      <w:r w:rsidRPr="008B7664">
        <w:rPr>
          <w:rFonts w:cs="Arial"/>
        </w:rPr>
        <w:t xml:space="preserve">risks associated with the potential future development of the following onshore natural gas resources in the </w:t>
      </w:r>
      <w:r>
        <w:rPr>
          <w:rFonts w:cs="Arial"/>
        </w:rPr>
        <w:t>Otway</w:t>
      </w:r>
      <w:r w:rsidRPr="008B7664">
        <w:rPr>
          <w:rFonts w:cs="Arial"/>
        </w:rPr>
        <w:t xml:space="preserve"> region:</w:t>
      </w:r>
    </w:p>
    <w:p w14:paraId="2E8F8BDE" w14:textId="0B6E29D7" w:rsidR="00E07AA3" w:rsidRPr="00021555" w:rsidRDefault="00DA6E1A" w:rsidP="00DA6E1A">
      <w:pPr>
        <w:pStyle w:val="bulletlist0"/>
      </w:pPr>
      <w:r>
        <w:t>•</w:t>
      </w:r>
      <w:r>
        <w:tab/>
      </w:r>
      <w:r w:rsidR="00E07AA3" w:rsidRPr="00021555">
        <w:t>tight gas</w:t>
      </w:r>
    </w:p>
    <w:p w14:paraId="53F58882" w14:textId="5ACF0938" w:rsidR="00E07AA3" w:rsidRDefault="00DA6E1A" w:rsidP="00DA6E1A">
      <w:pPr>
        <w:pStyle w:val="bulletlist0"/>
      </w:pPr>
      <w:r>
        <w:t>•</w:t>
      </w:r>
      <w:r>
        <w:tab/>
      </w:r>
      <w:r w:rsidR="00E07AA3" w:rsidRPr="008B7664">
        <w:t xml:space="preserve">shale </w:t>
      </w:r>
      <w:r w:rsidR="00E07AA3">
        <w:t>gas</w:t>
      </w:r>
    </w:p>
    <w:p w14:paraId="5EBD1C40" w14:textId="77777777" w:rsidR="008573A4" w:rsidRDefault="00DA6E1A" w:rsidP="00DA6E1A">
      <w:pPr>
        <w:pStyle w:val="bulletlist0"/>
      </w:pPr>
      <w:r>
        <w:t>•</w:t>
      </w:r>
      <w:r>
        <w:tab/>
      </w:r>
      <w:r w:rsidR="00E07AA3">
        <w:t>c</w:t>
      </w:r>
      <w:r w:rsidR="00E07AA3" w:rsidRPr="008B7664">
        <w:t xml:space="preserve">oal seam gas (from </w:t>
      </w:r>
      <w:r w:rsidR="00E07AA3">
        <w:t xml:space="preserve">black </w:t>
      </w:r>
      <w:r w:rsidR="00E07AA3" w:rsidRPr="008B7664">
        <w:t>coal)</w:t>
      </w:r>
    </w:p>
    <w:p w14:paraId="6B31ABA1" w14:textId="2BFBE354" w:rsidR="00E07AA3" w:rsidRPr="008B7664" w:rsidRDefault="008573A4" w:rsidP="00DA6E1A">
      <w:pPr>
        <w:pStyle w:val="bulletlist0"/>
      </w:pPr>
      <w:r>
        <w:t>•</w:t>
      </w:r>
      <w:r>
        <w:tab/>
      </w:r>
      <w:r w:rsidR="00E07AA3">
        <w:t>conventional gas</w:t>
      </w:r>
      <w:r w:rsidR="00E07AA3" w:rsidRPr="008B7664">
        <w:t>.</w:t>
      </w:r>
    </w:p>
    <w:p w14:paraId="6B923E44" w14:textId="14349612" w:rsidR="00E07AA3" w:rsidRDefault="00E07AA3" w:rsidP="00380D21">
      <w:r w:rsidRPr="00B47B02">
        <w:rPr>
          <w:bCs/>
        </w:rPr>
        <w:t>The extent of the possible onshore natural gas resources used in the assessment was taken from Goldie</w:t>
      </w:r>
      <w:r w:rsidR="00DA6E1A">
        <w:rPr>
          <w:bCs/>
        </w:rPr>
        <w:t xml:space="preserve"> </w:t>
      </w:r>
      <w:r w:rsidRPr="00B47B02">
        <w:t>Divko (2015) and is shown</w:t>
      </w:r>
      <w:r w:rsidR="00CE2682">
        <w:t xml:space="preserve"> in Figure 2. </w:t>
      </w:r>
      <w:r w:rsidRPr="00B47B02">
        <w:t xml:space="preserve">Further detail on the nature of the gas resources included in this impact assessment is provided in </w:t>
      </w:r>
      <w:r w:rsidRPr="001140E5">
        <w:t>S</w:t>
      </w:r>
      <w:r w:rsidRPr="00B47B02">
        <w:t xml:space="preserve">ection </w:t>
      </w:r>
      <w:r w:rsidR="008B7710">
        <w:t>2.2.3</w:t>
      </w:r>
      <w:r w:rsidRPr="00B47B02">
        <w:t>.</w:t>
      </w:r>
    </w:p>
    <w:p w14:paraId="646B9D6E" w14:textId="1AE32053" w:rsidR="009E4573" w:rsidRDefault="009E4573">
      <w:pPr>
        <w:rPr>
          <w:rFonts w:cs="Arial"/>
        </w:rPr>
      </w:pPr>
      <w:r w:rsidRPr="008B7664">
        <w:t xml:space="preserve">The assessment framework is based on the </w:t>
      </w:r>
      <w:r w:rsidR="00DA6E1A">
        <w:t>hazard/pathway/</w:t>
      </w:r>
      <w:r w:rsidRPr="008B7664">
        <w:t>receptor</w:t>
      </w:r>
      <w:r w:rsidR="00DA6E1A">
        <w:t>/</w:t>
      </w:r>
      <w:r w:rsidRPr="008B7664">
        <w:t xml:space="preserve"> model to assess </w:t>
      </w:r>
      <w:r>
        <w:t>impacts</w:t>
      </w:r>
      <w:r w:rsidRPr="008B7664">
        <w:t xml:space="preserve"> </w:t>
      </w:r>
      <w:r>
        <w:t>on</w:t>
      </w:r>
      <w:r w:rsidRPr="008B7664">
        <w:t xml:space="preserve"> the receptors (water resources) from possible future onshore </w:t>
      </w:r>
      <w:r>
        <w:t xml:space="preserve">natural </w:t>
      </w:r>
      <w:r w:rsidRPr="008B7664">
        <w:t>gas development.</w:t>
      </w:r>
      <w:r w:rsidR="009A72C5">
        <w:t xml:space="preserve"> </w:t>
      </w:r>
      <w:r>
        <w:t>F</w:t>
      </w:r>
      <w:r w:rsidRPr="008B7664">
        <w:t xml:space="preserve">or </w:t>
      </w:r>
      <w:r>
        <w:t>an impact to occur</w:t>
      </w:r>
      <w:r w:rsidR="00744720">
        <w:t>,</w:t>
      </w:r>
      <w:r w:rsidRPr="008B7664">
        <w:t xml:space="preserve"> all three components need to be present: a </w:t>
      </w:r>
      <w:r w:rsidRPr="00301E44">
        <w:rPr>
          <w:rStyle w:val="Para0Char"/>
        </w:rPr>
        <w:t>hazard; a receptor</w:t>
      </w:r>
      <w:r w:rsidRPr="008B7664">
        <w:t xml:space="preserve"> that could potentially be adversely impacted; and a pathway to link the two. </w:t>
      </w:r>
    </w:p>
    <w:p w14:paraId="22A69DCD" w14:textId="77777777" w:rsidR="00380D21" w:rsidRDefault="00380D21">
      <w:pPr>
        <w:spacing w:after="200"/>
        <w:rPr>
          <w:rFonts w:cs="Arial"/>
        </w:rPr>
      </w:pPr>
      <w:r>
        <w:rPr>
          <w:rFonts w:cs="Arial"/>
        </w:rPr>
        <w:br w:type="page"/>
      </w:r>
    </w:p>
    <w:p w14:paraId="0F836001" w14:textId="60010841" w:rsidR="009E4573" w:rsidRPr="001140E5" w:rsidRDefault="009E4573" w:rsidP="00C150BC">
      <w:pPr>
        <w:rPr>
          <w:rFonts w:cs="Arial"/>
        </w:rPr>
      </w:pPr>
      <w:r w:rsidRPr="001140E5">
        <w:rPr>
          <w:rFonts w:cs="Arial"/>
        </w:rPr>
        <w:lastRenderedPageBreak/>
        <w:t xml:space="preserve">The four </w:t>
      </w:r>
      <w:r w:rsidRPr="00E4670C">
        <w:rPr>
          <w:rFonts w:cs="Arial"/>
        </w:rPr>
        <w:t>hazards considered</w:t>
      </w:r>
      <w:r w:rsidRPr="001140E5">
        <w:rPr>
          <w:rFonts w:cs="Arial"/>
        </w:rPr>
        <w:t xml:space="preserve"> are:</w:t>
      </w:r>
    </w:p>
    <w:p w14:paraId="3E06AE13" w14:textId="44E7628C" w:rsidR="009E4573" w:rsidRPr="001140E5" w:rsidRDefault="00DA6E1A" w:rsidP="00C150BC">
      <w:pPr>
        <w:pStyle w:val="bulletlist0"/>
      </w:pPr>
      <w:r>
        <w:t>1</w:t>
      </w:r>
      <w:r w:rsidR="00021555" w:rsidRPr="001140E5">
        <w:tab/>
      </w:r>
      <w:r w:rsidR="009E4573" w:rsidRPr="001140E5">
        <w:t>aquifer depressurisation</w:t>
      </w:r>
    </w:p>
    <w:p w14:paraId="2150F315" w14:textId="572EAF2A" w:rsidR="009E4573" w:rsidRPr="001140E5" w:rsidRDefault="00DA6E1A" w:rsidP="00C150BC">
      <w:pPr>
        <w:pStyle w:val="bulletlist0"/>
      </w:pPr>
      <w:r>
        <w:t>2</w:t>
      </w:r>
      <w:r w:rsidR="00021555" w:rsidRPr="001140E5">
        <w:tab/>
      </w:r>
      <w:r w:rsidR="0022740D">
        <w:t xml:space="preserve">chemical </w:t>
      </w:r>
      <w:r w:rsidR="009E4573" w:rsidRPr="001140E5">
        <w:t xml:space="preserve">contamination </w:t>
      </w:r>
      <w:r w:rsidR="0022740D">
        <w:t xml:space="preserve">of </w:t>
      </w:r>
      <w:r w:rsidR="0022740D" w:rsidRPr="001140E5">
        <w:t xml:space="preserve">groundwater </w:t>
      </w:r>
      <w:r w:rsidR="009E4573" w:rsidRPr="001140E5">
        <w:t>from hydraulic fracturing</w:t>
      </w:r>
      <w:r w:rsidR="0022740D">
        <w:t xml:space="preserve"> fluids</w:t>
      </w:r>
    </w:p>
    <w:p w14:paraId="398A40D9" w14:textId="13AB99BD" w:rsidR="009E4573" w:rsidRPr="001140E5" w:rsidRDefault="00DA6E1A" w:rsidP="00C150BC">
      <w:pPr>
        <w:pStyle w:val="bulletlist0"/>
      </w:pPr>
      <w:r>
        <w:t>3</w:t>
      </w:r>
      <w:r w:rsidR="00021555" w:rsidRPr="001140E5">
        <w:tab/>
      </w:r>
      <w:r w:rsidR="009E4573" w:rsidRPr="001140E5">
        <w:t>induced seismicity</w:t>
      </w:r>
    </w:p>
    <w:p w14:paraId="07E6A4F8" w14:textId="594992C3" w:rsidR="009E4573" w:rsidRPr="001140E5" w:rsidRDefault="00DA6E1A" w:rsidP="00C150BC">
      <w:pPr>
        <w:pStyle w:val="bulletlist0"/>
      </w:pPr>
      <w:r>
        <w:t>4</w:t>
      </w:r>
      <w:r w:rsidR="00021555" w:rsidRPr="001140E5">
        <w:tab/>
      </w:r>
      <w:r w:rsidR="009E4573" w:rsidRPr="001140E5">
        <w:t>land subsidence.</w:t>
      </w:r>
    </w:p>
    <w:p w14:paraId="3653734B" w14:textId="3CDFD226" w:rsidR="009E4573" w:rsidRPr="00F47C4F" w:rsidRDefault="009E4573" w:rsidP="009E4573">
      <w:pPr>
        <w:pStyle w:val="Para0"/>
      </w:pPr>
      <w:r w:rsidRPr="00F47C4F">
        <w:t>The assessment approach considers three types of high</w:t>
      </w:r>
      <w:r w:rsidR="00472115">
        <w:t>-</w:t>
      </w:r>
      <w:r w:rsidRPr="00F47C4F">
        <w:t>value</w:t>
      </w:r>
      <w:r w:rsidRPr="00F47C4F">
        <w:rPr>
          <w:b/>
        </w:rPr>
        <w:t xml:space="preserve"> </w:t>
      </w:r>
      <w:r w:rsidRPr="00F47C4F">
        <w:t xml:space="preserve">water resource </w:t>
      </w:r>
      <w:r w:rsidRPr="00E4670C">
        <w:t>receptors:</w:t>
      </w:r>
    </w:p>
    <w:p w14:paraId="3A7ADCBD" w14:textId="7BBC6840" w:rsidR="009E4573" w:rsidRPr="00F47C4F" w:rsidRDefault="00DA6E1A" w:rsidP="00DA6E1A">
      <w:pPr>
        <w:pStyle w:val="bulletlist0"/>
      </w:pPr>
      <w:r>
        <w:t>•</w:t>
      </w:r>
      <w:r>
        <w:tab/>
      </w:r>
      <w:r w:rsidR="009E4573" w:rsidRPr="00F47C4F">
        <w:t>aquifers (which support groundwater users)</w:t>
      </w:r>
    </w:p>
    <w:p w14:paraId="167305FF" w14:textId="29349A51" w:rsidR="009E4573" w:rsidRPr="00F47C4F" w:rsidRDefault="00DA6E1A" w:rsidP="00DA6E1A">
      <w:pPr>
        <w:pStyle w:val="bulletlist0"/>
      </w:pPr>
      <w:r>
        <w:t>•</w:t>
      </w:r>
      <w:r>
        <w:tab/>
      </w:r>
      <w:r w:rsidR="009E4573" w:rsidRPr="00F47C4F">
        <w:t>rivers (which support surface water users and ecosystems)</w:t>
      </w:r>
    </w:p>
    <w:p w14:paraId="55B9B81D" w14:textId="7CC7E801" w:rsidR="009E4573" w:rsidRPr="00F47C4F" w:rsidRDefault="00DA6E1A" w:rsidP="00DA6E1A">
      <w:pPr>
        <w:pStyle w:val="bulletlist0"/>
      </w:pPr>
      <w:r>
        <w:t>•</w:t>
      </w:r>
      <w:r>
        <w:tab/>
      </w:r>
      <w:r w:rsidR="009E4573" w:rsidRPr="00F47C4F">
        <w:t>water bodies (wetlands and lakes which support surface water users and ecosystems).</w:t>
      </w:r>
    </w:p>
    <w:p w14:paraId="2DEF2ED2" w14:textId="61F2EA7B" w:rsidR="00FD7AAA" w:rsidRPr="008573A4" w:rsidRDefault="00FD7AAA" w:rsidP="008573A4">
      <w:r w:rsidRPr="006715B0">
        <w:t xml:space="preserve">The studies </w:t>
      </w:r>
      <w:r>
        <w:t>apply a causal pathway approach, describing</w:t>
      </w:r>
      <w:r w:rsidRPr="006715B0">
        <w:t xml:space="preserve"> where natural gas might be, where water resources are, </w:t>
      </w:r>
      <w:r>
        <w:t>and the physical</w:t>
      </w:r>
      <w:r w:rsidRPr="006715B0">
        <w:t xml:space="preserve"> connection</w:t>
      </w:r>
      <w:r>
        <w:t xml:space="preserve">s between </w:t>
      </w:r>
      <w:r w:rsidRPr="006715B0">
        <w:t>the</w:t>
      </w:r>
      <w:r>
        <w:t xml:space="preserve"> </w:t>
      </w:r>
      <w:r w:rsidRPr="006715B0">
        <w:t>gas and water resources</w:t>
      </w:r>
      <w:r w:rsidR="008573A4">
        <w:t xml:space="preserve">. </w:t>
      </w:r>
      <w:r>
        <w:t>For aquifer depressurisation, modelling and analysis is used to assess the potential impacts on groundwater levels and by inference the potential impacts on water users and ecosystems, as relevant region-specific data was not available for a quantitative risk assessment approach but suitable for impact assessment</w:t>
      </w:r>
      <w:r w:rsidRPr="006715B0">
        <w:t xml:space="preserve">. </w:t>
      </w:r>
      <w:r>
        <w:t xml:space="preserve">For chemical contamination of groundwater from hydraulic fracturing fluids, induced seismicity and land subsidence, a qualitative risk assessment approach is used to assess the potential risks to water users and ecosystems, as the necessary region-specific data for a quantitative risk assessment or impact assessment approach is </w:t>
      </w:r>
      <w:r w:rsidRPr="008573A4">
        <w:t>not currently available</w:t>
      </w:r>
      <w:r w:rsidR="008573A4">
        <w:t xml:space="preserve">. </w:t>
      </w:r>
    </w:p>
    <w:p w14:paraId="50D91E61" w14:textId="77777777" w:rsidR="009E4573" w:rsidRPr="00F47C4F" w:rsidRDefault="009E4573" w:rsidP="008573A4">
      <w:r w:rsidRPr="00F47C4F">
        <w:t xml:space="preserve">The metrics used to determine the potential connection to groundwater and the potential drawdown expected from a gas development are outlined in subsequent chapters and detailed in </w:t>
      </w:r>
      <w:r w:rsidRPr="00F47C4F">
        <w:rPr>
          <w:rFonts w:cs="Arial"/>
        </w:rPr>
        <w:t>Appendix B</w:t>
      </w:r>
      <w:r w:rsidRPr="00F47C4F">
        <w:t xml:space="preserve">. </w:t>
      </w:r>
    </w:p>
    <w:p w14:paraId="346F5405" w14:textId="3F1A50E4" w:rsidR="009E4573" w:rsidRPr="00F47C4F" w:rsidRDefault="009E4573" w:rsidP="008573A4">
      <w:r w:rsidRPr="00F47C4F">
        <w:t xml:space="preserve">The potential for impacts was assessed </w:t>
      </w:r>
      <w:r w:rsidR="00472115">
        <w:t>according to</w:t>
      </w:r>
      <w:r w:rsidRPr="00F47C4F">
        <w:t xml:space="preserve"> the following criteria (for compete definitions refer to </w:t>
      </w:r>
      <w:r w:rsidR="00C000C1">
        <w:t>Chapter</w:t>
      </w:r>
      <w:r w:rsidRPr="00F47C4F">
        <w:t>s 3 to 6):</w:t>
      </w:r>
    </w:p>
    <w:p w14:paraId="31F460CB" w14:textId="6F9E1D5B" w:rsidR="001D4EFD" w:rsidRPr="001D4EFD" w:rsidRDefault="008573A4" w:rsidP="008573A4">
      <w:pPr>
        <w:pStyle w:val="bulletlist0"/>
      </w:pPr>
      <w:r>
        <w:rPr>
          <w:lang w:val="en-AU"/>
        </w:rPr>
        <w:t>•</w:t>
      </w:r>
      <w:r>
        <w:rPr>
          <w:lang w:val="en-AU"/>
        </w:rPr>
        <w:tab/>
      </w:r>
      <w:r w:rsidR="00472115">
        <w:rPr>
          <w:lang w:val="en-AU"/>
        </w:rPr>
        <w:t>l</w:t>
      </w:r>
      <w:r w:rsidR="001D4EFD" w:rsidRPr="001D4EFD">
        <w:rPr>
          <w:lang w:val="en-AU"/>
        </w:rPr>
        <w:t xml:space="preserve">ow potential: impact is within normal variability or not anticipated (e.g. for groundwater users, a predicted decline in the water table of less than 2 m and a predicted decline in deep groundwater levels of less than 10 m or no change is anticipated) </w:t>
      </w:r>
    </w:p>
    <w:p w14:paraId="07322032" w14:textId="1FD926CB" w:rsidR="001D4EFD" w:rsidRDefault="008573A4" w:rsidP="00C150BC">
      <w:pPr>
        <w:pStyle w:val="bulletlist0"/>
        <w:rPr>
          <w:lang w:val="en-AU"/>
        </w:rPr>
      </w:pPr>
      <w:r>
        <w:rPr>
          <w:lang w:val="en-AU"/>
        </w:rPr>
        <w:t>•</w:t>
      </w:r>
      <w:r>
        <w:rPr>
          <w:lang w:val="en-AU"/>
        </w:rPr>
        <w:tab/>
      </w:r>
      <w:r w:rsidR="00472115">
        <w:rPr>
          <w:lang w:val="en-AU"/>
        </w:rPr>
        <w:t>m</w:t>
      </w:r>
      <w:r w:rsidR="001D4EFD">
        <w:rPr>
          <w:lang w:val="en-AU"/>
        </w:rPr>
        <w:t>oderate potential while the impact is outside normal variability, the impact does not significantly change the function of water users or ecosystems (e.g. for groundwater users, a predicted decline in the water table of 2 m to 15 m or a predicted decline in deep groundwater levels of 10 m to 75 m)</w:t>
      </w:r>
    </w:p>
    <w:p w14:paraId="783D159C" w14:textId="68B20173" w:rsidR="009E4573" w:rsidRDefault="008573A4" w:rsidP="008573A4">
      <w:pPr>
        <w:pStyle w:val="bulletlist0"/>
      </w:pPr>
      <w:r>
        <w:rPr>
          <w:lang w:val="en-AU"/>
        </w:rPr>
        <w:t>•</w:t>
      </w:r>
      <w:r>
        <w:rPr>
          <w:lang w:val="en-AU"/>
        </w:rPr>
        <w:tab/>
      </w:r>
      <w:r w:rsidR="00472115">
        <w:rPr>
          <w:lang w:val="en-AU"/>
        </w:rPr>
        <w:t>h</w:t>
      </w:r>
      <w:r w:rsidR="001D4EFD">
        <w:rPr>
          <w:lang w:val="en-AU"/>
        </w:rPr>
        <w:t>igh potential: impact significantly changes the function of water users or ecosystems (e.g. for groundwater users, a predicted decline in the water table of greater than 15 m or a predicted decline in deep groundwater levels of greater than 75 m).</w:t>
      </w:r>
      <w:r w:rsidR="001D4EFD">
        <w:t xml:space="preserve"> </w:t>
      </w:r>
      <w:r w:rsidR="009E4573">
        <w:t>Moderate potential: impact is measurable (e.g. for groundwater users this is a predicted drop in the water table of 2 m to 15 m)</w:t>
      </w:r>
    </w:p>
    <w:p w14:paraId="09D0D80E" w14:textId="4E65DB78" w:rsidR="009616A3" w:rsidRDefault="008573A4" w:rsidP="001A061A">
      <w:pPr>
        <w:pStyle w:val="Head3xxx"/>
      </w:pPr>
      <w:bookmarkStart w:id="90" w:name="_Toc420568654"/>
      <w:bookmarkStart w:id="91" w:name="_Toc420570236"/>
      <w:bookmarkStart w:id="92" w:name="_Toc420571432"/>
      <w:bookmarkStart w:id="93" w:name="_Toc420572070"/>
      <w:bookmarkStart w:id="94" w:name="_Toc296766925"/>
      <w:r>
        <w:t>1.5.1</w:t>
      </w:r>
      <w:r>
        <w:tab/>
      </w:r>
      <w:r w:rsidR="009616A3">
        <w:t>Aquifer depressurisation</w:t>
      </w:r>
      <w:bookmarkEnd w:id="90"/>
      <w:bookmarkEnd w:id="91"/>
      <w:bookmarkEnd w:id="92"/>
      <w:bookmarkEnd w:id="93"/>
      <w:bookmarkEnd w:id="94"/>
      <w:r w:rsidR="009616A3">
        <w:t xml:space="preserve"> </w:t>
      </w:r>
    </w:p>
    <w:p w14:paraId="2BFD349A" w14:textId="40C59B52" w:rsidR="009E4573" w:rsidRPr="009E4573" w:rsidRDefault="00472115" w:rsidP="00A35B08">
      <w:r>
        <w:t>T</w:t>
      </w:r>
      <w:r w:rsidR="009E4573" w:rsidRPr="009E4573">
        <w:t>he</w:t>
      </w:r>
      <w:r w:rsidR="009E4573" w:rsidRPr="004A5C34">
        <w:t xml:space="preserve"> pathway</w:t>
      </w:r>
      <w:r w:rsidR="009E4573" w:rsidRPr="009E4573">
        <w:t xml:space="preserve"> </w:t>
      </w:r>
      <w:r>
        <w:t xml:space="preserve">for aquifer depressurisation </w:t>
      </w:r>
      <w:r w:rsidR="009E4573" w:rsidRPr="009E4573">
        <w:t xml:space="preserve">is the transmission of pressure reductions in the </w:t>
      </w:r>
      <w:r w:rsidR="00E4670C">
        <w:t xml:space="preserve">prospective </w:t>
      </w:r>
      <w:r w:rsidR="002D4544" w:rsidRPr="009E4573">
        <w:t>gas formation</w:t>
      </w:r>
      <w:r w:rsidR="009E4573" w:rsidRPr="009E4573">
        <w:t xml:space="preserve"> through the adjacent seal or aquitard units</w:t>
      </w:r>
      <w:r w:rsidR="00E81DB2">
        <w:t>,</w:t>
      </w:r>
      <w:r w:rsidR="009E4573" w:rsidRPr="009E4573">
        <w:t xml:space="preserve"> </w:t>
      </w:r>
      <w:r>
        <w:t>which may cause</w:t>
      </w:r>
      <w:r w:rsidRPr="009E4573">
        <w:t xml:space="preserve"> </w:t>
      </w:r>
      <w:r w:rsidR="009E4573" w:rsidRPr="009E4573">
        <w:t>drawdown in the aquifers. For drawdown to have an impact</w:t>
      </w:r>
      <w:r>
        <w:t xml:space="preserve"> it</w:t>
      </w:r>
      <w:r w:rsidR="009E4573" w:rsidRPr="009E4573">
        <w:t xml:space="preserve"> must occur in an aquifer that supports a receptor. This means </w:t>
      </w:r>
      <w:r>
        <w:t xml:space="preserve">that, </w:t>
      </w:r>
      <w:r w:rsidR="009E4573" w:rsidRPr="009E4573">
        <w:t xml:space="preserve">for a surface water receptor to be adversely impacted, there must be a pathway between the gas source and the watertable that enables drawdown to occur in the watertable aquifer. To understand the hydrogeological pathways that have the potential to connect possible gas developments with overlying water resources a hydrogeological conceptual model was produced. This is presented in </w:t>
      </w:r>
      <w:r w:rsidR="00C000C1">
        <w:t>Chapter</w:t>
      </w:r>
      <w:r w:rsidR="009E4573" w:rsidRPr="009E4573">
        <w:t xml:space="preserve"> 2.</w:t>
      </w:r>
    </w:p>
    <w:p w14:paraId="2BD7D588" w14:textId="0C2F4919" w:rsidR="009616A3" w:rsidRDefault="009616A3">
      <w:r w:rsidRPr="005936CA">
        <w:t xml:space="preserve">The </w:t>
      </w:r>
      <w:r>
        <w:t>impact</w:t>
      </w:r>
      <w:r w:rsidRPr="005936CA">
        <w:t xml:space="preserve"> assessment </w:t>
      </w:r>
      <w:r>
        <w:t xml:space="preserve">for aquifer depressurisation </w:t>
      </w:r>
      <w:r w:rsidRPr="005936CA">
        <w:t>is based on hypothesised gas development scenarios</w:t>
      </w:r>
      <w:r>
        <w:t xml:space="preserve">. </w:t>
      </w:r>
    </w:p>
    <w:p w14:paraId="1227973A" w14:textId="77E46AAF" w:rsidR="009616A3" w:rsidRDefault="009616A3">
      <w:r>
        <w:t xml:space="preserve">Impact assessment of aquifer depressurisation considers the potential for impacts on groundwater users </w:t>
      </w:r>
      <w:r w:rsidR="00992BC5">
        <w:t xml:space="preserve">and the water table </w:t>
      </w:r>
      <w:r>
        <w:t>with an inferred impact on surface water users and ecosystems</w:t>
      </w:r>
      <w:r w:rsidR="008573A4">
        <w:t xml:space="preserve">. </w:t>
      </w:r>
      <w:r>
        <w:t>This is based on an estimate of potential groundwater level changes from each hypothetical onshore natural gas development scenario.</w:t>
      </w:r>
    </w:p>
    <w:p w14:paraId="13E1573A" w14:textId="731B0B09" w:rsidR="009616A3" w:rsidRDefault="009616A3">
      <w:r>
        <w:lastRenderedPageBreak/>
        <w:t xml:space="preserve">The impact on water resources has been assessed for an operation of a hypothetical development running for 30 years. Impacts are assessed at the end of the operating period. This operating period corresponds to a typical life span of coal seam gas resources and infrastructure used in other jurisdictions. While 30 years is long enough for a scenario impact to be identified, maximum impacts may occur after 30 years. </w:t>
      </w:r>
    </w:p>
    <w:p w14:paraId="46DC06AA" w14:textId="728C256C" w:rsidR="009616A3" w:rsidRPr="00320C03" w:rsidRDefault="008573A4" w:rsidP="001A061A">
      <w:pPr>
        <w:pStyle w:val="Head3xxx"/>
      </w:pPr>
      <w:bookmarkStart w:id="95" w:name="_Toc420568655"/>
      <w:bookmarkStart w:id="96" w:name="_Toc420570237"/>
      <w:bookmarkStart w:id="97" w:name="_Toc420571433"/>
      <w:bookmarkStart w:id="98" w:name="_Toc420572071"/>
      <w:bookmarkStart w:id="99" w:name="_Toc296766926"/>
      <w:r>
        <w:t>1.5.2</w:t>
      </w:r>
      <w:r>
        <w:tab/>
      </w:r>
      <w:r w:rsidR="0022740D">
        <w:t xml:space="preserve">Chemical </w:t>
      </w:r>
      <w:r w:rsidR="009616A3" w:rsidRPr="009C5019">
        <w:t xml:space="preserve">contamination </w:t>
      </w:r>
      <w:r w:rsidR="0022740D">
        <w:t xml:space="preserve">of </w:t>
      </w:r>
      <w:r w:rsidR="0022740D" w:rsidRPr="001140E5">
        <w:t>groundwater</w:t>
      </w:r>
      <w:r w:rsidR="0022740D" w:rsidRPr="009C5019">
        <w:t xml:space="preserve"> </w:t>
      </w:r>
      <w:r w:rsidR="009616A3" w:rsidRPr="009C5019">
        <w:t>from hydraulic fracturing</w:t>
      </w:r>
      <w:r w:rsidR="009616A3" w:rsidRPr="00320C03">
        <w:t xml:space="preserve"> </w:t>
      </w:r>
      <w:r w:rsidR="0022740D">
        <w:t>fluids</w:t>
      </w:r>
      <w:bookmarkEnd w:id="95"/>
      <w:bookmarkEnd w:id="96"/>
      <w:bookmarkEnd w:id="97"/>
      <w:bookmarkEnd w:id="98"/>
      <w:bookmarkEnd w:id="99"/>
    </w:p>
    <w:p w14:paraId="01F88340" w14:textId="50C6976C" w:rsidR="009E4573" w:rsidRPr="00502858" w:rsidRDefault="00472115" w:rsidP="00A35B08">
      <w:pPr>
        <w:rPr>
          <w:lang w:val="en-US"/>
        </w:rPr>
      </w:pPr>
      <w:r>
        <w:t>In h</w:t>
      </w:r>
      <w:r w:rsidR="009E4573">
        <w:t>ydraulic fracturing the rock of the gas reservoir is put under pressure</w:t>
      </w:r>
      <w:r>
        <w:t xml:space="preserve"> to</w:t>
      </w:r>
      <w:r w:rsidR="009E4573">
        <w:t xml:space="preserve"> </w:t>
      </w:r>
      <w:r>
        <w:t xml:space="preserve">generate </w:t>
      </w:r>
      <w:r w:rsidR="009E4573">
        <w:t>small cracks in the rock</w:t>
      </w:r>
      <w:r>
        <w:t>, allowing the</w:t>
      </w:r>
      <w:r w:rsidR="009E4573">
        <w:t xml:space="preserve"> gas </w:t>
      </w:r>
      <w:r>
        <w:t>to be extracted</w:t>
      </w:r>
      <w:r w:rsidR="009E4573">
        <w:t xml:space="preserve">. </w:t>
      </w:r>
      <w:r w:rsidR="009E4573" w:rsidRPr="00502858">
        <w:t>The findings in the main report use the available literature to assess the in-situ hydrogeological factors that may contribute to fracture propagation beyond the intended zone of fracturing</w:t>
      </w:r>
      <w:r>
        <w:t>,</w:t>
      </w:r>
      <w:r w:rsidR="009E4573" w:rsidRPr="00502858">
        <w:t xml:space="preserve"> an assessment of their distribution potential for groundwater contamination.</w:t>
      </w:r>
    </w:p>
    <w:p w14:paraId="35CFD969" w14:textId="4C4DD789" w:rsidR="009616A3" w:rsidRPr="009C5019" w:rsidRDefault="008573A4" w:rsidP="001A061A">
      <w:pPr>
        <w:pStyle w:val="Head3xxx"/>
      </w:pPr>
      <w:bookmarkStart w:id="100" w:name="_Toc420568656"/>
      <w:bookmarkStart w:id="101" w:name="_Toc420570238"/>
      <w:bookmarkStart w:id="102" w:name="_Toc420571434"/>
      <w:bookmarkStart w:id="103" w:name="_Toc420572072"/>
      <w:bookmarkStart w:id="104" w:name="_Toc296766927"/>
      <w:r>
        <w:t>1.5.3</w:t>
      </w:r>
      <w:r>
        <w:tab/>
      </w:r>
      <w:r w:rsidR="009616A3" w:rsidRPr="009C5019">
        <w:t>Induced seismicity</w:t>
      </w:r>
      <w:bookmarkEnd w:id="100"/>
      <w:bookmarkEnd w:id="101"/>
      <w:bookmarkEnd w:id="102"/>
      <w:bookmarkEnd w:id="103"/>
      <w:bookmarkEnd w:id="104"/>
      <w:r w:rsidR="009616A3" w:rsidRPr="009C5019">
        <w:t xml:space="preserve"> </w:t>
      </w:r>
    </w:p>
    <w:p w14:paraId="01D45C9B" w14:textId="6DABF35B" w:rsidR="009616A3" w:rsidRDefault="009616A3">
      <w:r>
        <w:t xml:space="preserve">Induced seismicity associated with unconventional gas extraction can be related to hydraulic fracturing, gas production and/or </w:t>
      </w:r>
      <w:r w:rsidR="001A061A">
        <w:t>coproduced</w:t>
      </w:r>
      <w:r>
        <w:t xml:space="preserve"> re-injection. The potential impact for induced seismicity has been assessed </w:t>
      </w:r>
      <w:r w:rsidR="001F559D" w:rsidRPr="001F559D">
        <w:t>from</w:t>
      </w:r>
      <w:r w:rsidRPr="001F559D">
        <w:t xml:space="preserve"> a review of international literature and </w:t>
      </w:r>
      <w:r w:rsidR="001F559D" w:rsidRPr="001F559D">
        <w:t xml:space="preserve">reporting of </w:t>
      </w:r>
      <w:r w:rsidRPr="001F559D">
        <w:t>the risk factors for induced seismicity and how they</w:t>
      </w:r>
      <w:r>
        <w:t xml:space="preserve"> can be managed. </w:t>
      </w:r>
    </w:p>
    <w:p w14:paraId="4AF1470D" w14:textId="33D3E63C" w:rsidR="009616A3" w:rsidRDefault="008573A4" w:rsidP="001A061A">
      <w:pPr>
        <w:pStyle w:val="Head3xxx"/>
      </w:pPr>
      <w:bookmarkStart w:id="105" w:name="_Toc420568657"/>
      <w:bookmarkStart w:id="106" w:name="_Toc420570239"/>
      <w:bookmarkStart w:id="107" w:name="_Toc420571435"/>
      <w:bookmarkStart w:id="108" w:name="_Toc420572073"/>
      <w:bookmarkStart w:id="109" w:name="_Toc296766928"/>
      <w:r>
        <w:t>1.5.4</w:t>
      </w:r>
      <w:r>
        <w:tab/>
      </w:r>
      <w:r w:rsidR="009616A3" w:rsidRPr="009C5019">
        <w:t>Land subsidence</w:t>
      </w:r>
      <w:bookmarkEnd w:id="105"/>
      <w:bookmarkEnd w:id="106"/>
      <w:bookmarkEnd w:id="107"/>
      <w:bookmarkEnd w:id="108"/>
      <w:bookmarkEnd w:id="109"/>
    </w:p>
    <w:p w14:paraId="15D11F08" w14:textId="056FA2DF" w:rsidR="009616A3" w:rsidRPr="00132584" w:rsidRDefault="009616A3" w:rsidP="009616A3">
      <w:pPr>
        <w:pStyle w:val="Para0"/>
      </w:pPr>
      <w:r w:rsidRPr="00405ED7">
        <w:rPr>
          <w:rFonts w:eastAsia="Times New Roman" w:cs="Times New Roman"/>
          <w:szCs w:val="20"/>
          <w:lang w:val="en-GB" w:eastAsia="en-AU"/>
        </w:rPr>
        <w:t xml:space="preserve">The potential impacts of land subsidence as a result of gas extraction </w:t>
      </w:r>
      <w:r w:rsidR="00C97B98">
        <w:rPr>
          <w:rFonts w:eastAsia="Times New Roman" w:cs="Times New Roman"/>
          <w:szCs w:val="20"/>
          <w:lang w:val="en-GB" w:eastAsia="en-AU"/>
        </w:rPr>
        <w:t>were</w:t>
      </w:r>
      <w:r w:rsidR="00C97B98" w:rsidRPr="00405ED7">
        <w:rPr>
          <w:rFonts w:eastAsia="Times New Roman" w:cs="Times New Roman"/>
          <w:szCs w:val="20"/>
          <w:lang w:val="en-GB" w:eastAsia="en-AU"/>
        </w:rPr>
        <w:t xml:space="preserve"> </w:t>
      </w:r>
      <w:r w:rsidRPr="00405ED7">
        <w:rPr>
          <w:rFonts w:eastAsia="Times New Roman" w:cs="Times New Roman"/>
          <w:szCs w:val="20"/>
          <w:lang w:val="en-GB" w:eastAsia="en-AU"/>
        </w:rPr>
        <w:t>assessed through a literature review.</w:t>
      </w:r>
      <w:r w:rsidR="009A72C5">
        <w:rPr>
          <w:rFonts w:eastAsia="Times New Roman" w:cs="Times New Roman"/>
          <w:szCs w:val="20"/>
          <w:lang w:val="en-GB" w:eastAsia="en-AU"/>
        </w:rPr>
        <w:t xml:space="preserve"> </w:t>
      </w:r>
      <w:r w:rsidRPr="00405ED7">
        <w:rPr>
          <w:rFonts w:eastAsia="Times New Roman" w:cs="Times New Roman"/>
          <w:szCs w:val="20"/>
          <w:lang w:val="en-GB" w:eastAsia="en-AU"/>
        </w:rPr>
        <w:t xml:space="preserve">The literature review </w:t>
      </w:r>
      <w:r w:rsidR="001F559D">
        <w:rPr>
          <w:rFonts w:eastAsia="Times New Roman" w:cs="Times New Roman"/>
          <w:szCs w:val="20"/>
          <w:lang w:val="en-GB" w:eastAsia="en-AU"/>
        </w:rPr>
        <w:t>was based on</w:t>
      </w:r>
      <w:r w:rsidR="00C97B98" w:rsidRPr="00405ED7">
        <w:rPr>
          <w:rFonts w:eastAsia="Times New Roman" w:cs="Times New Roman"/>
          <w:szCs w:val="20"/>
          <w:lang w:val="en-GB" w:eastAsia="en-AU"/>
        </w:rPr>
        <w:t xml:space="preserve"> </w:t>
      </w:r>
      <w:r w:rsidRPr="00405ED7">
        <w:rPr>
          <w:rFonts w:eastAsia="Times New Roman" w:cs="Times New Roman"/>
          <w:szCs w:val="20"/>
          <w:lang w:val="en-GB" w:eastAsia="en-AU"/>
        </w:rPr>
        <w:t>a number of recent literature reviews undertaken for the</w:t>
      </w:r>
      <w:r>
        <w:t xml:space="preserve"> </w:t>
      </w:r>
      <w:r w:rsidRPr="00BE7EA4">
        <w:t>Independent Expert Scientific Committee on Coal Seam Gas and Large Coal Mining Development</w:t>
      </w:r>
      <w:r>
        <w:t xml:space="preserve"> that reports to the Commonwealth Government. </w:t>
      </w:r>
    </w:p>
    <w:p w14:paraId="12A02A22" w14:textId="63345407" w:rsidR="009616A3" w:rsidRDefault="008573A4" w:rsidP="001F559D">
      <w:pPr>
        <w:pStyle w:val="Head2xx"/>
      </w:pPr>
      <w:bookmarkStart w:id="110" w:name="_Toc420568658"/>
      <w:bookmarkStart w:id="111" w:name="_Toc420570240"/>
      <w:bookmarkStart w:id="112" w:name="_Toc420571436"/>
      <w:bookmarkStart w:id="113" w:name="_Toc420572074"/>
      <w:bookmarkStart w:id="114" w:name="_Toc296766929"/>
      <w:bookmarkStart w:id="115" w:name="_Toc422927892"/>
      <w:r>
        <w:t>1.6</w:t>
      </w:r>
      <w:r>
        <w:tab/>
      </w:r>
      <w:r w:rsidR="009616A3">
        <w:t>R</w:t>
      </w:r>
      <w:r w:rsidR="009616A3" w:rsidRPr="00642A5D">
        <w:t>esults</w:t>
      </w:r>
      <w:bookmarkEnd w:id="110"/>
      <w:bookmarkEnd w:id="111"/>
      <w:bookmarkEnd w:id="112"/>
      <w:bookmarkEnd w:id="113"/>
      <w:bookmarkEnd w:id="114"/>
      <w:bookmarkEnd w:id="115"/>
    </w:p>
    <w:p w14:paraId="257D24FB" w14:textId="70A9FCD6" w:rsidR="00824E6F" w:rsidRPr="001F559D" w:rsidRDefault="00232F76" w:rsidP="001F559D">
      <w:pPr>
        <w:pStyle w:val="Para0"/>
      </w:pPr>
      <w:r>
        <w:t>T</w:t>
      </w:r>
      <w:r w:rsidR="00824E6F">
        <w:t xml:space="preserve">he potential impacts associated with onshore natural gas development in the Otway region </w:t>
      </w:r>
      <w:r w:rsidR="00824E6F" w:rsidRPr="001F559D">
        <w:t>for tight, shale, coal seam (black coal) and conventional gas types</w:t>
      </w:r>
      <w:r w:rsidR="00824E6F">
        <w:t xml:space="preserve"> are </w:t>
      </w:r>
      <w:r w:rsidR="00C97B98">
        <w:t>described below</w:t>
      </w:r>
      <w:r w:rsidR="00C97B98" w:rsidRPr="00F61802">
        <w:t>.</w:t>
      </w:r>
    </w:p>
    <w:p w14:paraId="4D0087BA" w14:textId="69886E47" w:rsidR="009616A3" w:rsidRPr="001F559D" w:rsidRDefault="008573A4" w:rsidP="001F559D">
      <w:pPr>
        <w:pStyle w:val="Head3xxx"/>
      </w:pPr>
      <w:bookmarkStart w:id="116" w:name="_Toc420568659"/>
      <w:bookmarkStart w:id="117" w:name="_Toc420570241"/>
      <w:bookmarkStart w:id="118" w:name="_Toc420571437"/>
      <w:bookmarkStart w:id="119" w:name="_Toc420572075"/>
      <w:bookmarkStart w:id="120" w:name="_Toc296766930"/>
      <w:r>
        <w:t>1.6.1</w:t>
      </w:r>
      <w:r>
        <w:tab/>
      </w:r>
      <w:r w:rsidR="009616A3" w:rsidRPr="001F559D">
        <w:t>Aquifer depressurisation</w:t>
      </w:r>
      <w:bookmarkEnd w:id="116"/>
      <w:bookmarkEnd w:id="117"/>
      <w:bookmarkEnd w:id="118"/>
      <w:bookmarkEnd w:id="119"/>
      <w:bookmarkEnd w:id="120"/>
    </w:p>
    <w:p w14:paraId="2863BC8B" w14:textId="755B22AE" w:rsidR="009616A3" w:rsidRDefault="00C97B98">
      <w:r w:rsidRPr="00642A5D">
        <w:t xml:space="preserve">The key finding </w:t>
      </w:r>
      <w:r>
        <w:t>of the assessment is</w:t>
      </w:r>
      <w:r w:rsidR="009616A3" w:rsidRPr="00642A5D">
        <w:t xml:space="preserve"> that</w:t>
      </w:r>
      <w:r>
        <w:t xml:space="preserve"> the</w:t>
      </w:r>
      <w:r w:rsidR="009616A3" w:rsidRPr="00642A5D">
        <w:t xml:space="preserve"> potential </w:t>
      </w:r>
      <w:r w:rsidR="009616A3">
        <w:t>impact</w:t>
      </w:r>
      <w:r w:rsidR="009616A3" w:rsidRPr="00642A5D">
        <w:t xml:space="preserve"> </w:t>
      </w:r>
      <w:r w:rsidR="009616A3">
        <w:t>on</w:t>
      </w:r>
      <w:r w:rsidR="009616A3" w:rsidRPr="00642A5D">
        <w:t xml:space="preserve"> all aquifers (confined and unconfined) in the Otway region is low for </w:t>
      </w:r>
      <w:r w:rsidR="00824E6F">
        <w:t>all</w:t>
      </w:r>
      <w:r w:rsidR="009616A3" w:rsidRPr="00642A5D">
        <w:t xml:space="preserve"> gas types.</w:t>
      </w:r>
      <w:r w:rsidR="009A72C5">
        <w:t xml:space="preserve"> </w:t>
      </w:r>
      <w:r w:rsidR="009616A3" w:rsidRPr="00642A5D">
        <w:t xml:space="preserve">Potential </w:t>
      </w:r>
      <w:r w:rsidR="009616A3">
        <w:t>impacts on</w:t>
      </w:r>
      <w:r w:rsidR="009616A3" w:rsidRPr="00642A5D">
        <w:t xml:space="preserve"> surface water resources (including users) and ecosystems are </w:t>
      </w:r>
      <w:r w:rsidR="009616A3">
        <w:t xml:space="preserve">also inferred to be </w:t>
      </w:r>
      <w:r w:rsidR="009616A3" w:rsidRPr="00642A5D">
        <w:t>low.</w:t>
      </w:r>
      <w:r w:rsidR="009A72C5">
        <w:t xml:space="preserve"> </w:t>
      </w:r>
    </w:p>
    <w:p w14:paraId="1544EF66" w14:textId="4276087D" w:rsidR="009616A3" w:rsidRPr="00642A5D" w:rsidRDefault="009616A3">
      <w:r w:rsidRPr="00642A5D">
        <w:t>There are about 1100 surface water licences in the Otway region</w:t>
      </w:r>
      <w:r w:rsidR="00472115">
        <w:t>,</w:t>
      </w:r>
      <w:r w:rsidRPr="00642A5D">
        <w:t xml:space="preserve"> and no surface water licences are classified as having elevated </w:t>
      </w:r>
      <w:r>
        <w:t>impact</w:t>
      </w:r>
      <w:r w:rsidR="004145CC">
        <w:t>s</w:t>
      </w:r>
      <w:r w:rsidRPr="00642A5D">
        <w:t xml:space="preserve"> (that is, moderate to high </w:t>
      </w:r>
      <w:r w:rsidR="00472115">
        <w:t>potential</w:t>
      </w:r>
      <w:r w:rsidRPr="00642A5D">
        <w:t xml:space="preserve">) </w:t>
      </w:r>
      <w:r w:rsidR="004145CC">
        <w:t>from</w:t>
      </w:r>
      <w:r w:rsidRPr="00642A5D">
        <w:t xml:space="preserve"> conventional, tight, shale and coal seam gas development.</w:t>
      </w:r>
    </w:p>
    <w:p w14:paraId="10A0D9CC" w14:textId="500D4384" w:rsidR="009616A3" w:rsidRPr="00642A5D" w:rsidRDefault="009616A3" w:rsidP="00A35B08">
      <w:r w:rsidRPr="00642A5D">
        <w:t>There are about 2000 groundwater entitlement holders in the area</w:t>
      </w:r>
      <w:r w:rsidR="00472115">
        <w:t>,</w:t>
      </w:r>
      <w:r w:rsidRPr="00642A5D">
        <w:t xml:space="preserve"> </w:t>
      </w:r>
      <w:r w:rsidR="00472115">
        <w:t>but</w:t>
      </w:r>
      <w:r w:rsidR="00472115" w:rsidRPr="00642A5D">
        <w:t xml:space="preserve"> </w:t>
      </w:r>
      <w:r w:rsidRPr="00642A5D">
        <w:t xml:space="preserve">none </w:t>
      </w:r>
      <w:r w:rsidR="00472115">
        <w:t>were found to be at risk of</w:t>
      </w:r>
      <w:r w:rsidRPr="00642A5D">
        <w:t xml:space="preserve"> elevated </w:t>
      </w:r>
      <w:r>
        <w:t>impact</w:t>
      </w:r>
      <w:r w:rsidR="004145CC">
        <w:t>s</w:t>
      </w:r>
      <w:r w:rsidRPr="00642A5D">
        <w:t xml:space="preserve"> from gas development through depressurisation.</w:t>
      </w:r>
    </w:p>
    <w:p w14:paraId="05D0345D" w14:textId="31FB7C8D" w:rsidR="009616A3" w:rsidRPr="001F559D" w:rsidRDefault="008573A4" w:rsidP="001F559D">
      <w:pPr>
        <w:pStyle w:val="Head3xxx"/>
      </w:pPr>
      <w:bookmarkStart w:id="121" w:name="_Toc420568660"/>
      <w:bookmarkStart w:id="122" w:name="_Toc420570242"/>
      <w:bookmarkStart w:id="123" w:name="_Toc420571438"/>
      <w:bookmarkStart w:id="124" w:name="_Toc420572076"/>
      <w:bookmarkStart w:id="125" w:name="_Toc296766931"/>
      <w:r>
        <w:t>1.6.2</w:t>
      </w:r>
      <w:r>
        <w:tab/>
      </w:r>
      <w:r w:rsidR="0022740D">
        <w:t>Chemical</w:t>
      </w:r>
      <w:r w:rsidR="009616A3" w:rsidRPr="001F559D">
        <w:t xml:space="preserve"> contamination </w:t>
      </w:r>
      <w:r w:rsidR="0022740D">
        <w:t xml:space="preserve">of groundwater </w:t>
      </w:r>
      <w:r w:rsidR="009616A3" w:rsidRPr="001F559D">
        <w:t>from hydraulic fracturing</w:t>
      </w:r>
      <w:r w:rsidR="0022740D">
        <w:t xml:space="preserve"> fluids</w:t>
      </w:r>
      <w:bookmarkEnd w:id="121"/>
      <w:bookmarkEnd w:id="122"/>
      <w:bookmarkEnd w:id="123"/>
      <w:bookmarkEnd w:id="124"/>
      <w:bookmarkEnd w:id="125"/>
    </w:p>
    <w:p w14:paraId="1F7591AE" w14:textId="7210FB4B" w:rsidR="009616A3" w:rsidRPr="00642A5D" w:rsidRDefault="009616A3">
      <w:r w:rsidRPr="00642A5D">
        <w:t xml:space="preserve">Based on existing </w:t>
      </w:r>
      <w:r w:rsidR="00824E6F" w:rsidRPr="00642A5D">
        <w:t xml:space="preserve">tight </w:t>
      </w:r>
      <w:r w:rsidRPr="00642A5D">
        <w:t xml:space="preserve">and </w:t>
      </w:r>
      <w:r w:rsidR="00824E6F" w:rsidRPr="00642A5D">
        <w:t>shale</w:t>
      </w:r>
      <w:r w:rsidR="00824E6F" w:rsidRPr="00642A5D" w:rsidDel="00824E6F">
        <w:t xml:space="preserve"> </w:t>
      </w:r>
      <w:r w:rsidRPr="00642A5D">
        <w:t xml:space="preserve">gas development around Australia and internationally, the development of </w:t>
      </w:r>
      <w:r w:rsidR="00824E6F" w:rsidRPr="00642A5D">
        <w:t>tight</w:t>
      </w:r>
      <w:r w:rsidRPr="00642A5D">
        <w:t xml:space="preserve">, </w:t>
      </w:r>
      <w:r w:rsidR="00824E6F" w:rsidRPr="00642A5D">
        <w:t>shale</w:t>
      </w:r>
      <w:r w:rsidR="00472115">
        <w:t>,</w:t>
      </w:r>
      <w:r w:rsidR="00824E6F" w:rsidRPr="00642A5D" w:rsidDel="00824E6F">
        <w:t xml:space="preserve"> </w:t>
      </w:r>
      <w:r w:rsidRPr="00642A5D">
        <w:t xml:space="preserve">and </w:t>
      </w:r>
      <w:r w:rsidR="004145CC" w:rsidRPr="00642A5D">
        <w:t>possibl</w:t>
      </w:r>
      <w:r w:rsidR="004145CC">
        <w:t>y</w:t>
      </w:r>
      <w:r w:rsidR="004145CC" w:rsidRPr="00642A5D">
        <w:t xml:space="preserve"> </w:t>
      </w:r>
      <w:r w:rsidRPr="00642A5D">
        <w:t xml:space="preserve">coal seam gas in the Otway </w:t>
      </w:r>
      <w:r>
        <w:t>region</w:t>
      </w:r>
      <w:r w:rsidRPr="00642A5D">
        <w:t xml:space="preserve"> may require hydraulic fracturing in order to increase permeability and hence gas production.</w:t>
      </w:r>
      <w:r w:rsidR="009A72C5">
        <w:t xml:space="preserve"> </w:t>
      </w:r>
      <w:r w:rsidRPr="00642A5D">
        <w:t>Available literature indicates that typical fracture propagation distances are around tens of metres, although this is highly dependent on rock type and geology</w:t>
      </w:r>
      <w:r w:rsidR="008573A4">
        <w:t xml:space="preserve">. </w:t>
      </w:r>
    </w:p>
    <w:p w14:paraId="7C627508" w14:textId="6A0F91ED" w:rsidR="009616A3" w:rsidRPr="00642A5D" w:rsidRDefault="009616A3" w:rsidP="00A35B08">
      <w:r w:rsidRPr="00642A5D">
        <w:t xml:space="preserve">The development scenario proposed for shale gas indicates the depths </w:t>
      </w:r>
      <w:r>
        <w:t>are</w:t>
      </w:r>
      <w:r w:rsidRPr="00642A5D">
        <w:t xml:space="preserve"> in the Casterton Formation at around 3500 m.</w:t>
      </w:r>
      <w:r w:rsidR="009A72C5">
        <w:t xml:space="preserve"> </w:t>
      </w:r>
      <w:r w:rsidRPr="00642A5D">
        <w:t xml:space="preserve">There are around </w:t>
      </w:r>
      <w:r w:rsidR="006F2A40">
        <w:t>900</w:t>
      </w:r>
      <w:r w:rsidRPr="00642A5D">
        <w:t xml:space="preserve"> and </w:t>
      </w:r>
      <w:r w:rsidR="006F2A40">
        <w:t>2</w:t>
      </w:r>
      <w:r w:rsidRPr="00642A5D">
        <w:t>000 m of low</w:t>
      </w:r>
      <w:r w:rsidR="00472115">
        <w:t>-</w:t>
      </w:r>
      <w:r w:rsidRPr="00642A5D">
        <w:t>permeability formations between the Casterton Formation and the nearest aquifer</w:t>
      </w:r>
      <w:r>
        <w:t xml:space="preserve">. This formation provides a significant physical separation from any </w:t>
      </w:r>
      <w:r w:rsidR="00FC7512">
        <w:t>groundwater resources</w:t>
      </w:r>
      <w:r w:rsidRPr="00642A5D">
        <w:t>.</w:t>
      </w:r>
      <w:r w:rsidR="009A72C5">
        <w:t xml:space="preserve"> </w:t>
      </w:r>
      <w:r w:rsidRPr="00642A5D">
        <w:t>Given the typical fracture propagation distances of up to tens of metres, contamination or increased connectivity via the generation of fully penetrating fractures</w:t>
      </w:r>
      <w:r w:rsidR="00C97B98">
        <w:t>,</w:t>
      </w:r>
      <w:r w:rsidRPr="00642A5D">
        <w:t xml:space="preserve"> or the intersection between stimulated and pre-existing fractures</w:t>
      </w:r>
      <w:r w:rsidR="00C97B98">
        <w:t>,</w:t>
      </w:r>
      <w:r w:rsidRPr="00642A5D">
        <w:t xml:space="preserve"> is unlikely. </w:t>
      </w:r>
      <w:r w:rsidR="00534C77">
        <w:t>T</w:t>
      </w:r>
      <w:r w:rsidRPr="00642A5D">
        <w:t xml:space="preserve">he overlying aquifers would </w:t>
      </w:r>
      <w:r w:rsidR="00534C77">
        <w:t xml:space="preserve">therefore </w:t>
      </w:r>
      <w:r w:rsidRPr="00642A5D">
        <w:t xml:space="preserve">almost </w:t>
      </w:r>
      <w:r w:rsidRPr="00642A5D">
        <w:lastRenderedPageBreak/>
        <w:t>certainly remain unaffected.</w:t>
      </w:r>
      <w:r w:rsidR="009A72C5">
        <w:t xml:space="preserve"> </w:t>
      </w:r>
      <w:r w:rsidRPr="00642A5D">
        <w:t xml:space="preserve">With respect to tight gas development, a vertical fracture of tens of metres would still be about 500 m from the deepest groundwater resource in the Port Campbell Embayment of the Otway region. Based on these and other factors </w:t>
      </w:r>
      <w:r>
        <w:t xml:space="preserve">the overall potential for groundwater contamination from </w:t>
      </w:r>
      <w:r w:rsidRPr="00642A5D">
        <w:t>hydraulic fracturing of tight gas and shale gas</w:t>
      </w:r>
      <w:r w:rsidR="00C97B98">
        <w:t>,</w:t>
      </w:r>
      <w:r w:rsidRPr="00642A5D">
        <w:t xml:space="preserve"> </w:t>
      </w:r>
      <w:r>
        <w:t>is</w:t>
      </w:r>
      <w:r w:rsidRPr="00642A5D">
        <w:t xml:space="preserve"> low.</w:t>
      </w:r>
    </w:p>
    <w:p w14:paraId="6830B648" w14:textId="739C1A3B" w:rsidR="009616A3" w:rsidRPr="00642A5D" w:rsidRDefault="009616A3">
      <w:r w:rsidRPr="00642A5D">
        <w:t xml:space="preserve">Prospective coal seam gas is limited to where the base of the Eumeralla Formation </w:t>
      </w:r>
      <w:r>
        <w:t xml:space="preserve">is </w:t>
      </w:r>
      <w:r w:rsidRPr="00642A5D">
        <w:t xml:space="preserve">at depths of approximately </w:t>
      </w:r>
      <w:r w:rsidR="009B4CC4">
        <w:t>600</w:t>
      </w:r>
      <w:r w:rsidRPr="00642A5D">
        <w:t xml:space="preserve"> m</w:t>
      </w:r>
      <w:r w:rsidR="0034003E">
        <w:t xml:space="preserve"> or more</w:t>
      </w:r>
      <w:r w:rsidRPr="00642A5D">
        <w:t xml:space="preserve"> below the surface.</w:t>
      </w:r>
      <w:r w:rsidR="009A72C5">
        <w:t xml:space="preserve"> </w:t>
      </w:r>
      <w:r w:rsidRPr="00642A5D">
        <w:t xml:space="preserve">Coal seam gas sources will be separated </w:t>
      </w:r>
      <w:r w:rsidR="002A14FD">
        <w:t xml:space="preserve">from the lowermost aquifers </w:t>
      </w:r>
      <w:r w:rsidRPr="00642A5D">
        <w:t xml:space="preserve">by approximately </w:t>
      </w:r>
      <w:r w:rsidR="009B4CC4">
        <w:t>3</w:t>
      </w:r>
      <w:r w:rsidRPr="00642A5D">
        <w:t>00</w:t>
      </w:r>
      <w:r w:rsidR="009B4CC4">
        <w:t> </w:t>
      </w:r>
      <w:r w:rsidRPr="00642A5D">
        <w:t xml:space="preserve">m </w:t>
      </w:r>
      <w:r w:rsidR="0034003E">
        <w:t xml:space="preserve">or more </w:t>
      </w:r>
      <w:r w:rsidRPr="00642A5D">
        <w:t xml:space="preserve">of </w:t>
      </w:r>
      <w:r w:rsidR="002A14FD">
        <w:t>low</w:t>
      </w:r>
      <w:r w:rsidR="0034003E">
        <w:t>-</w:t>
      </w:r>
      <w:r w:rsidR="002A14FD">
        <w:t xml:space="preserve">permeability </w:t>
      </w:r>
      <w:r w:rsidR="002A14FD" w:rsidRPr="00642A5D">
        <w:t>Eumeralla Formation</w:t>
      </w:r>
      <w:r w:rsidR="002A14FD">
        <w:t>,</w:t>
      </w:r>
      <w:r w:rsidRPr="00642A5D">
        <w:t xml:space="preserve"> so </w:t>
      </w:r>
      <w:r>
        <w:t xml:space="preserve">the potential for </w:t>
      </w:r>
      <w:r w:rsidR="009B4CC4">
        <w:t xml:space="preserve">chemical </w:t>
      </w:r>
      <w:r>
        <w:t xml:space="preserve">contamination </w:t>
      </w:r>
      <w:r w:rsidR="009B4CC4">
        <w:t xml:space="preserve">of groundwater </w:t>
      </w:r>
      <w:r>
        <w:t>from</w:t>
      </w:r>
      <w:r w:rsidRPr="00642A5D">
        <w:t xml:space="preserve"> hydraulic fracturing </w:t>
      </w:r>
      <w:r w:rsidR="009B4CC4">
        <w:t xml:space="preserve">fluids </w:t>
      </w:r>
      <w:r>
        <w:t xml:space="preserve">is assessed as </w:t>
      </w:r>
      <w:r w:rsidRPr="00642A5D">
        <w:t>low</w:t>
      </w:r>
      <w:r>
        <w:t xml:space="preserve"> risk</w:t>
      </w:r>
      <w:r w:rsidRPr="00642A5D">
        <w:t xml:space="preserve">. </w:t>
      </w:r>
    </w:p>
    <w:p w14:paraId="03E8A1B1" w14:textId="66713647" w:rsidR="00053BBC" w:rsidRDefault="00053BBC">
      <w:r w:rsidRPr="00642A5D">
        <w:rPr>
          <w:lang w:val="en-US" w:eastAsia="en-US"/>
        </w:rPr>
        <w:t xml:space="preserve">The development of conventional gas in the </w:t>
      </w:r>
      <w:r w:rsidR="007C4916">
        <w:rPr>
          <w:lang w:val="en-US" w:eastAsia="en-US"/>
        </w:rPr>
        <w:t>Otway region</w:t>
      </w:r>
      <w:r w:rsidRPr="00642A5D">
        <w:rPr>
          <w:lang w:val="en-US" w:eastAsia="en-US"/>
        </w:rPr>
        <w:t xml:space="preserve"> is unlikely to require hydraulic fracturing.</w:t>
      </w:r>
    </w:p>
    <w:p w14:paraId="0E8FB608" w14:textId="7558875A" w:rsidR="009616A3" w:rsidRPr="00642A5D" w:rsidRDefault="009616A3">
      <w:r w:rsidRPr="00642A5D">
        <w:t>Based on these and other factors presented in the report</w:t>
      </w:r>
      <w:r w:rsidR="00C97B98">
        <w:t>,</w:t>
      </w:r>
      <w:r w:rsidRPr="00642A5D">
        <w:t xml:space="preserve"> the overall potential </w:t>
      </w:r>
      <w:r>
        <w:t xml:space="preserve">for groundwater contamination from </w:t>
      </w:r>
      <w:r w:rsidRPr="00642A5D">
        <w:t xml:space="preserve">hydraulic fracturing is assessed as </w:t>
      </w:r>
      <w:r>
        <w:t>low</w:t>
      </w:r>
      <w:r w:rsidRPr="00642A5D">
        <w:t xml:space="preserve">. </w:t>
      </w:r>
    </w:p>
    <w:p w14:paraId="3A470342" w14:textId="17E5F023" w:rsidR="009616A3" w:rsidRPr="00E32FB3" w:rsidRDefault="008573A4" w:rsidP="00E32FB3">
      <w:pPr>
        <w:pStyle w:val="Head3xxx"/>
      </w:pPr>
      <w:bookmarkStart w:id="126" w:name="_Toc420568661"/>
      <w:bookmarkStart w:id="127" w:name="_Toc420570243"/>
      <w:bookmarkStart w:id="128" w:name="_Toc420571439"/>
      <w:bookmarkStart w:id="129" w:name="_Toc420572077"/>
      <w:bookmarkStart w:id="130" w:name="_Toc296766932"/>
      <w:r>
        <w:t>1.6.3</w:t>
      </w:r>
      <w:r>
        <w:tab/>
      </w:r>
      <w:r w:rsidR="009616A3" w:rsidRPr="00E32FB3">
        <w:t>Induced seismicity</w:t>
      </w:r>
      <w:bookmarkEnd w:id="126"/>
      <w:bookmarkEnd w:id="127"/>
      <w:bookmarkEnd w:id="128"/>
      <w:bookmarkEnd w:id="129"/>
      <w:bookmarkEnd w:id="130"/>
    </w:p>
    <w:p w14:paraId="5154D736" w14:textId="5010049D" w:rsidR="009616A3" w:rsidRPr="00642A5D" w:rsidRDefault="009616A3">
      <w:r w:rsidRPr="00642A5D">
        <w:t xml:space="preserve">The potential for seismic events </w:t>
      </w:r>
      <w:r w:rsidR="0034003E">
        <w:t xml:space="preserve">being triggered by hydraulic fracturing </w:t>
      </w:r>
      <w:r w:rsidRPr="00642A5D">
        <w:t xml:space="preserve">in the </w:t>
      </w:r>
      <w:r w:rsidR="007C4916">
        <w:t>Otway region</w:t>
      </w:r>
      <w:r w:rsidRPr="00642A5D">
        <w:t xml:space="preserve"> </w:t>
      </w:r>
      <w:r w:rsidR="0034003E">
        <w:t>is associated</w:t>
      </w:r>
      <w:r w:rsidRPr="00642A5D">
        <w:t xml:space="preserve"> specifically </w:t>
      </w:r>
      <w:r w:rsidR="0034003E">
        <w:t xml:space="preserve">with </w:t>
      </w:r>
      <w:r w:rsidRPr="00642A5D">
        <w:t>shale gas, tight gas and coal seam gas</w:t>
      </w:r>
      <w:r w:rsidR="0034003E">
        <w:t xml:space="preserve"> development</w:t>
      </w:r>
      <w:r w:rsidRPr="00642A5D">
        <w:t xml:space="preserve">. In contrast, aquifer depressurisation resulting from fluid and gas extraction in the </w:t>
      </w:r>
      <w:r w:rsidR="007C4916">
        <w:t>Otway region</w:t>
      </w:r>
      <w:r w:rsidRPr="00642A5D">
        <w:t xml:space="preserve"> is related </w:t>
      </w:r>
      <w:r w:rsidR="0034003E" w:rsidRPr="00642A5D">
        <w:t xml:space="preserve">primarily </w:t>
      </w:r>
      <w:r w:rsidRPr="00642A5D">
        <w:t xml:space="preserve">to coal seam gas (although it is a possibility for all gas types) where water extraction may be required to release gas from coal. </w:t>
      </w:r>
    </w:p>
    <w:p w14:paraId="3ED12376" w14:textId="0B66F5FD" w:rsidR="009616A3" w:rsidRPr="00642A5D" w:rsidRDefault="0034003E">
      <w:r>
        <w:t>In</w:t>
      </w:r>
      <w:r w:rsidRPr="00642A5D">
        <w:t xml:space="preserve"> </w:t>
      </w:r>
      <w:r w:rsidR="009616A3" w:rsidRPr="00642A5D">
        <w:t xml:space="preserve">the </w:t>
      </w:r>
      <w:r w:rsidR="007C4916">
        <w:t>Otway region</w:t>
      </w:r>
      <w:r w:rsidR="009616A3" w:rsidRPr="00642A5D">
        <w:t xml:space="preserve"> a number of </w:t>
      </w:r>
      <w:r w:rsidR="009616A3" w:rsidRPr="001F559D">
        <w:t>fault systems are present</w:t>
      </w:r>
      <w:r w:rsidR="00851560" w:rsidRPr="001F559D">
        <w:t>.</w:t>
      </w:r>
      <w:r w:rsidR="009616A3" w:rsidRPr="001F559D">
        <w:t xml:space="preserve"> </w:t>
      </w:r>
      <w:r w:rsidR="00851560" w:rsidRPr="001F559D">
        <w:t xml:space="preserve">These </w:t>
      </w:r>
      <w:r w:rsidR="009616A3" w:rsidRPr="001F559D">
        <w:t>provide the potential</w:t>
      </w:r>
      <w:r w:rsidR="009616A3" w:rsidRPr="00642A5D">
        <w:t xml:space="preserve"> for fault activation via depressurisation and hydraulic fracturing. </w:t>
      </w:r>
      <w:r w:rsidR="009616A3">
        <w:t>T</w:t>
      </w:r>
      <w:r w:rsidR="009616A3" w:rsidRPr="00642A5D">
        <w:t xml:space="preserve">he natural level of seismicity in the </w:t>
      </w:r>
      <w:r w:rsidR="007C4916">
        <w:t>Otway region</w:t>
      </w:r>
      <w:r w:rsidR="009616A3" w:rsidRPr="00642A5D">
        <w:t xml:space="preserve"> is relatively low. </w:t>
      </w:r>
    </w:p>
    <w:p w14:paraId="784A2E78" w14:textId="6CB17E3D" w:rsidR="009616A3" w:rsidRPr="00642A5D" w:rsidRDefault="009616A3" w:rsidP="00A35B08">
      <w:r w:rsidRPr="00642A5D">
        <w:t>During hydraulic fracturing it is almost certain that very low magnitude (</w:t>
      </w:r>
      <w:r w:rsidR="0034003E">
        <w:t xml:space="preserve">below </w:t>
      </w:r>
      <w:r w:rsidRPr="00642A5D">
        <w:t>1.5 M</w:t>
      </w:r>
      <w:r w:rsidRPr="00642A5D">
        <w:rPr>
          <w:vertAlign w:val="subscript"/>
        </w:rPr>
        <w:t>L</w:t>
      </w:r>
      <w:r w:rsidRPr="00642A5D">
        <w:t>) seismicity w</w:t>
      </w:r>
      <w:r>
        <w:t>ould</w:t>
      </w:r>
      <w:r w:rsidRPr="00642A5D">
        <w:t xml:space="preserve"> be induced. </w:t>
      </w:r>
      <w:r>
        <w:t xml:space="preserve">Most earthquakes are </w:t>
      </w:r>
      <w:r w:rsidRPr="00642A5D">
        <w:t xml:space="preserve">so low that </w:t>
      </w:r>
      <w:r>
        <w:t>they</w:t>
      </w:r>
      <w:r w:rsidRPr="00642A5D">
        <w:t xml:space="preserve"> </w:t>
      </w:r>
      <w:r>
        <w:t xml:space="preserve">would </w:t>
      </w:r>
      <w:r w:rsidRPr="00642A5D">
        <w:t xml:space="preserve">not be detected by highly sensitive instruments placed at the surface whilst exploration activities are taking place. Such events </w:t>
      </w:r>
      <w:r>
        <w:t>would not be</w:t>
      </w:r>
      <w:r w:rsidRPr="00642A5D">
        <w:t xml:space="preserve"> felt by individuals and are of no consequence to people and structures. As such, the overall risk posed by such events is low. Therefore, the </w:t>
      </w:r>
      <w:r>
        <w:t>risk</w:t>
      </w:r>
      <w:r w:rsidRPr="00642A5D">
        <w:t xml:space="preserve"> of hydraulic fracture induced seismic events large enough to be felt by an individual is </w:t>
      </w:r>
      <w:r>
        <w:t>low</w:t>
      </w:r>
      <w:r w:rsidRPr="00642A5D">
        <w:t xml:space="preserve">. In a global context, of the tens of thousands of hydraulic fracture stimulations that have occurred, two reports of induced seismicity felt by an individual have been confirmed. Furthermore, the maximum magnitude of these events was 2.3 </w:t>
      </w:r>
      <w:r w:rsidR="00E4670C" w:rsidRPr="00642A5D">
        <w:t>M</w:t>
      </w:r>
      <w:r w:rsidR="00E4670C" w:rsidRPr="00642A5D">
        <w:rPr>
          <w:vertAlign w:val="subscript"/>
        </w:rPr>
        <w:t>L</w:t>
      </w:r>
      <w:r w:rsidR="00E4670C" w:rsidRPr="00642A5D">
        <w:t xml:space="preserve"> </w:t>
      </w:r>
      <w:r w:rsidRPr="00642A5D">
        <w:t>and 3.8</w:t>
      </w:r>
      <w:r w:rsidR="00E4670C" w:rsidRPr="00E4670C">
        <w:t xml:space="preserve"> </w:t>
      </w:r>
      <w:r w:rsidR="00E4670C" w:rsidRPr="00642A5D">
        <w:t>M</w:t>
      </w:r>
      <w:r w:rsidR="00E4670C" w:rsidRPr="00642A5D">
        <w:rPr>
          <w:vertAlign w:val="subscript"/>
        </w:rPr>
        <w:t>L</w:t>
      </w:r>
      <w:r w:rsidRPr="00642A5D">
        <w:t xml:space="preserve">. As such, the overall risk of inducing moderate to high seismic events by hydraulic fracturing in the </w:t>
      </w:r>
      <w:r w:rsidR="007C4916">
        <w:t>Otway region</w:t>
      </w:r>
      <w:r w:rsidRPr="00642A5D">
        <w:t xml:space="preserve"> is low. </w:t>
      </w:r>
    </w:p>
    <w:p w14:paraId="50E5B22C" w14:textId="7044EDE2" w:rsidR="009616A3" w:rsidRPr="00E32FB3" w:rsidRDefault="008573A4" w:rsidP="00E32FB3">
      <w:pPr>
        <w:pStyle w:val="Head3xxx"/>
      </w:pPr>
      <w:bookmarkStart w:id="131" w:name="_Toc420568662"/>
      <w:bookmarkStart w:id="132" w:name="_Toc420570244"/>
      <w:bookmarkStart w:id="133" w:name="_Toc420571440"/>
      <w:bookmarkStart w:id="134" w:name="_Toc420572078"/>
      <w:bookmarkStart w:id="135" w:name="_Toc296766933"/>
      <w:r>
        <w:t>1.6.4</w:t>
      </w:r>
      <w:r>
        <w:tab/>
      </w:r>
      <w:r w:rsidR="009616A3" w:rsidRPr="00E32FB3">
        <w:t xml:space="preserve">Land </w:t>
      </w:r>
      <w:r>
        <w:t>s</w:t>
      </w:r>
      <w:r w:rsidR="009616A3" w:rsidRPr="00E32FB3">
        <w:t>ubsidence</w:t>
      </w:r>
      <w:bookmarkEnd w:id="131"/>
      <w:bookmarkEnd w:id="132"/>
      <w:bookmarkEnd w:id="133"/>
      <w:bookmarkEnd w:id="134"/>
      <w:bookmarkEnd w:id="135"/>
    </w:p>
    <w:p w14:paraId="16F11023" w14:textId="1F66DD62" w:rsidR="009616A3" w:rsidRPr="00642A5D" w:rsidRDefault="009616A3">
      <w:pPr>
        <w:rPr>
          <w:lang w:val="en-US" w:eastAsia="en-US"/>
        </w:rPr>
      </w:pPr>
      <w:r w:rsidRPr="00642A5D">
        <w:rPr>
          <w:lang w:val="en-US" w:eastAsia="en-US"/>
        </w:rPr>
        <w:t>The time and extent of groundwater drawdown and recovery can be estimated. Estimates for onshore gas development are over 30 years</w:t>
      </w:r>
      <w:r w:rsidR="0034003E">
        <w:rPr>
          <w:lang w:val="en-US" w:eastAsia="en-US"/>
        </w:rPr>
        <w:t>,</w:t>
      </w:r>
      <w:r w:rsidRPr="00642A5D">
        <w:rPr>
          <w:lang w:val="en-US" w:eastAsia="en-US"/>
        </w:rPr>
        <w:t xml:space="preserve"> and water level recovery in the aquifer sequence (as compared with the gas source rocks) is likely to be in the order of a decade or so after development ceases, which means land subsidence may continue whil</w:t>
      </w:r>
      <w:r w:rsidR="0034003E">
        <w:rPr>
          <w:lang w:val="en-US" w:eastAsia="en-US"/>
        </w:rPr>
        <w:t>e</w:t>
      </w:r>
      <w:r w:rsidRPr="00642A5D">
        <w:rPr>
          <w:lang w:val="en-US" w:eastAsia="en-US"/>
        </w:rPr>
        <w:t xml:space="preserve"> the aquifers are recovering.</w:t>
      </w:r>
    </w:p>
    <w:p w14:paraId="3904D380" w14:textId="390455C9" w:rsidR="009616A3" w:rsidRPr="00642A5D" w:rsidRDefault="009616A3">
      <w:pPr>
        <w:rPr>
          <w:lang w:val="en-US" w:eastAsia="en-US"/>
        </w:rPr>
      </w:pPr>
      <w:r w:rsidRPr="00642A5D">
        <w:rPr>
          <w:lang w:val="en-US" w:eastAsia="en-US"/>
        </w:rPr>
        <w:t>Detailed predictions of subsidence in the Otway region are not possible</w:t>
      </w:r>
      <w:r w:rsidR="0034003E">
        <w:rPr>
          <w:lang w:val="en-US" w:eastAsia="en-US"/>
        </w:rPr>
        <w:t>, because</w:t>
      </w:r>
      <w:r w:rsidRPr="00642A5D">
        <w:rPr>
          <w:lang w:val="en-US" w:eastAsia="en-US"/>
        </w:rPr>
        <w:t xml:space="preserve"> the pre-consolidation history is key to predicting the likely subsidence </w:t>
      </w:r>
      <w:r w:rsidR="0034003E">
        <w:rPr>
          <w:lang w:val="en-US" w:eastAsia="en-US"/>
        </w:rPr>
        <w:t xml:space="preserve">but </w:t>
      </w:r>
      <w:r w:rsidRPr="00642A5D">
        <w:rPr>
          <w:lang w:val="en-US" w:eastAsia="en-US"/>
        </w:rPr>
        <w:t>there</w:t>
      </w:r>
      <w:r w:rsidR="001C49B3">
        <w:rPr>
          <w:lang w:val="en-US" w:eastAsia="en-US"/>
        </w:rPr>
        <w:t xml:space="preserve"> is</w:t>
      </w:r>
      <w:r w:rsidRPr="00642A5D">
        <w:rPr>
          <w:lang w:val="en-US" w:eastAsia="en-US"/>
        </w:rPr>
        <w:t xml:space="preserve"> limited data </w:t>
      </w:r>
      <w:r w:rsidR="0034003E">
        <w:rPr>
          <w:lang w:val="en-US" w:eastAsia="en-US"/>
        </w:rPr>
        <w:t>for the region</w:t>
      </w:r>
      <w:r w:rsidRPr="00642A5D">
        <w:rPr>
          <w:lang w:val="en-US" w:eastAsia="en-US"/>
        </w:rPr>
        <w:t xml:space="preserve">. Assumptions </w:t>
      </w:r>
      <w:r w:rsidR="0034003E">
        <w:rPr>
          <w:lang w:val="en-US" w:eastAsia="en-US"/>
        </w:rPr>
        <w:t>about</w:t>
      </w:r>
      <w:r w:rsidRPr="00642A5D">
        <w:rPr>
          <w:lang w:val="en-US" w:eastAsia="en-US"/>
        </w:rPr>
        <w:t xml:space="preserve"> the stress history of the sediments can be inferred from local observations where possible subsidence has been monitored.</w:t>
      </w:r>
    </w:p>
    <w:p w14:paraId="0932A59A" w14:textId="55E8036E" w:rsidR="009616A3" w:rsidRDefault="009616A3">
      <w:pPr>
        <w:rPr>
          <w:lang w:val="en-US"/>
        </w:rPr>
      </w:pPr>
      <w:r w:rsidRPr="00642A5D">
        <w:rPr>
          <w:lang w:val="en-US"/>
        </w:rPr>
        <w:t>Based on the estimated low to moderate drawdown for gas development</w:t>
      </w:r>
      <w:r w:rsidR="0034003E">
        <w:rPr>
          <w:lang w:val="en-US"/>
        </w:rPr>
        <w:t>,</w:t>
      </w:r>
      <w:r w:rsidRPr="00642A5D">
        <w:rPr>
          <w:lang w:val="en-US"/>
        </w:rPr>
        <w:t xml:space="preserve"> and extrapolating from the parameter data available</w:t>
      </w:r>
      <w:r>
        <w:rPr>
          <w:lang w:val="en-US"/>
        </w:rPr>
        <w:t>,</w:t>
      </w:r>
      <w:r w:rsidRPr="00642A5D">
        <w:rPr>
          <w:lang w:val="en-US"/>
        </w:rPr>
        <w:t xml:space="preserve"> the risk of land subsidence from gas development is low.</w:t>
      </w:r>
    </w:p>
    <w:p w14:paraId="7707BF16" w14:textId="77777777" w:rsidR="000F4905" w:rsidRPr="00642A5D" w:rsidRDefault="003E6F64" w:rsidP="00A35B08">
      <w:r w:rsidRPr="00642A5D">
        <w:t xml:space="preserve"> </w:t>
      </w:r>
    </w:p>
    <w:p w14:paraId="7F3AAD65" w14:textId="77777777" w:rsidR="00E86EEC" w:rsidRPr="00642A5D" w:rsidRDefault="00E86EEC">
      <w:pPr>
        <w:pStyle w:val="Bullet1"/>
        <w:ind w:left="1260"/>
        <w:sectPr w:rsidR="00E86EEC" w:rsidRPr="00642A5D" w:rsidSect="00CF4178">
          <w:footerReference w:type="default" r:id="rId21"/>
          <w:footerReference w:type="first" r:id="rId22"/>
          <w:pgSz w:w="11906" w:h="16838" w:code="9"/>
          <w:pgMar w:top="2268" w:right="1134" w:bottom="1276" w:left="1134" w:header="567" w:footer="567" w:gutter="0"/>
          <w:cols w:space="708"/>
          <w:titlePg/>
          <w:docGrid w:linePitch="360"/>
        </w:sectPr>
      </w:pPr>
    </w:p>
    <w:p w14:paraId="091AE605" w14:textId="64BC3DC8" w:rsidR="00651029" w:rsidRPr="00642A5D" w:rsidRDefault="00A35B08" w:rsidP="00092B69">
      <w:pPr>
        <w:pStyle w:val="Head1x"/>
      </w:pPr>
      <w:bookmarkStart w:id="138" w:name="_Ref406577439"/>
      <w:bookmarkStart w:id="139" w:name="_Ref406663296"/>
      <w:bookmarkStart w:id="140" w:name="_Ref406673369"/>
      <w:bookmarkStart w:id="141" w:name="_Toc420568663"/>
      <w:bookmarkStart w:id="142" w:name="_Toc420570245"/>
      <w:bookmarkStart w:id="143" w:name="_Toc420571441"/>
      <w:bookmarkStart w:id="144" w:name="_Toc420572079"/>
      <w:bookmarkStart w:id="145" w:name="_Toc296766934"/>
      <w:bookmarkStart w:id="146" w:name="_Toc422927893"/>
      <w:r>
        <w:lastRenderedPageBreak/>
        <w:t>2</w:t>
      </w:r>
      <w:r>
        <w:tab/>
      </w:r>
      <w:r w:rsidR="00F15CAE" w:rsidRPr="00642A5D">
        <w:t>Hydrogeological conceptual model</w:t>
      </w:r>
      <w:bookmarkEnd w:id="138"/>
      <w:bookmarkEnd w:id="139"/>
      <w:bookmarkEnd w:id="140"/>
      <w:bookmarkEnd w:id="141"/>
      <w:bookmarkEnd w:id="142"/>
      <w:bookmarkEnd w:id="143"/>
      <w:bookmarkEnd w:id="144"/>
      <w:bookmarkEnd w:id="145"/>
      <w:bookmarkEnd w:id="146"/>
    </w:p>
    <w:p w14:paraId="67F6F7B3" w14:textId="55383E05" w:rsidR="00F15CAE" w:rsidRPr="00642A5D" w:rsidRDefault="00166919" w:rsidP="00F15CAE">
      <w:pPr>
        <w:pStyle w:val="Head2xx"/>
      </w:pPr>
      <w:bookmarkStart w:id="147" w:name="_Toc420568664"/>
      <w:bookmarkStart w:id="148" w:name="_Toc420570246"/>
      <w:bookmarkStart w:id="149" w:name="_Toc420571442"/>
      <w:bookmarkStart w:id="150" w:name="_Toc420572080"/>
      <w:bookmarkStart w:id="151" w:name="_Toc296766935"/>
      <w:bookmarkStart w:id="152" w:name="_Toc422927894"/>
      <w:r>
        <w:t>2.1</w:t>
      </w:r>
      <w:r>
        <w:tab/>
      </w:r>
      <w:r w:rsidR="00F15CAE" w:rsidRPr="00642A5D">
        <w:t>Introduction</w:t>
      </w:r>
      <w:bookmarkEnd w:id="147"/>
      <w:bookmarkEnd w:id="148"/>
      <w:bookmarkEnd w:id="149"/>
      <w:bookmarkEnd w:id="150"/>
      <w:bookmarkEnd w:id="151"/>
      <w:bookmarkEnd w:id="152"/>
    </w:p>
    <w:p w14:paraId="5D618061" w14:textId="04A04480" w:rsidR="00E32FB3" w:rsidRDefault="00E32FB3" w:rsidP="00E32FB3">
      <w:pPr>
        <w:pStyle w:val="Para0"/>
      </w:pPr>
      <w:r w:rsidRPr="0035019E">
        <w:t xml:space="preserve">This </w:t>
      </w:r>
      <w:r>
        <w:t>chapter</w:t>
      </w:r>
      <w:r w:rsidRPr="0035019E">
        <w:t xml:space="preserve"> provides an overview of the geology and the hydrogeology of the </w:t>
      </w:r>
      <w:r w:rsidR="007C4916">
        <w:t>Otway region</w:t>
      </w:r>
      <w:r w:rsidRPr="0035019E">
        <w:t xml:space="preserve"> to present the hydrogeological conceptual model that informs the </w:t>
      </w:r>
      <w:r>
        <w:t>impact</w:t>
      </w:r>
      <w:r w:rsidRPr="0035019E">
        <w:t xml:space="preserve"> assessments.</w:t>
      </w:r>
    </w:p>
    <w:p w14:paraId="1D78FDC2" w14:textId="77777777" w:rsidR="00F15CAE" w:rsidRPr="00642A5D" w:rsidRDefault="00F15CAE" w:rsidP="009D0EEC">
      <w:pPr>
        <w:pStyle w:val="Para0"/>
      </w:pPr>
      <w:r w:rsidRPr="00642A5D">
        <w:t>The hydrogeological model draws on literature</w:t>
      </w:r>
      <w:r w:rsidR="00416CB2" w:rsidRPr="00642A5D">
        <w:t xml:space="preserve"> of </w:t>
      </w:r>
      <w:r w:rsidRPr="00642A5D">
        <w:t xml:space="preserve">groundwater resource management, carbon sequestration and natural gas </w:t>
      </w:r>
      <w:r w:rsidR="00416CB2" w:rsidRPr="00642A5D">
        <w:t>exploration. The conceptual model</w:t>
      </w:r>
      <w:r w:rsidRPr="00642A5D">
        <w:t>:</w:t>
      </w:r>
    </w:p>
    <w:p w14:paraId="45ABC01C" w14:textId="208B6334" w:rsidR="00F15CAE" w:rsidRPr="00642A5D" w:rsidRDefault="00166919" w:rsidP="00166919">
      <w:pPr>
        <w:pStyle w:val="bulletlist0"/>
      </w:pPr>
      <w:r>
        <w:t>•</w:t>
      </w:r>
      <w:r>
        <w:tab/>
      </w:r>
      <w:r w:rsidR="00D91703">
        <w:t>o</w:t>
      </w:r>
      <w:r w:rsidR="00D91703" w:rsidRPr="00642A5D">
        <w:t xml:space="preserve">utlines </w:t>
      </w:r>
      <w:r w:rsidR="00F15CAE" w:rsidRPr="00642A5D">
        <w:t xml:space="preserve">the stratigraphy, onshore gas </w:t>
      </w:r>
      <w:r w:rsidR="00612314" w:rsidRPr="00642A5D">
        <w:t xml:space="preserve">resources </w:t>
      </w:r>
      <w:r w:rsidR="00F15CAE" w:rsidRPr="00642A5D">
        <w:t>(source), key aquifers in the basin and groundwat</w:t>
      </w:r>
      <w:r w:rsidR="00416CB2" w:rsidRPr="00642A5D">
        <w:t>er dependent assets (receptors)</w:t>
      </w:r>
    </w:p>
    <w:p w14:paraId="68F5DAB2" w14:textId="342F3EC7" w:rsidR="00F15CAE" w:rsidRPr="00642A5D" w:rsidRDefault="00166919" w:rsidP="00166919">
      <w:pPr>
        <w:pStyle w:val="bulletlist0"/>
      </w:pPr>
      <w:r>
        <w:t>•</w:t>
      </w:r>
      <w:r>
        <w:tab/>
      </w:r>
      <w:r w:rsidR="00D91703">
        <w:t>d</w:t>
      </w:r>
      <w:r w:rsidR="00D91703" w:rsidRPr="00642A5D">
        <w:t xml:space="preserve">escribes </w:t>
      </w:r>
      <w:r w:rsidR="00F15CAE" w:rsidRPr="00642A5D">
        <w:t xml:space="preserve">in general terms </w:t>
      </w:r>
      <w:r w:rsidR="00416CB2" w:rsidRPr="00642A5D">
        <w:t xml:space="preserve">any </w:t>
      </w:r>
      <w:r w:rsidR="00F15CAE" w:rsidRPr="00642A5D">
        <w:t>potential hydrogeological pathways between the source and receptors</w:t>
      </w:r>
    </w:p>
    <w:p w14:paraId="3AD3C76A" w14:textId="2E153E95" w:rsidR="00F15CAE" w:rsidRPr="00642A5D" w:rsidRDefault="00166919" w:rsidP="00166919">
      <w:pPr>
        <w:pStyle w:val="bulletlist0"/>
      </w:pPr>
      <w:r>
        <w:t>•</w:t>
      </w:r>
      <w:r>
        <w:tab/>
      </w:r>
      <w:r w:rsidR="00D91703">
        <w:t>d</w:t>
      </w:r>
      <w:r w:rsidR="00F15CAE" w:rsidRPr="00642A5D">
        <w:t>efine</w:t>
      </w:r>
      <w:r w:rsidR="00416CB2" w:rsidRPr="00642A5D">
        <w:t>s</w:t>
      </w:r>
      <w:r w:rsidR="00CF723B">
        <w:t xml:space="preserve"> potential low-</w:t>
      </w:r>
      <w:r w:rsidR="00F15CAE" w:rsidRPr="00642A5D">
        <w:t>permeability layers</w:t>
      </w:r>
    </w:p>
    <w:p w14:paraId="699604CC" w14:textId="5A857C6E" w:rsidR="00F15CAE" w:rsidRDefault="00166919" w:rsidP="00166919">
      <w:pPr>
        <w:pStyle w:val="bulletlist0"/>
      </w:pPr>
      <w:r>
        <w:t>•</w:t>
      </w:r>
      <w:r>
        <w:tab/>
      </w:r>
      <w:r w:rsidR="00D91703">
        <w:t>d</w:t>
      </w:r>
      <w:r w:rsidR="00D91703" w:rsidRPr="00642A5D">
        <w:t xml:space="preserve">escribes </w:t>
      </w:r>
      <w:r w:rsidR="00612314" w:rsidRPr="00642A5D">
        <w:t>key</w:t>
      </w:r>
      <w:r w:rsidR="00CF723B">
        <w:t xml:space="preserve"> hydrogeological </w:t>
      </w:r>
      <w:r w:rsidR="00F15CAE" w:rsidRPr="00642A5D">
        <w:t>parameters</w:t>
      </w:r>
    </w:p>
    <w:p w14:paraId="27CF7BB6" w14:textId="402F25A8" w:rsidR="00CF723B" w:rsidRPr="00642A5D" w:rsidRDefault="00166919" w:rsidP="00166919">
      <w:pPr>
        <w:pStyle w:val="bulletlist0"/>
      </w:pPr>
      <w:r>
        <w:t>•</w:t>
      </w:r>
      <w:r>
        <w:tab/>
      </w:r>
      <w:r w:rsidR="00CF723B">
        <w:t>forms the basis of impact assessment from aquifer depressurisation</w:t>
      </w:r>
    </w:p>
    <w:p w14:paraId="3B42F767" w14:textId="1B3B83B4" w:rsidR="00D74648" w:rsidRPr="00642A5D" w:rsidRDefault="00166919" w:rsidP="00166919">
      <w:pPr>
        <w:pStyle w:val="bulletlist0"/>
      </w:pPr>
      <w:r>
        <w:t>•</w:t>
      </w:r>
      <w:r>
        <w:tab/>
      </w:r>
      <w:r w:rsidR="00D91703">
        <w:t>i</w:t>
      </w:r>
      <w:r w:rsidR="00D91703" w:rsidRPr="00642A5D">
        <w:t xml:space="preserve">nforms </w:t>
      </w:r>
      <w:r w:rsidR="00F15CAE" w:rsidRPr="00642A5D">
        <w:t>risk assessment</w:t>
      </w:r>
      <w:r w:rsidR="00612314" w:rsidRPr="00642A5D">
        <w:t>s</w:t>
      </w:r>
      <w:r w:rsidR="00F15CAE" w:rsidRPr="00642A5D">
        <w:t xml:space="preserve"> for hydraulic fracturing, induced seismicity and land subsidence.</w:t>
      </w:r>
    </w:p>
    <w:p w14:paraId="66114171" w14:textId="69B03768" w:rsidR="00F15CAE" w:rsidRPr="00642A5D" w:rsidRDefault="00166919" w:rsidP="007A3E0D">
      <w:pPr>
        <w:pStyle w:val="Head2xx"/>
      </w:pPr>
      <w:bookmarkStart w:id="153" w:name="_Ref409699276"/>
      <w:bookmarkStart w:id="154" w:name="_Toc420568665"/>
      <w:bookmarkStart w:id="155" w:name="_Toc420570247"/>
      <w:bookmarkStart w:id="156" w:name="_Toc420571443"/>
      <w:bookmarkStart w:id="157" w:name="_Toc420572081"/>
      <w:bookmarkStart w:id="158" w:name="_Toc296766936"/>
      <w:bookmarkStart w:id="159" w:name="_Toc422927895"/>
      <w:r>
        <w:t>2.2</w:t>
      </w:r>
      <w:r>
        <w:tab/>
      </w:r>
      <w:r w:rsidR="00F15CAE" w:rsidRPr="00642A5D">
        <w:t>Geology</w:t>
      </w:r>
      <w:bookmarkEnd w:id="153"/>
      <w:bookmarkEnd w:id="154"/>
      <w:bookmarkEnd w:id="155"/>
      <w:bookmarkEnd w:id="156"/>
      <w:bookmarkEnd w:id="157"/>
      <w:bookmarkEnd w:id="158"/>
      <w:bookmarkEnd w:id="159"/>
    </w:p>
    <w:p w14:paraId="3F0882D0" w14:textId="284A78B5" w:rsidR="00F15CAE" w:rsidRPr="00642A5D" w:rsidRDefault="00166919" w:rsidP="007A3E0D">
      <w:pPr>
        <w:pStyle w:val="Head3xxx"/>
        <w:rPr>
          <w:lang w:val="en-AU" w:eastAsia="en-US"/>
        </w:rPr>
      </w:pPr>
      <w:bookmarkStart w:id="160" w:name="_Toc420568666"/>
      <w:bookmarkStart w:id="161" w:name="_Toc420570248"/>
      <w:bookmarkStart w:id="162" w:name="_Toc420571444"/>
      <w:bookmarkStart w:id="163" w:name="_Toc420572082"/>
      <w:bookmarkStart w:id="164" w:name="_Toc296766937"/>
      <w:r>
        <w:rPr>
          <w:lang w:val="en-AU" w:eastAsia="en-US"/>
        </w:rPr>
        <w:t>2.2.1</w:t>
      </w:r>
      <w:r>
        <w:rPr>
          <w:lang w:val="en-AU" w:eastAsia="en-US"/>
        </w:rPr>
        <w:tab/>
      </w:r>
      <w:r w:rsidR="007A3E0D" w:rsidRPr="00642A5D">
        <w:rPr>
          <w:lang w:val="en-AU" w:eastAsia="en-US"/>
        </w:rPr>
        <w:t>Geological and structural setting</w:t>
      </w:r>
      <w:bookmarkEnd w:id="160"/>
      <w:bookmarkEnd w:id="161"/>
      <w:bookmarkEnd w:id="162"/>
      <w:bookmarkEnd w:id="163"/>
      <w:bookmarkEnd w:id="164"/>
    </w:p>
    <w:p w14:paraId="448F3B95" w14:textId="77777777" w:rsidR="007A3E0D" w:rsidRPr="00642A5D" w:rsidRDefault="007A3E0D" w:rsidP="007A3E0D">
      <w:pPr>
        <w:pStyle w:val="Heading4"/>
        <w:rPr>
          <w:lang w:val="en-AU" w:eastAsia="en-US"/>
        </w:rPr>
      </w:pPr>
      <w:r w:rsidRPr="00642A5D">
        <w:rPr>
          <w:lang w:val="en-AU" w:eastAsia="en-US"/>
        </w:rPr>
        <w:t>Basin formation and boundaries</w:t>
      </w:r>
    </w:p>
    <w:p w14:paraId="45ED8AAF" w14:textId="77777777" w:rsidR="007A3E0D" w:rsidRPr="00642A5D" w:rsidRDefault="007A3E0D" w:rsidP="009D0EEC">
      <w:pPr>
        <w:pStyle w:val="Para0"/>
      </w:pPr>
      <w:r w:rsidRPr="00642A5D">
        <w:t>The onshore Otway Basin is a north west – south east orientated basin extending approximately 500 km in length from Cape Jaffa, South Australia, across south west Victoria to Port Phillip Bay (Boult and Hibburt, 2002). The formation of the basin began in the Late Jurassic and Early Cretaceous periods during the initial stages of rifting between Australia and Antarctica throughout the Gondwanan breakup. Deposition throughout the Jurassic, Cretaceous and Tertiary periods has resulted in the accumulation of up to 12 km of sediments.</w:t>
      </w:r>
    </w:p>
    <w:p w14:paraId="44EE4752" w14:textId="4651EC61" w:rsidR="007A3E0D" w:rsidRPr="00642A5D" w:rsidRDefault="007A3E0D" w:rsidP="009D0EEC">
      <w:pPr>
        <w:pStyle w:val="Para0"/>
      </w:pPr>
      <w:r w:rsidRPr="00642A5D">
        <w:t>The eastern margin of the basin is marked by the north–south trending Sorell Fault zone which extends down to the west of Tasmania, while the western margin of the basin is defined by the northeast trending Trumpet Fault in South Australia (Birch, 2003).</w:t>
      </w:r>
    </w:p>
    <w:p w14:paraId="0432F646" w14:textId="77777777" w:rsidR="007A3E0D" w:rsidRPr="00642A5D" w:rsidRDefault="007A3E0D" w:rsidP="009D0EEC">
      <w:pPr>
        <w:pStyle w:val="Para0"/>
      </w:pPr>
      <w:r w:rsidRPr="00642A5D">
        <w:t>The north west margin of the basin is defined by the fault bounded Padthaway Ridge which consists of Palaeozoic volcanics and metasediments, while the remaining northern boundaries of the basin are characterised by a series of east – west trending depositional faults that run sub parallel to the axis of the basin itself. The southern (offshore) margin of the basin is less well defined, extending at least to the break in continental slope.</w:t>
      </w:r>
    </w:p>
    <w:p w14:paraId="5B2BF721" w14:textId="77777777" w:rsidR="007A3E0D" w:rsidRPr="00642A5D" w:rsidRDefault="007A3E0D" w:rsidP="007A3E0D">
      <w:pPr>
        <w:pStyle w:val="Heading4"/>
        <w:rPr>
          <w:lang w:val="en-AU" w:eastAsia="en-US"/>
        </w:rPr>
      </w:pPr>
      <w:r w:rsidRPr="00642A5D">
        <w:rPr>
          <w:lang w:val="en-AU" w:eastAsia="en-US"/>
        </w:rPr>
        <w:t>Major sub-basins and structures</w:t>
      </w:r>
    </w:p>
    <w:p w14:paraId="40B4A16D" w14:textId="4788935D" w:rsidR="007A3E0D" w:rsidRPr="00642A5D" w:rsidRDefault="007A3E0D" w:rsidP="009D0EEC">
      <w:pPr>
        <w:pStyle w:val="Para0"/>
      </w:pPr>
      <w:r w:rsidRPr="00642A5D">
        <w:t>The Otway Basin is divided into four major embayments including the Gambier Embayment, Tyrendarra Embayment, Port Campbell Embayment and the Barwon Downs Embayment (Bush, 2009). These embayments are separated largely by northeast trending highs in the underlying Palaeozoic basement including the Merino High, Lake Con</w:t>
      </w:r>
      <w:r w:rsidR="008B6B4C" w:rsidRPr="00642A5D">
        <w:t>da</w:t>
      </w:r>
      <w:r w:rsidRPr="00642A5D">
        <w:t>h High, Wa</w:t>
      </w:r>
      <w:r w:rsidR="005262E4">
        <w:t>r</w:t>
      </w:r>
      <w:r w:rsidRPr="00642A5D">
        <w:t>rnambool High, Stoneyford High and Barrabool High. These highs have been related to rifting during the Cretaceous period and have been variably eroded at various stages in the basin</w:t>
      </w:r>
      <w:r w:rsidR="00D96796" w:rsidRPr="00642A5D">
        <w:t>’</w:t>
      </w:r>
      <w:r w:rsidRPr="00642A5D">
        <w:t>s history, effectively acting as terrestrial sediment sources for the neighbouring sub-basins (</w:t>
      </w:r>
      <w:r w:rsidR="007569CD" w:rsidRPr="00642A5D">
        <w:fldChar w:fldCharType="begin"/>
      </w:r>
      <w:r w:rsidRPr="00642A5D">
        <w:instrText xml:space="preserve"> REF _Ref402783105 \h </w:instrText>
      </w:r>
      <w:r w:rsidR="00642A5D">
        <w:instrText xml:space="preserve"> \* MERGEFORMAT </w:instrText>
      </w:r>
      <w:r w:rsidR="007569CD" w:rsidRPr="00642A5D">
        <w:fldChar w:fldCharType="separate"/>
      </w:r>
      <w:r w:rsidR="00171A5E" w:rsidRPr="0044128F">
        <w:t xml:space="preserve">Figure </w:t>
      </w:r>
      <w:r w:rsidR="00171A5E">
        <w:rPr>
          <w:noProof/>
        </w:rPr>
        <w:t>4</w:t>
      </w:r>
      <w:r w:rsidR="007569CD" w:rsidRPr="00642A5D">
        <w:fldChar w:fldCharType="end"/>
      </w:r>
      <w:r w:rsidRPr="00642A5D">
        <w:t>).</w:t>
      </w:r>
    </w:p>
    <w:p w14:paraId="6CA1B6C6" w14:textId="77777777" w:rsidR="00964569" w:rsidRPr="00642A5D" w:rsidRDefault="00964569" w:rsidP="00964569">
      <w:pPr>
        <w:pStyle w:val="Para0"/>
      </w:pPr>
      <w:r w:rsidRPr="00642A5D">
        <w:t>Amongst these four major embayments lie a number of sub-basins (troughs) which have acted as major depocentres throughout the development</w:t>
      </w:r>
      <w:r w:rsidR="00D96796" w:rsidRPr="00642A5D">
        <w:t xml:space="preserve"> of the Otway Basin</w:t>
      </w:r>
      <w:r w:rsidRPr="00642A5D">
        <w:t>. These include the Penola Trough, Portland Trough, Colac sub-basin and Torquay sub-basin, amongst others.</w:t>
      </w:r>
    </w:p>
    <w:p w14:paraId="4698B5B9" w14:textId="77777777" w:rsidR="007A3E0D" w:rsidRPr="00642A5D" w:rsidRDefault="007A3E0D" w:rsidP="00E979BC">
      <w:pPr>
        <w:pStyle w:val="figurereturn"/>
        <w:ind w:left="-56"/>
        <w:jc w:val="left"/>
      </w:pPr>
      <w:r w:rsidRPr="00642A5D">
        <w:lastRenderedPageBreak/>
        <w:drawing>
          <wp:inline distT="0" distB="0" distL="0" distR="0" wp14:anchorId="19E16F6B" wp14:editId="78798B48">
            <wp:extent cx="5943600" cy="34302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943600" cy="3430270"/>
                    </a:xfrm>
                    <a:prstGeom prst="rect">
                      <a:avLst/>
                    </a:prstGeom>
                  </pic:spPr>
                </pic:pic>
              </a:graphicData>
            </a:graphic>
          </wp:inline>
        </w:drawing>
      </w:r>
    </w:p>
    <w:p w14:paraId="6B8055C4" w14:textId="5D8A3425" w:rsidR="007A3E0D" w:rsidRPr="00642A5D" w:rsidRDefault="007A3E0D" w:rsidP="00A53AE8">
      <w:pPr>
        <w:pStyle w:val="Figuretitle"/>
      </w:pPr>
      <w:bookmarkStart w:id="165" w:name="_Ref402783105"/>
      <w:bookmarkStart w:id="166" w:name="_Toc422928775"/>
      <w:r w:rsidRPr="0044128F">
        <w:t xml:space="preserve">Figure </w:t>
      </w:r>
      <w:r w:rsidR="007569CD" w:rsidRPr="0044128F">
        <w:fldChar w:fldCharType="begin"/>
      </w:r>
      <w:r w:rsidRPr="0044128F">
        <w:instrText xml:space="preserve"> SEQ Figure \* ARABIC </w:instrText>
      </w:r>
      <w:r w:rsidR="007569CD" w:rsidRPr="0044128F">
        <w:fldChar w:fldCharType="separate"/>
      </w:r>
      <w:r w:rsidR="00171A5E">
        <w:t>4</w:t>
      </w:r>
      <w:r w:rsidR="007569CD" w:rsidRPr="0044128F">
        <w:fldChar w:fldCharType="end"/>
      </w:r>
      <w:bookmarkEnd w:id="165"/>
      <w:r w:rsidR="00F95BE3">
        <w:t>:</w:t>
      </w:r>
      <w:r w:rsidRPr="0044128F">
        <w:t xml:space="preserve"> </w:t>
      </w:r>
      <w:r w:rsidR="00E979BC">
        <w:t xml:space="preserve"> </w:t>
      </w:r>
      <w:r w:rsidRPr="0044128F">
        <w:t>Major</w:t>
      </w:r>
      <w:r w:rsidR="0044128F" w:rsidRPr="0044128F">
        <w:t xml:space="preserve"> structures and sub</w:t>
      </w:r>
      <w:r w:rsidRPr="0044128F">
        <w:t>-basins in the Otway Basin</w:t>
      </w:r>
      <w:r w:rsidR="00E979BC">
        <w:t>.</w:t>
      </w:r>
      <w:r w:rsidRPr="0044128F">
        <w:t xml:space="preserve"> (</w:t>
      </w:r>
      <w:r w:rsidR="00E979BC">
        <w:t>S</w:t>
      </w:r>
      <w:r w:rsidR="00755B17">
        <w:t xml:space="preserve">ource: </w:t>
      </w:r>
      <w:r w:rsidRPr="0044128F">
        <w:t>O</w:t>
      </w:r>
      <w:r w:rsidR="00D96796" w:rsidRPr="0044128F">
        <w:t>’B</w:t>
      </w:r>
      <w:r w:rsidRPr="0044128F">
        <w:t xml:space="preserve">rien </w:t>
      </w:r>
      <w:r w:rsidR="0061023B" w:rsidRPr="0061023B">
        <w:t>et al.</w:t>
      </w:r>
      <w:r w:rsidRPr="0044128F">
        <w:t>, 2009</w:t>
      </w:r>
      <w:r w:rsidR="00E979BC">
        <w:t>.</w:t>
      </w:r>
      <w:r w:rsidRPr="0044128F">
        <w:t>)</w:t>
      </w:r>
      <w:bookmarkEnd w:id="166"/>
    </w:p>
    <w:p w14:paraId="16897C42" w14:textId="4486C874" w:rsidR="00E979BC" w:rsidRPr="00642A5D" w:rsidRDefault="00E979BC" w:rsidP="00E979BC">
      <w:pPr>
        <w:pStyle w:val="Para0"/>
      </w:pPr>
      <w:bookmarkStart w:id="167" w:name="_Ref406597199"/>
      <w:r w:rsidRPr="00642A5D">
        <w:t xml:space="preserve">Most features considered part of the Otway Ranges occur in the Gellibrand Trough </w:t>
      </w:r>
      <w:r>
        <w:t xml:space="preserve">(O’Brien </w:t>
      </w:r>
      <w:r w:rsidRPr="0044128F">
        <w:rPr>
          <w:i/>
        </w:rPr>
        <w:t>et al</w:t>
      </w:r>
      <w:r>
        <w:t xml:space="preserve">, 2009) </w:t>
      </w:r>
      <w:r w:rsidRPr="00642A5D">
        <w:t>and have formed during uplift in the mid-Cretaceous. Further uplift has occurred in the Late Miocene at the Moonlight Head and Barongarook High areas, as well as in the mid-Tertiary throughout the Otway Ranges.</w:t>
      </w:r>
    </w:p>
    <w:p w14:paraId="54EAE9DB" w14:textId="661C428D" w:rsidR="007A3E0D" w:rsidRPr="00642A5D" w:rsidRDefault="00C65CA5" w:rsidP="007A3E0D">
      <w:pPr>
        <w:pStyle w:val="Head3xxx"/>
        <w:rPr>
          <w:lang w:val="en-AU" w:eastAsia="en-US"/>
        </w:rPr>
      </w:pPr>
      <w:bookmarkStart w:id="168" w:name="_Ref418613106"/>
      <w:bookmarkStart w:id="169" w:name="_Toc420568667"/>
      <w:bookmarkStart w:id="170" w:name="_Toc420570249"/>
      <w:bookmarkStart w:id="171" w:name="_Toc420571445"/>
      <w:bookmarkStart w:id="172" w:name="_Toc420572083"/>
      <w:bookmarkStart w:id="173" w:name="_Toc296766938"/>
      <w:r>
        <w:rPr>
          <w:lang w:val="en-AU" w:eastAsia="en-US"/>
        </w:rPr>
        <w:t>2.2.2</w:t>
      </w:r>
      <w:r>
        <w:rPr>
          <w:lang w:val="en-AU" w:eastAsia="en-US"/>
        </w:rPr>
        <w:tab/>
      </w:r>
      <w:r w:rsidR="007A3E0D" w:rsidRPr="00642A5D">
        <w:rPr>
          <w:lang w:val="en-AU" w:eastAsia="en-US"/>
        </w:rPr>
        <w:t>Stratigraphy</w:t>
      </w:r>
      <w:bookmarkEnd w:id="167"/>
      <w:bookmarkEnd w:id="168"/>
      <w:bookmarkEnd w:id="169"/>
      <w:bookmarkEnd w:id="170"/>
      <w:bookmarkEnd w:id="171"/>
      <w:bookmarkEnd w:id="172"/>
      <w:bookmarkEnd w:id="173"/>
    </w:p>
    <w:p w14:paraId="531A545E" w14:textId="77777777" w:rsidR="007A3E0D" w:rsidRPr="00642A5D" w:rsidRDefault="007A3E0D" w:rsidP="009D0EEC">
      <w:pPr>
        <w:pStyle w:val="Para0"/>
      </w:pPr>
      <w:r w:rsidRPr="00642A5D">
        <w:t>The stratigraphy of the Otway Basin can be divided into a series of major successions that overlie the Palaeozoic basement. From oldest to youngest these include:</w:t>
      </w:r>
    </w:p>
    <w:p w14:paraId="342383E0" w14:textId="653201B9" w:rsidR="007A3E0D" w:rsidRPr="006E2990" w:rsidRDefault="00C65CA5" w:rsidP="00C65CA5">
      <w:pPr>
        <w:pStyle w:val="bulletlist0"/>
      </w:pPr>
      <w:r>
        <w:t>•</w:t>
      </w:r>
      <w:r>
        <w:tab/>
      </w:r>
      <w:r w:rsidR="007A3E0D" w:rsidRPr="006E2990">
        <w:t>Casterton Formation</w:t>
      </w:r>
    </w:p>
    <w:p w14:paraId="5186E72A" w14:textId="76D3D0E9" w:rsidR="007A3E0D" w:rsidRPr="00642A5D" w:rsidRDefault="00C65CA5" w:rsidP="00C65CA5">
      <w:pPr>
        <w:pStyle w:val="bulletlist0"/>
      </w:pPr>
      <w:r>
        <w:t>•</w:t>
      </w:r>
      <w:r>
        <w:tab/>
      </w:r>
      <w:r w:rsidR="007A3E0D" w:rsidRPr="00642A5D">
        <w:t xml:space="preserve">Crayfish </w:t>
      </w:r>
      <w:r w:rsidR="00D96796" w:rsidRPr="00642A5D">
        <w:t xml:space="preserve">Subgroup </w:t>
      </w:r>
    </w:p>
    <w:p w14:paraId="3F5F1857" w14:textId="5B634723" w:rsidR="007A3E0D" w:rsidRPr="00642A5D" w:rsidRDefault="00C65CA5" w:rsidP="00C65CA5">
      <w:pPr>
        <w:pStyle w:val="bulletlist0"/>
      </w:pPr>
      <w:r>
        <w:t>•</w:t>
      </w:r>
      <w:r>
        <w:tab/>
      </w:r>
      <w:r w:rsidR="00EA7676" w:rsidRPr="00642A5D">
        <w:t>Eumeralla</w:t>
      </w:r>
      <w:r w:rsidR="007A3E0D" w:rsidRPr="00642A5D">
        <w:t xml:space="preserve"> Formation </w:t>
      </w:r>
    </w:p>
    <w:p w14:paraId="3E359287" w14:textId="310FDBBE" w:rsidR="007A3E0D" w:rsidRPr="00642A5D" w:rsidRDefault="00C65CA5" w:rsidP="00C65CA5">
      <w:pPr>
        <w:pStyle w:val="bulletlist0"/>
      </w:pPr>
      <w:r>
        <w:t>•</w:t>
      </w:r>
      <w:r>
        <w:tab/>
      </w:r>
      <w:r w:rsidR="007A3E0D" w:rsidRPr="00642A5D">
        <w:t>Sherbrook Group</w:t>
      </w:r>
    </w:p>
    <w:p w14:paraId="2843257A" w14:textId="37F28A0A" w:rsidR="007A3E0D" w:rsidRPr="00642A5D" w:rsidRDefault="00C65CA5" w:rsidP="00C65CA5">
      <w:pPr>
        <w:pStyle w:val="bulletlist0"/>
      </w:pPr>
      <w:r>
        <w:t>•</w:t>
      </w:r>
      <w:r>
        <w:tab/>
      </w:r>
      <w:r w:rsidR="007A3E0D" w:rsidRPr="00642A5D">
        <w:t xml:space="preserve">Wangerrip Group </w:t>
      </w:r>
    </w:p>
    <w:p w14:paraId="33018A65" w14:textId="7B4F937F" w:rsidR="007A3E0D" w:rsidRPr="00642A5D" w:rsidRDefault="00C65CA5" w:rsidP="00C65CA5">
      <w:pPr>
        <w:pStyle w:val="bulletlist0"/>
      </w:pPr>
      <w:r>
        <w:t>•</w:t>
      </w:r>
      <w:r>
        <w:tab/>
      </w:r>
      <w:r w:rsidR="007A3E0D" w:rsidRPr="00642A5D">
        <w:t>Nirranda Group</w:t>
      </w:r>
    </w:p>
    <w:p w14:paraId="5D270CB2" w14:textId="5967299C" w:rsidR="007A3E0D" w:rsidRPr="00642A5D" w:rsidRDefault="00C65CA5" w:rsidP="00C65CA5">
      <w:pPr>
        <w:pStyle w:val="bulletlist0"/>
      </w:pPr>
      <w:r>
        <w:t>•</w:t>
      </w:r>
      <w:r>
        <w:tab/>
      </w:r>
      <w:r w:rsidR="007A3E0D" w:rsidRPr="00642A5D">
        <w:t>Heytesbury Group</w:t>
      </w:r>
    </w:p>
    <w:p w14:paraId="3E1EF7DC" w14:textId="26947A8B" w:rsidR="007A3E0D" w:rsidRPr="00642A5D" w:rsidRDefault="00C65CA5" w:rsidP="00C65CA5">
      <w:pPr>
        <w:pStyle w:val="bulletlist0"/>
      </w:pPr>
      <w:r>
        <w:t>•</w:t>
      </w:r>
      <w:r>
        <w:tab/>
      </w:r>
      <w:r w:rsidR="007A3E0D" w:rsidRPr="00642A5D">
        <w:t>Late Tertiary Sediments</w:t>
      </w:r>
    </w:p>
    <w:p w14:paraId="45177BAD" w14:textId="7496B03A" w:rsidR="007A3E0D" w:rsidRPr="00642A5D" w:rsidRDefault="00C65CA5" w:rsidP="00C65CA5">
      <w:pPr>
        <w:pStyle w:val="bulletlist0"/>
      </w:pPr>
      <w:r>
        <w:t>•</w:t>
      </w:r>
      <w:r>
        <w:tab/>
      </w:r>
      <w:r w:rsidR="007A3E0D" w:rsidRPr="00642A5D">
        <w:t>Newer Volcanics</w:t>
      </w:r>
    </w:p>
    <w:p w14:paraId="30F08400" w14:textId="228F4614" w:rsidR="007A3E0D" w:rsidRPr="00642A5D" w:rsidRDefault="00C65CA5" w:rsidP="00C65CA5">
      <w:pPr>
        <w:pStyle w:val="bulletlist0"/>
      </w:pPr>
      <w:r>
        <w:t>•</w:t>
      </w:r>
      <w:r>
        <w:tab/>
      </w:r>
      <w:r w:rsidR="007A3E0D" w:rsidRPr="00642A5D">
        <w:t>Quaternary sediments</w:t>
      </w:r>
      <w:r w:rsidR="001209D3">
        <w:t>.</w:t>
      </w:r>
    </w:p>
    <w:p w14:paraId="1604B9E9" w14:textId="19FF55B9" w:rsidR="007A3E0D" w:rsidRDefault="007A3E0D" w:rsidP="00FC7512">
      <w:pPr>
        <w:pStyle w:val="Para0"/>
      </w:pPr>
      <w:r w:rsidRPr="001B0814">
        <w:rPr>
          <w:rFonts w:eastAsia="Times New Roman" w:cs="Times New Roman"/>
          <w:szCs w:val="20"/>
          <w:lang w:val="en-GB" w:eastAsia="en-AU"/>
        </w:rPr>
        <w:t xml:space="preserve">The stratigraphic relationships between these units and their constituents are illustrated in </w:t>
      </w:r>
      <w:r w:rsidR="007569CD" w:rsidRPr="001B0814">
        <w:rPr>
          <w:rFonts w:eastAsia="Times New Roman" w:cs="Times New Roman"/>
          <w:szCs w:val="20"/>
          <w:lang w:val="en-GB" w:eastAsia="en-AU"/>
        </w:rPr>
        <w:fldChar w:fldCharType="begin"/>
      </w:r>
      <w:r w:rsidRPr="001B0814">
        <w:rPr>
          <w:rFonts w:eastAsia="Times New Roman" w:cs="Times New Roman"/>
          <w:szCs w:val="20"/>
          <w:lang w:val="en-GB" w:eastAsia="en-AU"/>
        </w:rPr>
        <w:instrText xml:space="preserve"> REF _Ref403373930 \h </w:instrText>
      </w:r>
      <w:r w:rsidR="00642A5D" w:rsidRPr="001B0814">
        <w:rPr>
          <w:rFonts w:eastAsia="Times New Roman" w:cs="Times New Roman"/>
          <w:szCs w:val="20"/>
          <w:lang w:val="en-GB" w:eastAsia="en-AU"/>
        </w:rPr>
        <w:instrText xml:space="preserve"> \* MERGEFORMAT </w:instrText>
      </w:r>
      <w:r w:rsidR="007569CD" w:rsidRPr="001B0814">
        <w:rPr>
          <w:rFonts w:eastAsia="Times New Roman" w:cs="Times New Roman"/>
          <w:szCs w:val="20"/>
          <w:lang w:val="en-GB" w:eastAsia="en-AU"/>
        </w:rPr>
      </w:r>
      <w:r w:rsidR="007569CD" w:rsidRPr="001B0814">
        <w:rPr>
          <w:rFonts w:eastAsia="Times New Roman" w:cs="Times New Roman"/>
          <w:szCs w:val="20"/>
          <w:lang w:val="en-GB" w:eastAsia="en-AU"/>
        </w:rPr>
        <w:fldChar w:fldCharType="separate"/>
      </w:r>
      <w:r w:rsidR="00171A5E" w:rsidRPr="00171A5E">
        <w:rPr>
          <w:rFonts w:eastAsia="Times New Roman" w:cs="Times New Roman"/>
          <w:szCs w:val="20"/>
          <w:lang w:val="en-GB" w:eastAsia="en-AU"/>
        </w:rPr>
        <w:t>Figure 5</w:t>
      </w:r>
      <w:r w:rsidR="007569CD" w:rsidRPr="001B0814">
        <w:rPr>
          <w:rFonts w:eastAsia="Times New Roman" w:cs="Times New Roman"/>
          <w:szCs w:val="20"/>
          <w:lang w:val="en-GB" w:eastAsia="en-AU"/>
        </w:rPr>
        <w:fldChar w:fldCharType="end"/>
      </w:r>
      <w:r w:rsidRPr="001B0814">
        <w:rPr>
          <w:rFonts w:eastAsia="Times New Roman" w:cs="Times New Roman"/>
          <w:szCs w:val="20"/>
          <w:lang w:val="en-GB" w:eastAsia="en-AU"/>
        </w:rPr>
        <w:t>. The major successions listed above are overlain by Quaternary aeolian, lacustrine, fluvial and alluvial sediments. The deposition of these sediments is driven by local processes which are highly variable and as such, their distribution and lithofacies are highly variable throughout the basin</w:t>
      </w:r>
      <w:r w:rsidR="009D0EEC" w:rsidRPr="00642A5D">
        <w:t>.</w:t>
      </w:r>
    </w:p>
    <w:p w14:paraId="45BB0ED9" w14:textId="77777777" w:rsidR="00E979BC" w:rsidRPr="00642A5D" w:rsidRDefault="00E979BC" w:rsidP="00FC7512">
      <w:pPr>
        <w:pStyle w:val="Para0"/>
      </w:pPr>
    </w:p>
    <w:p w14:paraId="639408B0" w14:textId="77777777" w:rsidR="00E979BC" w:rsidRPr="00380D21" w:rsidRDefault="00E979BC" w:rsidP="00380D21">
      <w:pPr>
        <w:pStyle w:val="figurereturn"/>
      </w:pPr>
      <w:r w:rsidRPr="00642A5D">
        <w:lastRenderedPageBreak/>
        <w:drawing>
          <wp:inline distT="0" distB="0" distL="0" distR="0" wp14:anchorId="4063AE87" wp14:editId="69E13952">
            <wp:extent cx="5943600" cy="60667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943600" cy="6066790"/>
                    </a:xfrm>
                    <a:prstGeom prst="rect">
                      <a:avLst/>
                    </a:prstGeom>
                  </pic:spPr>
                </pic:pic>
              </a:graphicData>
            </a:graphic>
          </wp:inline>
        </w:drawing>
      </w:r>
    </w:p>
    <w:p w14:paraId="411E3F00" w14:textId="73884B5B" w:rsidR="00E979BC" w:rsidRDefault="00E979BC" w:rsidP="00A53AE8">
      <w:pPr>
        <w:pStyle w:val="Figuretitle"/>
      </w:pPr>
      <w:bookmarkStart w:id="174" w:name="_Ref403373930"/>
      <w:bookmarkStart w:id="175" w:name="_Ref403032382"/>
      <w:bookmarkStart w:id="176" w:name="_Toc422928776"/>
      <w:r w:rsidRPr="00642A5D">
        <w:t xml:space="preserve">Figure </w:t>
      </w:r>
      <w:r w:rsidRPr="00642A5D">
        <w:fldChar w:fldCharType="begin"/>
      </w:r>
      <w:r w:rsidRPr="00642A5D">
        <w:instrText xml:space="preserve"> SEQ Figure \* ARABIC </w:instrText>
      </w:r>
      <w:r w:rsidRPr="00642A5D">
        <w:fldChar w:fldCharType="separate"/>
      </w:r>
      <w:r w:rsidR="00171A5E">
        <w:t>5</w:t>
      </w:r>
      <w:r w:rsidRPr="00642A5D">
        <w:fldChar w:fldCharType="end"/>
      </w:r>
      <w:bookmarkEnd w:id="174"/>
      <w:r>
        <w:t>:</w:t>
      </w:r>
      <w:r w:rsidRPr="00642A5D">
        <w:t xml:space="preserve"> </w:t>
      </w:r>
      <w:r w:rsidR="00657D41">
        <w:t xml:space="preserve"> </w:t>
      </w:r>
      <w:r w:rsidRPr="00642A5D">
        <w:t>Stratigraphy of the Otway Basin</w:t>
      </w:r>
      <w:r w:rsidR="00657D41">
        <w:t>.</w:t>
      </w:r>
      <w:r w:rsidRPr="00642A5D">
        <w:t xml:space="preserve"> (</w:t>
      </w:r>
      <w:r w:rsidR="00657D41">
        <w:t>S</w:t>
      </w:r>
      <w:r>
        <w:t xml:space="preserve">ource: </w:t>
      </w:r>
      <w:r w:rsidRPr="00642A5D">
        <w:t>O</w:t>
      </w:r>
      <w:r>
        <w:t>’ B</w:t>
      </w:r>
      <w:r w:rsidRPr="00642A5D">
        <w:t>rien</w:t>
      </w:r>
      <w:r>
        <w:t xml:space="preserve"> et al</w:t>
      </w:r>
      <w:r w:rsidRPr="00642A5D">
        <w:t>, 2009</w:t>
      </w:r>
      <w:r w:rsidR="00657D41">
        <w:t>.</w:t>
      </w:r>
      <w:r w:rsidRPr="00642A5D">
        <w:t>)</w:t>
      </w:r>
      <w:bookmarkEnd w:id="175"/>
      <w:bookmarkEnd w:id="176"/>
    </w:p>
    <w:p w14:paraId="4E5CE52D" w14:textId="77777777" w:rsidR="007A3E0D" w:rsidRPr="00642A5D" w:rsidRDefault="007A3E0D" w:rsidP="00380D21">
      <w:pPr>
        <w:pStyle w:val="Heading4"/>
        <w:rPr>
          <w:lang w:val="en-AU" w:eastAsia="en-US"/>
        </w:rPr>
      </w:pPr>
      <w:r w:rsidRPr="001B0814">
        <w:t>Casterton Formation</w:t>
      </w:r>
    </w:p>
    <w:p w14:paraId="5CD0DEC4" w14:textId="333DEBBE" w:rsidR="007A3E0D" w:rsidRPr="00642A5D" w:rsidRDefault="007A3E0D" w:rsidP="00380D21">
      <w:r w:rsidRPr="001B0814">
        <w:t>The Casterton Formation is characterised by lacustrine carbonaceous shales in the western part of the Otway Basin while in Victoria, it also includes basaltic volcanics and non</w:t>
      </w:r>
      <w:r w:rsidR="0044128F">
        <w:t>-</w:t>
      </w:r>
      <w:r w:rsidRPr="001B0814">
        <w:t>marine sandstones and shales. The extent of the formation is largely restricted to the Penola Trough in South Australia and the Tyrendarra Embayment in Victoria. The formation has a maximum known thickness of 230 m</w:t>
      </w:r>
      <w:r w:rsidR="0034003E">
        <w:t>,</w:t>
      </w:r>
      <w:r w:rsidRPr="001B0814">
        <w:t xml:space="preserve"> occurring from 2220 to 2450 m depth (Birch, 2003). Outcropping sections of this formation are limited to the northern margin of the Otway Basin near Coleraine in western Victoria</w:t>
      </w:r>
      <w:r w:rsidRPr="00642A5D">
        <w:t>.</w:t>
      </w:r>
    </w:p>
    <w:p w14:paraId="2535C0EB" w14:textId="77777777" w:rsidR="00E979BC" w:rsidRDefault="00E979BC">
      <w:pPr>
        <w:spacing w:after="200"/>
        <w:rPr>
          <w:b/>
        </w:rPr>
      </w:pPr>
      <w:r>
        <w:br w:type="page"/>
      </w:r>
    </w:p>
    <w:p w14:paraId="53FEE2DD" w14:textId="0F1B4BC0" w:rsidR="007A3E0D" w:rsidRPr="00FC7512" w:rsidRDefault="007A3E0D" w:rsidP="00380D21">
      <w:pPr>
        <w:pStyle w:val="Heading4"/>
      </w:pPr>
      <w:r w:rsidRPr="00FC7512">
        <w:lastRenderedPageBreak/>
        <w:t xml:space="preserve">Crayfish </w:t>
      </w:r>
      <w:r w:rsidR="00D96796" w:rsidRPr="00FC7512">
        <w:t>Subg</w:t>
      </w:r>
      <w:r w:rsidRPr="00FC7512">
        <w:t>roup</w:t>
      </w:r>
    </w:p>
    <w:p w14:paraId="74521412" w14:textId="66749A1E" w:rsidR="007A3E0D" w:rsidRPr="00FC7512" w:rsidRDefault="007A3E0D" w:rsidP="00380D21">
      <w:r w:rsidRPr="00FC7512">
        <w:t xml:space="preserve">The Crayfish </w:t>
      </w:r>
      <w:r w:rsidR="00D96796" w:rsidRPr="00FC7512">
        <w:t>Subg</w:t>
      </w:r>
      <w:r w:rsidRPr="00FC7512">
        <w:t>roup</w:t>
      </w:r>
      <w:r w:rsidR="0044128F">
        <w:t xml:space="preserve"> consists </w:t>
      </w:r>
      <w:r w:rsidRPr="00FC7512">
        <w:t>of sedimentary successions up to 5</w:t>
      </w:r>
      <w:r w:rsidR="0034003E">
        <w:t>000 m thick</w:t>
      </w:r>
      <w:r w:rsidRPr="00FC7512">
        <w:t xml:space="preserve">. These include alluvial and fluvial quartz rich sandstones and mudstones that were deposited in half grabens and were derived largely form the underlying basement margins. The distribution of the Crayfish </w:t>
      </w:r>
      <w:r w:rsidR="00D96796" w:rsidRPr="00FC7512">
        <w:t>Subg</w:t>
      </w:r>
      <w:r w:rsidRPr="00FC7512">
        <w:t xml:space="preserve">roup in these major depocentres is illustrated in </w:t>
      </w:r>
      <w:r w:rsidR="007569CD" w:rsidRPr="00FC7512">
        <w:fldChar w:fldCharType="begin"/>
      </w:r>
      <w:r w:rsidRPr="00FC7512">
        <w:instrText xml:space="preserve"> REF _Ref403377841 \h </w:instrText>
      </w:r>
      <w:r w:rsidR="00642A5D" w:rsidRPr="00FC7512">
        <w:instrText xml:space="preserve"> \* MERGEFORMAT </w:instrText>
      </w:r>
      <w:r w:rsidR="007569CD" w:rsidRPr="00FC7512">
        <w:fldChar w:fldCharType="separate"/>
      </w:r>
      <w:r w:rsidR="00171A5E" w:rsidRPr="00642A5D">
        <w:t xml:space="preserve">Figure </w:t>
      </w:r>
      <w:r w:rsidR="00171A5E">
        <w:t>6</w:t>
      </w:r>
      <w:r w:rsidR="007569CD" w:rsidRPr="00FC7512">
        <w:fldChar w:fldCharType="end"/>
      </w:r>
      <w:r w:rsidRPr="00FC7512">
        <w:t>. The group consist</w:t>
      </w:r>
      <w:r w:rsidR="00A76D25">
        <w:t>s</w:t>
      </w:r>
      <w:r w:rsidRPr="00FC7512">
        <w:t xml:space="preserve"> of three formations</w:t>
      </w:r>
      <w:r w:rsidR="00E979BC">
        <w:t>,</w:t>
      </w:r>
      <w:r w:rsidRPr="00FC7512">
        <w:t xml:space="preserve"> including: </w:t>
      </w:r>
    </w:p>
    <w:p w14:paraId="0BD8E3F0" w14:textId="038E14A8" w:rsidR="007A3E0D" w:rsidRPr="00642A5D" w:rsidRDefault="008048BB" w:rsidP="008048BB">
      <w:pPr>
        <w:pStyle w:val="bulletlist0"/>
      </w:pPr>
      <w:r>
        <w:t>•</w:t>
      </w:r>
      <w:r>
        <w:tab/>
      </w:r>
      <w:r w:rsidR="007A3E0D" w:rsidRPr="00642A5D">
        <w:t>Pretty Hill Formation</w:t>
      </w:r>
    </w:p>
    <w:p w14:paraId="1AAD2929" w14:textId="0DA116AE" w:rsidR="007A3E0D" w:rsidRPr="00642A5D" w:rsidRDefault="008048BB" w:rsidP="008048BB">
      <w:pPr>
        <w:pStyle w:val="bulletlist0"/>
      </w:pPr>
      <w:r>
        <w:t>•</w:t>
      </w:r>
      <w:r>
        <w:tab/>
      </w:r>
      <w:r w:rsidR="007A3E0D" w:rsidRPr="00642A5D">
        <w:t>Laira Formation</w:t>
      </w:r>
    </w:p>
    <w:p w14:paraId="0010BB80" w14:textId="5B48A9A5" w:rsidR="007A3E0D" w:rsidRPr="00642A5D" w:rsidRDefault="008048BB" w:rsidP="008048BB">
      <w:pPr>
        <w:pStyle w:val="bulletlist0"/>
      </w:pPr>
      <w:r>
        <w:t>•</w:t>
      </w:r>
      <w:r>
        <w:tab/>
      </w:r>
      <w:r w:rsidR="007A3E0D" w:rsidRPr="00642A5D">
        <w:t>Katnook Sandstone</w:t>
      </w:r>
      <w:r w:rsidR="00CA4970">
        <w:t>.</w:t>
      </w:r>
    </w:p>
    <w:p w14:paraId="1CF5DA6B" w14:textId="5C12B82C" w:rsidR="007A3E0D" w:rsidRDefault="007A3E0D">
      <w:pPr>
        <w:pStyle w:val="Para0bullet"/>
      </w:pPr>
      <w:r w:rsidRPr="00642A5D">
        <w:t>The L</w:t>
      </w:r>
      <w:r w:rsidR="005C615C" w:rsidRPr="00642A5D">
        <w:t>ai</w:t>
      </w:r>
      <w:r w:rsidRPr="00642A5D">
        <w:t xml:space="preserve">ra Formation and Katnook Sandstone </w:t>
      </w:r>
      <w:r w:rsidR="00E979BC" w:rsidRPr="00642A5D">
        <w:t>overl</w:t>
      </w:r>
      <w:r w:rsidR="00E979BC">
        <w:t>ie</w:t>
      </w:r>
      <w:r w:rsidR="00E979BC" w:rsidRPr="00642A5D">
        <w:t xml:space="preserve"> </w:t>
      </w:r>
      <w:r w:rsidRPr="00642A5D">
        <w:t>the Pretty Hill Formation</w:t>
      </w:r>
      <w:r w:rsidR="0034003E">
        <w:t>. They</w:t>
      </w:r>
      <w:r w:rsidRPr="00642A5D">
        <w:t xml:space="preserve"> are </w:t>
      </w:r>
      <w:r w:rsidR="0034003E">
        <w:t xml:space="preserve">treated as </w:t>
      </w:r>
      <w:r w:rsidRPr="00642A5D">
        <w:t>separate units in South Australia but are not differentiated in Victoria.</w:t>
      </w:r>
      <w:r w:rsidR="009A72C5">
        <w:t xml:space="preserve"> </w:t>
      </w:r>
      <w:r w:rsidRPr="00642A5D">
        <w:t xml:space="preserve">The Laira Formation is restricted </w:t>
      </w:r>
      <w:r w:rsidR="0034003E" w:rsidRPr="00642A5D">
        <w:t xml:space="preserve">largely </w:t>
      </w:r>
      <w:r w:rsidRPr="00642A5D">
        <w:t>to the Penola Trough and consists of grey and green siltstones and claystones interbedded with minor finer</w:t>
      </w:r>
      <w:r w:rsidR="0034003E">
        <w:t>-</w:t>
      </w:r>
      <w:r w:rsidRPr="00642A5D">
        <w:t>grained sandstones. The Katnook Sandstone is largely restricted to the area around Katnook in the west of the basin and is characterised by grey, medium</w:t>
      </w:r>
      <w:r w:rsidR="0034003E">
        <w:t>-</w:t>
      </w:r>
      <w:r w:rsidRPr="00642A5D">
        <w:t>grained quartzose sandstones.</w:t>
      </w:r>
    </w:p>
    <w:p w14:paraId="7D921FFD" w14:textId="77777777" w:rsidR="00BC28A7" w:rsidRPr="00642A5D" w:rsidRDefault="00BC28A7" w:rsidP="00A53AE8">
      <w:pPr>
        <w:pStyle w:val="Figuretitle"/>
      </w:pPr>
    </w:p>
    <w:p w14:paraId="69E2204C" w14:textId="77777777" w:rsidR="00BC28A7" w:rsidRPr="00380D21" w:rsidRDefault="00BC28A7" w:rsidP="00380D21">
      <w:pPr>
        <w:pStyle w:val="figurereturn"/>
      </w:pPr>
      <w:r w:rsidRPr="00642A5D">
        <w:drawing>
          <wp:inline distT="0" distB="0" distL="0" distR="0" wp14:anchorId="0452A658" wp14:editId="0060FBD9">
            <wp:extent cx="5943600" cy="3223260"/>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3223260"/>
                    </a:xfrm>
                    <a:prstGeom prst="rect">
                      <a:avLst/>
                    </a:prstGeom>
                  </pic:spPr>
                </pic:pic>
              </a:graphicData>
            </a:graphic>
          </wp:inline>
        </w:drawing>
      </w:r>
    </w:p>
    <w:p w14:paraId="22FDF953" w14:textId="4B573B23" w:rsidR="00BC28A7" w:rsidRDefault="00BC28A7" w:rsidP="00380D21">
      <w:pPr>
        <w:pStyle w:val="Figuretitle"/>
      </w:pPr>
      <w:bookmarkStart w:id="177" w:name="_Ref403377841"/>
      <w:bookmarkStart w:id="178" w:name="_Toc422928777"/>
      <w:r w:rsidRPr="00642A5D">
        <w:t xml:space="preserve">Figure </w:t>
      </w:r>
      <w:r w:rsidRPr="00642A5D">
        <w:fldChar w:fldCharType="begin"/>
      </w:r>
      <w:r w:rsidRPr="00642A5D">
        <w:instrText xml:space="preserve"> SEQ Figure \* ARABIC </w:instrText>
      </w:r>
      <w:r w:rsidRPr="00642A5D">
        <w:fldChar w:fldCharType="separate"/>
      </w:r>
      <w:r w:rsidR="00171A5E">
        <w:t>6</w:t>
      </w:r>
      <w:r w:rsidRPr="00642A5D">
        <w:fldChar w:fldCharType="end"/>
      </w:r>
      <w:bookmarkEnd w:id="177"/>
      <w:r>
        <w:t>:</w:t>
      </w:r>
      <w:r w:rsidRPr="00642A5D">
        <w:t xml:space="preserve"> </w:t>
      </w:r>
      <w:r>
        <w:t xml:space="preserve"> </w:t>
      </w:r>
      <w:r w:rsidRPr="00642A5D">
        <w:t>Distribution of Crayfish Group, Eumeralla Formation and Tertiary sediment outcrop</w:t>
      </w:r>
      <w:r>
        <w:t>.</w:t>
      </w:r>
      <w:r w:rsidRPr="00642A5D">
        <w:t xml:space="preserve"> </w:t>
      </w:r>
      <w:r w:rsidR="00380D21">
        <w:br/>
      </w:r>
      <w:r w:rsidRPr="00642A5D">
        <w:t>(</w:t>
      </w:r>
      <w:r>
        <w:t xml:space="preserve">Source: </w:t>
      </w:r>
      <w:r w:rsidRPr="00642A5D">
        <w:t>Birch, 2003</w:t>
      </w:r>
      <w:r>
        <w:t>.</w:t>
      </w:r>
      <w:r w:rsidRPr="00642A5D">
        <w:t>)</w:t>
      </w:r>
      <w:bookmarkEnd w:id="178"/>
    </w:p>
    <w:p w14:paraId="2FF4D65B" w14:textId="77777777" w:rsidR="00E979BC" w:rsidRPr="003B57AB" w:rsidRDefault="00E979BC" w:rsidP="00380D21">
      <w:pPr>
        <w:pStyle w:val="Heading4"/>
      </w:pPr>
      <w:r w:rsidRPr="003B57AB">
        <w:t>Eumeralla Formation</w:t>
      </w:r>
    </w:p>
    <w:p w14:paraId="5ED01ED6" w14:textId="184AF01A" w:rsidR="00E979BC" w:rsidRPr="003B57AB" w:rsidRDefault="00E979BC" w:rsidP="00380D21">
      <w:r w:rsidRPr="003B57AB">
        <w:t xml:space="preserve">The Eumeralla Formation overlies the Crayfish Subgroup. It is the thickest and most homogeneous unit in the Otway Basin </w:t>
      </w:r>
      <w:r w:rsidR="0034003E">
        <w:t>above</w:t>
      </w:r>
      <w:r w:rsidRPr="003B57AB">
        <w:t xml:space="preserve"> the Pal</w:t>
      </w:r>
      <w:r w:rsidRPr="00380D21">
        <w:t>a</w:t>
      </w:r>
      <w:r w:rsidRPr="003B57AB">
        <w:t>eozoic basement. The formation is dominated by channel deposits consisting of equal volumes of coarse sandstones, fine sandstones, mudstones and shales, with thin coal seam deposits found in paleo-levee and floodplain settings. The sediments are generally quartz</w:t>
      </w:r>
      <w:r w:rsidR="0034003E">
        <w:t>-</w:t>
      </w:r>
      <w:r w:rsidRPr="003B57AB">
        <w:t xml:space="preserve">poor and </w:t>
      </w:r>
      <w:r w:rsidR="0034003E">
        <w:t xml:space="preserve">are </w:t>
      </w:r>
      <w:r w:rsidRPr="003B57AB">
        <w:t xml:space="preserve">associated with basaltic volcanism that was active during deposition. The Windermere Sandstone occurs at the base of the Eumeralla Formation and is distinctive as a quartzose sandstone (Birch, 2003). The Killara </w:t>
      </w:r>
      <w:r w:rsidR="0034003E">
        <w:t>c</w:t>
      </w:r>
      <w:r w:rsidRPr="003B57AB">
        <w:t xml:space="preserve">oal </w:t>
      </w:r>
      <w:r w:rsidR="0034003E">
        <w:t>m</w:t>
      </w:r>
      <w:r w:rsidRPr="003B57AB">
        <w:t>easures also occur at the base of the Eumeralla Formation in discrete areas. The coals are thin and not widespread.</w:t>
      </w:r>
    </w:p>
    <w:p w14:paraId="602415B7" w14:textId="77777777" w:rsidR="00650989" w:rsidRDefault="00650989">
      <w:pPr>
        <w:spacing w:after="200"/>
      </w:pPr>
      <w:r>
        <w:br w:type="page"/>
      </w:r>
    </w:p>
    <w:p w14:paraId="713BDBA8" w14:textId="772B5934" w:rsidR="00E979BC" w:rsidRPr="003B57AB" w:rsidRDefault="00E979BC" w:rsidP="00E979BC">
      <w:pPr>
        <w:pStyle w:val="Para0"/>
        <w:spacing w:before="120"/>
        <w:rPr>
          <w:rFonts w:eastAsia="Times New Roman" w:cs="Times New Roman"/>
          <w:szCs w:val="20"/>
          <w:lang w:val="en-GB" w:eastAsia="en-AU"/>
        </w:rPr>
      </w:pPr>
      <w:r w:rsidRPr="003B57AB">
        <w:rPr>
          <w:rFonts w:eastAsia="Times New Roman" w:cs="Times New Roman"/>
          <w:szCs w:val="20"/>
          <w:lang w:val="en-GB" w:eastAsia="en-AU"/>
        </w:rPr>
        <w:lastRenderedPageBreak/>
        <w:t>The Eumeralla Formation occurs throughout the subsurface of the entire onshore part of the basin and outcrops at the Merino High, Otway Ranges and Barrabool High (</w:t>
      </w:r>
      <w:r w:rsidRPr="003B57AB">
        <w:rPr>
          <w:rFonts w:eastAsia="Times New Roman" w:cs="Times New Roman"/>
          <w:szCs w:val="20"/>
          <w:lang w:val="en-GB" w:eastAsia="en-AU"/>
        </w:rPr>
        <w:fldChar w:fldCharType="begin"/>
      </w:r>
      <w:r w:rsidRPr="003B57AB">
        <w:rPr>
          <w:rFonts w:eastAsia="Times New Roman" w:cs="Times New Roman"/>
          <w:szCs w:val="20"/>
          <w:lang w:val="en-GB" w:eastAsia="en-AU"/>
        </w:rPr>
        <w:instrText xml:space="preserve"> REF _Ref402783105 \h  \* MERGEFORMAT </w:instrText>
      </w:r>
      <w:r w:rsidRPr="003B57AB">
        <w:rPr>
          <w:rFonts w:eastAsia="Times New Roman" w:cs="Times New Roman"/>
          <w:szCs w:val="20"/>
          <w:lang w:val="en-GB" w:eastAsia="en-AU"/>
        </w:rPr>
      </w:r>
      <w:r w:rsidRPr="003B57AB">
        <w:rPr>
          <w:rFonts w:eastAsia="Times New Roman" w:cs="Times New Roman"/>
          <w:szCs w:val="20"/>
          <w:lang w:val="en-GB" w:eastAsia="en-AU"/>
        </w:rPr>
        <w:fldChar w:fldCharType="separate"/>
      </w:r>
      <w:r w:rsidR="00171A5E" w:rsidRPr="00171A5E">
        <w:rPr>
          <w:rFonts w:eastAsia="Times New Roman" w:cs="Times New Roman"/>
          <w:szCs w:val="20"/>
          <w:lang w:val="en-GB" w:eastAsia="en-AU"/>
        </w:rPr>
        <w:t>Figure 4</w:t>
      </w:r>
      <w:r w:rsidRPr="003B57AB">
        <w:rPr>
          <w:rFonts w:eastAsia="Times New Roman" w:cs="Times New Roman"/>
          <w:szCs w:val="20"/>
          <w:lang w:val="en-GB" w:eastAsia="en-AU"/>
        </w:rPr>
        <w:fldChar w:fldCharType="end"/>
      </w:r>
      <w:r w:rsidRPr="003B57AB">
        <w:rPr>
          <w:rFonts w:eastAsia="Times New Roman" w:cs="Times New Roman"/>
          <w:szCs w:val="20"/>
          <w:lang w:val="en-GB" w:eastAsia="en-AU"/>
        </w:rPr>
        <w:t>). Throughout the majority of the basin, drill logs suggest a relatively uniform thickness ranging between 15</w:t>
      </w:r>
      <w:r w:rsidR="0051770D">
        <w:rPr>
          <w:rFonts w:eastAsia="Times New Roman" w:cs="Times New Roman"/>
          <w:szCs w:val="20"/>
          <w:lang w:val="en-GB" w:eastAsia="en-AU"/>
        </w:rPr>
        <w:t>00</w:t>
      </w:r>
      <w:r w:rsidRPr="003B57AB">
        <w:rPr>
          <w:rFonts w:eastAsia="Times New Roman" w:cs="Times New Roman"/>
          <w:szCs w:val="20"/>
          <w:lang w:val="en-GB" w:eastAsia="en-AU"/>
        </w:rPr>
        <w:t xml:space="preserve"> and 3</w:t>
      </w:r>
      <w:r w:rsidR="0051770D">
        <w:rPr>
          <w:rFonts w:eastAsia="Times New Roman" w:cs="Times New Roman"/>
          <w:szCs w:val="20"/>
          <w:lang w:val="en-GB" w:eastAsia="en-AU"/>
        </w:rPr>
        <w:t>000</w:t>
      </w:r>
      <w:r w:rsidRPr="003B57AB">
        <w:rPr>
          <w:rFonts w:eastAsia="Times New Roman" w:cs="Times New Roman"/>
          <w:szCs w:val="20"/>
          <w:lang w:val="en-GB" w:eastAsia="en-AU"/>
        </w:rPr>
        <w:t xml:space="preserve"> m. Thicker sections have been interpreted from reconstructions based on eroded outcrops in the Otway Ranges.</w:t>
      </w:r>
    </w:p>
    <w:p w14:paraId="51611475" w14:textId="77777777" w:rsidR="00E979BC" w:rsidRPr="001B0814" w:rsidRDefault="00E979BC" w:rsidP="00380D21">
      <w:pPr>
        <w:pStyle w:val="Heading4"/>
      </w:pPr>
      <w:r w:rsidRPr="001B0814">
        <w:t>Sherbrook Group</w:t>
      </w:r>
    </w:p>
    <w:p w14:paraId="75DA220F" w14:textId="61EEE64B" w:rsidR="00E979BC" w:rsidRPr="00E979BC" w:rsidRDefault="00E979BC" w:rsidP="00380D21">
      <w:r w:rsidRPr="001B0814">
        <w:t xml:space="preserve">The Sherbrook Group is present within approximately 50 km of the current coastline, increasing in thickness towards the offshore parts of the basin. The group is absent from the onshore part of the basin to the east of the Otway Ranges and thins towards the Merino High before thickening in the Penola Trough. </w:t>
      </w:r>
      <w:r w:rsidRPr="00642A5D">
        <w:t>The geological units of the Sherbrook Group include the following:</w:t>
      </w:r>
    </w:p>
    <w:p w14:paraId="4C598E7D" w14:textId="1C3E2BE0" w:rsidR="00E979BC" w:rsidRPr="00642A5D" w:rsidRDefault="00E979BC" w:rsidP="00E979BC">
      <w:pPr>
        <w:pStyle w:val="bulletlist0"/>
      </w:pPr>
      <w:r>
        <w:t>•</w:t>
      </w:r>
      <w:r>
        <w:tab/>
      </w:r>
      <w:r w:rsidRPr="00642A5D">
        <w:t>Waarre Formation</w:t>
      </w:r>
    </w:p>
    <w:p w14:paraId="22BC20C3" w14:textId="0605BB56" w:rsidR="00E979BC" w:rsidRPr="00642A5D" w:rsidRDefault="00E979BC" w:rsidP="00E979BC">
      <w:pPr>
        <w:pStyle w:val="bulletlist0"/>
      </w:pPr>
      <w:r>
        <w:t>•</w:t>
      </w:r>
      <w:r>
        <w:tab/>
      </w:r>
      <w:r w:rsidRPr="00642A5D">
        <w:t>Flaxmans Formation</w:t>
      </w:r>
    </w:p>
    <w:p w14:paraId="26419A08" w14:textId="4EFEF385" w:rsidR="00E979BC" w:rsidRPr="00642A5D" w:rsidRDefault="00E979BC" w:rsidP="00E979BC">
      <w:pPr>
        <w:pStyle w:val="bulletlist0"/>
      </w:pPr>
      <w:r>
        <w:t>•</w:t>
      </w:r>
      <w:r>
        <w:tab/>
      </w:r>
      <w:r w:rsidRPr="00642A5D">
        <w:t>Belfast Mudstone</w:t>
      </w:r>
    </w:p>
    <w:p w14:paraId="3DBED96E" w14:textId="2DD6F468" w:rsidR="00E979BC" w:rsidRPr="00642A5D" w:rsidRDefault="00E979BC" w:rsidP="00E979BC">
      <w:pPr>
        <w:pStyle w:val="bulletlist0"/>
      </w:pPr>
      <w:r>
        <w:t>•</w:t>
      </w:r>
      <w:r>
        <w:tab/>
      </w:r>
      <w:r w:rsidRPr="00642A5D">
        <w:t>Paaratte Formation</w:t>
      </w:r>
    </w:p>
    <w:p w14:paraId="5DA83776" w14:textId="54870CB6" w:rsidR="00E979BC" w:rsidRPr="00642A5D" w:rsidRDefault="00E979BC" w:rsidP="00E979BC">
      <w:pPr>
        <w:pStyle w:val="bulletlist0"/>
      </w:pPr>
      <w:r>
        <w:t>•</w:t>
      </w:r>
      <w:r>
        <w:tab/>
      </w:r>
      <w:r w:rsidRPr="00642A5D">
        <w:t>Timboon Sandstone.</w:t>
      </w:r>
    </w:p>
    <w:p w14:paraId="18FA7105" w14:textId="7D30F07C" w:rsidR="00BC28A7" w:rsidRPr="00642A5D" w:rsidRDefault="00BC28A7" w:rsidP="00BC28A7">
      <w:r w:rsidRPr="00642A5D">
        <w:t xml:space="preserve">Deposition of the Sherbrook Group began with quartz rich non-marine sandstones, mudstones and coals of the Waarre Formation, which were succeeded by deltaic–clastic sediments. These exhibit varying marine influence over at least three transgressive cycles. </w:t>
      </w:r>
    </w:p>
    <w:p w14:paraId="764039E8" w14:textId="6EED4015" w:rsidR="00BC28A7" w:rsidRDefault="00BC28A7" w:rsidP="00657D41">
      <w:r w:rsidRPr="00642A5D">
        <w:t xml:space="preserve">The Waarre Formation is the basal unit of the Sherbrook group. It </w:t>
      </w:r>
      <w:r>
        <w:t>comprises</w:t>
      </w:r>
      <w:r w:rsidRPr="00642A5D">
        <w:t xml:space="preserve"> quartzose sandstones, conglomerates and minor siltstones and shales</w:t>
      </w:r>
      <w:r w:rsidR="0034003E">
        <w:t>, and</w:t>
      </w:r>
      <w:r w:rsidRPr="00642A5D">
        <w:t xml:space="preserve"> is around 200 m </w:t>
      </w:r>
      <w:r w:rsidR="0034003E">
        <w:t>thick onshore</w:t>
      </w:r>
      <w:r w:rsidRPr="00642A5D">
        <w:t xml:space="preserve">, increasing to over 600 m </w:t>
      </w:r>
      <w:r w:rsidR="0034003E">
        <w:t xml:space="preserve">thick </w:t>
      </w:r>
      <w:r w:rsidRPr="00642A5D">
        <w:t>offshore. Cores taken from Port Campbell-2 typify the formation at a depth of 2494 to 2675 m (Boult and Hibburt, 2002).</w:t>
      </w:r>
    </w:p>
    <w:p w14:paraId="672F0CE7" w14:textId="6C19324A" w:rsidR="007A3E0D" w:rsidRPr="00642A5D" w:rsidRDefault="007A3E0D" w:rsidP="00657D41">
      <w:r w:rsidRPr="00642A5D">
        <w:t>The Flaxmans Formation represents the first period of marine transgression in the Sherbrook Group and consists of interbedded dark grey silty mudstones/shales and fine</w:t>
      </w:r>
      <w:r w:rsidR="0034003E">
        <w:t>-</w:t>
      </w:r>
      <w:r w:rsidRPr="00642A5D">
        <w:t xml:space="preserve">grained brown sandstones. Drill cores from Port Campbell-2 are typical of the formation and identify its occurrence between 2483 and 2495 m </w:t>
      </w:r>
      <w:r w:rsidR="00D9556A">
        <w:t xml:space="preserve">in </w:t>
      </w:r>
      <w:r w:rsidRPr="00642A5D">
        <w:t xml:space="preserve">depth. </w:t>
      </w:r>
    </w:p>
    <w:p w14:paraId="130EF434" w14:textId="4F86AB1B" w:rsidR="007A3E0D" w:rsidRPr="00642A5D" w:rsidRDefault="007A3E0D" w:rsidP="00657D41">
      <w:r w:rsidRPr="00642A5D">
        <w:t xml:space="preserve">The Belfast Mudstone is </w:t>
      </w:r>
      <w:r w:rsidR="002D4544" w:rsidRPr="00642A5D">
        <w:t>pyritic</w:t>
      </w:r>
      <w:r w:rsidRPr="00642A5D">
        <w:t xml:space="preserve"> marine shale. Its type section from Port Campbell-1 occurs from 1501 to 1685 m, </w:t>
      </w:r>
      <w:r w:rsidR="0034003E">
        <w:t>although</w:t>
      </w:r>
      <w:r w:rsidR="0034003E" w:rsidRPr="00642A5D">
        <w:t xml:space="preserve"> </w:t>
      </w:r>
      <w:r w:rsidRPr="00642A5D">
        <w:t xml:space="preserve">other wells have identified successions ranging from a few </w:t>
      </w:r>
      <w:r w:rsidR="00AB4DB5" w:rsidRPr="00642A5D">
        <w:t>m</w:t>
      </w:r>
      <w:r w:rsidR="0034003E">
        <w:t>etres</w:t>
      </w:r>
      <w:r w:rsidRPr="00642A5D">
        <w:t xml:space="preserve"> to over 1700 m in offshore parts of the basin. The unit occurs in the central and eastern parts of the basin and is the major confining layer (seal) for prospective hydrocarbon reservoirs in the Waarre and Flaxmans Formations.</w:t>
      </w:r>
    </w:p>
    <w:p w14:paraId="3FBB3327" w14:textId="52ACAE91" w:rsidR="007A3E0D" w:rsidRPr="00642A5D" w:rsidRDefault="007A3E0D" w:rsidP="00657D41">
      <w:r w:rsidRPr="00642A5D">
        <w:t>The Paaratte Formation is dominated by fine to coarse</w:t>
      </w:r>
      <w:r w:rsidR="0034003E">
        <w:t>-</w:t>
      </w:r>
      <w:r w:rsidRPr="00642A5D">
        <w:t>grained, cross</w:t>
      </w:r>
      <w:r w:rsidR="0034003E">
        <w:t>-</w:t>
      </w:r>
      <w:r w:rsidRPr="00642A5D">
        <w:t>bedded quartzose sandstones</w:t>
      </w:r>
      <w:r w:rsidR="00481B00">
        <w:t>,</w:t>
      </w:r>
      <w:r w:rsidRPr="00642A5D">
        <w:t xml:space="preserve"> interbedded with mudstones and occasional coals. It represents a period of deltaic deposition during marine regression in the Sherbrook Group and is thought to exist between 1344 and 1514 m in the Port Campbell-1 type core.</w:t>
      </w:r>
    </w:p>
    <w:p w14:paraId="0BA624DB" w14:textId="4F9F080A" w:rsidR="007A3E0D" w:rsidRPr="00642A5D" w:rsidRDefault="007A3E0D" w:rsidP="00657D41">
      <w:r w:rsidRPr="00642A5D">
        <w:t>The Timboon Sandstone represents a period of marine transgression and is characterised by fine to coarse quartzose sandstones with minor interbedded fluvial mudstones occurring throughout the lower parts of the formation. The type core for this formation in Port Campbell-1 is dominated by sandstones from 886 to 1295</w:t>
      </w:r>
      <w:r w:rsidR="0051770D">
        <w:t> </w:t>
      </w:r>
      <w:r w:rsidRPr="00642A5D">
        <w:t xml:space="preserve">m </w:t>
      </w:r>
      <w:r w:rsidR="00481B00">
        <w:t xml:space="preserve">in </w:t>
      </w:r>
      <w:r w:rsidRPr="00642A5D">
        <w:t>depth.</w:t>
      </w:r>
    </w:p>
    <w:p w14:paraId="7FE0962F" w14:textId="77777777" w:rsidR="007A3E0D" w:rsidRPr="001B0814" w:rsidRDefault="007A3E0D" w:rsidP="00380D21">
      <w:pPr>
        <w:pStyle w:val="Heading4"/>
      </w:pPr>
      <w:r w:rsidRPr="001B0814">
        <w:t>Wangerrip Group</w:t>
      </w:r>
    </w:p>
    <w:p w14:paraId="3E9C4FE4" w14:textId="550CC0DC" w:rsidR="007A3E0D" w:rsidRPr="00642A5D" w:rsidRDefault="007A3E0D" w:rsidP="00380D21">
      <w:r w:rsidRPr="001B0814">
        <w:t>The Wangarrip Group consists of coastal plain, deltaic and shallow marine deposits ranging from mudstones to sandstones. The group becomes prevalent some 10 to 30 km from the northern margin of the Otway Basin and increases in thickness towards the coastline where it reaches thicknesses of in excess of 450 and 1200 m in the Port Campbell Embayment</w:t>
      </w:r>
      <w:r w:rsidRPr="00642A5D">
        <w:t xml:space="preserve"> and Rivoli Troughs, respectively (</w:t>
      </w:r>
      <w:r w:rsidR="007569CD" w:rsidRPr="00642A5D">
        <w:fldChar w:fldCharType="begin"/>
      </w:r>
      <w:r w:rsidRPr="00642A5D">
        <w:instrText xml:space="preserve"> REF _Ref403391923 \h </w:instrText>
      </w:r>
      <w:r w:rsidR="00642A5D">
        <w:instrText xml:space="preserve"> \* MERGEFORMAT </w:instrText>
      </w:r>
      <w:r w:rsidR="007569CD" w:rsidRPr="00642A5D">
        <w:fldChar w:fldCharType="separate"/>
      </w:r>
      <w:r w:rsidR="00171A5E" w:rsidRPr="00642A5D">
        <w:t xml:space="preserve">Figure </w:t>
      </w:r>
      <w:r w:rsidR="00171A5E">
        <w:rPr>
          <w:noProof/>
        </w:rPr>
        <w:t>7</w:t>
      </w:r>
      <w:r w:rsidR="007569CD" w:rsidRPr="00642A5D">
        <w:fldChar w:fldCharType="end"/>
      </w:r>
      <w:r w:rsidRPr="00642A5D">
        <w:t xml:space="preserve">). </w:t>
      </w:r>
      <w:r w:rsidR="0034003E">
        <w:t xml:space="preserve"> </w:t>
      </w:r>
      <w:r w:rsidRPr="00642A5D">
        <w:t xml:space="preserve">Formations in the group </w:t>
      </w:r>
      <w:r w:rsidR="0034003E">
        <w:t xml:space="preserve">are the </w:t>
      </w:r>
      <w:r w:rsidRPr="00642A5D">
        <w:t>Pebble Point Formation</w:t>
      </w:r>
      <w:r w:rsidR="0034003E">
        <w:t xml:space="preserve">, </w:t>
      </w:r>
      <w:r w:rsidRPr="00642A5D">
        <w:t>Pember Mudstone</w:t>
      </w:r>
      <w:r w:rsidR="0034003E">
        <w:t xml:space="preserve"> and </w:t>
      </w:r>
      <w:r w:rsidRPr="00642A5D">
        <w:t>Dilwyn Formation</w:t>
      </w:r>
      <w:r w:rsidR="000B0845">
        <w:t>.</w:t>
      </w:r>
    </w:p>
    <w:p w14:paraId="0DB1C442" w14:textId="77777777" w:rsidR="007A3E0D" w:rsidRPr="002D44DF" w:rsidRDefault="007A3E0D" w:rsidP="002D44DF">
      <w:pPr>
        <w:pStyle w:val="figurereturn"/>
      </w:pPr>
      <w:r w:rsidRPr="00642A5D">
        <w:lastRenderedPageBreak/>
        <w:drawing>
          <wp:inline distT="0" distB="0" distL="0" distR="0" wp14:anchorId="08296A6D" wp14:editId="23AA6D61">
            <wp:extent cx="5794721" cy="2601434"/>
            <wp:effectExtent l="0" t="0" r="0" b="889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797480" cy="2602673"/>
                    </a:xfrm>
                    <a:prstGeom prst="rect">
                      <a:avLst/>
                    </a:prstGeom>
                  </pic:spPr>
                </pic:pic>
              </a:graphicData>
            </a:graphic>
          </wp:inline>
        </w:drawing>
      </w:r>
    </w:p>
    <w:p w14:paraId="77C2D710" w14:textId="45323AE7" w:rsidR="007A3E0D" w:rsidRDefault="007A3E0D" w:rsidP="00A53AE8">
      <w:pPr>
        <w:pStyle w:val="Figuretitle"/>
      </w:pPr>
      <w:bookmarkStart w:id="179" w:name="_Ref403391923"/>
      <w:bookmarkStart w:id="180" w:name="_Toc422928778"/>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7</w:t>
      </w:r>
      <w:r w:rsidR="007569CD" w:rsidRPr="00642A5D">
        <w:fldChar w:fldCharType="end"/>
      </w:r>
      <w:bookmarkEnd w:id="179"/>
      <w:r w:rsidR="00F95BE3">
        <w:t>:</w:t>
      </w:r>
      <w:r w:rsidRPr="00642A5D">
        <w:t xml:space="preserve"> </w:t>
      </w:r>
      <w:r w:rsidR="00650989">
        <w:t xml:space="preserve"> </w:t>
      </w:r>
      <w:r w:rsidRPr="00642A5D">
        <w:t>Isopach of the Wangerrip Group</w:t>
      </w:r>
      <w:r w:rsidR="00650989">
        <w:t>.</w:t>
      </w:r>
      <w:r w:rsidRPr="00642A5D">
        <w:t xml:space="preserve"> (</w:t>
      </w:r>
      <w:r w:rsidR="00650989">
        <w:t>S</w:t>
      </w:r>
      <w:r w:rsidR="00755B17">
        <w:t xml:space="preserve">ource: </w:t>
      </w:r>
      <w:r w:rsidRPr="00642A5D">
        <w:t xml:space="preserve">Abele </w:t>
      </w:r>
      <w:r w:rsidR="0061023B" w:rsidRPr="0061023B">
        <w:t>et al.</w:t>
      </w:r>
      <w:r w:rsidRPr="00642A5D">
        <w:t>, 1988 as modified by Birch, 2003</w:t>
      </w:r>
      <w:r w:rsidR="00650989">
        <w:t>.</w:t>
      </w:r>
      <w:r w:rsidRPr="00642A5D">
        <w:t>)</w:t>
      </w:r>
      <w:bookmarkEnd w:id="180"/>
    </w:p>
    <w:p w14:paraId="08C17EC5" w14:textId="3752E620" w:rsidR="007A3E0D" w:rsidRPr="00642A5D" w:rsidRDefault="007A3E0D">
      <w:r w:rsidRPr="00642A5D">
        <w:t xml:space="preserve">The Pebble Point Formation is a </w:t>
      </w:r>
      <w:r w:rsidR="0034003E">
        <w:t>mostly</w:t>
      </w:r>
      <w:r w:rsidRPr="00642A5D">
        <w:t xml:space="preserve"> quartz</w:t>
      </w:r>
      <w:r w:rsidR="0034003E">
        <w:t>ose</w:t>
      </w:r>
      <w:r w:rsidRPr="00642A5D">
        <w:t xml:space="preserve"> </w:t>
      </w:r>
      <w:r w:rsidR="002D4544" w:rsidRPr="00642A5D">
        <w:t>ferruginous</w:t>
      </w:r>
      <w:r w:rsidRPr="00642A5D">
        <w:t xml:space="preserve"> sandstone with conglomerates and less common fossiliferous beds which represent a marginal marine environment. It ranges in thickness from 10 to 90 m and has been characterised by a South Australian type core (Caroline-1) at a depth of 925 to 951 m. </w:t>
      </w:r>
    </w:p>
    <w:p w14:paraId="02290C15" w14:textId="443DB1EB" w:rsidR="007A3E0D" w:rsidRPr="00642A5D" w:rsidRDefault="007A3E0D" w:rsidP="00A35B08">
      <w:r w:rsidRPr="00642A5D">
        <w:t>The Pember Mudstone occurs at the base of the overlying Dilwyn Formation and consists of siltstones, mudstones and shales that are pyritic, carbonaceous and micaceous. It also contains cemented carbonaceous sands in the upper stratigraphy of the unit. Thicknesses ranging from 32 m to 200 m have been recorded in Sawpit-1 and Mt Salt-1 respectively (Boult and Hib</w:t>
      </w:r>
      <w:r w:rsidR="0034003E">
        <w:t>b</w:t>
      </w:r>
      <w:r w:rsidRPr="00642A5D">
        <w:t>urt, 2002).</w:t>
      </w:r>
    </w:p>
    <w:p w14:paraId="7BC14429" w14:textId="28A1E1FE" w:rsidR="007A3E0D" w:rsidRPr="00642A5D" w:rsidRDefault="007A3E0D">
      <w:r w:rsidRPr="00642A5D">
        <w:t>The Dilwyn Formation</w:t>
      </w:r>
      <w:r w:rsidR="0034003E">
        <w:t xml:space="preserve"> </w:t>
      </w:r>
      <w:r w:rsidRPr="00642A5D">
        <w:t>has a drilled thickness ranging from 6 to 1247 m. Typical thicknesses are around 100</w:t>
      </w:r>
      <w:r w:rsidR="0034003E">
        <w:t> </w:t>
      </w:r>
      <w:r w:rsidRPr="00642A5D">
        <w:t>m throughout the majority of the basin, but become thicker in the Portland Trough and Port Campbell Embayment. For example, seismic profiling in the Portland Trough indicates thicknesses reaching up to 2000</w:t>
      </w:r>
      <w:r w:rsidR="0034003E">
        <w:t> </w:t>
      </w:r>
      <w:r w:rsidRPr="00642A5D">
        <w:t>m (Birch, 2003). It is characterised by sandstones and shales with sandstone, siltstone and claystone sequences that represent transgressive/regressive cycles.</w:t>
      </w:r>
    </w:p>
    <w:p w14:paraId="4060E47D" w14:textId="6D94A532" w:rsidR="007A3E0D" w:rsidRPr="00906EDC" w:rsidRDefault="007A3E0D">
      <w:r w:rsidRPr="00642A5D">
        <w:t xml:space="preserve">In the northeastern part of the Port Campbell Embayment, the formation becomes </w:t>
      </w:r>
      <w:r w:rsidR="0034003E">
        <w:t>richer in</w:t>
      </w:r>
      <w:r w:rsidR="0034003E" w:rsidRPr="00642A5D">
        <w:t xml:space="preserve"> </w:t>
      </w:r>
      <w:r w:rsidRPr="00642A5D">
        <w:t xml:space="preserve">sand and coal, and is equivalent to the Eastern View Formation in the Torquay Sub-basin. The Eastern View Formation is an individual formation in Victoria </w:t>
      </w:r>
      <w:r w:rsidR="0034003E">
        <w:t xml:space="preserve">and </w:t>
      </w:r>
      <w:r w:rsidRPr="00642A5D">
        <w:t xml:space="preserve">is the equivalent </w:t>
      </w:r>
      <w:r w:rsidR="00195676">
        <w:t>of</w:t>
      </w:r>
      <w:r w:rsidR="00195676" w:rsidRPr="00642A5D">
        <w:t xml:space="preserve"> </w:t>
      </w:r>
      <w:r w:rsidRPr="00642A5D">
        <w:t xml:space="preserve">the Wangerrip and lower Nirranda Groups. Thick brown coal seams have been mined from this </w:t>
      </w:r>
      <w:r w:rsidRPr="0044128F">
        <w:t>facies</w:t>
      </w:r>
      <w:r w:rsidRPr="00642A5D">
        <w:t xml:space="preserve"> at Wensleydale, Deans Marsh </w:t>
      </w:r>
      <w:r w:rsidRPr="00906EDC">
        <w:t>and Benwerrin.</w:t>
      </w:r>
    </w:p>
    <w:p w14:paraId="602A6919" w14:textId="77777777" w:rsidR="007A3E0D" w:rsidRPr="00906EDC" w:rsidRDefault="00866D58" w:rsidP="00866D58">
      <w:pPr>
        <w:pStyle w:val="Heading4"/>
        <w:rPr>
          <w:lang w:val="en-AU" w:eastAsia="en-US"/>
        </w:rPr>
      </w:pPr>
      <w:r w:rsidRPr="00906EDC">
        <w:rPr>
          <w:lang w:val="en-AU" w:eastAsia="en-US"/>
        </w:rPr>
        <w:t>Nirranda Group</w:t>
      </w:r>
    </w:p>
    <w:p w14:paraId="6E0B4D35" w14:textId="61064AD3" w:rsidR="00866D58" w:rsidRPr="00642A5D" w:rsidRDefault="00866D58" w:rsidP="00C150BC">
      <w:r w:rsidRPr="00906EDC">
        <w:t>The Nirranda Group overlies the Wangerrip Group. It represents a period of marine transgression and is</w:t>
      </w:r>
      <w:r w:rsidRPr="00642A5D">
        <w:t xml:space="preserve"> characterised by the prevalence of cool marine carbonate deposits. It follows a similar distribution to the underlying Wangarrip Group, thickening from the northern parts of the basin towards the coast where successions reach up to 200 m near Port Campbell and 300 m near Portland (see </w:t>
      </w:r>
      <w:r w:rsidR="007569CD" w:rsidRPr="00642A5D">
        <w:fldChar w:fldCharType="begin"/>
      </w:r>
      <w:r w:rsidRPr="00642A5D">
        <w:instrText xml:space="preserve"> REF _Ref403396408 \h </w:instrText>
      </w:r>
      <w:r w:rsidR="00642A5D">
        <w:instrText xml:space="preserve"> \* MERGEFORMAT </w:instrText>
      </w:r>
      <w:r w:rsidR="007569CD" w:rsidRPr="00642A5D">
        <w:fldChar w:fldCharType="separate"/>
      </w:r>
      <w:r w:rsidR="00171A5E" w:rsidRPr="00642A5D">
        <w:t xml:space="preserve">Figure </w:t>
      </w:r>
      <w:r w:rsidR="00171A5E">
        <w:rPr>
          <w:noProof/>
        </w:rPr>
        <w:t>8</w:t>
      </w:r>
      <w:r w:rsidR="007569CD" w:rsidRPr="00642A5D">
        <w:fldChar w:fldCharType="end"/>
      </w:r>
      <w:r w:rsidRPr="00642A5D">
        <w:t xml:space="preserve">). The majority of the Nirranda Group is a subsurface unit throughout the Otway Basin, </w:t>
      </w:r>
      <w:r w:rsidR="0034003E">
        <w:t>but</w:t>
      </w:r>
      <w:r w:rsidR="0034003E" w:rsidRPr="00642A5D">
        <w:t xml:space="preserve"> </w:t>
      </w:r>
      <w:r w:rsidRPr="00642A5D">
        <w:t>outcrops occur in the far east of the basin near the Johanna River – Glen Aire district.</w:t>
      </w:r>
      <w:r w:rsidR="0034003E">
        <w:t xml:space="preserve"> </w:t>
      </w:r>
      <w:r w:rsidRPr="00642A5D">
        <w:t xml:space="preserve">The group consists of </w:t>
      </w:r>
      <w:r w:rsidR="0034003E">
        <w:t xml:space="preserve">the </w:t>
      </w:r>
      <w:r w:rsidRPr="00642A5D">
        <w:t xml:space="preserve">Mepunga Formation </w:t>
      </w:r>
      <w:r w:rsidR="0034003E">
        <w:t xml:space="preserve">and the </w:t>
      </w:r>
      <w:r w:rsidRPr="00642A5D">
        <w:t xml:space="preserve">Narrawaturk </w:t>
      </w:r>
      <w:r w:rsidR="0034003E">
        <w:t>Marl</w:t>
      </w:r>
      <w:r w:rsidR="00195676">
        <w:t>.</w:t>
      </w:r>
    </w:p>
    <w:p w14:paraId="429DDF71" w14:textId="22A89151" w:rsidR="00074EAE" w:rsidRPr="00642A5D" w:rsidRDefault="00074EAE">
      <w:pPr>
        <w:pStyle w:val="Para0bullet"/>
      </w:pPr>
      <w:r w:rsidRPr="00642A5D">
        <w:t xml:space="preserve">The Mepunga Formation represents a period of marine transgression and is characterised by a mixture of carbonate and clastic </w:t>
      </w:r>
      <w:r w:rsidR="0000504F" w:rsidRPr="00642A5D">
        <w:t>litholog</w:t>
      </w:r>
      <w:r w:rsidR="0000504F">
        <w:t>ie</w:t>
      </w:r>
      <w:r w:rsidR="0000504F" w:rsidRPr="00642A5D">
        <w:t xml:space="preserve">s </w:t>
      </w:r>
      <w:r w:rsidRPr="00642A5D">
        <w:t>including carbonaceous marine sandstones</w:t>
      </w:r>
      <w:r w:rsidR="0000504F">
        <w:t>,</w:t>
      </w:r>
      <w:r w:rsidRPr="00642A5D">
        <w:t xml:space="preserve"> silty sandstones and shale. </w:t>
      </w:r>
    </w:p>
    <w:p w14:paraId="3D91CF30" w14:textId="49715E03" w:rsidR="00074EAE" w:rsidRPr="00642A5D" w:rsidRDefault="00074EAE">
      <w:pPr>
        <w:pStyle w:val="Para0bullet"/>
      </w:pPr>
      <w:r w:rsidRPr="00642A5D">
        <w:t xml:space="preserve">The Narrawaturk Marl is characterised by bioclastic marls, carbonaceous sandy clays, glauconite, quartz and </w:t>
      </w:r>
      <w:r w:rsidR="002D4544">
        <w:t>ferru</w:t>
      </w:r>
      <w:r w:rsidR="002D4544" w:rsidRPr="00642A5D">
        <w:t>g</w:t>
      </w:r>
      <w:r w:rsidR="0034003E">
        <w:t>i</w:t>
      </w:r>
      <w:r w:rsidR="002D4544" w:rsidRPr="00642A5D">
        <w:t>nised</w:t>
      </w:r>
      <w:r w:rsidRPr="00642A5D">
        <w:t xml:space="preserve"> grits and limestones.</w:t>
      </w:r>
    </w:p>
    <w:p w14:paraId="1DC635D0" w14:textId="77777777" w:rsidR="00866D58" w:rsidRPr="002D44DF" w:rsidRDefault="00866D58" w:rsidP="002D44DF">
      <w:pPr>
        <w:pStyle w:val="figurereturn"/>
      </w:pPr>
      <w:r w:rsidRPr="00642A5D">
        <w:lastRenderedPageBreak/>
        <w:drawing>
          <wp:inline distT="0" distB="0" distL="0" distR="0" wp14:anchorId="564DA2D9" wp14:editId="5C32E8E5">
            <wp:extent cx="5943600" cy="2635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943600" cy="2635250"/>
                    </a:xfrm>
                    <a:prstGeom prst="rect">
                      <a:avLst/>
                    </a:prstGeom>
                  </pic:spPr>
                </pic:pic>
              </a:graphicData>
            </a:graphic>
          </wp:inline>
        </w:drawing>
      </w:r>
    </w:p>
    <w:p w14:paraId="580B2A14" w14:textId="364549CC" w:rsidR="00866D58" w:rsidRDefault="00866D58" w:rsidP="00A53AE8">
      <w:pPr>
        <w:pStyle w:val="Figuretitle"/>
      </w:pPr>
      <w:bookmarkStart w:id="181" w:name="_Ref403396408"/>
      <w:bookmarkStart w:id="182" w:name="_Toc422928779"/>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8</w:t>
      </w:r>
      <w:r w:rsidR="007569CD" w:rsidRPr="00642A5D">
        <w:fldChar w:fldCharType="end"/>
      </w:r>
      <w:bookmarkEnd w:id="181"/>
      <w:r w:rsidR="00F95BE3">
        <w:t>:</w:t>
      </w:r>
      <w:r w:rsidR="00650989">
        <w:t xml:space="preserve"> </w:t>
      </w:r>
      <w:r w:rsidRPr="00642A5D">
        <w:t xml:space="preserve"> Isopach of the Nirranda Group</w:t>
      </w:r>
      <w:r w:rsidR="00650989">
        <w:t>.</w:t>
      </w:r>
      <w:r w:rsidRPr="00642A5D">
        <w:t xml:space="preserve"> (</w:t>
      </w:r>
      <w:r w:rsidR="00650989">
        <w:t>S</w:t>
      </w:r>
      <w:r w:rsidR="00755B17">
        <w:t xml:space="preserve">ource: </w:t>
      </w:r>
      <w:r w:rsidRPr="00642A5D">
        <w:t xml:space="preserve">Abele </w:t>
      </w:r>
      <w:r w:rsidR="0061023B" w:rsidRPr="0061023B">
        <w:t>et al.</w:t>
      </w:r>
      <w:r w:rsidRPr="00642A5D">
        <w:t>, 1988 as modified by Birch, 2003</w:t>
      </w:r>
      <w:r w:rsidR="00650989">
        <w:t>.</w:t>
      </w:r>
      <w:r w:rsidRPr="00642A5D">
        <w:t>)</w:t>
      </w:r>
      <w:bookmarkEnd w:id="182"/>
    </w:p>
    <w:p w14:paraId="3F5A1FFA" w14:textId="77777777" w:rsidR="00866D58" w:rsidRPr="00642A5D" w:rsidRDefault="00866D58" w:rsidP="00866D58">
      <w:pPr>
        <w:pStyle w:val="Heading4"/>
        <w:rPr>
          <w:lang w:val="en-AU" w:eastAsia="en-US"/>
        </w:rPr>
      </w:pPr>
      <w:r w:rsidRPr="00642A5D">
        <w:rPr>
          <w:lang w:val="en-AU" w:eastAsia="en-US"/>
        </w:rPr>
        <w:t>Heytesbury Group</w:t>
      </w:r>
    </w:p>
    <w:p w14:paraId="358CB1B4" w14:textId="100A3B22" w:rsidR="00074EAE" w:rsidRPr="00642A5D" w:rsidRDefault="00866D58" w:rsidP="00C150BC">
      <w:pPr>
        <w:pStyle w:val="Para0"/>
      </w:pPr>
      <w:r w:rsidRPr="00642A5D">
        <w:t xml:space="preserve">The Heytesbury Group is up to 700 m </w:t>
      </w:r>
      <w:r w:rsidR="00CD3D6E">
        <w:t>thick</w:t>
      </w:r>
      <w:r w:rsidRPr="00642A5D">
        <w:t xml:space="preserve"> and is dominated by various calcareous deposits including calcareous quartz sands, sandy limestone, limestone, marl, </w:t>
      </w:r>
      <w:r w:rsidR="009D643B">
        <w:t>and</w:t>
      </w:r>
      <w:r w:rsidR="009D643B" w:rsidRPr="00642A5D">
        <w:t xml:space="preserve"> </w:t>
      </w:r>
      <w:r w:rsidRPr="00642A5D">
        <w:t>calcareous clay. The group shows a similar distribution to the Wangerrip and Nirranda Groups, thickening from the northern areas of the Otway Basin to over 600 m in the Port Campbell Embayment and Portland Trough (</w:t>
      </w:r>
      <w:r w:rsidR="007569CD" w:rsidRPr="00642A5D">
        <w:fldChar w:fldCharType="begin"/>
      </w:r>
      <w:r w:rsidRPr="00642A5D">
        <w:instrText xml:space="preserve"> REF _Ref403400555 \h </w:instrText>
      </w:r>
      <w:r w:rsidR="00642A5D">
        <w:instrText xml:space="preserve"> \* MERGEFORMAT </w:instrText>
      </w:r>
      <w:r w:rsidR="007569CD" w:rsidRPr="00642A5D">
        <w:fldChar w:fldCharType="separate"/>
      </w:r>
      <w:r w:rsidR="00171A5E" w:rsidRPr="00642A5D">
        <w:t xml:space="preserve">Figure </w:t>
      </w:r>
      <w:r w:rsidR="00171A5E">
        <w:rPr>
          <w:noProof/>
        </w:rPr>
        <w:t>9</w:t>
      </w:r>
      <w:r w:rsidR="007569CD" w:rsidRPr="00642A5D">
        <w:fldChar w:fldCharType="end"/>
      </w:r>
      <w:r w:rsidRPr="00642A5D">
        <w:t>). However unlike the other groups, successions of the Heytesbury group also reach over 600 m in thickness in the Torquay Sub Basin.</w:t>
      </w:r>
      <w:r w:rsidR="00CD3D6E">
        <w:t xml:space="preserve"> </w:t>
      </w:r>
      <w:r w:rsidR="00074EAE" w:rsidRPr="00642A5D">
        <w:t>The Heytesbury Group consists of</w:t>
      </w:r>
      <w:r w:rsidR="00CD3D6E">
        <w:t xml:space="preserve"> the </w:t>
      </w:r>
      <w:r w:rsidR="00074EAE" w:rsidRPr="00642A5D">
        <w:t>Clifton Formation</w:t>
      </w:r>
      <w:r w:rsidR="00CD3D6E">
        <w:t xml:space="preserve">, </w:t>
      </w:r>
      <w:r w:rsidR="00074EAE" w:rsidRPr="00642A5D">
        <w:t>Gellibrand Marl</w:t>
      </w:r>
      <w:r w:rsidR="00CD3D6E">
        <w:t xml:space="preserve"> and </w:t>
      </w:r>
      <w:r w:rsidR="00074EAE" w:rsidRPr="00642A5D">
        <w:t>Port Campbell Limestone</w:t>
      </w:r>
      <w:r w:rsidR="009D643B">
        <w:t>.</w:t>
      </w:r>
    </w:p>
    <w:p w14:paraId="718A0853" w14:textId="738B2E3D" w:rsidR="00074EAE" w:rsidRPr="00642A5D" w:rsidRDefault="00074EAE" w:rsidP="00074EAE">
      <w:pPr>
        <w:pStyle w:val="Para0"/>
      </w:pPr>
      <w:r w:rsidRPr="00642A5D">
        <w:t>The Clifton Formation forms the basal unit of the He</w:t>
      </w:r>
      <w:r w:rsidR="009D643B">
        <w:t>y</w:t>
      </w:r>
      <w:r w:rsidRPr="00642A5D">
        <w:t xml:space="preserve">tesbury Group and consists of sandy limestones and sandy marls which represent a high energy inner shelf environment. The formation is up to 90 m </w:t>
      </w:r>
      <w:r w:rsidR="00CD3D6E">
        <w:t>thick</w:t>
      </w:r>
      <w:r w:rsidRPr="00642A5D">
        <w:t xml:space="preserve"> and outcrops are generally confined to the eastern end of the Otway Basin. </w:t>
      </w:r>
    </w:p>
    <w:p w14:paraId="576E525C" w14:textId="449D4BC9" w:rsidR="00074EAE" w:rsidRPr="00642A5D" w:rsidRDefault="00074EAE">
      <w:pPr>
        <w:pStyle w:val="Para0bullet"/>
      </w:pPr>
      <w:r w:rsidRPr="00642A5D">
        <w:t xml:space="preserve">The Gellibrand Marl is dominated by marls with interspersed calcarenite and chalk that represent an inner shelf shallow marine environment. While it is up to 1300 m </w:t>
      </w:r>
      <w:r w:rsidR="00CD3D6E">
        <w:t>thick</w:t>
      </w:r>
      <w:r w:rsidRPr="00642A5D">
        <w:t xml:space="preserve"> in the offshore part of the basin, it is generally around 200 to 400 m </w:t>
      </w:r>
      <w:r w:rsidR="00CD3D6E">
        <w:t>thick</w:t>
      </w:r>
      <w:r w:rsidRPr="00642A5D">
        <w:t xml:space="preserve"> throughout the onshore part of the basin, excluding the Mount Gambier Embayment where it thins to &lt;50 m </w:t>
      </w:r>
      <w:r w:rsidR="00CD3D6E">
        <w:t>thick</w:t>
      </w:r>
      <w:r w:rsidRPr="00642A5D">
        <w:t>.</w:t>
      </w:r>
    </w:p>
    <w:p w14:paraId="3E5A7727" w14:textId="617149FD" w:rsidR="00074EAE" w:rsidRPr="00642A5D" w:rsidRDefault="00074EAE" w:rsidP="00074EAE">
      <w:pPr>
        <w:pStyle w:val="Para0"/>
      </w:pPr>
      <w:r w:rsidRPr="00642A5D">
        <w:t xml:space="preserve">The Port Campbell Limestone is a deep marine limestone that is fine grained and weakly cemented. It contains minor clays and silts and is up to approximately 500 m </w:t>
      </w:r>
      <w:r w:rsidR="00CD3D6E">
        <w:t>thick</w:t>
      </w:r>
      <w:r w:rsidRPr="00642A5D">
        <w:t>. The limestone overlays and has a higher carbonate content than the Gellibrand Marl. Both the Gellibrand Marl and Port Campbell Limestone are exposed along approximately 80 km of the Port Campbell coastline. The Gambier Limestone is equivalent to the Port Campbell Limestone in the Gambier Embayment and is likewise formed in a shallow marine setting and is rich in bioclastic deposits. It is karstic and at times dolomitised with a maximum thickness of approximately 400 m (GHD, 2012).</w:t>
      </w:r>
    </w:p>
    <w:p w14:paraId="2F99E3F1" w14:textId="77777777" w:rsidR="00866D58" w:rsidRPr="002D44DF" w:rsidRDefault="00866D58" w:rsidP="002D44DF">
      <w:pPr>
        <w:pStyle w:val="figurereturn"/>
      </w:pPr>
      <w:r w:rsidRPr="00642A5D">
        <w:lastRenderedPageBreak/>
        <w:drawing>
          <wp:inline distT="0" distB="0" distL="0" distR="0" wp14:anchorId="2A741584" wp14:editId="281D8C6F">
            <wp:extent cx="5943600" cy="2644775"/>
            <wp:effectExtent l="0" t="0" r="0" b="317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2644775"/>
                    </a:xfrm>
                    <a:prstGeom prst="rect">
                      <a:avLst/>
                    </a:prstGeom>
                  </pic:spPr>
                </pic:pic>
              </a:graphicData>
            </a:graphic>
          </wp:inline>
        </w:drawing>
      </w:r>
    </w:p>
    <w:p w14:paraId="3DCA670C" w14:textId="2369EB61" w:rsidR="00866D58" w:rsidRDefault="00866D58" w:rsidP="00A53AE8">
      <w:pPr>
        <w:pStyle w:val="Figuretitle"/>
      </w:pPr>
      <w:bookmarkStart w:id="183" w:name="_Ref403400555"/>
      <w:bookmarkStart w:id="184" w:name="_Toc422928780"/>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9</w:t>
      </w:r>
      <w:r w:rsidR="007569CD" w:rsidRPr="00642A5D">
        <w:fldChar w:fldCharType="end"/>
      </w:r>
      <w:bookmarkEnd w:id="183"/>
      <w:r w:rsidR="00F95BE3">
        <w:t>:</w:t>
      </w:r>
      <w:r w:rsidRPr="00642A5D">
        <w:t xml:space="preserve"> </w:t>
      </w:r>
      <w:r w:rsidR="00650989">
        <w:t xml:space="preserve"> </w:t>
      </w:r>
      <w:r w:rsidRPr="00642A5D">
        <w:t>Isopach of the Heytesbury Group</w:t>
      </w:r>
      <w:r w:rsidR="00650989">
        <w:t>.</w:t>
      </w:r>
      <w:r w:rsidRPr="00642A5D">
        <w:t xml:space="preserve"> (</w:t>
      </w:r>
      <w:r w:rsidR="00650989">
        <w:t>S</w:t>
      </w:r>
      <w:r w:rsidR="00755B17">
        <w:t xml:space="preserve">ource: </w:t>
      </w:r>
      <w:r w:rsidRPr="00642A5D">
        <w:t xml:space="preserve">Abele </w:t>
      </w:r>
      <w:r w:rsidR="0061023B" w:rsidRPr="0061023B">
        <w:t>et al.</w:t>
      </w:r>
      <w:r w:rsidRPr="00642A5D">
        <w:t>, 1988 as modified by Birch, 2003</w:t>
      </w:r>
      <w:r w:rsidR="00650989">
        <w:t>.</w:t>
      </w:r>
      <w:r w:rsidRPr="00642A5D">
        <w:t>)</w:t>
      </w:r>
      <w:bookmarkEnd w:id="184"/>
    </w:p>
    <w:p w14:paraId="18E010AD" w14:textId="5230654C" w:rsidR="007A3E0D" w:rsidRPr="00642A5D" w:rsidRDefault="00866D58" w:rsidP="00866D58">
      <w:pPr>
        <w:pStyle w:val="Heading4"/>
        <w:rPr>
          <w:lang w:val="en-AU" w:eastAsia="en-US"/>
        </w:rPr>
      </w:pPr>
      <w:r w:rsidRPr="00642A5D">
        <w:rPr>
          <w:lang w:val="en-AU" w:eastAsia="en-US"/>
        </w:rPr>
        <w:t xml:space="preserve">Late Tertiary </w:t>
      </w:r>
      <w:r w:rsidR="0051708E">
        <w:rPr>
          <w:lang w:val="en-AU" w:eastAsia="en-US"/>
        </w:rPr>
        <w:t>s</w:t>
      </w:r>
      <w:r w:rsidRPr="00642A5D">
        <w:rPr>
          <w:lang w:val="en-AU" w:eastAsia="en-US"/>
        </w:rPr>
        <w:t>ediments</w:t>
      </w:r>
    </w:p>
    <w:p w14:paraId="66EC841A" w14:textId="77777777" w:rsidR="00866D58" w:rsidRPr="00642A5D" w:rsidRDefault="00866D58" w:rsidP="00866D58">
      <w:pPr>
        <w:pStyle w:val="Para0"/>
      </w:pPr>
      <w:r w:rsidRPr="00642A5D">
        <w:t>The Late Tertiary Period in the Otway Basin is characterised by a series of relatively thin and mixed silicate-carbonate sediments that are distributed locally throughout the basin (Birch, 2003). These include:</w:t>
      </w:r>
    </w:p>
    <w:p w14:paraId="1A94CFAF" w14:textId="2564E1AD" w:rsidR="00866D58" w:rsidRPr="00642A5D" w:rsidRDefault="00704760" w:rsidP="00704760">
      <w:pPr>
        <w:pStyle w:val="bulletlist0"/>
      </w:pPr>
      <w:r>
        <w:t>•</w:t>
      </w:r>
      <w:r>
        <w:tab/>
      </w:r>
      <w:r w:rsidR="00866D58" w:rsidRPr="00642A5D">
        <w:t>Whalers Bluff Formation</w:t>
      </w:r>
    </w:p>
    <w:p w14:paraId="59F0382D" w14:textId="05C868A2" w:rsidR="00866D58" w:rsidRPr="00642A5D" w:rsidRDefault="00704760" w:rsidP="00704760">
      <w:pPr>
        <w:pStyle w:val="bulletlist0"/>
      </w:pPr>
      <w:r>
        <w:t>•</w:t>
      </w:r>
      <w:r>
        <w:tab/>
      </w:r>
      <w:r w:rsidR="00866D58" w:rsidRPr="00642A5D">
        <w:t>Werikoo Limestone</w:t>
      </w:r>
    </w:p>
    <w:p w14:paraId="6FA7FAC0" w14:textId="2A321B62" w:rsidR="00866D58" w:rsidRPr="00642A5D" w:rsidRDefault="00704760" w:rsidP="00704760">
      <w:pPr>
        <w:pStyle w:val="bulletlist0"/>
      </w:pPr>
      <w:r>
        <w:t>•</w:t>
      </w:r>
      <w:r>
        <w:tab/>
      </w:r>
      <w:r w:rsidR="00866D58" w:rsidRPr="00642A5D">
        <w:t xml:space="preserve">Bridgewater Formation </w:t>
      </w:r>
    </w:p>
    <w:p w14:paraId="1A4B80E1" w14:textId="5FD60FC2" w:rsidR="00866D58" w:rsidRPr="00642A5D" w:rsidRDefault="00704760" w:rsidP="00704760">
      <w:pPr>
        <w:pStyle w:val="bulletlist0"/>
      </w:pPr>
      <w:r>
        <w:t>•</w:t>
      </w:r>
      <w:r>
        <w:tab/>
      </w:r>
      <w:r w:rsidR="00866D58" w:rsidRPr="00642A5D">
        <w:t>Nelson Bar Formation</w:t>
      </w:r>
    </w:p>
    <w:p w14:paraId="5D9BE538" w14:textId="3B3D93BA" w:rsidR="00866D58" w:rsidRPr="00642A5D" w:rsidRDefault="00704760" w:rsidP="00704760">
      <w:pPr>
        <w:pStyle w:val="bulletlist0"/>
      </w:pPr>
      <w:r>
        <w:t>•</w:t>
      </w:r>
      <w:r>
        <w:tab/>
      </w:r>
      <w:r w:rsidR="00866D58" w:rsidRPr="00642A5D">
        <w:t>Dorodong Sands</w:t>
      </w:r>
    </w:p>
    <w:p w14:paraId="40B57900" w14:textId="1F98B7F9" w:rsidR="00866D58" w:rsidRPr="00642A5D" w:rsidRDefault="00704760" w:rsidP="00704760">
      <w:pPr>
        <w:pStyle w:val="bulletlist0"/>
      </w:pPr>
      <w:r>
        <w:t>•</w:t>
      </w:r>
      <w:r>
        <w:tab/>
      </w:r>
      <w:r w:rsidR="00866D58" w:rsidRPr="00642A5D">
        <w:t>Grange Burn Formation</w:t>
      </w:r>
    </w:p>
    <w:p w14:paraId="0CEFBECF" w14:textId="3521D11B" w:rsidR="00866D58" w:rsidRPr="00642A5D" w:rsidRDefault="00704760" w:rsidP="00704760">
      <w:pPr>
        <w:pStyle w:val="bulletlist0"/>
      </w:pPr>
      <w:r>
        <w:t>•</w:t>
      </w:r>
      <w:r>
        <w:tab/>
      </w:r>
      <w:r w:rsidR="00866D58" w:rsidRPr="00642A5D">
        <w:t>Hanson Plain Sand</w:t>
      </w:r>
    </w:p>
    <w:p w14:paraId="6477BB73" w14:textId="1E646CEE" w:rsidR="00866D58" w:rsidRPr="00642A5D" w:rsidRDefault="00704760" w:rsidP="00704760">
      <w:pPr>
        <w:pStyle w:val="bulletlist0"/>
      </w:pPr>
      <w:r>
        <w:t>•</w:t>
      </w:r>
      <w:r>
        <w:tab/>
      </w:r>
      <w:r w:rsidR="00866D58" w:rsidRPr="00642A5D">
        <w:t>Moorabool Viaduct Formation</w:t>
      </w:r>
      <w:r w:rsidR="009D643B">
        <w:t>.</w:t>
      </w:r>
    </w:p>
    <w:p w14:paraId="605F2A14" w14:textId="297F03F8" w:rsidR="00866D58" w:rsidRPr="00642A5D" w:rsidRDefault="00866D58">
      <w:pPr>
        <w:pStyle w:val="Para0bullet"/>
      </w:pPr>
      <w:r w:rsidRPr="00642A5D">
        <w:t>The Whalers Bluff Formation consists of fossiliferous clays, oyster beds and sandy limestones that are equivalent to the sandy limestone of the Werrikoo Limestone. The limestones grade into the Bridgewater Formation</w:t>
      </w:r>
      <w:r w:rsidR="0051708E">
        <w:t>,</w:t>
      </w:r>
      <w:r w:rsidRPr="00642A5D">
        <w:t xml:space="preserve"> which consist</w:t>
      </w:r>
      <w:r w:rsidR="0051708E">
        <w:t>s</w:t>
      </w:r>
      <w:r w:rsidRPr="00642A5D">
        <w:t xml:space="preserve"> of cross</w:t>
      </w:r>
      <w:r w:rsidR="0051708E">
        <w:t>-</w:t>
      </w:r>
      <w:r w:rsidRPr="00642A5D">
        <w:t>bedded, mainly carbonate</w:t>
      </w:r>
      <w:r w:rsidR="0051708E">
        <w:t>-</w:t>
      </w:r>
      <w:r w:rsidRPr="00642A5D">
        <w:t xml:space="preserve">cemented aeolian sandstones. </w:t>
      </w:r>
    </w:p>
    <w:p w14:paraId="3DDE3268" w14:textId="08C8049C" w:rsidR="00866D58" w:rsidRPr="00642A5D" w:rsidRDefault="00866D58">
      <w:pPr>
        <w:pStyle w:val="Para0bullet"/>
      </w:pPr>
      <w:r w:rsidRPr="00642A5D">
        <w:t>The Bridgewater Formation occurs as sub-parallel dune deposits throughout the Gambier Embayment and at nearshore localities throughout the Otway Basin</w:t>
      </w:r>
      <w:r w:rsidR="0051708E">
        <w:t>,</w:t>
      </w:r>
      <w:r w:rsidRPr="00642A5D">
        <w:t xml:space="preserve"> including Portland, Warnambool and the Nepean Peninsula. The Bridgewater Formation </w:t>
      </w:r>
      <w:r w:rsidR="00906EDC">
        <w:t>also comprises</w:t>
      </w:r>
      <w:r w:rsidRPr="00642A5D">
        <w:t xml:space="preserve"> aeolian deposits that are Quaternary in age and are not part of the Tertiary stratigraphy.</w:t>
      </w:r>
    </w:p>
    <w:p w14:paraId="1040A443" w14:textId="09253508" w:rsidR="00866D58" w:rsidRPr="00642A5D" w:rsidRDefault="00866D58">
      <w:pPr>
        <w:pStyle w:val="Para0bullet"/>
      </w:pPr>
      <w:r w:rsidRPr="00642A5D">
        <w:t xml:space="preserve">The </w:t>
      </w:r>
      <w:r w:rsidR="009D643B" w:rsidRPr="00642A5D">
        <w:t>Nels</w:t>
      </w:r>
      <w:r w:rsidR="009D643B">
        <w:t>o</w:t>
      </w:r>
      <w:r w:rsidR="009D643B" w:rsidRPr="00642A5D">
        <w:t xml:space="preserve">n </w:t>
      </w:r>
      <w:r w:rsidRPr="00642A5D">
        <w:t xml:space="preserve">Bar Formation </w:t>
      </w:r>
      <w:r w:rsidRPr="00906EDC">
        <w:t>consists of calc</w:t>
      </w:r>
      <w:r w:rsidR="009D643B" w:rsidRPr="00906EDC">
        <w:t>a</w:t>
      </w:r>
      <w:r w:rsidRPr="00906EDC">
        <w:t>renite</w:t>
      </w:r>
      <w:r w:rsidRPr="00642A5D">
        <w:t xml:space="preserve"> deposits that are up to 30 m thick. These outcrop near Nelson Bay and are similar in age to the Werikoo Limestone. </w:t>
      </w:r>
    </w:p>
    <w:p w14:paraId="1AEA6812" w14:textId="7C657B08" w:rsidR="00866D58" w:rsidRPr="00642A5D" w:rsidRDefault="00866D58">
      <w:pPr>
        <w:pStyle w:val="Para0bullet"/>
      </w:pPr>
      <w:r w:rsidRPr="00642A5D">
        <w:t xml:space="preserve">The Dorodong Sands are slightly fossiliferous and micaceous sands to gravels that are up to 30 m </w:t>
      </w:r>
      <w:r w:rsidR="00CD3D6E">
        <w:t>thick</w:t>
      </w:r>
      <w:r w:rsidRPr="00642A5D">
        <w:t xml:space="preserve"> and unconformably overlie the Heytesbury Group. The Grange Burn Formation consists of shelly marls and limestone that outcrop near Muddy Creek and Grange Burn near Hamilton.</w:t>
      </w:r>
    </w:p>
    <w:p w14:paraId="2DA74A30" w14:textId="5C2DE21B" w:rsidR="00866D58" w:rsidRDefault="00866D58" w:rsidP="00866D58">
      <w:pPr>
        <w:pStyle w:val="Para0"/>
      </w:pPr>
      <w:r w:rsidRPr="00642A5D">
        <w:t xml:space="preserve">The Hanson Plain Sand </w:t>
      </w:r>
      <w:r w:rsidR="0051708E">
        <w:t>consists of</w:t>
      </w:r>
      <w:r w:rsidR="0051708E" w:rsidRPr="00642A5D">
        <w:t xml:space="preserve"> </w:t>
      </w:r>
      <w:r w:rsidRPr="00642A5D">
        <w:t>shelly sands and silts and disconformably overlie</w:t>
      </w:r>
      <w:r w:rsidR="0051708E">
        <w:t>s</w:t>
      </w:r>
      <w:r w:rsidRPr="00642A5D">
        <w:t xml:space="preserve"> the Port Campbell Limestone and are equivalent in age to the Whalers Bluff Formation. The sands have been previously named the Moorabool Viaduct Formation.</w:t>
      </w:r>
    </w:p>
    <w:p w14:paraId="3F59BF04" w14:textId="7101DE4F" w:rsidR="00325C2A" w:rsidRDefault="00325C2A">
      <w:pPr>
        <w:spacing w:after="200"/>
        <w:rPr>
          <w:rFonts w:eastAsiaTheme="minorEastAsia" w:cstheme="minorBidi"/>
          <w:szCs w:val="24"/>
          <w:lang w:val="en-AU" w:eastAsia="en-US"/>
        </w:rPr>
      </w:pPr>
      <w:r>
        <w:br w:type="page"/>
      </w:r>
    </w:p>
    <w:p w14:paraId="05D5F081" w14:textId="77777777" w:rsidR="007A3E0D" w:rsidRPr="00642A5D" w:rsidRDefault="00866D58" w:rsidP="00866D58">
      <w:pPr>
        <w:pStyle w:val="Heading4"/>
        <w:rPr>
          <w:lang w:val="en-AU" w:eastAsia="en-US"/>
        </w:rPr>
      </w:pPr>
      <w:r w:rsidRPr="00642A5D">
        <w:rPr>
          <w:lang w:val="en-AU" w:eastAsia="en-US"/>
        </w:rPr>
        <w:lastRenderedPageBreak/>
        <w:t>Newer Volcanics</w:t>
      </w:r>
    </w:p>
    <w:p w14:paraId="7B7828E7" w14:textId="54B0A0BA" w:rsidR="00866D58" w:rsidRPr="00642A5D" w:rsidRDefault="00866D58" w:rsidP="00906EDC">
      <w:pPr>
        <w:pStyle w:val="Para0bullet"/>
        <w:ind w:left="1"/>
      </w:pPr>
      <w:r w:rsidRPr="00642A5D">
        <w:t>The Newer Volcanics largely comprise basaltic lavas, tuffs and pyroclastic flows that are widespread throughout the Otway Basin. They generally unconformably overlie the Heytesbury Group</w:t>
      </w:r>
      <w:r w:rsidR="001D63F5">
        <w:t>,</w:t>
      </w:r>
      <w:r w:rsidRPr="00642A5D">
        <w:t xml:space="preserve"> and tuffs interbed with the Heytesbury Group near Heywood. The distribution and thickness of the Newer Volcanics is illustrated in </w:t>
      </w:r>
      <w:r w:rsidR="007569CD" w:rsidRPr="00642A5D">
        <w:fldChar w:fldCharType="begin"/>
      </w:r>
      <w:r w:rsidRPr="00642A5D">
        <w:instrText xml:space="preserve"> REF _Ref404090175 \h </w:instrText>
      </w:r>
      <w:r w:rsidR="00642A5D">
        <w:instrText xml:space="preserve"> \* MERGEFORMAT </w:instrText>
      </w:r>
      <w:r w:rsidR="007569CD" w:rsidRPr="00642A5D">
        <w:fldChar w:fldCharType="separate"/>
      </w:r>
      <w:r w:rsidR="00171A5E" w:rsidRPr="00642A5D">
        <w:t xml:space="preserve">Figure </w:t>
      </w:r>
      <w:r w:rsidR="00171A5E">
        <w:rPr>
          <w:noProof/>
        </w:rPr>
        <w:t>10</w:t>
      </w:r>
      <w:r w:rsidR="007569CD" w:rsidRPr="00642A5D">
        <w:fldChar w:fldCharType="end"/>
      </w:r>
      <w:r w:rsidRPr="00642A5D">
        <w:t>.</w:t>
      </w:r>
    </w:p>
    <w:p w14:paraId="4BC60DEB" w14:textId="4C8F7BC2" w:rsidR="00866D58" w:rsidRPr="00642A5D" w:rsidRDefault="00866D58">
      <w:pPr>
        <w:pStyle w:val="Para0bullet"/>
      </w:pPr>
      <w:r w:rsidRPr="00642A5D">
        <w:t xml:space="preserve">The Newer Volcanics represent various stages of eruption, resulting in the formation of numerous basalt sheets reaching </w:t>
      </w:r>
      <w:r w:rsidR="001D63F5">
        <w:t>more</w:t>
      </w:r>
      <w:r w:rsidR="001D63F5" w:rsidRPr="00642A5D">
        <w:t xml:space="preserve"> </w:t>
      </w:r>
      <w:r w:rsidRPr="00642A5D">
        <w:t xml:space="preserve">than 30 m </w:t>
      </w:r>
      <w:r w:rsidR="00CD3D6E">
        <w:t>thick</w:t>
      </w:r>
      <w:r w:rsidRPr="00642A5D">
        <w:t xml:space="preserve"> throughout depressions and fluvial channels (Bush, 2009). Between various eruption phases, erosion of the volcanics and deposition of Quaternary sediments dominated the depositional regime, resulting in the interbedding of Newer Volcanics and overlying Quaternary sediments in many areas.</w:t>
      </w:r>
    </w:p>
    <w:p w14:paraId="0810CEB6" w14:textId="77777777" w:rsidR="00866D58" w:rsidRPr="002D44DF" w:rsidRDefault="00866D58" w:rsidP="002D44DF">
      <w:pPr>
        <w:pStyle w:val="figurereturn"/>
      </w:pPr>
      <w:r w:rsidRPr="00642A5D">
        <w:drawing>
          <wp:inline distT="0" distB="0" distL="0" distR="0" wp14:anchorId="00C240BC" wp14:editId="10A13FBD">
            <wp:extent cx="6372225" cy="3647691"/>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6380755" cy="3652574"/>
                    </a:xfrm>
                    <a:prstGeom prst="rect">
                      <a:avLst/>
                    </a:prstGeom>
                  </pic:spPr>
                </pic:pic>
              </a:graphicData>
            </a:graphic>
          </wp:inline>
        </w:drawing>
      </w:r>
    </w:p>
    <w:p w14:paraId="14E02AD3" w14:textId="00DEAF84" w:rsidR="00074EAE" w:rsidRDefault="00866D58" w:rsidP="00A53AE8">
      <w:pPr>
        <w:pStyle w:val="Figuretitle"/>
      </w:pPr>
      <w:bookmarkStart w:id="185" w:name="_Ref404090175"/>
      <w:bookmarkStart w:id="186" w:name="_Toc422928781"/>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10</w:t>
      </w:r>
      <w:r w:rsidR="007569CD" w:rsidRPr="00642A5D">
        <w:fldChar w:fldCharType="end"/>
      </w:r>
      <w:bookmarkEnd w:id="185"/>
      <w:r w:rsidR="00F95BE3">
        <w:t>:</w:t>
      </w:r>
      <w:r w:rsidRPr="00642A5D">
        <w:t xml:space="preserve"> </w:t>
      </w:r>
      <w:r w:rsidR="00650989">
        <w:t xml:space="preserve"> </w:t>
      </w:r>
      <w:r w:rsidRPr="00642A5D">
        <w:t>Isopach of the Newer Volcanics at 20 m contour intervals</w:t>
      </w:r>
      <w:r w:rsidR="00650989">
        <w:t>.</w:t>
      </w:r>
      <w:r w:rsidRPr="00642A5D">
        <w:t xml:space="preserve"> (</w:t>
      </w:r>
      <w:r w:rsidR="00650989">
        <w:t>S</w:t>
      </w:r>
      <w:r w:rsidR="00755B17">
        <w:t xml:space="preserve">ource: </w:t>
      </w:r>
      <w:r w:rsidRPr="00642A5D">
        <w:t>Bush, 2009</w:t>
      </w:r>
      <w:r w:rsidR="00650989">
        <w:t>.</w:t>
      </w:r>
      <w:r w:rsidRPr="00642A5D">
        <w:t>)</w:t>
      </w:r>
      <w:bookmarkStart w:id="187" w:name="_Ref409798013"/>
      <w:bookmarkEnd w:id="186"/>
    </w:p>
    <w:p w14:paraId="76D798EC" w14:textId="7462CE3D" w:rsidR="00641F12" w:rsidRPr="00642A5D" w:rsidRDefault="00704760" w:rsidP="00641F12">
      <w:pPr>
        <w:pStyle w:val="Head3xxx"/>
      </w:pPr>
      <w:bookmarkStart w:id="188" w:name="_Ref418613164"/>
      <w:bookmarkStart w:id="189" w:name="_Toc420568668"/>
      <w:bookmarkStart w:id="190" w:name="_Toc420570250"/>
      <w:bookmarkStart w:id="191" w:name="_Toc420571446"/>
      <w:bookmarkStart w:id="192" w:name="_Toc420572084"/>
      <w:bookmarkStart w:id="193" w:name="_Toc296766939"/>
      <w:r>
        <w:t>2.2.3</w:t>
      </w:r>
      <w:r>
        <w:tab/>
      </w:r>
      <w:r w:rsidR="00641F12" w:rsidRPr="00642A5D">
        <w:t>Potential onshore natural gas</w:t>
      </w:r>
      <w:bookmarkEnd w:id="187"/>
      <w:bookmarkEnd w:id="188"/>
      <w:bookmarkEnd w:id="189"/>
      <w:bookmarkEnd w:id="190"/>
      <w:bookmarkEnd w:id="191"/>
      <w:bookmarkEnd w:id="192"/>
      <w:bookmarkEnd w:id="193"/>
    </w:p>
    <w:p w14:paraId="48127F62" w14:textId="378BB04C" w:rsidR="000576CF" w:rsidRPr="00642A5D" w:rsidRDefault="000174F7">
      <w:r w:rsidRPr="00642A5D">
        <w:t xml:space="preserve">A number of potential gas resources have been defined in the Otway region at different spatial scales. The following section </w:t>
      </w:r>
      <w:r w:rsidR="000E20CA" w:rsidRPr="00642A5D">
        <w:t>outlines prospective areas for onshore gas</w:t>
      </w:r>
      <w:r w:rsidR="001D63F5">
        <w:t>,</w:t>
      </w:r>
      <w:r w:rsidR="000E20CA" w:rsidRPr="00642A5D">
        <w:t xml:space="preserve"> based on </w:t>
      </w:r>
      <w:r w:rsidR="00DE4271">
        <w:t>Goldie</w:t>
      </w:r>
      <w:r w:rsidR="001D63F5">
        <w:t xml:space="preserve"> </w:t>
      </w:r>
      <w:r w:rsidR="00DE4271">
        <w:t>Divko</w:t>
      </w:r>
      <w:r w:rsidR="00F55F5C">
        <w:t xml:space="preserve"> (2015)</w:t>
      </w:r>
      <w:r w:rsidR="000E20CA" w:rsidRPr="00642A5D">
        <w:t>.</w:t>
      </w:r>
      <w:r w:rsidR="009A72C5">
        <w:t xml:space="preserve"> </w:t>
      </w:r>
    </w:p>
    <w:p w14:paraId="08ADB0F1" w14:textId="77777777" w:rsidR="001B0814" w:rsidRPr="00642A5D" w:rsidRDefault="001B0814" w:rsidP="001B0814">
      <w:pPr>
        <w:pStyle w:val="Heading4"/>
      </w:pPr>
      <w:r w:rsidRPr="00642A5D">
        <w:t>Tight gas</w:t>
      </w:r>
    </w:p>
    <w:p w14:paraId="0A69B4F7" w14:textId="687944F4" w:rsidR="001B0814" w:rsidRPr="00642A5D" w:rsidRDefault="000B0845" w:rsidP="001B0814">
      <w:pPr>
        <w:pStyle w:val="Para0"/>
      </w:pPr>
      <w:r>
        <w:t>The prospective</w:t>
      </w:r>
      <w:r w:rsidR="00051F1C" w:rsidRPr="00642A5D">
        <w:t xml:space="preserve"> tight gas formation is the </w:t>
      </w:r>
      <w:r w:rsidR="00051F1C" w:rsidRPr="00906EDC">
        <w:t>Eumeralla</w:t>
      </w:r>
      <w:r w:rsidR="00051F1C" w:rsidRPr="00642A5D">
        <w:t xml:space="preserve"> Formation, which underlies the Waarre Formation at a depth ranging from 1300 to around 2200 m</w:t>
      </w:r>
      <w:r w:rsidR="00051F1C">
        <w:t>.</w:t>
      </w:r>
      <w:r w:rsidR="009A72C5">
        <w:t xml:space="preserve"> </w:t>
      </w:r>
      <w:r w:rsidR="00FC7512">
        <w:t xml:space="preserve">The </w:t>
      </w:r>
      <w:r w:rsidR="00FC7512" w:rsidRPr="00642A5D">
        <w:t>assessment</w:t>
      </w:r>
      <w:r w:rsidR="00FC7512">
        <w:t xml:space="preserve"> of potential impacts</w:t>
      </w:r>
      <w:r w:rsidR="00FC7512" w:rsidRPr="00642A5D">
        <w:t xml:space="preserve"> </w:t>
      </w:r>
      <w:r w:rsidR="00FC7512">
        <w:t>from</w:t>
      </w:r>
      <w:r w:rsidR="001B0814" w:rsidRPr="00642A5D">
        <w:t xml:space="preserve"> tight gas development </w:t>
      </w:r>
      <w:r w:rsidR="00FC7512">
        <w:t xml:space="preserve">has adopted the </w:t>
      </w:r>
      <w:r w:rsidR="001B0814" w:rsidRPr="00C150BC">
        <w:t>sub</w:t>
      </w:r>
      <w:r w:rsidR="001D63F5">
        <w:t>-</w:t>
      </w:r>
      <w:r w:rsidR="001B0814" w:rsidRPr="00C150BC">
        <w:t>regional scale</w:t>
      </w:r>
      <w:r w:rsidR="00FC7512" w:rsidRPr="00C150BC">
        <w:t xml:space="preserve"> scenario</w:t>
      </w:r>
      <w:r w:rsidR="00992BC5" w:rsidRPr="00C150BC">
        <w:t xml:space="preserve"> area</w:t>
      </w:r>
      <w:r w:rsidR="001B0814" w:rsidRPr="001D63F5">
        <w:t xml:space="preserve"> </w:t>
      </w:r>
      <w:r w:rsidR="001B0814" w:rsidRPr="00642A5D">
        <w:t>(140 km</w:t>
      </w:r>
      <w:r w:rsidR="001B0814" w:rsidRPr="00642A5D">
        <w:rPr>
          <w:vertAlign w:val="superscript"/>
        </w:rPr>
        <w:t>2</w:t>
      </w:r>
      <w:r w:rsidR="001B0814" w:rsidRPr="00642A5D">
        <w:t>)</w:t>
      </w:r>
      <w:r w:rsidR="001B0814">
        <w:t xml:space="preserve"> </w:t>
      </w:r>
      <w:r w:rsidR="00FC7512">
        <w:t>shown in</w:t>
      </w:r>
      <w:r w:rsidR="008372E3">
        <w:t xml:space="preserve"> Figure 10</w:t>
      </w:r>
      <w:r w:rsidR="00FC7512">
        <w:t>.</w:t>
      </w:r>
    </w:p>
    <w:p w14:paraId="1450300A" w14:textId="77777777" w:rsidR="001B0814" w:rsidRPr="002D44DF" w:rsidRDefault="001B0814" w:rsidP="002D44DF">
      <w:pPr>
        <w:pStyle w:val="figurereturn"/>
      </w:pPr>
      <w:r w:rsidRPr="00642A5D">
        <w:lastRenderedPageBreak/>
        <w:drawing>
          <wp:inline distT="0" distB="0" distL="0" distR="0" wp14:anchorId="4A4992F7" wp14:editId="1516FF18">
            <wp:extent cx="5736621" cy="3793067"/>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43551" cy="3797649"/>
                    </a:xfrm>
                    <a:prstGeom prst="rect">
                      <a:avLst/>
                    </a:prstGeom>
                  </pic:spPr>
                </pic:pic>
              </a:graphicData>
            </a:graphic>
          </wp:inline>
        </w:drawing>
      </w:r>
    </w:p>
    <w:p w14:paraId="634FADF9" w14:textId="219168CC" w:rsidR="001B0814" w:rsidRDefault="001B0814" w:rsidP="00A53AE8">
      <w:pPr>
        <w:pStyle w:val="Figuretitle"/>
      </w:pPr>
      <w:bookmarkStart w:id="194" w:name="_Toc422928782"/>
      <w:r w:rsidRPr="00642A5D">
        <w:t xml:space="preserve">Figure </w:t>
      </w:r>
      <w:r w:rsidRPr="00642A5D">
        <w:fldChar w:fldCharType="begin"/>
      </w:r>
      <w:r w:rsidRPr="00642A5D">
        <w:instrText xml:space="preserve"> SEQ Figure \* ARABIC </w:instrText>
      </w:r>
      <w:r w:rsidRPr="00642A5D">
        <w:fldChar w:fldCharType="separate"/>
      </w:r>
      <w:r w:rsidR="00171A5E">
        <w:t>11</w:t>
      </w:r>
      <w:r w:rsidRPr="00642A5D">
        <w:fldChar w:fldCharType="end"/>
      </w:r>
      <w:r w:rsidR="00F95BE3">
        <w:t>:</w:t>
      </w:r>
      <w:r w:rsidRPr="00642A5D">
        <w:t xml:space="preserve"> </w:t>
      </w:r>
      <w:r w:rsidR="00650989">
        <w:t xml:space="preserve"> </w:t>
      </w:r>
      <w:r w:rsidRPr="00642A5D">
        <w:t xml:space="preserve">Otway </w:t>
      </w:r>
      <w:r>
        <w:t>region</w:t>
      </w:r>
      <w:r w:rsidRPr="00642A5D">
        <w:t xml:space="preserve"> tight gas resource development scenario</w:t>
      </w:r>
      <w:r w:rsidR="00992BC5">
        <w:t xml:space="preserve"> area</w:t>
      </w:r>
      <w:r w:rsidR="00650989">
        <w:t>.</w:t>
      </w:r>
      <w:r w:rsidRPr="00642A5D">
        <w:t xml:space="preserve"> (</w:t>
      </w:r>
      <w:r w:rsidR="00650989">
        <w:t>S</w:t>
      </w:r>
      <w:r w:rsidR="00755B17">
        <w:t xml:space="preserve">ource: </w:t>
      </w:r>
      <w:r w:rsidR="00DE4271">
        <w:t>Goldie</w:t>
      </w:r>
      <w:r w:rsidR="00650989">
        <w:t xml:space="preserve"> </w:t>
      </w:r>
      <w:r w:rsidR="00DE4271">
        <w:t>Divko</w:t>
      </w:r>
      <w:r>
        <w:t>, 2015</w:t>
      </w:r>
      <w:r w:rsidR="00650989">
        <w:t>.</w:t>
      </w:r>
      <w:r w:rsidRPr="00642A5D">
        <w:t>)</w:t>
      </w:r>
      <w:bookmarkEnd w:id="194"/>
    </w:p>
    <w:p w14:paraId="4E8D4401" w14:textId="77777777" w:rsidR="00024AF2" w:rsidRPr="00642A5D" w:rsidRDefault="00024AF2" w:rsidP="00024AF2">
      <w:pPr>
        <w:pStyle w:val="Heading4"/>
      </w:pPr>
      <w:r w:rsidRPr="00642A5D">
        <w:t>Shale gas</w:t>
      </w:r>
    </w:p>
    <w:p w14:paraId="350233A5" w14:textId="77777777" w:rsidR="000A489F" w:rsidRDefault="00024AF2" w:rsidP="00024AF2">
      <w:pPr>
        <w:pStyle w:val="Para0"/>
      </w:pPr>
      <w:r w:rsidRPr="00642A5D">
        <w:t xml:space="preserve">The Casterton Formation is generally the primary </w:t>
      </w:r>
      <w:r w:rsidR="000B0845">
        <w:t xml:space="preserve">potential </w:t>
      </w:r>
      <w:r w:rsidRPr="00642A5D">
        <w:t xml:space="preserve">for shale gas in the Penola Trough at depths greater than 3,500 m. </w:t>
      </w:r>
    </w:p>
    <w:p w14:paraId="1C76B88E" w14:textId="394E8959" w:rsidR="00024AF2" w:rsidRDefault="00906EDC" w:rsidP="00024AF2">
      <w:pPr>
        <w:pStyle w:val="Para0"/>
      </w:pPr>
      <w:r>
        <w:t>T</w:t>
      </w:r>
      <w:r w:rsidR="00024AF2" w:rsidRPr="00642A5D">
        <w:t>he different areas of prospective shale gas</w:t>
      </w:r>
      <w:r>
        <w:t xml:space="preserve"> are shown in </w:t>
      </w:r>
      <w:r w:rsidRPr="00642A5D">
        <w:t xml:space="preserve">Figure </w:t>
      </w:r>
      <w:r>
        <w:rPr>
          <w:noProof/>
        </w:rPr>
        <w:t>12</w:t>
      </w:r>
      <w:r w:rsidR="00024AF2" w:rsidRPr="00642A5D">
        <w:t>.</w:t>
      </w:r>
      <w:r w:rsidR="009A72C5">
        <w:t xml:space="preserve"> </w:t>
      </w:r>
      <w:r w:rsidR="000607B6">
        <w:t>T</w:t>
      </w:r>
      <w:r w:rsidR="00024AF2" w:rsidRPr="00642A5D">
        <w:t>he assessment</w:t>
      </w:r>
      <w:r w:rsidR="000607B6">
        <w:t xml:space="preserve"> of potential impacts</w:t>
      </w:r>
      <w:r w:rsidR="00024AF2" w:rsidRPr="00642A5D">
        <w:t xml:space="preserve"> </w:t>
      </w:r>
      <w:r w:rsidR="00FC7512">
        <w:t>from shale gas development has adopted</w:t>
      </w:r>
      <w:r w:rsidR="00024AF2" w:rsidRPr="00642A5D">
        <w:t xml:space="preserve"> </w:t>
      </w:r>
      <w:r w:rsidR="00024AF2" w:rsidRPr="00906EDC">
        <w:t>the subregional scale</w:t>
      </w:r>
      <w:r w:rsidR="00051F1C" w:rsidRPr="00906EDC">
        <w:t xml:space="preserve"> scenario</w:t>
      </w:r>
      <w:r w:rsidR="00992BC5" w:rsidRPr="00906EDC">
        <w:t xml:space="preserve"> area</w:t>
      </w:r>
      <w:r w:rsidR="00024AF2" w:rsidRPr="00642A5D">
        <w:t xml:space="preserve"> (an area of 300 km</w:t>
      </w:r>
      <w:r w:rsidR="00024AF2" w:rsidRPr="00642A5D">
        <w:rPr>
          <w:vertAlign w:val="superscript"/>
        </w:rPr>
        <w:t>2</w:t>
      </w:r>
      <w:r w:rsidR="00024AF2" w:rsidRPr="00642A5D">
        <w:t>) shown</w:t>
      </w:r>
      <w:r w:rsidR="00051F1C">
        <w:t xml:space="preserve"> in</w:t>
      </w:r>
      <w:r w:rsidR="00904648">
        <w:t xml:space="preserve"> Figure 12</w:t>
      </w:r>
      <w:r w:rsidR="00024AF2" w:rsidRPr="00642A5D">
        <w:t>.</w:t>
      </w:r>
      <w:r w:rsidR="009A72C5">
        <w:t xml:space="preserve"> </w:t>
      </w:r>
      <w:r w:rsidR="00024AF2" w:rsidRPr="00642A5D">
        <w:t xml:space="preserve">This area has been inferred based on the depth to the formation where gas may have been generated and trapped (O’Brien </w:t>
      </w:r>
      <w:r w:rsidR="0061023B" w:rsidRPr="0061023B">
        <w:t>et al.</w:t>
      </w:r>
      <w:r w:rsidR="00024AF2" w:rsidRPr="00642A5D">
        <w:t>, 2009).</w:t>
      </w:r>
    </w:p>
    <w:p w14:paraId="5F7B60F9" w14:textId="20FA7109" w:rsidR="001D63F5" w:rsidRPr="00642A5D" w:rsidRDefault="001D63F5" w:rsidP="001D63F5">
      <w:pPr>
        <w:pStyle w:val="Heading4"/>
      </w:pPr>
      <w:r w:rsidRPr="00642A5D">
        <w:t xml:space="preserve">Coal </w:t>
      </w:r>
      <w:r>
        <w:t>s</w:t>
      </w:r>
      <w:r w:rsidRPr="00642A5D">
        <w:t xml:space="preserve">eam </w:t>
      </w:r>
      <w:r>
        <w:t>g</w:t>
      </w:r>
      <w:r w:rsidRPr="00642A5D">
        <w:t>as</w:t>
      </w:r>
    </w:p>
    <w:p w14:paraId="1B44263F" w14:textId="5D06752A" w:rsidR="001D63F5" w:rsidRPr="00642A5D" w:rsidRDefault="001D63F5" w:rsidP="001D63F5">
      <w:pPr>
        <w:pStyle w:val="Para0"/>
      </w:pPr>
      <w:r>
        <w:t>In the past the</w:t>
      </w:r>
      <w:r w:rsidRPr="00642A5D">
        <w:t xml:space="preserve"> Killara </w:t>
      </w:r>
      <w:r>
        <w:t>c</w:t>
      </w:r>
      <w:r w:rsidRPr="00642A5D">
        <w:t xml:space="preserve">oal </w:t>
      </w:r>
      <w:r>
        <w:t>m</w:t>
      </w:r>
      <w:r w:rsidRPr="00642A5D">
        <w:t xml:space="preserve">easures have been the focus of </w:t>
      </w:r>
      <w:r>
        <w:t xml:space="preserve">exploration for </w:t>
      </w:r>
      <w:r w:rsidRPr="00642A5D">
        <w:t>coal seam gas and younger Tertiary brown coals (generally restricted to the Torquay Su</w:t>
      </w:r>
      <w:r>
        <w:t>b-Basin)</w:t>
      </w:r>
      <w:r w:rsidRPr="00642A5D">
        <w:t xml:space="preserve">. </w:t>
      </w:r>
      <w:r w:rsidRPr="00642A5D">
        <w:fldChar w:fldCharType="begin"/>
      </w:r>
      <w:r w:rsidRPr="00642A5D">
        <w:instrText xml:space="preserve"> REF _Ref403651806 \h  \* MERGEFORMAT </w:instrText>
      </w:r>
      <w:r w:rsidRPr="00642A5D">
        <w:fldChar w:fldCharType="separate"/>
      </w:r>
      <w:r w:rsidR="00171A5E" w:rsidRPr="00642A5D">
        <w:t xml:space="preserve">Figure </w:t>
      </w:r>
      <w:r w:rsidR="00171A5E">
        <w:t>13</w:t>
      </w:r>
      <w:r w:rsidRPr="00642A5D">
        <w:fldChar w:fldCharType="end"/>
      </w:r>
      <w:r w:rsidRPr="00642A5D">
        <w:t xml:space="preserve"> shows the different areas of prospective coal seam gas.</w:t>
      </w:r>
      <w:r>
        <w:t xml:space="preserve"> </w:t>
      </w:r>
      <w:r w:rsidRPr="00642A5D">
        <w:rPr>
          <w:rStyle w:val="Para0Char"/>
        </w:rPr>
        <w:t xml:space="preserve">This shows the areas where the </w:t>
      </w:r>
      <w:r w:rsidRPr="00642A5D">
        <w:t xml:space="preserve">base of the Eumeralla Formation (and thus the Killara </w:t>
      </w:r>
      <w:r>
        <w:t>c</w:t>
      </w:r>
      <w:r w:rsidRPr="00642A5D">
        <w:t xml:space="preserve">oal </w:t>
      </w:r>
      <w:r>
        <w:t>m</w:t>
      </w:r>
      <w:r w:rsidRPr="00642A5D">
        <w:t xml:space="preserve">easures) occurs at </w:t>
      </w:r>
      <w:r>
        <w:t xml:space="preserve">relatively </w:t>
      </w:r>
      <w:r w:rsidRPr="00642A5D">
        <w:t>shallow depths. The areas range from approximately 50 to 160</w:t>
      </w:r>
      <w:r>
        <w:t> </w:t>
      </w:r>
      <w:r w:rsidRPr="00642A5D">
        <w:t>km</w:t>
      </w:r>
      <w:r w:rsidRPr="00642A5D">
        <w:rPr>
          <w:vertAlign w:val="superscript"/>
        </w:rPr>
        <w:t>2</w:t>
      </w:r>
      <w:r w:rsidRPr="00642A5D">
        <w:t xml:space="preserve"> at depths </w:t>
      </w:r>
      <w:r>
        <w:t>of</w:t>
      </w:r>
      <w:r w:rsidRPr="00642A5D">
        <w:t xml:space="preserve"> </w:t>
      </w:r>
      <w:r>
        <w:t>60</w:t>
      </w:r>
      <w:r w:rsidRPr="00642A5D">
        <w:t>0</w:t>
      </w:r>
      <w:r>
        <w:t> </w:t>
      </w:r>
      <w:r w:rsidRPr="00642A5D">
        <w:t>m</w:t>
      </w:r>
      <w:r>
        <w:t xml:space="preserve"> or more</w:t>
      </w:r>
      <w:r w:rsidRPr="00642A5D">
        <w:t xml:space="preserve">. </w:t>
      </w:r>
    </w:p>
    <w:p w14:paraId="3BB91D85" w14:textId="77777777" w:rsidR="00325C2A" w:rsidRPr="00642A5D" w:rsidRDefault="00325C2A" w:rsidP="00325C2A">
      <w:pPr>
        <w:pStyle w:val="Heading4"/>
      </w:pPr>
      <w:r w:rsidRPr="00642A5D">
        <w:t>Conventional gas</w:t>
      </w:r>
    </w:p>
    <w:p w14:paraId="47AE5DAB" w14:textId="4C9C21C6" w:rsidR="00325C2A" w:rsidRPr="00642A5D" w:rsidRDefault="00325C2A" w:rsidP="00325C2A">
      <w:pPr>
        <w:pStyle w:val="Para0"/>
      </w:pPr>
      <w:r w:rsidRPr="00642A5D">
        <w:t>A number of conventional gas fields have been developed in the Port Campbell Embayment</w:t>
      </w:r>
      <w:r>
        <w:t>,</w:t>
      </w:r>
      <w:r w:rsidRPr="00642A5D">
        <w:t xml:space="preserve"> which remains a prospective site for potential future conventional gas discoveries. The conventional gas reservoir unit is the Waarre Formation and is found at depths ranging between 1100 and 1700 m. Conventional gas </w:t>
      </w:r>
      <w:r>
        <w:t>p</w:t>
      </w:r>
      <w:r w:rsidRPr="00642A5D">
        <w:t>rospectivity is defined at project, subregional and regional scales (</w:t>
      </w:r>
      <w:r w:rsidRPr="00642A5D">
        <w:fldChar w:fldCharType="begin"/>
      </w:r>
      <w:r w:rsidRPr="00642A5D">
        <w:instrText xml:space="preserve"> REF _Ref402947884 \h </w:instrText>
      </w:r>
      <w:r>
        <w:instrText xml:space="preserve"> \* MERGEFORMAT </w:instrText>
      </w:r>
      <w:r w:rsidRPr="00642A5D">
        <w:fldChar w:fldCharType="separate"/>
      </w:r>
      <w:r w:rsidR="00171A5E" w:rsidRPr="00642A5D">
        <w:t xml:space="preserve">Figure </w:t>
      </w:r>
      <w:r w:rsidR="00171A5E">
        <w:rPr>
          <w:noProof/>
        </w:rPr>
        <w:t>14</w:t>
      </w:r>
      <w:r w:rsidRPr="00642A5D">
        <w:fldChar w:fldCharType="end"/>
      </w:r>
      <w:r w:rsidRPr="00642A5D">
        <w:t>).</w:t>
      </w:r>
      <w:r>
        <w:t xml:space="preserve"> T</w:t>
      </w:r>
      <w:r w:rsidRPr="00642A5D">
        <w:t>he assessment</w:t>
      </w:r>
      <w:r>
        <w:t xml:space="preserve"> of potential impacts</w:t>
      </w:r>
      <w:r w:rsidRPr="00642A5D">
        <w:t xml:space="preserve"> </w:t>
      </w:r>
      <w:r>
        <w:t>from conventional gas is based on</w:t>
      </w:r>
      <w:r w:rsidRPr="00642A5D">
        <w:t xml:space="preserve"> the </w:t>
      </w:r>
      <w:r w:rsidRPr="00906EDC">
        <w:t>subregional scale scenario area</w:t>
      </w:r>
      <w:r>
        <w:t xml:space="preserve"> </w:t>
      </w:r>
      <w:r w:rsidRPr="00642A5D">
        <w:t xml:space="preserve">shown in </w:t>
      </w:r>
      <w:r w:rsidRPr="00642A5D">
        <w:fldChar w:fldCharType="begin"/>
      </w:r>
      <w:r w:rsidRPr="00642A5D">
        <w:instrText xml:space="preserve"> REF _Ref402947884 \h </w:instrText>
      </w:r>
      <w:r>
        <w:instrText xml:space="preserve"> \* MERGEFORMAT </w:instrText>
      </w:r>
      <w:r w:rsidRPr="00642A5D">
        <w:fldChar w:fldCharType="separate"/>
      </w:r>
      <w:r w:rsidR="00171A5E" w:rsidRPr="00642A5D">
        <w:t xml:space="preserve">Figure </w:t>
      </w:r>
      <w:r w:rsidR="00171A5E">
        <w:rPr>
          <w:noProof/>
        </w:rPr>
        <w:t>14</w:t>
      </w:r>
      <w:r w:rsidRPr="00642A5D">
        <w:fldChar w:fldCharType="end"/>
      </w:r>
      <w:r w:rsidRPr="00642A5D">
        <w:t>. This area includes a cluster of gas fields (some of which are developed), including the Langley/Grumby, North Paaratte, Skull Creek, Dunbar and Wallaby Creek fields. The sub</w:t>
      </w:r>
      <w:r>
        <w:t>-</w:t>
      </w:r>
      <w:r w:rsidRPr="00642A5D">
        <w:t xml:space="preserve">regional scale is defined as the part of the Waarre Formation that is mature for gas generation (after O’Brien </w:t>
      </w:r>
      <w:r w:rsidR="0061023B" w:rsidRPr="0061023B">
        <w:t>et al.</w:t>
      </w:r>
      <w:r w:rsidRPr="00906EDC">
        <w:t>,</w:t>
      </w:r>
      <w:r w:rsidRPr="00642A5D">
        <w:t xml:space="preserve"> 2009).</w:t>
      </w:r>
    </w:p>
    <w:p w14:paraId="4D1764BB" w14:textId="3D626434" w:rsidR="006E2990" w:rsidRPr="002D44DF" w:rsidRDefault="00024AF2" w:rsidP="002D44DF">
      <w:pPr>
        <w:pStyle w:val="figurereturn"/>
      </w:pPr>
      <w:r w:rsidRPr="00642A5D">
        <w:lastRenderedPageBreak/>
        <w:drawing>
          <wp:inline distT="0" distB="0" distL="0" distR="0" wp14:anchorId="78B7D9E2" wp14:editId="2E44EF7F">
            <wp:extent cx="5807541" cy="3877734"/>
            <wp:effectExtent l="0" t="0" r="952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807541" cy="3877734"/>
                    </a:xfrm>
                    <a:prstGeom prst="rect">
                      <a:avLst/>
                    </a:prstGeom>
                    <a:noFill/>
                    <a:ln>
                      <a:noFill/>
                    </a:ln>
                  </pic:spPr>
                </pic:pic>
              </a:graphicData>
            </a:graphic>
          </wp:inline>
        </w:drawing>
      </w:r>
      <w:bookmarkStart w:id="195" w:name="_Ref402950749"/>
    </w:p>
    <w:p w14:paraId="1192D011" w14:textId="557B3826" w:rsidR="00024AF2" w:rsidRPr="00642A5D" w:rsidRDefault="00024AF2" w:rsidP="00A53AE8">
      <w:pPr>
        <w:pStyle w:val="Figuretitle"/>
      </w:pPr>
      <w:bookmarkStart w:id="196" w:name="_Toc422928783"/>
      <w:r w:rsidRPr="00642A5D">
        <w:t xml:space="preserve">Figure </w:t>
      </w:r>
      <w:r w:rsidRPr="00642A5D">
        <w:fldChar w:fldCharType="begin"/>
      </w:r>
      <w:r w:rsidRPr="00642A5D">
        <w:instrText xml:space="preserve"> SEQ Figure \* ARABIC </w:instrText>
      </w:r>
      <w:r w:rsidRPr="00642A5D">
        <w:fldChar w:fldCharType="separate"/>
      </w:r>
      <w:r w:rsidR="00171A5E">
        <w:t>12</w:t>
      </w:r>
      <w:r w:rsidRPr="00642A5D">
        <w:fldChar w:fldCharType="end"/>
      </w:r>
      <w:bookmarkEnd w:id="195"/>
      <w:r w:rsidR="00F95BE3">
        <w:t>:</w:t>
      </w:r>
      <w:r w:rsidRPr="00642A5D">
        <w:t xml:space="preserve"> </w:t>
      </w:r>
      <w:r w:rsidR="001D63F5">
        <w:t xml:space="preserve"> </w:t>
      </w:r>
      <w:r w:rsidRPr="00642A5D">
        <w:t xml:space="preserve">Otway </w:t>
      </w:r>
      <w:r w:rsidR="00DF5BF0">
        <w:t xml:space="preserve">region </w:t>
      </w:r>
      <w:r w:rsidRPr="00642A5D">
        <w:t>shale gas resource development scenario</w:t>
      </w:r>
      <w:r w:rsidR="00992BC5">
        <w:t xml:space="preserve"> area</w:t>
      </w:r>
      <w:r w:rsidR="001D63F5">
        <w:t>.</w:t>
      </w:r>
      <w:r w:rsidRPr="00642A5D">
        <w:t xml:space="preserve"> (</w:t>
      </w:r>
      <w:r w:rsidR="001D63F5">
        <w:t>S</w:t>
      </w:r>
      <w:r w:rsidR="00755B17">
        <w:t xml:space="preserve">ource: </w:t>
      </w:r>
      <w:r w:rsidR="00DE4271">
        <w:t>Goldie</w:t>
      </w:r>
      <w:r w:rsidR="001D63F5">
        <w:t xml:space="preserve"> </w:t>
      </w:r>
      <w:r w:rsidR="00DE4271">
        <w:t>Divko</w:t>
      </w:r>
      <w:r w:rsidRPr="00642A5D">
        <w:t xml:space="preserve">, </w:t>
      </w:r>
      <w:r w:rsidR="001210CF" w:rsidRPr="00642A5D">
        <w:t>201</w:t>
      </w:r>
      <w:r w:rsidR="001210CF">
        <w:t>5</w:t>
      </w:r>
      <w:r w:rsidR="001D63F5">
        <w:t>.</w:t>
      </w:r>
      <w:r w:rsidRPr="00642A5D">
        <w:t>)</w:t>
      </w:r>
      <w:bookmarkEnd w:id="196"/>
    </w:p>
    <w:p w14:paraId="6CFC6800" w14:textId="77777777" w:rsidR="00641F12" w:rsidRPr="002D44DF" w:rsidRDefault="00641F12" w:rsidP="002D44DF">
      <w:pPr>
        <w:pStyle w:val="figurereturn"/>
      </w:pPr>
      <w:r w:rsidRPr="00642A5D">
        <w:drawing>
          <wp:inline distT="0" distB="0" distL="0" distR="0" wp14:anchorId="5BF799C4" wp14:editId="25A4A252">
            <wp:extent cx="5757334" cy="3864603"/>
            <wp:effectExtent l="0" t="0" r="889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57697" cy="3864847"/>
                    </a:xfrm>
                    <a:prstGeom prst="rect">
                      <a:avLst/>
                    </a:prstGeom>
                  </pic:spPr>
                </pic:pic>
              </a:graphicData>
            </a:graphic>
          </wp:inline>
        </w:drawing>
      </w:r>
    </w:p>
    <w:p w14:paraId="2A2EA690" w14:textId="107578CA" w:rsidR="00641F12" w:rsidRPr="00642A5D" w:rsidRDefault="00641F12" w:rsidP="002D44DF">
      <w:pPr>
        <w:pStyle w:val="Figuretitle"/>
      </w:pPr>
      <w:bookmarkStart w:id="197" w:name="_Ref403651806"/>
      <w:bookmarkStart w:id="198" w:name="_Toc422928784"/>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13</w:t>
      </w:r>
      <w:r w:rsidR="007569CD" w:rsidRPr="00642A5D">
        <w:fldChar w:fldCharType="end"/>
      </w:r>
      <w:bookmarkEnd w:id="197"/>
      <w:r w:rsidR="00F95BE3">
        <w:t>:</w:t>
      </w:r>
      <w:r w:rsidRPr="00642A5D">
        <w:t xml:space="preserve"> </w:t>
      </w:r>
      <w:r w:rsidR="001D63F5">
        <w:t xml:space="preserve"> </w:t>
      </w:r>
      <w:r w:rsidRPr="00642A5D">
        <w:t xml:space="preserve">Otway </w:t>
      </w:r>
      <w:r w:rsidR="00DF5BF0">
        <w:t>region</w:t>
      </w:r>
      <w:r w:rsidR="00DF5BF0" w:rsidRPr="00642A5D">
        <w:t xml:space="preserve"> </w:t>
      </w:r>
      <w:r w:rsidRPr="00642A5D">
        <w:t>coal seam gas resource development scenario</w:t>
      </w:r>
      <w:r w:rsidR="00992BC5">
        <w:t xml:space="preserve"> area</w:t>
      </w:r>
      <w:r w:rsidR="001D63F5">
        <w:t>.</w:t>
      </w:r>
      <w:r w:rsidR="00545314" w:rsidRPr="00642A5D">
        <w:t xml:space="preserve"> (</w:t>
      </w:r>
      <w:r w:rsidR="001D63F5">
        <w:t>S</w:t>
      </w:r>
      <w:r w:rsidR="00755B17">
        <w:t xml:space="preserve">ource: </w:t>
      </w:r>
      <w:r w:rsidR="00DE4271">
        <w:t>Goldie</w:t>
      </w:r>
      <w:r w:rsidR="001D63F5">
        <w:t xml:space="preserve"> </w:t>
      </w:r>
      <w:r w:rsidR="00DE4271">
        <w:t>Divko</w:t>
      </w:r>
      <w:r w:rsidR="00F55F5C">
        <w:t>, 2015</w:t>
      </w:r>
      <w:r w:rsidR="001D63F5">
        <w:t>.</w:t>
      </w:r>
      <w:r w:rsidR="00545314" w:rsidRPr="00642A5D">
        <w:t>)</w:t>
      </w:r>
      <w:bookmarkEnd w:id="198"/>
    </w:p>
    <w:p w14:paraId="4A1190F4" w14:textId="77777777" w:rsidR="00024AF2" w:rsidRPr="002D44DF" w:rsidRDefault="00024AF2" w:rsidP="002D44DF">
      <w:pPr>
        <w:pStyle w:val="figurereturn"/>
      </w:pPr>
      <w:bookmarkStart w:id="199" w:name="_Ref406597228"/>
      <w:r w:rsidRPr="00642A5D">
        <w:lastRenderedPageBreak/>
        <w:drawing>
          <wp:inline distT="0" distB="0" distL="0" distR="0" wp14:anchorId="697BC808" wp14:editId="37F3ECB2">
            <wp:extent cx="5706533" cy="3820074"/>
            <wp:effectExtent l="0" t="0" r="889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10242" cy="3822557"/>
                    </a:xfrm>
                    <a:prstGeom prst="rect">
                      <a:avLst/>
                    </a:prstGeom>
                  </pic:spPr>
                </pic:pic>
              </a:graphicData>
            </a:graphic>
          </wp:inline>
        </w:drawing>
      </w:r>
    </w:p>
    <w:p w14:paraId="1EF2B2C4" w14:textId="0B71D9CF" w:rsidR="00024AF2" w:rsidRDefault="00024AF2" w:rsidP="00A53AE8">
      <w:pPr>
        <w:pStyle w:val="Figuretitle"/>
      </w:pPr>
      <w:bookmarkStart w:id="200" w:name="_Ref402947884"/>
      <w:bookmarkStart w:id="201" w:name="_Toc422928785"/>
      <w:r w:rsidRPr="00642A5D">
        <w:t xml:space="preserve">Figure </w:t>
      </w:r>
      <w:r w:rsidRPr="00642A5D">
        <w:fldChar w:fldCharType="begin"/>
      </w:r>
      <w:r w:rsidRPr="00642A5D">
        <w:instrText xml:space="preserve"> SEQ Figure \* ARABIC </w:instrText>
      </w:r>
      <w:r w:rsidRPr="00642A5D">
        <w:fldChar w:fldCharType="separate"/>
      </w:r>
      <w:r w:rsidR="00171A5E">
        <w:t>14</w:t>
      </w:r>
      <w:r w:rsidRPr="00642A5D">
        <w:fldChar w:fldCharType="end"/>
      </w:r>
      <w:bookmarkEnd w:id="200"/>
      <w:r w:rsidR="00F95BE3">
        <w:t>:</w:t>
      </w:r>
      <w:r w:rsidRPr="00642A5D">
        <w:t xml:space="preserve"> </w:t>
      </w:r>
      <w:r w:rsidR="001D63F5">
        <w:t xml:space="preserve"> </w:t>
      </w:r>
      <w:r w:rsidRPr="00642A5D">
        <w:t xml:space="preserve">Otway </w:t>
      </w:r>
      <w:r w:rsidR="00DF5BF0">
        <w:t>region</w:t>
      </w:r>
      <w:r w:rsidR="00DF5BF0" w:rsidRPr="00642A5D">
        <w:t xml:space="preserve"> </w:t>
      </w:r>
      <w:r w:rsidRPr="00642A5D">
        <w:t xml:space="preserve">conventional gas resource development </w:t>
      </w:r>
      <w:r w:rsidR="00992BC5" w:rsidRPr="00642A5D">
        <w:t>scenario</w:t>
      </w:r>
      <w:r w:rsidR="00992BC5">
        <w:t xml:space="preserve"> area</w:t>
      </w:r>
      <w:r w:rsidR="001D63F5">
        <w:t>.</w:t>
      </w:r>
      <w:r w:rsidR="00992BC5" w:rsidRPr="00642A5D">
        <w:t xml:space="preserve"> </w:t>
      </w:r>
      <w:r w:rsidR="002D44DF">
        <w:br/>
      </w:r>
      <w:r w:rsidRPr="00642A5D">
        <w:t>(</w:t>
      </w:r>
      <w:r w:rsidR="001D63F5">
        <w:t>S</w:t>
      </w:r>
      <w:r w:rsidR="00755B17">
        <w:t xml:space="preserve">ource: </w:t>
      </w:r>
      <w:r w:rsidR="00DE4271">
        <w:t>Goldie-Divko</w:t>
      </w:r>
      <w:r w:rsidR="00F55F5C">
        <w:t>, 2015</w:t>
      </w:r>
      <w:r w:rsidR="001D63F5">
        <w:t>.</w:t>
      </w:r>
      <w:r w:rsidRPr="00642A5D">
        <w:t>)</w:t>
      </w:r>
      <w:bookmarkEnd w:id="201"/>
    </w:p>
    <w:p w14:paraId="3586A5E6" w14:textId="77777777" w:rsidR="00325C2A" w:rsidRDefault="00325C2A" w:rsidP="00C150BC">
      <w:pPr>
        <w:pStyle w:val="Head2xx"/>
      </w:pPr>
      <w:bookmarkStart w:id="202" w:name="_Toc420568669"/>
      <w:bookmarkStart w:id="203" w:name="_Toc420570251"/>
      <w:bookmarkStart w:id="204" w:name="_Toc420571447"/>
      <w:bookmarkStart w:id="205" w:name="_Toc420572085"/>
      <w:bookmarkStart w:id="206" w:name="_Toc296766940"/>
      <w:bookmarkStart w:id="207" w:name="_Toc422927896"/>
      <w:r>
        <w:t>2.3</w:t>
      </w:r>
      <w:r>
        <w:tab/>
      </w:r>
      <w:r w:rsidR="00866D58" w:rsidRPr="00642A5D">
        <w:t>Hydrogeology</w:t>
      </w:r>
      <w:bookmarkStart w:id="208" w:name="_Toc420568670"/>
      <w:bookmarkStart w:id="209" w:name="_Toc420570252"/>
      <w:bookmarkStart w:id="210" w:name="_Toc420571448"/>
      <w:bookmarkStart w:id="211" w:name="_Toc420572086"/>
      <w:bookmarkEnd w:id="199"/>
      <w:bookmarkEnd w:id="202"/>
      <w:bookmarkEnd w:id="203"/>
      <w:bookmarkEnd w:id="204"/>
      <w:bookmarkEnd w:id="205"/>
      <w:bookmarkEnd w:id="206"/>
      <w:bookmarkEnd w:id="207"/>
    </w:p>
    <w:p w14:paraId="3647B31E" w14:textId="08D86584" w:rsidR="00866D58" w:rsidRPr="00642A5D" w:rsidRDefault="00325C2A" w:rsidP="00325C2A">
      <w:pPr>
        <w:pStyle w:val="Head3xxx"/>
      </w:pPr>
      <w:bookmarkStart w:id="212" w:name="_Toc296766941"/>
      <w:r>
        <w:t>2.3.3</w:t>
      </w:r>
      <w:r>
        <w:tab/>
      </w:r>
      <w:r w:rsidR="00866D58" w:rsidRPr="00642A5D">
        <w:t>Key aquifers and aquitards</w:t>
      </w:r>
      <w:bookmarkEnd w:id="208"/>
      <w:bookmarkEnd w:id="209"/>
      <w:bookmarkEnd w:id="210"/>
      <w:bookmarkEnd w:id="211"/>
      <w:bookmarkEnd w:id="212"/>
    </w:p>
    <w:p w14:paraId="77AF631B" w14:textId="076A653D" w:rsidR="00866D58" w:rsidRPr="00642A5D" w:rsidRDefault="00866D58">
      <w:r w:rsidRPr="00642A5D">
        <w:t>Cretaceous rocks in the Otway Basin are not regionally significant aquifers and are generally thought of as the hydrogeological basement</w:t>
      </w:r>
      <w:r w:rsidR="00325C2A">
        <w:t>;</w:t>
      </w:r>
      <w:r w:rsidR="008B6B4C" w:rsidRPr="00642A5D">
        <w:t xml:space="preserve"> that is, they are effectively impermeable </w:t>
      </w:r>
      <w:r w:rsidR="0001309E">
        <w:t>f</w:t>
      </w:r>
      <w:r w:rsidR="008B6B4C" w:rsidRPr="00642A5D">
        <w:t>or the purposes of groundwater resources</w:t>
      </w:r>
      <w:r w:rsidRPr="00642A5D">
        <w:t xml:space="preserve">. </w:t>
      </w:r>
      <w:r w:rsidR="008B6B4C" w:rsidRPr="00642A5D">
        <w:t xml:space="preserve">The useable aquifers are </w:t>
      </w:r>
      <w:r w:rsidRPr="00642A5D">
        <w:t xml:space="preserve">dominated by Cainozoic </w:t>
      </w:r>
      <w:r w:rsidR="008B6B4C" w:rsidRPr="00642A5D">
        <w:t>sediments</w:t>
      </w:r>
      <w:r w:rsidRPr="00642A5D">
        <w:t xml:space="preserve">. While there are </w:t>
      </w:r>
      <w:r w:rsidR="008B6B4C" w:rsidRPr="00642A5D">
        <w:t xml:space="preserve">many different named </w:t>
      </w:r>
      <w:r w:rsidRPr="00642A5D">
        <w:t>aquifers and aquitards throughout the Otway Basin, many are restricted in their distribution and do not constitute significant components of the basin</w:t>
      </w:r>
      <w:r w:rsidR="006844FD">
        <w:t>’</w:t>
      </w:r>
      <w:r w:rsidRPr="00642A5D">
        <w:t xml:space="preserve">s </w:t>
      </w:r>
      <w:r w:rsidR="008B6B4C" w:rsidRPr="00642A5D">
        <w:t>water resources</w:t>
      </w:r>
      <w:r w:rsidRPr="00642A5D">
        <w:t xml:space="preserve"> as a whole. </w:t>
      </w:r>
      <w:r w:rsidR="008B6B4C" w:rsidRPr="00642A5D">
        <w:t xml:space="preserve">Many of these smaller or restricted units can be incorporated into the larger or major units. </w:t>
      </w:r>
      <w:r w:rsidRPr="00642A5D">
        <w:t xml:space="preserve">The major hydrogeological units </w:t>
      </w:r>
      <w:r w:rsidR="00325C2A">
        <w:t>are as follows.</w:t>
      </w:r>
    </w:p>
    <w:p w14:paraId="1E7A0CFB" w14:textId="17BA7B74" w:rsidR="00866D58" w:rsidRPr="00642A5D" w:rsidRDefault="00325C2A" w:rsidP="00325C2A">
      <w:pPr>
        <w:pStyle w:val="bulletlist0"/>
      </w:pPr>
      <w:r>
        <w:t>•</w:t>
      </w:r>
      <w:r>
        <w:tab/>
      </w:r>
      <w:r w:rsidR="00866D58" w:rsidRPr="00642A5D">
        <w:t xml:space="preserve">The </w:t>
      </w:r>
      <w:r w:rsidR="00866D58" w:rsidRPr="000B0845">
        <w:t>upper aquifer</w:t>
      </w:r>
      <w:r w:rsidR="008B6B4C" w:rsidRPr="000B0845">
        <w:t xml:space="preserve"> </w:t>
      </w:r>
      <w:r w:rsidR="00866D58" w:rsidRPr="000B0845">
        <w:t>s</w:t>
      </w:r>
      <w:r w:rsidR="008B6B4C" w:rsidRPr="000B0845">
        <w:t>equence</w:t>
      </w:r>
      <w:r>
        <w:t>,</w:t>
      </w:r>
      <w:r w:rsidR="00582F87" w:rsidRPr="000B0845">
        <w:t xml:space="preserve"> </w:t>
      </w:r>
      <w:r w:rsidR="007C55B9" w:rsidRPr="000B0845">
        <w:t>which</w:t>
      </w:r>
      <w:r w:rsidR="008B6B4C" w:rsidRPr="00642A5D">
        <w:t xml:space="preserve"> includes all of the aquifers found at the surface and those immediately underlying them. These include</w:t>
      </w:r>
      <w:r w:rsidR="00866D58" w:rsidRPr="00642A5D">
        <w:t xml:space="preserve"> the Quaternary Aquifer (QA)</w:t>
      </w:r>
      <w:r w:rsidR="008B6B4C" w:rsidRPr="00642A5D">
        <w:t>;</w:t>
      </w:r>
      <w:r w:rsidR="00866D58" w:rsidRPr="00642A5D">
        <w:t xml:space="preserve"> the Upper Tertiary Basalt (UTB)</w:t>
      </w:r>
      <w:r w:rsidR="008B6B4C" w:rsidRPr="00642A5D">
        <w:t>;</w:t>
      </w:r>
      <w:r w:rsidR="00866D58" w:rsidRPr="00642A5D">
        <w:t xml:space="preserve"> the Upper Tertiary Marine (UTAM)</w:t>
      </w:r>
      <w:r w:rsidR="008B6B4C" w:rsidRPr="00642A5D">
        <w:t>;</w:t>
      </w:r>
      <w:r w:rsidR="00866D58" w:rsidRPr="00642A5D">
        <w:t xml:space="preserve"> and </w:t>
      </w:r>
      <w:r w:rsidR="008B6B4C" w:rsidRPr="00642A5D">
        <w:t xml:space="preserve">Upper Tertiary </w:t>
      </w:r>
      <w:r w:rsidR="00866D58" w:rsidRPr="00642A5D">
        <w:t>Fluvial (UTAF) aquifer.</w:t>
      </w:r>
    </w:p>
    <w:p w14:paraId="4B50AA90" w14:textId="2E20CD50" w:rsidR="00866D58" w:rsidRPr="00642A5D" w:rsidRDefault="00325C2A" w:rsidP="00325C2A">
      <w:pPr>
        <w:pStyle w:val="bulletlist0"/>
      </w:pPr>
      <w:r>
        <w:t>•</w:t>
      </w:r>
      <w:r>
        <w:tab/>
      </w:r>
      <w:r w:rsidR="00866D58" w:rsidRPr="00642A5D">
        <w:t xml:space="preserve">The </w:t>
      </w:r>
      <w:r w:rsidR="00D305E3" w:rsidRPr="000B0845">
        <w:t>middle aquifer</w:t>
      </w:r>
      <w:r w:rsidR="008B6B4C" w:rsidRPr="000B0845">
        <w:t xml:space="preserve"> </w:t>
      </w:r>
      <w:r w:rsidR="00D305E3" w:rsidRPr="000B0845">
        <w:t>s</w:t>
      </w:r>
      <w:r w:rsidR="008B6B4C" w:rsidRPr="000B0845">
        <w:t>equence</w:t>
      </w:r>
      <w:r>
        <w:t>, which</w:t>
      </w:r>
      <w:r w:rsidR="00D305E3" w:rsidRPr="00642A5D">
        <w:t xml:space="preserve"> include</w:t>
      </w:r>
      <w:r w:rsidR="008B6B4C" w:rsidRPr="00642A5D">
        <w:t>s</w:t>
      </w:r>
      <w:r w:rsidR="00D305E3" w:rsidRPr="00642A5D">
        <w:t xml:space="preserve"> the </w:t>
      </w:r>
      <w:r w:rsidR="008B6B4C" w:rsidRPr="00642A5D">
        <w:t xml:space="preserve">extensive </w:t>
      </w:r>
      <w:r w:rsidR="00D305E3" w:rsidRPr="00642A5D">
        <w:t xml:space="preserve">Upper Mid-Tertiary Aquifer </w:t>
      </w:r>
      <w:r w:rsidR="008B6B4C" w:rsidRPr="00642A5D">
        <w:t>(UMTA)</w:t>
      </w:r>
      <w:r>
        <w:t>,</w:t>
      </w:r>
      <w:r w:rsidR="00D305E3" w:rsidRPr="00642A5D">
        <w:t xml:space="preserve"> the Lower-Mid Tertiary Aquifer</w:t>
      </w:r>
      <w:r>
        <w:t>, and</w:t>
      </w:r>
      <w:r w:rsidR="008B6B4C" w:rsidRPr="00642A5D">
        <w:t xml:space="preserve"> an important regional aquitard </w:t>
      </w:r>
      <w:r>
        <w:t xml:space="preserve">— </w:t>
      </w:r>
      <w:r w:rsidR="008B6B4C" w:rsidRPr="00642A5D">
        <w:t>the Gellibrand Marl</w:t>
      </w:r>
      <w:r w:rsidR="007C55B9">
        <w:t>,</w:t>
      </w:r>
      <w:r w:rsidR="008B6B4C" w:rsidRPr="00642A5D">
        <w:t xml:space="preserve"> also known as the </w:t>
      </w:r>
      <w:r w:rsidR="00866D58" w:rsidRPr="00642A5D">
        <w:t>Upper Mid-Tertiary Aquitard (UMTD)</w:t>
      </w:r>
      <w:r w:rsidR="008B6B4C" w:rsidRPr="00642A5D">
        <w:t>.</w:t>
      </w:r>
      <w:r w:rsidR="00866D58" w:rsidRPr="00642A5D">
        <w:t xml:space="preserve"> </w:t>
      </w:r>
      <w:r w:rsidR="00696645" w:rsidRPr="00642A5D">
        <w:t xml:space="preserve">At the base is </w:t>
      </w:r>
      <w:r w:rsidR="00866D58" w:rsidRPr="00642A5D">
        <w:t xml:space="preserve">the Lower Mid-Tertiary Aquifer (LMTA). </w:t>
      </w:r>
    </w:p>
    <w:p w14:paraId="17084DA1" w14:textId="5A52DD9C" w:rsidR="00866D58" w:rsidRPr="00642A5D" w:rsidRDefault="00325C2A" w:rsidP="00C150BC">
      <w:pPr>
        <w:pStyle w:val="bulletlist0"/>
      </w:pPr>
      <w:r>
        <w:t>•</w:t>
      </w:r>
      <w:r>
        <w:tab/>
      </w:r>
      <w:r w:rsidR="00866D58" w:rsidRPr="000B0845">
        <w:t xml:space="preserve">The </w:t>
      </w:r>
      <w:r w:rsidR="00696645" w:rsidRPr="000B0845">
        <w:t>lower aquifer sequence</w:t>
      </w:r>
      <w:r>
        <w:t>, which</w:t>
      </w:r>
      <w:r w:rsidR="00866D58" w:rsidRPr="000B0845">
        <w:t xml:space="preserve"> includes the Lower Mid -Tertiary Aquitard (LMTD)</w:t>
      </w:r>
      <w:r>
        <w:t xml:space="preserve"> that</w:t>
      </w:r>
      <w:r w:rsidR="00696645" w:rsidRPr="000B0845">
        <w:t xml:space="preserve"> can be an important separator between aquifers</w:t>
      </w:r>
      <w:r w:rsidR="00866D58" w:rsidRPr="00582F87">
        <w:t>. Beneath this lies the Lower Tertiary Aquifer (LTA) which constitutes</w:t>
      </w:r>
      <w:r w:rsidR="00866D58" w:rsidRPr="00642A5D">
        <w:t xml:space="preserve"> the second of the two most extensive aquifer</w:t>
      </w:r>
      <w:r w:rsidR="000174F7" w:rsidRPr="00642A5D">
        <w:t>s</w:t>
      </w:r>
      <w:r w:rsidR="00866D58" w:rsidRPr="00642A5D">
        <w:t xml:space="preserve"> in the basin. The LTA is </w:t>
      </w:r>
      <w:r w:rsidR="00696645" w:rsidRPr="00642A5D">
        <w:t>a very high</w:t>
      </w:r>
      <w:r>
        <w:t>-</w:t>
      </w:r>
      <w:r w:rsidR="00696645" w:rsidRPr="00642A5D">
        <w:t xml:space="preserve">yielding and extensive aquifer unit found at depth across the Otway region. It is </w:t>
      </w:r>
      <w:r w:rsidR="00866D58" w:rsidRPr="00642A5D">
        <w:t xml:space="preserve">underlain by Lower Tertiary Basalts (LTB), Cretaceous and Permian Sediments (CPS) and </w:t>
      </w:r>
      <w:r w:rsidR="00866D58" w:rsidRPr="00582F87">
        <w:t xml:space="preserve">the Cretaceous and Palaeozoic </w:t>
      </w:r>
      <w:r>
        <w:br/>
      </w:r>
      <w:r w:rsidR="00866D58" w:rsidRPr="00582F87">
        <w:t>Bedrock (BSE).</w:t>
      </w:r>
    </w:p>
    <w:p w14:paraId="3496DD4D" w14:textId="414BF41F" w:rsidR="00866D58" w:rsidRDefault="00866D58">
      <w:r w:rsidRPr="00642A5D">
        <w:lastRenderedPageBreak/>
        <w:t>The relationship between the major aquifers in the Otway Basin and their constituent stratigraphic units as described above have been summarised in</w:t>
      </w:r>
      <w:r w:rsidR="00074EAE" w:rsidRPr="00642A5D">
        <w:t xml:space="preserve"> </w:t>
      </w:r>
      <w:r w:rsidR="007569CD" w:rsidRPr="00642A5D">
        <w:fldChar w:fldCharType="begin"/>
      </w:r>
      <w:r w:rsidR="00074EAE" w:rsidRPr="00642A5D">
        <w:instrText xml:space="preserve"> REF _Ref409799294 \h </w:instrText>
      </w:r>
      <w:r w:rsidR="00642A5D">
        <w:instrText xml:space="preserve"> \* MERGEFORMAT </w:instrText>
      </w:r>
      <w:r w:rsidR="007569CD" w:rsidRPr="00642A5D">
        <w:fldChar w:fldCharType="separate"/>
      </w:r>
      <w:r w:rsidR="00171A5E" w:rsidRPr="002D44DF">
        <w:t xml:space="preserve">Table </w:t>
      </w:r>
      <w:r w:rsidR="00171A5E">
        <w:rPr>
          <w:noProof/>
        </w:rPr>
        <w:t>1</w:t>
      </w:r>
      <w:r w:rsidR="007569CD" w:rsidRPr="00642A5D">
        <w:fldChar w:fldCharType="end"/>
      </w:r>
      <w:r w:rsidRPr="00642A5D">
        <w:t>. The stratigraphic and geological units described above have been categorised according to the Victorian Aquifer Framework as outlined in GHD (2012).</w:t>
      </w:r>
      <w:r w:rsidR="002D44DF">
        <w:br/>
      </w:r>
    </w:p>
    <w:p w14:paraId="23406BCB" w14:textId="04C33716" w:rsidR="00866D58" w:rsidRPr="002D44DF" w:rsidRDefault="00866D58" w:rsidP="002D44DF">
      <w:pPr>
        <w:pStyle w:val="Tableheading"/>
      </w:pPr>
      <w:bookmarkStart w:id="213" w:name="_Ref403484838"/>
      <w:bookmarkStart w:id="214" w:name="_Ref409799294"/>
      <w:bookmarkStart w:id="215" w:name="_Toc296770881"/>
      <w:r w:rsidRPr="002D44DF">
        <w:t xml:space="preserve">Table </w:t>
      </w:r>
      <w:r w:rsidR="007569CD" w:rsidRPr="002D44DF">
        <w:fldChar w:fldCharType="begin"/>
      </w:r>
      <w:r w:rsidRPr="002D44DF">
        <w:instrText xml:space="preserve"> SEQ Table \* ARABIC </w:instrText>
      </w:r>
      <w:r w:rsidR="007569CD" w:rsidRPr="002D44DF">
        <w:fldChar w:fldCharType="separate"/>
      </w:r>
      <w:r w:rsidR="00171A5E">
        <w:rPr>
          <w:noProof/>
        </w:rPr>
        <w:t>1</w:t>
      </w:r>
      <w:r w:rsidR="007569CD" w:rsidRPr="002D44DF">
        <w:fldChar w:fldCharType="end"/>
      </w:r>
      <w:bookmarkEnd w:id="213"/>
      <w:bookmarkEnd w:id="214"/>
      <w:r w:rsidR="00F95BE3" w:rsidRPr="002D44DF">
        <w:t>:</w:t>
      </w:r>
      <w:r w:rsidRPr="002D44DF">
        <w:t xml:space="preserve"> </w:t>
      </w:r>
      <w:r w:rsidR="00CE7F82" w:rsidRPr="002D44DF">
        <w:t xml:space="preserve"> </w:t>
      </w:r>
      <w:r w:rsidRPr="002D44DF">
        <w:t>Relationship between stratigraphic units and hydrogeological units</w:t>
      </w:r>
      <w:r w:rsidR="000B0845" w:rsidRPr="002D44DF">
        <w:t>.</w:t>
      </w:r>
      <w:bookmarkEnd w:id="215"/>
    </w:p>
    <w:p w14:paraId="79741359" w14:textId="77777777" w:rsidR="00866D58" w:rsidRPr="00642A5D" w:rsidRDefault="00866D58" w:rsidP="002D44DF">
      <w:pPr>
        <w:pStyle w:val="Figuretitle"/>
      </w:pPr>
      <w:r w:rsidRPr="00642A5D">
        <w:rPr>
          <w:lang w:val="en-AU" w:eastAsia="en-AU"/>
        </w:rPr>
        <w:drawing>
          <wp:inline distT="0" distB="0" distL="0" distR="0" wp14:anchorId="761404D1" wp14:editId="23CC3864">
            <wp:extent cx="5943600" cy="518428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943600" cy="5184282"/>
                    </a:xfrm>
                    <a:prstGeom prst="rect">
                      <a:avLst/>
                    </a:prstGeom>
                    <a:ln>
                      <a:noFill/>
                    </a:ln>
                    <a:extLst>
                      <a:ext uri="{53640926-AAD7-44D8-BBD7-CCE9431645EC}">
                        <a14:shadowObscured xmlns:a14="http://schemas.microsoft.com/office/drawing/2010/main"/>
                      </a:ext>
                    </a:extLst>
                  </pic:spPr>
                </pic:pic>
              </a:graphicData>
            </a:graphic>
          </wp:inline>
        </w:drawing>
      </w:r>
    </w:p>
    <w:p w14:paraId="75173DE8" w14:textId="5856E46D" w:rsidR="000174F7" w:rsidRPr="00642A5D" w:rsidRDefault="000174F7">
      <w:r w:rsidRPr="00642A5D">
        <w:t xml:space="preserve">The Victorian Aquifer Framework classifies the geology described in </w:t>
      </w:r>
      <w:r w:rsidR="009C4BA5">
        <w:t>Section</w:t>
      </w:r>
      <w:r w:rsidR="009C4BA5" w:rsidRPr="00642A5D">
        <w:t xml:space="preserve"> </w:t>
      </w:r>
      <w:r w:rsidR="008B7710">
        <w:t>2.2</w:t>
      </w:r>
      <w:r w:rsidRPr="00642A5D">
        <w:t xml:space="preserve"> into units of similar hydrogeological behaviour.</w:t>
      </w:r>
      <w:r w:rsidR="009A72C5">
        <w:t xml:space="preserve"> </w:t>
      </w:r>
      <w:r w:rsidRPr="00642A5D">
        <w:t>The framework classifies the full geological sequence and is inclusive of both aquifers and aquitards.</w:t>
      </w:r>
      <w:r w:rsidR="009A72C5">
        <w:t xml:space="preserve"> </w:t>
      </w:r>
      <w:r w:rsidRPr="00642A5D">
        <w:t xml:space="preserve">The classification of aquifers and aquitards is regional and signifies that these units act </w:t>
      </w:r>
      <w:r w:rsidR="00B405D9" w:rsidRPr="00642A5D">
        <w:t xml:space="preserve">mostly </w:t>
      </w:r>
      <w:r w:rsidRPr="00642A5D">
        <w:t xml:space="preserve">as aquifers or aquitards respectively but can act differently locally. For example, </w:t>
      </w:r>
      <w:r w:rsidR="00B405D9">
        <w:t>in</w:t>
      </w:r>
      <w:r w:rsidR="00B405D9" w:rsidRPr="00642A5D">
        <w:t xml:space="preserve"> </w:t>
      </w:r>
      <w:r w:rsidR="00B405D9">
        <w:t>most</w:t>
      </w:r>
      <w:r w:rsidRPr="00642A5D">
        <w:t xml:space="preserve"> of the Otway Basin the Cretaceous and Palaeozoic Bedrock stores and transmits limited groundwater and is an aquitard (SRW, 2013), </w:t>
      </w:r>
      <w:r w:rsidR="00B405D9">
        <w:t>but</w:t>
      </w:r>
      <w:r w:rsidR="00B405D9" w:rsidRPr="00642A5D">
        <w:t xml:space="preserve"> </w:t>
      </w:r>
      <w:r w:rsidRPr="00642A5D">
        <w:t xml:space="preserve">near the basin margins where it is exposed and fractured it can act </w:t>
      </w:r>
      <w:r w:rsidR="00B405D9" w:rsidRPr="00642A5D">
        <w:t xml:space="preserve">locally </w:t>
      </w:r>
      <w:r w:rsidRPr="00642A5D">
        <w:t>as an aquifer</w:t>
      </w:r>
      <w:r w:rsidR="00B405D9">
        <w:t>, although a generally poor one</w:t>
      </w:r>
      <w:r w:rsidR="00B33410" w:rsidRPr="00642A5D">
        <w:t>.</w:t>
      </w:r>
    </w:p>
    <w:p w14:paraId="17AEE1CC" w14:textId="6963019D" w:rsidR="00866D58" w:rsidRPr="00642A5D" w:rsidRDefault="001210CF">
      <w:r>
        <w:fldChar w:fldCharType="begin"/>
      </w:r>
      <w:r>
        <w:instrText xml:space="preserve"> REF _Ref409799294 \h </w:instrText>
      </w:r>
      <w:r>
        <w:fldChar w:fldCharType="separate"/>
      </w:r>
      <w:r w:rsidR="00171A5E" w:rsidRPr="002D44DF">
        <w:t xml:space="preserve">Table </w:t>
      </w:r>
      <w:r w:rsidR="00171A5E">
        <w:rPr>
          <w:noProof/>
        </w:rPr>
        <w:t>1</w:t>
      </w:r>
      <w:r>
        <w:fldChar w:fldCharType="end"/>
      </w:r>
      <w:r w:rsidR="000174F7" w:rsidRPr="00642A5D">
        <w:t xml:space="preserve"> does not include all of the stratigraphic units in the Otway Basin, nor all of the aquifers </w:t>
      </w:r>
      <w:r w:rsidR="00B405D9">
        <w:t>or</w:t>
      </w:r>
      <w:r w:rsidR="00B405D9" w:rsidRPr="00642A5D">
        <w:t xml:space="preserve"> </w:t>
      </w:r>
      <w:r w:rsidR="000174F7" w:rsidRPr="00642A5D">
        <w:t xml:space="preserve">aquitards. </w:t>
      </w:r>
      <w:r w:rsidR="00B405D9">
        <w:t>It</w:t>
      </w:r>
      <w:r w:rsidR="000174F7" w:rsidRPr="00642A5D">
        <w:t xml:space="preserve"> highlights the major aquifers and aquitards in the basin and the major stratigraphic units that comprise them</w:t>
      </w:r>
      <w:r w:rsidR="00B405D9">
        <w:t xml:space="preserve">, to enable </w:t>
      </w:r>
      <w:r w:rsidR="000174F7" w:rsidRPr="00642A5D">
        <w:t xml:space="preserve">the stratigraphy </w:t>
      </w:r>
      <w:r w:rsidR="00074EAE" w:rsidRPr="00642A5D">
        <w:t>and the aquifers</w:t>
      </w:r>
      <w:r w:rsidR="00B405D9">
        <w:t xml:space="preserve"> to be compared</w:t>
      </w:r>
      <w:r w:rsidR="00074EAE" w:rsidRPr="00642A5D">
        <w:t>.</w:t>
      </w:r>
    </w:p>
    <w:p w14:paraId="2B1913F8" w14:textId="15C0D757" w:rsidR="00866D58" w:rsidRPr="00642A5D" w:rsidRDefault="00465CE4" w:rsidP="00866D58">
      <w:pPr>
        <w:pStyle w:val="Head3xxx"/>
      </w:pPr>
      <w:bookmarkStart w:id="216" w:name="_Toc420568671"/>
      <w:bookmarkStart w:id="217" w:name="_Toc420570253"/>
      <w:bookmarkStart w:id="218" w:name="_Toc420571449"/>
      <w:bookmarkStart w:id="219" w:name="_Toc420572087"/>
      <w:bookmarkStart w:id="220" w:name="_Toc296766942"/>
      <w:r>
        <w:lastRenderedPageBreak/>
        <w:t>2.3.4</w:t>
      </w:r>
      <w:r>
        <w:tab/>
      </w:r>
      <w:r w:rsidR="00866D58" w:rsidRPr="00642A5D">
        <w:t>Upper aquifers</w:t>
      </w:r>
      <w:bookmarkEnd w:id="216"/>
      <w:bookmarkEnd w:id="217"/>
      <w:bookmarkEnd w:id="218"/>
      <w:bookmarkEnd w:id="219"/>
      <w:bookmarkEnd w:id="220"/>
    </w:p>
    <w:p w14:paraId="7C1FE828" w14:textId="77777777" w:rsidR="00866D58" w:rsidRPr="00642A5D" w:rsidRDefault="00866D58" w:rsidP="00866D58">
      <w:pPr>
        <w:pStyle w:val="Heading4"/>
        <w:rPr>
          <w:lang w:val="en-AU" w:eastAsia="en-US"/>
        </w:rPr>
      </w:pPr>
      <w:r w:rsidRPr="00642A5D">
        <w:rPr>
          <w:lang w:val="en-AU" w:eastAsia="en-US"/>
        </w:rPr>
        <w:t>Extent of aquifer</w:t>
      </w:r>
    </w:p>
    <w:p w14:paraId="6F1A4947" w14:textId="0D6D5BAE" w:rsidR="00866D58" w:rsidRPr="00642A5D" w:rsidRDefault="00866D58">
      <w:r w:rsidRPr="00642A5D">
        <w:t xml:space="preserve">The upper aquifers have been defined by SRW (2011) as those that occur within 100 m of the surface. While this water is easy to access, yields are generally low and water quality is variable. The upper aquifers </w:t>
      </w:r>
      <w:r w:rsidR="00BA584B">
        <w:t xml:space="preserve">occur </w:t>
      </w:r>
      <w:r w:rsidR="00A65062">
        <w:t>within</w:t>
      </w:r>
      <w:r w:rsidRPr="00642A5D">
        <w:t xml:space="preserve"> the Newer Volcanics, Bridgewater Formation and various other sand units. The Newer Volcanics and Bridgewater Formations are thickest near Ballarat, Colac, Portland and south of Hamilton. They are variably distributed throughout the majority of the Otway Basin, excluding the areas to the south of Colac and to the east of Hamilton where the </w:t>
      </w:r>
      <w:r w:rsidR="00EA7676" w:rsidRPr="00642A5D">
        <w:t>Eumeralla</w:t>
      </w:r>
      <w:r w:rsidRPr="00642A5D">
        <w:t xml:space="preserve"> Formation outcrops. Older sand units are more prevalent throughout the north</w:t>
      </w:r>
      <w:r w:rsidR="00CB58B1">
        <w:t>ern</w:t>
      </w:r>
      <w:r w:rsidRPr="00642A5D">
        <w:t xml:space="preserve"> portion of the basin and near Warnambool.</w:t>
      </w:r>
    </w:p>
    <w:p w14:paraId="5E7A27A5" w14:textId="77777777" w:rsidR="00866D58" w:rsidRPr="00642A5D" w:rsidRDefault="00866D58" w:rsidP="00866D58">
      <w:pPr>
        <w:pStyle w:val="Heading4"/>
        <w:rPr>
          <w:lang w:val="en-AU" w:eastAsia="en-US"/>
        </w:rPr>
      </w:pPr>
      <w:r w:rsidRPr="00642A5D">
        <w:rPr>
          <w:lang w:val="en-AU" w:eastAsia="en-US"/>
        </w:rPr>
        <w:t>Salinity</w:t>
      </w:r>
    </w:p>
    <w:p w14:paraId="0F4FD2B7" w14:textId="04618A4B" w:rsidR="00866D58" w:rsidRDefault="00866D58">
      <w:r w:rsidRPr="00642A5D">
        <w:t xml:space="preserve">Groundwater salinity in the upper aquifers is variable, however salinity is generally lower in the southern </w:t>
      </w:r>
      <w:r w:rsidRPr="00BA584B">
        <w:t>portion of the basin in comparison to the northern areas of the basin (</w:t>
      </w:r>
      <w:r w:rsidR="00326B19" w:rsidRPr="00BA584B">
        <w:fldChar w:fldCharType="begin"/>
      </w:r>
      <w:r w:rsidR="00326B19" w:rsidRPr="00BA584B">
        <w:instrText xml:space="preserve"> REF _Ref403049196 \h  \* MERGEFORMAT </w:instrText>
      </w:r>
      <w:r w:rsidR="00326B19" w:rsidRPr="00BA584B">
        <w:fldChar w:fldCharType="separate"/>
      </w:r>
      <w:r w:rsidR="00171A5E" w:rsidRPr="00642A5D">
        <w:t xml:space="preserve">Figure </w:t>
      </w:r>
      <w:r w:rsidR="00171A5E">
        <w:rPr>
          <w:noProof/>
        </w:rPr>
        <w:t>15</w:t>
      </w:r>
      <w:r w:rsidR="00326B19" w:rsidRPr="00BA584B">
        <w:fldChar w:fldCharType="end"/>
      </w:r>
      <w:r w:rsidRPr="00BA584B">
        <w:t>). For the purposes of this</w:t>
      </w:r>
      <w:r w:rsidRPr="00642A5D">
        <w:t xml:space="preserve"> </w:t>
      </w:r>
      <w:r w:rsidRPr="00BA584B">
        <w:t xml:space="preserve">study, the areas highlighted in blue and green in </w:t>
      </w:r>
      <w:r w:rsidR="00326B19" w:rsidRPr="00BA584B">
        <w:fldChar w:fldCharType="begin"/>
      </w:r>
      <w:r w:rsidR="00326B19" w:rsidRPr="00BA584B">
        <w:instrText xml:space="preserve"> REF _Ref403049196 \h  \* MERGEFORMAT </w:instrText>
      </w:r>
      <w:r w:rsidR="00326B19" w:rsidRPr="00BA584B">
        <w:fldChar w:fldCharType="separate"/>
      </w:r>
      <w:r w:rsidR="00171A5E" w:rsidRPr="00642A5D">
        <w:t xml:space="preserve">Figure </w:t>
      </w:r>
      <w:r w:rsidR="00171A5E">
        <w:rPr>
          <w:noProof/>
        </w:rPr>
        <w:t>15</w:t>
      </w:r>
      <w:r w:rsidR="00326B19" w:rsidRPr="00BA584B">
        <w:fldChar w:fldCharType="end"/>
      </w:r>
      <w:r w:rsidRPr="00BA584B">
        <w:t xml:space="preserve"> represent groundwater assets with TDS (total</w:t>
      </w:r>
      <w:r w:rsidRPr="00642A5D">
        <w:t xml:space="preserve"> dissolved solids) concentrations less than 3500 mg/L. </w:t>
      </w:r>
      <w:r w:rsidR="00BA584B">
        <w:t>Because</w:t>
      </w:r>
      <w:r w:rsidRPr="00642A5D">
        <w:t xml:space="preserve"> salinity and yield in the upper aquifers is variable, it is possible that isolated areas with good potential remain undeveloped locally.</w:t>
      </w:r>
    </w:p>
    <w:p w14:paraId="5EB56EDA" w14:textId="77777777" w:rsidR="00465CE4" w:rsidRPr="00642A5D" w:rsidRDefault="00465CE4" w:rsidP="00465CE4">
      <w:pPr>
        <w:pStyle w:val="Heading4"/>
        <w:rPr>
          <w:lang w:val="en-AU" w:eastAsia="en-US"/>
        </w:rPr>
      </w:pPr>
      <w:r w:rsidRPr="00642A5D">
        <w:rPr>
          <w:lang w:val="en-AU" w:eastAsia="en-US"/>
        </w:rPr>
        <w:t>Groundwater levels and flow patterns</w:t>
      </w:r>
    </w:p>
    <w:p w14:paraId="716A8D9D" w14:textId="676B51FA" w:rsidR="00465CE4" w:rsidRPr="00642A5D" w:rsidRDefault="00465CE4" w:rsidP="00465CE4">
      <w:r w:rsidRPr="00642A5D">
        <w:t xml:space="preserve">Groundwater levels in the upper aquifers of the </w:t>
      </w:r>
      <w:r>
        <w:t>Otway region</w:t>
      </w:r>
      <w:r w:rsidRPr="00642A5D">
        <w:t xml:space="preserve"> show a strong correlation with topography. </w:t>
      </w:r>
      <w:r w:rsidRPr="00BA584B">
        <w:t xml:space="preserve">This is illustrated in </w:t>
      </w:r>
      <w:r w:rsidRPr="00BA584B">
        <w:fldChar w:fldCharType="begin"/>
      </w:r>
      <w:r w:rsidRPr="00BA584B">
        <w:instrText xml:space="preserve"> REF _Ref403049196 \h  \* MERGEFORMAT </w:instrText>
      </w:r>
      <w:r w:rsidRPr="00BA584B">
        <w:fldChar w:fldCharType="separate"/>
      </w:r>
      <w:r w:rsidR="00171A5E" w:rsidRPr="00642A5D">
        <w:t xml:space="preserve">Figure </w:t>
      </w:r>
      <w:r w:rsidR="00171A5E">
        <w:rPr>
          <w:noProof/>
        </w:rPr>
        <w:t>15</w:t>
      </w:r>
      <w:r w:rsidRPr="00BA584B">
        <w:fldChar w:fldCharType="end"/>
      </w:r>
      <w:r w:rsidRPr="00BA584B">
        <w:t xml:space="preserve"> which shows higher groundwater elevations and steeper hydraulic gradients</w:t>
      </w:r>
      <w:r w:rsidRPr="00642A5D">
        <w:t xml:space="preserve"> (areas where groundwater contours are tightly spaced) closer to topographically elevated areas such as the Otway Ranges and the northern basin margins. </w:t>
      </w:r>
    </w:p>
    <w:p w14:paraId="3E2DCEEF" w14:textId="77777777" w:rsidR="00465CE4" w:rsidRDefault="00465CE4"/>
    <w:p w14:paraId="4C3260F9" w14:textId="77777777" w:rsidR="00465CE4" w:rsidRDefault="00465CE4"/>
    <w:p w14:paraId="0BF43639" w14:textId="77777777" w:rsidR="00465CE4" w:rsidRPr="00B42E91" w:rsidRDefault="00465CE4" w:rsidP="00B42E91">
      <w:pPr>
        <w:pStyle w:val="figurereturn"/>
      </w:pPr>
      <w:r w:rsidRPr="00642A5D">
        <w:drawing>
          <wp:inline distT="0" distB="0" distL="0" distR="0" wp14:anchorId="55408BC8" wp14:editId="6C9C11FE">
            <wp:extent cx="6229038" cy="4143375"/>
            <wp:effectExtent l="0" t="0" r="635"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6238230" cy="4149489"/>
                    </a:xfrm>
                    <a:prstGeom prst="rect">
                      <a:avLst/>
                    </a:prstGeom>
                  </pic:spPr>
                </pic:pic>
              </a:graphicData>
            </a:graphic>
          </wp:inline>
        </w:drawing>
      </w:r>
    </w:p>
    <w:p w14:paraId="32D0EA92" w14:textId="1B34C3BB" w:rsidR="00465CE4" w:rsidRPr="00642A5D" w:rsidRDefault="00465CE4" w:rsidP="00A53AE8">
      <w:pPr>
        <w:pStyle w:val="Figuretitle"/>
      </w:pPr>
      <w:bookmarkStart w:id="221" w:name="_Ref403049196"/>
      <w:bookmarkStart w:id="222" w:name="_Toc422928786"/>
      <w:r w:rsidRPr="00642A5D">
        <w:lastRenderedPageBreak/>
        <w:t xml:space="preserve">Figure </w:t>
      </w:r>
      <w:r w:rsidRPr="00642A5D">
        <w:fldChar w:fldCharType="begin"/>
      </w:r>
      <w:r w:rsidRPr="00642A5D">
        <w:instrText xml:space="preserve"> SEQ Figure \* ARABIC </w:instrText>
      </w:r>
      <w:r w:rsidRPr="00642A5D">
        <w:fldChar w:fldCharType="separate"/>
      </w:r>
      <w:r w:rsidR="00171A5E">
        <w:t>15</w:t>
      </w:r>
      <w:r w:rsidRPr="00642A5D">
        <w:fldChar w:fldCharType="end"/>
      </w:r>
      <w:bookmarkEnd w:id="221"/>
      <w:r>
        <w:t>:</w:t>
      </w:r>
      <w:r w:rsidRPr="00642A5D">
        <w:t xml:space="preserve"> </w:t>
      </w:r>
      <w:r>
        <w:t xml:space="preserve"> </w:t>
      </w:r>
      <w:r w:rsidRPr="00642A5D">
        <w:t xml:space="preserve">Groundwater salinity and </w:t>
      </w:r>
      <w:r>
        <w:t xml:space="preserve">water level </w:t>
      </w:r>
      <w:r w:rsidRPr="00642A5D">
        <w:t>contour map of the upper aquifers</w:t>
      </w:r>
      <w:r>
        <w:t>.</w:t>
      </w:r>
      <w:r w:rsidRPr="00642A5D">
        <w:t xml:space="preserve"> (</w:t>
      </w:r>
      <w:r>
        <w:t xml:space="preserve">source: </w:t>
      </w:r>
      <w:r w:rsidRPr="00642A5D">
        <w:t>SRW, 2013</w:t>
      </w:r>
      <w:r>
        <w:t>.</w:t>
      </w:r>
      <w:r w:rsidRPr="00642A5D">
        <w:t>)</w:t>
      </w:r>
      <w:bookmarkEnd w:id="222"/>
    </w:p>
    <w:p w14:paraId="7BEB8B70" w14:textId="54A1BCB5" w:rsidR="00E01E1A" w:rsidRPr="006815DB" w:rsidRDefault="00E01E1A" w:rsidP="00A35B08">
      <w:pPr>
        <w:rPr>
          <w:rFonts w:cs="Arial"/>
        </w:rPr>
      </w:pPr>
      <w:r w:rsidRPr="00642A5D">
        <w:t xml:space="preserve">These areas are dominated by local groundwater flow systems where large topographic variations drive steep hydraulic gradients and frequent intersection between the water table and topographic depressions. </w:t>
      </w:r>
      <w:r w:rsidRPr="00BA584B">
        <w:t>This results in groundwater discharge to springs and streambeds.</w:t>
      </w:r>
      <w:r w:rsidRPr="006815DB">
        <w:rPr>
          <w:rFonts w:cs="Arial"/>
        </w:rPr>
        <w:t xml:space="preserve"> For example, </w:t>
      </w:r>
      <w:r w:rsidR="00326B19" w:rsidRPr="006815DB">
        <w:rPr>
          <w:rFonts w:cs="Arial"/>
        </w:rPr>
        <w:fldChar w:fldCharType="begin"/>
      </w:r>
      <w:r w:rsidR="00326B19" w:rsidRPr="006815DB">
        <w:rPr>
          <w:rFonts w:cs="Arial"/>
        </w:rPr>
        <w:instrText xml:space="preserve"> REF _Ref403049196 \h  \* MERGEFORMAT </w:instrText>
      </w:r>
      <w:r w:rsidR="00326B19" w:rsidRPr="006815DB">
        <w:rPr>
          <w:rFonts w:cs="Arial"/>
        </w:rPr>
      </w:r>
      <w:r w:rsidR="00326B19" w:rsidRPr="006815DB">
        <w:rPr>
          <w:rFonts w:cs="Arial"/>
        </w:rPr>
        <w:fldChar w:fldCharType="separate"/>
      </w:r>
      <w:r w:rsidR="00171A5E" w:rsidRPr="00171A5E">
        <w:rPr>
          <w:rFonts w:cs="Arial"/>
        </w:rPr>
        <w:t xml:space="preserve">Figure </w:t>
      </w:r>
      <w:r w:rsidR="00171A5E" w:rsidRPr="00171A5E">
        <w:rPr>
          <w:rFonts w:cs="Arial"/>
          <w:noProof/>
        </w:rPr>
        <w:t>15</w:t>
      </w:r>
      <w:r w:rsidR="00326B19" w:rsidRPr="006815DB">
        <w:rPr>
          <w:rFonts w:cs="Arial"/>
        </w:rPr>
        <w:fldChar w:fldCharType="end"/>
      </w:r>
      <w:r w:rsidRPr="006815DB">
        <w:rPr>
          <w:rFonts w:cs="Arial"/>
        </w:rPr>
        <w:t xml:space="preserve"> highlights Warrion Hill Red Rock complex. In this setting, groundwater recharge occurs on elevated scoria mounds before flowing away radially and discharging into the nearby lakes systems. In these setting, upward hydraulic gradients are common and groundwater flow from underlying aquifers into the upper aquifers occurs where they are hydraulically connected. </w:t>
      </w:r>
    </w:p>
    <w:p w14:paraId="16515023" w14:textId="5470AA42" w:rsidR="00E01E1A" w:rsidRDefault="00E01E1A" w:rsidP="00BA584B">
      <w:r w:rsidRPr="00642A5D">
        <w:t>Conversely, topographically flatter areas such as those along the western margin of the basin result in shallow hydraulic gradients</w:t>
      </w:r>
      <w:r w:rsidRPr="00BA584B">
        <w:t xml:space="preserve"> (</w:t>
      </w:r>
      <w:r w:rsidR="00326B19" w:rsidRPr="00BA584B">
        <w:fldChar w:fldCharType="begin"/>
      </w:r>
      <w:r w:rsidR="00326B19" w:rsidRPr="00BA584B">
        <w:instrText xml:space="preserve"> REF _Ref403049196 \h  \* MERGEFORMAT </w:instrText>
      </w:r>
      <w:r w:rsidR="00326B19" w:rsidRPr="00BA584B">
        <w:fldChar w:fldCharType="separate"/>
      </w:r>
      <w:r w:rsidR="00171A5E" w:rsidRPr="00642A5D">
        <w:t xml:space="preserve">Figure </w:t>
      </w:r>
      <w:r w:rsidR="00171A5E">
        <w:rPr>
          <w:noProof/>
        </w:rPr>
        <w:t>15</w:t>
      </w:r>
      <w:r w:rsidR="00326B19" w:rsidRPr="00BA584B">
        <w:fldChar w:fldCharType="end"/>
      </w:r>
      <w:r w:rsidRPr="00BA584B">
        <w:t>).</w:t>
      </w:r>
      <w:r w:rsidRPr="00642A5D">
        <w:t xml:space="preserve"> In these settings, groundwater flow paths are longer and flow rates slower, resulting in long groundwater residence times. Groundwater flow directions in these areas are roughly north–south and groundwater discharge generally occurs offshore.</w:t>
      </w:r>
    </w:p>
    <w:p w14:paraId="7965D792" w14:textId="77777777" w:rsidR="00465CE4" w:rsidRPr="00642A5D" w:rsidRDefault="00465CE4" w:rsidP="00465CE4">
      <w:pPr>
        <w:pStyle w:val="Heading4"/>
        <w:rPr>
          <w:lang w:val="en-AU" w:eastAsia="en-US"/>
        </w:rPr>
      </w:pPr>
      <w:r w:rsidRPr="00642A5D">
        <w:rPr>
          <w:lang w:val="en-AU" w:eastAsia="en-US"/>
        </w:rPr>
        <w:t>Hydraulic connection to other aquifers</w:t>
      </w:r>
    </w:p>
    <w:p w14:paraId="6DD41998" w14:textId="2E9D5D4A" w:rsidR="00465CE4" w:rsidRDefault="00465CE4" w:rsidP="00465CE4">
      <w:r w:rsidRPr="00642A5D">
        <w:t>The upper aquifers are generally well connected to the underlying Upper Mid-Tertiary Aquifers</w:t>
      </w:r>
      <w:r>
        <w:t>,</w:t>
      </w:r>
      <w:r w:rsidRPr="00642A5D">
        <w:t xml:space="preserve"> including the Port Campbell Limestone and Gambier Limestone. In the majority of the basin, aquitards are generally absent between the upper and middle aquifers</w:t>
      </w:r>
      <w:r>
        <w:t>,</w:t>
      </w:r>
      <w:r w:rsidRPr="00642A5D">
        <w:t xml:space="preserve"> and groundwater recharge to the Upper Mid-Tertiary Aquifers occurs through the upper aquifers. Likewise, upward groundwater movement from the Upper </w:t>
      </w:r>
      <w:r>
        <w:br/>
      </w:r>
      <w:r w:rsidRPr="00642A5D">
        <w:t xml:space="preserve">Mid-Tertiary Aquifers to the upper aquifers commonly occurs at depressions where groundwater </w:t>
      </w:r>
      <w:r w:rsidR="00B42E91">
        <w:br/>
      </w:r>
      <w:r w:rsidRPr="00642A5D">
        <w:t xml:space="preserve">discharge occurs. </w:t>
      </w:r>
    </w:p>
    <w:p w14:paraId="1E1DD44A" w14:textId="1A2D9CE0" w:rsidR="00465CE4" w:rsidRPr="00642A5D" w:rsidRDefault="00465CE4" w:rsidP="00BA584B">
      <w:r w:rsidRPr="00642A5D">
        <w:t>In some areas</w:t>
      </w:r>
      <w:r>
        <w:t xml:space="preserve">, </w:t>
      </w:r>
      <w:r w:rsidRPr="00642A5D">
        <w:t>such as the northern margin of the Port Campbell Embayment</w:t>
      </w:r>
      <w:r>
        <w:t xml:space="preserve"> (</w:t>
      </w:r>
      <w:r w:rsidRPr="00642A5D">
        <w:fldChar w:fldCharType="begin"/>
      </w:r>
      <w:r w:rsidRPr="00642A5D">
        <w:instrText xml:space="preserve"> REF _Ref402783105 \h  \* MERGEFORMAT </w:instrText>
      </w:r>
      <w:r w:rsidRPr="00642A5D">
        <w:fldChar w:fldCharType="separate"/>
      </w:r>
      <w:r w:rsidR="00171A5E" w:rsidRPr="0044128F">
        <w:t xml:space="preserve">Figure </w:t>
      </w:r>
      <w:r w:rsidR="00171A5E">
        <w:t>4</w:t>
      </w:r>
      <w:r w:rsidRPr="00642A5D">
        <w:fldChar w:fldCharType="end"/>
      </w:r>
      <w:r w:rsidRPr="00642A5D">
        <w:t>) where upper aquifers directly overlie the Upper Mid-Tertiary Aquitard, vertical groundwater exchange is limited and groundwater is either discharged to surface water bodies or laterally into the UMTA where it becomes prevalent (Bush, 2009).</w:t>
      </w:r>
    </w:p>
    <w:p w14:paraId="759B7CCD" w14:textId="79D15D1D" w:rsidR="00866D58" w:rsidRPr="00642A5D" w:rsidRDefault="00465CE4" w:rsidP="00866D58">
      <w:pPr>
        <w:pStyle w:val="Head3xxx"/>
      </w:pPr>
      <w:bookmarkStart w:id="223" w:name="_Toc296766943"/>
      <w:r>
        <w:t>2.3.5</w:t>
      </w:r>
      <w:bookmarkEnd w:id="223"/>
      <w:r>
        <w:tab/>
      </w:r>
      <w:bookmarkStart w:id="224" w:name="_Toc420568672"/>
      <w:bookmarkStart w:id="225" w:name="_Toc420570254"/>
      <w:bookmarkStart w:id="226" w:name="_Toc420571450"/>
      <w:bookmarkStart w:id="227" w:name="_Toc420572088"/>
      <w:bookmarkStart w:id="228" w:name="_Toc296766944"/>
      <w:r w:rsidR="00866D58" w:rsidRPr="00642A5D">
        <w:t>Middle aquifers</w:t>
      </w:r>
      <w:bookmarkEnd w:id="224"/>
      <w:bookmarkEnd w:id="225"/>
      <w:bookmarkEnd w:id="226"/>
      <w:bookmarkEnd w:id="227"/>
      <w:bookmarkEnd w:id="228"/>
    </w:p>
    <w:p w14:paraId="690FC57F" w14:textId="77777777" w:rsidR="00866D58" w:rsidRPr="00642A5D" w:rsidRDefault="00866D58" w:rsidP="000B5EB4">
      <w:pPr>
        <w:pStyle w:val="Heading4"/>
        <w:rPr>
          <w:lang w:val="en-AU" w:eastAsia="en-US"/>
        </w:rPr>
      </w:pPr>
      <w:r w:rsidRPr="00642A5D">
        <w:rPr>
          <w:lang w:val="en-AU" w:eastAsia="en-US"/>
        </w:rPr>
        <w:t>Extent of aquifer</w:t>
      </w:r>
    </w:p>
    <w:p w14:paraId="1D189140" w14:textId="52767C8B" w:rsidR="00866D58" w:rsidRPr="00642A5D" w:rsidRDefault="00866D58">
      <w:r w:rsidRPr="00642A5D">
        <w:t xml:space="preserve">The Upper Mid-Tertiary Aquifer (UMTA) system includes the Gambier Limestone in the Gambier Embayment in South Australia. It is separated by the Merino High and extends laterally across the majority of the Victorian part of the Otway Basin as the Port Campbell Limestone. The underlying Gellibrand Marl forms </w:t>
      </w:r>
      <w:r w:rsidR="00DC2F26">
        <w:br/>
      </w:r>
      <w:r w:rsidRPr="00642A5D">
        <w:t xml:space="preserve">the Upper Mid-Tertiary Aquitard (UMTD) to the east of the Gambier Embayment and separates the Port Campbell Limestone from the underlying Clifton Formation which comprises the Lower Mid-Tertiary </w:t>
      </w:r>
      <w:r w:rsidR="00DC2F26">
        <w:br/>
      </w:r>
      <w:r w:rsidRPr="00642A5D">
        <w:t>Aquifer (LMTA).</w:t>
      </w:r>
    </w:p>
    <w:p w14:paraId="5288FE3E" w14:textId="77777777" w:rsidR="00866D58" w:rsidRPr="00642A5D" w:rsidRDefault="00866D58" w:rsidP="000B5EB4">
      <w:pPr>
        <w:pStyle w:val="Heading4"/>
        <w:rPr>
          <w:lang w:val="en-AU" w:eastAsia="en-US"/>
        </w:rPr>
      </w:pPr>
      <w:r w:rsidRPr="00642A5D">
        <w:rPr>
          <w:lang w:val="en-AU" w:eastAsia="en-US"/>
        </w:rPr>
        <w:t>Salinity</w:t>
      </w:r>
    </w:p>
    <w:p w14:paraId="6C8E80FD" w14:textId="1C72E014" w:rsidR="000B5EB4" w:rsidRPr="00642A5D" w:rsidRDefault="000B5EB4">
      <w:r w:rsidRPr="00642A5D">
        <w:t xml:space="preserve">Groundwater in both the Gambier and Port Campbell Limestones </w:t>
      </w:r>
      <w:r w:rsidR="001A2C59">
        <w:t>has</w:t>
      </w:r>
      <w:r w:rsidR="001A2C59" w:rsidRPr="00642A5D">
        <w:t xml:space="preserve"> </w:t>
      </w:r>
      <w:r w:rsidRPr="00642A5D">
        <w:t xml:space="preserve">generally less than 1500 mg/L TDS, however </w:t>
      </w:r>
      <w:r w:rsidR="00BA34E2">
        <w:t>values</w:t>
      </w:r>
      <w:r w:rsidR="00BA34E2" w:rsidRPr="00642A5D">
        <w:t xml:space="preserve"> </w:t>
      </w:r>
      <w:r w:rsidRPr="00642A5D">
        <w:t xml:space="preserve">as high as 7000 mg/L TDS exist toward the outer extents of the aquifer away from the coast (Leonard, 2003). Less information is available for the Clifton Formation aquifer, </w:t>
      </w:r>
      <w:r w:rsidR="00BA34E2">
        <w:t>but</w:t>
      </w:r>
      <w:r w:rsidR="00BA34E2" w:rsidRPr="00642A5D">
        <w:t xml:space="preserve"> </w:t>
      </w:r>
      <w:r w:rsidRPr="00642A5D">
        <w:t>high</w:t>
      </w:r>
      <w:r w:rsidR="00BA34E2">
        <w:t>-</w:t>
      </w:r>
      <w:r w:rsidRPr="00642A5D">
        <w:t xml:space="preserve">yielding groundwater with a TDS </w:t>
      </w:r>
      <w:r w:rsidR="00BA34E2">
        <w:t>below</w:t>
      </w:r>
      <w:r w:rsidR="001A2C59">
        <w:t xml:space="preserve"> </w:t>
      </w:r>
      <w:r w:rsidRPr="00642A5D">
        <w:t xml:space="preserve">1000 mg/L is known to occur around the Lake Condah High. For the purposes of this study, the areas highlighted in blue and green in </w:t>
      </w:r>
      <w:r w:rsidR="00326B19" w:rsidRPr="00642A5D">
        <w:fldChar w:fldCharType="begin"/>
      </w:r>
      <w:r w:rsidR="00326B19" w:rsidRPr="00642A5D">
        <w:instrText xml:space="preserve"> REF _Ref403038646 \h  \* MERGEFORMAT </w:instrText>
      </w:r>
      <w:r w:rsidR="00326B19" w:rsidRPr="00642A5D">
        <w:fldChar w:fldCharType="separate"/>
      </w:r>
      <w:r w:rsidR="00171A5E" w:rsidRPr="00642A5D">
        <w:t xml:space="preserve">Figure </w:t>
      </w:r>
      <w:r w:rsidR="00171A5E">
        <w:rPr>
          <w:noProof/>
        </w:rPr>
        <w:t>16</w:t>
      </w:r>
      <w:r w:rsidR="00326B19" w:rsidRPr="00642A5D">
        <w:fldChar w:fldCharType="end"/>
      </w:r>
      <w:r w:rsidRPr="00642A5D">
        <w:t xml:space="preserve"> represent groundwater assets.</w:t>
      </w:r>
    </w:p>
    <w:p w14:paraId="31F75C67" w14:textId="77777777" w:rsidR="000B5EB4" w:rsidRPr="00B42E91" w:rsidRDefault="000B5EB4" w:rsidP="00B42E91">
      <w:pPr>
        <w:pStyle w:val="figurereturn"/>
      </w:pPr>
      <w:r w:rsidRPr="00642A5D">
        <w:lastRenderedPageBreak/>
        <w:drawing>
          <wp:inline distT="0" distB="0" distL="0" distR="0" wp14:anchorId="04B1BD96" wp14:editId="3A6B29EC">
            <wp:extent cx="6088933" cy="3857625"/>
            <wp:effectExtent l="0" t="0" r="762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094071" cy="3860880"/>
                    </a:xfrm>
                    <a:prstGeom prst="rect">
                      <a:avLst/>
                    </a:prstGeom>
                  </pic:spPr>
                </pic:pic>
              </a:graphicData>
            </a:graphic>
          </wp:inline>
        </w:drawing>
      </w:r>
    </w:p>
    <w:p w14:paraId="79A0A3DF" w14:textId="7E0B2013" w:rsidR="000B5EB4" w:rsidRPr="00642A5D" w:rsidRDefault="000B5EB4" w:rsidP="00A53AE8">
      <w:pPr>
        <w:pStyle w:val="Figuretitle"/>
      </w:pPr>
      <w:bookmarkStart w:id="229" w:name="_Ref403038646"/>
      <w:bookmarkStart w:id="230" w:name="_Toc422928787"/>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16</w:t>
      </w:r>
      <w:r w:rsidR="007569CD" w:rsidRPr="00642A5D">
        <w:fldChar w:fldCharType="end"/>
      </w:r>
      <w:bookmarkEnd w:id="229"/>
      <w:r w:rsidR="00F95BE3">
        <w:t>:</w:t>
      </w:r>
      <w:r w:rsidRPr="00642A5D">
        <w:t xml:space="preserve"> </w:t>
      </w:r>
      <w:r w:rsidR="00A17A4A">
        <w:t xml:space="preserve"> </w:t>
      </w:r>
      <w:r w:rsidRPr="00642A5D">
        <w:t>Groundwater salinity and yield map of the U</w:t>
      </w:r>
      <w:r w:rsidR="00582F87">
        <w:t xml:space="preserve">pper </w:t>
      </w:r>
      <w:r w:rsidRPr="00642A5D">
        <w:t>M</w:t>
      </w:r>
      <w:r w:rsidR="00582F87">
        <w:t>id-</w:t>
      </w:r>
      <w:r w:rsidRPr="00642A5D">
        <w:t>T</w:t>
      </w:r>
      <w:r w:rsidR="00582F87">
        <w:t xml:space="preserve">ertiary </w:t>
      </w:r>
      <w:r w:rsidRPr="00642A5D">
        <w:t>A</w:t>
      </w:r>
      <w:r w:rsidR="00582F87">
        <w:t>quifer</w:t>
      </w:r>
      <w:r w:rsidR="00A17A4A">
        <w:t>.</w:t>
      </w:r>
      <w:r w:rsidRPr="00642A5D">
        <w:t xml:space="preserve"> (</w:t>
      </w:r>
      <w:r w:rsidR="00A17A4A">
        <w:t>S</w:t>
      </w:r>
      <w:r w:rsidR="00755B17">
        <w:t xml:space="preserve">ource: </w:t>
      </w:r>
      <w:r w:rsidRPr="00642A5D">
        <w:t>SRW, 2013</w:t>
      </w:r>
      <w:r w:rsidR="00A17A4A">
        <w:t>.</w:t>
      </w:r>
      <w:r w:rsidRPr="00642A5D">
        <w:t>)</w:t>
      </w:r>
      <w:bookmarkEnd w:id="230"/>
    </w:p>
    <w:p w14:paraId="442F6697" w14:textId="77777777" w:rsidR="00866D58" w:rsidRPr="00642A5D" w:rsidRDefault="000B5EB4" w:rsidP="000B5EB4">
      <w:pPr>
        <w:pStyle w:val="Heading4"/>
        <w:rPr>
          <w:lang w:val="en-AU" w:eastAsia="en-US"/>
        </w:rPr>
      </w:pPr>
      <w:r w:rsidRPr="00642A5D">
        <w:rPr>
          <w:lang w:val="en-AU" w:eastAsia="en-US"/>
        </w:rPr>
        <w:t>Groundwater levels and flow patterns</w:t>
      </w:r>
    </w:p>
    <w:p w14:paraId="697F7DC1" w14:textId="019E5C41" w:rsidR="000B5EB4" w:rsidRPr="00642A5D" w:rsidRDefault="000B5EB4">
      <w:r w:rsidRPr="00642A5D">
        <w:t xml:space="preserve">While the UMTA is overlain by the upper aquifers, the absence of significant overlying aquitards and hydraulic connection with the upper aquifers mean that it behaves in an unconfined manner. As </w:t>
      </w:r>
      <w:r w:rsidR="00A17A4A">
        <w:t>a result</w:t>
      </w:r>
      <w:r w:rsidRPr="00642A5D">
        <w:t xml:space="preserve"> the </w:t>
      </w:r>
      <w:r w:rsidRPr="00BA34E2">
        <w:t>potentiometric surface of groundwater in the UMTA is strongly influence</w:t>
      </w:r>
      <w:r w:rsidR="00502400" w:rsidRPr="00BA34E2">
        <w:t>d</w:t>
      </w:r>
      <w:r w:rsidRPr="00BA34E2">
        <w:t xml:space="preserve"> by topography (</w:t>
      </w:r>
      <w:r w:rsidR="00326B19" w:rsidRPr="00BA34E2">
        <w:fldChar w:fldCharType="begin"/>
      </w:r>
      <w:r w:rsidR="00326B19" w:rsidRPr="00BA34E2">
        <w:instrText xml:space="preserve"> REF _Ref402967336 \h  \* MERGEFORMAT </w:instrText>
      </w:r>
      <w:r w:rsidR="00326B19" w:rsidRPr="00BA34E2">
        <w:fldChar w:fldCharType="separate"/>
      </w:r>
      <w:r w:rsidR="00171A5E" w:rsidRPr="00642A5D">
        <w:t xml:space="preserve">Figure </w:t>
      </w:r>
      <w:r w:rsidR="00171A5E">
        <w:rPr>
          <w:noProof/>
        </w:rPr>
        <w:t>17</w:t>
      </w:r>
      <w:r w:rsidR="00326B19" w:rsidRPr="00BA34E2">
        <w:fldChar w:fldCharType="end"/>
      </w:r>
      <w:r w:rsidRPr="00A17A4A">
        <w:t>). Where</w:t>
      </w:r>
      <w:r w:rsidRPr="00642A5D">
        <w:t xml:space="preserve"> the UMTA is exposed, shallow portions of the aquifer are subject to the </w:t>
      </w:r>
      <w:r w:rsidR="002D4544" w:rsidRPr="00642A5D">
        <w:t>heterogeneous</w:t>
      </w:r>
      <w:r w:rsidRPr="00642A5D">
        <w:t xml:space="preserve"> flow patterns of local flow systems. In these areas groundwater follows relatively short flow paths between recharge at topographically elevated areas and discharge at topographically depressed lakes, streambeds and springs.</w:t>
      </w:r>
    </w:p>
    <w:p w14:paraId="5B083937" w14:textId="67DEB438" w:rsidR="000B5EB4" w:rsidRDefault="000B5EB4">
      <w:r w:rsidRPr="00642A5D">
        <w:t xml:space="preserve">Groundwater flow in </w:t>
      </w:r>
      <w:r w:rsidR="00A17A4A">
        <w:t>most</w:t>
      </w:r>
      <w:r w:rsidRPr="00642A5D">
        <w:t xml:space="preserve"> of the aquifer occurs on an intermediate to regional scale</w:t>
      </w:r>
      <w:r w:rsidR="00A17A4A">
        <w:t>,</w:t>
      </w:r>
      <w:r w:rsidRPr="00642A5D">
        <w:t xml:space="preserve"> as indicated </w:t>
      </w:r>
      <w:r w:rsidR="00A17A4A">
        <w:t>in</w:t>
      </w:r>
      <w:r w:rsidR="00A17A4A" w:rsidRPr="00642A5D">
        <w:t xml:space="preserve"> </w:t>
      </w:r>
      <w:r w:rsidR="00326B19" w:rsidRPr="00A17A4A">
        <w:fldChar w:fldCharType="begin"/>
      </w:r>
      <w:r w:rsidR="00326B19" w:rsidRPr="00BA34E2">
        <w:instrText xml:space="preserve"> REF _Ref402967336 \h  \* MERGEFORMAT </w:instrText>
      </w:r>
      <w:r w:rsidR="00326B19" w:rsidRPr="00A17A4A">
        <w:fldChar w:fldCharType="separate"/>
      </w:r>
      <w:r w:rsidR="00171A5E" w:rsidRPr="00642A5D">
        <w:t xml:space="preserve">Figure </w:t>
      </w:r>
      <w:r w:rsidR="00171A5E">
        <w:rPr>
          <w:noProof/>
        </w:rPr>
        <w:t>17</w:t>
      </w:r>
      <w:r w:rsidR="00326B19" w:rsidRPr="00A17A4A">
        <w:fldChar w:fldCharType="end"/>
      </w:r>
      <w:r w:rsidRPr="00A17A4A">
        <w:t>, which shows recharge along the topographically elevated northern basin margin and groundwater</w:t>
      </w:r>
      <w:r w:rsidRPr="00642A5D">
        <w:t xml:space="preserve"> flow in a south to south westerly direction towards the coast. While it is likely that this mechanism dominates the flow regime in the UMTA, it is also likely that local flow systems and vertical infiltration into the UMTA occur throughout the basin where vertical head gradients permit. </w:t>
      </w:r>
    </w:p>
    <w:p w14:paraId="1C7CDE3F" w14:textId="77777777" w:rsidR="00A17A4A" w:rsidRPr="00642A5D" w:rsidRDefault="00A17A4A" w:rsidP="00A17A4A">
      <w:pPr>
        <w:pStyle w:val="Heading4"/>
        <w:rPr>
          <w:lang w:val="en-AU" w:eastAsia="en-US"/>
        </w:rPr>
      </w:pPr>
      <w:r w:rsidRPr="00642A5D">
        <w:rPr>
          <w:lang w:val="en-AU" w:eastAsia="en-US"/>
        </w:rPr>
        <w:t>Hydraulic connection to other aquifers</w:t>
      </w:r>
    </w:p>
    <w:p w14:paraId="7D66DE24" w14:textId="77777777" w:rsidR="00A17A4A" w:rsidRPr="00642A5D" w:rsidRDefault="00A17A4A" w:rsidP="00A17A4A">
      <w:r w:rsidRPr="00642A5D">
        <w:t>The UMTA is generally well connected to the upper aquifers and groundwater flow between the two readily occurs. Recharge to the UMTA commonly occurs via infiltration though the upper aquifers at topographic highs, while upward groundwater flow from the UMTA into the above lying aquifers is common where the surface discharge of groundwater occurs. The UMTA is confined by overlying basalts of the Newer Volcanics at a local scale where low permeability basalts occur. In these areas the UMTA acts as a semi-confined aquifer.</w:t>
      </w:r>
    </w:p>
    <w:p w14:paraId="6E650150" w14:textId="66109EAC" w:rsidR="00A17A4A" w:rsidRPr="00642A5D" w:rsidRDefault="00A17A4A" w:rsidP="00A17A4A">
      <w:r w:rsidRPr="00642A5D">
        <w:t xml:space="preserve">The Gellibrand Marl aquitard (UMTD) hydraulically separates the UMTA from the underlying LMTA; however where the aquitard is thinner, more flow between the two does occur. For example, upward groundwater flow from the LMTA to the UMTA is thought to occur near the coastline of the Gambier Embayment where the LMTD thins. Equally, the Gellibrand Marl thins near Mt Eccles in the Tyrendarra Embayment, allowing recharge to the Clifton Formation via the upper aquifers and the UMTA (Bush, 2009). While flow between the </w:t>
      </w:r>
      <w:r w:rsidRPr="00642A5D">
        <w:lastRenderedPageBreak/>
        <w:t>UMTA and LMTA will be restricted and diffuse throughout the majority of the basin, local faulting and volcanic pipes are thought to facilitate localised groundwater connectivity.</w:t>
      </w:r>
      <w:r w:rsidR="00B42E91">
        <w:br/>
      </w:r>
    </w:p>
    <w:p w14:paraId="6587E698" w14:textId="77777777" w:rsidR="000B5EB4" w:rsidRPr="00B42E91" w:rsidRDefault="000B5EB4" w:rsidP="00B42E91">
      <w:pPr>
        <w:pStyle w:val="figurereturn"/>
      </w:pPr>
      <w:r w:rsidRPr="00642A5D">
        <w:drawing>
          <wp:inline distT="0" distB="0" distL="0" distR="0" wp14:anchorId="1C83E556" wp14:editId="3C3404E6">
            <wp:extent cx="6096000" cy="4191000"/>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6096000" cy="4191000"/>
                    </a:xfrm>
                    <a:prstGeom prst="rect">
                      <a:avLst/>
                    </a:prstGeom>
                  </pic:spPr>
                </pic:pic>
              </a:graphicData>
            </a:graphic>
          </wp:inline>
        </w:drawing>
      </w:r>
    </w:p>
    <w:p w14:paraId="29A63979" w14:textId="65B4B613" w:rsidR="000B5EB4" w:rsidRPr="00642A5D" w:rsidRDefault="000B5EB4" w:rsidP="00A53AE8">
      <w:pPr>
        <w:pStyle w:val="Figuretitle"/>
      </w:pPr>
      <w:bookmarkStart w:id="231" w:name="_Ref402967336"/>
      <w:bookmarkStart w:id="232" w:name="_Toc422928788"/>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17</w:t>
      </w:r>
      <w:r w:rsidR="007569CD" w:rsidRPr="00642A5D">
        <w:fldChar w:fldCharType="end"/>
      </w:r>
      <w:bookmarkEnd w:id="231"/>
      <w:r w:rsidR="00F95BE3">
        <w:t>:</w:t>
      </w:r>
      <w:r w:rsidR="00A17A4A">
        <w:t xml:space="preserve"> </w:t>
      </w:r>
      <w:r w:rsidRPr="00642A5D">
        <w:t xml:space="preserve"> Potentiometric surface and groundwater flow directions in the UMTA</w:t>
      </w:r>
      <w:r w:rsidR="00A17A4A">
        <w:t>.</w:t>
      </w:r>
      <w:r w:rsidRPr="00642A5D">
        <w:t xml:space="preserve"> (</w:t>
      </w:r>
      <w:r w:rsidR="00A17A4A">
        <w:t>S</w:t>
      </w:r>
      <w:r w:rsidR="00755B17">
        <w:t xml:space="preserve">ource: </w:t>
      </w:r>
      <w:r w:rsidRPr="00642A5D">
        <w:t>Bush, 2009</w:t>
      </w:r>
      <w:r w:rsidR="00A17A4A">
        <w:t>.</w:t>
      </w:r>
      <w:r w:rsidRPr="00642A5D">
        <w:t>)</w:t>
      </w:r>
      <w:bookmarkEnd w:id="232"/>
    </w:p>
    <w:p w14:paraId="0010F266" w14:textId="2B8D830C" w:rsidR="000B5EB4" w:rsidRPr="00642A5D" w:rsidRDefault="00A17A4A" w:rsidP="000B5EB4">
      <w:pPr>
        <w:pStyle w:val="Head3xxx"/>
      </w:pPr>
      <w:bookmarkStart w:id="233" w:name="_Ref406599835"/>
      <w:bookmarkStart w:id="234" w:name="_Toc420568673"/>
      <w:bookmarkStart w:id="235" w:name="_Toc420570255"/>
      <w:bookmarkStart w:id="236" w:name="_Toc420571451"/>
      <w:bookmarkStart w:id="237" w:name="_Toc420572089"/>
      <w:bookmarkStart w:id="238" w:name="_Toc296766945"/>
      <w:r>
        <w:t>2.3.6</w:t>
      </w:r>
      <w:r>
        <w:tab/>
      </w:r>
      <w:r w:rsidR="000B5EB4" w:rsidRPr="00642A5D">
        <w:t>Lower aquifers</w:t>
      </w:r>
      <w:bookmarkEnd w:id="233"/>
      <w:bookmarkEnd w:id="234"/>
      <w:bookmarkEnd w:id="235"/>
      <w:bookmarkEnd w:id="236"/>
      <w:bookmarkEnd w:id="237"/>
      <w:bookmarkEnd w:id="238"/>
    </w:p>
    <w:p w14:paraId="252FD839" w14:textId="77777777" w:rsidR="000B5EB4" w:rsidRPr="00642A5D" w:rsidRDefault="000B5EB4" w:rsidP="000B5EB4">
      <w:pPr>
        <w:pStyle w:val="Heading4"/>
        <w:rPr>
          <w:lang w:val="en-AU" w:eastAsia="en-US"/>
        </w:rPr>
      </w:pPr>
      <w:r w:rsidRPr="00642A5D">
        <w:rPr>
          <w:lang w:val="en-AU" w:eastAsia="en-US"/>
        </w:rPr>
        <w:t>Extent of aquifer</w:t>
      </w:r>
    </w:p>
    <w:p w14:paraId="3786B9C8" w14:textId="25582E4B" w:rsidR="000B5EB4" w:rsidRPr="00642A5D" w:rsidRDefault="000B5EB4">
      <w:r w:rsidRPr="00642A5D">
        <w:t xml:space="preserve">The Lower Tertiary Aquifer (LTA) is commonly known as the confined sandy aquifer and is dominated by the Dilwyn Formation (Leonard 2003) and Eastern View Formation. Additionally, while the Mepunga Formation is generally an aquitard, in some areas the lower Mepunga Formation exhibits aquifer properties and is connected to the LTA (Bush, 2009). In these circumstances the Mepunga Formation is to be part of the LTA. The LTA is prevalent throughout the majority of the Otway Basin excluding the Otway Ranges where the </w:t>
      </w:r>
      <w:r w:rsidR="00EA7676" w:rsidRPr="00642A5D">
        <w:t>Eumeralla</w:t>
      </w:r>
      <w:r w:rsidRPr="00642A5D">
        <w:t xml:space="preserve"> Formation outcrops. Successions increase in thickness from the northern basin margin towards the coast and generally range between 50 to 250 m</w:t>
      </w:r>
      <w:r w:rsidR="00502400">
        <w:t>.</w:t>
      </w:r>
      <w:r w:rsidRPr="00642A5D">
        <w:t xml:space="preserve"> </w:t>
      </w:r>
      <w:r w:rsidR="00502400">
        <w:t>H</w:t>
      </w:r>
      <w:r w:rsidR="00502400" w:rsidRPr="00642A5D">
        <w:t>owever</w:t>
      </w:r>
      <w:r w:rsidR="00502400">
        <w:t>,</w:t>
      </w:r>
      <w:r w:rsidR="00502400" w:rsidRPr="00642A5D">
        <w:t xml:space="preserve"> </w:t>
      </w:r>
      <w:r w:rsidRPr="00642A5D">
        <w:t>successions increase to over 500 m and 800 m in the Gambier Embayment and Portland Troughs, respectively.</w:t>
      </w:r>
    </w:p>
    <w:p w14:paraId="4692022D" w14:textId="77777777" w:rsidR="000B5EB4" w:rsidRPr="00642A5D" w:rsidRDefault="000B5EB4">
      <w:r w:rsidRPr="00642A5D">
        <w:t>The LTA is confined by the overlying sedimentary and volcanic rocks including the Narrawaturk Marl and the upper Mepunga Formation which form the Lower Mid-Tertiary Aquitard (LMTD). The LMTD shows a similar distribution to the underlying LTA however its inland extent is not as great as the LTA and thicknesses are around half that of the LTA.</w:t>
      </w:r>
    </w:p>
    <w:p w14:paraId="24A74CC4" w14:textId="77777777" w:rsidR="00A17A4A" w:rsidRDefault="00A17A4A">
      <w:pPr>
        <w:spacing w:after="200"/>
        <w:rPr>
          <w:b/>
          <w:lang w:val="en-AU" w:eastAsia="en-US"/>
        </w:rPr>
      </w:pPr>
      <w:r>
        <w:rPr>
          <w:lang w:val="en-AU" w:eastAsia="en-US"/>
        </w:rPr>
        <w:br w:type="page"/>
      </w:r>
    </w:p>
    <w:p w14:paraId="6A6A4DFD" w14:textId="33F04C2E" w:rsidR="000B5EB4" w:rsidRPr="00642A5D" w:rsidRDefault="000B5EB4" w:rsidP="000B5EB4">
      <w:pPr>
        <w:pStyle w:val="Heading4"/>
        <w:rPr>
          <w:lang w:val="en-AU" w:eastAsia="en-US"/>
        </w:rPr>
      </w:pPr>
      <w:r w:rsidRPr="00642A5D">
        <w:rPr>
          <w:lang w:val="en-AU" w:eastAsia="en-US"/>
        </w:rPr>
        <w:lastRenderedPageBreak/>
        <w:t>Salinity</w:t>
      </w:r>
    </w:p>
    <w:p w14:paraId="0B3ED45B" w14:textId="603EE552" w:rsidR="000B5EB4" w:rsidRPr="00642A5D" w:rsidRDefault="000B5EB4">
      <w:r w:rsidRPr="00642A5D">
        <w:t>Total dissolved solids in the LTA are generally around 500 mg/L near r</w:t>
      </w:r>
      <w:r w:rsidR="00A17A4A">
        <w:t>echarge areas, but increase to 1</w:t>
      </w:r>
      <w:r w:rsidRPr="00642A5D">
        <w:t>000</w:t>
      </w:r>
      <w:r w:rsidR="00A17A4A">
        <w:t> </w:t>
      </w:r>
      <w:r w:rsidRPr="00642A5D">
        <w:t xml:space="preserve">mg/L towards the coast. </w:t>
      </w:r>
      <w:r w:rsidR="00326B19" w:rsidRPr="00642A5D">
        <w:fldChar w:fldCharType="begin"/>
      </w:r>
      <w:r w:rsidR="00326B19" w:rsidRPr="00642A5D">
        <w:instrText xml:space="preserve"> REF _Ref403038401 \h  \* MERGEFORMAT </w:instrText>
      </w:r>
      <w:r w:rsidR="00326B19" w:rsidRPr="00642A5D">
        <w:fldChar w:fldCharType="separate"/>
      </w:r>
      <w:r w:rsidR="00171A5E" w:rsidRPr="00642A5D">
        <w:t xml:space="preserve">Figure </w:t>
      </w:r>
      <w:r w:rsidR="00171A5E">
        <w:rPr>
          <w:noProof/>
        </w:rPr>
        <w:t>18</w:t>
      </w:r>
      <w:r w:rsidR="00326B19" w:rsidRPr="00642A5D">
        <w:fldChar w:fldCharType="end"/>
      </w:r>
      <w:r w:rsidRPr="00642A5D">
        <w:t xml:space="preserve"> shows higher TDS concentrations around inland drainage lines. It is likely that these areas represent terminal groundwater discharge points where evapotranspiration drive</w:t>
      </w:r>
      <w:r w:rsidR="002926C8">
        <w:t>s</w:t>
      </w:r>
      <w:r w:rsidRPr="00642A5D">
        <w:t xml:space="preserve"> the accumulation of salts. Throughout the rest of the basin, groundwater </w:t>
      </w:r>
      <w:r w:rsidR="002D4544">
        <w:t>TDS</w:t>
      </w:r>
      <w:r w:rsidRPr="00642A5D">
        <w:t xml:space="preserve"> gener</w:t>
      </w:r>
      <w:r w:rsidR="00A17A4A">
        <w:t>ally exceeds 3</w:t>
      </w:r>
      <w:r w:rsidRPr="00642A5D">
        <w:t xml:space="preserve">500 mg/L north of Warnambool (over the Warnambool High) where concentrations of up to 5600 mg/L occur (Leonard, 2003). For the purposes of this investigation, the green and blue highlighted areas in </w:t>
      </w:r>
      <w:r w:rsidR="00326B19" w:rsidRPr="00642A5D">
        <w:fldChar w:fldCharType="begin"/>
      </w:r>
      <w:r w:rsidR="00326B19" w:rsidRPr="00642A5D">
        <w:instrText xml:space="preserve"> REF _Ref403038401 \h  \* MERGEFORMAT </w:instrText>
      </w:r>
      <w:r w:rsidR="00326B19" w:rsidRPr="00642A5D">
        <w:fldChar w:fldCharType="separate"/>
      </w:r>
      <w:r w:rsidR="00171A5E" w:rsidRPr="00642A5D">
        <w:t xml:space="preserve">Figure </w:t>
      </w:r>
      <w:r w:rsidR="00171A5E">
        <w:rPr>
          <w:noProof/>
        </w:rPr>
        <w:t>18</w:t>
      </w:r>
      <w:r w:rsidR="00326B19" w:rsidRPr="00642A5D">
        <w:fldChar w:fldCharType="end"/>
      </w:r>
      <w:r w:rsidRPr="00642A5D">
        <w:t xml:space="preserve"> are groundwater assets (</w:t>
      </w:r>
      <w:r w:rsidR="00A17A4A">
        <w:t>TDS</w:t>
      </w:r>
      <w:r w:rsidRPr="00642A5D">
        <w:t xml:space="preserve"> less than 3500 mg/L). </w:t>
      </w:r>
    </w:p>
    <w:p w14:paraId="04655AB0" w14:textId="77777777" w:rsidR="000B5EB4" w:rsidRPr="00642A5D" w:rsidRDefault="000B5EB4" w:rsidP="00582F87">
      <w:pPr>
        <w:pStyle w:val="figurereturn"/>
      </w:pPr>
      <w:r w:rsidRPr="00642A5D">
        <w:drawing>
          <wp:inline distT="0" distB="0" distL="0" distR="0" wp14:anchorId="5E6EAE7B" wp14:editId="32ACADF1">
            <wp:extent cx="5943600" cy="3862070"/>
            <wp:effectExtent l="0" t="0" r="0" b="508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3862070"/>
                    </a:xfrm>
                    <a:prstGeom prst="rect">
                      <a:avLst/>
                    </a:prstGeom>
                  </pic:spPr>
                </pic:pic>
              </a:graphicData>
            </a:graphic>
          </wp:inline>
        </w:drawing>
      </w:r>
    </w:p>
    <w:p w14:paraId="3F54CB2F" w14:textId="67F05CCB" w:rsidR="000B5EB4" w:rsidRDefault="000B5EB4" w:rsidP="00A53AE8">
      <w:pPr>
        <w:pStyle w:val="Figuretitle"/>
      </w:pPr>
      <w:bookmarkStart w:id="239" w:name="_Ref403038401"/>
      <w:bookmarkStart w:id="240" w:name="_Toc422928789"/>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18</w:t>
      </w:r>
      <w:r w:rsidR="007569CD" w:rsidRPr="00642A5D">
        <w:fldChar w:fldCharType="end"/>
      </w:r>
      <w:bookmarkEnd w:id="239"/>
      <w:r w:rsidR="00F95BE3">
        <w:t>:</w:t>
      </w:r>
      <w:r w:rsidRPr="00642A5D">
        <w:t xml:space="preserve"> </w:t>
      </w:r>
      <w:r w:rsidR="00A17A4A">
        <w:t xml:space="preserve"> </w:t>
      </w:r>
      <w:r w:rsidRPr="00642A5D">
        <w:t>Groundwater salinity and yield map of the LTA</w:t>
      </w:r>
      <w:r w:rsidR="00A17A4A">
        <w:t>.</w:t>
      </w:r>
      <w:r w:rsidRPr="00642A5D">
        <w:t xml:space="preserve"> (</w:t>
      </w:r>
      <w:r w:rsidR="00A17A4A">
        <w:t>S</w:t>
      </w:r>
      <w:r w:rsidR="00755B17">
        <w:t xml:space="preserve">ource: </w:t>
      </w:r>
      <w:r w:rsidRPr="00642A5D">
        <w:t>SRW, 2013</w:t>
      </w:r>
      <w:r w:rsidR="00A17A4A">
        <w:t>.</w:t>
      </w:r>
      <w:r w:rsidRPr="00642A5D">
        <w:t>)</w:t>
      </w:r>
      <w:bookmarkEnd w:id="240"/>
    </w:p>
    <w:p w14:paraId="2C66A8AF" w14:textId="77777777" w:rsidR="000B5EB4" w:rsidRPr="00642A5D" w:rsidRDefault="000B5EB4" w:rsidP="000B5EB4">
      <w:pPr>
        <w:pStyle w:val="Heading4"/>
        <w:rPr>
          <w:lang w:val="en-AU" w:eastAsia="en-US"/>
        </w:rPr>
      </w:pPr>
      <w:r w:rsidRPr="00642A5D">
        <w:rPr>
          <w:lang w:val="en-AU" w:eastAsia="en-US"/>
        </w:rPr>
        <w:t>Groundwater levels and flow patterns</w:t>
      </w:r>
    </w:p>
    <w:p w14:paraId="79620648" w14:textId="7CB1E05B" w:rsidR="000B5EB4" w:rsidRPr="00642A5D" w:rsidRDefault="000B5EB4">
      <w:r w:rsidRPr="00642A5D">
        <w:t xml:space="preserve">The potentiometric surface of the LTA is shown in </w:t>
      </w:r>
      <w:r w:rsidR="00326B19" w:rsidRPr="00642A5D">
        <w:fldChar w:fldCharType="begin"/>
      </w:r>
      <w:r w:rsidR="00326B19" w:rsidRPr="00642A5D">
        <w:instrText xml:space="preserve"> REF _Ref403044369 \h  \* MERGEFORMAT </w:instrText>
      </w:r>
      <w:r w:rsidR="00326B19" w:rsidRPr="00642A5D">
        <w:fldChar w:fldCharType="separate"/>
      </w:r>
      <w:r w:rsidR="00171A5E" w:rsidRPr="00642A5D">
        <w:t xml:space="preserve">Figure </w:t>
      </w:r>
      <w:r w:rsidR="00171A5E">
        <w:rPr>
          <w:noProof/>
        </w:rPr>
        <w:t>19</w:t>
      </w:r>
      <w:r w:rsidR="00326B19" w:rsidRPr="00642A5D">
        <w:fldChar w:fldCharType="end"/>
      </w:r>
      <w:r w:rsidRPr="00642A5D">
        <w:t xml:space="preserve">. This indicates that groundwater recharge in the </w:t>
      </w:r>
      <w:r w:rsidR="00A17A4A">
        <w:t>aquifer</w:t>
      </w:r>
      <w:r w:rsidR="00A17A4A" w:rsidRPr="00642A5D">
        <w:t xml:space="preserve"> </w:t>
      </w:r>
      <w:r w:rsidRPr="00642A5D">
        <w:t>is occurring towards the northern margin of the Otway Basin and near the Otway Ranges. The link between topography and groundwater elevation is emphasi</w:t>
      </w:r>
      <w:r w:rsidR="00A17A4A">
        <w:t>s</w:t>
      </w:r>
      <w:r w:rsidRPr="00642A5D">
        <w:t>ed at the northern margin of the Tyrendarra Embayment</w:t>
      </w:r>
      <w:r w:rsidR="00A17A4A">
        <w:t>,</w:t>
      </w:r>
      <w:r w:rsidRPr="00642A5D">
        <w:t xml:space="preserve"> where groundwater elevations approaching the Grampian Ranges exceed 100 m, while those near the Otway Ranges exceed 200 m. Groundwater flow generally occurs in a southward direction towards the coast</w:t>
      </w:r>
      <w:r w:rsidR="00A17A4A">
        <w:t>,</w:t>
      </w:r>
      <w:r w:rsidRPr="00642A5D">
        <w:t xml:space="preserve"> where groundwater elevations approach sea level. </w:t>
      </w:r>
    </w:p>
    <w:p w14:paraId="4097E7A6" w14:textId="4288ECE1" w:rsidR="000B5EB4" w:rsidRPr="00642A5D" w:rsidRDefault="000B5EB4" w:rsidP="008D364A">
      <w:pPr>
        <w:pStyle w:val="Para0bold"/>
        <w:rPr>
          <w:b w:val="0"/>
        </w:rPr>
      </w:pPr>
      <w:r w:rsidRPr="00642A5D">
        <w:rPr>
          <w:b w:val="0"/>
        </w:rPr>
        <w:t>Groundwater flow in the LTA is also governed by basement ridges which restrict east</w:t>
      </w:r>
      <w:r w:rsidR="00A17A4A">
        <w:rPr>
          <w:b w:val="0"/>
        </w:rPr>
        <w:t>–</w:t>
      </w:r>
      <w:r w:rsidRPr="00642A5D">
        <w:rPr>
          <w:b w:val="0"/>
        </w:rPr>
        <w:t>west orientated groundwater flow (SRW, 2013). In the southern portion of the basin to the west of Colac, groundwater flow paths are generally orientated in a south to southwest direction, terminating to the south of the coastline as submarine groundwater discharge. Groundwater flow patterns in the northern parts of the aquifer follow a similar pattern, with flow occurring in a southwest direction from areas around Beaufort towards Lake Bolac. In the east of the basin, groundwater flow occurs in a roughly eastern direction from areas around Cressy and Colac, towards the township of Geelong. Groundwater flow from areas south of Geelong are roughly southeast towards the coastline.</w:t>
      </w:r>
    </w:p>
    <w:p w14:paraId="7787182D" w14:textId="19F44E1B" w:rsidR="000B5EB4" w:rsidRDefault="00A17A4A" w:rsidP="00A53AE8">
      <w:pPr>
        <w:pStyle w:val="Figuretitle"/>
      </w:pPr>
      <w:bookmarkStart w:id="241" w:name="_Ref403044369"/>
      <w:bookmarkStart w:id="242" w:name="_Toc422928790"/>
      <w:r w:rsidRPr="00642A5D">
        <w:rPr>
          <w:lang w:val="en-AU" w:eastAsia="en-AU"/>
        </w:rPr>
        <w:lastRenderedPageBreak/>
        <w:drawing>
          <wp:anchor distT="0" distB="0" distL="114300" distR="114300" simplePos="0" relativeHeight="251658752" behindDoc="0" locked="0" layoutInCell="1" allowOverlap="1" wp14:anchorId="10ACA502" wp14:editId="2599CDD8">
            <wp:simplePos x="0" y="0"/>
            <wp:positionH relativeFrom="column">
              <wp:posOffset>948690</wp:posOffset>
            </wp:positionH>
            <wp:positionV relativeFrom="line">
              <wp:posOffset>-954405</wp:posOffset>
            </wp:positionV>
            <wp:extent cx="4403725" cy="6305550"/>
            <wp:effectExtent l="1588" t="0" r="0" b="0"/>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screen">
                      <a:extLst>
                        <a:ext uri="{28A0092B-C50C-407E-A947-70E740481C1C}">
                          <a14:useLocalDpi xmlns:a14="http://schemas.microsoft.com/office/drawing/2010/main"/>
                        </a:ext>
                      </a:extLst>
                    </a:blip>
                    <a:srcRect r="-464"/>
                    <a:stretch/>
                  </pic:blipFill>
                  <pic:spPr bwMode="auto">
                    <a:xfrm rot="5400000">
                      <a:off x="0" y="0"/>
                      <a:ext cx="4403725" cy="630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EB4" w:rsidRPr="00642A5D">
        <w:t xml:space="preserve">Figure </w:t>
      </w:r>
      <w:r w:rsidR="007569CD" w:rsidRPr="00642A5D">
        <w:rPr>
          <w:noProof w:val="0"/>
        </w:rPr>
        <w:fldChar w:fldCharType="begin"/>
      </w:r>
      <w:r w:rsidR="006D1F59" w:rsidRPr="00642A5D">
        <w:instrText xml:space="preserve"> SEQ Figure \* ARABIC </w:instrText>
      </w:r>
      <w:r w:rsidR="007569CD" w:rsidRPr="00642A5D">
        <w:rPr>
          <w:noProof w:val="0"/>
        </w:rPr>
        <w:fldChar w:fldCharType="separate"/>
      </w:r>
      <w:r w:rsidR="00171A5E">
        <w:t>19</w:t>
      </w:r>
      <w:r w:rsidR="007569CD" w:rsidRPr="00642A5D">
        <w:fldChar w:fldCharType="end"/>
      </w:r>
      <w:bookmarkEnd w:id="241"/>
      <w:r w:rsidR="00F95BE3">
        <w:t>:</w:t>
      </w:r>
      <w:r w:rsidR="000B5EB4" w:rsidRPr="00642A5D">
        <w:t xml:space="preserve"> </w:t>
      </w:r>
      <w:r w:rsidR="005B56C5">
        <w:t xml:space="preserve"> </w:t>
      </w:r>
      <w:r w:rsidR="002D4544" w:rsidRPr="00642A5D">
        <w:t>Potentiometric</w:t>
      </w:r>
      <w:r w:rsidR="000B5EB4" w:rsidRPr="00642A5D">
        <w:t xml:space="preserve"> surface and groundwater flow directions in the Lower </w:t>
      </w:r>
      <w:r w:rsidR="00C27090" w:rsidRPr="00642A5D">
        <w:t>Tertiary</w:t>
      </w:r>
      <w:r w:rsidR="000B5EB4" w:rsidRPr="00642A5D">
        <w:t xml:space="preserve"> aquifer of </w:t>
      </w:r>
      <w:r w:rsidR="00755B17">
        <w:t>the southwest Otway Basin</w:t>
      </w:r>
      <w:r w:rsidR="005B56C5">
        <w:t>.</w:t>
      </w:r>
      <w:r w:rsidR="00755B17">
        <w:t xml:space="preserve"> (</w:t>
      </w:r>
      <w:r w:rsidR="005B56C5">
        <w:t>S</w:t>
      </w:r>
      <w:r w:rsidR="00755B17">
        <w:t xml:space="preserve">ource: </w:t>
      </w:r>
      <w:r w:rsidR="000B5EB4" w:rsidRPr="00642A5D">
        <w:t>Bush, 2009</w:t>
      </w:r>
      <w:r w:rsidR="005B56C5">
        <w:t>.</w:t>
      </w:r>
      <w:r w:rsidR="000B5EB4" w:rsidRPr="00642A5D">
        <w:t>)</w:t>
      </w:r>
      <w:bookmarkEnd w:id="242"/>
    </w:p>
    <w:p w14:paraId="73F0211D" w14:textId="2CA090E9" w:rsidR="005B56C5" w:rsidRPr="00642A5D" w:rsidRDefault="005B56C5" w:rsidP="005B56C5">
      <w:pPr>
        <w:pStyle w:val="Para0bold"/>
        <w:rPr>
          <w:b w:val="0"/>
        </w:rPr>
      </w:pPr>
      <w:r w:rsidRPr="00642A5D">
        <w:rPr>
          <w:b w:val="0"/>
        </w:rPr>
        <w:t xml:space="preserve">Shallow groundwater flow paths are prevalent where the aquifer is close to the surface or outcropping (near Dartmore in the west and Colac and Torquay in the east). The remaining parts of the aquifer are dominated by flow paths that are </w:t>
      </w:r>
      <w:r w:rsidR="006B41CA">
        <w:rPr>
          <w:b w:val="0"/>
        </w:rPr>
        <w:t xml:space="preserve">more than </w:t>
      </w:r>
      <w:r w:rsidRPr="00642A5D">
        <w:rPr>
          <w:b w:val="0"/>
        </w:rPr>
        <w:t xml:space="preserve">30 km </w:t>
      </w:r>
      <w:r w:rsidR="006B41CA">
        <w:rPr>
          <w:b w:val="0"/>
        </w:rPr>
        <w:t>long</w:t>
      </w:r>
      <w:r w:rsidRPr="00642A5D">
        <w:rPr>
          <w:b w:val="0"/>
        </w:rPr>
        <w:t xml:space="preserve">, yielding groundwater residence times of thousands of years. </w:t>
      </w:r>
    </w:p>
    <w:p w14:paraId="5DE42A0A" w14:textId="77777777" w:rsidR="000B5EB4" w:rsidRPr="00642A5D" w:rsidRDefault="000B5EB4" w:rsidP="000B5EB4">
      <w:pPr>
        <w:pStyle w:val="Heading4"/>
        <w:rPr>
          <w:lang w:val="en-AU" w:eastAsia="en-US"/>
        </w:rPr>
      </w:pPr>
      <w:r w:rsidRPr="00642A5D">
        <w:rPr>
          <w:lang w:val="en-AU" w:eastAsia="en-US"/>
        </w:rPr>
        <w:t>Hydraulic connection to other aquifers</w:t>
      </w:r>
    </w:p>
    <w:p w14:paraId="152DA6CA" w14:textId="7122B716" w:rsidR="000B5EB4" w:rsidRPr="00642A5D" w:rsidRDefault="000B5EB4">
      <w:r w:rsidRPr="00642A5D">
        <w:t xml:space="preserve">The LTA is confined by the LMTD </w:t>
      </w:r>
      <w:r w:rsidR="006B41CA">
        <w:t>over most</w:t>
      </w:r>
      <w:r w:rsidRPr="00642A5D">
        <w:t xml:space="preserve"> of the Otway Basin, </w:t>
      </w:r>
      <w:r w:rsidR="006B41CA">
        <w:t>but</w:t>
      </w:r>
      <w:r w:rsidR="006B41CA" w:rsidRPr="00642A5D">
        <w:t xml:space="preserve"> </w:t>
      </w:r>
      <w:r w:rsidRPr="00642A5D">
        <w:t xml:space="preserve">as the inland extent of the LMTD is not as great as the </w:t>
      </w:r>
      <w:r w:rsidR="006B41CA">
        <w:t>aquifer</w:t>
      </w:r>
      <w:r w:rsidRPr="00642A5D">
        <w:t xml:space="preserve"> the hydraulic connection between </w:t>
      </w:r>
      <w:r w:rsidR="006B41CA">
        <w:t>it</w:t>
      </w:r>
      <w:r w:rsidRPr="00642A5D">
        <w:t xml:space="preserve"> and overlying middle aquifers is likely to be greater near the margins of the Otway Basin. </w:t>
      </w:r>
    </w:p>
    <w:p w14:paraId="13644F1B" w14:textId="77777777" w:rsidR="000B5EB4" w:rsidRPr="006815DB" w:rsidRDefault="000B5EB4">
      <w:pPr>
        <w:rPr>
          <w:rFonts w:cs="Arial"/>
        </w:rPr>
      </w:pPr>
      <w:r w:rsidRPr="006815DB">
        <w:rPr>
          <w:rFonts w:cs="Arial"/>
        </w:rPr>
        <w:t>Additionally, in the Condah and Lake Mundi areas the LMTD is thin or absent, allowing hydraulic connection between the Dilwyn Formation of the LTA, the Clifton Formation of the LMTA and limestone aquifers of the UMTA. This is also true in offshore sections of the Gambier Basin where upward leakage from the LTA to the middle aquifers occurs through the thinned LMTD.</w:t>
      </w:r>
    </w:p>
    <w:p w14:paraId="0A3B695F" w14:textId="0FAC9ED6" w:rsidR="000B5EB4" w:rsidRPr="00642A5D" w:rsidRDefault="000B5EB4">
      <w:r w:rsidRPr="00642A5D">
        <w:t>It has also been shown that eruption centres are usually associated with fully</w:t>
      </w:r>
      <w:r w:rsidR="006B41CA">
        <w:t xml:space="preserve"> </w:t>
      </w:r>
      <w:r w:rsidRPr="00642A5D">
        <w:t>penetrating faults or volcanic vents, both of which may acts as zones of high permeability for groundwater flow (Bush, 2009). This (along with topographically driven increased groundwater elevations) provides potential for groundwater recharge to the lower aquifers and increased connectivity to the above aquifer. This is thought to occur in areas of the Port Campbell Embayment where many maars are present (Bush, 2009)</w:t>
      </w:r>
      <w:r w:rsidR="006B41CA">
        <w:t>, but</w:t>
      </w:r>
      <w:r w:rsidRPr="00642A5D">
        <w:t xml:space="preserve"> the scarcity of bore data currently prevents the identification of groundwater mounding in these areas.</w:t>
      </w:r>
    </w:p>
    <w:p w14:paraId="24461B95" w14:textId="4CEBFB45" w:rsidR="000B5EB4" w:rsidRPr="00642A5D" w:rsidRDefault="006B41CA">
      <w:r>
        <w:t>Where</w:t>
      </w:r>
      <w:r w:rsidR="000B5EB4" w:rsidRPr="00642A5D">
        <w:t xml:space="preserve"> the lower Mepunga Formation directly overlie</w:t>
      </w:r>
      <w:r>
        <w:t>s</w:t>
      </w:r>
      <w:r w:rsidR="000B5EB4" w:rsidRPr="00642A5D">
        <w:t xml:space="preserve"> the LTA and exhibit</w:t>
      </w:r>
      <w:r>
        <w:t>s</w:t>
      </w:r>
      <w:r w:rsidR="000B5EB4" w:rsidRPr="00642A5D">
        <w:t xml:space="preserve"> aquifer characteristics, the LTA is in hydraulic connection with the Mepunga Formation</w:t>
      </w:r>
      <w:r>
        <w:t>, which is thus</w:t>
      </w:r>
      <w:r w:rsidR="000B5EB4" w:rsidRPr="00642A5D">
        <w:t xml:space="preserve"> part of the LTA</w:t>
      </w:r>
      <w:r>
        <w:t xml:space="preserve"> in these areas</w:t>
      </w:r>
      <w:r w:rsidR="000B5EB4" w:rsidRPr="00642A5D">
        <w:t>.</w:t>
      </w:r>
    </w:p>
    <w:p w14:paraId="309CF434" w14:textId="538596D4" w:rsidR="000B5EB4" w:rsidRPr="00642A5D" w:rsidRDefault="009F1611" w:rsidP="000B5EB4">
      <w:pPr>
        <w:pStyle w:val="Head3xxx"/>
      </w:pPr>
      <w:bookmarkStart w:id="243" w:name="_Ref419889763"/>
      <w:bookmarkStart w:id="244" w:name="_Toc420568674"/>
      <w:bookmarkStart w:id="245" w:name="_Toc420570256"/>
      <w:bookmarkStart w:id="246" w:name="_Toc420571452"/>
      <w:bookmarkStart w:id="247" w:name="_Toc420572090"/>
      <w:bookmarkStart w:id="248" w:name="_Toc296766946"/>
      <w:r>
        <w:lastRenderedPageBreak/>
        <w:t>2.3.7</w:t>
      </w:r>
      <w:r>
        <w:tab/>
      </w:r>
      <w:r w:rsidR="000B5EB4" w:rsidRPr="00642A5D">
        <w:t>Cretaceous and bedrock aquifers</w:t>
      </w:r>
      <w:bookmarkEnd w:id="243"/>
      <w:bookmarkEnd w:id="244"/>
      <w:bookmarkEnd w:id="245"/>
      <w:bookmarkEnd w:id="246"/>
      <w:bookmarkEnd w:id="247"/>
      <w:bookmarkEnd w:id="248"/>
    </w:p>
    <w:p w14:paraId="105136E6" w14:textId="77777777" w:rsidR="000B5EB4" w:rsidRPr="00642A5D" w:rsidRDefault="000B5EB4" w:rsidP="0091216D">
      <w:pPr>
        <w:pStyle w:val="Heading4"/>
      </w:pPr>
      <w:r w:rsidRPr="00642A5D">
        <w:t>Extent of aquifer</w:t>
      </w:r>
    </w:p>
    <w:p w14:paraId="16B3DE63" w14:textId="4433D165" w:rsidR="000B5EB4" w:rsidRPr="00642A5D" w:rsidRDefault="000B5EB4" w:rsidP="00A35B08">
      <w:r w:rsidRPr="00642A5D">
        <w:t>The basement aquifer comprise</w:t>
      </w:r>
      <w:r w:rsidR="001A750B">
        <w:t>s</w:t>
      </w:r>
      <w:r w:rsidRPr="00642A5D">
        <w:t xml:space="preserve"> the </w:t>
      </w:r>
      <w:r w:rsidR="00EA7676" w:rsidRPr="00642A5D">
        <w:t>Eum</w:t>
      </w:r>
      <w:r w:rsidR="00582F87">
        <w:t>a</w:t>
      </w:r>
      <w:r w:rsidR="00EA7676" w:rsidRPr="00642A5D">
        <w:t>r</w:t>
      </w:r>
      <w:r w:rsidR="00582F87">
        <w:t>e</w:t>
      </w:r>
      <w:r w:rsidR="00EA7676" w:rsidRPr="00642A5D">
        <w:t>lla</w:t>
      </w:r>
      <w:r w:rsidRPr="00642A5D">
        <w:t xml:space="preserve"> Formation, Casterton Formation, Crayfish Group and all underlying Palaeozoic rocks. While the basement is pervasive and underlies the entirety of the Otway Basin, appreciable outcropping sections are exposed at the Otway Ranges, Merino High and along the northern margin of the basin at the Grampians.</w:t>
      </w:r>
    </w:p>
    <w:p w14:paraId="0D6744B9" w14:textId="34DA08B6" w:rsidR="000B5EB4" w:rsidRPr="00642A5D" w:rsidRDefault="000B5EB4">
      <w:r w:rsidRPr="00642A5D">
        <w:t xml:space="preserve">The </w:t>
      </w:r>
      <w:r w:rsidR="002D4544" w:rsidRPr="00642A5D">
        <w:t>Cretaceous</w:t>
      </w:r>
      <w:r w:rsidRPr="00642A5D">
        <w:t xml:space="preserve"> aquifer is essentially comprised of the Sherbrook Group (</w:t>
      </w:r>
      <w:r w:rsidR="00024597">
        <w:t xml:space="preserve">section </w:t>
      </w:r>
      <w:r w:rsidR="00024597">
        <w:fldChar w:fldCharType="begin"/>
      </w:r>
      <w:r w:rsidR="00024597">
        <w:instrText xml:space="preserve"> REF _Ref418613106 \n \h </w:instrText>
      </w:r>
      <w:r w:rsidR="00024597">
        <w:fldChar w:fldCharType="separate"/>
      </w:r>
      <w:r w:rsidR="00171A5E">
        <w:t>0</w:t>
      </w:r>
      <w:r w:rsidR="00024597">
        <w:fldChar w:fldCharType="end"/>
      </w:r>
      <w:r w:rsidRPr="00642A5D">
        <w:t xml:space="preserve">) and as such contains the Waarre Formation, Flaxmans Formation, Belfast Mudstone, Paaratte Formation and Timboon Sandstone. The Belfast Mudstone acts as an aquitard within the Cretaceous aquifer, confining the units below it. The extent of the aquifer follows a trend roughly sub-parallel to the current coastline and is shown in </w:t>
      </w:r>
      <w:r w:rsidR="00326B19" w:rsidRPr="00642A5D">
        <w:fldChar w:fldCharType="begin"/>
      </w:r>
      <w:r w:rsidR="00326B19" w:rsidRPr="00642A5D">
        <w:instrText xml:space="preserve"> REF _Ref403636132 \h  \* MERGEFORMAT </w:instrText>
      </w:r>
      <w:r w:rsidR="00326B19" w:rsidRPr="00642A5D">
        <w:fldChar w:fldCharType="separate"/>
      </w:r>
      <w:r w:rsidR="00171A5E" w:rsidRPr="00642A5D">
        <w:t xml:space="preserve">Figure </w:t>
      </w:r>
      <w:r w:rsidR="00171A5E">
        <w:rPr>
          <w:noProof/>
        </w:rPr>
        <w:t>20</w:t>
      </w:r>
      <w:r w:rsidR="00326B19" w:rsidRPr="00642A5D">
        <w:fldChar w:fldCharType="end"/>
      </w:r>
      <w:r w:rsidRPr="00642A5D">
        <w:t>. The aquifer thickens in a south west direction, reaching thicknesses of over 2000 m</w:t>
      </w:r>
      <w:r w:rsidR="00855044">
        <w:t xml:space="preserve"> </w:t>
      </w:r>
      <w:r w:rsidRPr="00642A5D">
        <w:t xml:space="preserve">around the Gambier Embayment and Penola Trough and 700 m </w:t>
      </w:r>
      <w:r w:rsidR="00CD3D6E">
        <w:t>thick</w:t>
      </w:r>
      <w:r w:rsidRPr="00642A5D">
        <w:t xml:space="preserve"> in the Port Campbell Embayment.</w:t>
      </w:r>
      <w:r w:rsidR="009A72C5">
        <w:t xml:space="preserve"> </w:t>
      </w:r>
    </w:p>
    <w:p w14:paraId="4DC42EFE" w14:textId="77777777" w:rsidR="005502CA" w:rsidRPr="00642A5D" w:rsidRDefault="005502CA" w:rsidP="005502CA">
      <w:pPr>
        <w:pStyle w:val="Heading4"/>
      </w:pPr>
      <w:r w:rsidRPr="00642A5D">
        <w:t>Salinity</w:t>
      </w:r>
    </w:p>
    <w:p w14:paraId="450D6A65" w14:textId="557622D5" w:rsidR="005502CA" w:rsidRPr="00642A5D" w:rsidRDefault="005502CA">
      <w:r w:rsidRPr="00642A5D">
        <w:t>Salinity data for the Cretaceous and bedrock aquifers is very limited and mainly relies on petroleum exploration wells. In the Eumeralla Formation, salinities ranging from 10</w:t>
      </w:r>
      <w:r w:rsidR="001A750B">
        <w:t> </w:t>
      </w:r>
      <w:r w:rsidRPr="00642A5D">
        <w:t>000 to 26</w:t>
      </w:r>
      <w:r w:rsidR="001A750B">
        <w:t> </w:t>
      </w:r>
      <w:r w:rsidRPr="00642A5D">
        <w:t>800 mg/L have been recorded (Reynold, 1971). Groundwater from the Casterton Formation has yielded water with a salinity of approximately 35</w:t>
      </w:r>
      <w:r w:rsidR="009F1611">
        <w:t> </w:t>
      </w:r>
      <w:r w:rsidRPr="00642A5D">
        <w:t>000</w:t>
      </w:r>
      <w:r w:rsidR="00E01E1A" w:rsidRPr="00642A5D">
        <w:t> </w:t>
      </w:r>
      <w:r w:rsidRPr="00642A5D">
        <w:t>mg/L.</w:t>
      </w:r>
    </w:p>
    <w:p w14:paraId="4DFA160C" w14:textId="77777777" w:rsidR="000B5EB4" w:rsidRPr="00B42E91" w:rsidRDefault="000B5EB4" w:rsidP="00B42E91">
      <w:pPr>
        <w:pStyle w:val="Figuretitle"/>
      </w:pPr>
      <w:r w:rsidRPr="00642A5D">
        <w:rPr>
          <w:lang w:val="en-AU" w:eastAsia="en-AU"/>
        </w:rPr>
        <w:drawing>
          <wp:inline distT="0" distB="0" distL="0" distR="0" wp14:anchorId="16EF119A" wp14:editId="187AA266">
            <wp:extent cx="6176865" cy="3618522"/>
            <wp:effectExtent l="0" t="0" r="0" b="127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screen">
                      <a:extLst>
                        <a:ext uri="{28A0092B-C50C-407E-A947-70E740481C1C}">
                          <a14:useLocalDpi xmlns:a14="http://schemas.microsoft.com/office/drawing/2010/main"/>
                        </a:ext>
                      </a:extLst>
                    </a:blip>
                    <a:srcRect t="-1280"/>
                    <a:stretch/>
                  </pic:blipFill>
                  <pic:spPr bwMode="auto">
                    <a:xfrm>
                      <a:off x="0" y="0"/>
                      <a:ext cx="6182787" cy="3621991"/>
                    </a:xfrm>
                    <a:prstGeom prst="rect">
                      <a:avLst/>
                    </a:prstGeom>
                    <a:ln>
                      <a:noFill/>
                    </a:ln>
                    <a:extLst>
                      <a:ext uri="{53640926-AAD7-44D8-BBD7-CCE9431645EC}">
                        <a14:shadowObscured xmlns:a14="http://schemas.microsoft.com/office/drawing/2010/main"/>
                      </a:ext>
                    </a:extLst>
                  </pic:spPr>
                </pic:pic>
              </a:graphicData>
            </a:graphic>
          </wp:inline>
        </w:drawing>
      </w:r>
    </w:p>
    <w:p w14:paraId="0E2CA626" w14:textId="30231EEB" w:rsidR="000B5EB4" w:rsidRPr="00642A5D" w:rsidRDefault="000B5EB4" w:rsidP="00A53AE8">
      <w:pPr>
        <w:pStyle w:val="Figuretitle"/>
      </w:pPr>
      <w:bookmarkStart w:id="249" w:name="_Ref403636132"/>
      <w:bookmarkStart w:id="250" w:name="_Toc422928791"/>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20</w:t>
      </w:r>
      <w:r w:rsidR="007569CD" w:rsidRPr="00642A5D">
        <w:fldChar w:fldCharType="end"/>
      </w:r>
      <w:bookmarkEnd w:id="249"/>
      <w:r w:rsidR="00F95BE3">
        <w:t>:</w:t>
      </w:r>
      <w:r w:rsidRPr="00642A5D">
        <w:t xml:space="preserve"> </w:t>
      </w:r>
      <w:r w:rsidR="009F1611">
        <w:t xml:space="preserve"> </w:t>
      </w:r>
      <w:r w:rsidRPr="00642A5D">
        <w:t>Isopach of the Cretaceous Aquifer</w:t>
      </w:r>
      <w:r w:rsidR="009F1611">
        <w:t>.</w:t>
      </w:r>
      <w:r w:rsidRPr="00642A5D">
        <w:t xml:space="preserve"> (</w:t>
      </w:r>
      <w:r w:rsidR="009F1611">
        <w:t>S</w:t>
      </w:r>
      <w:r w:rsidR="00755B17">
        <w:t xml:space="preserve">ource: </w:t>
      </w:r>
      <w:r w:rsidRPr="00642A5D">
        <w:t>Bush, 2009</w:t>
      </w:r>
      <w:r w:rsidR="009F1611">
        <w:t>.</w:t>
      </w:r>
      <w:r w:rsidRPr="00642A5D">
        <w:t>)</w:t>
      </w:r>
      <w:bookmarkEnd w:id="250"/>
    </w:p>
    <w:p w14:paraId="61EEC6D6" w14:textId="77777777" w:rsidR="000B5EB4" w:rsidRPr="00642A5D" w:rsidRDefault="000B5EB4" w:rsidP="000B5EB4">
      <w:pPr>
        <w:pStyle w:val="Para0"/>
        <w:rPr>
          <w:lang w:val="en-GB"/>
        </w:rPr>
      </w:pPr>
    </w:p>
    <w:p w14:paraId="204EE114" w14:textId="77777777" w:rsidR="0091216D" w:rsidRPr="00642A5D" w:rsidRDefault="0091216D" w:rsidP="00582F87">
      <w:pPr>
        <w:pStyle w:val="figurereturn"/>
      </w:pPr>
      <w:r w:rsidRPr="00642A5D">
        <w:lastRenderedPageBreak/>
        <w:drawing>
          <wp:inline distT="0" distB="0" distL="0" distR="0" wp14:anchorId="7A34BEE2" wp14:editId="33B4EF1C">
            <wp:extent cx="5943600" cy="306514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5943600" cy="3065145"/>
                    </a:xfrm>
                    <a:prstGeom prst="rect">
                      <a:avLst/>
                    </a:prstGeom>
                  </pic:spPr>
                </pic:pic>
              </a:graphicData>
            </a:graphic>
          </wp:inline>
        </w:drawing>
      </w:r>
    </w:p>
    <w:p w14:paraId="0D1D6DDF" w14:textId="4E65F988" w:rsidR="0091216D" w:rsidRPr="00642A5D" w:rsidRDefault="0091216D" w:rsidP="00A53AE8">
      <w:pPr>
        <w:pStyle w:val="Figuretitle"/>
      </w:pPr>
      <w:bookmarkStart w:id="251" w:name="_Ref404612928"/>
      <w:bookmarkStart w:id="252" w:name="_Toc422928792"/>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21</w:t>
      </w:r>
      <w:r w:rsidR="007569CD" w:rsidRPr="00642A5D">
        <w:fldChar w:fldCharType="end"/>
      </w:r>
      <w:bookmarkEnd w:id="251"/>
      <w:r w:rsidR="00F95BE3">
        <w:t>:</w:t>
      </w:r>
      <w:r w:rsidRPr="00642A5D">
        <w:t xml:space="preserve"> </w:t>
      </w:r>
      <w:r w:rsidR="009F1611">
        <w:t xml:space="preserve"> </w:t>
      </w:r>
      <w:r w:rsidRPr="00642A5D">
        <w:t>Groundwater salinity map of the upper Cretaceous aquifer</w:t>
      </w:r>
      <w:r w:rsidR="009F1611">
        <w:t>.</w:t>
      </w:r>
      <w:r w:rsidRPr="00642A5D">
        <w:t xml:space="preserve"> (</w:t>
      </w:r>
      <w:r w:rsidR="009F1611">
        <w:t>S</w:t>
      </w:r>
      <w:r w:rsidR="00755B17">
        <w:t xml:space="preserve">ource: </w:t>
      </w:r>
      <w:r w:rsidRPr="00642A5D">
        <w:t>Bush, 2009</w:t>
      </w:r>
      <w:r w:rsidR="009F1611">
        <w:t>.</w:t>
      </w:r>
      <w:r w:rsidRPr="00642A5D">
        <w:t>)</w:t>
      </w:r>
      <w:bookmarkEnd w:id="252"/>
    </w:p>
    <w:p w14:paraId="3D0CC0EE" w14:textId="053756E3" w:rsidR="0091216D" w:rsidRPr="00642A5D" w:rsidRDefault="00326B19">
      <w:r w:rsidRPr="00642A5D">
        <w:fldChar w:fldCharType="begin"/>
      </w:r>
      <w:r w:rsidRPr="00642A5D">
        <w:instrText xml:space="preserve"> REF _Ref404612928 \h  \* MERGEFORMAT </w:instrText>
      </w:r>
      <w:r w:rsidRPr="00642A5D">
        <w:fldChar w:fldCharType="separate"/>
      </w:r>
      <w:r w:rsidR="00171A5E" w:rsidRPr="00642A5D">
        <w:t xml:space="preserve">Figure </w:t>
      </w:r>
      <w:r w:rsidR="00171A5E">
        <w:rPr>
          <w:noProof/>
        </w:rPr>
        <w:t>21</w:t>
      </w:r>
      <w:r w:rsidRPr="00642A5D">
        <w:fldChar w:fldCharType="end"/>
      </w:r>
      <w:r w:rsidR="0091216D" w:rsidRPr="00642A5D">
        <w:t xml:space="preserve"> from Bush (2009) depicts the electrical conductivity of groundwater from the Upper Cretaceous Aquifer, which includes the Pebble Point Formation, Moomowroong Sand Member, Timboon Sand and Paaratte Formation as data from the underlying units is particularly sparse.</w:t>
      </w:r>
    </w:p>
    <w:p w14:paraId="2D5237CA" w14:textId="7094836D" w:rsidR="0091216D" w:rsidRPr="00642A5D" w:rsidRDefault="0091216D">
      <w:r w:rsidRPr="00642A5D">
        <w:t xml:space="preserve">In the Port Campbell Embayment, Reynold (1971) indicated the presence of both </w:t>
      </w:r>
      <w:r w:rsidR="009F1611">
        <w:t>‘</w:t>
      </w:r>
      <w:r w:rsidRPr="00642A5D">
        <w:t>salty</w:t>
      </w:r>
      <w:r w:rsidR="009F1611">
        <w:t>’</w:t>
      </w:r>
      <w:r w:rsidRPr="00642A5D">
        <w:t xml:space="preserve"> and </w:t>
      </w:r>
      <w:r w:rsidR="009F1611">
        <w:t>‘</w:t>
      </w:r>
      <w:r w:rsidRPr="00642A5D">
        <w:t>fresh</w:t>
      </w:r>
      <w:r w:rsidR="009F1611">
        <w:t>’</w:t>
      </w:r>
      <w:r w:rsidRPr="00642A5D">
        <w:t xml:space="preserve"> water in the Waarre Formation</w:t>
      </w:r>
      <w:r w:rsidR="009F1611">
        <w:t>.</w:t>
      </w:r>
      <w:r w:rsidRPr="00642A5D">
        <w:t xml:space="preserve"> (</w:t>
      </w:r>
      <w:r w:rsidR="009F1611">
        <w:t>A</w:t>
      </w:r>
      <w:r w:rsidRPr="00642A5D">
        <w:t xml:space="preserve"> conservative taste threshold for salt in water is 500 mg/L</w:t>
      </w:r>
      <w:r w:rsidR="009F1611">
        <w:t>;</w:t>
      </w:r>
      <w:r w:rsidRPr="00642A5D">
        <w:t xml:space="preserve"> EPA 2003</w:t>
      </w:r>
      <w:r w:rsidR="009F1611">
        <w:t>.</w:t>
      </w:r>
      <w:r w:rsidRPr="00642A5D">
        <w:t>) In Victoria, groundwater salinities in the Waarre Formation vary from fresh to hypersaline, ranging from 400 to 200</w:t>
      </w:r>
      <w:r w:rsidR="009F1611">
        <w:t> </w:t>
      </w:r>
      <w:r w:rsidRPr="00642A5D">
        <w:t>000</w:t>
      </w:r>
      <w:r w:rsidR="009F1611">
        <w:t> </w:t>
      </w:r>
      <w:r w:rsidRPr="00642A5D">
        <w:t>mg/L TDS (Mehin and Link 1995).</w:t>
      </w:r>
    </w:p>
    <w:p w14:paraId="4633053E" w14:textId="0C82CD8F" w:rsidR="0091216D" w:rsidRPr="00642A5D" w:rsidRDefault="009F1611">
      <w:r>
        <w:t>T</w:t>
      </w:r>
      <w:r w:rsidR="0091216D" w:rsidRPr="00642A5D">
        <w:t>he majority of these data were obtained towards the coast where groundwater has longer flow paths, residence times, and potential to increase in salinity. However, the limited data indicates that lower salinities occur towards recharge zones near basin margins.</w:t>
      </w:r>
    </w:p>
    <w:p w14:paraId="2E5CF297" w14:textId="77777777" w:rsidR="000B5EB4" w:rsidRPr="00642A5D" w:rsidRDefault="000B5EB4" w:rsidP="0091216D">
      <w:pPr>
        <w:pStyle w:val="Heading4"/>
      </w:pPr>
      <w:r w:rsidRPr="00642A5D">
        <w:t>Groundwater levels and flow patterns</w:t>
      </w:r>
    </w:p>
    <w:p w14:paraId="3ED3673E" w14:textId="1B11EA83" w:rsidR="0091216D" w:rsidRPr="00642A5D" w:rsidRDefault="0091216D">
      <w:r w:rsidRPr="00642A5D">
        <w:t xml:space="preserve">Groundwater recharge to the Cretaceous aquifer in the western part of the </w:t>
      </w:r>
      <w:r w:rsidR="007C4916">
        <w:t>Otway region</w:t>
      </w:r>
      <w:r w:rsidRPr="00642A5D">
        <w:t xml:space="preserve"> presumably occurs through the </w:t>
      </w:r>
      <w:r w:rsidR="009F1611">
        <w:t xml:space="preserve">overlying </w:t>
      </w:r>
      <w:r w:rsidRPr="00642A5D">
        <w:t xml:space="preserve">units, as it does not outcrop in this section of the basin. </w:t>
      </w:r>
      <w:r w:rsidR="009F1611">
        <w:t>I</w:t>
      </w:r>
      <w:r w:rsidRPr="00642A5D">
        <w:t xml:space="preserve"> is assumed that recharge and discharge mechanisms </w:t>
      </w:r>
      <w:r w:rsidR="009F1611">
        <w:t xml:space="preserve">in these areas </w:t>
      </w:r>
      <w:r w:rsidRPr="00642A5D">
        <w:t xml:space="preserve">are similar to those in the </w:t>
      </w:r>
      <w:r w:rsidR="009F1611">
        <w:t>over</w:t>
      </w:r>
      <w:r w:rsidRPr="00642A5D">
        <w:t>lying LTA, with groundwater flow in a roughly coastward direction (</w:t>
      </w:r>
      <w:r w:rsidR="00326B19" w:rsidRPr="00642A5D">
        <w:fldChar w:fldCharType="begin"/>
      </w:r>
      <w:r w:rsidR="00326B19" w:rsidRPr="00642A5D">
        <w:instrText xml:space="preserve"> REF _Ref403638481 \h  \* MERGEFORMAT </w:instrText>
      </w:r>
      <w:r w:rsidR="00326B19" w:rsidRPr="00642A5D">
        <w:fldChar w:fldCharType="separate"/>
      </w:r>
      <w:r w:rsidR="00171A5E" w:rsidRPr="00642A5D">
        <w:t xml:space="preserve">Figure </w:t>
      </w:r>
      <w:r w:rsidR="00171A5E">
        <w:t>22</w:t>
      </w:r>
      <w:r w:rsidR="00326B19" w:rsidRPr="00642A5D">
        <w:fldChar w:fldCharType="end"/>
      </w:r>
      <w:r w:rsidRPr="00642A5D">
        <w:t xml:space="preserve">). Direct recharge to the aquifer occurs where it becomes exposed in the Port Campbell and Barwon Downs sub-basins due to inversion against the basement. The main recharge zone is the Barongarook High, from which the groundwater flows roughly radially before diverting towards the coast in a south </w:t>
      </w:r>
      <w:r w:rsidR="00A65062" w:rsidRPr="00642A5D">
        <w:t>west direction</w:t>
      </w:r>
      <w:r w:rsidRPr="00642A5D">
        <w:t xml:space="preserve"> and </w:t>
      </w:r>
      <w:r w:rsidR="009F1611">
        <w:t xml:space="preserve">also </w:t>
      </w:r>
      <w:r w:rsidRPr="00642A5D">
        <w:t>inland in a northeast direction</w:t>
      </w:r>
      <w:r w:rsidR="009F1611">
        <w:t>; most</w:t>
      </w:r>
      <w:r w:rsidRPr="00642A5D">
        <w:t xml:space="preserve"> of </w:t>
      </w:r>
      <w:r w:rsidR="009F1611">
        <w:t xml:space="preserve">the </w:t>
      </w:r>
      <w:r w:rsidRPr="00642A5D">
        <w:t>discharge is thought to occur offshore.</w:t>
      </w:r>
    </w:p>
    <w:p w14:paraId="4F2C8DF0" w14:textId="77777777" w:rsidR="0091216D" w:rsidRPr="00642A5D" w:rsidRDefault="0091216D" w:rsidP="00582F87">
      <w:pPr>
        <w:pStyle w:val="figurereturn"/>
      </w:pPr>
      <w:r w:rsidRPr="00642A5D">
        <w:lastRenderedPageBreak/>
        <w:drawing>
          <wp:inline distT="0" distB="0" distL="0" distR="0" wp14:anchorId="12587D67" wp14:editId="3F45C6A9">
            <wp:extent cx="5943600" cy="3048635"/>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5943600" cy="3048635"/>
                    </a:xfrm>
                    <a:prstGeom prst="rect">
                      <a:avLst/>
                    </a:prstGeom>
                  </pic:spPr>
                </pic:pic>
              </a:graphicData>
            </a:graphic>
          </wp:inline>
        </w:drawing>
      </w:r>
    </w:p>
    <w:p w14:paraId="7B4E16E9" w14:textId="13F03F42" w:rsidR="0091216D" w:rsidRPr="00642A5D" w:rsidRDefault="0091216D" w:rsidP="00A53AE8">
      <w:pPr>
        <w:pStyle w:val="Figuretitle"/>
        <w:rPr>
          <w:lang w:val="en-AU"/>
        </w:rPr>
      </w:pPr>
      <w:bookmarkStart w:id="253" w:name="_Ref403638481"/>
      <w:bookmarkStart w:id="254" w:name="_Toc422928793"/>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22</w:t>
      </w:r>
      <w:r w:rsidR="007569CD" w:rsidRPr="00642A5D">
        <w:fldChar w:fldCharType="end"/>
      </w:r>
      <w:bookmarkEnd w:id="253"/>
      <w:r w:rsidR="00F95BE3">
        <w:t>:</w:t>
      </w:r>
      <w:r w:rsidRPr="00642A5D">
        <w:t xml:space="preserve"> </w:t>
      </w:r>
      <w:r w:rsidR="009F1611">
        <w:t xml:space="preserve"> </w:t>
      </w:r>
      <w:r w:rsidRPr="00642A5D">
        <w:t xml:space="preserve">Potentiometric surface and groundwater flow directions </w:t>
      </w:r>
      <w:r w:rsidR="0001309E">
        <w:t>in the Cretaceous aquifer</w:t>
      </w:r>
      <w:r w:rsidR="009F1611">
        <w:t>.</w:t>
      </w:r>
      <w:r w:rsidR="0001309E">
        <w:t xml:space="preserve"> </w:t>
      </w:r>
      <w:r w:rsidR="00B42E91">
        <w:br/>
      </w:r>
      <w:r w:rsidRPr="00642A5D">
        <w:t>(</w:t>
      </w:r>
      <w:r w:rsidR="009F1611">
        <w:t>S</w:t>
      </w:r>
      <w:r w:rsidR="00755B17">
        <w:t xml:space="preserve">ource: </w:t>
      </w:r>
      <w:r w:rsidRPr="00642A5D">
        <w:t>Bush, 2009</w:t>
      </w:r>
      <w:r w:rsidR="009F1611">
        <w:t>.</w:t>
      </w:r>
      <w:r w:rsidRPr="00642A5D">
        <w:t>)</w:t>
      </w:r>
      <w:bookmarkEnd w:id="254"/>
    </w:p>
    <w:p w14:paraId="0599886F" w14:textId="77777777" w:rsidR="000B5EB4" w:rsidRPr="00642A5D" w:rsidRDefault="000B5EB4" w:rsidP="0091216D">
      <w:pPr>
        <w:pStyle w:val="Heading4"/>
      </w:pPr>
      <w:r w:rsidRPr="00642A5D">
        <w:t>Hydraulic connection to other aquifers</w:t>
      </w:r>
    </w:p>
    <w:p w14:paraId="6E13B69B" w14:textId="11C658DE" w:rsidR="0091216D" w:rsidRPr="000B0845" w:rsidRDefault="0091216D">
      <w:pPr>
        <w:rPr>
          <w:lang w:val="en-AU" w:eastAsia="en-US"/>
        </w:rPr>
      </w:pPr>
      <w:r w:rsidRPr="00B42E91">
        <w:rPr>
          <w:rFonts w:cs="Arial"/>
        </w:rPr>
        <w:t>The basement is mainly very low</w:t>
      </w:r>
      <w:r w:rsidR="009F1611" w:rsidRPr="00B42E91">
        <w:rPr>
          <w:rFonts w:cs="Arial"/>
        </w:rPr>
        <w:t>-</w:t>
      </w:r>
      <w:r w:rsidRPr="00B42E91">
        <w:rPr>
          <w:rFonts w:cs="Arial"/>
        </w:rPr>
        <w:t xml:space="preserve">permeability siltstone and regionally acts as an aquitard, </w:t>
      </w:r>
      <w:r w:rsidR="009F1611" w:rsidRPr="00B42E91">
        <w:rPr>
          <w:rFonts w:cs="Arial"/>
        </w:rPr>
        <w:t xml:space="preserve">although </w:t>
      </w:r>
      <w:r w:rsidRPr="00B42E91">
        <w:rPr>
          <w:rFonts w:cs="Arial"/>
        </w:rPr>
        <w:t xml:space="preserve">fracturing at the near surface along the basin margin and near the Grampians, Central Highlands and Otway Ranges allows for some limited groundwater transmission. </w:t>
      </w:r>
      <w:r w:rsidR="009F1611" w:rsidRPr="00B42E91">
        <w:rPr>
          <w:rFonts w:cs="Arial"/>
        </w:rPr>
        <w:t xml:space="preserve">Even so it </w:t>
      </w:r>
      <w:r w:rsidRPr="00B42E91">
        <w:rPr>
          <w:rFonts w:cs="Arial"/>
        </w:rPr>
        <w:t xml:space="preserve">is porous enough to hold water and fossil fuels and has a high potential for gas production and geothermal energy. </w:t>
      </w:r>
      <w:r w:rsidR="009F1611" w:rsidRPr="00B42E91">
        <w:rPr>
          <w:rFonts w:cs="Arial"/>
        </w:rPr>
        <w:t>I</w:t>
      </w:r>
      <w:r w:rsidRPr="00B42E91">
        <w:rPr>
          <w:rFonts w:cs="Arial"/>
        </w:rPr>
        <w:t xml:space="preserve">t is </w:t>
      </w:r>
      <w:r w:rsidR="009F1611" w:rsidRPr="00B42E91">
        <w:rPr>
          <w:rFonts w:cs="Arial"/>
        </w:rPr>
        <w:t xml:space="preserve">therefore </w:t>
      </w:r>
      <w:r w:rsidRPr="00B42E91">
        <w:rPr>
          <w:rFonts w:cs="Arial"/>
        </w:rPr>
        <w:t xml:space="preserve">likely that minor diffusive groundwater recharge to the basement occurs regionally through the overlying </w:t>
      </w:r>
      <w:r w:rsidR="00F905A1" w:rsidRPr="00B42E91">
        <w:rPr>
          <w:rFonts w:cs="Arial"/>
        </w:rPr>
        <w:t>Cretaceous</w:t>
      </w:r>
      <w:r w:rsidRPr="00B42E91">
        <w:rPr>
          <w:rFonts w:cs="Arial"/>
        </w:rPr>
        <w:t xml:space="preserve"> aquifer where </w:t>
      </w:r>
      <w:r w:rsidRPr="00B42E91">
        <w:rPr>
          <w:rFonts w:cs="Arial"/>
          <w:lang w:val="en-AU" w:eastAsia="en-US"/>
        </w:rPr>
        <w:t xml:space="preserve">vertical hydraulic </w:t>
      </w:r>
      <w:r w:rsidRPr="000B0845">
        <w:rPr>
          <w:lang w:val="en-AU" w:eastAsia="en-US"/>
        </w:rPr>
        <w:t>gradients are downward, such as those closer to the northern basin margin in topographically elevated areas.</w:t>
      </w:r>
    </w:p>
    <w:p w14:paraId="05513F90" w14:textId="7383347F" w:rsidR="000B5EB4" w:rsidRPr="000B0845" w:rsidRDefault="0091216D">
      <w:pPr>
        <w:rPr>
          <w:lang w:val="en-AU" w:eastAsia="en-US"/>
        </w:rPr>
      </w:pPr>
      <w:r w:rsidRPr="000B0845">
        <w:rPr>
          <w:lang w:val="en-AU" w:eastAsia="en-US"/>
        </w:rPr>
        <w:t>Where the Belfast Mudstone is present within the Cretaceous aquifer it acts as an aquitard</w:t>
      </w:r>
      <w:r w:rsidR="00652B6A">
        <w:rPr>
          <w:lang w:val="en-AU" w:eastAsia="en-US"/>
        </w:rPr>
        <w:t xml:space="preserve"> between</w:t>
      </w:r>
      <w:r w:rsidR="00652B6A" w:rsidRPr="000B0845">
        <w:rPr>
          <w:lang w:val="en-AU" w:eastAsia="en-US"/>
        </w:rPr>
        <w:t xml:space="preserve"> </w:t>
      </w:r>
      <w:r w:rsidRPr="000B0845">
        <w:rPr>
          <w:lang w:val="en-AU" w:eastAsia="en-US"/>
        </w:rPr>
        <w:t xml:space="preserve">the lower Flaxman and Warree Formations </w:t>
      </w:r>
      <w:r w:rsidR="00652B6A">
        <w:rPr>
          <w:lang w:val="en-AU" w:eastAsia="en-US"/>
        </w:rPr>
        <w:t>and</w:t>
      </w:r>
      <w:r w:rsidR="00652B6A" w:rsidRPr="000B0845">
        <w:rPr>
          <w:lang w:val="en-AU" w:eastAsia="en-US"/>
        </w:rPr>
        <w:t xml:space="preserve"> </w:t>
      </w:r>
      <w:r w:rsidRPr="000B0845">
        <w:rPr>
          <w:lang w:val="en-AU" w:eastAsia="en-US"/>
        </w:rPr>
        <w:t xml:space="preserve">the </w:t>
      </w:r>
      <w:r w:rsidR="00652B6A">
        <w:rPr>
          <w:lang w:val="en-AU" w:eastAsia="en-US"/>
        </w:rPr>
        <w:t>over</w:t>
      </w:r>
      <w:r w:rsidRPr="000B0845">
        <w:rPr>
          <w:lang w:val="en-AU" w:eastAsia="en-US"/>
        </w:rPr>
        <w:t>lying Paaratte Formation and Timboon Sandstone. In areas where the Belfast Mu</w:t>
      </w:r>
      <w:r w:rsidR="005F5A80" w:rsidRPr="000B0845">
        <w:rPr>
          <w:lang w:val="en-AU" w:eastAsia="en-US"/>
        </w:rPr>
        <w:t>d</w:t>
      </w:r>
      <w:r w:rsidRPr="000B0845">
        <w:rPr>
          <w:lang w:val="en-AU" w:eastAsia="en-US"/>
        </w:rPr>
        <w:t>stone is absent</w:t>
      </w:r>
      <w:r w:rsidR="00652B6A">
        <w:rPr>
          <w:lang w:val="en-AU" w:eastAsia="en-US"/>
        </w:rPr>
        <w:t>,</w:t>
      </w:r>
      <w:r w:rsidRPr="000B0845">
        <w:rPr>
          <w:lang w:val="en-AU" w:eastAsia="en-US"/>
        </w:rPr>
        <w:t xml:space="preserve"> however, the Cretaceous aquifer is in direct contact with the overlying LTA.</w:t>
      </w:r>
    </w:p>
    <w:p w14:paraId="1900367B" w14:textId="46F828B1" w:rsidR="00920AD5" w:rsidRPr="00642A5D" w:rsidRDefault="009F1611" w:rsidP="00F862EC">
      <w:pPr>
        <w:pStyle w:val="Head2xx"/>
      </w:pPr>
      <w:bookmarkStart w:id="255" w:name="_Toc420568675"/>
      <w:bookmarkStart w:id="256" w:name="_Toc420570257"/>
      <w:bookmarkStart w:id="257" w:name="_Toc420571453"/>
      <w:bookmarkStart w:id="258" w:name="_Toc420572091"/>
      <w:bookmarkStart w:id="259" w:name="_Toc296766947"/>
      <w:bookmarkStart w:id="260" w:name="_Toc422927897"/>
      <w:r>
        <w:t>2.4</w:t>
      </w:r>
      <w:r>
        <w:tab/>
      </w:r>
      <w:r w:rsidR="00920AD5" w:rsidRPr="00642A5D">
        <w:t>Water use</w:t>
      </w:r>
      <w:bookmarkEnd w:id="255"/>
      <w:bookmarkEnd w:id="256"/>
      <w:bookmarkEnd w:id="257"/>
      <w:bookmarkEnd w:id="258"/>
      <w:bookmarkEnd w:id="259"/>
      <w:bookmarkEnd w:id="260"/>
    </w:p>
    <w:p w14:paraId="3836C4E1" w14:textId="19CB3E8D" w:rsidR="00641F12" w:rsidRPr="00642A5D" w:rsidRDefault="009F1611" w:rsidP="00C150BC">
      <w:pPr>
        <w:pStyle w:val="Head3xxx"/>
        <w:rPr>
          <w:lang w:val="en-AU" w:eastAsia="en-US"/>
        </w:rPr>
      </w:pPr>
      <w:bookmarkStart w:id="261" w:name="_Toc420568676"/>
      <w:bookmarkStart w:id="262" w:name="_Toc420570258"/>
      <w:bookmarkStart w:id="263" w:name="_Toc420571454"/>
      <w:bookmarkStart w:id="264" w:name="_Toc420572092"/>
      <w:bookmarkStart w:id="265" w:name="_Toc296766948"/>
      <w:r>
        <w:rPr>
          <w:lang w:val="en-AU" w:eastAsia="en-US"/>
        </w:rPr>
        <w:t>2.4.1</w:t>
      </w:r>
      <w:r>
        <w:rPr>
          <w:lang w:val="en-AU" w:eastAsia="en-US"/>
        </w:rPr>
        <w:tab/>
      </w:r>
      <w:r w:rsidR="00937474" w:rsidRPr="00642A5D">
        <w:rPr>
          <w:lang w:val="en-AU" w:eastAsia="en-US"/>
        </w:rPr>
        <w:t>Surface water users</w:t>
      </w:r>
      <w:bookmarkEnd w:id="261"/>
      <w:bookmarkEnd w:id="262"/>
      <w:bookmarkEnd w:id="263"/>
      <w:bookmarkEnd w:id="264"/>
      <w:bookmarkEnd w:id="265"/>
    </w:p>
    <w:p w14:paraId="282BCE6C" w14:textId="5716045A" w:rsidR="00937474" w:rsidRPr="00642A5D" w:rsidRDefault="00937474">
      <w:pPr>
        <w:rPr>
          <w:lang w:val="en-AU" w:eastAsia="en-US"/>
        </w:rPr>
      </w:pPr>
      <w:r w:rsidRPr="00642A5D">
        <w:rPr>
          <w:lang w:val="en-AU" w:eastAsia="en-US"/>
        </w:rPr>
        <w:t xml:space="preserve">Surface water use in Victoria </w:t>
      </w:r>
      <w:r w:rsidR="00855044">
        <w:rPr>
          <w:lang w:val="en-AU" w:eastAsia="en-US"/>
        </w:rPr>
        <w:t>during</w:t>
      </w:r>
      <w:r w:rsidR="00855044" w:rsidRPr="00642A5D">
        <w:rPr>
          <w:lang w:val="en-AU" w:eastAsia="en-US"/>
        </w:rPr>
        <w:t xml:space="preserve"> </w:t>
      </w:r>
      <w:r w:rsidRPr="00642A5D">
        <w:rPr>
          <w:lang w:val="en-AU" w:eastAsia="en-US"/>
        </w:rPr>
        <w:t xml:space="preserve">the 2003 to 2013 period </w:t>
      </w:r>
      <w:r w:rsidR="005502CA" w:rsidRPr="00642A5D">
        <w:rPr>
          <w:lang w:val="en-AU" w:eastAsia="en-US"/>
        </w:rPr>
        <w:t>is</w:t>
      </w:r>
      <w:r w:rsidRPr="00642A5D">
        <w:rPr>
          <w:lang w:val="en-AU" w:eastAsia="en-US"/>
        </w:rPr>
        <w:t xml:space="preserve"> summarised in </w:t>
      </w:r>
      <w:r w:rsidR="007569CD" w:rsidRPr="00642A5D">
        <w:rPr>
          <w:lang w:val="en-AU" w:eastAsia="en-US"/>
        </w:rPr>
        <w:fldChar w:fldCharType="begin"/>
      </w:r>
      <w:r w:rsidRPr="00642A5D">
        <w:rPr>
          <w:lang w:val="en-AU" w:eastAsia="en-US"/>
        </w:rPr>
        <w:instrText xml:space="preserve"> REF _Ref409504847 \h </w:instrText>
      </w:r>
      <w:r w:rsidR="00642A5D">
        <w:rPr>
          <w:lang w:val="en-AU" w:eastAsia="en-US"/>
        </w:rPr>
        <w:instrText xml:space="preserve"> \* MERGEFORMAT </w:instrText>
      </w:r>
      <w:r w:rsidR="007569CD" w:rsidRPr="00642A5D">
        <w:rPr>
          <w:lang w:val="en-AU" w:eastAsia="en-US"/>
        </w:rPr>
      </w:r>
      <w:r w:rsidR="007569CD" w:rsidRPr="00642A5D">
        <w:rPr>
          <w:lang w:val="en-AU" w:eastAsia="en-US"/>
        </w:rPr>
        <w:fldChar w:fldCharType="separate"/>
      </w:r>
      <w:r w:rsidR="00171A5E" w:rsidRPr="00642A5D">
        <w:t xml:space="preserve">Figure </w:t>
      </w:r>
      <w:r w:rsidR="00171A5E">
        <w:rPr>
          <w:noProof/>
        </w:rPr>
        <w:t>23</w:t>
      </w:r>
      <w:r w:rsidR="007569CD" w:rsidRPr="00642A5D">
        <w:rPr>
          <w:lang w:val="en-AU" w:eastAsia="en-US"/>
        </w:rPr>
        <w:fldChar w:fldCharType="end"/>
      </w:r>
      <w:r w:rsidRPr="00642A5D">
        <w:rPr>
          <w:lang w:val="en-AU" w:eastAsia="en-US"/>
        </w:rPr>
        <w:t xml:space="preserve">. </w:t>
      </w:r>
      <w:r w:rsidR="00855044">
        <w:rPr>
          <w:lang w:val="en-AU" w:eastAsia="en-US"/>
        </w:rPr>
        <w:t>During</w:t>
      </w:r>
      <w:r w:rsidR="00855044" w:rsidRPr="00642A5D">
        <w:rPr>
          <w:lang w:val="en-AU" w:eastAsia="en-US"/>
        </w:rPr>
        <w:t xml:space="preserve"> </w:t>
      </w:r>
      <w:r w:rsidRPr="00642A5D">
        <w:rPr>
          <w:lang w:val="en-AU" w:eastAsia="en-US"/>
        </w:rPr>
        <w:t>this period, reduced water use during the 2006</w:t>
      </w:r>
      <w:r w:rsidR="00652B6A">
        <w:rPr>
          <w:lang w:val="en-AU" w:eastAsia="en-US"/>
        </w:rPr>
        <w:t>–</w:t>
      </w:r>
      <w:r w:rsidR="00003088" w:rsidRPr="00642A5D">
        <w:rPr>
          <w:lang w:val="en-AU" w:eastAsia="en-US"/>
        </w:rPr>
        <w:t>2007 to 2009</w:t>
      </w:r>
      <w:r w:rsidR="00652B6A">
        <w:rPr>
          <w:lang w:val="en-AU" w:eastAsia="en-US"/>
        </w:rPr>
        <w:t>–</w:t>
      </w:r>
      <w:r w:rsidR="00003088" w:rsidRPr="00642A5D">
        <w:rPr>
          <w:lang w:val="en-AU" w:eastAsia="en-US"/>
        </w:rPr>
        <w:t xml:space="preserve">2010 </w:t>
      </w:r>
      <w:r w:rsidRPr="00642A5D">
        <w:rPr>
          <w:lang w:val="en-AU" w:eastAsia="en-US"/>
        </w:rPr>
        <w:t>period is a reflection of lower water availability in response to drought conditions</w:t>
      </w:r>
      <w:r w:rsidR="00003088" w:rsidRPr="00642A5D">
        <w:rPr>
          <w:lang w:val="en-AU" w:eastAsia="en-US"/>
        </w:rPr>
        <w:t xml:space="preserve"> (DEPI, 2014)</w:t>
      </w:r>
      <w:r w:rsidRPr="00642A5D">
        <w:rPr>
          <w:lang w:val="en-AU" w:eastAsia="en-US"/>
        </w:rPr>
        <w:t>.</w:t>
      </w:r>
      <w:r w:rsidR="00003088" w:rsidRPr="00642A5D">
        <w:rPr>
          <w:lang w:val="en-AU" w:eastAsia="en-US"/>
        </w:rPr>
        <w:t xml:space="preserve"> Restrictions on water use by urban customers</w:t>
      </w:r>
      <w:r w:rsidR="00855044">
        <w:rPr>
          <w:lang w:val="en-AU" w:eastAsia="en-US"/>
        </w:rPr>
        <w:t>,</w:t>
      </w:r>
      <w:r w:rsidR="00003088" w:rsidRPr="00642A5D">
        <w:rPr>
          <w:lang w:val="en-AU" w:eastAsia="en-US"/>
        </w:rPr>
        <w:t xml:space="preserve"> and low seasonal allocations in irrigation districts at this time</w:t>
      </w:r>
      <w:r w:rsidR="00855044">
        <w:rPr>
          <w:lang w:val="en-AU" w:eastAsia="en-US"/>
        </w:rPr>
        <w:t>,</w:t>
      </w:r>
      <w:r w:rsidR="00003088" w:rsidRPr="00642A5D">
        <w:rPr>
          <w:lang w:val="en-AU" w:eastAsia="en-US"/>
        </w:rPr>
        <w:t xml:space="preserve"> were widespread. During 2010</w:t>
      </w:r>
      <w:r w:rsidR="00652B6A">
        <w:rPr>
          <w:lang w:val="en-AU" w:eastAsia="en-US"/>
        </w:rPr>
        <w:t>–</w:t>
      </w:r>
      <w:r w:rsidR="00003088" w:rsidRPr="00642A5D">
        <w:rPr>
          <w:lang w:val="en-AU" w:eastAsia="en-US"/>
        </w:rPr>
        <w:t>2011 and 2011</w:t>
      </w:r>
      <w:r w:rsidR="00652B6A">
        <w:rPr>
          <w:lang w:val="en-AU" w:eastAsia="en-US"/>
        </w:rPr>
        <w:t>–</w:t>
      </w:r>
      <w:r w:rsidR="00003088" w:rsidRPr="00642A5D">
        <w:rPr>
          <w:lang w:val="en-AU" w:eastAsia="en-US"/>
        </w:rPr>
        <w:t xml:space="preserve">2012, lower water use </w:t>
      </w:r>
      <w:r w:rsidR="00652B6A">
        <w:rPr>
          <w:lang w:val="en-AU" w:eastAsia="en-US"/>
        </w:rPr>
        <w:t>was</w:t>
      </w:r>
      <w:r w:rsidR="00652B6A" w:rsidRPr="00642A5D">
        <w:rPr>
          <w:lang w:val="en-AU" w:eastAsia="en-US"/>
        </w:rPr>
        <w:t xml:space="preserve"> </w:t>
      </w:r>
      <w:r w:rsidR="00003088" w:rsidRPr="00642A5D">
        <w:rPr>
          <w:lang w:val="en-AU" w:eastAsia="en-US"/>
        </w:rPr>
        <w:t xml:space="preserve">a reflection of reduced water demand resulting from wet conditions. </w:t>
      </w:r>
    </w:p>
    <w:p w14:paraId="339AC12E" w14:textId="77777777" w:rsidR="00937474" w:rsidRPr="00642A5D" w:rsidRDefault="00937474" w:rsidP="00582F87">
      <w:pPr>
        <w:pStyle w:val="figurereturn"/>
        <w:rPr>
          <w:lang w:eastAsia="en-US"/>
        </w:rPr>
      </w:pPr>
      <w:r w:rsidRPr="00642A5D">
        <w:drawing>
          <wp:inline distT="0" distB="0" distL="0" distR="0" wp14:anchorId="1F36CD60" wp14:editId="72E311CA">
            <wp:extent cx="4905375" cy="2704245"/>
            <wp:effectExtent l="0" t="0" r="0" b="127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4908774" cy="2706119"/>
                    </a:xfrm>
                    <a:prstGeom prst="rect">
                      <a:avLst/>
                    </a:prstGeom>
                  </pic:spPr>
                </pic:pic>
              </a:graphicData>
            </a:graphic>
          </wp:inline>
        </w:drawing>
      </w:r>
    </w:p>
    <w:p w14:paraId="52F1C12D" w14:textId="02B1C299" w:rsidR="00937474" w:rsidRDefault="00937474" w:rsidP="00A53AE8">
      <w:pPr>
        <w:pStyle w:val="Figuretitle"/>
      </w:pPr>
      <w:bookmarkStart w:id="266" w:name="_Ref409504847"/>
      <w:bookmarkStart w:id="267" w:name="_Ref409504843"/>
      <w:bookmarkStart w:id="268" w:name="_Toc422928794"/>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23</w:t>
      </w:r>
      <w:r w:rsidR="007569CD" w:rsidRPr="00642A5D">
        <w:fldChar w:fldCharType="end"/>
      </w:r>
      <w:bookmarkEnd w:id="266"/>
      <w:r w:rsidR="00F95BE3">
        <w:t>:</w:t>
      </w:r>
      <w:r w:rsidRPr="00642A5D">
        <w:t xml:space="preserve"> </w:t>
      </w:r>
      <w:r w:rsidR="00652B6A">
        <w:t xml:space="preserve"> </w:t>
      </w:r>
      <w:r w:rsidRPr="00642A5D">
        <w:t>Surface water consumptive use for 2003 to 2013</w:t>
      </w:r>
      <w:bookmarkEnd w:id="267"/>
      <w:r w:rsidR="00652B6A">
        <w:t>.</w:t>
      </w:r>
      <w:r w:rsidR="00FF583A" w:rsidRPr="00642A5D">
        <w:t xml:space="preserve"> (</w:t>
      </w:r>
      <w:r w:rsidR="00652B6A">
        <w:t>S</w:t>
      </w:r>
      <w:r w:rsidR="00755B17">
        <w:t xml:space="preserve">ource: </w:t>
      </w:r>
      <w:r w:rsidR="00FF583A" w:rsidRPr="00642A5D">
        <w:t>DEPI, 2014</w:t>
      </w:r>
      <w:r w:rsidR="00652B6A">
        <w:t>.</w:t>
      </w:r>
      <w:r w:rsidR="00FF583A" w:rsidRPr="00642A5D">
        <w:t>)</w:t>
      </w:r>
      <w:bookmarkEnd w:id="268"/>
    </w:p>
    <w:p w14:paraId="1F8CAF6B" w14:textId="6BB25698" w:rsidR="00937474" w:rsidRPr="00642A5D" w:rsidRDefault="00003088">
      <w:pPr>
        <w:rPr>
          <w:lang w:val="en-AU" w:eastAsia="en-US"/>
        </w:rPr>
      </w:pPr>
      <w:r w:rsidRPr="00642A5D">
        <w:rPr>
          <w:lang w:val="en-AU" w:eastAsia="en-US"/>
        </w:rPr>
        <w:t xml:space="preserve">Consumptive entitlements can </w:t>
      </w:r>
      <w:r w:rsidR="001A2A16" w:rsidRPr="00642A5D">
        <w:rPr>
          <w:lang w:val="en-AU" w:eastAsia="en-US"/>
        </w:rPr>
        <w:t>broadly be classified in</w:t>
      </w:r>
      <w:r w:rsidR="00855044">
        <w:rPr>
          <w:lang w:val="en-AU" w:eastAsia="en-US"/>
        </w:rPr>
        <w:t>to</w:t>
      </w:r>
      <w:r w:rsidR="001A2A16" w:rsidRPr="00642A5D">
        <w:rPr>
          <w:lang w:val="en-AU" w:eastAsia="en-US"/>
        </w:rPr>
        <w:t xml:space="preserve"> four categories</w:t>
      </w:r>
      <w:r w:rsidR="00855044">
        <w:rPr>
          <w:lang w:val="en-AU" w:eastAsia="en-US"/>
        </w:rPr>
        <w:t>:</w:t>
      </w:r>
      <w:r w:rsidR="001A2A16" w:rsidRPr="00642A5D">
        <w:rPr>
          <w:lang w:val="en-AU" w:eastAsia="en-US"/>
        </w:rPr>
        <w:t xml:space="preserve"> irrigation, </w:t>
      </w:r>
      <w:r w:rsidR="001A2A16" w:rsidRPr="00582F87">
        <w:rPr>
          <w:lang w:val="en-AU" w:eastAsia="en-US"/>
        </w:rPr>
        <w:t>domestic</w:t>
      </w:r>
      <w:r w:rsidR="00582F87">
        <w:rPr>
          <w:lang w:val="en-AU" w:eastAsia="en-US"/>
        </w:rPr>
        <w:t xml:space="preserve"> and stock</w:t>
      </w:r>
      <w:r w:rsidR="001A2A16" w:rsidRPr="00582F87">
        <w:rPr>
          <w:lang w:val="en-AU" w:eastAsia="en-US"/>
        </w:rPr>
        <w:t>,</w:t>
      </w:r>
      <w:r w:rsidR="001A2A16" w:rsidRPr="00642A5D">
        <w:rPr>
          <w:lang w:val="en-AU" w:eastAsia="en-US"/>
        </w:rPr>
        <w:t xml:space="preserve"> urban and commercial</w:t>
      </w:r>
      <w:r w:rsidR="00855044">
        <w:rPr>
          <w:lang w:val="en-AU" w:eastAsia="en-US"/>
        </w:rPr>
        <w:t>,</w:t>
      </w:r>
      <w:r w:rsidR="001A2A16" w:rsidRPr="00642A5D">
        <w:rPr>
          <w:lang w:val="en-AU" w:eastAsia="en-US"/>
        </w:rPr>
        <w:t xml:space="preserve"> and power generation. During </w:t>
      </w:r>
      <w:r w:rsidR="005502CA" w:rsidRPr="00642A5D">
        <w:rPr>
          <w:lang w:val="en-AU" w:eastAsia="en-US"/>
        </w:rPr>
        <w:t>2012</w:t>
      </w:r>
      <w:r w:rsidR="00936508">
        <w:rPr>
          <w:lang w:val="en-AU" w:eastAsia="en-US"/>
        </w:rPr>
        <w:t>–</w:t>
      </w:r>
      <w:r w:rsidR="00A82E1B" w:rsidRPr="00642A5D">
        <w:rPr>
          <w:lang w:val="en-AU" w:eastAsia="en-US"/>
        </w:rPr>
        <w:t>2013</w:t>
      </w:r>
      <w:r w:rsidR="00936508">
        <w:rPr>
          <w:lang w:val="en-AU" w:eastAsia="en-US"/>
        </w:rPr>
        <w:t xml:space="preserve"> </w:t>
      </w:r>
      <w:r w:rsidR="00A82E1B" w:rsidRPr="00642A5D">
        <w:rPr>
          <w:lang w:val="en-AU" w:eastAsia="en-US"/>
        </w:rPr>
        <w:t>consumptive use attributed to irrigation</w:t>
      </w:r>
      <w:r w:rsidR="00936508">
        <w:rPr>
          <w:lang w:val="en-AU" w:eastAsia="en-US"/>
        </w:rPr>
        <w:t xml:space="preserve"> was </w:t>
      </w:r>
      <w:r w:rsidR="00936508" w:rsidRPr="00642A5D">
        <w:rPr>
          <w:lang w:val="en-AU" w:eastAsia="en-US"/>
        </w:rPr>
        <w:t>3</w:t>
      </w:r>
      <w:r w:rsidR="00936508">
        <w:rPr>
          <w:lang w:val="en-AU" w:eastAsia="en-US"/>
        </w:rPr>
        <w:t>467 </w:t>
      </w:r>
      <w:r w:rsidR="00936508" w:rsidRPr="00642A5D">
        <w:rPr>
          <w:lang w:val="en-AU" w:eastAsia="en-US"/>
        </w:rPr>
        <w:t>ML</w:t>
      </w:r>
      <w:r w:rsidR="00A82E1B" w:rsidRPr="00642A5D">
        <w:rPr>
          <w:lang w:val="en-AU" w:eastAsia="en-US"/>
        </w:rPr>
        <w:t xml:space="preserve">, which </w:t>
      </w:r>
      <w:r w:rsidR="00936508">
        <w:rPr>
          <w:lang w:val="en-AU" w:eastAsia="en-US"/>
        </w:rPr>
        <w:t>was</w:t>
      </w:r>
      <w:r w:rsidR="00936508" w:rsidRPr="00642A5D">
        <w:rPr>
          <w:lang w:val="en-AU" w:eastAsia="en-US"/>
        </w:rPr>
        <w:t xml:space="preserve"> </w:t>
      </w:r>
      <w:r w:rsidR="00A82E1B" w:rsidRPr="00642A5D">
        <w:rPr>
          <w:lang w:val="en-AU" w:eastAsia="en-US"/>
        </w:rPr>
        <w:t xml:space="preserve">80% of all consumptive use for the period. Urban and commercial use accounted for 14% of consumptive use for the period, </w:t>
      </w:r>
      <w:r w:rsidR="00936508">
        <w:rPr>
          <w:lang w:val="en-AU" w:eastAsia="en-US"/>
        </w:rPr>
        <w:t>and</w:t>
      </w:r>
      <w:r w:rsidR="00936508" w:rsidRPr="00642A5D">
        <w:rPr>
          <w:lang w:val="en-AU" w:eastAsia="en-US"/>
        </w:rPr>
        <w:t xml:space="preserve"> </w:t>
      </w:r>
      <w:r w:rsidR="00A82E1B" w:rsidRPr="00582F87">
        <w:rPr>
          <w:lang w:val="en-AU" w:eastAsia="en-US"/>
        </w:rPr>
        <w:t>domestic and stock</w:t>
      </w:r>
      <w:r w:rsidR="00A82E1B" w:rsidRPr="00642A5D">
        <w:rPr>
          <w:lang w:val="en-AU" w:eastAsia="en-US"/>
        </w:rPr>
        <w:t xml:space="preserve"> and power generation </w:t>
      </w:r>
      <w:r w:rsidR="00936508" w:rsidRPr="00642A5D">
        <w:rPr>
          <w:lang w:val="en-AU" w:eastAsia="en-US"/>
        </w:rPr>
        <w:t>account</w:t>
      </w:r>
      <w:r w:rsidR="00936508">
        <w:rPr>
          <w:lang w:val="en-AU" w:eastAsia="en-US"/>
        </w:rPr>
        <w:t>ed</w:t>
      </w:r>
      <w:r w:rsidR="00936508" w:rsidRPr="00642A5D">
        <w:rPr>
          <w:lang w:val="en-AU" w:eastAsia="en-US"/>
        </w:rPr>
        <w:t xml:space="preserve"> </w:t>
      </w:r>
      <w:r w:rsidR="00A82E1B" w:rsidRPr="00642A5D">
        <w:rPr>
          <w:lang w:val="en-AU" w:eastAsia="en-US"/>
        </w:rPr>
        <w:t xml:space="preserve">for 4% and 2% respectively. </w:t>
      </w:r>
    </w:p>
    <w:p w14:paraId="73326E11" w14:textId="16F40A74" w:rsidR="00FF583A" w:rsidRPr="00642A5D" w:rsidRDefault="00A82E1B">
      <w:pPr>
        <w:rPr>
          <w:lang w:val="en-AU" w:eastAsia="en-US"/>
        </w:rPr>
      </w:pPr>
      <w:r w:rsidRPr="00642A5D">
        <w:rPr>
          <w:lang w:val="en-AU" w:eastAsia="en-US"/>
        </w:rPr>
        <w:t xml:space="preserve">The surface water basins in the </w:t>
      </w:r>
      <w:r w:rsidR="007C4916">
        <w:rPr>
          <w:lang w:val="en-AU" w:eastAsia="en-US"/>
        </w:rPr>
        <w:t>Otway region</w:t>
      </w:r>
      <w:r w:rsidRPr="00642A5D">
        <w:rPr>
          <w:lang w:val="en-AU" w:eastAsia="en-US"/>
        </w:rPr>
        <w:t xml:space="preserve"> include the Millicent Coast, Glenelg, Portland Coast, Hopkins River, Lake Corangamite, Otway Coast, Barwon and Moorabool Basins. </w:t>
      </w:r>
      <w:r w:rsidR="00FF583A" w:rsidRPr="00642A5D">
        <w:rPr>
          <w:lang w:val="en-AU" w:eastAsia="en-US"/>
        </w:rPr>
        <w:t>The entitlements for 2012</w:t>
      </w:r>
      <w:r w:rsidR="00936508">
        <w:rPr>
          <w:lang w:val="en-AU" w:eastAsia="en-US"/>
        </w:rPr>
        <w:t>–</w:t>
      </w:r>
      <w:r w:rsidR="00FF583A" w:rsidRPr="00642A5D">
        <w:rPr>
          <w:lang w:val="en-AU" w:eastAsia="en-US"/>
        </w:rPr>
        <w:t xml:space="preserve">2013 in each of these basins has been summarised in </w:t>
      </w:r>
      <w:r w:rsidR="007569CD" w:rsidRPr="00642A5D">
        <w:rPr>
          <w:lang w:val="en-AU" w:eastAsia="en-US"/>
        </w:rPr>
        <w:fldChar w:fldCharType="begin"/>
      </w:r>
      <w:r w:rsidR="00FF583A" w:rsidRPr="00642A5D">
        <w:rPr>
          <w:lang w:val="en-AU" w:eastAsia="en-US"/>
        </w:rPr>
        <w:instrText xml:space="preserve"> REF _Ref409509660 \h </w:instrText>
      </w:r>
      <w:r w:rsidR="00642A5D">
        <w:rPr>
          <w:lang w:val="en-AU" w:eastAsia="en-US"/>
        </w:rPr>
        <w:instrText xml:space="preserve"> \* MERGEFORMAT </w:instrText>
      </w:r>
      <w:r w:rsidR="007569CD" w:rsidRPr="00642A5D">
        <w:rPr>
          <w:lang w:val="en-AU" w:eastAsia="en-US"/>
        </w:rPr>
      </w:r>
      <w:r w:rsidR="007569CD" w:rsidRPr="00642A5D">
        <w:rPr>
          <w:lang w:val="en-AU" w:eastAsia="en-US"/>
        </w:rPr>
        <w:fldChar w:fldCharType="separate"/>
      </w:r>
      <w:r w:rsidR="00171A5E" w:rsidRPr="00642A5D">
        <w:t xml:space="preserve">Table </w:t>
      </w:r>
      <w:r w:rsidR="00171A5E">
        <w:rPr>
          <w:noProof/>
        </w:rPr>
        <w:t>2</w:t>
      </w:r>
      <w:r w:rsidR="007569CD" w:rsidRPr="00642A5D">
        <w:rPr>
          <w:lang w:val="en-AU" w:eastAsia="en-US"/>
        </w:rPr>
        <w:fldChar w:fldCharType="end"/>
      </w:r>
      <w:r w:rsidR="00FF583A" w:rsidRPr="00642A5D">
        <w:rPr>
          <w:lang w:val="en-AU" w:eastAsia="en-US"/>
        </w:rPr>
        <w:t>. T</w:t>
      </w:r>
      <w:r w:rsidR="00616E0E">
        <w:rPr>
          <w:lang w:val="en-AU" w:eastAsia="en-US"/>
        </w:rPr>
        <w:t xml:space="preserve">hese figures indicate that the </w:t>
      </w:r>
      <w:r w:rsidR="00FF583A" w:rsidRPr="00642A5D">
        <w:rPr>
          <w:lang w:val="en-AU" w:eastAsia="en-US"/>
        </w:rPr>
        <w:t xml:space="preserve">majority of surface water entitlements and usage occur in the Otway Coast, Barwon and Moorabool Basins. These three basins account for 85% of the combined bulk and </w:t>
      </w:r>
      <w:r w:rsidR="006C2AC7" w:rsidRPr="00642A5D">
        <w:rPr>
          <w:lang w:val="en-AU" w:eastAsia="en-US"/>
        </w:rPr>
        <w:t>licensed entitlements</w:t>
      </w:r>
      <w:r w:rsidR="00FF583A" w:rsidRPr="00642A5D">
        <w:rPr>
          <w:lang w:val="en-AU" w:eastAsia="en-US"/>
        </w:rPr>
        <w:t xml:space="preserve"> and 91% of the combined and </w:t>
      </w:r>
      <w:r w:rsidR="0001309E">
        <w:rPr>
          <w:lang w:val="en-AU" w:eastAsia="en-US"/>
        </w:rPr>
        <w:t xml:space="preserve">bulk and </w:t>
      </w:r>
      <w:r w:rsidR="00FF583A" w:rsidRPr="00642A5D">
        <w:rPr>
          <w:lang w:val="en-AU" w:eastAsia="en-US"/>
        </w:rPr>
        <w:t>lice</w:t>
      </w:r>
      <w:r w:rsidR="006C2AC7" w:rsidRPr="00642A5D">
        <w:rPr>
          <w:lang w:val="en-AU" w:eastAsia="en-US"/>
        </w:rPr>
        <w:t>n</w:t>
      </w:r>
      <w:r w:rsidR="00055497">
        <w:rPr>
          <w:lang w:val="en-AU" w:eastAsia="en-US"/>
        </w:rPr>
        <w:t>s</w:t>
      </w:r>
      <w:r w:rsidR="006C2AC7" w:rsidRPr="00642A5D">
        <w:rPr>
          <w:lang w:val="en-AU" w:eastAsia="en-US"/>
        </w:rPr>
        <w:t>e</w:t>
      </w:r>
      <w:r w:rsidR="00FF583A" w:rsidRPr="00642A5D">
        <w:rPr>
          <w:lang w:val="en-AU" w:eastAsia="en-US"/>
        </w:rPr>
        <w:t xml:space="preserve">d volumes taken </w:t>
      </w:r>
      <w:r w:rsidR="005502CA" w:rsidRPr="00642A5D">
        <w:rPr>
          <w:lang w:val="en-AU" w:eastAsia="en-US"/>
        </w:rPr>
        <w:t xml:space="preserve">(i.e. actual </w:t>
      </w:r>
      <w:r w:rsidR="00FB0F63" w:rsidRPr="00642A5D">
        <w:rPr>
          <w:lang w:val="en-AU" w:eastAsia="en-US"/>
        </w:rPr>
        <w:t>usage</w:t>
      </w:r>
      <w:r w:rsidR="005502CA" w:rsidRPr="00642A5D">
        <w:rPr>
          <w:lang w:val="en-AU" w:eastAsia="en-US"/>
        </w:rPr>
        <w:t xml:space="preserve">) </w:t>
      </w:r>
      <w:r w:rsidR="006C2AC7" w:rsidRPr="00642A5D">
        <w:rPr>
          <w:lang w:val="en-AU" w:eastAsia="en-US"/>
        </w:rPr>
        <w:t xml:space="preserve">in the </w:t>
      </w:r>
      <w:r w:rsidR="007C4916">
        <w:rPr>
          <w:lang w:val="en-AU" w:eastAsia="en-US"/>
        </w:rPr>
        <w:t>Otway region</w:t>
      </w:r>
      <w:r w:rsidR="006C2AC7" w:rsidRPr="00642A5D">
        <w:rPr>
          <w:lang w:val="en-AU" w:eastAsia="en-US"/>
        </w:rPr>
        <w:t xml:space="preserve"> for the 2013</w:t>
      </w:r>
      <w:r w:rsidR="00936508">
        <w:rPr>
          <w:lang w:val="en-AU" w:eastAsia="en-US"/>
        </w:rPr>
        <w:t>–</w:t>
      </w:r>
      <w:r w:rsidR="006C2AC7" w:rsidRPr="00642A5D">
        <w:rPr>
          <w:lang w:val="en-AU" w:eastAsia="en-US"/>
        </w:rPr>
        <w:t>2013 period.</w:t>
      </w:r>
    </w:p>
    <w:p w14:paraId="70B565FA" w14:textId="42FCB790" w:rsidR="00865D18" w:rsidRPr="00642A5D" w:rsidRDefault="00FF583A" w:rsidP="002D44DF">
      <w:pPr>
        <w:pStyle w:val="Tableheading"/>
        <w:rPr>
          <w:lang w:val="en-AU" w:eastAsia="en-US"/>
        </w:rPr>
      </w:pPr>
      <w:bookmarkStart w:id="269" w:name="_Ref409509660"/>
      <w:bookmarkStart w:id="270" w:name="_Toc296770882"/>
      <w:r w:rsidRPr="00642A5D">
        <w:t xml:space="preserve">Table </w:t>
      </w:r>
      <w:r w:rsidR="007569CD" w:rsidRPr="00642A5D">
        <w:fldChar w:fldCharType="begin"/>
      </w:r>
      <w:r w:rsidRPr="00642A5D">
        <w:instrText xml:space="preserve"> SEQ Table \* ARABIC </w:instrText>
      </w:r>
      <w:r w:rsidR="007569CD" w:rsidRPr="00642A5D">
        <w:fldChar w:fldCharType="separate"/>
      </w:r>
      <w:r w:rsidR="00171A5E">
        <w:rPr>
          <w:noProof/>
        </w:rPr>
        <w:t>2</w:t>
      </w:r>
      <w:r w:rsidR="007569CD" w:rsidRPr="00642A5D">
        <w:fldChar w:fldCharType="end"/>
      </w:r>
      <w:bookmarkEnd w:id="269"/>
      <w:r w:rsidR="00F95BE3">
        <w:t>:</w:t>
      </w:r>
      <w:r w:rsidRPr="00642A5D">
        <w:t xml:space="preserve"> </w:t>
      </w:r>
      <w:r w:rsidR="00CE7F82">
        <w:t xml:space="preserve"> </w:t>
      </w:r>
      <w:r w:rsidRPr="00642A5D">
        <w:t xml:space="preserve">Surface water entitlements and </w:t>
      </w:r>
      <w:r w:rsidR="005502CA" w:rsidRPr="00642A5D">
        <w:t>volumes taken (i.e</w:t>
      </w:r>
      <w:r w:rsidR="00FB0F63" w:rsidRPr="00642A5D">
        <w:t>.</w:t>
      </w:r>
      <w:r w:rsidR="005502CA" w:rsidRPr="00642A5D">
        <w:t xml:space="preserve"> </w:t>
      </w:r>
      <w:r w:rsidR="00FB0F63" w:rsidRPr="00642A5D">
        <w:t>usage</w:t>
      </w:r>
      <w:r w:rsidR="00B40453" w:rsidRPr="00642A5D">
        <w:t>)</w:t>
      </w:r>
      <w:r w:rsidR="005502CA" w:rsidRPr="00642A5D">
        <w:t xml:space="preserve"> </w:t>
      </w:r>
      <w:r w:rsidRPr="00642A5D">
        <w:t>figures for 2012</w:t>
      </w:r>
      <w:r w:rsidR="00936508">
        <w:t>–</w:t>
      </w:r>
      <w:r w:rsidRPr="00642A5D">
        <w:t>2013</w:t>
      </w:r>
      <w:r w:rsidR="00936508">
        <w:t>.</w:t>
      </w:r>
      <w:r w:rsidRPr="00642A5D">
        <w:t xml:space="preserve"> (</w:t>
      </w:r>
      <w:r w:rsidR="00936508">
        <w:t>S</w:t>
      </w:r>
      <w:r w:rsidR="00755B17">
        <w:t xml:space="preserve">ource: </w:t>
      </w:r>
      <w:r w:rsidRPr="00642A5D">
        <w:t>DEPI, 2014</w:t>
      </w:r>
      <w:r w:rsidR="00936508">
        <w:t>.</w:t>
      </w:r>
      <w:r w:rsidRPr="00642A5D">
        <w:t>)</w:t>
      </w:r>
      <w:bookmarkEnd w:id="270"/>
    </w:p>
    <w:tbl>
      <w:tblPr>
        <w:tblW w:w="9700" w:type="dxa"/>
        <w:tblInd w:w="93" w:type="dxa"/>
        <w:tblLook w:val="04A0" w:firstRow="1" w:lastRow="0" w:firstColumn="1" w:lastColumn="0" w:noHBand="0" w:noVBand="1"/>
      </w:tblPr>
      <w:tblGrid>
        <w:gridCol w:w="1660"/>
        <w:gridCol w:w="1340"/>
        <w:gridCol w:w="1340"/>
        <w:gridCol w:w="1340"/>
        <w:gridCol w:w="1340"/>
        <w:gridCol w:w="1340"/>
        <w:gridCol w:w="1340"/>
      </w:tblGrid>
      <w:tr w:rsidR="00E716EC" w:rsidRPr="00830533" w14:paraId="5EC337CD" w14:textId="77777777" w:rsidTr="00B42E91">
        <w:tc>
          <w:tcPr>
            <w:tcW w:w="1660" w:type="dxa"/>
            <w:vMerge w:val="restart"/>
            <w:tcBorders>
              <w:bottom w:val="single" w:sz="4" w:space="0" w:color="FFFFFF"/>
              <w:right w:val="single" w:sz="4" w:space="0" w:color="FFFFFF"/>
            </w:tcBorders>
            <w:shd w:val="clear" w:color="auto" w:fill="005A97"/>
            <w:vAlign w:val="center"/>
            <w:hideMark/>
          </w:tcPr>
          <w:p w14:paraId="27FB8B51" w14:textId="77777777" w:rsidR="0093056A" w:rsidRDefault="00E716EC" w:rsidP="00830533">
            <w:pPr>
              <w:pStyle w:val="TableHeaderrow"/>
            </w:pPr>
            <w:r w:rsidRPr="00830533">
              <w:t>Basin</w:t>
            </w:r>
          </w:p>
          <w:p w14:paraId="7A1625EC" w14:textId="4B45B55E" w:rsidR="00E716EC" w:rsidRPr="00830533" w:rsidRDefault="0093056A" w:rsidP="00830533">
            <w:pPr>
              <w:pStyle w:val="TableHeaderrow"/>
            </w:pPr>
            <w:r>
              <w:t>(from west to east)</w:t>
            </w:r>
          </w:p>
        </w:tc>
        <w:tc>
          <w:tcPr>
            <w:tcW w:w="4020" w:type="dxa"/>
            <w:gridSpan w:val="3"/>
            <w:tcBorders>
              <w:left w:val="single" w:sz="4" w:space="0" w:color="FFFFFF"/>
              <w:bottom w:val="single" w:sz="4" w:space="0" w:color="FFFFFF"/>
              <w:right w:val="single" w:sz="4" w:space="0" w:color="FFFFFF"/>
            </w:tcBorders>
            <w:shd w:val="clear" w:color="auto" w:fill="005A97"/>
            <w:vAlign w:val="center"/>
            <w:hideMark/>
          </w:tcPr>
          <w:p w14:paraId="3EB9C38C" w14:textId="77777777" w:rsidR="00E716EC" w:rsidRPr="00830533" w:rsidRDefault="00E716EC" w:rsidP="00830533">
            <w:pPr>
              <w:pStyle w:val="TableHeaderrow"/>
              <w:jc w:val="center"/>
            </w:pPr>
            <w:r w:rsidRPr="00830533">
              <w:t>Bulk entitlements</w:t>
            </w:r>
          </w:p>
        </w:tc>
        <w:tc>
          <w:tcPr>
            <w:tcW w:w="4020" w:type="dxa"/>
            <w:gridSpan w:val="3"/>
            <w:tcBorders>
              <w:left w:val="single" w:sz="4" w:space="0" w:color="FFFFFF"/>
              <w:bottom w:val="single" w:sz="4" w:space="0" w:color="FFFFFF"/>
            </w:tcBorders>
            <w:shd w:val="clear" w:color="auto" w:fill="005A97"/>
            <w:vAlign w:val="center"/>
            <w:hideMark/>
          </w:tcPr>
          <w:p w14:paraId="778FB297" w14:textId="77777777" w:rsidR="00E716EC" w:rsidRPr="00830533" w:rsidRDefault="00E716EC" w:rsidP="00830533">
            <w:pPr>
              <w:pStyle w:val="TableHeaderrow"/>
              <w:jc w:val="center"/>
            </w:pPr>
            <w:r w:rsidRPr="00830533">
              <w:t>Licences</w:t>
            </w:r>
          </w:p>
        </w:tc>
      </w:tr>
      <w:tr w:rsidR="00E716EC" w:rsidRPr="00830533" w14:paraId="621F3272" w14:textId="77777777" w:rsidTr="00B42E91">
        <w:tc>
          <w:tcPr>
            <w:tcW w:w="1660" w:type="dxa"/>
            <w:vMerge/>
            <w:tcBorders>
              <w:top w:val="single" w:sz="4" w:space="0" w:color="FFFFFF"/>
              <w:bottom w:val="single" w:sz="4" w:space="0" w:color="005A97"/>
              <w:right w:val="single" w:sz="4" w:space="0" w:color="FFFFFF"/>
            </w:tcBorders>
            <w:shd w:val="clear" w:color="auto" w:fill="005A97"/>
            <w:vAlign w:val="center"/>
            <w:hideMark/>
          </w:tcPr>
          <w:p w14:paraId="02409183" w14:textId="77777777" w:rsidR="00E716EC" w:rsidRPr="00830533" w:rsidRDefault="00E716EC" w:rsidP="00830533">
            <w:pPr>
              <w:pStyle w:val="TableHeaderrow"/>
            </w:pPr>
          </w:p>
        </w:tc>
        <w:tc>
          <w:tcPr>
            <w:tcW w:w="1340" w:type="dxa"/>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021B007F" w14:textId="741AF9DC" w:rsidR="00E716EC" w:rsidRPr="00830533" w:rsidRDefault="00E716EC" w:rsidP="00830533">
            <w:pPr>
              <w:pStyle w:val="TableHeaderrow"/>
            </w:pPr>
            <w:r w:rsidRPr="00830533">
              <w:t xml:space="preserve">Entitlement </w:t>
            </w:r>
            <w:r w:rsidR="00237D13">
              <w:t>v</w:t>
            </w:r>
            <w:r w:rsidRPr="00830533">
              <w:t>olume (ML)</w:t>
            </w:r>
          </w:p>
        </w:tc>
        <w:tc>
          <w:tcPr>
            <w:tcW w:w="1340" w:type="dxa"/>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60EEBA90" w14:textId="49F05200" w:rsidR="00E716EC" w:rsidRPr="00830533" w:rsidRDefault="00E716EC" w:rsidP="00830533">
            <w:pPr>
              <w:pStyle w:val="TableHeaderrow"/>
              <w:jc w:val="center"/>
            </w:pPr>
            <w:r w:rsidRPr="00830533">
              <w:t xml:space="preserve">Volume </w:t>
            </w:r>
            <w:r w:rsidR="00237D13">
              <w:t>t</w:t>
            </w:r>
            <w:r w:rsidRPr="00830533">
              <w:t>aken (ML)</w:t>
            </w:r>
          </w:p>
        </w:tc>
        <w:tc>
          <w:tcPr>
            <w:tcW w:w="1340" w:type="dxa"/>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41782084" w14:textId="2386A531" w:rsidR="00E716EC" w:rsidRPr="00830533" w:rsidRDefault="00E716EC" w:rsidP="00237D13">
            <w:pPr>
              <w:pStyle w:val="TableHeaderrow"/>
              <w:jc w:val="center"/>
            </w:pPr>
            <w:r w:rsidRPr="00830533">
              <w:t>Proportion of entitlement taken (%)</w:t>
            </w:r>
          </w:p>
        </w:tc>
        <w:tc>
          <w:tcPr>
            <w:tcW w:w="1340" w:type="dxa"/>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388443F7" w14:textId="7F7BFE72" w:rsidR="00E716EC" w:rsidRPr="00830533" w:rsidRDefault="00E716EC" w:rsidP="00830533">
            <w:pPr>
              <w:pStyle w:val="TableHeaderrow"/>
              <w:jc w:val="center"/>
            </w:pPr>
            <w:r w:rsidRPr="00830533">
              <w:t xml:space="preserve">Entitlement </w:t>
            </w:r>
            <w:r w:rsidR="00237D13">
              <w:t>v</w:t>
            </w:r>
            <w:r w:rsidRPr="00830533">
              <w:t>olume (ML)</w:t>
            </w:r>
          </w:p>
        </w:tc>
        <w:tc>
          <w:tcPr>
            <w:tcW w:w="1340" w:type="dxa"/>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453036AB" w14:textId="52DD5DB7" w:rsidR="00E716EC" w:rsidRPr="00830533" w:rsidRDefault="00E716EC" w:rsidP="00830533">
            <w:pPr>
              <w:pStyle w:val="TableHeaderrow"/>
              <w:jc w:val="center"/>
            </w:pPr>
            <w:r w:rsidRPr="00830533">
              <w:t xml:space="preserve">Volume </w:t>
            </w:r>
            <w:r w:rsidR="00237D13">
              <w:t>t</w:t>
            </w:r>
            <w:r w:rsidRPr="00830533">
              <w:t>aken (ML)</w:t>
            </w:r>
          </w:p>
        </w:tc>
        <w:tc>
          <w:tcPr>
            <w:tcW w:w="1340" w:type="dxa"/>
            <w:tcBorders>
              <w:top w:val="single" w:sz="4" w:space="0" w:color="FFFFFF"/>
              <w:left w:val="single" w:sz="4" w:space="0" w:color="FFFFFF"/>
              <w:bottom w:val="single" w:sz="4" w:space="0" w:color="005A97"/>
            </w:tcBorders>
            <w:shd w:val="clear" w:color="auto" w:fill="005A97"/>
            <w:vAlign w:val="center"/>
            <w:hideMark/>
          </w:tcPr>
          <w:p w14:paraId="65AE1316" w14:textId="11610A87" w:rsidR="00E716EC" w:rsidRPr="00830533" w:rsidRDefault="00E716EC" w:rsidP="00237D13">
            <w:pPr>
              <w:pStyle w:val="TableHeaderrow"/>
              <w:jc w:val="center"/>
            </w:pPr>
            <w:r w:rsidRPr="00830533">
              <w:t>Proportion of entitlement taken (%)</w:t>
            </w:r>
          </w:p>
        </w:tc>
      </w:tr>
      <w:tr w:rsidR="00E716EC" w:rsidRPr="00B42E91" w14:paraId="5D9D2CE4" w14:textId="77777777" w:rsidTr="001D6B0F">
        <w:tc>
          <w:tcPr>
            <w:tcW w:w="1660" w:type="dxa"/>
            <w:tcBorders>
              <w:top w:val="single" w:sz="4" w:space="0" w:color="005A97"/>
              <w:bottom w:val="single" w:sz="4" w:space="0" w:color="005A97"/>
              <w:right w:val="single" w:sz="4" w:space="0" w:color="005A97"/>
            </w:tcBorders>
            <w:shd w:val="clear" w:color="auto" w:fill="auto"/>
            <w:vAlign w:val="center"/>
            <w:hideMark/>
          </w:tcPr>
          <w:p w14:paraId="61DF1821" w14:textId="77777777" w:rsidR="00E716EC" w:rsidRPr="00B42E91" w:rsidRDefault="00E716EC" w:rsidP="00B42E91">
            <w:pPr>
              <w:pStyle w:val="Tabletext"/>
            </w:pPr>
            <w:r w:rsidRPr="00B42E91">
              <w:t>Millicent Coast</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46AD863A" w14:textId="77777777" w:rsidR="00E716EC" w:rsidRPr="00B42E91" w:rsidRDefault="00E716EC" w:rsidP="00B42E91">
            <w:pPr>
              <w:pStyle w:val="Tabletext"/>
              <w:jc w:val="right"/>
            </w:pPr>
            <w:r w:rsidRPr="00B42E91">
              <w:t>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0A03298D" w14:textId="77777777" w:rsidR="00E716EC" w:rsidRPr="00B42E91" w:rsidRDefault="00E716EC" w:rsidP="00B42E91">
            <w:pPr>
              <w:pStyle w:val="Tabletext"/>
              <w:jc w:val="right"/>
            </w:pPr>
            <w:r w:rsidRPr="00B42E91">
              <w:t>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65DCED4" w14:textId="4ABDF46C" w:rsidR="00E716EC" w:rsidRPr="00B42E91" w:rsidRDefault="00237D13" w:rsidP="00B42E91">
            <w:pPr>
              <w:pStyle w:val="Tabletext"/>
              <w:jc w:val="right"/>
            </w:pPr>
            <w:r w:rsidRPr="00B42E91">
              <w:t>n/a</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47D4753B" w14:textId="77777777" w:rsidR="00E716EC" w:rsidRPr="00B42E91" w:rsidRDefault="00E716EC" w:rsidP="00B42E91">
            <w:pPr>
              <w:pStyle w:val="Tabletext"/>
              <w:jc w:val="right"/>
            </w:pPr>
            <w:r w:rsidRPr="00B42E91">
              <w:t>4</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CA22696" w14:textId="77777777" w:rsidR="00E716EC" w:rsidRPr="00B42E91" w:rsidRDefault="00E716EC" w:rsidP="00B42E91">
            <w:pPr>
              <w:pStyle w:val="Tabletext"/>
              <w:jc w:val="right"/>
            </w:pPr>
            <w:r w:rsidRPr="00B42E91">
              <w:t>4</w:t>
            </w:r>
          </w:p>
        </w:tc>
        <w:tc>
          <w:tcPr>
            <w:tcW w:w="1340" w:type="dxa"/>
            <w:tcBorders>
              <w:top w:val="single" w:sz="4" w:space="0" w:color="005A97"/>
              <w:left w:val="single" w:sz="4" w:space="0" w:color="005A97"/>
              <w:bottom w:val="single" w:sz="4" w:space="0" w:color="005A97"/>
            </w:tcBorders>
            <w:shd w:val="clear" w:color="auto" w:fill="auto"/>
            <w:tcMar>
              <w:right w:w="340" w:type="dxa"/>
            </w:tcMar>
            <w:vAlign w:val="center"/>
            <w:hideMark/>
          </w:tcPr>
          <w:p w14:paraId="33AF0D47" w14:textId="77777777" w:rsidR="00E716EC" w:rsidRPr="00B42E91" w:rsidRDefault="00E716EC" w:rsidP="00B42E91">
            <w:pPr>
              <w:pStyle w:val="Tabletext"/>
              <w:jc w:val="right"/>
            </w:pPr>
            <w:r w:rsidRPr="00B42E91">
              <w:t>100</w:t>
            </w:r>
          </w:p>
        </w:tc>
      </w:tr>
      <w:tr w:rsidR="00E716EC" w:rsidRPr="00B42E91" w14:paraId="002701E8" w14:textId="77777777" w:rsidTr="001D6B0F">
        <w:tc>
          <w:tcPr>
            <w:tcW w:w="1660" w:type="dxa"/>
            <w:tcBorders>
              <w:top w:val="single" w:sz="4" w:space="0" w:color="005A97"/>
              <w:bottom w:val="single" w:sz="4" w:space="0" w:color="005A97"/>
              <w:right w:val="single" w:sz="4" w:space="0" w:color="005A97"/>
            </w:tcBorders>
            <w:shd w:val="clear" w:color="auto" w:fill="auto"/>
            <w:vAlign w:val="center"/>
            <w:hideMark/>
          </w:tcPr>
          <w:p w14:paraId="71D00755" w14:textId="77777777" w:rsidR="00E716EC" w:rsidRPr="00B42E91" w:rsidRDefault="00E716EC" w:rsidP="00B42E91">
            <w:pPr>
              <w:pStyle w:val="Tabletext"/>
            </w:pPr>
            <w:r w:rsidRPr="00B42E91">
              <w:t>Glenelg</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54B64648" w14:textId="52DD96BD" w:rsidR="00E716EC" w:rsidRPr="00B42E91" w:rsidRDefault="00E716EC" w:rsidP="00B42E91">
            <w:pPr>
              <w:pStyle w:val="Tabletext"/>
              <w:jc w:val="right"/>
            </w:pPr>
            <w:r w:rsidRPr="00B42E91">
              <w:t>4554</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6FB3227A" w14:textId="19ECA542" w:rsidR="00E716EC" w:rsidRPr="00B42E91" w:rsidRDefault="00E716EC" w:rsidP="00B42E91">
            <w:pPr>
              <w:pStyle w:val="Tabletext"/>
              <w:jc w:val="right"/>
            </w:pPr>
            <w:r w:rsidRPr="00B42E91">
              <w:t>1361</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463E98DB" w14:textId="77777777" w:rsidR="00E716EC" w:rsidRPr="00B42E91" w:rsidRDefault="00E716EC" w:rsidP="00B42E91">
            <w:pPr>
              <w:pStyle w:val="Tabletext"/>
              <w:jc w:val="right"/>
            </w:pPr>
            <w:r w:rsidRPr="00B42E91">
              <w:t>30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6A7AF12F" w14:textId="268C8B3A" w:rsidR="00E716EC" w:rsidRPr="00B42E91" w:rsidRDefault="00E716EC" w:rsidP="00B42E91">
            <w:pPr>
              <w:pStyle w:val="Tabletext"/>
              <w:jc w:val="right"/>
            </w:pPr>
            <w:r w:rsidRPr="00B42E91">
              <w:t>1068</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098379EF" w14:textId="77777777" w:rsidR="00E716EC" w:rsidRPr="00B42E91" w:rsidRDefault="00E716EC" w:rsidP="00B42E91">
            <w:pPr>
              <w:pStyle w:val="Tabletext"/>
              <w:jc w:val="right"/>
            </w:pPr>
            <w:r w:rsidRPr="00B42E91">
              <w:t>348</w:t>
            </w:r>
          </w:p>
        </w:tc>
        <w:tc>
          <w:tcPr>
            <w:tcW w:w="1340" w:type="dxa"/>
            <w:tcBorders>
              <w:top w:val="single" w:sz="4" w:space="0" w:color="005A97"/>
              <w:left w:val="single" w:sz="4" w:space="0" w:color="005A97"/>
              <w:bottom w:val="single" w:sz="4" w:space="0" w:color="005A97"/>
            </w:tcBorders>
            <w:shd w:val="clear" w:color="auto" w:fill="auto"/>
            <w:tcMar>
              <w:right w:w="340" w:type="dxa"/>
            </w:tcMar>
            <w:vAlign w:val="center"/>
            <w:hideMark/>
          </w:tcPr>
          <w:p w14:paraId="13E981D8" w14:textId="77777777" w:rsidR="00E716EC" w:rsidRPr="00B42E91" w:rsidRDefault="00E716EC" w:rsidP="00B42E91">
            <w:pPr>
              <w:pStyle w:val="Tabletext"/>
              <w:jc w:val="right"/>
            </w:pPr>
            <w:r w:rsidRPr="00B42E91">
              <w:t>33</w:t>
            </w:r>
          </w:p>
        </w:tc>
      </w:tr>
      <w:tr w:rsidR="00E716EC" w:rsidRPr="00B42E91" w14:paraId="227FBFB2" w14:textId="77777777" w:rsidTr="001D6B0F">
        <w:tc>
          <w:tcPr>
            <w:tcW w:w="1660" w:type="dxa"/>
            <w:tcBorders>
              <w:top w:val="single" w:sz="4" w:space="0" w:color="005A97"/>
              <w:bottom w:val="single" w:sz="4" w:space="0" w:color="005A97"/>
              <w:right w:val="single" w:sz="4" w:space="0" w:color="005A97"/>
            </w:tcBorders>
            <w:shd w:val="clear" w:color="auto" w:fill="auto"/>
            <w:vAlign w:val="center"/>
            <w:hideMark/>
          </w:tcPr>
          <w:p w14:paraId="7380CADD" w14:textId="77777777" w:rsidR="00E716EC" w:rsidRPr="00B42E91" w:rsidRDefault="00E716EC" w:rsidP="00B42E91">
            <w:pPr>
              <w:pStyle w:val="Tabletext"/>
            </w:pPr>
            <w:r w:rsidRPr="00B42E91">
              <w:t>Portland Coast</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2EF37939" w14:textId="77777777" w:rsidR="00E716EC" w:rsidRPr="00B42E91" w:rsidRDefault="00E716EC" w:rsidP="00B42E91">
            <w:pPr>
              <w:pStyle w:val="Tabletext"/>
              <w:jc w:val="right"/>
            </w:pPr>
            <w:r w:rsidRPr="00B42E91">
              <w:t>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4D7E4803" w14:textId="77777777" w:rsidR="00E716EC" w:rsidRPr="00B42E91" w:rsidRDefault="00E716EC" w:rsidP="00B42E91">
            <w:pPr>
              <w:pStyle w:val="Tabletext"/>
              <w:jc w:val="right"/>
            </w:pPr>
            <w:r w:rsidRPr="00B42E91">
              <w:t>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009D7FCC" w14:textId="3C9C3F2D" w:rsidR="00E716EC" w:rsidRPr="00B42E91" w:rsidRDefault="00237D13" w:rsidP="00B42E91">
            <w:pPr>
              <w:pStyle w:val="Tabletext"/>
              <w:jc w:val="right"/>
            </w:pPr>
            <w:r w:rsidRPr="00B42E91">
              <w:t>n/a</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53C6D62" w14:textId="78C5F706" w:rsidR="00E716EC" w:rsidRPr="00B42E91" w:rsidRDefault="00E716EC" w:rsidP="00B42E91">
            <w:pPr>
              <w:pStyle w:val="Tabletext"/>
              <w:jc w:val="right"/>
            </w:pPr>
            <w:r w:rsidRPr="00B42E91">
              <w:t>1081</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6A3D0BE3" w14:textId="77777777" w:rsidR="00E716EC" w:rsidRPr="00B42E91" w:rsidRDefault="00E716EC" w:rsidP="00B42E91">
            <w:pPr>
              <w:pStyle w:val="Tabletext"/>
              <w:jc w:val="right"/>
            </w:pPr>
            <w:r w:rsidRPr="00B42E91">
              <w:t>73</w:t>
            </w:r>
          </w:p>
        </w:tc>
        <w:tc>
          <w:tcPr>
            <w:tcW w:w="1340" w:type="dxa"/>
            <w:tcBorders>
              <w:top w:val="single" w:sz="4" w:space="0" w:color="005A97"/>
              <w:left w:val="single" w:sz="4" w:space="0" w:color="005A97"/>
              <w:bottom w:val="single" w:sz="4" w:space="0" w:color="005A97"/>
            </w:tcBorders>
            <w:shd w:val="clear" w:color="auto" w:fill="auto"/>
            <w:tcMar>
              <w:right w:w="340" w:type="dxa"/>
            </w:tcMar>
            <w:vAlign w:val="center"/>
            <w:hideMark/>
          </w:tcPr>
          <w:p w14:paraId="42FDED27" w14:textId="77777777" w:rsidR="00E716EC" w:rsidRPr="00B42E91" w:rsidRDefault="00E716EC" w:rsidP="00B42E91">
            <w:pPr>
              <w:pStyle w:val="Tabletext"/>
              <w:jc w:val="right"/>
            </w:pPr>
            <w:r w:rsidRPr="00B42E91">
              <w:t>7</w:t>
            </w:r>
          </w:p>
        </w:tc>
      </w:tr>
      <w:tr w:rsidR="00E716EC" w:rsidRPr="00B42E91" w14:paraId="669F54F3" w14:textId="77777777" w:rsidTr="001D6B0F">
        <w:tc>
          <w:tcPr>
            <w:tcW w:w="1660" w:type="dxa"/>
            <w:tcBorders>
              <w:top w:val="single" w:sz="4" w:space="0" w:color="005A97"/>
              <w:bottom w:val="single" w:sz="4" w:space="0" w:color="005A97"/>
              <w:right w:val="single" w:sz="4" w:space="0" w:color="005A97"/>
            </w:tcBorders>
            <w:shd w:val="clear" w:color="auto" w:fill="auto"/>
            <w:vAlign w:val="center"/>
            <w:hideMark/>
          </w:tcPr>
          <w:p w14:paraId="19E9D0EE" w14:textId="77777777" w:rsidR="00E716EC" w:rsidRPr="00B42E91" w:rsidRDefault="00E716EC" w:rsidP="00B42E91">
            <w:pPr>
              <w:pStyle w:val="Tabletext"/>
            </w:pPr>
            <w:r w:rsidRPr="00B42E91">
              <w:t>Hopkins</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A00F5F4" w14:textId="77777777" w:rsidR="00E716EC" w:rsidRPr="00B42E91" w:rsidRDefault="00E716EC" w:rsidP="00B42E91">
            <w:pPr>
              <w:pStyle w:val="Tabletext"/>
              <w:jc w:val="right"/>
            </w:pPr>
            <w:r w:rsidRPr="00B42E91">
              <w:t>629</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51E87405" w14:textId="77777777" w:rsidR="00E716EC" w:rsidRPr="00B42E91" w:rsidRDefault="00E716EC" w:rsidP="00B42E91">
            <w:pPr>
              <w:pStyle w:val="Tabletext"/>
              <w:jc w:val="right"/>
            </w:pPr>
            <w:r w:rsidRPr="00B42E91">
              <w:t>179</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5DB7D09C" w14:textId="77777777" w:rsidR="00E716EC" w:rsidRPr="00B42E91" w:rsidRDefault="00E716EC" w:rsidP="00B42E91">
            <w:pPr>
              <w:pStyle w:val="Tabletext"/>
              <w:jc w:val="right"/>
            </w:pPr>
            <w:r w:rsidRPr="00B42E91">
              <w:t>28</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6FCAE6FB" w14:textId="5DA2A1E8" w:rsidR="00E716EC" w:rsidRPr="00B42E91" w:rsidRDefault="00E716EC" w:rsidP="00B42E91">
            <w:pPr>
              <w:pStyle w:val="Tabletext"/>
              <w:jc w:val="right"/>
            </w:pPr>
            <w:r w:rsidRPr="00B42E91">
              <w:t>11423</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560C241E" w14:textId="432A1D5E" w:rsidR="00E716EC" w:rsidRPr="00B42E91" w:rsidRDefault="00E716EC" w:rsidP="00B42E91">
            <w:pPr>
              <w:pStyle w:val="Tabletext"/>
              <w:jc w:val="right"/>
            </w:pPr>
            <w:r w:rsidRPr="00B42E91">
              <w:t>3484</w:t>
            </w:r>
          </w:p>
        </w:tc>
        <w:tc>
          <w:tcPr>
            <w:tcW w:w="1340" w:type="dxa"/>
            <w:tcBorders>
              <w:top w:val="single" w:sz="4" w:space="0" w:color="005A97"/>
              <w:left w:val="single" w:sz="4" w:space="0" w:color="005A97"/>
              <w:bottom w:val="single" w:sz="4" w:space="0" w:color="005A97"/>
            </w:tcBorders>
            <w:shd w:val="clear" w:color="auto" w:fill="auto"/>
            <w:tcMar>
              <w:right w:w="340" w:type="dxa"/>
            </w:tcMar>
            <w:vAlign w:val="center"/>
            <w:hideMark/>
          </w:tcPr>
          <w:p w14:paraId="2AD27355" w14:textId="77777777" w:rsidR="00E716EC" w:rsidRPr="00B42E91" w:rsidRDefault="00E716EC" w:rsidP="00B42E91">
            <w:pPr>
              <w:pStyle w:val="Tabletext"/>
              <w:jc w:val="right"/>
            </w:pPr>
            <w:r w:rsidRPr="00B42E91">
              <w:t>30</w:t>
            </w:r>
          </w:p>
        </w:tc>
      </w:tr>
      <w:tr w:rsidR="00E716EC" w:rsidRPr="00B42E91" w14:paraId="29DAEECC" w14:textId="77777777" w:rsidTr="001D6B0F">
        <w:tc>
          <w:tcPr>
            <w:tcW w:w="1660" w:type="dxa"/>
            <w:tcBorders>
              <w:top w:val="single" w:sz="4" w:space="0" w:color="005A97"/>
              <w:bottom w:val="single" w:sz="4" w:space="0" w:color="005A97"/>
              <w:right w:val="single" w:sz="4" w:space="0" w:color="005A97"/>
            </w:tcBorders>
            <w:shd w:val="clear" w:color="auto" w:fill="auto"/>
            <w:vAlign w:val="center"/>
            <w:hideMark/>
          </w:tcPr>
          <w:p w14:paraId="098ADCA6" w14:textId="77777777" w:rsidR="00E716EC" w:rsidRPr="00B42E91" w:rsidRDefault="00E716EC" w:rsidP="00B42E91">
            <w:pPr>
              <w:pStyle w:val="Tabletext"/>
            </w:pPr>
            <w:r w:rsidRPr="00B42E91">
              <w:t>Corangamite</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2F3F9523" w14:textId="77777777" w:rsidR="00E716EC" w:rsidRPr="00B42E91" w:rsidRDefault="00E716EC" w:rsidP="00B42E91">
            <w:pPr>
              <w:pStyle w:val="Tabletext"/>
              <w:jc w:val="right"/>
            </w:pPr>
            <w:r w:rsidRPr="00B42E91">
              <w:t>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5492879" w14:textId="77777777" w:rsidR="00E716EC" w:rsidRPr="00B42E91" w:rsidRDefault="00E716EC" w:rsidP="00B42E91">
            <w:pPr>
              <w:pStyle w:val="Tabletext"/>
              <w:jc w:val="right"/>
            </w:pPr>
            <w:r w:rsidRPr="00B42E91">
              <w:t>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52A26BBE" w14:textId="77777777" w:rsidR="00E716EC" w:rsidRPr="00B42E91" w:rsidRDefault="00E716EC" w:rsidP="00B42E91">
            <w:pPr>
              <w:pStyle w:val="Tabletext"/>
              <w:jc w:val="right"/>
            </w:pPr>
            <w:r w:rsidRPr="00B42E91">
              <w:t>N/A</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C0C444C" w14:textId="41B5820E" w:rsidR="00E716EC" w:rsidRPr="00B42E91" w:rsidRDefault="00E716EC" w:rsidP="00B42E91">
            <w:pPr>
              <w:pStyle w:val="Tabletext"/>
              <w:jc w:val="right"/>
            </w:pPr>
            <w:r w:rsidRPr="00B42E91">
              <w:t>1237</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DA4DD25" w14:textId="77777777" w:rsidR="00E716EC" w:rsidRPr="00B42E91" w:rsidRDefault="00E716EC" w:rsidP="00B42E91">
            <w:pPr>
              <w:pStyle w:val="Tabletext"/>
              <w:jc w:val="right"/>
            </w:pPr>
            <w:r w:rsidRPr="00B42E91">
              <w:t>142</w:t>
            </w:r>
          </w:p>
        </w:tc>
        <w:tc>
          <w:tcPr>
            <w:tcW w:w="1340" w:type="dxa"/>
            <w:tcBorders>
              <w:top w:val="single" w:sz="4" w:space="0" w:color="005A97"/>
              <w:left w:val="single" w:sz="4" w:space="0" w:color="005A97"/>
              <w:bottom w:val="single" w:sz="4" w:space="0" w:color="005A97"/>
            </w:tcBorders>
            <w:shd w:val="clear" w:color="auto" w:fill="auto"/>
            <w:tcMar>
              <w:right w:w="340" w:type="dxa"/>
            </w:tcMar>
            <w:vAlign w:val="center"/>
            <w:hideMark/>
          </w:tcPr>
          <w:p w14:paraId="78C49D7E" w14:textId="77777777" w:rsidR="00E716EC" w:rsidRPr="00B42E91" w:rsidRDefault="00E716EC" w:rsidP="00B42E91">
            <w:pPr>
              <w:pStyle w:val="Tabletext"/>
              <w:jc w:val="right"/>
            </w:pPr>
            <w:r w:rsidRPr="00B42E91">
              <w:t>11</w:t>
            </w:r>
          </w:p>
        </w:tc>
      </w:tr>
      <w:tr w:rsidR="00E716EC" w:rsidRPr="00B42E91" w14:paraId="652774B4" w14:textId="77777777" w:rsidTr="001D6B0F">
        <w:tc>
          <w:tcPr>
            <w:tcW w:w="1660" w:type="dxa"/>
            <w:tcBorders>
              <w:top w:val="single" w:sz="4" w:space="0" w:color="005A97"/>
              <w:bottom w:val="single" w:sz="4" w:space="0" w:color="005A97"/>
              <w:right w:val="single" w:sz="4" w:space="0" w:color="005A97"/>
            </w:tcBorders>
            <w:shd w:val="clear" w:color="auto" w:fill="auto"/>
            <w:vAlign w:val="center"/>
            <w:hideMark/>
          </w:tcPr>
          <w:p w14:paraId="4F07E40C" w14:textId="77777777" w:rsidR="00E716EC" w:rsidRPr="00B42E91" w:rsidRDefault="00E716EC" w:rsidP="00B42E91">
            <w:pPr>
              <w:pStyle w:val="Tabletext"/>
            </w:pPr>
            <w:r w:rsidRPr="00B42E91">
              <w:t>Otway Coast</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7CC47553" w14:textId="6B4B23EE" w:rsidR="00E716EC" w:rsidRPr="00B42E91" w:rsidRDefault="00E716EC" w:rsidP="00B42E91">
            <w:pPr>
              <w:pStyle w:val="Tabletext"/>
              <w:jc w:val="right"/>
            </w:pPr>
            <w:r w:rsidRPr="00B42E91">
              <w:t>19667</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17D5F09C" w14:textId="3CAE614A" w:rsidR="00E716EC" w:rsidRPr="00B42E91" w:rsidRDefault="00E716EC" w:rsidP="00B42E91">
            <w:pPr>
              <w:pStyle w:val="Tabletext"/>
              <w:jc w:val="right"/>
            </w:pPr>
            <w:r w:rsidRPr="00B42E91">
              <w:t>13395</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057C431A" w14:textId="77777777" w:rsidR="00E716EC" w:rsidRPr="00B42E91" w:rsidRDefault="00E716EC" w:rsidP="00B42E91">
            <w:pPr>
              <w:pStyle w:val="Tabletext"/>
              <w:jc w:val="right"/>
            </w:pPr>
            <w:r w:rsidRPr="00B42E91">
              <w:t>68</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0B26F94A" w14:textId="08D72914" w:rsidR="00E716EC" w:rsidRPr="00B42E91" w:rsidRDefault="00E716EC" w:rsidP="00B42E91">
            <w:pPr>
              <w:pStyle w:val="Tabletext"/>
              <w:jc w:val="right"/>
            </w:pPr>
            <w:r w:rsidRPr="00B42E91">
              <w:t>6740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7136523D" w14:textId="77777777" w:rsidR="00E716EC" w:rsidRPr="00B42E91" w:rsidRDefault="00E716EC" w:rsidP="00B42E91">
            <w:pPr>
              <w:pStyle w:val="Tabletext"/>
              <w:jc w:val="right"/>
            </w:pPr>
            <w:r w:rsidRPr="00B42E91">
              <w:t>845</w:t>
            </w:r>
          </w:p>
        </w:tc>
        <w:tc>
          <w:tcPr>
            <w:tcW w:w="1340" w:type="dxa"/>
            <w:tcBorders>
              <w:top w:val="single" w:sz="4" w:space="0" w:color="005A97"/>
              <w:left w:val="single" w:sz="4" w:space="0" w:color="005A97"/>
              <w:bottom w:val="single" w:sz="4" w:space="0" w:color="005A97"/>
            </w:tcBorders>
            <w:shd w:val="clear" w:color="auto" w:fill="auto"/>
            <w:tcMar>
              <w:right w:w="340" w:type="dxa"/>
            </w:tcMar>
            <w:vAlign w:val="center"/>
            <w:hideMark/>
          </w:tcPr>
          <w:p w14:paraId="4BFDDD81" w14:textId="77777777" w:rsidR="00E716EC" w:rsidRPr="00B42E91" w:rsidRDefault="00E716EC" w:rsidP="00B42E91">
            <w:pPr>
              <w:pStyle w:val="Tabletext"/>
              <w:jc w:val="right"/>
            </w:pPr>
            <w:r w:rsidRPr="00B42E91">
              <w:t>13</w:t>
            </w:r>
          </w:p>
        </w:tc>
      </w:tr>
      <w:tr w:rsidR="00E716EC" w:rsidRPr="00B42E91" w14:paraId="73ED04B7" w14:textId="77777777" w:rsidTr="001D6B0F">
        <w:tc>
          <w:tcPr>
            <w:tcW w:w="1660" w:type="dxa"/>
            <w:tcBorders>
              <w:top w:val="single" w:sz="4" w:space="0" w:color="005A97"/>
              <w:bottom w:val="single" w:sz="4" w:space="0" w:color="005A97"/>
              <w:right w:val="single" w:sz="4" w:space="0" w:color="005A97"/>
            </w:tcBorders>
            <w:shd w:val="clear" w:color="auto" w:fill="auto"/>
            <w:vAlign w:val="center"/>
            <w:hideMark/>
          </w:tcPr>
          <w:p w14:paraId="35B50B3D" w14:textId="77777777" w:rsidR="00E716EC" w:rsidRPr="00B42E91" w:rsidRDefault="00E716EC" w:rsidP="00B42E91">
            <w:pPr>
              <w:pStyle w:val="Tabletext"/>
            </w:pPr>
            <w:r w:rsidRPr="00B42E91">
              <w:t>Barwon</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7D7CE192" w14:textId="414FABE6" w:rsidR="00E716EC" w:rsidRPr="00B42E91" w:rsidRDefault="00E716EC" w:rsidP="00B42E91">
            <w:pPr>
              <w:pStyle w:val="Tabletext"/>
              <w:jc w:val="right"/>
            </w:pPr>
            <w:r w:rsidRPr="00B42E91">
              <w:t>55734</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AE6AA01" w14:textId="288262E9" w:rsidR="00E716EC" w:rsidRPr="00B42E91" w:rsidRDefault="00E716EC" w:rsidP="00B42E91">
            <w:pPr>
              <w:pStyle w:val="Tabletext"/>
              <w:jc w:val="right"/>
            </w:pPr>
            <w:r w:rsidRPr="00B42E91">
              <w:t>33260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E14CDE4" w14:textId="77777777" w:rsidR="00E716EC" w:rsidRPr="00B42E91" w:rsidRDefault="00E716EC" w:rsidP="00B42E91">
            <w:pPr>
              <w:pStyle w:val="Tabletext"/>
              <w:jc w:val="right"/>
            </w:pPr>
            <w:r w:rsidRPr="00B42E91">
              <w:t>60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F2B8263" w14:textId="2D193BA5" w:rsidR="00E716EC" w:rsidRPr="00B42E91" w:rsidRDefault="00E716EC" w:rsidP="00B42E91">
            <w:pPr>
              <w:pStyle w:val="Tabletext"/>
              <w:jc w:val="right"/>
            </w:pPr>
            <w:r w:rsidRPr="00B42E91">
              <w:t>5639</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0335F2A6" w14:textId="3C11E8DB" w:rsidR="00E716EC" w:rsidRPr="00B42E91" w:rsidRDefault="00E716EC" w:rsidP="00B42E91">
            <w:pPr>
              <w:pStyle w:val="Tabletext"/>
              <w:jc w:val="right"/>
            </w:pPr>
            <w:r w:rsidRPr="00B42E91">
              <w:t>1370</w:t>
            </w:r>
          </w:p>
        </w:tc>
        <w:tc>
          <w:tcPr>
            <w:tcW w:w="1340" w:type="dxa"/>
            <w:tcBorders>
              <w:top w:val="single" w:sz="4" w:space="0" w:color="005A97"/>
              <w:left w:val="single" w:sz="4" w:space="0" w:color="005A97"/>
              <w:bottom w:val="single" w:sz="4" w:space="0" w:color="005A97"/>
            </w:tcBorders>
            <w:shd w:val="clear" w:color="auto" w:fill="auto"/>
            <w:tcMar>
              <w:right w:w="340" w:type="dxa"/>
            </w:tcMar>
            <w:vAlign w:val="center"/>
            <w:hideMark/>
          </w:tcPr>
          <w:p w14:paraId="47AA863F" w14:textId="77777777" w:rsidR="00E716EC" w:rsidRPr="00B42E91" w:rsidRDefault="00E716EC" w:rsidP="00B42E91">
            <w:pPr>
              <w:pStyle w:val="Tabletext"/>
              <w:jc w:val="right"/>
            </w:pPr>
            <w:r w:rsidRPr="00B42E91">
              <w:t>24</w:t>
            </w:r>
          </w:p>
        </w:tc>
      </w:tr>
      <w:tr w:rsidR="00E716EC" w:rsidRPr="00B42E91" w14:paraId="7F8AE099" w14:textId="77777777" w:rsidTr="001D6B0F">
        <w:tc>
          <w:tcPr>
            <w:tcW w:w="1660" w:type="dxa"/>
            <w:tcBorders>
              <w:top w:val="single" w:sz="4" w:space="0" w:color="005A97"/>
              <w:bottom w:val="single" w:sz="4" w:space="0" w:color="005A97"/>
              <w:right w:val="single" w:sz="4" w:space="0" w:color="005A97"/>
            </w:tcBorders>
            <w:shd w:val="clear" w:color="auto" w:fill="auto"/>
            <w:vAlign w:val="center"/>
            <w:hideMark/>
          </w:tcPr>
          <w:p w14:paraId="66DACB8D" w14:textId="77777777" w:rsidR="00E716EC" w:rsidRPr="00B42E91" w:rsidRDefault="00E716EC" w:rsidP="00B42E91">
            <w:pPr>
              <w:pStyle w:val="Tabletext"/>
            </w:pPr>
            <w:r w:rsidRPr="00B42E91">
              <w:t>Moorabool</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72BFCFCA" w14:textId="161EF114" w:rsidR="00E716EC" w:rsidRPr="00B42E91" w:rsidRDefault="00E716EC" w:rsidP="00B42E91">
            <w:pPr>
              <w:pStyle w:val="Tabletext"/>
              <w:jc w:val="right"/>
            </w:pPr>
            <w:r w:rsidRPr="00B42E91">
              <w:t>40600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439363FB" w14:textId="3C1345BC" w:rsidR="00E716EC" w:rsidRPr="00B42E91" w:rsidRDefault="00E716EC" w:rsidP="00B42E91">
            <w:pPr>
              <w:pStyle w:val="Tabletext"/>
              <w:jc w:val="right"/>
            </w:pPr>
            <w:r w:rsidRPr="00B42E91">
              <w:t>13849</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086F67BB" w14:textId="77777777" w:rsidR="00E716EC" w:rsidRPr="00B42E91" w:rsidRDefault="00E716EC" w:rsidP="00B42E91">
            <w:pPr>
              <w:pStyle w:val="Tabletext"/>
              <w:jc w:val="right"/>
            </w:pPr>
            <w:r w:rsidRPr="00B42E91">
              <w:t>34</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4EB38B7" w14:textId="4A672359" w:rsidR="00E716EC" w:rsidRPr="00B42E91" w:rsidRDefault="00E716EC" w:rsidP="00B42E91">
            <w:pPr>
              <w:pStyle w:val="Tabletext"/>
              <w:jc w:val="right"/>
            </w:pPr>
            <w:r w:rsidRPr="00B42E91">
              <w:t>3600</w:t>
            </w:r>
          </w:p>
        </w:tc>
        <w:tc>
          <w:tcPr>
            <w:tcW w:w="1340" w:type="dxa"/>
            <w:tcBorders>
              <w:top w:val="single" w:sz="4" w:space="0" w:color="005A97"/>
              <w:left w:val="single" w:sz="4" w:space="0" w:color="005A97"/>
              <w:bottom w:val="single" w:sz="4" w:space="0" w:color="005A97"/>
              <w:right w:val="single" w:sz="4" w:space="0" w:color="005A97"/>
            </w:tcBorders>
            <w:shd w:val="clear" w:color="auto" w:fill="auto"/>
            <w:tcMar>
              <w:right w:w="340" w:type="dxa"/>
            </w:tcMar>
            <w:vAlign w:val="center"/>
            <w:hideMark/>
          </w:tcPr>
          <w:p w14:paraId="3EEB9EC5" w14:textId="71C3F64E" w:rsidR="00E716EC" w:rsidRPr="00B42E91" w:rsidRDefault="00E716EC" w:rsidP="00B42E91">
            <w:pPr>
              <w:pStyle w:val="Tabletext"/>
              <w:jc w:val="right"/>
            </w:pPr>
            <w:r w:rsidRPr="00B42E91">
              <w:t>1276</w:t>
            </w:r>
          </w:p>
        </w:tc>
        <w:tc>
          <w:tcPr>
            <w:tcW w:w="1340" w:type="dxa"/>
            <w:tcBorders>
              <w:top w:val="single" w:sz="4" w:space="0" w:color="005A97"/>
              <w:left w:val="single" w:sz="4" w:space="0" w:color="005A97"/>
              <w:bottom w:val="single" w:sz="4" w:space="0" w:color="005A97"/>
            </w:tcBorders>
            <w:shd w:val="clear" w:color="auto" w:fill="auto"/>
            <w:tcMar>
              <w:right w:w="340" w:type="dxa"/>
            </w:tcMar>
            <w:vAlign w:val="center"/>
            <w:hideMark/>
          </w:tcPr>
          <w:p w14:paraId="7036C0AF" w14:textId="77777777" w:rsidR="00E716EC" w:rsidRPr="00B42E91" w:rsidRDefault="00E716EC" w:rsidP="00B42E91">
            <w:pPr>
              <w:pStyle w:val="Tabletext"/>
              <w:jc w:val="right"/>
            </w:pPr>
            <w:r w:rsidRPr="00B42E91">
              <w:t>35</w:t>
            </w:r>
          </w:p>
        </w:tc>
      </w:tr>
    </w:tbl>
    <w:p w14:paraId="0DD7447F" w14:textId="51308813" w:rsidR="00003088" w:rsidRPr="00642A5D" w:rsidRDefault="00237D13" w:rsidP="00C150BC">
      <w:pPr>
        <w:pStyle w:val="FootnoteText"/>
        <w:rPr>
          <w:lang w:val="en-AU" w:eastAsia="en-US"/>
        </w:rPr>
      </w:pPr>
      <w:r>
        <w:rPr>
          <w:lang w:val="en-AU" w:eastAsia="en-US"/>
        </w:rPr>
        <w:t>n/a = not applicable</w:t>
      </w:r>
    </w:p>
    <w:p w14:paraId="166B79CE" w14:textId="2AC05FCB" w:rsidR="00134F6D" w:rsidRPr="00642A5D" w:rsidRDefault="00540B70" w:rsidP="00C150BC">
      <w:pPr>
        <w:pStyle w:val="Head3xxx"/>
        <w:rPr>
          <w:lang w:val="en-AU" w:eastAsia="en-US"/>
        </w:rPr>
      </w:pPr>
      <w:bookmarkStart w:id="271" w:name="_Toc420568677"/>
      <w:bookmarkStart w:id="272" w:name="_Toc420570259"/>
      <w:bookmarkStart w:id="273" w:name="_Toc420571455"/>
      <w:bookmarkStart w:id="274" w:name="_Toc420572093"/>
      <w:bookmarkStart w:id="275" w:name="_Toc296766949"/>
      <w:r>
        <w:rPr>
          <w:lang w:val="en-AU" w:eastAsia="en-US"/>
        </w:rPr>
        <w:t>2.4.2</w:t>
      </w:r>
      <w:r>
        <w:rPr>
          <w:lang w:val="en-AU" w:eastAsia="en-US"/>
        </w:rPr>
        <w:tab/>
      </w:r>
      <w:r w:rsidR="00134F6D" w:rsidRPr="00642A5D">
        <w:rPr>
          <w:lang w:val="en-AU" w:eastAsia="en-US"/>
        </w:rPr>
        <w:t>Groundwater users</w:t>
      </w:r>
      <w:bookmarkEnd w:id="271"/>
      <w:bookmarkEnd w:id="272"/>
      <w:bookmarkEnd w:id="273"/>
      <w:bookmarkEnd w:id="274"/>
      <w:bookmarkEnd w:id="275"/>
    </w:p>
    <w:p w14:paraId="342C9A1F" w14:textId="117D5E49" w:rsidR="00134F6D" w:rsidRPr="008B7710" w:rsidRDefault="00830533">
      <w:pPr>
        <w:rPr>
          <w:lang w:val="en-AU" w:eastAsia="en-US"/>
        </w:rPr>
      </w:pPr>
      <w:r>
        <w:rPr>
          <w:lang w:val="en-AU" w:eastAsia="en-US"/>
        </w:rPr>
        <w:t>Like</w:t>
      </w:r>
      <w:r w:rsidR="00134F6D" w:rsidRPr="00642A5D">
        <w:rPr>
          <w:lang w:val="en-AU" w:eastAsia="en-US"/>
        </w:rPr>
        <w:t xml:space="preserve"> surface water use, groundwater use can be broadly classified into four main categories</w:t>
      </w:r>
      <w:r w:rsidR="000521EF">
        <w:rPr>
          <w:lang w:val="en-AU" w:eastAsia="en-US"/>
        </w:rPr>
        <w:t>:</w:t>
      </w:r>
      <w:r w:rsidR="00134F6D" w:rsidRPr="00642A5D">
        <w:rPr>
          <w:lang w:val="en-AU" w:eastAsia="en-US"/>
        </w:rPr>
        <w:t xml:space="preserve"> irrigation and salinity control, </w:t>
      </w:r>
      <w:r w:rsidR="00582F87">
        <w:rPr>
          <w:lang w:val="en-AU" w:eastAsia="en-US"/>
        </w:rPr>
        <w:t>domestic and stock</w:t>
      </w:r>
      <w:r w:rsidR="00134F6D" w:rsidRPr="00642A5D">
        <w:rPr>
          <w:lang w:val="en-AU" w:eastAsia="en-US"/>
        </w:rPr>
        <w:t>, urban</w:t>
      </w:r>
      <w:r w:rsidR="000521EF">
        <w:rPr>
          <w:lang w:val="en-AU" w:eastAsia="en-US"/>
        </w:rPr>
        <w:t>,</w:t>
      </w:r>
      <w:r w:rsidR="00134F6D" w:rsidRPr="00642A5D">
        <w:rPr>
          <w:lang w:val="en-AU" w:eastAsia="en-US"/>
        </w:rPr>
        <w:t xml:space="preserve"> and </w:t>
      </w:r>
      <w:r>
        <w:rPr>
          <w:lang w:val="en-AU" w:eastAsia="en-US"/>
        </w:rPr>
        <w:t>power generation. Over the 2012–</w:t>
      </w:r>
      <w:r w:rsidR="00134F6D" w:rsidRPr="00642A5D">
        <w:rPr>
          <w:lang w:val="en-AU" w:eastAsia="en-US"/>
        </w:rPr>
        <w:t xml:space="preserve">2013 period, the majority of groundwater use </w:t>
      </w:r>
      <w:r>
        <w:rPr>
          <w:lang w:val="en-AU" w:eastAsia="en-US"/>
        </w:rPr>
        <w:t>(275 </w:t>
      </w:r>
      <w:r w:rsidR="00134F6D" w:rsidRPr="00642A5D">
        <w:rPr>
          <w:lang w:val="en-AU" w:eastAsia="en-US"/>
        </w:rPr>
        <w:t>964 ML) was attributed to irrigation and salinity control and represented 75% of total consumption</w:t>
      </w:r>
      <w:r w:rsidR="00B40453" w:rsidRPr="00642A5D">
        <w:rPr>
          <w:lang w:val="en-AU" w:eastAsia="en-US"/>
        </w:rPr>
        <w:t>.</w:t>
      </w:r>
      <w:r w:rsidR="00134F6D" w:rsidRPr="00642A5D">
        <w:rPr>
          <w:lang w:val="en-AU" w:eastAsia="en-US"/>
        </w:rPr>
        <w:t xml:space="preserve"> </w:t>
      </w:r>
      <w:r w:rsidR="00582F87">
        <w:rPr>
          <w:lang w:val="en-AU" w:eastAsia="en-US"/>
        </w:rPr>
        <w:t>Domestic and stock</w:t>
      </w:r>
      <w:r w:rsidR="00134F6D" w:rsidRPr="00642A5D">
        <w:rPr>
          <w:lang w:val="en-AU" w:eastAsia="en-US"/>
        </w:rPr>
        <w:t xml:space="preserve"> use accounted for 15% of total consumption over this period while power generation and urban use accounted for 8% and 2% of total use</w:t>
      </w:r>
      <w:r w:rsidR="000521EF">
        <w:rPr>
          <w:lang w:val="en-AU" w:eastAsia="en-US"/>
        </w:rPr>
        <w:t xml:space="preserve"> (</w:t>
      </w:r>
      <w:r w:rsidR="000521EF" w:rsidRPr="008B7710">
        <w:rPr>
          <w:lang w:val="en-AU" w:eastAsia="en-US"/>
        </w:rPr>
        <w:t>respectively)</w:t>
      </w:r>
      <w:r w:rsidR="00134F6D" w:rsidRPr="008B7710">
        <w:rPr>
          <w:lang w:val="en-AU" w:eastAsia="en-US"/>
        </w:rPr>
        <w:t xml:space="preserve"> </w:t>
      </w:r>
      <w:r w:rsidR="000521EF" w:rsidRPr="008B7710">
        <w:rPr>
          <w:lang w:val="en-AU" w:eastAsia="en-US"/>
        </w:rPr>
        <w:t xml:space="preserve">during </w:t>
      </w:r>
      <w:r w:rsidR="00134F6D" w:rsidRPr="008B7710">
        <w:rPr>
          <w:lang w:val="en-AU" w:eastAsia="en-US"/>
        </w:rPr>
        <w:t>the period.</w:t>
      </w:r>
    </w:p>
    <w:p w14:paraId="2E215946" w14:textId="4E8E422B" w:rsidR="00F817EC" w:rsidRPr="00642A5D" w:rsidRDefault="00F817EC">
      <w:pPr>
        <w:rPr>
          <w:lang w:val="en-AU" w:eastAsia="en-US"/>
        </w:rPr>
      </w:pPr>
      <w:r w:rsidRPr="008B7710">
        <w:rPr>
          <w:lang w:val="en-AU" w:eastAsia="en-US"/>
        </w:rPr>
        <w:t xml:space="preserve">Groundwater use is measured within different groundwater management areas. </w:t>
      </w:r>
      <w:r w:rsidR="007569CD" w:rsidRPr="008B7710">
        <w:rPr>
          <w:lang w:val="en-AU" w:eastAsia="en-US"/>
        </w:rPr>
        <w:fldChar w:fldCharType="begin"/>
      </w:r>
      <w:r w:rsidRPr="008B7710">
        <w:rPr>
          <w:lang w:val="en-AU" w:eastAsia="en-US"/>
        </w:rPr>
        <w:instrText xml:space="preserve"> REF _Ref409513953 \h </w:instrText>
      </w:r>
      <w:r w:rsidR="00642A5D" w:rsidRPr="008B7710">
        <w:rPr>
          <w:lang w:val="en-AU" w:eastAsia="en-US"/>
        </w:rPr>
        <w:instrText xml:space="preserve"> \* MERGEFORMAT </w:instrText>
      </w:r>
      <w:r w:rsidR="007569CD" w:rsidRPr="008B7710">
        <w:rPr>
          <w:lang w:val="en-AU" w:eastAsia="en-US"/>
        </w:rPr>
      </w:r>
      <w:r w:rsidR="007569CD" w:rsidRPr="008B7710">
        <w:rPr>
          <w:lang w:val="en-AU" w:eastAsia="en-US"/>
        </w:rPr>
        <w:fldChar w:fldCharType="separate"/>
      </w:r>
      <w:r w:rsidR="00171A5E" w:rsidRPr="00642A5D">
        <w:t xml:space="preserve">Table </w:t>
      </w:r>
      <w:r w:rsidR="00171A5E">
        <w:rPr>
          <w:noProof/>
        </w:rPr>
        <w:t>3</w:t>
      </w:r>
      <w:r w:rsidR="007569CD" w:rsidRPr="008B7710">
        <w:rPr>
          <w:lang w:val="en-AU" w:eastAsia="en-US"/>
        </w:rPr>
        <w:fldChar w:fldCharType="end"/>
      </w:r>
      <w:r w:rsidRPr="008B7710">
        <w:rPr>
          <w:lang w:val="en-AU" w:eastAsia="en-US"/>
        </w:rPr>
        <w:t xml:space="preserve"> summarises</w:t>
      </w:r>
      <w:r w:rsidRPr="00642A5D">
        <w:rPr>
          <w:lang w:val="en-AU" w:eastAsia="en-US"/>
        </w:rPr>
        <w:t xml:space="preserve"> the total groundwater use (both licen</w:t>
      </w:r>
      <w:r w:rsidR="00055497">
        <w:rPr>
          <w:lang w:val="en-AU" w:eastAsia="en-US"/>
        </w:rPr>
        <w:t>s</w:t>
      </w:r>
      <w:r w:rsidRPr="00642A5D">
        <w:rPr>
          <w:lang w:val="en-AU" w:eastAsia="en-US"/>
        </w:rPr>
        <w:t xml:space="preserve">ed and </w:t>
      </w:r>
      <w:r w:rsidR="00582F87">
        <w:rPr>
          <w:lang w:val="en-AU" w:eastAsia="en-US"/>
        </w:rPr>
        <w:t>domestic and stock</w:t>
      </w:r>
      <w:r w:rsidRPr="00642A5D">
        <w:rPr>
          <w:lang w:val="en-AU" w:eastAsia="en-US"/>
        </w:rPr>
        <w:t xml:space="preserve"> for each of the groundwater management units in the </w:t>
      </w:r>
      <w:r w:rsidR="007C4916">
        <w:rPr>
          <w:lang w:val="en-AU" w:eastAsia="en-US"/>
        </w:rPr>
        <w:t>Otway region</w:t>
      </w:r>
      <w:r w:rsidRPr="00642A5D">
        <w:rPr>
          <w:lang w:val="en-AU" w:eastAsia="en-US"/>
        </w:rPr>
        <w:t xml:space="preserve">. This illustrates that the most significant areas of groundwater use </w:t>
      </w:r>
      <w:r w:rsidR="00582F87">
        <w:rPr>
          <w:lang w:val="en-AU" w:eastAsia="en-US"/>
        </w:rPr>
        <w:t>during</w:t>
      </w:r>
      <w:r w:rsidRPr="00642A5D">
        <w:rPr>
          <w:lang w:val="en-AU" w:eastAsia="en-US"/>
        </w:rPr>
        <w:t xml:space="preserve"> the 2012</w:t>
      </w:r>
      <w:r w:rsidR="00830533">
        <w:rPr>
          <w:lang w:val="en-AU" w:eastAsia="en-US"/>
        </w:rPr>
        <w:t>–</w:t>
      </w:r>
      <w:r w:rsidRPr="00642A5D">
        <w:rPr>
          <w:lang w:val="en-AU" w:eastAsia="en-US"/>
        </w:rPr>
        <w:t xml:space="preserve">2013 period occurred in the Nullawarre and Glenelg areas. </w:t>
      </w:r>
    </w:p>
    <w:p w14:paraId="6FB782AA" w14:textId="3FA33D91" w:rsidR="00F817EC" w:rsidRPr="00642A5D" w:rsidRDefault="00F817EC" w:rsidP="002D44DF">
      <w:pPr>
        <w:pStyle w:val="Tableheading"/>
        <w:rPr>
          <w:lang w:val="en-AU" w:eastAsia="en-US"/>
        </w:rPr>
      </w:pPr>
      <w:bookmarkStart w:id="276" w:name="_Ref409513953"/>
      <w:bookmarkStart w:id="277" w:name="_Toc296770883"/>
      <w:r w:rsidRPr="00642A5D">
        <w:t xml:space="preserve">Table </w:t>
      </w:r>
      <w:r w:rsidR="007569CD" w:rsidRPr="00642A5D">
        <w:fldChar w:fldCharType="begin"/>
      </w:r>
      <w:r w:rsidRPr="00642A5D">
        <w:instrText xml:space="preserve"> SEQ Table \* ARABIC </w:instrText>
      </w:r>
      <w:r w:rsidR="007569CD" w:rsidRPr="00642A5D">
        <w:fldChar w:fldCharType="separate"/>
      </w:r>
      <w:r w:rsidR="00171A5E">
        <w:rPr>
          <w:noProof/>
        </w:rPr>
        <w:t>3</w:t>
      </w:r>
      <w:r w:rsidR="007569CD" w:rsidRPr="00642A5D">
        <w:fldChar w:fldCharType="end"/>
      </w:r>
      <w:bookmarkEnd w:id="276"/>
      <w:r w:rsidR="00F95BE3">
        <w:t>:</w:t>
      </w:r>
      <w:r w:rsidRPr="00642A5D">
        <w:t xml:space="preserve"> </w:t>
      </w:r>
      <w:r w:rsidR="00CE7F82">
        <w:t xml:space="preserve"> </w:t>
      </w:r>
      <w:r w:rsidRPr="00642A5D">
        <w:t xml:space="preserve">Summary of total groundwater use in groundwater management </w:t>
      </w:r>
      <w:r w:rsidR="00576001" w:rsidRPr="00642A5D">
        <w:t>units</w:t>
      </w:r>
      <w:r w:rsidRPr="00642A5D">
        <w:t xml:space="preserve"> for the 201</w:t>
      </w:r>
      <w:r w:rsidR="0001309E">
        <w:t>2</w:t>
      </w:r>
      <w:r w:rsidRPr="00642A5D">
        <w:t>-2013 period</w:t>
      </w:r>
      <w:r w:rsidR="00830533">
        <w:t>.</w:t>
      </w:r>
      <w:r w:rsidRPr="00642A5D">
        <w:t xml:space="preserve"> (</w:t>
      </w:r>
      <w:r w:rsidR="00830533">
        <w:t>S</w:t>
      </w:r>
      <w:r w:rsidR="00755B17">
        <w:t xml:space="preserve">ource: </w:t>
      </w:r>
      <w:r w:rsidRPr="00642A5D">
        <w:t>DEPI, 2014</w:t>
      </w:r>
      <w:r w:rsidR="00830533">
        <w:t>.</w:t>
      </w:r>
      <w:r w:rsidRPr="00642A5D">
        <w:t>)</w:t>
      </w:r>
      <w:bookmarkEnd w:id="277"/>
    </w:p>
    <w:tbl>
      <w:tblPr>
        <w:tblW w:w="9654" w:type="dxa"/>
        <w:tblInd w:w="93" w:type="dxa"/>
        <w:tblBorders>
          <w:bottom w:val="single" w:sz="4" w:space="0" w:color="005A97"/>
          <w:insideH w:val="single" w:sz="4" w:space="0" w:color="005A97"/>
          <w:insideV w:val="single" w:sz="4" w:space="0" w:color="005A97"/>
        </w:tblBorders>
        <w:tblCellMar>
          <w:right w:w="459" w:type="dxa"/>
        </w:tblCellMar>
        <w:tblLook w:val="04A0" w:firstRow="1" w:lastRow="0" w:firstColumn="1" w:lastColumn="0" w:noHBand="0" w:noVBand="1"/>
      </w:tblPr>
      <w:tblGrid>
        <w:gridCol w:w="2449"/>
        <w:gridCol w:w="1972"/>
        <w:gridCol w:w="2398"/>
        <w:gridCol w:w="2835"/>
      </w:tblGrid>
      <w:tr w:rsidR="003878E4" w:rsidRPr="001D6B0F" w14:paraId="285C01AA" w14:textId="77777777" w:rsidTr="006815DB">
        <w:tc>
          <w:tcPr>
            <w:tcW w:w="2449" w:type="dxa"/>
            <w:tcBorders>
              <w:top w:val="nil"/>
              <w:right w:val="single" w:sz="4" w:space="0" w:color="FFFFFF"/>
            </w:tcBorders>
            <w:shd w:val="clear" w:color="auto" w:fill="005A97"/>
            <w:hideMark/>
          </w:tcPr>
          <w:p w14:paraId="6E1CACFD" w14:textId="16BCA40D" w:rsidR="003878E4" w:rsidRPr="001D6B0F" w:rsidRDefault="003878E4" w:rsidP="006815DB">
            <w:pPr>
              <w:pStyle w:val="TableHeaderrow"/>
            </w:pPr>
            <w:r w:rsidRPr="001D6B0F">
              <w:t xml:space="preserve">Groundwater </w:t>
            </w:r>
            <w:r w:rsidR="00830533" w:rsidRPr="001D6B0F">
              <w:t>M</w:t>
            </w:r>
            <w:r w:rsidRPr="001D6B0F">
              <w:t xml:space="preserve">anagement </w:t>
            </w:r>
            <w:r w:rsidR="00830533" w:rsidRPr="001D6B0F">
              <w:t>U</w:t>
            </w:r>
            <w:r w:rsidRPr="001D6B0F">
              <w:t>nit</w:t>
            </w:r>
          </w:p>
        </w:tc>
        <w:tc>
          <w:tcPr>
            <w:tcW w:w="1972" w:type="dxa"/>
            <w:tcBorders>
              <w:top w:val="nil"/>
              <w:left w:val="single" w:sz="4" w:space="0" w:color="FFFFFF"/>
              <w:right w:val="single" w:sz="4" w:space="0" w:color="FFFFFF"/>
            </w:tcBorders>
            <w:shd w:val="clear" w:color="auto" w:fill="005A97"/>
          </w:tcPr>
          <w:p w14:paraId="5D256237" w14:textId="5DEE40CA" w:rsidR="003878E4" w:rsidRPr="001D6B0F" w:rsidRDefault="003878E4" w:rsidP="006815DB">
            <w:pPr>
              <w:pStyle w:val="TableHeaderrow"/>
            </w:pPr>
            <w:r w:rsidRPr="001D6B0F">
              <w:t xml:space="preserve">Aquifer </w:t>
            </w:r>
            <w:r w:rsidR="00830533" w:rsidRPr="001D6B0F">
              <w:t>g</w:t>
            </w:r>
            <w:r w:rsidRPr="001D6B0F">
              <w:t>roup</w:t>
            </w:r>
          </w:p>
        </w:tc>
        <w:tc>
          <w:tcPr>
            <w:tcW w:w="2398" w:type="dxa"/>
            <w:tcBorders>
              <w:top w:val="nil"/>
              <w:left w:val="single" w:sz="4" w:space="0" w:color="FFFFFF"/>
              <w:right w:val="single" w:sz="4" w:space="0" w:color="FFFFFF"/>
            </w:tcBorders>
            <w:shd w:val="clear" w:color="auto" w:fill="005A97"/>
          </w:tcPr>
          <w:p w14:paraId="7E35BF01" w14:textId="4A194C4B" w:rsidR="003878E4" w:rsidRPr="001D6B0F" w:rsidRDefault="003878E4" w:rsidP="006815DB">
            <w:pPr>
              <w:pStyle w:val="TableHeaderrow"/>
            </w:pPr>
            <w:r w:rsidRPr="001D6B0F">
              <w:t>Licen</w:t>
            </w:r>
            <w:r w:rsidR="00237D13" w:rsidRPr="001D6B0F">
              <w:t>s</w:t>
            </w:r>
            <w:r w:rsidRPr="001D6B0F">
              <w:t xml:space="preserve">ed </w:t>
            </w:r>
            <w:r w:rsidR="00830533" w:rsidRPr="001D6B0F">
              <w:t>e</w:t>
            </w:r>
            <w:r w:rsidRPr="001D6B0F">
              <w:t>ntitlement (ML/Yr)</w:t>
            </w:r>
          </w:p>
        </w:tc>
        <w:tc>
          <w:tcPr>
            <w:tcW w:w="2835" w:type="dxa"/>
            <w:tcBorders>
              <w:top w:val="nil"/>
              <w:left w:val="single" w:sz="4" w:space="0" w:color="FFFFFF"/>
            </w:tcBorders>
            <w:shd w:val="clear" w:color="auto" w:fill="005A97"/>
            <w:hideMark/>
          </w:tcPr>
          <w:p w14:paraId="6EED8032" w14:textId="18665FCF" w:rsidR="003878E4" w:rsidRPr="001D6B0F" w:rsidRDefault="003878E4" w:rsidP="006815DB">
            <w:pPr>
              <w:pStyle w:val="TableHeaderrow"/>
            </w:pPr>
            <w:r w:rsidRPr="001D6B0F">
              <w:t>Total use</w:t>
            </w:r>
            <w:r w:rsidR="00830533" w:rsidRPr="001D6B0F">
              <w:t xml:space="preserve"> in 2012–</w:t>
            </w:r>
            <w:r w:rsidRPr="001D6B0F">
              <w:t>13 (</w:t>
            </w:r>
            <w:r w:rsidR="00830533" w:rsidRPr="001D6B0F">
              <w:t>excluding</w:t>
            </w:r>
            <w:r w:rsidRPr="001D6B0F">
              <w:t xml:space="preserve"> </w:t>
            </w:r>
            <w:r w:rsidR="00830533" w:rsidRPr="001D6B0F">
              <w:t>s</w:t>
            </w:r>
            <w:r w:rsidRPr="001D6B0F">
              <w:t xml:space="preserve">tock and </w:t>
            </w:r>
            <w:r w:rsidR="00830533" w:rsidRPr="001D6B0F">
              <w:t>d</w:t>
            </w:r>
            <w:r w:rsidRPr="001D6B0F">
              <w:t>omestic) (ML)</w:t>
            </w:r>
          </w:p>
        </w:tc>
      </w:tr>
      <w:tr w:rsidR="003878E4" w:rsidRPr="001D6B0F" w14:paraId="5FF8BC10" w14:textId="77777777" w:rsidTr="001D6B0F">
        <w:tc>
          <w:tcPr>
            <w:tcW w:w="2449" w:type="dxa"/>
            <w:shd w:val="clear" w:color="auto" w:fill="auto"/>
            <w:vAlign w:val="center"/>
            <w:hideMark/>
          </w:tcPr>
          <w:p w14:paraId="6CB8A834" w14:textId="77777777" w:rsidR="003878E4" w:rsidRPr="001D6B0F" w:rsidRDefault="003878E4" w:rsidP="001D6B0F">
            <w:pPr>
              <w:pStyle w:val="Tabletext"/>
            </w:pPr>
            <w:r w:rsidRPr="001D6B0F">
              <w:t>Gellibrand</w:t>
            </w:r>
          </w:p>
        </w:tc>
        <w:tc>
          <w:tcPr>
            <w:tcW w:w="1972" w:type="dxa"/>
            <w:shd w:val="clear" w:color="auto" w:fill="auto"/>
          </w:tcPr>
          <w:p w14:paraId="0319BDBE" w14:textId="77777777" w:rsidR="003878E4" w:rsidRPr="001D6B0F" w:rsidRDefault="003878E4" w:rsidP="001D6B0F">
            <w:pPr>
              <w:pStyle w:val="Tabletext"/>
            </w:pPr>
            <w:r w:rsidRPr="001D6B0F">
              <w:t>All</w:t>
            </w:r>
          </w:p>
        </w:tc>
        <w:tc>
          <w:tcPr>
            <w:tcW w:w="2398" w:type="dxa"/>
            <w:shd w:val="clear" w:color="auto" w:fill="auto"/>
          </w:tcPr>
          <w:p w14:paraId="0D90D667" w14:textId="317DB42D" w:rsidR="003878E4" w:rsidRPr="001D6B0F" w:rsidRDefault="00237D13" w:rsidP="001D6B0F">
            <w:pPr>
              <w:pStyle w:val="Tabletext"/>
              <w:jc w:val="right"/>
            </w:pPr>
            <w:r w:rsidRPr="001D6B0F">
              <w:t>n/a</w:t>
            </w:r>
          </w:p>
        </w:tc>
        <w:tc>
          <w:tcPr>
            <w:tcW w:w="2835" w:type="dxa"/>
            <w:shd w:val="clear" w:color="auto" w:fill="auto"/>
            <w:vAlign w:val="center"/>
            <w:hideMark/>
          </w:tcPr>
          <w:p w14:paraId="087DDFA0" w14:textId="77777777" w:rsidR="003878E4" w:rsidRPr="001D6B0F" w:rsidRDefault="003878E4" w:rsidP="001D6B0F">
            <w:pPr>
              <w:pStyle w:val="Tabletext"/>
              <w:jc w:val="right"/>
            </w:pPr>
            <w:r w:rsidRPr="001D6B0F">
              <w:t>3</w:t>
            </w:r>
          </w:p>
        </w:tc>
      </w:tr>
      <w:tr w:rsidR="003878E4" w:rsidRPr="001D6B0F" w14:paraId="40156822" w14:textId="77777777" w:rsidTr="001D6B0F">
        <w:tc>
          <w:tcPr>
            <w:tcW w:w="2449" w:type="dxa"/>
            <w:shd w:val="clear" w:color="auto" w:fill="auto"/>
            <w:vAlign w:val="center"/>
            <w:hideMark/>
          </w:tcPr>
          <w:p w14:paraId="6453A1D4" w14:textId="77777777" w:rsidR="003878E4" w:rsidRPr="001D6B0F" w:rsidRDefault="003878E4" w:rsidP="001D6B0F">
            <w:pPr>
              <w:pStyle w:val="Tabletext"/>
            </w:pPr>
            <w:r w:rsidRPr="001D6B0F">
              <w:t>Nullawarre</w:t>
            </w:r>
          </w:p>
        </w:tc>
        <w:tc>
          <w:tcPr>
            <w:tcW w:w="1972" w:type="dxa"/>
            <w:shd w:val="clear" w:color="auto" w:fill="auto"/>
          </w:tcPr>
          <w:p w14:paraId="7774310E" w14:textId="77777777" w:rsidR="003878E4" w:rsidRPr="001D6B0F" w:rsidRDefault="003878E4" w:rsidP="001D6B0F">
            <w:pPr>
              <w:pStyle w:val="Tabletext"/>
            </w:pPr>
            <w:r w:rsidRPr="001D6B0F">
              <w:t>Upper</w:t>
            </w:r>
          </w:p>
        </w:tc>
        <w:tc>
          <w:tcPr>
            <w:tcW w:w="2398" w:type="dxa"/>
            <w:shd w:val="clear" w:color="auto" w:fill="auto"/>
          </w:tcPr>
          <w:p w14:paraId="3F8AEDA2" w14:textId="2A7649FD" w:rsidR="003878E4" w:rsidRPr="001D6B0F" w:rsidRDefault="003878E4" w:rsidP="001D6B0F">
            <w:pPr>
              <w:pStyle w:val="Tabletext"/>
              <w:jc w:val="right"/>
            </w:pPr>
            <w:r w:rsidRPr="001D6B0F">
              <w:t>22635</w:t>
            </w:r>
          </w:p>
        </w:tc>
        <w:tc>
          <w:tcPr>
            <w:tcW w:w="2835" w:type="dxa"/>
            <w:shd w:val="clear" w:color="auto" w:fill="auto"/>
            <w:vAlign w:val="center"/>
            <w:hideMark/>
          </w:tcPr>
          <w:p w14:paraId="4FCB29F4" w14:textId="170134D2" w:rsidR="003878E4" w:rsidRPr="001D6B0F" w:rsidRDefault="003878E4" w:rsidP="001D6B0F">
            <w:pPr>
              <w:pStyle w:val="Tabletext"/>
              <w:jc w:val="right"/>
            </w:pPr>
            <w:r w:rsidRPr="001D6B0F">
              <w:t>11583</w:t>
            </w:r>
          </w:p>
        </w:tc>
      </w:tr>
      <w:tr w:rsidR="003878E4" w:rsidRPr="001D6B0F" w14:paraId="237ADA19" w14:textId="77777777" w:rsidTr="001D6B0F">
        <w:tc>
          <w:tcPr>
            <w:tcW w:w="2449" w:type="dxa"/>
            <w:shd w:val="clear" w:color="auto" w:fill="auto"/>
            <w:vAlign w:val="center"/>
            <w:hideMark/>
          </w:tcPr>
          <w:p w14:paraId="1048A8CF" w14:textId="77777777" w:rsidR="003878E4" w:rsidRPr="001D6B0F" w:rsidRDefault="003878E4" w:rsidP="001D6B0F">
            <w:pPr>
              <w:pStyle w:val="Tabletext"/>
            </w:pPr>
            <w:r w:rsidRPr="001D6B0F">
              <w:t>Warrion</w:t>
            </w:r>
          </w:p>
        </w:tc>
        <w:tc>
          <w:tcPr>
            <w:tcW w:w="1972" w:type="dxa"/>
            <w:shd w:val="clear" w:color="auto" w:fill="auto"/>
          </w:tcPr>
          <w:p w14:paraId="4E80D97A" w14:textId="77777777" w:rsidR="003878E4" w:rsidRPr="001D6B0F" w:rsidRDefault="003878E4" w:rsidP="001D6B0F">
            <w:pPr>
              <w:pStyle w:val="Tabletext"/>
            </w:pPr>
            <w:r w:rsidRPr="001D6B0F">
              <w:t>All</w:t>
            </w:r>
          </w:p>
        </w:tc>
        <w:tc>
          <w:tcPr>
            <w:tcW w:w="2398" w:type="dxa"/>
            <w:shd w:val="clear" w:color="auto" w:fill="auto"/>
          </w:tcPr>
          <w:p w14:paraId="4023F3B7" w14:textId="245421D3" w:rsidR="003878E4" w:rsidRPr="001D6B0F" w:rsidRDefault="003878E4" w:rsidP="001D6B0F">
            <w:pPr>
              <w:pStyle w:val="Tabletext"/>
              <w:jc w:val="right"/>
            </w:pPr>
            <w:r w:rsidRPr="001D6B0F">
              <w:t>14081</w:t>
            </w:r>
          </w:p>
        </w:tc>
        <w:tc>
          <w:tcPr>
            <w:tcW w:w="2835" w:type="dxa"/>
            <w:shd w:val="clear" w:color="auto" w:fill="auto"/>
            <w:vAlign w:val="center"/>
            <w:hideMark/>
          </w:tcPr>
          <w:p w14:paraId="3E497784" w14:textId="4AA264B5" w:rsidR="003878E4" w:rsidRPr="001D6B0F" w:rsidRDefault="003878E4" w:rsidP="001D6B0F">
            <w:pPr>
              <w:pStyle w:val="Tabletext"/>
              <w:jc w:val="right"/>
            </w:pPr>
            <w:r w:rsidRPr="001D6B0F">
              <w:t>4530</w:t>
            </w:r>
          </w:p>
        </w:tc>
      </w:tr>
      <w:tr w:rsidR="003878E4" w:rsidRPr="001D6B0F" w14:paraId="5ED8084E" w14:textId="77777777" w:rsidTr="001D6B0F">
        <w:tc>
          <w:tcPr>
            <w:tcW w:w="2449" w:type="dxa"/>
            <w:shd w:val="clear" w:color="auto" w:fill="auto"/>
            <w:vAlign w:val="center"/>
            <w:hideMark/>
          </w:tcPr>
          <w:p w14:paraId="3B0DAE13" w14:textId="77777777" w:rsidR="003878E4" w:rsidRPr="001D6B0F" w:rsidRDefault="003878E4" w:rsidP="001D6B0F">
            <w:pPr>
              <w:pStyle w:val="Tabletext"/>
            </w:pPr>
            <w:r w:rsidRPr="001D6B0F">
              <w:t>Yangery</w:t>
            </w:r>
          </w:p>
        </w:tc>
        <w:tc>
          <w:tcPr>
            <w:tcW w:w="1972" w:type="dxa"/>
            <w:shd w:val="clear" w:color="auto" w:fill="auto"/>
          </w:tcPr>
          <w:p w14:paraId="16DBE333" w14:textId="77777777" w:rsidR="003878E4" w:rsidRPr="001D6B0F" w:rsidRDefault="003878E4" w:rsidP="001D6B0F">
            <w:pPr>
              <w:pStyle w:val="Tabletext"/>
            </w:pPr>
            <w:r w:rsidRPr="001D6B0F">
              <w:t>Upper</w:t>
            </w:r>
          </w:p>
        </w:tc>
        <w:tc>
          <w:tcPr>
            <w:tcW w:w="2398" w:type="dxa"/>
            <w:shd w:val="clear" w:color="auto" w:fill="auto"/>
          </w:tcPr>
          <w:p w14:paraId="0CA7DC45" w14:textId="52FE516A" w:rsidR="003878E4" w:rsidRPr="001D6B0F" w:rsidRDefault="003878E4" w:rsidP="001D6B0F">
            <w:pPr>
              <w:pStyle w:val="Tabletext"/>
              <w:jc w:val="right"/>
            </w:pPr>
            <w:r w:rsidRPr="001D6B0F">
              <w:t>14343</w:t>
            </w:r>
          </w:p>
        </w:tc>
        <w:tc>
          <w:tcPr>
            <w:tcW w:w="2835" w:type="dxa"/>
            <w:shd w:val="clear" w:color="auto" w:fill="auto"/>
            <w:vAlign w:val="center"/>
            <w:hideMark/>
          </w:tcPr>
          <w:p w14:paraId="1EB9F426" w14:textId="01862B4D" w:rsidR="003878E4" w:rsidRPr="001D6B0F" w:rsidRDefault="003878E4" w:rsidP="001D6B0F">
            <w:pPr>
              <w:pStyle w:val="Tabletext"/>
              <w:jc w:val="right"/>
            </w:pPr>
            <w:r w:rsidRPr="001D6B0F">
              <w:t>3059</w:t>
            </w:r>
          </w:p>
        </w:tc>
      </w:tr>
      <w:tr w:rsidR="003878E4" w:rsidRPr="001D6B0F" w14:paraId="3BEC06E1" w14:textId="77777777" w:rsidTr="001D6B0F">
        <w:tc>
          <w:tcPr>
            <w:tcW w:w="2449" w:type="dxa"/>
            <w:shd w:val="clear" w:color="auto" w:fill="auto"/>
            <w:vAlign w:val="center"/>
            <w:hideMark/>
          </w:tcPr>
          <w:p w14:paraId="20C38283" w14:textId="77777777" w:rsidR="003878E4" w:rsidRPr="001D6B0F" w:rsidRDefault="003878E4" w:rsidP="001D6B0F">
            <w:pPr>
              <w:pStyle w:val="Tabletext"/>
            </w:pPr>
            <w:r w:rsidRPr="001D6B0F">
              <w:t>Condah</w:t>
            </w:r>
          </w:p>
        </w:tc>
        <w:tc>
          <w:tcPr>
            <w:tcW w:w="1972" w:type="dxa"/>
            <w:shd w:val="clear" w:color="auto" w:fill="auto"/>
          </w:tcPr>
          <w:p w14:paraId="07729DD5" w14:textId="77777777" w:rsidR="003878E4" w:rsidRPr="001D6B0F" w:rsidRDefault="003878E4" w:rsidP="001D6B0F">
            <w:pPr>
              <w:pStyle w:val="Tabletext"/>
            </w:pPr>
            <w:r w:rsidRPr="001D6B0F">
              <w:t>Middle</w:t>
            </w:r>
          </w:p>
        </w:tc>
        <w:tc>
          <w:tcPr>
            <w:tcW w:w="2398" w:type="dxa"/>
            <w:shd w:val="clear" w:color="auto" w:fill="auto"/>
          </w:tcPr>
          <w:p w14:paraId="531D975F" w14:textId="1337C9A5" w:rsidR="003878E4" w:rsidRPr="001D6B0F" w:rsidRDefault="003878E4" w:rsidP="001D6B0F">
            <w:pPr>
              <w:pStyle w:val="Tabletext"/>
              <w:jc w:val="right"/>
            </w:pPr>
            <w:r w:rsidRPr="001D6B0F">
              <w:t>7475</w:t>
            </w:r>
          </w:p>
        </w:tc>
        <w:tc>
          <w:tcPr>
            <w:tcW w:w="2835" w:type="dxa"/>
            <w:shd w:val="clear" w:color="auto" w:fill="auto"/>
            <w:vAlign w:val="center"/>
            <w:hideMark/>
          </w:tcPr>
          <w:p w14:paraId="3144EAAF" w14:textId="5E3F79E9" w:rsidR="003878E4" w:rsidRPr="001D6B0F" w:rsidRDefault="003878E4" w:rsidP="001D6B0F">
            <w:pPr>
              <w:pStyle w:val="Tabletext"/>
              <w:jc w:val="right"/>
            </w:pPr>
            <w:r w:rsidRPr="001D6B0F">
              <w:t>3380</w:t>
            </w:r>
          </w:p>
        </w:tc>
      </w:tr>
      <w:tr w:rsidR="003878E4" w:rsidRPr="001D6B0F" w14:paraId="5132EC4A" w14:textId="77777777" w:rsidTr="001D6B0F">
        <w:tc>
          <w:tcPr>
            <w:tcW w:w="2449" w:type="dxa"/>
            <w:shd w:val="clear" w:color="auto" w:fill="auto"/>
            <w:vAlign w:val="center"/>
            <w:hideMark/>
          </w:tcPr>
          <w:p w14:paraId="68D0AE44" w14:textId="77777777" w:rsidR="003878E4" w:rsidRPr="001D6B0F" w:rsidRDefault="003878E4" w:rsidP="001D6B0F">
            <w:pPr>
              <w:pStyle w:val="Tabletext"/>
            </w:pPr>
            <w:r w:rsidRPr="001D6B0F">
              <w:t>Glenelg</w:t>
            </w:r>
          </w:p>
        </w:tc>
        <w:tc>
          <w:tcPr>
            <w:tcW w:w="1972" w:type="dxa"/>
            <w:shd w:val="clear" w:color="auto" w:fill="auto"/>
          </w:tcPr>
          <w:p w14:paraId="28BA6050" w14:textId="77777777" w:rsidR="003878E4" w:rsidRPr="001D6B0F" w:rsidRDefault="003878E4" w:rsidP="001D6B0F">
            <w:pPr>
              <w:pStyle w:val="Tabletext"/>
            </w:pPr>
            <w:r w:rsidRPr="001D6B0F">
              <w:t>All</w:t>
            </w:r>
          </w:p>
        </w:tc>
        <w:tc>
          <w:tcPr>
            <w:tcW w:w="2398" w:type="dxa"/>
            <w:shd w:val="clear" w:color="auto" w:fill="auto"/>
          </w:tcPr>
          <w:p w14:paraId="110DAF56" w14:textId="77777777" w:rsidR="003878E4" w:rsidRPr="001D6B0F" w:rsidRDefault="003878E4" w:rsidP="001D6B0F">
            <w:pPr>
              <w:pStyle w:val="Tabletext"/>
              <w:jc w:val="right"/>
            </w:pPr>
            <w:r w:rsidRPr="001D6B0F">
              <w:t>N/A</w:t>
            </w:r>
          </w:p>
        </w:tc>
        <w:tc>
          <w:tcPr>
            <w:tcW w:w="2835" w:type="dxa"/>
            <w:shd w:val="clear" w:color="auto" w:fill="auto"/>
            <w:vAlign w:val="center"/>
            <w:hideMark/>
          </w:tcPr>
          <w:p w14:paraId="550C3AA7" w14:textId="4434C31D" w:rsidR="003878E4" w:rsidRPr="001D6B0F" w:rsidRDefault="003878E4" w:rsidP="001D6B0F">
            <w:pPr>
              <w:pStyle w:val="Tabletext"/>
              <w:jc w:val="right"/>
            </w:pPr>
            <w:r w:rsidRPr="001D6B0F">
              <w:t>10636</w:t>
            </w:r>
          </w:p>
        </w:tc>
      </w:tr>
      <w:tr w:rsidR="003878E4" w:rsidRPr="001D6B0F" w14:paraId="50D51DFE" w14:textId="77777777" w:rsidTr="001D6B0F">
        <w:tc>
          <w:tcPr>
            <w:tcW w:w="2449" w:type="dxa"/>
            <w:shd w:val="clear" w:color="auto" w:fill="auto"/>
            <w:vAlign w:val="center"/>
            <w:hideMark/>
          </w:tcPr>
          <w:p w14:paraId="299FA1A2" w14:textId="77777777" w:rsidR="003878E4" w:rsidRPr="001D6B0F" w:rsidRDefault="003878E4" w:rsidP="001D6B0F">
            <w:pPr>
              <w:pStyle w:val="Tabletext"/>
            </w:pPr>
            <w:r w:rsidRPr="001D6B0F">
              <w:t>Colongulac</w:t>
            </w:r>
          </w:p>
        </w:tc>
        <w:tc>
          <w:tcPr>
            <w:tcW w:w="1972" w:type="dxa"/>
            <w:shd w:val="clear" w:color="auto" w:fill="auto"/>
          </w:tcPr>
          <w:p w14:paraId="6C089A04" w14:textId="77777777" w:rsidR="003878E4" w:rsidRPr="001D6B0F" w:rsidRDefault="003878E4" w:rsidP="001D6B0F">
            <w:pPr>
              <w:pStyle w:val="Tabletext"/>
            </w:pPr>
            <w:r w:rsidRPr="001D6B0F">
              <w:t>All</w:t>
            </w:r>
          </w:p>
        </w:tc>
        <w:tc>
          <w:tcPr>
            <w:tcW w:w="2398" w:type="dxa"/>
            <w:shd w:val="clear" w:color="auto" w:fill="auto"/>
          </w:tcPr>
          <w:p w14:paraId="21098750" w14:textId="372DFB23" w:rsidR="003878E4" w:rsidRPr="001D6B0F" w:rsidRDefault="003878E4" w:rsidP="001D6B0F">
            <w:pPr>
              <w:pStyle w:val="Tabletext"/>
              <w:jc w:val="right"/>
            </w:pPr>
            <w:r w:rsidRPr="001D6B0F">
              <w:t>4068</w:t>
            </w:r>
          </w:p>
        </w:tc>
        <w:tc>
          <w:tcPr>
            <w:tcW w:w="2835" w:type="dxa"/>
            <w:shd w:val="clear" w:color="auto" w:fill="auto"/>
            <w:vAlign w:val="center"/>
            <w:hideMark/>
          </w:tcPr>
          <w:p w14:paraId="0598C548" w14:textId="7A08521E" w:rsidR="003878E4" w:rsidRPr="001D6B0F" w:rsidRDefault="003878E4" w:rsidP="001D6B0F">
            <w:pPr>
              <w:pStyle w:val="Tabletext"/>
              <w:jc w:val="right"/>
            </w:pPr>
            <w:r w:rsidRPr="001D6B0F">
              <w:t>1215</w:t>
            </w:r>
          </w:p>
        </w:tc>
      </w:tr>
      <w:tr w:rsidR="003878E4" w:rsidRPr="001D6B0F" w14:paraId="375BECAC" w14:textId="77777777" w:rsidTr="001D6B0F">
        <w:tc>
          <w:tcPr>
            <w:tcW w:w="2449" w:type="dxa"/>
            <w:shd w:val="clear" w:color="auto" w:fill="auto"/>
            <w:vAlign w:val="center"/>
            <w:hideMark/>
          </w:tcPr>
          <w:p w14:paraId="1AEC7404" w14:textId="77777777" w:rsidR="003878E4" w:rsidRPr="001D6B0F" w:rsidRDefault="003878E4" w:rsidP="001D6B0F">
            <w:pPr>
              <w:pStyle w:val="Tabletext"/>
            </w:pPr>
            <w:r w:rsidRPr="001D6B0F">
              <w:t>Gerangamete</w:t>
            </w:r>
          </w:p>
        </w:tc>
        <w:tc>
          <w:tcPr>
            <w:tcW w:w="1972" w:type="dxa"/>
            <w:shd w:val="clear" w:color="auto" w:fill="auto"/>
          </w:tcPr>
          <w:p w14:paraId="7C2B6FA7" w14:textId="77777777" w:rsidR="003878E4" w:rsidRPr="001D6B0F" w:rsidRDefault="003878E4" w:rsidP="001D6B0F">
            <w:pPr>
              <w:pStyle w:val="Tabletext"/>
            </w:pPr>
            <w:r w:rsidRPr="001D6B0F">
              <w:t>Lower</w:t>
            </w:r>
          </w:p>
        </w:tc>
        <w:tc>
          <w:tcPr>
            <w:tcW w:w="2398" w:type="dxa"/>
            <w:shd w:val="clear" w:color="auto" w:fill="auto"/>
          </w:tcPr>
          <w:p w14:paraId="29674E55" w14:textId="2C433206" w:rsidR="003878E4" w:rsidRPr="001D6B0F" w:rsidRDefault="003878E4" w:rsidP="001D6B0F">
            <w:pPr>
              <w:pStyle w:val="Tabletext"/>
              <w:jc w:val="right"/>
            </w:pPr>
            <w:r w:rsidRPr="001D6B0F">
              <w:t>20000</w:t>
            </w:r>
          </w:p>
        </w:tc>
        <w:tc>
          <w:tcPr>
            <w:tcW w:w="2835" w:type="dxa"/>
            <w:shd w:val="clear" w:color="auto" w:fill="auto"/>
            <w:vAlign w:val="center"/>
            <w:hideMark/>
          </w:tcPr>
          <w:p w14:paraId="7B34E5AC" w14:textId="77777777" w:rsidR="003878E4" w:rsidRPr="001D6B0F" w:rsidRDefault="003878E4" w:rsidP="001D6B0F">
            <w:pPr>
              <w:pStyle w:val="Tabletext"/>
              <w:jc w:val="right"/>
            </w:pPr>
            <w:r w:rsidRPr="001D6B0F">
              <w:t>0</w:t>
            </w:r>
          </w:p>
        </w:tc>
      </w:tr>
      <w:tr w:rsidR="003878E4" w:rsidRPr="001D6B0F" w14:paraId="1E4D17B3" w14:textId="77777777" w:rsidTr="001D6B0F">
        <w:tc>
          <w:tcPr>
            <w:tcW w:w="2449" w:type="dxa"/>
            <w:shd w:val="clear" w:color="auto" w:fill="auto"/>
            <w:vAlign w:val="center"/>
            <w:hideMark/>
          </w:tcPr>
          <w:p w14:paraId="5C935F9E" w14:textId="77777777" w:rsidR="003878E4" w:rsidRPr="001D6B0F" w:rsidRDefault="003878E4" w:rsidP="001D6B0F">
            <w:pPr>
              <w:pStyle w:val="Tabletext"/>
            </w:pPr>
            <w:r w:rsidRPr="001D6B0F">
              <w:t>Glenormiston</w:t>
            </w:r>
          </w:p>
        </w:tc>
        <w:tc>
          <w:tcPr>
            <w:tcW w:w="1972" w:type="dxa"/>
            <w:shd w:val="clear" w:color="auto" w:fill="auto"/>
          </w:tcPr>
          <w:p w14:paraId="1CC82823" w14:textId="77777777" w:rsidR="003878E4" w:rsidRPr="001D6B0F" w:rsidRDefault="003878E4" w:rsidP="001D6B0F">
            <w:pPr>
              <w:pStyle w:val="Tabletext"/>
            </w:pPr>
            <w:r w:rsidRPr="001D6B0F">
              <w:t>Upper</w:t>
            </w:r>
          </w:p>
        </w:tc>
        <w:tc>
          <w:tcPr>
            <w:tcW w:w="2398" w:type="dxa"/>
            <w:shd w:val="clear" w:color="auto" w:fill="auto"/>
          </w:tcPr>
          <w:p w14:paraId="45B8843B" w14:textId="28E2E407" w:rsidR="003878E4" w:rsidRPr="001D6B0F" w:rsidRDefault="003878E4" w:rsidP="001D6B0F">
            <w:pPr>
              <w:pStyle w:val="Tabletext"/>
              <w:jc w:val="right"/>
            </w:pPr>
            <w:r w:rsidRPr="001D6B0F">
              <w:t>2691</w:t>
            </w:r>
          </w:p>
        </w:tc>
        <w:tc>
          <w:tcPr>
            <w:tcW w:w="2835" w:type="dxa"/>
            <w:shd w:val="clear" w:color="auto" w:fill="auto"/>
            <w:vAlign w:val="center"/>
            <w:hideMark/>
          </w:tcPr>
          <w:p w14:paraId="52B5AA24" w14:textId="23529DD6" w:rsidR="003878E4" w:rsidRPr="001D6B0F" w:rsidRDefault="003878E4" w:rsidP="001D6B0F">
            <w:pPr>
              <w:pStyle w:val="Tabletext"/>
              <w:jc w:val="right"/>
            </w:pPr>
            <w:r w:rsidRPr="001D6B0F">
              <w:t>1167</w:t>
            </w:r>
          </w:p>
        </w:tc>
      </w:tr>
      <w:tr w:rsidR="003878E4" w:rsidRPr="001D6B0F" w14:paraId="3B7BD61F" w14:textId="77777777" w:rsidTr="001D6B0F">
        <w:tc>
          <w:tcPr>
            <w:tcW w:w="2449" w:type="dxa"/>
            <w:shd w:val="clear" w:color="auto" w:fill="auto"/>
            <w:vAlign w:val="center"/>
            <w:hideMark/>
          </w:tcPr>
          <w:p w14:paraId="0E92E1BB" w14:textId="77777777" w:rsidR="003878E4" w:rsidRPr="001D6B0F" w:rsidRDefault="003878E4" w:rsidP="001D6B0F">
            <w:pPr>
              <w:pStyle w:val="Tabletext"/>
            </w:pPr>
            <w:r w:rsidRPr="001D6B0F">
              <w:t>Hawkesdale</w:t>
            </w:r>
          </w:p>
        </w:tc>
        <w:tc>
          <w:tcPr>
            <w:tcW w:w="1972" w:type="dxa"/>
            <w:shd w:val="clear" w:color="auto" w:fill="auto"/>
          </w:tcPr>
          <w:p w14:paraId="33EA8326" w14:textId="77777777" w:rsidR="003878E4" w:rsidRPr="001D6B0F" w:rsidRDefault="003878E4" w:rsidP="001D6B0F">
            <w:pPr>
              <w:pStyle w:val="Tabletext"/>
            </w:pPr>
            <w:r w:rsidRPr="001D6B0F">
              <w:t>Upper</w:t>
            </w:r>
          </w:p>
        </w:tc>
        <w:tc>
          <w:tcPr>
            <w:tcW w:w="2398" w:type="dxa"/>
            <w:shd w:val="clear" w:color="auto" w:fill="auto"/>
          </w:tcPr>
          <w:p w14:paraId="46B615D5" w14:textId="337DE48C" w:rsidR="003878E4" w:rsidRPr="001D6B0F" w:rsidRDefault="003878E4" w:rsidP="001D6B0F">
            <w:pPr>
              <w:pStyle w:val="Tabletext"/>
              <w:jc w:val="right"/>
            </w:pPr>
            <w:r w:rsidRPr="001D6B0F">
              <w:t>12454</w:t>
            </w:r>
          </w:p>
        </w:tc>
        <w:tc>
          <w:tcPr>
            <w:tcW w:w="2835" w:type="dxa"/>
            <w:shd w:val="clear" w:color="auto" w:fill="auto"/>
            <w:vAlign w:val="center"/>
            <w:hideMark/>
          </w:tcPr>
          <w:p w14:paraId="52705BBA" w14:textId="7FB5A579" w:rsidR="003878E4" w:rsidRPr="001D6B0F" w:rsidRDefault="003878E4" w:rsidP="001D6B0F">
            <w:pPr>
              <w:pStyle w:val="Tabletext"/>
              <w:jc w:val="right"/>
            </w:pPr>
            <w:r w:rsidRPr="001D6B0F">
              <w:t>5939</w:t>
            </w:r>
          </w:p>
        </w:tc>
      </w:tr>
      <w:tr w:rsidR="003878E4" w:rsidRPr="001D6B0F" w14:paraId="77996E16" w14:textId="77777777" w:rsidTr="001D6B0F">
        <w:tc>
          <w:tcPr>
            <w:tcW w:w="2449" w:type="dxa"/>
            <w:shd w:val="clear" w:color="auto" w:fill="auto"/>
            <w:vAlign w:val="center"/>
            <w:hideMark/>
          </w:tcPr>
          <w:p w14:paraId="18D23E27" w14:textId="77777777" w:rsidR="003878E4" w:rsidRPr="001D6B0F" w:rsidRDefault="003878E4" w:rsidP="001D6B0F">
            <w:pPr>
              <w:pStyle w:val="Tabletext"/>
            </w:pPr>
            <w:r w:rsidRPr="001D6B0F">
              <w:t>Heywood</w:t>
            </w:r>
          </w:p>
        </w:tc>
        <w:tc>
          <w:tcPr>
            <w:tcW w:w="1972" w:type="dxa"/>
            <w:shd w:val="clear" w:color="auto" w:fill="auto"/>
          </w:tcPr>
          <w:p w14:paraId="54A71E4E" w14:textId="77777777" w:rsidR="003878E4" w:rsidRPr="001D6B0F" w:rsidRDefault="003878E4" w:rsidP="001D6B0F">
            <w:pPr>
              <w:pStyle w:val="Tabletext"/>
            </w:pPr>
            <w:r w:rsidRPr="001D6B0F">
              <w:t>Upper</w:t>
            </w:r>
          </w:p>
        </w:tc>
        <w:tc>
          <w:tcPr>
            <w:tcW w:w="2398" w:type="dxa"/>
            <w:shd w:val="clear" w:color="auto" w:fill="auto"/>
          </w:tcPr>
          <w:p w14:paraId="2A4282C2" w14:textId="769A1242" w:rsidR="003878E4" w:rsidRPr="001D6B0F" w:rsidRDefault="003878E4" w:rsidP="001D6B0F">
            <w:pPr>
              <w:pStyle w:val="Tabletext"/>
              <w:jc w:val="right"/>
            </w:pPr>
            <w:r w:rsidRPr="001D6B0F">
              <w:t>7006</w:t>
            </w:r>
          </w:p>
        </w:tc>
        <w:tc>
          <w:tcPr>
            <w:tcW w:w="2835" w:type="dxa"/>
            <w:shd w:val="clear" w:color="auto" w:fill="auto"/>
            <w:vAlign w:val="center"/>
            <w:hideMark/>
          </w:tcPr>
          <w:p w14:paraId="549F1FF2" w14:textId="0FBB5F32" w:rsidR="003878E4" w:rsidRPr="001D6B0F" w:rsidRDefault="003878E4" w:rsidP="001D6B0F">
            <w:pPr>
              <w:pStyle w:val="Tabletext"/>
              <w:jc w:val="right"/>
            </w:pPr>
            <w:r w:rsidRPr="001D6B0F">
              <w:t>1726</w:t>
            </w:r>
          </w:p>
        </w:tc>
      </w:tr>
      <w:tr w:rsidR="003878E4" w:rsidRPr="001D6B0F" w14:paraId="54B0C907" w14:textId="77777777" w:rsidTr="001D6B0F">
        <w:tc>
          <w:tcPr>
            <w:tcW w:w="2449" w:type="dxa"/>
            <w:shd w:val="clear" w:color="auto" w:fill="auto"/>
            <w:vAlign w:val="center"/>
            <w:hideMark/>
          </w:tcPr>
          <w:p w14:paraId="542146C4" w14:textId="77777777" w:rsidR="003878E4" w:rsidRPr="001D6B0F" w:rsidRDefault="003878E4" w:rsidP="001D6B0F">
            <w:pPr>
              <w:pStyle w:val="Tabletext"/>
            </w:pPr>
            <w:r w:rsidRPr="001D6B0F">
              <w:t>Jan Juc</w:t>
            </w:r>
          </w:p>
        </w:tc>
        <w:tc>
          <w:tcPr>
            <w:tcW w:w="1972" w:type="dxa"/>
            <w:shd w:val="clear" w:color="auto" w:fill="auto"/>
          </w:tcPr>
          <w:p w14:paraId="1BA4A1F3" w14:textId="77777777" w:rsidR="003878E4" w:rsidRPr="001D6B0F" w:rsidRDefault="003878E4" w:rsidP="001D6B0F">
            <w:pPr>
              <w:pStyle w:val="Tabletext"/>
            </w:pPr>
            <w:r w:rsidRPr="001D6B0F">
              <w:t>Upper</w:t>
            </w:r>
          </w:p>
        </w:tc>
        <w:tc>
          <w:tcPr>
            <w:tcW w:w="2398" w:type="dxa"/>
            <w:shd w:val="clear" w:color="auto" w:fill="auto"/>
          </w:tcPr>
          <w:p w14:paraId="15E5AB77" w14:textId="77777777" w:rsidR="003878E4" w:rsidRPr="001D6B0F" w:rsidRDefault="003878E4" w:rsidP="001D6B0F">
            <w:pPr>
              <w:pStyle w:val="Tabletext"/>
              <w:jc w:val="right"/>
            </w:pPr>
            <w:r w:rsidRPr="001D6B0F">
              <w:t>N/A</w:t>
            </w:r>
          </w:p>
        </w:tc>
        <w:tc>
          <w:tcPr>
            <w:tcW w:w="2835" w:type="dxa"/>
            <w:shd w:val="clear" w:color="auto" w:fill="auto"/>
            <w:vAlign w:val="center"/>
            <w:hideMark/>
          </w:tcPr>
          <w:p w14:paraId="26EFB2F3" w14:textId="223FC653" w:rsidR="003878E4" w:rsidRPr="001D6B0F" w:rsidRDefault="003878E4" w:rsidP="001D6B0F">
            <w:pPr>
              <w:pStyle w:val="Tabletext"/>
              <w:jc w:val="right"/>
            </w:pPr>
            <w:r w:rsidRPr="001D6B0F">
              <w:t>3511</w:t>
            </w:r>
          </w:p>
        </w:tc>
      </w:tr>
      <w:tr w:rsidR="003878E4" w:rsidRPr="001D6B0F" w14:paraId="2CB1EFF7" w14:textId="77777777" w:rsidTr="001D6B0F">
        <w:tc>
          <w:tcPr>
            <w:tcW w:w="2449" w:type="dxa"/>
            <w:shd w:val="clear" w:color="auto" w:fill="auto"/>
            <w:vAlign w:val="center"/>
            <w:hideMark/>
          </w:tcPr>
          <w:p w14:paraId="1D1CE697" w14:textId="77777777" w:rsidR="003878E4" w:rsidRPr="001D6B0F" w:rsidRDefault="003878E4" w:rsidP="001D6B0F">
            <w:pPr>
              <w:pStyle w:val="Tabletext"/>
            </w:pPr>
            <w:r w:rsidRPr="001D6B0F">
              <w:t>Newlingrook</w:t>
            </w:r>
          </w:p>
        </w:tc>
        <w:tc>
          <w:tcPr>
            <w:tcW w:w="1972" w:type="dxa"/>
            <w:shd w:val="clear" w:color="auto" w:fill="auto"/>
          </w:tcPr>
          <w:p w14:paraId="78C6E88C" w14:textId="77777777" w:rsidR="003878E4" w:rsidRPr="001D6B0F" w:rsidRDefault="003878E4" w:rsidP="001D6B0F">
            <w:pPr>
              <w:pStyle w:val="Tabletext"/>
            </w:pPr>
            <w:r w:rsidRPr="001D6B0F">
              <w:t>All</w:t>
            </w:r>
          </w:p>
        </w:tc>
        <w:tc>
          <w:tcPr>
            <w:tcW w:w="2398" w:type="dxa"/>
            <w:shd w:val="clear" w:color="auto" w:fill="auto"/>
          </w:tcPr>
          <w:p w14:paraId="01D43DD2" w14:textId="03A82ABC" w:rsidR="003878E4" w:rsidRPr="001D6B0F" w:rsidRDefault="003878E4" w:rsidP="001D6B0F">
            <w:pPr>
              <w:pStyle w:val="Tabletext"/>
              <w:jc w:val="right"/>
            </w:pPr>
            <w:r w:rsidRPr="001D6B0F">
              <w:t>5293</w:t>
            </w:r>
          </w:p>
        </w:tc>
        <w:tc>
          <w:tcPr>
            <w:tcW w:w="2835" w:type="dxa"/>
            <w:shd w:val="clear" w:color="auto" w:fill="auto"/>
            <w:vAlign w:val="center"/>
            <w:hideMark/>
          </w:tcPr>
          <w:p w14:paraId="4654579D" w14:textId="657C13D6" w:rsidR="003878E4" w:rsidRPr="001D6B0F" w:rsidRDefault="003878E4" w:rsidP="001D6B0F">
            <w:pPr>
              <w:pStyle w:val="Tabletext"/>
              <w:jc w:val="right"/>
            </w:pPr>
            <w:r w:rsidRPr="001D6B0F">
              <w:t>2729</w:t>
            </w:r>
          </w:p>
        </w:tc>
      </w:tr>
      <w:tr w:rsidR="003878E4" w:rsidRPr="001D6B0F" w14:paraId="00B95B8B" w14:textId="77777777" w:rsidTr="001D6B0F">
        <w:tc>
          <w:tcPr>
            <w:tcW w:w="2449" w:type="dxa"/>
            <w:shd w:val="clear" w:color="auto" w:fill="auto"/>
            <w:vAlign w:val="center"/>
            <w:hideMark/>
          </w:tcPr>
          <w:p w14:paraId="414F9D9D" w14:textId="77777777" w:rsidR="003878E4" w:rsidRPr="001D6B0F" w:rsidRDefault="003878E4" w:rsidP="001D6B0F">
            <w:pPr>
              <w:pStyle w:val="Tabletext"/>
            </w:pPr>
            <w:r w:rsidRPr="001D6B0F">
              <w:t>Paaratte</w:t>
            </w:r>
          </w:p>
        </w:tc>
        <w:tc>
          <w:tcPr>
            <w:tcW w:w="1972" w:type="dxa"/>
            <w:shd w:val="clear" w:color="auto" w:fill="auto"/>
          </w:tcPr>
          <w:p w14:paraId="265E636F" w14:textId="77777777" w:rsidR="003878E4" w:rsidRPr="001D6B0F" w:rsidRDefault="003878E4" w:rsidP="001D6B0F">
            <w:pPr>
              <w:pStyle w:val="Tabletext"/>
            </w:pPr>
            <w:r w:rsidRPr="001D6B0F">
              <w:t>Upper</w:t>
            </w:r>
          </w:p>
        </w:tc>
        <w:tc>
          <w:tcPr>
            <w:tcW w:w="2398" w:type="dxa"/>
            <w:shd w:val="clear" w:color="auto" w:fill="auto"/>
          </w:tcPr>
          <w:p w14:paraId="0E19532C" w14:textId="6411D2A7" w:rsidR="003878E4" w:rsidRPr="001D6B0F" w:rsidRDefault="003878E4" w:rsidP="001D6B0F">
            <w:pPr>
              <w:pStyle w:val="Tabletext"/>
              <w:jc w:val="right"/>
            </w:pPr>
            <w:r w:rsidRPr="001D6B0F">
              <w:t>3212</w:t>
            </w:r>
          </w:p>
        </w:tc>
        <w:tc>
          <w:tcPr>
            <w:tcW w:w="2835" w:type="dxa"/>
            <w:shd w:val="clear" w:color="auto" w:fill="auto"/>
            <w:vAlign w:val="center"/>
            <w:hideMark/>
          </w:tcPr>
          <w:p w14:paraId="7C987B26" w14:textId="77777777" w:rsidR="003878E4" w:rsidRPr="001D6B0F" w:rsidRDefault="003878E4" w:rsidP="001D6B0F">
            <w:pPr>
              <w:pStyle w:val="Tabletext"/>
              <w:jc w:val="right"/>
            </w:pPr>
            <w:r w:rsidRPr="001D6B0F">
              <w:t>345</w:t>
            </w:r>
          </w:p>
        </w:tc>
      </w:tr>
      <w:tr w:rsidR="003878E4" w:rsidRPr="001D6B0F" w14:paraId="6DC21FB1" w14:textId="77777777" w:rsidTr="001D6B0F">
        <w:tc>
          <w:tcPr>
            <w:tcW w:w="2449" w:type="dxa"/>
            <w:shd w:val="clear" w:color="auto" w:fill="auto"/>
            <w:vAlign w:val="center"/>
            <w:hideMark/>
          </w:tcPr>
          <w:p w14:paraId="61F984FD" w14:textId="77777777" w:rsidR="003878E4" w:rsidRPr="001D6B0F" w:rsidRDefault="003878E4" w:rsidP="001D6B0F">
            <w:pPr>
              <w:pStyle w:val="Tabletext"/>
            </w:pPr>
            <w:r w:rsidRPr="001D6B0F">
              <w:t>Portland</w:t>
            </w:r>
          </w:p>
        </w:tc>
        <w:tc>
          <w:tcPr>
            <w:tcW w:w="1972" w:type="dxa"/>
            <w:shd w:val="clear" w:color="auto" w:fill="auto"/>
          </w:tcPr>
          <w:p w14:paraId="3C6FBF2B" w14:textId="77777777" w:rsidR="003878E4" w:rsidRPr="001D6B0F" w:rsidRDefault="003878E4" w:rsidP="001D6B0F">
            <w:pPr>
              <w:pStyle w:val="Tabletext"/>
            </w:pPr>
            <w:r w:rsidRPr="001D6B0F">
              <w:t>Lower</w:t>
            </w:r>
          </w:p>
        </w:tc>
        <w:tc>
          <w:tcPr>
            <w:tcW w:w="2398" w:type="dxa"/>
            <w:shd w:val="clear" w:color="auto" w:fill="auto"/>
          </w:tcPr>
          <w:p w14:paraId="2605B116" w14:textId="1ACB4FAD" w:rsidR="003878E4" w:rsidRPr="001D6B0F" w:rsidRDefault="003878E4" w:rsidP="001D6B0F">
            <w:pPr>
              <w:pStyle w:val="Tabletext"/>
              <w:jc w:val="right"/>
            </w:pPr>
            <w:r w:rsidRPr="001D6B0F">
              <w:t>7794</w:t>
            </w:r>
          </w:p>
        </w:tc>
        <w:tc>
          <w:tcPr>
            <w:tcW w:w="2835" w:type="dxa"/>
            <w:shd w:val="clear" w:color="auto" w:fill="auto"/>
            <w:vAlign w:val="center"/>
            <w:hideMark/>
          </w:tcPr>
          <w:p w14:paraId="43675203" w14:textId="04BC4EC2" w:rsidR="003878E4" w:rsidRPr="001D6B0F" w:rsidRDefault="003878E4" w:rsidP="001D6B0F">
            <w:pPr>
              <w:pStyle w:val="Tabletext"/>
              <w:jc w:val="right"/>
            </w:pPr>
            <w:r w:rsidRPr="001D6B0F">
              <w:t>2692</w:t>
            </w:r>
          </w:p>
        </w:tc>
      </w:tr>
    </w:tbl>
    <w:p w14:paraId="4B46CB00" w14:textId="662B758A" w:rsidR="00134F6D" w:rsidRPr="00642A5D" w:rsidRDefault="00237D13" w:rsidP="00C150BC">
      <w:pPr>
        <w:pStyle w:val="FootnoteText"/>
        <w:rPr>
          <w:lang w:val="en-AU" w:eastAsia="en-US"/>
        </w:rPr>
      </w:pPr>
      <w:r>
        <w:rPr>
          <w:lang w:val="en-AU" w:eastAsia="en-US"/>
        </w:rPr>
        <w:t>n/a</w:t>
      </w:r>
      <w:r w:rsidR="003878E4">
        <w:rPr>
          <w:lang w:val="en-AU" w:eastAsia="en-US"/>
        </w:rPr>
        <w:t xml:space="preserve"> = not available</w:t>
      </w:r>
    </w:p>
    <w:p w14:paraId="75E6A905" w14:textId="77C90745" w:rsidR="00920AD5" w:rsidRPr="00642A5D" w:rsidRDefault="00540B70" w:rsidP="00920AD5">
      <w:pPr>
        <w:pStyle w:val="Head2xx"/>
      </w:pPr>
      <w:bookmarkStart w:id="278" w:name="_Toc420568678"/>
      <w:bookmarkStart w:id="279" w:name="_Toc420570260"/>
      <w:bookmarkStart w:id="280" w:name="_Toc420571456"/>
      <w:bookmarkStart w:id="281" w:name="_Toc420572094"/>
      <w:bookmarkStart w:id="282" w:name="_Toc296766950"/>
      <w:bookmarkStart w:id="283" w:name="_Toc422927898"/>
      <w:r>
        <w:t>2.5</w:t>
      </w:r>
      <w:r>
        <w:tab/>
      </w:r>
      <w:r w:rsidR="0016614C" w:rsidRPr="00642A5D">
        <w:t>Natural ga</w:t>
      </w:r>
      <w:r w:rsidR="00D0777E" w:rsidRPr="00642A5D">
        <w:t>s i</w:t>
      </w:r>
      <w:r w:rsidR="007037BD" w:rsidRPr="00642A5D">
        <w:t>nteractions with groundwater</w:t>
      </w:r>
      <w:r w:rsidR="00191408" w:rsidRPr="00642A5D">
        <w:t>,</w:t>
      </w:r>
      <w:r w:rsidR="00D0777E" w:rsidRPr="00642A5D">
        <w:t xml:space="preserve"> </w:t>
      </w:r>
      <w:r w:rsidR="0016614C" w:rsidRPr="00642A5D">
        <w:t>surface water</w:t>
      </w:r>
      <w:r w:rsidR="00D0777E" w:rsidRPr="00642A5D">
        <w:t xml:space="preserve"> </w:t>
      </w:r>
      <w:r w:rsidR="00191408" w:rsidRPr="00642A5D">
        <w:t>and ecosystems</w:t>
      </w:r>
      <w:bookmarkEnd w:id="278"/>
      <w:bookmarkEnd w:id="279"/>
      <w:bookmarkEnd w:id="280"/>
      <w:bookmarkEnd w:id="281"/>
      <w:bookmarkEnd w:id="282"/>
      <w:bookmarkEnd w:id="283"/>
    </w:p>
    <w:p w14:paraId="2CEF25D8" w14:textId="7C2D5AAD" w:rsidR="00866D58" w:rsidRPr="00642A5D" w:rsidRDefault="00F862EC" w:rsidP="007A3E0D">
      <w:pPr>
        <w:pStyle w:val="Para0"/>
      </w:pPr>
      <w:r w:rsidRPr="00642A5D">
        <w:t xml:space="preserve">The onshore </w:t>
      </w:r>
      <w:r w:rsidR="007C4916">
        <w:t>Otway region</w:t>
      </w:r>
      <w:r w:rsidRPr="00642A5D">
        <w:t xml:space="preserve"> contains </w:t>
      </w:r>
      <w:r w:rsidR="00024AF2" w:rsidRPr="00642A5D">
        <w:t xml:space="preserve">potentially </w:t>
      </w:r>
      <w:r w:rsidRPr="00642A5D">
        <w:t xml:space="preserve">prospective sites for all gas types including conventional, tight, shale and coal seam gas. The main focus for resource development </w:t>
      </w:r>
      <w:r w:rsidR="00F9178C" w:rsidRPr="00642A5D">
        <w:t xml:space="preserve">scenarios presented in this study of </w:t>
      </w:r>
      <w:r w:rsidRPr="00642A5D">
        <w:t xml:space="preserve">the onshore </w:t>
      </w:r>
      <w:r w:rsidR="007C4916">
        <w:t>Otway region</w:t>
      </w:r>
      <w:r w:rsidRPr="00642A5D">
        <w:t xml:space="preserve"> </w:t>
      </w:r>
      <w:r w:rsidR="002D4544" w:rsidRPr="00642A5D">
        <w:t>is</w:t>
      </w:r>
      <w:r w:rsidRPr="00642A5D">
        <w:t xml:space="preserve"> the Port Campbell Embayment and the Penola Trough. </w:t>
      </w:r>
      <w:r w:rsidR="00F9178C" w:rsidRPr="00642A5D">
        <w:t>The Port Campbell Embayment is the place in Victoria where onshore natural gas has been discovered and produced in the past. In the South Australian portion of the Penola Trough, numerous gas fields have also been discovered and produced.</w:t>
      </w:r>
    </w:p>
    <w:p w14:paraId="6D8BA137" w14:textId="163028D6" w:rsidR="00F862EC" w:rsidRPr="00642A5D" w:rsidRDefault="00540B70" w:rsidP="00C150BC">
      <w:pPr>
        <w:pStyle w:val="Head3xxx"/>
      </w:pPr>
      <w:bookmarkStart w:id="284" w:name="_Ref406599958"/>
      <w:bookmarkStart w:id="285" w:name="_Toc420568679"/>
      <w:bookmarkStart w:id="286" w:name="_Toc420570261"/>
      <w:bookmarkStart w:id="287" w:name="_Toc420571457"/>
      <w:bookmarkStart w:id="288" w:name="_Toc420572095"/>
      <w:bookmarkStart w:id="289" w:name="_Toc296766951"/>
      <w:r>
        <w:t>2.5.1</w:t>
      </w:r>
      <w:r>
        <w:tab/>
      </w:r>
      <w:r w:rsidR="00503667" w:rsidRPr="00642A5D">
        <w:t>G</w:t>
      </w:r>
      <w:r w:rsidR="00F862EC" w:rsidRPr="00642A5D">
        <w:t>roundwat</w:t>
      </w:r>
      <w:bookmarkEnd w:id="284"/>
      <w:r w:rsidR="00232F76">
        <w:t>er</w:t>
      </w:r>
      <w:bookmarkEnd w:id="285"/>
      <w:bookmarkEnd w:id="286"/>
      <w:bookmarkEnd w:id="287"/>
      <w:bookmarkEnd w:id="288"/>
      <w:bookmarkEnd w:id="289"/>
    </w:p>
    <w:p w14:paraId="20B49B57" w14:textId="6B524DEC" w:rsidR="00F862EC" w:rsidRPr="00642A5D" w:rsidRDefault="00F862EC" w:rsidP="007A3E0D">
      <w:pPr>
        <w:pStyle w:val="Para0"/>
        <w:rPr>
          <w:lang w:val="en-GB"/>
        </w:rPr>
      </w:pPr>
      <w:r w:rsidRPr="00642A5D">
        <w:t xml:space="preserve">The following section considers the hydraulic connectivity between the geological formations in which gas prospects have been identified </w:t>
      </w:r>
      <w:r w:rsidR="00707A27">
        <w:t>(</w:t>
      </w:r>
      <w:r w:rsidRPr="00CB4F01">
        <w:t xml:space="preserve">in </w:t>
      </w:r>
      <w:r w:rsidR="00540B70">
        <w:t>S</w:t>
      </w:r>
      <w:r w:rsidRPr="00CB4F01">
        <w:t>ection</w:t>
      </w:r>
      <w:r w:rsidR="008B7710">
        <w:t xml:space="preserve"> 2.2.3</w:t>
      </w:r>
      <w:r w:rsidR="00707A27" w:rsidRPr="00CB4F01">
        <w:t>)</w:t>
      </w:r>
      <w:r w:rsidRPr="00CB4F01">
        <w:t>,</w:t>
      </w:r>
      <w:r w:rsidRPr="00642A5D">
        <w:t xml:space="preserve"> and any aquifers or </w:t>
      </w:r>
      <w:r w:rsidR="00191408" w:rsidRPr="00642A5D">
        <w:t>ground</w:t>
      </w:r>
      <w:r w:rsidRPr="00642A5D">
        <w:t xml:space="preserve">water assets that occur in the overlying stratigraphy. In this context, the connectivity between </w:t>
      </w:r>
      <w:r w:rsidR="00B40453" w:rsidRPr="00642A5D">
        <w:t xml:space="preserve">gas </w:t>
      </w:r>
      <w:r w:rsidRPr="00642A5D">
        <w:t>prospect formations and directly overlying aquifers has been evaluated, as well as the connectivity between any aquifers that may be subsequently impacted by those directly affected aquifers.</w:t>
      </w:r>
    </w:p>
    <w:p w14:paraId="6CB77DB8" w14:textId="77777777" w:rsidR="00540B70" w:rsidRDefault="00540B70">
      <w:pPr>
        <w:spacing w:after="200"/>
        <w:rPr>
          <w:b/>
        </w:rPr>
      </w:pPr>
      <w:r>
        <w:br w:type="page"/>
      </w:r>
    </w:p>
    <w:p w14:paraId="4BB822DC" w14:textId="7BC26C09" w:rsidR="00024AF2" w:rsidRPr="00642A5D" w:rsidRDefault="00024AF2" w:rsidP="00024AF2">
      <w:pPr>
        <w:pStyle w:val="Heading4"/>
      </w:pPr>
      <w:r w:rsidRPr="00642A5D">
        <w:t>Shale gas</w:t>
      </w:r>
    </w:p>
    <w:p w14:paraId="721E2BFC" w14:textId="0B2768F4" w:rsidR="00024AF2" w:rsidRPr="00642A5D" w:rsidRDefault="00024AF2" w:rsidP="00024AF2">
      <w:pPr>
        <w:pStyle w:val="Para0"/>
      </w:pPr>
      <w:r w:rsidRPr="00642A5D">
        <w:t>The Casterton Formation within the Penola Trough is potentially prospective for shale gas (</w:t>
      </w:r>
      <w:r w:rsidRPr="00642A5D">
        <w:fldChar w:fldCharType="begin"/>
      </w:r>
      <w:r w:rsidRPr="00642A5D">
        <w:instrText xml:space="preserve"> REF _Ref409426002 \h </w:instrText>
      </w:r>
      <w:r w:rsidR="00642A5D">
        <w:instrText xml:space="preserve"> \* MERGEFORMAT </w:instrText>
      </w:r>
      <w:r w:rsidRPr="00642A5D">
        <w:fldChar w:fldCharType="separate"/>
      </w:r>
      <w:r w:rsidR="00171A5E" w:rsidRPr="00642A5D">
        <w:t xml:space="preserve">Figure </w:t>
      </w:r>
      <w:r w:rsidR="00171A5E">
        <w:rPr>
          <w:noProof/>
        </w:rPr>
        <w:t>24</w:t>
      </w:r>
      <w:r w:rsidRPr="00642A5D">
        <w:fldChar w:fldCharType="end"/>
      </w:r>
      <w:r w:rsidRPr="00642A5D">
        <w:t xml:space="preserve">). In the Penola Trough the LTA is the closest aquifer to the Casterton Formation and is separated from it by approximately </w:t>
      </w:r>
      <w:r w:rsidR="006F2A40">
        <w:t>1</w:t>
      </w:r>
      <w:r w:rsidR="006F2A40" w:rsidRPr="00642A5D">
        <w:t xml:space="preserve"> </w:t>
      </w:r>
      <w:r w:rsidRPr="00642A5D">
        <w:t xml:space="preserve">to 3 km of alternating aquifer and aquitard sequences. As such, it is unlikely that the LTA is appreciably hydraulically connected </w:t>
      </w:r>
      <w:r w:rsidR="00707A27">
        <w:t>to</w:t>
      </w:r>
      <w:r w:rsidR="00707A27" w:rsidRPr="00642A5D">
        <w:t xml:space="preserve"> </w:t>
      </w:r>
      <w:r w:rsidRPr="00642A5D">
        <w:t xml:space="preserve">the Casterton Formation. </w:t>
      </w:r>
    </w:p>
    <w:p w14:paraId="0A8A4921" w14:textId="77777777" w:rsidR="00024AF2" w:rsidRPr="00642A5D" w:rsidRDefault="00024AF2" w:rsidP="00CB4F01">
      <w:pPr>
        <w:pStyle w:val="figurereturn"/>
      </w:pPr>
      <w:r w:rsidRPr="00642A5D">
        <w:drawing>
          <wp:inline distT="0" distB="0" distL="0" distR="0" wp14:anchorId="66BCFD06" wp14:editId="0C2E6EC4">
            <wp:extent cx="5912154" cy="3949903"/>
            <wp:effectExtent l="0" t="0" r="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12154" cy="3949903"/>
                    </a:xfrm>
                    <a:prstGeom prst="rect">
                      <a:avLst/>
                    </a:prstGeom>
                  </pic:spPr>
                </pic:pic>
              </a:graphicData>
            </a:graphic>
          </wp:inline>
        </w:drawing>
      </w:r>
    </w:p>
    <w:p w14:paraId="76241DB9" w14:textId="01F21B8E" w:rsidR="00024AF2" w:rsidRDefault="00024AF2" w:rsidP="00A53AE8">
      <w:pPr>
        <w:pStyle w:val="Figuretitle"/>
      </w:pPr>
      <w:bookmarkStart w:id="290" w:name="_Ref409426002"/>
      <w:bookmarkStart w:id="291" w:name="_Toc422928795"/>
      <w:r w:rsidRPr="00642A5D">
        <w:t xml:space="preserve">Figure </w:t>
      </w:r>
      <w:r w:rsidRPr="00642A5D">
        <w:fldChar w:fldCharType="begin"/>
      </w:r>
      <w:r w:rsidRPr="00642A5D">
        <w:instrText xml:space="preserve"> SEQ Figure \* ARABIC </w:instrText>
      </w:r>
      <w:r w:rsidRPr="00642A5D">
        <w:fldChar w:fldCharType="separate"/>
      </w:r>
      <w:r w:rsidR="00171A5E">
        <w:t>24</w:t>
      </w:r>
      <w:r w:rsidRPr="00642A5D">
        <w:fldChar w:fldCharType="end"/>
      </w:r>
      <w:bookmarkEnd w:id="290"/>
      <w:r w:rsidR="00F95BE3">
        <w:t>:</w:t>
      </w:r>
      <w:r w:rsidRPr="00642A5D">
        <w:t xml:space="preserve"> </w:t>
      </w:r>
      <w:r w:rsidR="001E7945">
        <w:t xml:space="preserve"> </w:t>
      </w:r>
      <w:r w:rsidRPr="00642A5D">
        <w:t>Penola Trough cross section</w:t>
      </w:r>
      <w:r w:rsidR="001E7945">
        <w:t>.</w:t>
      </w:r>
      <w:r w:rsidRPr="00642A5D">
        <w:t xml:space="preserve"> (</w:t>
      </w:r>
      <w:r w:rsidR="001E7945">
        <w:t>S</w:t>
      </w:r>
      <w:r w:rsidR="00755B17">
        <w:t xml:space="preserve">ource: </w:t>
      </w:r>
      <w:r w:rsidRPr="00642A5D">
        <w:t xml:space="preserve">Boult and </w:t>
      </w:r>
      <w:r w:rsidRPr="00642A5D">
        <w:rPr>
          <w:rFonts w:cs="Arial"/>
        </w:rPr>
        <w:t>Hibburt</w:t>
      </w:r>
      <w:r w:rsidRPr="00642A5D">
        <w:t>, 2002</w:t>
      </w:r>
      <w:r w:rsidR="001E7945">
        <w:t>.</w:t>
      </w:r>
      <w:r w:rsidRPr="00642A5D">
        <w:t>)</w:t>
      </w:r>
      <w:bookmarkEnd w:id="291"/>
    </w:p>
    <w:p w14:paraId="62953EE3" w14:textId="058188F6" w:rsidR="00024AF2" w:rsidRPr="00642A5D" w:rsidRDefault="00024AF2" w:rsidP="00024AF2">
      <w:pPr>
        <w:pStyle w:val="Para0"/>
      </w:pPr>
      <w:r w:rsidRPr="00642A5D">
        <w:t>In a study undertaken by SKM (2011) the hydraulic connection between the LTA and UMTA around the South Australia</w:t>
      </w:r>
      <w:r w:rsidR="00E0025D">
        <w:t xml:space="preserve"> – </w:t>
      </w:r>
      <w:r w:rsidRPr="00642A5D">
        <w:t>Victoria border (commonly referred to as the border zone) was undertaken. As part of this study, pump tests were conducted at 8 sites located within 40 km of the township of Penola. Groundwater was extracted from the LTA and responses were measured in the LTA and overlying aquifers and aquitards. A numerical model was subsequently developed to help assess the potential for leakage between the LTA and UMTA.</w:t>
      </w:r>
    </w:p>
    <w:p w14:paraId="129A6DE6" w14:textId="6A38FC0A" w:rsidR="00024AF2" w:rsidRPr="00642A5D" w:rsidRDefault="00024AF2" w:rsidP="00024AF2">
      <w:pPr>
        <w:pStyle w:val="Para0"/>
      </w:pPr>
      <w:r w:rsidRPr="00642A5D">
        <w:t>The investigations determined that there is moderate to very good hydraulic connection between the LTA and the UMTA in the border zone. While the presence of an aquitard was identified across most of the study area, its thickness and effective vertical permeability were no</w:t>
      </w:r>
      <w:r w:rsidR="00E0025D">
        <w:t xml:space="preserve">t </w:t>
      </w:r>
      <w:r w:rsidRPr="00642A5D">
        <w:t>homogeneous</w:t>
      </w:r>
      <w:r w:rsidR="00362E02">
        <w:t xml:space="preserve"> </w:t>
      </w:r>
      <w:r w:rsidR="00051F1C">
        <w:t xml:space="preserve">and its effectiveness as a </w:t>
      </w:r>
      <w:r w:rsidR="00362E02">
        <w:t xml:space="preserve">barrier </w:t>
      </w:r>
      <w:r w:rsidR="00051F1C">
        <w:t xml:space="preserve">is </w:t>
      </w:r>
      <w:r w:rsidR="00E0025D">
        <w:t xml:space="preserve">therefore </w:t>
      </w:r>
      <w:r w:rsidR="00362E02">
        <w:t>expected</w:t>
      </w:r>
      <w:r w:rsidR="00051F1C">
        <w:t xml:space="preserve"> to </w:t>
      </w:r>
      <w:r w:rsidR="00E0025D">
        <w:t>vary</w:t>
      </w:r>
      <w:r w:rsidRPr="00642A5D">
        <w:t xml:space="preserve">. At two </w:t>
      </w:r>
      <w:r w:rsidR="00E0025D">
        <w:t>sites</w:t>
      </w:r>
      <w:r w:rsidRPr="00642A5D">
        <w:t xml:space="preserve"> the aquitard was absent or </w:t>
      </w:r>
      <w:r w:rsidR="00E0025D">
        <w:t>so</w:t>
      </w:r>
      <w:r w:rsidR="00E0025D" w:rsidRPr="00642A5D">
        <w:t xml:space="preserve"> </w:t>
      </w:r>
      <w:r w:rsidRPr="00642A5D">
        <w:t xml:space="preserve">thin that the </w:t>
      </w:r>
      <w:r w:rsidR="00E0025D">
        <w:t>aquifer</w:t>
      </w:r>
      <w:r w:rsidR="00E0025D" w:rsidRPr="00642A5D">
        <w:t xml:space="preserve"> </w:t>
      </w:r>
      <w:r w:rsidR="00E0025D">
        <w:t xml:space="preserve">was </w:t>
      </w:r>
      <w:r w:rsidRPr="00642A5D">
        <w:t>effectively unconfined</w:t>
      </w:r>
      <w:r w:rsidR="00E0025D">
        <w:t>;</w:t>
      </w:r>
      <w:r w:rsidRPr="00642A5D">
        <w:t xml:space="preserve"> at one of these sites, pumping in the LTA induced drawdown in the UMTA within one day of test activation. Results from numerical modelling indicate that leakage between the aquifers can be expected to occur within days of pumping commencement</w:t>
      </w:r>
      <w:r w:rsidR="00707A27">
        <w:t>,</w:t>
      </w:r>
      <w:r w:rsidRPr="00642A5D">
        <w:t xml:space="preserve"> and that significant flow between the aquifers is possible even when the aquitard is present. These results indicate that</w:t>
      </w:r>
      <w:r w:rsidR="00E0025D">
        <w:t>,</w:t>
      </w:r>
      <w:r w:rsidRPr="00642A5D">
        <w:t xml:space="preserve"> in the event of drawdown in the LTA, it is likely that responses in the overlying UMTA will also be observed. </w:t>
      </w:r>
    </w:p>
    <w:p w14:paraId="4976C574" w14:textId="77777777" w:rsidR="00024AF2" w:rsidRPr="00642A5D" w:rsidRDefault="00024AF2" w:rsidP="00024AF2">
      <w:pPr>
        <w:pStyle w:val="Para0"/>
      </w:pPr>
      <w:r w:rsidRPr="00642A5D">
        <w:t xml:space="preserve">While these results indicate a strong hydraulic connection between the LTA and UMTA in the Penola Trough, less information is available regarding the connectivity between these units and the underlying Mesozoic and Palaeozoic bedrock formations, such as the Casterton Formation in which shale gas is a prospect. </w:t>
      </w:r>
    </w:p>
    <w:p w14:paraId="6C81D61E" w14:textId="3E47B416" w:rsidR="00024AF2" w:rsidRPr="00642A5D" w:rsidRDefault="00024AF2" w:rsidP="00024AF2">
      <w:pPr>
        <w:pStyle w:val="Para0"/>
      </w:pPr>
      <w:r w:rsidRPr="00642A5D">
        <w:t>In many hydrogeological studies in the Otway Basin</w:t>
      </w:r>
      <w:r w:rsidR="00941141">
        <w:t xml:space="preserve"> it is assumed that</w:t>
      </w:r>
      <w:r w:rsidRPr="00642A5D">
        <w:t xml:space="preserve"> the top of the basement is the base of the LTA and </w:t>
      </w:r>
      <w:r w:rsidR="00051F1C">
        <w:t>that</w:t>
      </w:r>
      <w:r w:rsidRPr="00642A5D">
        <w:t xml:space="preserve"> the hydraulic properties of all underlying units (including the Sherbrook Group, Eumeralla Formation, Crayfish Group and Casterton Formation) are uniform (SKM and GHD, 2009). </w:t>
      </w:r>
      <w:r w:rsidR="00941141">
        <w:t xml:space="preserve">A comparison of the </w:t>
      </w:r>
      <w:r w:rsidRPr="00642A5D">
        <w:t xml:space="preserve">groundwater salinity in the LTA and all underlying units by SKM (2010) </w:t>
      </w:r>
      <w:r w:rsidR="00051F1C">
        <w:t>indicate</w:t>
      </w:r>
      <w:r w:rsidR="00941141">
        <w:t>s</w:t>
      </w:r>
      <w:r w:rsidRPr="00642A5D">
        <w:t xml:space="preserve"> that the LTA and the basement </w:t>
      </w:r>
      <w:r w:rsidR="00ED356E">
        <w:t>are</w:t>
      </w:r>
      <w:r w:rsidR="00ED356E" w:rsidRPr="00642A5D">
        <w:t xml:space="preserve"> </w:t>
      </w:r>
      <w:r w:rsidRPr="00642A5D">
        <w:t>not hydrogeologically well connected.</w:t>
      </w:r>
    </w:p>
    <w:p w14:paraId="4C003B14" w14:textId="1ABBC8BA" w:rsidR="00024AF2" w:rsidRPr="00642A5D" w:rsidRDefault="00024AF2" w:rsidP="00024AF2">
      <w:pPr>
        <w:pStyle w:val="Para0"/>
        <w:suppressAutoHyphens/>
      </w:pPr>
      <w:r w:rsidRPr="00642A5D">
        <w:t xml:space="preserve">A similar approach </w:t>
      </w:r>
      <w:r w:rsidR="00ED356E" w:rsidRPr="00642A5D">
        <w:t>which characterise the units underlying the LTA as an impermeable basement</w:t>
      </w:r>
      <w:r w:rsidR="00ED356E">
        <w:t>,</w:t>
      </w:r>
      <w:r w:rsidR="00ED356E" w:rsidRPr="00642A5D">
        <w:t xml:space="preserve"> </w:t>
      </w:r>
      <w:r w:rsidRPr="00642A5D">
        <w:t>has been adopted in other studies. For example, numerical modelling of the Barwon Downs and Newlingrook areas (</w:t>
      </w:r>
      <w:r w:rsidR="002D4544" w:rsidRPr="00642A5D">
        <w:t>e.g.</w:t>
      </w:r>
      <w:r w:rsidRPr="00642A5D">
        <w:t xml:space="preserve"> SKM, 2001) consider</w:t>
      </w:r>
      <w:r w:rsidR="00966E03">
        <w:t>ed</w:t>
      </w:r>
      <w:r w:rsidRPr="00642A5D">
        <w:t xml:space="preserve"> the basement as everything underlying the Pebble Point Formation. In these models the basement is a no</w:t>
      </w:r>
      <w:r w:rsidR="00941141">
        <w:t>-</w:t>
      </w:r>
      <w:r w:rsidRPr="00642A5D">
        <w:t>flow boundary (a boundary over which no groundwater flows occurs). While such assumptions may be reasonable for such modelling purposes, recent investigations (Jacobs, 2014a) have indicated that the hydraulic conductivity of the upper basement is in the order of 6</w:t>
      </w:r>
      <w:r w:rsidR="00941141">
        <w:rPr>
          <w:rFonts w:cs="Arial"/>
        </w:rPr>
        <w:t xml:space="preserve"> </w:t>
      </w:r>
      <w:r w:rsidR="00941141">
        <w:rPr>
          <w:rFonts w:cs="Arial"/>
        </w:rPr>
        <w:sym w:font="Symbol" w:char="F0B4"/>
      </w:r>
      <w:r w:rsidR="00941141">
        <w:rPr>
          <w:rFonts w:cs="Arial"/>
        </w:rPr>
        <w:t xml:space="preserve"> </w:t>
      </w:r>
      <w:r w:rsidRPr="00642A5D">
        <w:t>10</w:t>
      </w:r>
      <w:r w:rsidR="00941141">
        <w:rPr>
          <w:vertAlign w:val="superscript"/>
        </w:rPr>
        <w:t>–</w:t>
      </w:r>
      <w:r w:rsidRPr="00642A5D">
        <w:rPr>
          <w:vertAlign w:val="superscript"/>
        </w:rPr>
        <w:t>3</w:t>
      </w:r>
      <w:r w:rsidRPr="00642A5D">
        <w:t xml:space="preserve"> m/day. While this suggests that the upper basement may not always be impermeable and may in fact act as a leaky boundary, this value is reflective of the upper </w:t>
      </w:r>
      <w:r w:rsidR="00941141">
        <w:t>few tens</w:t>
      </w:r>
      <w:r w:rsidR="00941141" w:rsidRPr="00642A5D">
        <w:t xml:space="preserve"> </w:t>
      </w:r>
      <w:r w:rsidRPr="00642A5D">
        <w:t>of metres of the basement that are weathered and fractured and hence do</w:t>
      </w:r>
      <w:r w:rsidR="00E93A19">
        <w:t>es</w:t>
      </w:r>
      <w:r w:rsidRPr="00642A5D">
        <w:t xml:space="preserve"> not reflect the conductivity of the basement as a whole. </w:t>
      </w:r>
    </w:p>
    <w:p w14:paraId="3FE7439C" w14:textId="632F3170" w:rsidR="00024AF2" w:rsidRPr="00642A5D" w:rsidRDefault="00024AF2" w:rsidP="00E93A19">
      <w:pPr>
        <w:pStyle w:val="Para0"/>
        <w:rPr>
          <w:lang w:val="en-GB"/>
        </w:rPr>
      </w:pPr>
      <w:r w:rsidRPr="00642A5D">
        <w:t>It should be noted that these results were recorded in the upper basement in the Barwon Downs area and</w:t>
      </w:r>
      <w:r w:rsidR="00941141">
        <w:t xml:space="preserve"> so</w:t>
      </w:r>
      <w:r w:rsidRPr="00642A5D">
        <w:t xml:space="preserve"> may not reflect conditions lower in the basement </w:t>
      </w:r>
      <w:r w:rsidRPr="00CB4F01">
        <w:t>(i.e.</w:t>
      </w:r>
      <w:r w:rsidRPr="00642A5D">
        <w:t xml:space="preserve"> in the Casterton Formation) in the Penola Trough. The results do</w:t>
      </w:r>
      <w:r w:rsidR="00941141">
        <w:t>, however,</w:t>
      </w:r>
      <w:r w:rsidRPr="00642A5D">
        <w:t xml:space="preserve"> highlight potential flaws in assuming a set of homogeneous aquifer properties for all units underlying the LTA. In any case the scarcity of data for the units underlying the LTA in the Penola Trough</w:t>
      </w:r>
      <w:r w:rsidR="00941141">
        <w:t xml:space="preserve"> means that</w:t>
      </w:r>
      <w:r w:rsidRPr="00642A5D">
        <w:t xml:space="preserve"> further assessment is required to determine the connectivity between </w:t>
      </w:r>
      <w:r w:rsidR="00932254">
        <w:t xml:space="preserve">the prospective </w:t>
      </w:r>
      <w:r w:rsidRPr="00642A5D">
        <w:t xml:space="preserve">shale gas </w:t>
      </w:r>
      <w:r w:rsidR="00932254">
        <w:t>formations and the over</w:t>
      </w:r>
      <w:r w:rsidRPr="00642A5D">
        <w:t>lying aquifers.</w:t>
      </w:r>
    </w:p>
    <w:p w14:paraId="26198D3E" w14:textId="77777777" w:rsidR="00F862EC" w:rsidRPr="00642A5D" w:rsidRDefault="00F862EC" w:rsidP="00920AD5">
      <w:pPr>
        <w:pStyle w:val="Heading4"/>
      </w:pPr>
      <w:r w:rsidRPr="00642A5D">
        <w:t>Conventional and tight gas</w:t>
      </w:r>
    </w:p>
    <w:p w14:paraId="3D4C47A2" w14:textId="2108E145" w:rsidR="00F862EC" w:rsidRPr="00642A5D" w:rsidRDefault="00941141" w:rsidP="00F862EC">
      <w:pPr>
        <w:pStyle w:val="Para0"/>
      </w:pPr>
      <w:r>
        <w:t>P</w:t>
      </w:r>
      <w:r w:rsidR="00932254">
        <w:t xml:space="preserve">rospective </w:t>
      </w:r>
      <w:r w:rsidR="00F862EC" w:rsidRPr="00642A5D">
        <w:t xml:space="preserve">conventional </w:t>
      </w:r>
      <w:r>
        <w:t xml:space="preserve">gas </w:t>
      </w:r>
      <w:r w:rsidR="00F862EC" w:rsidRPr="00642A5D">
        <w:t xml:space="preserve">and tight gas </w:t>
      </w:r>
      <w:r w:rsidR="00932254">
        <w:t>formations</w:t>
      </w:r>
      <w:r w:rsidR="00F862EC" w:rsidRPr="00642A5D">
        <w:t xml:space="preserve"> are identified in the Port Campbell Embayment, within the </w:t>
      </w:r>
      <w:r w:rsidR="00EA7676" w:rsidRPr="00642A5D">
        <w:t>Eumeralla</w:t>
      </w:r>
      <w:r w:rsidR="00F862EC" w:rsidRPr="00642A5D">
        <w:t xml:space="preserve"> and Waarre Formations. The following section assesses the connectivity of these formations with groundwater assets in the Port Campbell Embayment.</w:t>
      </w:r>
    </w:p>
    <w:p w14:paraId="3264EFF6" w14:textId="514FE167" w:rsidR="00F862EC" w:rsidRPr="00642A5D" w:rsidRDefault="00F862EC" w:rsidP="00F862EC">
      <w:pPr>
        <w:pStyle w:val="Para0"/>
      </w:pPr>
      <w:r w:rsidRPr="00642A5D">
        <w:t>The cross</w:t>
      </w:r>
      <w:r w:rsidR="00941141">
        <w:t>-</w:t>
      </w:r>
      <w:r w:rsidRPr="00642A5D">
        <w:t xml:space="preserve">section in </w:t>
      </w:r>
      <w:r w:rsidR="007569CD" w:rsidRPr="00642A5D">
        <w:fldChar w:fldCharType="begin"/>
      </w:r>
      <w:r w:rsidRPr="00642A5D">
        <w:instrText xml:space="preserve"> REF _Ref403656594 \h </w:instrText>
      </w:r>
      <w:r w:rsidR="00642A5D">
        <w:instrText xml:space="preserve"> \* MERGEFORMAT </w:instrText>
      </w:r>
      <w:r w:rsidR="007569CD" w:rsidRPr="00642A5D">
        <w:fldChar w:fldCharType="separate"/>
      </w:r>
      <w:r w:rsidR="00171A5E" w:rsidRPr="00642A5D">
        <w:t xml:space="preserve">Figure </w:t>
      </w:r>
      <w:r w:rsidR="00171A5E">
        <w:rPr>
          <w:noProof/>
        </w:rPr>
        <w:t>25</w:t>
      </w:r>
      <w:r w:rsidR="007569CD" w:rsidRPr="00642A5D">
        <w:fldChar w:fldCharType="end"/>
      </w:r>
      <w:r w:rsidRPr="00642A5D">
        <w:t xml:space="preserve"> shows the hydrogeological relationships and groundwater flow directions in the Port Campbell </w:t>
      </w:r>
      <w:r w:rsidRPr="00CB4F01">
        <w:t>Sub</w:t>
      </w:r>
      <w:r w:rsidRPr="00642A5D">
        <w:t>-basin. In this figure the Pliocene Quaternary Volcanic Aquifer, Lower Tertiary Sandy aquifer and Upper Tertiary Carbonate Aquifer are equivalent to the U</w:t>
      </w:r>
      <w:r w:rsidR="008D7966" w:rsidRPr="00642A5D">
        <w:t>pper Tertiary Basalt (U</w:t>
      </w:r>
      <w:r w:rsidRPr="00642A5D">
        <w:t>TB</w:t>
      </w:r>
      <w:r w:rsidR="008D7966" w:rsidRPr="00642A5D">
        <w:t>)</w:t>
      </w:r>
      <w:r w:rsidRPr="00642A5D">
        <w:t xml:space="preserve">, </w:t>
      </w:r>
      <w:r w:rsidR="008D7966" w:rsidRPr="00642A5D">
        <w:t>Lower Tertiary Aquifer (</w:t>
      </w:r>
      <w:r w:rsidRPr="00642A5D">
        <w:t>LTA</w:t>
      </w:r>
      <w:r w:rsidR="008D7966" w:rsidRPr="00642A5D">
        <w:t>)</w:t>
      </w:r>
      <w:r w:rsidRPr="00642A5D">
        <w:t xml:space="preserve"> and </w:t>
      </w:r>
      <w:r w:rsidR="008D7966" w:rsidRPr="00642A5D">
        <w:t>Upper mid-Tertiary Aquifer (</w:t>
      </w:r>
      <w:r w:rsidRPr="00642A5D">
        <w:t>UMTA</w:t>
      </w:r>
      <w:r w:rsidR="008D7966" w:rsidRPr="00642A5D">
        <w:t>)</w:t>
      </w:r>
      <w:r w:rsidR="00941141">
        <w:t xml:space="preserve"> respectively</w:t>
      </w:r>
      <w:r w:rsidRPr="00642A5D">
        <w:t>.</w:t>
      </w:r>
    </w:p>
    <w:p w14:paraId="65568F99" w14:textId="2078A46C" w:rsidR="000566BF" w:rsidRDefault="00941141" w:rsidP="00F862EC">
      <w:pPr>
        <w:pStyle w:val="Para0"/>
      </w:pPr>
      <w:r>
        <w:t>T</w:t>
      </w:r>
      <w:r w:rsidR="000566BF" w:rsidRPr="00642A5D">
        <w:t>he basal unit of the LTA</w:t>
      </w:r>
      <w:r w:rsidR="00707F5C" w:rsidRPr="00642A5D">
        <w:t xml:space="preserve"> (the Timboon Sand)</w:t>
      </w:r>
      <w:r w:rsidR="000566BF" w:rsidRPr="00642A5D">
        <w:t xml:space="preserve"> is separated from the Waarre Formation by over 1100 m of alternating aquifer and aquitard sequences in the </w:t>
      </w:r>
      <w:r w:rsidR="00707F5C" w:rsidRPr="00642A5D">
        <w:t>Port Campbell Embayment. This includes the Paaratte Formation, Belfast Mudstone and Flaxman Formation.</w:t>
      </w:r>
      <w:r w:rsidR="007D69F6" w:rsidRPr="00642A5D">
        <w:t xml:space="preserve"> As outlined in </w:t>
      </w:r>
      <w:r>
        <w:t>S</w:t>
      </w:r>
      <w:r w:rsidR="007D69F6" w:rsidRPr="00642A5D">
        <w:t xml:space="preserve">ection </w:t>
      </w:r>
      <w:r w:rsidR="008B7710">
        <w:t>2.3.4</w:t>
      </w:r>
      <w:r w:rsidR="007D69F6" w:rsidRPr="00642A5D">
        <w:t xml:space="preserve">, the LTA is </w:t>
      </w:r>
      <w:r w:rsidR="00A76D25">
        <w:t>i</w:t>
      </w:r>
      <w:r w:rsidR="007D69F6" w:rsidRPr="00642A5D">
        <w:t xml:space="preserve">n greater hydraulic connection with other aquifers closer to the margins of the Otway Basin to the north, where the thickness of separating units </w:t>
      </w:r>
      <w:r w:rsidR="008D7966" w:rsidRPr="00642A5D">
        <w:t xml:space="preserve">is </w:t>
      </w:r>
      <w:r w:rsidR="007D69F6" w:rsidRPr="00642A5D">
        <w:t xml:space="preserve">diminished. </w:t>
      </w:r>
      <w:r w:rsidR="00AE40D7" w:rsidRPr="00642A5D">
        <w:t>This suggests</w:t>
      </w:r>
      <w:r w:rsidR="007D69F6" w:rsidRPr="00642A5D">
        <w:t xml:space="preserve"> that the LTA will be relatively hydraulically disconnected from the Waarre Formation </w:t>
      </w:r>
      <w:r w:rsidR="002E0252" w:rsidRPr="00642A5D">
        <w:t>in the Port Campbell Em</w:t>
      </w:r>
      <w:r w:rsidR="008D7966" w:rsidRPr="00642A5D">
        <w:t>b</w:t>
      </w:r>
      <w:r w:rsidR="002E0252" w:rsidRPr="00642A5D">
        <w:t>ayment</w:t>
      </w:r>
      <w:r w:rsidR="008D7966" w:rsidRPr="00642A5D">
        <w:t xml:space="preserve"> near the location of natural gas prospects</w:t>
      </w:r>
      <w:r w:rsidR="00362E02">
        <w:t xml:space="preserve"> where the intervening units are thick</w:t>
      </w:r>
      <w:r w:rsidR="002E0252" w:rsidRPr="00642A5D">
        <w:t>. H</w:t>
      </w:r>
      <w:r w:rsidR="007D69F6" w:rsidRPr="00642A5D">
        <w:t>owever</w:t>
      </w:r>
      <w:r w:rsidR="00ED356E">
        <w:t>,</w:t>
      </w:r>
      <w:r w:rsidR="007D69F6" w:rsidRPr="00642A5D">
        <w:t xml:space="preserve"> </w:t>
      </w:r>
      <w:r w:rsidR="002E0252" w:rsidRPr="00642A5D">
        <w:t xml:space="preserve">it is possible that </w:t>
      </w:r>
      <w:r w:rsidR="007D69F6" w:rsidRPr="00642A5D">
        <w:t xml:space="preserve">where faults, </w:t>
      </w:r>
      <w:r w:rsidR="002E0252" w:rsidRPr="00642A5D">
        <w:t xml:space="preserve">volcanic </w:t>
      </w:r>
      <w:r w:rsidR="007D69F6" w:rsidRPr="00642A5D">
        <w:t xml:space="preserve">eruption columns or reduced aquitard thickness </w:t>
      </w:r>
      <w:r w:rsidR="002E0252" w:rsidRPr="00642A5D">
        <w:t xml:space="preserve">exist, </w:t>
      </w:r>
      <w:r w:rsidR="007D69F6" w:rsidRPr="00642A5D">
        <w:t>hydraulic connectivity</w:t>
      </w:r>
      <w:r w:rsidR="002E0252" w:rsidRPr="00642A5D">
        <w:t xml:space="preserve"> will increase</w:t>
      </w:r>
      <w:r w:rsidR="008D7966" w:rsidRPr="00642A5D">
        <w:t xml:space="preserve"> (Bush, 2009)</w:t>
      </w:r>
      <w:r w:rsidR="007D69F6" w:rsidRPr="00642A5D">
        <w:t>.</w:t>
      </w:r>
      <w:r w:rsidR="009A72C5">
        <w:t xml:space="preserve"> </w:t>
      </w:r>
    </w:p>
    <w:p w14:paraId="223A4139" w14:textId="17DB3CFC" w:rsidR="000F59CF" w:rsidRPr="00642A5D" w:rsidRDefault="000F59CF" w:rsidP="000F59CF">
      <w:pPr>
        <w:pStyle w:val="Para0"/>
      </w:pPr>
      <w:r w:rsidRPr="00642A5D">
        <w:t>The connectivity between the Waarre Formation and overlying UMTA and LTA aquifers in the Port Campbell Embayment</w:t>
      </w:r>
      <w:r>
        <w:t>,</w:t>
      </w:r>
      <w:r w:rsidRPr="00642A5D">
        <w:t xml:space="preserve"> was assessed as part of the CSIRO’s </w:t>
      </w:r>
      <w:r>
        <w:t>Geological Storage of Carbon (GSC)</w:t>
      </w:r>
      <w:r w:rsidRPr="00642A5D">
        <w:t xml:space="preserve"> project (Cook, 2014). As part of this project, 66</w:t>
      </w:r>
      <w:r>
        <w:t> </w:t>
      </w:r>
      <w:r w:rsidRPr="00642A5D">
        <w:t>000 tonnes of CO</w:t>
      </w:r>
      <w:r w:rsidRPr="00642A5D">
        <w:rPr>
          <w:vertAlign w:val="subscript"/>
        </w:rPr>
        <w:t>2</w:t>
      </w:r>
      <w:r w:rsidRPr="00642A5D">
        <w:t xml:space="preserve"> were injected in</w:t>
      </w:r>
      <w:r>
        <w:t>to</w:t>
      </w:r>
      <w:r w:rsidRPr="00642A5D">
        <w:t xml:space="preserve"> the Waarre Formation between February 2008 and October 2009. Groundwater monitoring in both the LTA and UMTA was conducted from 2007 and 2011 during the injection</w:t>
      </w:r>
      <w:r>
        <w:t>,</w:t>
      </w:r>
      <w:r w:rsidRPr="00642A5D">
        <w:t xml:space="preserve"> in order to assess the potential leakage of CO</w:t>
      </w:r>
      <w:r w:rsidRPr="00642A5D">
        <w:rPr>
          <w:vertAlign w:val="subscript"/>
        </w:rPr>
        <w:t>2</w:t>
      </w:r>
      <w:r w:rsidRPr="00642A5D">
        <w:t xml:space="preserve"> from the Waarre Formation into the above lying aquifers.</w:t>
      </w:r>
    </w:p>
    <w:p w14:paraId="6815AA7C" w14:textId="77777777" w:rsidR="000F59CF" w:rsidRPr="00642A5D" w:rsidRDefault="000F59CF" w:rsidP="00F862EC">
      <w:pPr>
        <w:pStyle w:val="Para0"/>
      </w:pPr>
    </w:p>
    <w:p w14:paraId="44CFDB9D" w14:textId="77777777" w:rsidR="00F862EC" w:rsidRPr="00642A5D" w:rsidRDefault="00F862EC" w:rsidP="00CB4F01">
      <w:pPr>
        <w:pStyle w:val="figurereturn"/>
      </w:pPr>
      <w:r w:rsidRPr="00642A5D">
        <w:t xml:space="preserve"> </w:t>
      </w:r>
      <w:r w:rsidRPr="00642A5D">
        <w:drawing>
          <wp:inline distT="0" distB="0" distL="0" distR="0" wp14:anchorId="72556155" wp14:editId="6C5C1CC2">
            <wp:extent cx="6228394" cy="3305175"/>
            <wp:effectExtent l="0" t="0" r="127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6237482" cy="3309997"/>
                    </a:xfrm>
                    <a:prstGeom prst="rect">
                      <a:avLst/>
                    </a:prstGeom>
                  </pic:spPr>
                </pic:pic>
              </a:graphicData>
            </a:graphic>
          </wp:inline>
        </w:drawing>
      </w:r>
    </w:p>
    <w:p w14:paraId="7528F99D" w14:textId="56133C7C" w:rsidR="00F862EC" w:rsidRPr="00642A5D" w:rsidRDefault="00F862EC" w:rsidP="00A53AE8">
      <w:pPr>
        <w:pStyle w:val="Figuretitle"/>
      </w:pPr>
      <w:bookmarkStart w:id="292" w:name="_Ref403656594"/>
      <w:bookmarkStart w:id="293" w:name="_Toc422928796"/>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25</w:t>
      </w:r>
      <w:r w:rsidR="007569CD" w:rsidRPr="00642A5D">
        <w:fldChar w:fldCharType="end"/>
      </w:r>
      <w:bookmarkEnd w:id="292"/>
      <w:r w:rsidR="00F95BE3">
        <w:t>:</w:t>
      </w:r>
      <w:r w:rsidRPr="00642A5D">
        <w:t xml:space="preserve"> </w:t>
      </w:r>
      <w:r w:rsidR="000F59CF">
        <w:t xml:space="preserve"> </w:t>
      </w:r>
      <w:r w:rsidRPr="00642A5D">
        <w:t>Hydrostratigraphic cross</w:t>
      </w:r>
      <w:r w:rsidR="000F59CF">
        <w:t>-</w:t>
      </w:r>
      <w:r w:rsidRPr="00642A5D">
        <w:t xml:space="preserve">section of the </w:t>
      </w:r>
      <w:r w:rsidR="00707F5C" w:rsidRPr="00642A5D">
        <w:t>Port Campbell Sub-basin</w:t>
      </w:r>
      <w:r w:rsidR="000F59CF">
        <w:t>.</w:t>
      </w:r>
      <w:r w:rsidR="00707F5C" w:rsidRPr="00642A5D">
        <w:t xml:space="preserve"> </w:t>
      </w:r>
      <w:r w:rsidRPr="00642A5D">
        <w:t>(</w:t>
      </w:r>
      <w:r w:rsidR="000F59CF">
        <w:t>S</w:t>
      </w:r>
      <w:r w:rsidR="00755B17">
        <w:t xml:space="preserve">ource: </w:t>
      </w:r>
      <w:r w:rsidRPr="00642A5D">
        <w:t>Bush, 2009</w:t>
      </w:r>
      <w:r w:rsidR="000F59CF">
        <w:t>.</w:t>
      </w:r>
      <w:r w:rsidRPr="00642A5D">
        <w:t>)</w:t>
      </w:r>
      <w:bookmarkEnd w:id="293"/>
      <w:r w:rsidRPr="00642A5D">
        <w:t xml:space="preserve"> </w:t>
      </w:r>
    </w:p>
    <w:p w14:paraId="3FFCE53C" w14:textId="2C492FA3" w:rsidR="00F862EC" w:rsidRPr="00C150BC" w:rsidRDefault="00F862EC" w:rsidP="00C150BC">
      <w:pPr>
        <w:pStyle w:val="figurenote"/>
      </w:pPr>
      <w:r w:rsidRPr="00C150BC">
        <w:t>Note</w:t>
      </w:r>
      <w:r w:rsidR="000F59CF">
        <w:t>:</w:t>
      </w:r>
      <w:r w:rsidRPr="00C150BC">
        <w:t xml:space="preserve"> </w:t>
      </w:r>
      <w:r w:rsidR="000F59CF">
        <w:t>U</w:t>
      </w:r>
      <w:r w:rsidRPr="00C150BC">
        <w:t xml:space="preserve">nits in this figure are equivalent to those discussed above and relate to </w:t>
      </w:r>
      <w:r w:rsidR="003E70D0" w:rsidRPr="00C150BC">
        <w:t>Table 3</w:t>
      </w:r>
      <w:r w:rsidRPr="00C150BC">
        <w:t xml:space="preserve"> as follows: </w:t>
      </w:r>
      <w:r w:rsidR="002D4544" w:rsidRPr="00C150BC">
        <w:t>Pliocene</w:t>
      </w:r>
      <w:r w:rsidRPr="00C150BC">
        <w:t xml:space="preserve"> Quaternary Volcanic Aquifer = UTB, Upper Tertiary Carbonate Aquifer = UMTA (and LMTA where overlain by UMTD), Upper Tertiary Aquitard = UMTD, Lower Tertiary Aquifer = LTA, Lower Tertiary Aquitard = Pember Mudstone (within the LTA), Upper Cretaceous Aquifer = CPS, UK Aquitard and LK Basement = BSE</w:t>
      </w:r>
      <w:r w:rsidR="000F59CF">
        <w:t>.</w:t>
      </w:r>
      <w:r w:rsidR="001D6B0F">
        <w:br/>
      </w:r>
    </w:p>
    <w:p w14:paraId="7DC1A555" w14:textId="2DCD69F3" w:rsidR="00F862EC" w:rsidRPr="00642A5D" w:rsidRDefault="00F862EC" w:rsidP="00F862EC">
      <w:pPr>
        <w:pStyle w:val="Para0"/>
      </w:pPr>
      <w:r w:rsidRPr="00642A5D">
        <w:t>Groundwater levels were monitored in 17 bores in the UMTA and 3 bores in the LTA as part of the study. During the study, groundwater levels recorded in the LTA showed very minor (&lt;</w:t>
      </w:r>
      <w:r w:rsidR="000F59CF">
        <w:t> </w:t>
      </w:r>
      <w:r w:rsidRPr="00642A5D">
        <w:t xml:space="preserve">0.25 m) fluctuations in response to rainfall (Cook, 2014), suggesting hydraulic separation between the LTA and the upper aquifers that readily receive direct local recharge. Groundwater elevations in the monitoring bores were consistent with the regional trends discussed in </w:t>
      </w:r>
      <w:r w:rsidR="000F59CF">
        <w:t>S</w:t>
      </w:r>
      <w:r w:rsidR="000F59CF" w:rsidRPr="00642A5D">
        <w:t xml:space="preserve">ection </w:t>
      </w:r>
      <w:r w:rsidR="008B7710">
        <w:t>2.3.4</w:t>
      </w:r>
      <w:r w:rsidRPr="00642A5D">
        <w:t xml:space="preserve">, which indicate a decline in groundwater elevation in a roughly south west direction towards the coast. </w:t>
      </w:r>
      <w:r w:rsidR="000F59CF">
        <w:t>As in</w:t>
      </w:r>
      <w:r w:rsidRPr="00642A5D">
        <w:t xml:space="preserve"> the UMTA, chemical analysis of groundwater collected before, during</w:t>
      </w:r>
      <w:r w:rsidR="00ED356E">
        <w:t>,</w:t>
      </w:r>
      <w:r w:rsidRPr="00642A5D">
        <w:t xml:space="preserve"> and after gas injection showed no statistically significant change over the duration of the study. These results indicate that the Waarre Formation is hydraulically separated from the LTA by the above lying Cretaceous Aquifer and Belfast Mudstone, such that </w:t>
      </w:r>
      <w:r w:rsidR="00D8437E" w:rsidRPr="00642A5D">
        <w:t xml:space="preserve">pressure </w:t>
      </w:r>
      <w:r w:rsidRPr="00642A5D">
        <w:t>stress in the Waarre Formation w</w:t>
      </w:r>
      <w:r w:rsidR="00D8437E" w:rsidRPr="00642A5D">
        <w:t>as</w:t>
      </w:r>
      <w:r w:rsidRPr="00642A5D">
        <w:t xml:space="preserve"> not observed in the LTA.</w:t>
      </w:r>
    </w:p>
    <w:p w14:paraId="08F0A28C" w14:textId="2185CA3D" w:rsidR="00F862EC" w:rsidRPr="00642A5D" w:rsidRDefault="00F862EC" w:rsidP="00F862EC">
      <w:pPr>
        <w:pStyle w:val="Para0"/>
      </w:pPr>
      <w:r w:rsidRPr="00642A5D">
        <w:t>Fluctuations in the UMTA indicated some response to rainfall. This varied throughout the basin, indicating varying degrees of connectivity between the UMTA and overlying aquifers and recharge zones. The variations were insignificant in comparison to regional hydraulic gradient which declines from 100 m in the north east of the project area to 20 m in the south west. Groundwater levels did not show a response to CO</w:t>
      </w:r>
      <w:r w:rsidRPr="00642A5D">
        <w:rPr>
          <w:vertAlign w:val="subscript"/>
        </w:rPr>
        <w:t>2</w:t>
      </w:r>
      <w:r w:rsidRPr="00642A5D">
        <w:t xml:space="preserve"> injections. Additionally, chemical analysis of groundwater in the UMTA before, during and after gas injection</w:t>
      </w:r>
      <w:r w:rsidR="00CD1733">
        <w:t>,</w:t>
      </w:r>
      <w:r w:rsidRPr="00642A5D">
        <w:t xml:space="preserve"> indicated no statistically significant change in groundwater chemistry. These results indicate that the Waarre Formation is hydrogeologically well separated from the above </w:t>
      </w:r>
      <w:r w:rsidR="00540B70">
        <w:t xml:space="preserve">the </w:t>
      </w:r>
      <w:r w:rsidRPr="00642A5D">
        <w:t xml:space="preserve">UMTA by the above lying aquifer and aquitard sequences in the Port Campbell Embayment. This indicates that significant stresses in the Waarre Formation are unlikely to </w:t>
      </w:r>
      <w:r w:rsidR="00540B70">
        <w:t xml:space="preserve">be </w:t>
      </w:r>
      <w:r w:rsidRPr="00642A5D">
        <w:t>transmit</w:t>
      </w:r>
      <w:r w:rsidR="00540B70">
        <w:t>ted</w:t>
      </w:r>
      <w:r w:rsidRPr="00642A5D">
        <w:t xml:space="preserve"> into </w:t>
      </w:r>
      <w:r w:rsidR="00540B70">
        <w:t xml:space="preserve">the </w:t>
      </w:r>
      <w:r w:rsidRPr="00642A5D">
        <w:t>UMTA in the study area.</w:t>
      </w:r>
    </w:p>
    <w:p w14:paraId="1298814C" w14:textId="77777777" w:rsidR="00F862EC" w:rsidRPr="00642A5D" w:rsidRDefault="00F862EC" w:rsidP="00F862EC">
      <w:pPr>
        <w:pStyle w:val="Para0"/>
      </w:pPr>
      <w:r w:rsidRPr="00642A5D">
        <w:t xml:space="preserve">While groundwater was not monitored in the QA and UTB aquifers as part of the </w:t>
      </w:r>
      <w:r w:rsidR="008B5DE2">
        <w:t xml:space="preserve">GSC </w:t>
      </w:r>
      <w:r w:rsidR="007D294B">
        <w:t>p</w:t>
      </w:r>
      <w:r w:rsidR="008B5DE2">
        <w:t>roject (Cook, 2014)</w:t>
      </w:r>
      <w:r w:rsidRPr="00642A5D">
        <w:t xml:space="preserve">, it is reasonable to assume a greater hydraulic disconnect with the Waarre Formation compared to the LTA and UMTA, due to the presence of additional overlying separating aquifers and aquitards. </w:t>
      </w:r>
    </w:p>
    <w:p w14:paraId="7FA4E911" w14:textId="6721745C" w:rsidR="00F862EC" w:rsidRPr="00642A5D" w:rsidRDefault="00F862EC" w:rsidP="00F862EC">
      <w:pPr>
        <w:pStyle w:val="Para0"/>
        <w:rPr>
          <w:lang w:val="en-GB"/>
        </w:rPr>
      </w:pPr>
      <w:r w:rsidRPr="00642A5D">
        <w:t xml:space="preserve">Groundwater levels were not measured in the Cretaceous and Permian Sediments </w:t>
      </w:r>
      <w:r w:rsidR="00AE40D7" w:rsidRPr="00642A5D">
        <w:t xml:space="preserve">(CPS) </w:t>
      </w:r>
      <w:r w:rsidRPr="00642A5D">
        <w:t>during the study. While this aquifer is not currently readily used as</w:t>
      </w:r>
      <w:r w:rsidR="00024B42">
        <w:t xml:space="preserve"> a</w:t>
      </w:r>
      <w:r w:rsidRPr="00642A5D">
        <w:t xml:space="preserve"> groundwater resource in the Port Campbell Embayment, it may store significant volumes of water for future use. </w:t>
      </w:r>
      <w:r w:rsidR="00540B70">
        <w:t>Its</w:t>
      </w:r>
      <w:r w:rsidR="00540B70" w:rsidRPr="00642A5D">
        <w:t xml:space="preserve"> </w:t>
      </w:r>
      <w:r w:rsidRPr="00642A5D">
        <w:t xml:space="preserve">connectivity to the Waarre Formation remains hard to evaluate </w:t>
      </w:r>
      <w:r w:rsidR="00540B70">
        <w:t>because</w:t>
      </w:r>
      <w:r w:rsidR="00540B70" w:rsidRPr="00642A5D">
        <w:t xml:space="preserve"> </w:t>
      </w:r>
      <w:r w:rsidRPr="00642A5D">
        <w:t xml:space="preserve">hydrograph data for the CPS is sparse. </w:t>
      </w:r>
      <w:r w:rsidR="00540B70">
        <w:t>There is</w:t>
      </w:r>
      <w:r w:rsidR="00540B70" w:rsidRPr="00642A5D">
        <w:t xml:space="preserve"> </w:t>
      </w:r>
      <w:r w:rsidRPr="00642A5D">
        <w:t xml:space="preserve">little hydraulic information for the CPS, </w:t>
      </w:r>
      <w:r w:rsidR="00540B70">
        <w:t xml:space="preserve">but data from </w:t>
      </w:r>
      <w:r w:rsidRPr="00642A5D">
        <w:t>petroleum wells in the area and regional t</w:t>
      </w:r>
      <w:r w:rsidR="00024B42">
        <w:t>r</w:t>
      </w:r>
      <w:r w:rsidRPr="00642A5D">
        <w:t xml:space="preserve">ends (Bush, 2009) suggest that groundwater quality in the CPS will be poor in this area and </w:t>
      </w:r>
      <w:r w:rsidR="00540B70">
        <w:t>therefore</w:t>
      </w:r>
      <w:r w:rsidRPr="00642A5D">
        <w:t xml:space="preserve"> </w:t>
      </w:r>
      <w:r w:rsidR="00540B70">
        <w:t>have</w:t>
      </w:r>
      <w:r w:rsidRPr="00642A5D">
        <w:t xml:space="preserve"> a low prospectiv</w:t>
      </w:r>
      <w:r w:rsidR="00540B70">
        <w:t>it</w:t>
      </w:r>
      <w:r w:rsidRPr="00642A5D">
        <w:t>y as a groundwater asset.</w:t>
      </w:r>
    </w:p>
    <w:p w14:paraId="748E34AC" w14:textId="77777777" w:rsidR="00866D58" w:rsidRPr="00642A5D" w:rsidRDefault="0085296A" w:rsidP="0085296A">
      <w:pPr>
        <w:pStyle w:val="Heading4"/>
      </w:pPr>
      <w:r w:rsidRPr="00642A5D">
        <w:t xml:space="preserve">Coal </w:t>
      </w:r>
      <w:r w:rsidR="00362E02">
        <w:t>s</w:t>
      </w:r>
      <w:r w:rsidRPr="00642A5D">
        <w:t xml:space="preserve">eam </w:t>
      </w:r>
      <w:r w:rsidR="00362E02">
        <w:t>g</w:t>
      </w:r>
      <w:r w:rsidRPr="00642A5D">
        <w:t>as</w:t>
      </w:r>
    </w:p>
    <w:p w14:paraId="0E87A24C" w14:textId="21AE622A" w:rsidR="0085296A" w:rsidRPr="00642A5D" w:rsidRDefault="0085296A" w:rsidP="0085296A">
      <w:pPr>
        <w:pStyle w:val="Para0"/>
      </w:pPr>
      <w:r w:rsidRPr="00642A5D">
        <w:t>Coal seam gas prospectiv</w:t>
      </w:r>
      <w:r w:rsidR="00F9178C" w:rsidRPr="00642A5D">
        <w:t>ity</w:t>
      </w:r>
      <w:r w:rsidRPr="00642A5D">
        <w:t xml:space="preserve"> is limited to where the base of the Eumeralla Formation is relatively shallow, which coincides </w:t>
      </w:r>
      <w:r w:rsidR="00540B70" w:rsidRPr="00642A5D">
        <w:t xml:space="preserve">spatially </w:t>
      </w:r>
      <w:r w:rsidRPr="00642A5D">
        <w:t xml:space="preserve">with areas to the southeast of the Merino High, through the centre of the Tyrendarra Embayment and the Colac </w:t>
      </w:r>
      <w:r w:rsidR="00CB4F01" w:rsidRPr="00CB4F01">
        <w:t>S</w:t>
      </w:r>
      <w:r w:rsidRPr="00CB4F01">
        <w:t>ub-basin</w:t>
      </w:r>
      <w:r w:rsidRPr="00642A5D">
        <w:t>.</w:t>
      </w:r>
    </w:p>
    <w:p w14:paraId="046A022C" w14:textId="69D92A0F" w:rsidR="0085296A" w:rsidRPr="00642A5D" w:rsidRDefault="0085296A" w:rsidP="0085296A">
      <w:pPr>
        <w:pStyle w:val="Para0"/>
      </w:pPr>
      <w:r w:rsidRPr="00642A5D">
        <w:t>The cross</w:t>
      </w:r>
      <w:r w:rsidR="00540B70">
        <w:t>-</w:t>
      </w:r>
      <w:r w:rsidRPr="00642A5D">
        <w:t xml:space="preserve">section in </w:t>
      </w:r>
      <w:r w:rsidR="007569CD" w:rsidRPr="00642A5D">
        <w:fldChar w:fldCharType="begin"/>
      </w:r>
      <w:r w:rsidRPr="00642A5D">
        <w:instrText xml:space="preserve"> REF _Ref404001717 \h </w:instrText>
      </w:r>
      <w:r w:rsidR="00642A5D">
        <w:instrText xml:space="preserve"> \* MERGEFORMAT </w:instrText>
      </w:r>
      <w:r w:rsidR="007569CD" w:rsidRPr="00642A5D">
        <w:fldChar w:fldCharType="separate"/>
      </w:r>
      <w:r w:rsidR="00171A5E" w:rsidRPr="00642A5D">
        <w:t xml:space="preserve">Figure </w:t>
      </w:r>
      <w:r w:rsidR="00171A5E">
        <w:rPr>
          <w:noProof/>
        </w:rPr>
        <w:t>26</w:t>
      </w:r>
      <w:r w:rsidR="007569CD" w:rsidRPr="00642A5D">
        <w:fldChar w:fldCharType="end"/>
      </w:r>
      <w:r w:rsidRPr="00642A5D">
        <w:t xml:space="preserve"> shows the hydrogeological units and groundwater flow directions in the Tyrendarra Embayment. As indicated in section </w:t>
      </w:r>
      <w:r w:rsidR="007569CD" w:rsidRPr="00642A5D">
        <w:fldChar w:fldCharType="begin"/>
      </w:r>
      <w:r w:rsidRPr="00642A5D">
        <w:instrText xml:space="preserve"> REF _Ref406599958 \r \h </w:instrText>
      </w:r>
      <w:r w:rsidR="00642A5D">
        <w:instrText xml:space="preserve"> \* MERGEFORMAT </w:instrText>
      </w:r>
      <w:r w:rsidR="007569CD" w:rsidRPr="00642A5D">
        <w:fldChar w:fldCharType="separate"/>
      </w:r>
      <w:r w:rsidR="00171A5E">
        <w:t>0</w:t>
      </w:r>
      <w:r w:rsidR="007569CD" w:rsidRPr="00642A5D">
        <w:fldChar w:fldCharType="end"/>
      </w:r>
      <w:r w:rsidRPr="00642A5D">
        <w:t xml:space="preserve"> (conventional and tight gas), Bush (2009) uses a different terminology to the </w:t>
      </w:r>
      <w:r w:rsidR="00AE40D7" w:rsidRPr="00642A5D">
        <w:t>Victorian Aquifer Framework</w:t>
      </w:r>
      <w:r w:rsidRPr="00642A5D">
        <w:t xml:space="preserve">. In the </w:t>
      </w:r>
      <w:r w:rsidR="007569CD" w:rsidRPr="00642A5D">
        <w:fldChar w:fldCharType="begin"/>
      </w:r>
      <w:r w:rsidRPr="00642A5D">
        <w:instrText xml:space="preserve"> REF _Ref404001717 \h </w:instrText>
      </w:r>
      <w:r w:rsidR="00642A5D">
        <w:instrText xml:space="preserve"> \* MERGEFORMAT </w:instrText>
      </w:r>
      <w:r w:rsidR="007569CD" w:rsidRPr="00642A5D">
        <w:fldChar w:fldCharType="separate"/>
      </w:r>
      <w:r w:rsidR="00171A5E" w:rsidRPr="00642A5D">
        <w:t xml:space="preserve">Figure </w:t>
      </w:r>
      <w:r w:rsidR="00171A5E">
        <w:rPr>
          <w:noProof/>
        </w:rPr>
        <w:t>26</w:t>
      </w:r>
      <w:r w:rsidR="007569CD" w:rsidRPr="00642A5D">
        <w:fldChar w:fldCharType="end"/>
      </w:r>
      <w:r w:rsidRPr="00642A5D">
        <w:t xml:space="preserve"> the Pliocene Quaternary Volcanic Aquifer, Upper Tertiary Carbonate Aquifer and Lower Tertiary Sandy Aquifer are equivalent to the </w:t>
      </w:r>
      <w:r w:rsidR="00AE40D7" w:rsidRPr="00642A5D">
        <w:t>Upper Tertiary Basalt, Upper Mid Tertiary Aquifer/Lower Mid Tertiary Aquifer, and Lower Tertiary Aquifer</w:t>
      </w:r>
      <w:r w:rsidRPr="00642A5D">
        <w:t>. These are the major aquifers in the Tyrendarra Embayment.</w:t>
      </w:r>
    </w:p>
    <w:p w14:paraId="71E20D2D" w14:textId="77777777" w:rsidR="0085296A" w:rsidRDefault="0085296A" w:rsidP="0085296A">
      <w:pPr>
        <w:pStyle w:val="Para0"/>
      </w:pPr>
    </w:p>
    <w:p w14:paraId="08206439" w14:textId="77777777" w:rsidR="008B5DE2" w:rsidRPr="00642A5D" w:rsidRDefault="008B5DE2" w:rsidP="00CB4F01">
      <w:pPr>
        <w:pStyle w:val="figurereturn"/>
      </w:pPr>
      <w:r w:rsidRPr="00591A53">
        <w:drawing>
          <wp:inline distT="0" distB="0" distL="0" distR="0" wp14:anchorId="713213FA" wp14:editId="24C82A3A">
            <wp:extent cx="5967351" cy="4195700"/>
            <wp:effectExtent l="0" t="0" r="0" b="0"/>
            <wp:docPr id="8" name="Picture 1" descr="C:\Users\sb0c\AppData\Local\Temp\notes313592\~b1694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b0c\AppData\Local\Temp\notes313592\~b169414.TMP"/>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965791" cy="4194603"/>
                    </a:xfrm>
                    <a:prstGeom prst="rect">
                      <a:avLst/>
                    </a:prstGeom>
                    <a:noFill/>
                    <a:ln>
                      <a:noFill/>
                    </a:ln>
                  </pic:spPr>
                </pic:pic>
              </a:graphicData>
            </a:graphic>
          </wp:inline>
        </w:drawing>
      </w:r>
    </w:p>
    <w:p w14:paraId="5DB18F56" w14:textId="4B2F6C5F" w:rsidR="0085296A" w:rsidRDefault="0085296A" w:rsidP="00A53AE8">
      <w:pPr>
        <w:pStyle w:val="Figuretitle"/>
      </w:pPr>
      <w:bookmarkStart w:id="294" w:name="_Ref404001717"/>
      <w:bookmarkStart w:id="295" w:name="_Toc422928797"/>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26</w:t>
      </w:r>
      <w:r w:rsidR="007569CD" w:rsidRPr="00642A5D">
        <w:fldChar w:fldCharType="end"/>
      </w:r>
      <w:bookmarkEnd w:id="294"/>
      <w:r w:rsidR="00F95BE3">
        <w:t>:</w:t>
      </w:r>
      <w:r w:rsidRPr="00642A5D">
        <w:t xml:space="preserve"> </w:t>
      </w:r>
      <w:r w:rsidR="00540B70">
        <w:t xml:space="preserve"> </w:t>
      </w:r>
      <w:r w:rsidRPr="00642A5D">
        <w:t xml:space="preserve">Hydrostratigraphic cross section of the Tyrendarra </w:t>
      </w:r>
      <w:r w:rsidRPr="00CB4F01">
        <w:t>Sub-basin</w:t>
      </w:r>
      <w:r w:rsidR="00540B70">
        <w:t>.</w:t>
      </w:r>
      <w:r w:rsidRPr="00642A5D">
        <w:t xml:space="preserve"> (</w:t>
      </w:r>
      <w:r w:rsidR="00540B70">
        <w:t>S</w:t>
      </w:r>
      <w:r w:rsidR="00755B17">
        <w:t>ource:</w:t>
      </w:r>
      <w:r w:rsidR="007D294B">
        <w:t xml:space="preserve"> </w:t>
      </w:r>
      <w:r w:rsidR="004F033D">
        <w:t>SKM</w:t>
      </w:r>
      <w:r w:rsidRPr="00642A5D">
        <w:t xml:space="preserve">, </w:t>
      </w:r>
      <w:r w:rsidR="004F033D" w:rsidRPr="00642A5D">
        <w:t>20</w:t>
      </w:r>
      <w:r w:rsidR="004F033D">
        <w:t>10</w:t>
      </w:r>
      <w:r w:rsidR="00540B70">
        <w:t>.</w:t>
      </w:r>
      <w:r w:rsidRPr="00642A5D">
        <w:t>)</w:t>
      </w:r>
      <w:bookmarkEnd w:id="295"/>
      <w:r w:rsidRPr="00642A5D">
        <w:t xml:space="preserve"> </w:t>
      </w:r>
    </w:p>
    <w:p w14:paraId="7FD4ABA8" w14:textId="19552B0D" w:rsidR="00727F82" w:rsidRPr="00727F82" w:rsidRDefault="00727F82" w:rsidP="00C150BC">
      <w:pPr>
        <w:pStyle w:val="figurenote"/>
      </w:pPr>
      <w:r w:rsidRPr="00642A5D">
        <w:t>Note</w:t>
      </w:r>
      <w:r w:rsidR="00540B70">
        <w:t>:</w:t>
      </w:r>
      <w:r w:rsidRPr="00642A5D">
        <w:t xml:space="preserve"> nits in this figure are equivalent to those discussed above and relate to Table 3 as follows: </w:t>
      </w:r>
      <w:r w:rsidR="002D4544" w:rsidRPr="00642A5D">
        <w:t>Pliocene</w:t>
      </w:r>
      <w:r w:rsidRPr="00642A5D">
        <w:t xml:space="preserve"> Quaternary Volcanic Aquifer = UTB, Upper Tertiary Carbonate Aquifer = UMTA (and LMTA where overlain by UMTD), Upper Tertiary Aquitard = UMTD, Lower Tertiary Aquifer = LTA, Lower Tertiary Aquitard = Pember Mudstone (within the LTA), Upper Cretaceous Aquifer = CPS, UK Aquitard and LK Basement = BSE</w:t>
      </w:r>
      <w:r w:rsidR="00540B70">
        <w:t>.</w:t>
      </w:r>
    </w:p>
    <w:p w14:paraId="65E5EF8D" w14:textId="77777777" w:rsidR="00540B70" w:rsidRDefault="00540B70" w:rsidP="0085296A">
      <w:pPr>
        <w:pStyle w:val="Para0"/>
      </w:pPr>
    </w:p>
    <w:p w14:paraId="1CCA4EEF" w14:textId="04D885F8" w:rsidR="0085296A" w:rsidRPr="00642A5D" w:rsidRDefault="00540B70" w:rsidP="0085296A">
      <w:pPr>
        <w:pStyle w:val="Para0"/>
      </w:pPr>
      <w:r>
        <w:t>From</w:t>
      </w:r>
      <w:r w:rsidR="0085296A" w:rsidRPr="00642A5D">
        <w:t xml:space="preserve"> </w:t>
      </w:r>
      <w:r w:rsidR="007569CD" w:rsidRPr="00642A5D">
        <w:fldChar w:fldCharType="begin"/>
      </w:r>
      <w:r w:rsidR="0085296A" w:rsidRPr="00642A5D">
        <w:instrText xml:space="preserve"> REF _Ref404001717 \h </w:instrText>
      </w:r>
      <w:r w:rsidR="00642A5D">
        <w:instrText xml:space="preserve"> \* MERGEFORMAT </w:instrText>
      </w:r>
      <w:r w:rsidR="007569CD" w:rsidRPr="00642A5D">
        <w:fldChar w:fldCharType="separate"/>
      </w:r>
      <w:r w:rsidR="00171A5E" w:rsidRPr="00642A5D">
        <w:t xml:space="preserve">Figure </w:t>
      </w:r>
      <w:r w:rsidR="00171A5E">
        <w:rPr>
          <w:noProof/>
        </w:rPr>
        <w:t>26</w:t>
      </w:r>
      <w:r w:rsidR="007569CD" w:rsidRPr="00642A5D">
        <w:fldChar w:fldCharType="end"/>
      </w:r>
      <w:r>
        <w:t xml:space="preserve"> it can be seen that</w:t>
      </w:r>
      <w:r w:rsidR="0085296A" w:rsidRPr="00642A5D">
        <w:t xml:space="preserve"> the Clifton Formation (LMTA) receives recharge through the overlying marl (UMTD) in the northern sections of the embayment where groundwater mounds (usually formed by the topographic highs of volcanic eruption centres) facilitate vertical infiltration (Bush, 2009). This is consistent with Bennetts (2005) who asserted significant inter-aquifer leakage between the QA, UTB, UMTA and which allow</w:t>
      </w:r>
      <w:r w:rsidR="00264C5D">
        <w:t>s</w:t>
      </w:r>
      <w:r w:rsidR="0085296A" w:rsidRPr="00642A5D">
        <w:t xml:space="preserve"> for the recharge of the LMTA. Additionally, the disruption of aquitard sequences provided by volcanic eruption centres (such as Mt Napier and Mt Eccles) are likely to facilitate greater hydraulic connection between the deeper and shallower aquifers. As such, these areas are likely to be more sensitive to aquifer stresses than others. </w:t>
      </w:r>
    </w:p>
    <w:p w14:paraId="1842E6E4" w14:textId="433C6848" w:rsidR="0085296A" w:rsidRPr="00642A5D" w:rsidRDefault="0085296A" w:rsidP="00C150BC">
      <w:r w:rsidRPr="00642A5D">
        <w:t xml:space="preserve">The UMTA is absent through the Colac </w:t>
      </w:r>
      <w:r w:rsidRPr="00CB4F01">
        <w:t>Sub-basin</w:t>
      </w:r>
      <w:r w:rsidR="00540B70">
        <w:t>,</w:t>
      </w:r>
      <w:r w:rsidRPr="00642A5D">
        <w:t xml:space="preserve"> and </w:t>
      </w:r>
      <w:r w:rsidR="00540B70">
        <w:t>although</w:t>
      </w:r>
      <w:r w:rsidR="00540B70" w:rsidRPr="00642A5D">
        <w:t xml:space="preserve"> </w:t>
      </w:r>
      <w:r w:rsidRPr="00642A5D">
        <w:t xml:space="preserve">the LMTA is present the LTA acts as the major aquifer in this area. As </w:t>
      </w:r>
      <w:r w:rsidR="00540B70">
        <w:t>noted</w:t>
      </w:r>
      <w:r w:rsidR="00540B70" w:rsidRPr="00642A5D">
        <w:t xml:space="preserve"> </w:t>
      </w:r>
      <w:r w:rsidR="00540B70">
        <w:t xml:space="preserve">earlier </w:t>
      </w:r>
      <w:r w:rsidRPr="00642A5D">
        <w:t xml:space="preserve">in </w:t>
      </w:r>
      <w:r w:rsidR="00540B70">
        <w:t xml:space="preserve">relation to </w:t>
      </w:r>
      <w:r w:rsidRPr="00642A5D">
        <w:t>shale gas, the upper basement in this area is likely to have some hydraulic connection to the LTA (J</w:t>
      </w:r>
      <w:r w:rsidR="00A41160" w:rsidRPr="00642A5D">
        <w:t>acobs</w:t>
      </w:r>
      <w:r w:rsidRPr="00642A5D">
        <w:t xml:space="preserve">, 2014) and thus depressurisation of the Eumeralla Formation may produce drawdown in the LTA. </w:t>
      </w:r>
      <w:r w:rsidR="00540B70">
        <w:t>H</w:t>
      </w:r>
      <w:r w:rsidRPr="00642A5D">
        <w:t>owever</w:t>
      </w:r>
      <w:r w:rsidR="00540B70">
        <w:t>, this</w:t>
      </w:r>
      <w:r w:rsidRPr="00642A5D">
        <w:t xml:space="preserve"> remains speculative </w:t>
      </w:r>
      <w:r w:rsidR="00540B70">
        <w:t>because</w:t>
      </w:r>
      <w:r w:rsidR="00540B70" w:rsidRPr="00642A5D">
        <w:t xml:space="preserve"> </w:t>
      </w:r>
      <w:r w:rsidRPr="00642A5D">
        <w:t xml:space="preserve">it is based on results that are characteristic of the upper 50 m of the basement. </w:t>
      </w:r>
      <w:r w:rsidR="00540B70">
        <w:t>F</w:t>
      </w:r>
      <w:r w:rsidRPr="00642A5D">
        <w:t xml:space="preserve">urther characterisation of the deeper basement is required to better assess the connectivity between the </w:t>
      </w:r>
      <w:r w:rsidR="00EA7676" w:rsidRPr="00642A5D">
        <w:t>Eumeralla</w:t>
      </w:r>
      <w:r w:rsidRPr="00642A5D">
        <w:t xml:space="preserve"> Formation and LTA in the Colac Sub-basin.</w:t>
      </w:r>
    </w:p>
    <w:p w14:paraId="59A077EB" w14:textId="7F796BEB" w:rsidR="0016614C" w:rsidRPr="00642A5D" w:rsidRDefault="00540B70" w:rsidP="00C150BC">
      <w:pPr>
        <w:pStyle w:val="Head3xxx"/>
        <w:rPr>
          <w:lang w:val="en-AU" w:eastAsia="en-US"/>
        </w:rPr>
      </w:pPr>
      <w:bookmarkStart w:id="296" w:name="_Toc296766952"/>
      <w:r>
        <w:rPr>
          <w:lang w:val="en-AU" w:eastAsia="en-US"/>
        </w:rPr>
        <w:t>2.5.2</w:t>
      </w:r>
      <w:bookmarkEnd w:id="296"/>
      <w:r>
        <w:rPr>
          <w:lang w:val="en-AU" w:eastAsia="en-US"/>
        </w:rPr>
        <w:tab/>
      </w:r>
      <w:bookmarkStart w:id="297" w:name="_Toc420568680"/>
      <w:bookmarkStart w:id="298" w:name="_Toc420570262"/>
      <w:bookmarkStart w:id="299" w:name="_Toc420571458"/>
      <w:bookmarkStart w:id="300" w:name="_Toc420572096"/>
      <w:bookmarkStart w:id="301" w:name="_Toc296766953"/>
      <w:r w:rsidR="00503667" w:rsidRPr="00642A5D">
        <w:rPr>
          <w:lang w:val="en-AU" w:eastAsia="en-US"/>
        </w:rPr>
        <w:t>S</w:t>
      </w:r>
      <w:r w:rsidR="0016614C" w:rsidRPr="00642A5D">
        <w:rPr>
          <w:lang w:val="en-AU" w:eastAsia="en-US"/>
        </w:rPr>
        <w:t>urface water features</w:t>
      </w:r>
      <w:r w:rsidR="00191408" w:rsidRPr="00642A5D">
        <w:rPr>
          <w:lang w:val="en-AU" w:eastAsia="en-US"/>
        </w:rPr>
        <w:t xml:space="preserve"> and ecosystems</w:t>
      </w:r>
      <w:bookmarkEnd w:id="297"/>
      <w:bookmarkEnd w:id="298"/>
      <w:bookmarkEnd w:id="299"/>
      <w:bookmarkEnd w:id="300"/>
      <w:bookmarkEnd w:id="301"/>
    </w:p>
    <w:p w14:paraId="7C2549F5" w14:textId="5BF18546" w:rsidR="0016614C" w:rsidRPr="00642A5D" w:rsidRDefault="00191408">
      <w:r w:rsidRPr="00642A5D">
        <w:rPr>
          <w:lang w:eastAsia="en-US"/>
        </w:rPr>
        <w:t xml:space="preserve">The following section discusses surface water features and ecosystems and their potential connection with </w:t>
      </w:r>
      <w:r w:rsidR="00B04192" w:rsidRPr="00642A5D">
        <w:rPr>
          <w:lang w:eastAsia="en-US"/>
        </w:rPr>
        <w:t xml:space="preserve">groundwater and </w:t>
      </w:r>
      <w:r w:rsidRPr="00642A5D">
        <w:rPr>
          <w:lang w:eastAsia="en-US"/>
        </w:rPr>
        <w:t xml:space="preserve">onshore natural gas. </w:t>
      </w:r>
      <w:r w:rsidR="0016614C" w:rsidRPr="00642A5D">
        <w:t xml:space="preserve">The major surface water features in the </w:t>
      </w:r>
      <w:r w:rsidR="007C4916">
        <w:t>Otway region</w:t>
      </w:r>
      <w:r w:rsidR="0016614C" w:rsidRPr="00642A5D">
        <w:t xml:space="preserve"> fall within eight river basins</w:t>
      </w:r>
      <w:r w:rsidR="00540B70">
        <w:t>:</w:t>
      </w:r>
      <w:r w:rsidR="0016614C" w:rsidRPr="00642A5D">
        <w:t xml:space="preserve"> Millicent Coast, Glenelg River, Portland Coast, Hopkins River, Lake Corangamite, Otway Coast, Barwon River and Moorabool River Basins (</w:t>
      </w:r>
      <w:r w:rsidR="00326B19" w:rsidRPr="00642A5D">
        <w:fldChar w:fldCharType="begin"/>
      </w:r>
      <w:r w:rsidR="00326B19" w:rsidRPr="00642A5D">
        <w:instrText xml:space="preserve"> REF _Ref406602617 \h  \* MERGEFORMAT </w:instrText>
      </w:r>
      <w:r w:rsidR="00326B19" w:rsidRPr="00642A5D">
        <w:fldChar w:fldCharType="separate"/>
      </w:r>
      <w:r w:rsidR="00171A5E" w:rsidRPr="00715102">
        <w:t xml:space="preserve">Figure </w:t>
      </w:r>
      <w:r w:rsidR="00171A5E">
        <w:rPr>
          <w:noProof/>
        </w:rPr>
        <w:t>27</w:t>
      </w:r>
      <w:r w:rsidR="00326B19" w:rsidRPr="00642A5D">
        <w:fldChar w:fldCharType="end"/>
      </w:r>
      <w:r w:rsidR="0016614C" w:rsidRPr="00642A5D">
        <w:t>).</w:t>
      </w:r>
    </w:p>
    <w:p w14:paraId="3D93492B" w14:textId="7D81B661" w:rsidR="007612CF" w:rsidRPr="00642A5D" w:rsidRDefault="0016614C">
      <w:r w:rsidRPr="00642A5D">
        <w:t xml:space="preserve">The highest areas of runoff throughout the </w:t>
      </w:r>
      <w:r w:rsidR="007C4916">
        <w:t>Otway region</w:t>
      </w:r>
      <w:r w:rsidRPr="00642A5D">
        <w:t xml:space="preserve"> </w:t>
      </w:r>
      <w:r w:rsidR="00114B28">
        <w:t>are</w:t>
      </w:r>
      <w:r w:rsidR="00114B28" w:rsidRPr="00642A5D">
        <w:t xml:space="preserve"> </w:t>
      </w:r>
      <w:r w:rsidRPr="00642A5D">
        <w:t>in the Otway Ranges</w:t>
      </w:r>
      <w:r w:rsidR="00114B28">
        <w:t xml:space="preserve"> and</w:t>
      </w:r>
      <w:r w:rsidRPr="00642A5D">
        <w:t xml:space="preserve"> result in </w:t>
      </w:r>
      <w:r w:rsidR="00114B28">
        <w:t>larger</w:t>
      </w:r>
      <w:r w:rsidR="00114B28" w:rsidRPr="00642A5D">
        <w:t xml:space="preserve"> </w:t>
      </w:r>
      <w:r w:rsidRPr="00642A5D">
        <w:t xml:space="preserve">stream flows </w:t>
      </w:r>
      <w:r w:rsidR="00114B28">
        <w:t>there;</w:t>
      </w:r>
      <w:r w:rsidRPr="00642A5D">
        <w:t xml:space="preserve"> for example</w:t>
      </w:r>
      <w:r w:rsidR="00114B28">
        <w:t>,</w:t>
      </w:r>
      <w:r w:rsidRPr="00642A5D">
        <w:t xml:space="preserve"> the Gellibrand and Aire Rivers. In other areas where runoff is more variable, streams are often ephemeral and carry flows </w:t>
      </w:r>
      <w:r w:rsidR="00114B28">
        <w:t xml:space="preserve">only </w:t>
      </w:r>
      <w:r w:rsidRPr="00642A5D">
        <w:t xml:space="preserve">after </w:t>
      </w:r>
      <w:r w:rsidR="00114B28">
        <w:t xml:space="preserve">significant </w:t>
      </w:r>
      <w:r w:rsidRPr="00642A5D">
        <w:t xml:space="preserve">rainfall (SRW, 2013). Streams between Portland and Warnambool </w:t>
      </w:r>
      <w:r w:rsidR="00264C5D">
        <w:t xml:space="preserve">have </w:t>
      </w:r>
      <w:r w:rsidRPr="00642A5D">
        <w:t>show</w:t>
      </w:r>
      <w:r w:rsidR="00264C5D">
        <w:t>n</w:t>
      </w:r>
      <w:r w:rsidRPr="00642A5D">
        <w:t xml:space="preserve"> declining baseflow</w:t>
      </w:r>
      <w:r w:rsidR="00114B28">
        <w:t>s</w:t>
      </w:r>
      <w:r w:rsidRPr="00642A5D">
        <w:t xml:space="preserve"> over the last 40 years</w:t>
      </w:r>
      <w:r w:rsidR="00FB0F63" w:rsidRPr="00642A5D">
        <w:t>. This</w:t>
      </w:r>
      <w:r w:rsidRPr="00642A5D">
        <w:t xml:space="preserve"> has </w:t>
      </w:r>
      <w:r w:rsidR="00264C5D" w:rsidRPr="00642A5D">
        <w:t xml:space="preserve">been </w:t>
      </w:r>
      <w:r w:rsidRPr="00642A5D">
        <w:t xml:space="preserve">attributed </w:t>
      </w:r>
      <w:r w:rsidR="00114B28" w:rsidRPr="00642A5D">
        <w:t xml:space="preserve">mainly </w:t>
      </w:r>
      <w:r w:rsidRPr="00642A5D">
        <w:t xml:space="preserve">to reduced rainfall in the area. Removal of the rainfall effect from stream flows yields consistent baseflow contributions until the 1990s but </w:t>
      </w:r>
      <w:r w:rsidR="00264C5D">
        <w:t xml:space="preserve">has </w:t>
      </w:r>
      <w:r w:rsidRPr="00642A5D">
        <w:t>decline</w:t>
      </w:r>
      <w:r w:rsidR="00264C5D">
        <w:t>d</w:t>
      </w:r>
      <w:r w:rsidRPr="00642A5D">
        <w:t xml:space="preserve"> since. This trend has been attributed to land use changes in the area (SRW, 2013).</w:t>
      </w:r>
    </w:p>
    <w:p w14:paraId="566AD88D" w14:textId="22E6C902" w:rsidR="007F257C" w:rsidRPr="00642A5D" w:rsidRDefault="000B586F">
      <w:r w:rsidRPr="00642A5D">
        <w:t xml:space="preserve">The baseflow contribution </w:t>
      </w:r>
      <w:r w:rsidR="00B04192" w:rsidRPr="00642A5D">
        <w:t xml:space="preserve">and </w:t>
      </w:r>
      <w:r w:rsidR="00CB4F01">
        <w:t xml:space="preserve">the variably </w:t>
      </w:r>
      <w:r w:rsidR="00B04192" w:rsidRPr="00CB4F01">
        <w:t>gaining</w:t>
      </w:r>
      <w:r w:rsidR="00CB4F01" w:rsidRPr="00CB4F01">
        <w:t xml:space="preserve"> and</w:t>
      </w:r>
      <w:r w:rsidR="00B04192" w:rsidRPr="00CB4F01">
        <w:t xml:space="preserve"> losing nature of </w:t>
      </w:r>
      <w:r w:rsidRPr="00CB4F01">
        <w:t>a</w:t>
      </w:r>
      <w:r w:rsidRPr="00642A5D">
        <w:t xml:space="preserve"> number of rivers </w:t>
      </w:r>
      <w:r w:rsidR="00B04192" w:rsidRPr="00642A5D">
        <w:t xml:space="preserve">and streams </w:t>
      </w:r>
      <w:r w:rsidRPr="00642A5D">
        <w:t xml:space="preserve">in the </w:t>
      </w:r>
      <w:r w:rsidR="007C4916">
        <w:t>Otway region</w:t>
      </w:r>
      <w:r w:rsidRPr="00642A5D">
        <w:t xml:space="preserve"> were calculated </w:t>
      </w:r>
      <w:r w:rsidR="00F33901" w:rsidRPr="00642A5D">
        <w:t xml:space="preserve">by GHD (2014a) </w:t>
      </w:r>
      <w:r w:rsidR="00B04192" w:rsidRPr="00642A5D">
        <w:t xml:space="preserve">and </w:t>
      </w:r>
      <w:r w:rsidR="00BB18AB">
        <w:t xml:space="preserve">are </w:t>
      </w:r>
      <w:r w:rsidR="00B04192" w:rsidRPr="00642A5D">
        <w:t xml:space="preserve">summarised in </w:t>
      </w:r>
      <w:r w:rsidR="007569CD" w:rsidRPr="00642A5D">
        <w:fldChar w:fldCharType="begin"/>
      </w:r>
      <w:r w:rsidR="00C0204A" w:rsidRPr="00642A5D">
        <w:instrText xml:space="preserve"> REF _Ref409442447 \h </w:instrText>
      </w:r>
      <w:r w:rsidR="00642A5D">
        <w:instrText xml:space="preserve"> \* MERGEFORMAT </w:instrText>
      </w:r>
      <w:r w:rsidR="007569CD" w:rsidRPr="00642A5D">
        <w:fldChar w:fldCharType="separate"/>
      </w:r>
      <w:r w:rsidR="00171A5E" w:rsidRPr="00642A5D">
        <w:t xml:space="preserve">Figure </w:t>
      </w:r>
      <w:r w:rsidR="00171A5E">
        <w:rPr>
          <w:noProof/>
        </w:rPr>
        <w:t>28</w:t>
      </w:r>
      <w:r w:rsidR="007569CD" w:rsidRPr="00642A5D">
        <w:fldChar w:fldCharType="end"/>
      </w:r>
      <w:r w:rsidR="00B04192" w:rsidRPr="00642A5D">
        <w:t xml:space="preserve">. This shows that </w:t>
      </w:r>
      <w:r w:rsidR="00DB1679">
        <w:t>t</w:t>
      </w:r>
      <w:r w:rsidR="00DB1679" w:rsidRPr="00642A5D">
        <w:t xml:space="preserve">he </w:t>
      </w:r>
      <w:r w:rsidR="00B04192" w:rsidRPr="00642A5D">
        <w:t xml:space="preserve">Barwon River transitions from generally losing in the upland reaches to gaining through the mid-reaches and variably </w:t>
      </w:r>
      <w:r w:rsidR="00CB4F01" w:rsidRPr="00CB4F01">
        <w:t xml:space="preserve">gaining and </w:t>
      </w:r>
      <w:r w:rsidR="00B04192" w:rsidRPr="00CB4F01">
        <w:t>losing</w:t>
      </w:r>
      <w:r w:rsidR="00B04192" w:rsidRPr="00642A5D">
        <w:t xml:space="preserve"> throughout its lower reaches</w:t>
      </w:r>
      <w:r w:rsidR="00DE6BA6">
        <w:t>,</w:t>
      </w:r>
      <w:r w:rsidR="00B04192" w:rsidRPr="00642A5D">
        <w:t xml:space="preserve"> in response to topographically driven hydraulic gradients. The lower Glenelg and Gellibrand Rivers are generally gaining rivers and receive</w:t>
      </w:r>
      <w:r w:rsidR="007612CF" w:rsidRPr="00642A5D">
        <w:t xml:space="preserve"> greater groundwater inputs during winter and spring when streamflow and groundwater levels are higher. The lower Hopkins River is variably gaining and losing, with groundwater flows occurring during winter months when groundwater levels are higher and lower groundwater inflows during drier months when groundwater levels are lower. The proportion of baseflow throughout western Victoria in the Barwon, Gellibrand, Glenelg and Hopkins river catchments range</w:t>
      </w:r>
      <w:r w:rsidR="00DB1679">
        <w:t>s</w:t>
      </w:r>
      <w:r w:rsidR="007612CF" w:rsidRPr="00642A5D">
        <w:t xml:space="preserve"> from 26 to 34%.</w:t>
      </w:r>
    </w:p>
    <w:p w14:paraId="5C028292" w14:textId="46B8E445" w:rsidR="0016614C" w:rsidRPr="006815DB" w:rsidRDefault="0016614C">
      <w:pPr>
        <w:rPr>
          <w:rFonts w:cs="Arial"/>
        </w:rPr>
      </w:pPr>
      <w:r w:rsidRPr="006815DB">
        <w:rPr>
          <w:rFonts w:cs="Arial"/>
        </w:rPr>
        <w:t xml:space="preserve">Some potentially significant surface water systems </w:t>
      </w:r>
      <w:r w:rsidR="007F257C" w:rsidRPr="006815DB">
        <w:rPr>
          <w:rFonts w:cs="Arial"/>
        </w:rPr>
        <w:t xml:space="preserve">also </w:t>
      </w:r>
      <w:r w:rsidRPr="006815DB">
        <w:rPr>
          <w:rFonts w:cs="Arial"/>
        </w:rPr>
        <w:t xml:space="preserve">rely on groundwater associated with local groundwater recharge and flow systems (groundwater flow paths &lt;5 km). This includes a number of groundwater discharge zones along the upper Eumeralla River and the lower Fitzroy River near Portland. </w:t>
      </w:r>
      <w:r w:rsidR="00DE6BA6" w:rsidRPr="006815DB">
        <w:rPr>
          <w:rFonts w:cs="Arial"/>
        </w:rPr>
        <w:t>A</w:t>
      </w:r>
      <w:r w:rsidRPr="006815DB">
        <w:rPr>
          <w:rFonts w:cs="Arial"/>
        </w:rPr>
        <w:t xml:space="preserve"> number of springs near volcanic cones such as Mt Warrenheip near Ballarat and the crater lakes surrounding the Red Rock complex near Colac </w:t>
      </w:r>
      <w:r w:rsidR="00DE6BA6" w:rsidRPr="006815DB">
        <w:rPr>
          <w:rFonts w:cs="Arial"/>
        </w:rPr>
        <w:t xml:space="preserve">also </w:t>
      </w:r>
      <w:r w:rsidRPr="006815DB">
        <w:rPr>
          <w:rFonts w:cs="Arial"/>
        </w:rPr>
        <w:t>appear to be fed by local groundwater discharge. Saline groundwater discharge tends to dominate the intermediate and regional flow systems, where the movement of groundwater is very slow</w:t>
      </w:r>
      <w:r w:rsidR="00DE6BA6" w:rsidRPr="006815DB">
        <w:rPr>
          <w:rFonts w:cs="Arial"/>
        </w:rPr>
        <w:t>; Lake Burrumbeet and Lake Bolac are two examples</w:t>
      </w:r>
      <w:r w:rsidRPr="006815DB">
        <w:rPr>
          <w:rFonts w:cs="Arial"/>
        </w:rPr>
        <w:t xml:space="preserve">. </w:t>
      </w:r>
      <w:r w:rsidR="007569CD" w:rsidRPr="006815DB">
        <w:rPr>
          <w:rFonts w:cs="Arial"/>
        </w:rPr>
        <w:fldChar w:fldCharType="begin"/>
      </w:r>
      <w:r w:rsidR="00F30465" w:rsidRPr="006815DB">
        <w:rPr>
          <w:rFonts w:cs="Arial"/>
        </w:rPr>
        <w:instrText xml:space="preserve"> REF _Ref406602617 \h </w:instrText>
      </w:r>
      <w:r w:rsidR="00642A5D" w:rsidRPr="006815DB">
        <w:rPr>
          <w:rFonts w:cs="Arial"/>
        </w:rPr>
        <w:instrText xml:space="preserve"> \* MERGEFORMAT </w:instrText>
      </w:r>
      <w:r w:rsidR="007569CD" w:rsidRPr="006815DB">
        <w:rPr>
          <w:rFonts w:cs="Arial"/>
        </w:rPr>
      </w:r>
      <w:r w:rsidR="007569CD" w:rsidRPr="006815DB">
        <w:rPr>
          <w:rFonts w:cs="Arial"/>
        </w:rPr>
        <w:fldChar w:fldCharType="separate"/>
      </w:r>
      <w:r w:rsidR="00171A5E" w:rsidRPr="00171A5E">
        <w:rPr>
          <w:rFonts w:cs="Arial"/>
        </w:rPr>
        <w:t xml:space="preserve">Figure </w:t>
      </w:r>
      <w:r w:rsidR="00171A5E" w:rsidRPr="00171A5E">
        <w:rPr>
          <w:rFonts w:cs="Arial"/>
          <w:noProof/>
        </w:rPr>
        <w:t>27</w:t>
      </w:r>
      <w:r w:rsidR="007569CD" w:rsidRPr="006815DB">
        <w:rPr>
          <w:rFonts w:cs="Arial"/>
        </w:rPr>
        <w:fldChar w:fldCharType="end"/>
      </w:r>
      <w:r w:rsidR="00355AAA" w:rsidRPr="006815DB">
        <w:rPr>
          <w:rFonts w:cs="Arial"/>
        </w:rPr>
        <w:t xml:space="preserve"> shows the groundwater</w:t>
      </w:r>
      <w:r w:rsidR="00DE6BA6" w:rsidRPr="006815DB">
        <w:rPr>
          <w:rFonts w:cs="Arial"/>
        </w:rPr>
        <w:t>-</w:t>
      </w:r>
      <w:r w:rsidR="00355AAA" w:rsidRPr="006815DB">
        <w:rPr>
          <w:rFonts w:cs="Arial"/>
        </w:rPr>
        <w:t>depend</w:t>
      </w:r>
      <w:r w:rsidR="00DE6BA6" w:rsidRPr="006815DB">
        <w:rPr>
          <w:rFonts w:cs="Arial"/>
        </w:rPr>
        <w:t>e</w:t>
      </w:r>
      <w:r w:rsidR="00355AAA" w:rsidRPr="006815DB">
        <w:rPr>
          <w:rFonts w:cs="Arial"/>
        </w:rPr>
        <w:t xml:space="preserve">nt ecosystems in the </w:t>
      </w:r>
      <w:r w:rsidR="007C4916" w:rsidRPr="006815DB">
        <w:rPr>
          <w:rFonts w:cs="Arial"/>
        </w:rPr>
        <w:t>Otway region</w:t>
      </w:r>
      <w:r w:rsidR="00355AAA" w:rsidRPr="006815DB">
        <w:rPr>
          <w:rFonts w:cs="Arial"/>
        </w:rPr>
        <w:t>.</w:t>
      </w:r>
    </w:p>
    <w:p w14:paraId="675803B6" w14:textId="3F6F1E3B" w:rsidR="00F30465" w:rsidRPr="00642A5D" w:rsidRDefault="00F30465" w:rsidP="00BB18AB">
      <w:pPr>
        <w:pStyle w:val="Para0"/>
      </w:pPr>
      <w:r w:rsidRPr="00642A5D">
        <w:t xml:space="preserve">The Water Asset Identification Project (GHD, 2014b) identified surface water bodies, groundwater assets and ecosystems within the </w:t>
      </w:r>
      <w:r w:rsidR="007C4916">
        <w:t>Otway region</w:t>
      </w:r>
      <w:r w:rsidR="00DE6BA6">
        <w:t>,</w:t>
      </w:r>
      <w:r w:rsidRPr="00642A5D">
        <w:t xml:space="preserve"> </w:t>
      </w:r>
      <w:r w:rsidR="005252C9" w:rsidRPr="00642A5D">
        <w:t>includ</w:t>
      </w:r>
      <w:r w:rsidR="005252C9">
        <w:t>ing</w:t>
      </w:r>
      <w:r w:rsidR="005252C9" w:rsidRPr="00642A5D">
        <w:t xml:space="preserve"> </w:t>
      </w:r>
      <w:r w:rsidRPr="00642A5D">
        <w:t>aquifers, springs, rivers and creeks, lakes and wetlands.</w:t>
      </w:r>
      <w:r w:rsidR="009A72C5">
        <w:t xml:space="preserve"> </w:t>
      </w:r>
      <w:r w:rsidR="00DE6BA6">
        <w:t>T</w:t>
      </w:r>
      <w:r w:rsidRPr="00642A5D">
        <w:t xml:space="preserve">he project </w:t>
      </w:r>
      <w:r w:rsidR="00DE6BA6">
        <w:t xml:space="preserve">also </w:t>
      </w:r>
      <w:r w:rsidRPr="00642A5D">
        <w:t xml:space="preserve">assessed the vulnerability of these assets to the development of coal seam gas and coal mining. </w:t>
      </w:r>
      <w:r w:rsidR="00DE6BA6">
        <w:t>It</w:t>
      </w:r>
      <w:r w:rsidRPr="00642A5D">
        <w:t xml:space="preserve"> found that in the Corangamite and Glenelg Hopkins</w:t>
      </w:r>
      <w:r w:rsidR="00DE6BA6">
        <w:t xml:space="preserve"> regions</w:t>
      </w:r>
      <w:r w:rsidRPr="00642A5D">
        <w:t xml:space="preserve"> over 90% of the rivers and creeks </w:t>
      </w:r>
      <w:r w:rsidR="00DE6BA6">
        <w:t>have a</w:t>
      </w:r>
      <w:r w:rsidRPr="00642A5D">
        <w:t xml:space="preserve"> mid to high vulnerability. The springs in the Corangamite region </w:t>
      </w:r>
      <w:r w:rsidR="00DE6BA6">
        <w:t>have a</w:t>
      </w:r>
      <w:r w:rsidR="00DE6BA6" w:rsidRPr="00642A5D">
        <w:t xml:space="preserve"> </w:t>
      </w:r>
      <w:r w:rsidRPr="00642A5D">
        <w:t>mostly mid to high vulnerability</w:t>
      </w:r>
      <w:r w:rsidR="005252C9">
        <w:t>,</w:t>
      </w:r>
      <w:r w:rsidRPr="00642A5D">
        <w:t xml:space="preserve"> while those in the Glenelg Hopkins region </w:t>
      </w:r>
      <w:r w:rsidR="00DE6BA6">
        <w:t>are</w:t>
      </w:r>
      <w:r w:rsidR="00DE6BA6" w:rsidRPr="00642A5D">
        <w:t xml:space="preserve"> </w:t>
      </w:r>
      <w:r w:rsidRPr="00642A5D">
        <w:t xml:space="preserve">less vulnerable. The remaining springs throughout the Otway region </w:t>
      </w:r>
      <w:r w:rsidR="00DE6BA6">
        <w:t>have various</w:t>
      </w:r>
      <w:r w:rsidRPr="00642A5D">
        <w:t xml:space="preserve"> vulnerabilit</w:t>
      </w:r>
      <w:r w:rsidR="00DE6BA6">
        <w:t>ies</w:t>
      </w:r>
      <w:r w:rsidRPr="00642A5D">
        <w:t>.</w:t>
      </w:r>
    </w:p>
    <w:p w14:paraId="4D02D4E3" w14:textId="09FC5A80" w:rsidR="00F30465" w:rsidRDefault="00F30465" w:rsidP="00DE6BA6">
      <w:pPr>
        <w:pStyle w:val="Para0"/>
      </w:pPr>
      <w:r w:rsidRPr="00642A5D">
        <w:t xml:space="preserve">For the purpose of this report, surface water features are linked to groundwater where groundwater levels are </w:t>
      </w:r>
      <w:r w:rsidRPr="00642A5D">
        <w:rPr>
          <w:rFonts w:cs="Arial"/>
        </w:rPr>
        <w:t xml:space="preserve">within </w:t>
      </w:r>
      <w:r w:rsidRPr="00642A5D">
        <w:t xml:space="preserve">2.0 m of the ground surface. The areas shaded in orange in </w:t>
      </w:r>
      <w:r w:rsidR="007569CD" w:rsidRPr="00642A5D">
        <w:fldChar w:fldCharType="begin"/>
      </w:r>
      <w:r w:rsidRPr="00642A5D">
        <w:instrText xml:space="preserve"> REF _Ref406602617 \h </w:instrText>
      </w:r>
      <w:r w:rsidR="00642A5D">
        <w:instrText xml:space="preserve"> \* MERGEFORMAT </w:instrText>
      </w:r>
      <w:r w:rsidR="007569CD" w:rsidRPr="00642A5D">
        <w:fldChar w:fldCharType="separate"/>
      </w:r>
      <w:r w:rsidR="00171A5E" w:rsidRPr="00715102">
        <w:t xml:space="preserve">Figure </w:t>
      </w:r>
      <w:r w:rsidR="00171A5E">
        <w:rPr>
          <w:noProof/>
        </w:rPr>
        <w:t>27</w:t>
      </w:r>
      <w:r w:rsidR="007569CD" w:rsidRPr="00642A5D">
        <w:fldChar w:fldCharType="end"/>
      </w:r>
      <w:r w:rsidRPr="00642A5D">
        <w:t xml:space="preserve"> define the occurrence of groundwater within 2.0 m of the ground surface</w:t>
      </w:r>
      <w:r w:rsidR="00DE6BA6">
        <w:t>;</w:t>
      </w:r>
      <w:r w:rsidRPr="00642A5D">
        <w:t xml:space="preserve"> where the orange areas intersect surface water bodies, groundwater and surface water are linked.</w:t>
      </w:r>
    </w:p>
    <w:p w14:paraId="3D06DBFA" w14:textId="77777777" w:rsidR="00DE6BA6" w:rsidRPr="00642A5D" w:rsidRDefault="00DE6BA6" w:rsidP="00DE6BA6">
      <w:pPr>
        <w:pStyle w:val="Heading4"/>
      </w:pPr>
      <w:r w:rsidRPr="00642A5D">
        <w:t>Conventional and tight gas</w:t>
      </w:r>
    </w:p>
    <w:p w14:paraId="4B31DBD6" w14:textId="2342C089" w:rsidR="00DE6BA6" w:rsidRPr="00642A5D" w:rsidRDefault="00DE6BA6" w:rsidP="00DE6BA6">
      <w:pPr>
        <w:pStyle w:val="Para0"/>
      </w:pPr>
      <w:r w:rsidRPr="00642A5D">
        <w:t>The tight gas potential development scenario includes an area that extends along the coastline from the eastern lower Hopkins River Basin into the central regions of the lower Otway Coast Basin (</w:t>
      </w:r>
      <w:r w:rsidRPr="00642A5D">
        <w:fldChar w:fldCharType="begin"/>
      </w:r>
      <w:r w:rsidRPr="00642A5D">
        <w:instrText xml:space="preserve"> REF _Ref406602617 \h </w:instrText>
      </w:r>
      <w:r>
        <w:instrText xml:space="preserve"> \* MERGEFORMAT </w:instrText>
      </w:r>
      <w:r w:rsidRPr="00642A5D">
        <w:fldChar w:fldCharType="separate"/>
      </w:r>
      <w:r w:rsidR="00171A5E" w:rsidRPr="00715102">
        <w:t xml:space="preserve">Figure </w:t>
      </w:r>
      <w:r w:rsidR="00171A5E">
        <w:rPr>
          <w:noProof/>
        </w:rPr>
        <w:t>27</w:t>
      </w:r>
      <w:r w:rsidRPr="00642A5D">
        <w:fldChar w:fldCharType="end"/>
      </w:r>
      <w:r w:rsidRPr="00642A5D">
        <w:t xml:space="preserve">). Within the Hopkins River Basin the natural gas scenario does not directly intersect the Hopkins River itself, </w:t>
      </w:r>
      <w:r>
        <w:t>but</w:t>
      </w:r>
      <w:r w:rsidRPr="00642A5D">
        <w:t xml:space="preserve"> the upper reaches of Deep Creek and Brucknell Creek</w:t>
      </w:r>
      <w:r>
        <w:t>,</w:t>
      </w:r>
      <w:r w:rsidRPr="00642A5D">
        <w:t xml:space="preserve"> which feed into the lower Glenelg River</w:t>
      </w:r>
      <w:r>
        <w:t>,</w:t>
      </w:r>
      <w:r w:rsidRPr="00642A5D">
        <w:t xml:space="preserve"> are linked to the groundwater system near the gas source. In the lower Otway Coast Basin, Curdies Inlet and Curdies River appear to be linked to the groundwater system</w:t>
      </w:r>
      <w:r>
        <w:t xml:space="preserve">, as do </w:t>
      </w:r>
      <w:r w:rsidRPr="00642A5D">
        <w:t>Scotts Creek (which drains into Curdies River)</w:t>
      </w:r>
      <w:r>
        <w:t>,</w:t>
      </w:r>
      <w:r w:rsidRPr="00642A5D">
        <w:t xml:space="preserve"> and a number of upland tributaries draining into Scotts Creek</w:t>
      </w:r>
      <w:r>
        <w:t>.</w:t>
      </w:r>
      <w:r w:rsidRPr="00642A5D">
        <w:t xml:space="preserve"> </w:t>
      </w:r>
      <w:r>
        <w:t xml:space="preserve">(e.g. </w:t>
      </w:r>
      <w:r w:rsidRPr="00642A5D">
        <w:t>Little Cooriemungle Creek and Cooriemungle Creek</w:t>
      </w:r>
      <w:r>
        <w:t>)</w:t>
      </w:r>
      <w:r w:rsidRPr="00642A5D">
        <w:t xml:space="preserve"> are surrounded by the wider areas of shallow (&lt;</w:t>
      </w:r>
      <w:r>
        <w:t xml:space="preserve"> </w:t>
      </w:r>
      <w:r w:rsidRPr="00642A5D">
        <w:t xml:space="preserve">2.0 m below ground level) groundwater. Lower sections of the Gellibrand River and a number of neighbouring wetlands and lakes are also located near shallow groundwater systems and </w:t>
      </w:r>
      <w:r>
        <w:t xml:space="preserve">are </w:t>
      </w:r>
      <w:r w:rsidRPr="00642A5D">
        <w:t>linked to them.</w:t>
      </w:r>
      <w:r>
        <w:t xml:space="preserve"> </w:t>
      </w:r>
    </w:p>
    <w:p w14:paraId="52CB8EA9" w14:textId="77777777" w:rsidR="00DE6BA6" w:rsidRPr="00642A5D" w:rsidRDefault="00DE6BA6" w:rsidP="00DE6BA6">
      <w:pPr>
        <w:pStyle w:val="Heading4"/>
      </w:pPr>
      <w:r w:rsidRPr="00642A5D">
        <w:t xml:space="preserve">Shale gas </w:t>
      </w:r>
    </w:p>
    <w:p w14:paraId="662CD524" w14:textId="2CEC5200" w:rsidR="00DE6BA6" w:rsidRPr="00642A5D" w:rsidRDefault="00DE6BA6" w:rsidP="00DE6BA6">
      <w:pPr>
        <w:pStyle w:val="Para0"/>
      </w:pPr>
      <w:r w:rsidRPr="00642A5D">
        <w:t xml:space="preserve">Shale gas sources are focused along the western margin of the Glenelg River Basin and the eastern margin of the </w:t>
      </w:r>
      <w:r w:rsidRPr="00CB4F01">
        <w:t>Millicent</w:t>
      </w:r>
      <w:r w:rsidRPr="00642A5D">
        <w:t xml:space="preserve"> Coast Basin (</w:t>
      </w:r>
      <w:r w:rsidRPr="00642A5D">
        <w:fldChar w:fldCharType="begin"/>
      </w:r>
      <w:r w:rsidRPr="00642A5D">
        <w:instrText xml:space="preserve"> REF _Ref406602617 \h </w:instrText>
      </w:r>
      <w:r>
        <w:instrText xml:space="preserve"> \* MERGEFORMAT </w:instrText>
      </w:r>
      <w:r w:rsidRPr="00642A5D">
        <w:fldChar w:fldCharType="separate"/>
      </w:r>
      <w:r w:rsidR="00171A5E" w:rsidRPr="00715102">
        <w:t xml:space="preserve">Figure </w:t>
      </w:r>
      <w:r w:rsidR="00171A5E">
        <w:rPr>
          <w:noProof/>
        </w:rPr>
        <w:t>27</w:t>
      </w:r>
      <w:r w:rsidRPr="00642A5D">
        <w:fldChar w:fldCharType="end"/>
      </w:r>
      <w:r w:rsidRPr="00642A5D">
        <w:t>). Within the defined shale gas source area, the Glenelg River does not appear to be linked to groundwater</w:t>
      </w:r>
      <w:r>
        <w:t>,</w:t>
      </w:r>
      <w:r w:rsidRPr="00642A5D">
        <w:t xml:space="preserve"> nor do its tributaries. The surface water bodies that appear to be linked to groundwater associated with this scenario are some inland lakes and wetlands such as Kaladbro Swamp, Mackinnon Swamp and Mosquito Swamp.</w:t>
      </w:r>
    </w:p>
    <w:p w14:paraId="60F9A78F" w14:textId="77777777" w:rsidR="00DE6BA6" w:rsidRPr="00642A5D" w:rsidRDefault="00DE6BA6" w:rsidP="00DE6BA6">
      <w:pPr>
        <w:pStyle w:val="Heading4"/>
      </w:pPr>
      <w:r w:rsidRPr="00642A5D">
        <w:t>Coal seam gas</w:t>
      </w:r>
    </w:p>
    <w:p w14:paraId="649DFEDA" w14:textId="2E5D55D2" w:rsidR="00DE6BA6" w:rsidRPr="00642A5D" w:rsidRDefault="00DE6BA6" w:rsidP="00DE6BA6">
      <w:r w:rsidRPr="00642A5D">
        <w:t>Coal seam gas sources are scattered across multiple surface water basins including the central Glenelg River Basin, across the border of the central Portland Coast and lower Hopkins River Basins and the lower Lake Corangamite Basin. The development areas in the Glenelg Basin intersect a number of minor tributaries draining into the Glenelg River. Most of these tributaries appear to have minor linkages to groundwater. However, there do appear to be a number of wetlands associated with Dwyer Creek that are connected to groundwater. Throughout the Portland Coast Basin and Hopkins River Basin, upper sections of the Loachlabar Gully and Spring Creek (in the Hopkins River Basin) appear to be the major surface water features linked to groundwater, before they drain into</w:t>
      </w:r>
      <w:r>
        <w:t xml:space="preserve"> the</w:t>
      </w:r>
      <w:r w:rsidRPr="00642A5D">
        <w:t xml:space="preserve"> Merri River. Coal seam sources in the Lake Corangamite Basin </w:t>
      </w:r>
      <w:r w:rsidR="00ED17CA" w:rsidRPr="00642A5D">
        <w:t>underl</w:t>
      </w:r>
      <w:r w:rsidR="00ED17CA">
        <w:t>ie</w:t>
      </w:r>
      <w:r w:rsidR="00ED17CA" w:rsidRPr="00642A5D">
        <w:t xml:space="preserve"> </w:t>
      </w:r>
      <w:r w:rsidRPr="00642A5D">
        <w:t>Lake Corangamite and Lake Colac, both of which are connected to groundwater, as is Pirron Yallock Creek which drains into Lake Corangamite (</w:t>
      </w:r>
      <w:r w:rsidRPr="00642A5D">
        <w:fldChar w:fldCharType="begin"/>
      </w:r>
      <w:r w:rsidRPr="00642A5D">
        <w:instrText xml:space="preserve"> REF _Ref406602617 \h </w:instrText>
      </w:r>
      <w:r>
        <w:instrText xml:space="preserve"> \* MERGEFORMAT </w:instrText>
      </w:r>
      <w:r w:rsidRPr="00642A5D">
        <w:fldChar w:fldCharType="separate"/>
      </w:r>
      <w:r w:rsidR="00171A5E" w:rsidRPr="00715102">
        <w:t xml:space="preserve">Figure </w:t>
      </w:r>
      <w:r w:rsidR="00171A5E">
        <w:rPr>
          <w:noProof/>
        </w:rPr>
        <w:t>27</w:t>
      </w:r>
      <w:r w:rsidRPr="00642A5D">
        <w:fldChar w:fldCharType="end"/>
      </w:r>
      <w:r w:rsidRPr="00642A5D">
        <w:t>).</w:t>
      </w:r>
    </w:p>
    <w:p w14:paraId="1C46CC3C" w14:textId="77777777" w:rsidR="00DE6BA6" w:rsidRPr="00642A5D" w:rsidRDefault="00DE6BA6" w:rsidP="00DE6BA6">
      <w:pPr>
        <w:rPr>
          <w:lang w:val="en-AU" w:eastAsia="en-US"/>
        </w:rPr>
      </w:pPr>
    </w:p>
    <w:p w14:paraId="499A4120" w14:textId="77777777" w:rsidR="00DE6BA6" w:rsidRPr="00642A5D" w:rsidRDefault="00DE6BA6">
      <w:pPr>
        <w:rPr>
          <w:lang w:val="en-AU"/>
        </w:rPr>
        <w:sectPr w:rsidR="00DE6BA6" w:rsidRPr="00642A5D" w:rsidSect="00CF4178">
          <w:pgSz w:w="11906" w:h="16838" w:code="9"/>
          <w:pgMar w:top="2268" w:right="1134" w:bottom="1276" w:left="1134" w:header="567" w:footer="567" w:gutter="0"/>
          <w:cols w:space="708"/>
          <w:titlePg/>
          <w:docGrid w:linePitch="360"/>
        </w:sectPr>
      </w:pPr>
    </w:p>
    <w:p w14:paraId="00ADD426" w14:textId="319D15CB" w:rsidR="00F30465" w:rsidRPr="00616E0E" w:rsidRDefault="00510C1B" w:rsidP="00616E0E">
      <w:pPr>
        <w:pStyle w:val="figurereturn"/>
      </w:pPr>
      <w:r w:rsidRPr="00510C1B">
        <w:drawing>
          <wp:inline distT="0" distB="0" distL="0" distR="0" wp14:anchorId="28A28D7C" wp14:editId="73045B3B">
            <wp:extent cx="8434874" cy="5373627"/>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416718" cy="5362060"/>
                    </a:xfrm>
                    <a:prstGeom prst="rect">
                      <a:avLst/>
                    </a:prstGeom>
                  </pic:spPr>
                </pic:pic>
              </a:graphicData>
            </a:graphic>
          </wp:inline>
        </w:drawing>
      </w:r>
    </w:p>
    <w:p w14:paraId="27B05474" w14:textId="3D1BFACB" w:rsidR="00F30465" w:rsidRPr="00642A5D" w:rsidRDefault="00F30465" w:rsidP="00A53AE8">
      <w:pPr>
        <w:pStyle w:val="Figuretitle"/>
        <w:sectPr w:rsidR="00F30465" w:rsidRPr="00642A5D" w:rsidSect="00CF4178">
          <w:pgSz w:w="16838" w:h="11906" w:orient="landscape" w:code="9"/>
          <w:pgMar w:top="1701" w:right="1134" w:bottom="1276" w:left="1134" w:header="567" w:footer="567" w:gutter="0"/>
          <w:cols w:space="708"/>
          <w:titlePg/>
          <w:docGrid w:linePitch="360"/>
        </w:sectPr>
      </w:pPr>
      <w:bookmarkStart w:id="302" w:name="_Ref406602617"/>
      <w:bookmarkStart w:id="303" w:name="_Toc422928798"/>
      <w:r w:rsidRPr="00715102">
        <w:t xml:space="preserve">Figure </w:t>
      </w:r>
      <w:r w:rsidR="007569CD" w:rsidRPr="00715102">
        <w:fldChar w:fldCharType="begin"/>
      </w:r>
      <w:r w:rsidRPr="00715102">
        <w:instrText xml:space="preserve"> SEQ Figure \* ARABIC </w:instrText>
      </w:r>
      <w:r w:rsidR="007569CD" w:rsidRPr="00715102">
        <w:fldChar w:fldCharType="separate"/>
      </w:r>
      <w:r w:rsidR="00171A5E">
        <w:t>27</w:t>
      </w:r>
      <w:r w:rsidR="007569CD" w:rsidRPr="00715102">
        <w:fldChar w:fldCharType="end"/>
      </w:r>
      <w:bookmarkEnd w:id="302"/>
      <w:r w:rsidR="00F95BE3">
        <w:t>:</w:t>
      </w:r>
      <w:r w:rsidRPr="00715102">
        <w:t xml:space="preserve"> </w:t>
      </w:r>
      <w:r w:rsidR="00DE6BA6">
        <w:t xml:space="preserve"> </w:t>
      </w:r>
      <w:r w:rsidRPr="00715102">
        <w:t>Location</w:t>
      </w:r>
      <w:r w:rsidRPr="00642A5D">
        <w:t xml:space="preserve"> of surface water features and depth to groundwater in the Otway region with sub-regional development scenario</w:t>
      </w:r>
      <w:r w:rsidR="00992BC5">
        <w:t xml:space="preserve"> area</w:t>
      </w:r>
      <w:r w:rsidRPr="00642A5D">
        <w:t>s</w:t>
      </w:r>
      <w:r w:rsidR="00DE6BA6">
        <w:t>.</w:t>
      </w:r>
      <w:bookmarkEnd w:id="303"/>
    </w:p>
    <w:p w14:paraId="32A4A4C8" w14:textId="77777777" w:rsidR="00F30465" w:rsidRPr="00642A5D" w:rsidRDefault="00F30465" w:rsidP="00616E0E">
      <w:pPr>
        <w:pStyle w:val="figurereturn"/>
        <w:rPr>
          <w:rFonts w:ascii="FranklinGothic-Book" w:hAnsi="FranklinGothic-Book" w:cs="FranklinGothic-Book"/>
        </w:rPr>
      </w:pPr>
      <w:r w:rsidRPr="00616E0E">
        <w:drawing>
          <wp:inline distT="0" distB="0" distL="0" distR="0" wp14:anchorId="78574FA2" wp14:editId="1E150D15">
            <wp:extent cx="6897180" cy="488034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6913389" cy="4891813"/>
                    </a:xfrm>
                    <a:prstGeom prst="rect">
                      <a:avLst/>
                    </a:prstGeom>
                  </pic:spPr>
                </pic:pic>
              </a:graphicData>
            </a:graphic>
          </wp:inline>
        </w:drawing>
      </w:r>
    </w:p>
    <w:p w14:paraId="71526C4D" w14:textId="4DB23454" w:rsidR="007612CF" w:rsidRPr="00642A5D" w:rsidRDefault="00C0204A" w:rsidP="00A53AE8">
      <w:pPr>
        <w:pStyle w:val="Figuretitle"/>
        <w:rPr>
          <w:rFonts w:ascii="FranklinGothic-Book" w:hAnsi="FranklinGothic-Book" w:cs="FranklinGothic-Book"/>
        </w:rPr>
        <w:sectPr w:rsidR="007612CF" w:rsidRPr="00642A5D" w:rsidSect="00CF4178">
          <w:pgSz w:w="16838" w:h="11906" w:orient="landscape" w:code="9"/>
          <w:pgMar w:top="1701" w:right="1701" w:bottom="1276" w:left="1701" w:header="567" w:footer="567" w:gutter="0"/>
          <w:cols w:space="708"/>
          <w:titlePg/>
          <w:docGrid w:linePitch="360"/>
        </w:sectPr>
      </w:pPr>
      <w:bookmarkStart w:id="304" w:name="_Ref409442447"/>
      <w:bookmarkStart w:id="305" w:name="_Toc422928799"/>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28</w:t>
      </w:r>
      <w:r w:rsidR="007569CD" w:rsidRPr="00642A5D">
        <w:fldChar w:fldCharType="end"/>
      </w:r>
      <w:bookmarkEnd w:id="304"/>
      <w:r w:rsidR="00F95BE3">
        <w:t>:</w:t>
      </w:r>
      <w:r w:rsidR="00DE6BA6">
        <w:t xml:space="preserve"> </w:t>
      </w:r>
      <w:r w:rsidRPr="00642A5D">
        <w:t xml:space="preserve"> Baseflow estimates to Victorian rivers</w:t>
      </w:r>
      <w:r w:rsidR="00DE6BA6">
        <w:t>.</w:t>
      </w:r>
      <w:r w:rsidRPr="00642A5D">
        <w:t xml:space="preserve"> (</w:t>
      </w:r>
      <w:r w:rsidR="00DE6BA6">
        <w:t>S</w:t>
      </w:r>
      <w:r w:rsidR="00755B17">
        <w:t xml:space="preserve">ource: </w:t>
      </w:r>
      <w:r w:rsidRPr="00642A5D">
        <w:t>GHD, 2014a</w:t>
      </w:r>
      <w:r w:rsidR="00DE6BA6">
        <w:t>.</w:t>
      </w:r>
      <w:r w:rsidRPr="00642A5D">
        <w:t>)</w:t>
      </w:r>
      <w:bookmarkEnd w:id="305"/>
    </w:p>
    <w:p w14:paraId="3252F660" w14:textId="249AFF52" w:rsidR="00F15CAE" w:rsidRPr="00642A5D" w:rsidRDefault="00A35B08" w:rsidP="00616E0E">
      <w:pPr>
        <w:pStyle w:val="Head1x"/>
        <w:tabs>
          <w:tab w:val="left" w:pos="709"/>
        </w:tabs>
        <w:ind w:left="709" w:hanging="709"/>
      </w:pPr>
      <w:bookmarkStart w:id="306" w:name="_Ref409182300"/>
      <w:bookmarkStart w:id="307" w:name="_Toc420568681"/>
      <w:bookmarkStart w:id="308" w:name="_Toc420570263"/>
      <w:bookmarkStart w:id="309" w:name="_Toc420571459"/>
      <w:bookmarkStart w:id="310" w:name="_Toc420572097"/>
      <w:bookmarkStart w:id="311" w:name="_Toc296766954"/>
      <w:bookmarkStart w:id="312" w:name="_Toc422927899"/>
      <w:r>
        <w:t>3</w:t>
      </w:r>
      <w:r>
        <w:tab/>
      </w:r>
      <w:r w:rsidR="00195255" w:rsidRPr="00642A5D">
        <w:t>Aqui</w:t>
      </w:r>
      <w:r w:rsidR="00705FB0" w:rsidRPr="00642A5D">
        <w:t>fer depressuris</w:t>
      </w:r>
      <w:r w:rsidR="00195255" w:rsidRPr="00642A5D">
        <w:t xml:space="preserve">ation </w:t>
      </w:r>
      <w:r w:rsidR="008D24D6">
        <w:t>impact</w:t>
      </w:r>
      <w:r w:rsidR="00195255" w:rsidRPr="00642A5D">
        <w:t xml:space="preserve"> assessment</w:t>
      </w:r>
      <w:bookmarkEnd w:id="306"/>
      <w:bookmarkEnd w:id="307"/>
      <w:bookmarkEnd w:id="308"/>
      <w:bookmarkEnd w:id="309"/>
      <w:bookmarkEnd w:id="310"/>
      <w:bookmarkEnd w:id="311"/>
      <w:bookmarkEnd w:id="312"/>
    </w:p>
    <w:p w14:paraId="33C29159" w14:textId="7E163031" w:rsidR="009114B2" w:rsidRPr="00642A5D" w:rsidRDefault="00ED17CA" w:rsidP="009114B2">
      <w:pPr>
        <w:pStyle w:val="Head2xx"/>
      </w:pPr>
      <w:bookmarkStart w:id="313" w:name="_Toc420568682"/>
      <w:bookmarkStart w:id="314" w:name="_Toc420570264"/>
      <w:bookmarkStart w:id="315" w:name="_Toc420571460"/>
      <w:bookmarkStart w:id="316" w:name="_Toc420572098"/>
      <w:bookmarkStart w:id="317" w:name="_Toc296766955"/>
      <w:bookmarkStart w:id="318" w:name="_Toc422927900"/>
      <w:r>
        <w:t>3.1</w:t>
      </w:r>
      <w:r>
        <w:tab/>
      </w:r>
      <w:r w:rsidR="009114B2" w:rsidRPr="00642A5D">
        <w:t>Introduction</w:t>
      </w:r>
      <w:bookmarkEnd w:id="313"/>
      <w:bookmarkEnd w:id="314"/>
      <w:bookmarkEnd w:id="315"/>
      <w:bookmarkEnd w:id="316"/>
      <w:bookmarkEnd w:id="317"/>
      <w:bookmarkEnd w:id="318"/>
    </w:p>
    <w:p w14:paraId="085CC8BD" w14:textId="380FC98B" w:rsidR="00A00ED0" w:rsidRDefault="001D7188" w:rsidP="00ED17CA">
      <w:pPr>
        <w:rPr>
          <w:lang w:val="en-US"/>
        </w:rPr>
      </w:pPr>
      <w:r>
        <w:rPr>
          <w:rFonts w:cs="Arial"/>
          <w:lang w:val="en-US"/>
        </w:rPr>
        <w:t>The depressurisation of a g</w:t>
      </w:r>
      <w:r w:rsidR="00A00ED0">
        <w:rPr>
          <w:rFonts w:cs="Arial"/>
          <w:lang w:val="en-US"/>
        </w:rPr>
        <w:t>as source formation</w:t>
      </w:r>
      <w:r w:rsidR="00A00ED0" w:rsidRPr="009114B2">
        <w:rPr>
          <w:rFonts w:cs="Arial"/>
          <w:lang w:val="en-US"/>
        </w:rPr>
        <w:t xml:space="preserve"> can affect water resources by changing the groundwater level in adjacent or overlying aquifers</w:t>
      </w:r>
      <w:r w:rsidR="008573A4">
        <w:rPr>
          <w:rFonts w:cs="Arial"/>
          <w:lang w:val="en-US"/>
        </w:rPr>
        <w:t xml:space="preserve">. </w:t>
      </w:r>
      <w:r w:rsidR="00A00ED0" w:rsidRPr="009114B2">
        <w:rPr>
          <w:rFonts w:cs="Arial"/>
          <w:lang w:val="en-US"/>
        </w:rPr>
        <w:t xml:space="preserve">This occurs as a result of </w:t>
      </w:r>
      <w:r w:rsidR="00A00ED0">
        <w:rPr>
          <w:rFonts w:cs="Arial"/>
          <w:lang w:val="en-US"/>
        </w:rPr>
        <w:t>movement</w:t>
      </w:r>
      <w:r w:rsidR="00A00ED0" w:rsidRPr="009114B2">
        <w:rPr>
          <w:rFonts w:cs="Arial"/>
          <w:lang w:val="en-US"/>
        </w:rPr>
        <w:t xml:space="preserve"> of water from aquifers into the gas source formations</w:t>
      </w:r>
      <w:r w:rsidR="008573A4">
        <w:rPr>
          <w:rFonts w:cs="Arial"/>
          <w:lang w:val="en-US"/>
        </w:rPr>
        <w:t xml:space="preserve">. </w:t>
      </w:r>
      <w:r w:rsidR="00A00ED0">
        <w:rPr>
          <w:rFonts w:cs="Arial"/>
          <w:lang w:val="en-US"/>
        </w:rPr>
        <w:t xml:space="preserve">This movement </w:t>
      </w:r>
      <w:r w:rsidR="00A00ED0" w:rsidRPr="009114B2">
        <w:rPr>
          <w:rFonts w:cs="Arial"/>
          <w:lang w:val="en-US"/>
        </w:rPr>
        <w:t>result</w:t>
      </w:r>
      <w:r w:rsidR="00A00ED0">
        <w:rPr>
          <w:rFonts w:cs="Arial"/>
          <w:lang w:val="en-US"/>
        </w:rPr>
        <w:t>s</w:t>
      </w:r>
      <w:r w:rsidR="00A00ED0" w:rsidRPr="009114B2">
        <w:rPr>
          <w:rFonts w:cs="Arial"/>
          <w:lang w:val="en-US"/>
        </w:rPr>
        <w:t xml:space="preserve"> from the pressure reduction generated by water </w:t>
      </w:r>
      <w:r w:rsidR="00A00ED0">
        <w:rPr>
          <w:rFonts w:cs="Arial"/>
          <w:lang w:val="en-US"/>
        </w:rPr>
        <w:t>abs</w:t>
      </w:r>
      <w:r w:rsidR="00A00ED0" w:rsidRPr="009114B2">
        <w:rPr>
          <w:rFonts w:cs="Arial"/>
          <w:lang w:val="en-US"/>
        </w:rPr>
        <w:t>traction</w:t>
      </w:r>
      <w:r w:rsidR="00A00ED0">
        <w:rPr>
          <w:rFonts w:cs="Arial"/>
          <w:lang w:val="en-US"/>
        </w:rPr>
        <w:t>, which is supplemented by gas extraction, in the gas reservoir</w:t>
      </w:r>
      <w:r w:rsidR="008573A4">
        <w:rPr>
          <w:rFonts w:cs="Arial"/>
          <w:lang w:val="en-US"/>
        </w:rPr>
        <w:t xml:space="preserve">. </w:t>
      </w:r>
    </w:p>
    <w:p w14:paraId="4F006D39" w14:textId="3016C6C6" w:rsidR="008D24D6" w:rsidRPr="008D24D6" w:rsidRDefault="008D24D6">
      <w:pPr>
        <w:rPr>
          <w:color w:val="AEC12D" w:themeColor="text2"/>
          <w:sz w:val="32"/>
          <w:szCs w:val="32"/>
          <w:lang w:val="en-AU" w:eastAsia="en-US"/>
        </w:rPr>
      </w:pPr>
      <w:r w:rsidRPr="008D24D6">
        <w:rPr>
          <w:lang w:val="en-US"/>
        </w:rPr>
        <w:t xml:space="preserve">This chapter describes the approach </w:t>
      </w:r>
      <w:r w:rsidR="001D7188">
        <w:rPr>
          <w:lang w:val="en-US"/>
        </w:rPr>
        <w:t xml:space="preserve">used </w:t>
      </w:r>
      <w:r w:rsidRPr="008D24D6">
        <w:rPr>
          <w:lang w:val="en-US"/>
        </w:rPr>
        <w:t xml:space="preserve">to assessing potential impacts </w:t>
      </w:r>
      <w:r w:rsidR="001D7188">
        <w:rPr>
          <w:lang w:val="en-US"/>
        </w:rPr>
        <w:t>of</w:t>
      </w:r>
      <w:r w:rsidRPr="008D24D6">
        <w:rPr>
          <w:lang w:val="en-US"/>
        </w:rPr>
        <w:t xml:space="preserve"> aquifer depressurisation from hypothetical gas developments</w:t>
      </w:r>
      <w:r w:rsidR="001D7188">
        <w:rPr>
          <w:lang w:val="en-US"/>
        </w:rPr>
        <w:t xml:space="preserve"> where</w:t>
      </w:r>
      <w:r w:rsidRPr="008D24D6">
        <w:rPr>
          <w:lang w:val="en-US"/>
        </w:rPr>
        <w:t xml:space="preserve"> there is </w:t>
      </w:r>
      <w:r w:rsidR="001D7188">
        <w:rPr>
          <w:lang w:val="en-US"/>
        </w:rPr>
        <w:t xml:space="preserve">a </w:t>
      </w:r>
      <w:r w:rsidRPr="008D24D6">
        <w:rPr>
          <w:lang w:val="en-US"/>
        </w:rPr>
        <w:t xml:space="preserve">connection between gas resources and water resources. </w:t>
      </w:r>
    </w:p>
    <w:p w14:paraId="5E6B0FD4" w14:textId="3443CBC0" w:rsidR="009114B2" w:rsidRPr="00642A5D" w:rsidRDefault="00ED17CA" w:rsidP="008D24D6">
      <w:pPr>
        <w:pStyle w:val="Head2xx"/>
      </w:pPr>
      <w:bookmarkStart w:id="319" w:name="_Toc420568683"/>
      <w:bookmarkStart w:id="320" w:name="_Toc420570265"/>
      <w:bookmarkStart w:id="321" w:name="_Toc420571461"/>
      <w:bookmarkStart w:id="322" w:name="_Toc420572099"/>
      <w:bookmarkStart w:id="323" w:name="_Toc296766956"/>
      <w:bookmarkStart w:id="324" w:name="_Toc422927901"/>
      <w:r>
        <w:t>3.2</w:t>
      </w:r>
      <w:r>
        <w:tab/>
      </w:r>
      <w:r w:rsidR="00EE3CD7">
        <w:t>Impact</w:t>
      </w:r>
      <w:r w:rsidR="009114B2" w:rsidRPr="00642A5D">
        <w:t xml:space="preserve"> assessment approach</w:t>
      </w:r>
      <w:bookmarkEnd w:id="319"/>
      <w:bookmarkEnd w:id="320"/>
      <w:bookmarkEnd w:id="321"/>
      <w:bookmarkEnd w:id="322"/>
      <w:bookmarkEnd w:id="323"/>
      <w:bookmarkEnd w:id="324"/>
    </w:p>
    <w:p w14:paraId="4C4B15FA" w14:textId="27EC59A5" w:rsidR="008D24D6" w:rsidRDefault="00ED17CA" w:rsidP="008D24D6">
      <w:pPr>
        <w:pStyle w:val="Head3xxx"/>
      </w:pPr>
      <w:bookmarkStart w:id="325" w:name="_Toc420568684"/>
      <w:bookmarkStart w:id="326" w:name="_Toc420570266"/>
      <w:bookmarkStart w:id="327" w:name="_Toc420571462"/>
      <w:bookmarkStart w:id="328" w:name="_Toc420572100"/>
      <w:bookmarkStart w:id="329" w:name="_Toc296766957"/>
      <w:r>
        <w:t>3.2.1</w:t>
      </w:r>
      <w:r>
        <w:tab/>
      </w:r>
      <w:r w:rsidR="008D24D6">
        <w:t>L</w:t>
      </w:r>
      <w:r w:rsidR="008D24D6" w:rsidRPr="00D40602">
        <w:t>iterature review</w:t>
      </w:r>
      <w:bookmarkEnd w:id="325"/>
      <w:bookmarkEnd w:id="326"/>
      <w:bookmarkEnd w:id="327"/>
      <w:bookmarkEnd w:id="328"/>
      <w:bookmarkEnd w:id="329"/>
    </w:p>
    <w:p w14:paraId="7796E91D" w14:textId="74D47125" w:rsidR="008D24D6" w:rsidRDefault="008D24D6">
      <w:r>
        <w:t xml:space="preserve">In order to inform the impact assessment approach, a review of </w:t>
      </w:r>
      <w:r w:rsidR="001D7188">
        <w:t xml:space="preserve">over 100 </w:t>
      </w:r>
      <w:r>
        <w:t xml:space="preserve">relevant Australian and international </w:t>
      </w:r>
      <w:r w:rsidR="001D7188">
        <w:t xml:space="preserve">sources </w:t>
      </w:r>
      <w:r>
        <w:t>which looked at risk from gas development was completed (Appendix A).</w:t>
      </w:r>
      <w:r w:rsidR="009A72C5">
        <w:t xml:space="preserve"> </w:t>
      </w:r>
      <w:r w:rsidRPr="000918FE">
        <w:t xml:space="preserve">The focus of the literature review </w:t>
      </w:r>
      <w:r>
        <w:t>was</w:t>
      </w:r>
      <w:r w:rsidRPr="000918FE">
        <w:t xml:space="preserve"> guided by</w:t>
      </w:r>
      <w:r>
        <w:t xml:space="preserve"> the requirements of this assessment which include:</w:t>
      </w:r>
    </w:p>
    <w:p w14:paraId="737A00CF" w14:textId="645393A0" w:rsidR="008D24D6" w:rsidRDefault="001D7188" w:rsidP="001D7188">
      <w:pPr>
        <w:pStyle w:val="bulletlist0"/>
      </w:pPr>
      <w:r>
        <w:t>•</w:t>
      </w:r>
      <w:r>
        <w:tab/>
      </w:r>
      <w:r w:rsidR="008D24D6" w:rsidRPr="000918FE">
        <w:t xml:space="preserve">assess the </w:t>
      </w:r>
      <w:r w:rsidR="008D24D6">
        <w:t>risks arising from the potential impact</w:t>
      </w:r>
      <w:r w:rsidR="008D24D6" w:rsidRPr="000918FE">
        <w:t xml:space="preserve"> of </w:t>
      </w:r>
      <w:r w:rsidR="008D24D6">
        <w:t xml:space="preserve">possible </w:t>
      </w:r>
      <w:r w:rsidR="008D24D6" w:rsidRPr="000918FE">
        <w:t>onshore gas development</w:t>
      </w:r>
      <w:r w:rsidR="008D24D6">
        <w:t xml:space="preserve"> on</w:t>
      </w:r>
      <w:r w:rsidR="008D24D6" w:rsidRPr="000918FE">
        <w:t xml:space="preserve"> water resources </w:t>
      </w:r>
      <w:r w:rsidR="008D24D6">
        <w:t>across a broad region</w:t>
      </w:r>
    </w:p>
    <w:p w14:paraId="3B3B44DC" w14:textId="6F26DA29" w:rsidR="008D24D6" w:rsidRDefault="001D7188" w:rsidP="001D7188">
      <w:pPr>
        <w:pStyle w:val="bulletlist0"/>
      </w:pPr>
      <w:r>
        <w:t>•</w:t>
      </w:r>
      <w:r>
        <w:tab/>
      </w:r>
      <w:r w:rsidR="008D24D6">
        <w:t>be compatible with limi</w:t>
      </w:r>
      <w:r w:rsidR="00A00ED0">
        <w:t>ted data on the gas development and</w:t>
      </w:r>
      <w:r w:rsidR="008D24D6">
        <w:t xml:space="preserve"> limited data on impacts.</w:t>
      </w:r>
      <w:r w:rsidR="009A72C5">
        <w:t xml:space="preserve"> </w:t>
      </w:r>
    </w:p>
    <w:p w14:paraId="482C6905" w14:textId="3DFD6017" w:rsidR="008D24D6" w:rsidRDefault="008D24D6">
      <w:r>
        <w:t xml:space="preserve">The literature review indicated that there is no single or standard risk assessment method which is tested and proven as fit-for-purpose for hypothetical onshore gas development. A range of approaches </w:t>
      </w:r>
      <w:r w:rsidR="001D7188">
        <w:t xml:space="preserve">have </w:t>
      </w:r>
      <w:r>
        <w:t xml:space="preserve">been adopted </w:t>
      </w:r>
      <w:r w:rsidR="001D7188">
        <w:t xml:space="preserve">in </w:t>
      </w:r>
      <w:r>
        <w:t xml:space="preserve">different </w:t>
      </w:r>
      <w:r w:rsidR="001D7188">
        <w:t xml:space="preserve">studies, </w:t>
      </w:r>
      <w:r>
        <w:t xml:space="preserve">depending on the </w:t>
      </w:r>
      <w:r w:rsidR="001D7188">
        <w:t>purpose</w:t>
      </w:r>
      <w:r>
        <w:t xml:space="preserve"> and the information available. No one approach </w:t>
      </w:r>
      <w:r w:rsidR="001D7188">
        <w:t>stands out</w:t>
      </w:r>
      <w:r>
        <w:t xml:space="preserve"> as highly suited to analysing risks at a strategic l</w:t>
      </w:r>
      <w:r w:rsidR="001B6CF1">
        <w:t>evel</w:t>
      </w:r>
      <w:r>
        <w:t xml:space="preserve"> from hypothetical developments. </w:t>
      </w:r>
    </w:p>
    <w:p w14:paraId="6AC5B06B" w14:textId="78A6E344" w:rsidR="008D24D6" w:rsidRDefault="008D24D6">
      <w:r>
        <w:t>The literature review also indicated that r</w:t>
      </w:r>
      <w:r w:rsidRPr="00520373">
        <w:t xml:space="preserve">isk </w:t>
      </w:r>
      <w:r>
        <w:t xml:space="preserve">assessment methods generally </w:t>
      </w:r>
      <w:r w:rsidRPr="00520373">
        <w:t xml:space="preserve">require detailed </w:t>
      </w:r>
      <w:r>
        <w:t xml:space="preserve">site-specific geo-science </w:t>
      </w:r>
      <w:r w:rsidRPr="00520373">
        <w:t xml:space="preserve">data and extensive quantitative/numerical modelling </w:t>
      </w:r>
      <w:r>
        <w:t xml:space="preserve">to assess </w:t>
      </w:r>
      <w:r w:rsidRPr="00520373">
        <w:t>likelihood (</w:t>
      </w:r>
      <w:r>
        <w:t xml:space="preserve">e.g. </w:t>
      </w:r>
      <w:r w:rsidRPr="00520373">
        <w:t>probability</w:t>
      </w:r>
      <w:r>
        <w:t xml:space="preserve"> of hazards occurring</w:t>
      </w:r>
      <w:r w:rsidRPr="00520373">
        <w:t xml:space="preserve">, historical instances of failure) </w:t>
      </w:r>
      <w:r>
        <w:t xml:space="preserve">and </w:t>
      </w:r>
      <w:r w:rsidRPr="00520373">
        <w:t>consequence (direct</w:t>
      </w:r>
      <w:r>
        <w:t xml:space="preserve"> and</w:t>
      </w:r>
      <w:r w:rsidRPr="00520373">
        <w:t xml:space="preserve"> indirect</w:t>
      </w:r>
      <w:r>
        <w:t xml:space="preserve"> impacts)</w:t>
      </w:r>
      <w:r w:rsidR="008573A4">
        <w:t xml:space="preserve">. </w:t>
      </w:r>
      <w:r>
        <w:t>However, d</w:t>
      </w:r>
      <w:r w:rsidRPr="003534A7">
        <w:t xml:space="preserve">etailed </w:t>
      </w:r>
      <w:r>
        <w:t xml:space="preserve">region-specific </w:t>
      </w:r>
      <w:r w:rsidRPr="00520373">
        <w:t>data</w:t>
      </w:r>
      <w:r w:rsidRPr="003534A7">
        <w:t xml:space="preserve"> </w:t>
      </w:r>
      <w:r>
        <w:t>is</w:t>
      </w:r>
      <w:r w:rsidRPr="003534A7">
        <w:t xml:space="preserve"> not available </w:t>
      </w:r>
      <w:r>
        <w:t>in Victoria, largely due to the fact that there has not been a significant onshore gas industry in the state to generate such data.</w:t>
      </w:r>
    </w:p>
    <w:p w14:paraId="3D0DDD47" w14:textId="720BE967" w:rsidR="008D24D6" w:rsidRDefault="008D24D6">
      <w:r>
        <w:t>It was concluded from the literature review that an impact assessment approach, rather than a risk assessment approach, that draws on specific Victorian groundwater impact policy</w:t>
      </w:r>
      <w:r w:rsidR="00A00ED0">
        <w:t>,</w:t>
      </w:r>
      <w:r>
        <w:t xml:space="preserve"> is appropriate and in keeping with the literature.</w:t>
      </w:r>
    </w:p>
    <w:p w14:paraId="57EEAF8E" w14:textId="3893BAC4" w:rsidR="008D24D6" w:rsidRDefault="008D24D6">
      <w:r>
        <w:t>For assessing the impact of gas development through aquifer depressurisation t</w:t>
      </w:r>
      <w:r w:rsidRPr="00E04198">
        <w:t xml:space="preserve">he </w:t>
      </w:r>
      <w:r>
        <w:t xml:space="preserve">most relevant Victorian approach is the draft </w:t>
      </w:r>
      <w:r w:rsidR="00C23EC7">
        <w:t>m</w:t>
      </w:r>
      <w:r>
        <w:t>inisterial g</w:t>
      </w:r>
      <w:r w:rsidRPr="00E04198">
        <w:t xml:space="preserve">uidelines for </w:t>
      </w:r>
      <w:r>
        <w:t>g</w:t>
      </w:r>
      <w:r w:rsidRPr="00E04198">
        <w:t xml:space="preserve">roundwater </w:t>
      </w:r>
      <w:r>
        <w:t>l</w:t>
      </w:r>
      <w:r w:rsidRPr="00E04198">
        <w:t xml:space="preserve">icensing and the </w:t>
      </w:r>
      <w:r>
        <w:t>p</w:t>
      </w:r>
      <w:r w:rsidRPr="00E04198">
        <w:t xml:space="preserve">rotection of </w:t>
      </w:r>
      <w:r>
        <w:t>h</w:t>
      </w:r>
      <w:r w:rsidRPr="00E04198">
        <w:t>igh</w:t>
      </w:r>
      <w:r w:rsidR="001D7188">
        <w:t>-</w:t>
      </w:r>
      <w:r>
        <w:t>v</w:t>
      </w:r>
      <w:r w:rsidRPr="00E04198">
        <w:t xml:space="preserve">alue </w:t>
      </w:r>
      <w:r>
        <w:t>g</w:t>
      </w:r>
      <w:r w:rsidRPr="00E04198">
        <w:t xml:space="preserve">roundwater </w:t>
      </w:r>
      <w:r>
        <w:t>d</w:t>
      </w:r>
      <w:r w:rsidRPr="00E04198">
        <w:t xml:space="preserve">ependent </w:t>
      </w:r>
      <w:r>
        <w:t>e</w:t>
      </w:r>
      <w:r w:rsidRPr="00E04198">
        <w:t>cosystems</w:t>
      </w:r>
      <w:r>
        <w:t>, as these guidelines:</w:t>
      </w:r>
    </w:p>
    <w:p w14:paraId="7AD1AE5A" w14:textId="378B8E3A" w:rsidR="008D24D6" w:rsidRDefault="001D7188" w:rsidP="001D7188">
      <w:pPr>
        <w:pStyle w:val="bulletlist0"/>
      </w:pPr>
      <w:r>
        <w:t>•</w:t>
      </w:r>
      <w:r>
        <w:tab/>
      </w:r>
      <w:r w:rsidR="008D24D6">
        <w:t xml:space="preserve">are designed to </w:t>
      </w:r>
      <w:r>
        <w:t xml:space="preserve">inform </w:t>
      </w:r>
      <w:r w:rsidR="008D24D6">
        <w:t>government decisions on proposed groundwater use (aquifer depressurisation), based on an assessment of the potential impacts on g</w:t>
      </w:r>
      <w:r w:rsidR="008D24D6" w:rsidRPr="00E04198">
        <w:t>roundwater</w:t>
      </w:r>
      <w:r>
        <w:t>-</w:t>
      </w:r>
      <w:r w:rsidR="008D24D6">
        <w:t>d</w:t>
      </w:r>
      <w:r w:rsidR="008D24D6" w:rsidRPr="00E04198">
        <w:t xml:space="preserve">ependent </w:t>
      </w:r>
      <w:r w:rsidR="008D24D6">
        <w:t>e</w:t>
      </w:r>
      <w:r w:rsidR="008D24D6" w:rsidRPr="00E04198">
        <w:t>cosystems</w:t>
      </w:r>
    </w:p>
    <w:p w14:paraId="591AB5BE" w14:textId="08AC55F4" w:rsidR="008D24D6" w:rsidRDefault="001D7188" w:rsidP="001D7188">
      <w:pPr>
        <w:pStyle w:val="bulletlist0"/>
      </w:pPr>
      <w:r>
        <w:t>•</w:t>
      </w:r>
      <w:r>
        <w:tab/>
      </w:r>
      <w:r w:rsidR="008D24D6">
        <w:t>can accommodate a range of inputs to the assessment process, from purely qualitative and conceptual information, to quantitative data and numerical modelling inputs as available</w:t>
      </w:r>
    </w:p>
    <w:p w14:paraId="70BB2E62" w14:textId="3D5B25D0" w:rsidR="008D24D6" w:rsidRDefault="001D7188" w:rsidP="001D7188">
      <w:pPr>
        <w:pStyle w:val="bulletlist0"/>
      </w:pPr>
      <w:r>
        <w:t>•</w:t>
      </w:r>
      <w:r>
        <w:tab/>
      </w:r>
      <w:r w:rsidR="008D24D6">
        <w:t>are pragmatic to apply</w:t>
      </w:r>
    </w:p>
    <w:p w14:paraId="57EF692D" w14:textId="7FDC1704" w:rsidR="008D24D6" w:rsidRDefault="001D7188" w:rsidP="001D7188">
      <w:pPr>
        <w:pStyle w:val="bulletlist0"/>
      </w:pPr>
      <w:r>
        <w:t>•</w:t>
      </w:r>
      <w:r>
        <w:tab/>
      </w:r>
      <w:r w:rsidR="008D24D6">
        <w:t xml:space="preserve">have been developed </w:t>
      </w:r>
      <w:r>
        <w:t>through</w:t>
      </w:r>
      <w:r w:rsidR="008D24D6">
        <w:t xml:space="preserve"> a consultative process</w:t>
      </w:r>
    </w:p>
    <w:p w14:paraId="16A2BBB1" w14:textId="01298832" w:rsidR="008D24D6" w:rsidRDefault="001D7188" w:rsidP="001D7188">
      <w:pPr>
        <w:pStyle w:val="bulletlist0"/>
      </w:pPr>
      <w:r>
        <w:t>•</w:t>
      </w:r>
      <w:r>
        <w:tab/>
      </w:r>
      <w:r w:rsidR="008D24D6">
        <w:t>are currently in the process of being endorsed for use by the Victorian government.</w:t>
      </w:r>
    </w:p>
    <w:p w14:paraId="7C072EB1" w14:textId="51697A9C" w:rsidR="008D24D6" w:rsidRDefault="001D7188" w:rsidP="008D24D6">
      <w:pPr>
        <w:pStyle w:val="Para0"/>
      </w:pPr>
      <w:r>
        <w:t xml:space="preserve">For this </w:t>
      </w:r>
      <w:r w:rsidR="008D24D6">
        <w:t xml:space="preserve">impact assessment an approach </w:t>
      </w:r>
      <w:r>
        <w:t xml:space="preserve">has been developed </w:t>
      </w:r>
      <w:r w:rsidR="008D24D6">
        <w:t>that is s</w:t>
      </w:r>
      <w:r w:rsidR="00A00ED0">
        <w:t xml:space="preserve">pecific to the Victorian </w:t>
      </w:r>
      <w:r w:rsidR="008D24D6">
        <w:t>situation and draws on existing work for the assessment of groundwater</w:t>
      </w:r>
      <w:r>
        <w:t>-</w:t>
      </w:r>
      <w:r w:rsidR="008D24D6">
        <w:t xml:space="preserve">related impacts. It is not </w:t>
      </w:r>
      <w:r w:rsidR="00A00ED0">
        <w:t xml:space="preserve">intended </w:t>
      </w:r>
      <w:r>
        <w:t xml:space="preserve">to be used </w:t>
      </w:r>
      <w:r w:rsidR="00A00ED0">
        <w:t xml:space="preserve">for </w:t>
      </w:r>
      <w:r w:rsidR="008D24D6">
        <w:t>assess</w:t>
      </w:r>
      <w:r>
        <w:t>ing</w:t>
      </w:r>
      <w:r w:rsidR="008D24D6">
        <w:t xml:space="preserve"> a specific gas development project.</w:t>
      </w:r>
    </w:p>
    <w:p w14:paraId="3A9741C0" w14:textId="3350C882" w:rsidR="008D24D6" w:rsidRDefault="001D7188" w:rsidP="008D24D6">
      <w:pPr>
        <w:pStyle w:val="Head3xxx"/>
      </w:pPr>
      <w:bookmarkStart w:id="330" w:name="_Toc420568685"/>
      <w:bookmarkStart w:id="331" w:name="_Toc420570267"/>
      <w:bookmarkStart w:id="332" w:name="_Toc420571463"/>
      <w:bookmarkStart w:id="333" w:name="_Toc420572101"/>
      <w:bookmarkStart w:id="334" w:name="_Toc296766958"/>
      <w:r>
        <w:t>3.2.2</w:t>
      </w:r>
      <w:r>
        <w:tab/>
      </w:r>
      <w:r w:rsidR="008D24D6">
        <w:t>Approach overview</w:t>
      </w:r>
      <w:bookmarkEnd w:id="330"/>
      <w:bookmarkEnd w:id="331"/>
      <w:bookmarkEnd w:id="332"/>
      <w:bookmarkEnd w:id="333"/>
      <w:bookmarkEnd w:id="334"/>
    </w:p>
    <w:p w14:paraId="57C2298E" w14:textId="56919DAB" w:rsidR="008D24D6" w:rsidRDefault="008D24D6">
      <w:r>
        <w:t>The impact assessment approach for this study has been developed by adapting the Victorian draft g</w:t>
      </w:r>
      <w:r w:rsidRPr="00E04198">
        <w:t xml:space="preserve">uidelines for </w:t>
      </w:r>
      <w:r>
        <w:t>g</w:t>
      </w:r>
      <w:r w:rsidRPr="00E04198">
        <w:t xml:space="preserve">roundwater </w:t>
      </w:r>
      <w:r>
        <w:t>l</w:t>
      </w:r>
      <w:r w:rsidRPr="00E04198">
        <w:t xml:space="preserve">icensing and the </w:t>
      </w:r>
      <w:r>
        <w:t>p</w:t>
      </w:r>
      <w:r w:rsidRPr="00E04198">
        <w:t xml:space="preserve">rotection of </w:t>
      </w:r>
      <w:r>
        <w:t>h</w:t>
      </w:r>
      <w:r w:rsidRPr="00E04198">
        <w:t>igh</w:t>
      </w:r>
      <w:r w:rsidR="001D7188">
        <w:t>-</w:t>
      </w:r>
      <w:r>
        <w:t>v</w:t>
      </w:r>
      <w:r w:rsidRPr="00E04198">
        <w:t xml:space="preserve">alue </w:t>
      </w:r>
      <w:r>
        <w:t>g</w:t>
      </w:r>
      <w:r w:rsidRPr="00E04198">
        <w:t xml:space="preserve">roundwater </w:t>
      </w:r>
      <w:r>
        <w:t>d</w:t>
      </w:r>
      <w:r w:rsidRPr="00E04198">
        <w:t xml:space="preserve">ependent </w:t>
      </w:r>
      <w:r>
        <w:t>e</w:t>
      </w:r>
      <w:r w:rsidRPr="00E04198">
        <w:t>cosystems</w:t>
      </w:r>
      <w:r>
        <w:t>.</w:t>
      </w:r>
      <w:r w:rsidR="00C23EC7">
        <w:t xml:space="preserve"> The following is an overview only; more detail is provided in Appendix B.</w:t>
      </w:r>
    </w:p>
    <w:p w14:paraId="61DD8A34" w14:textId="6CCF17DB" w:rsidR="008D24D6" w:rsidRPr="008B7664" w:rsidRDefault="008D24D6">
      <w:r>
        <w:t>The approach is designed to assess the potential impacts of hypothetical onshore natural gas developments on groundwater levels (depressurisation), and then by inference on groundwater users, groundwater quality, surface water quantity and quality, and groundwater</w:t>
      </w:r>
      <w:r w:rsidR="001D7188">
        <w:t>-</w:t>
      </w:r>
      <w:r>
        <w:t>dependent ecosystems.</w:t>
      </w:r>
      <w:r w:rsidR="009A72C5">
        <w:t xml:space="preserve"> </w:t>
      </w:r>
      <w:r>
        <w:t>Th</w:t>
      </w:r>
      <w:r w:rsidR="00C23EC7">
        <w:t>ree</w:t>
      </w:r>
      <w:r>
        <w:t xml:space="preserve"> types of water resource </w:t>
      </w:r>
      <w:r w:rsidRPr="009114B2">
        <w:t>receptors</w:t>
      </w:r>
      <w:r w:rsidR="00C23EC7">
        <w:t xml:space="preserve"> are considered</w:t>
      </w:r>
      <w:r w:rsidRPr="008B7664">
        <w:t>:</w:t>
      </w:r>
    </w:p>
    <w:p w14:paraId="0B0BCF0D" w14:textId="7F59C285" w:rsidR="008D24D6" w:rsidRPr="00D23CFD" w:rsidRDefault="001D7188" w:rsidP="001D7188">
      <w:pPr>
        <w:pStyle w:val="bulletlist0"/>
      </w:pPr>
      <w:r>
        <w:t>•</w:t>
      </w:r>
      <w:r>
        <w:tab/>
      </w:r>
      <w:r w:rsidR="008D24D6">
        <w:t>a</w:t>
      </w:r>
      <w:r w:rsidR="008D24D6" w:rsidRPr="00D23CFD">
        <w:t>quifers (which support groundwater users)</w:t>
      </w:r>
    </w:p>
    <w:p w14:paraId="5F12D740" w14:textId="5032D0AA" w:rsidR="008D24D6" w:rsidRPr="00D23CFD" w:rsidRDefault="001D7188" w:rsidP="001D7188">
      <w:pPr>
        <w:pStyle w:val="bulletlist0"/>
      </w:pPr>
      <w:r>
        <w:t>•</w:t>
      </w:r>
      <w:r>
        <w:tab/>
      </w:r>
      <w:r w:rsidR="008D24D6">
        <w:t>r</w:t>
      </w:r>
      <w:r w:rsidR="008D24D6" w:rsidRPr="00D23CFD">
        <w:t>ivers (which support surface water users and ecosystems)</w:t>
      </w:r>
    </w:p>
    <w:p w14:paraId="70D88E8F" w14:textId="18F3A275" w:rsidR="008D24D6" w:rsidRPr="00D23CFD" w:rsidRDefault="001D7188" w:rsidP="001D7188">
      <w:pPr>
        <w:pStyle w:val="bulletlist0"/>
      </w:pPr>
      <w:r>
        <w:t>•</w:t>
      </w:r>
      <w:r>
        <w:tab/>
      </w:r>
      <w:r w:rsidR="008D24D6">
        <w:t>w</w:t>
      </w:r>
      <w:r w:rsidR="008D24D6" w:rsidRPr="00D23CFD">
        <w:t>ater bodies (wetlands and lakes which support surface water users and ecosystems)</w:t>
      </w:r>
      <w:r w:rsidR="008D24D6">
        <w:t>.</w:t>
      </w:r>
    </w:p>
    <w:p w14:paraId="3EE1FBC3" w14:textId="5FD31468" w:rsidR="008D24D6" w:rsidRDefault="008D24D6">
      <w:r>
        <w:t>All three of the receptor classes above are of high and equal value.</w:t>
      </w:r>
      <w:r w:rsidR="009A72C5">
        <w:t xml:space="preserve"> </w:t>
      </w:r>
      <w:r>
        <w:t xml:space="preserve">The assessment does not attempt to classify relative value of individual receptors (e.g. </w:t>
      </w:r>
      <w:r w:rsidR="00C23EC7">
        <w:t xml:space="preserve">whether </w:t>
      </w:r>
      <w:r>
        <w:t>one aquifer or river / reach more important than another).</w:t>
      </w:r>
    </w:p>
    <w:p w14:paraId="2FA8269D" w14:textId="77777777" w:rsidR="008D24D6" w:rsidRDefault="008D24D6">
      <w:r>
        <w:t>The impact assessment is characterised by assessing:</w:t>
      </w:r>
    </w:p>
    <w:p w14:paraId="60DE1BB1" w14:textId="0A78FB96" w:rsidR="008D24D6" w:rsidRPr="00D23CFD" w:rsidRDefault="001D7188" w:rsidP="001D7188">
      <w:pPr>
        <w:pStyle w:val="bulletlist0"/>
      </w:pPr>
      <w:r>
        <w:t>•</w:t>
      </w:r>
      <w:r>
        <w:tab/>
      </w:r>
      <w:r w:rsidR="008D24D6" w:rsidRPr="00D23CFD">
        <w:t>the potential connection between receptors and groundwater, using depth to</w:t>
      </w:r>
      <w:r w:rsidR="008D24D6">
        <w:t xml:space="preserve"> watertable as an indicator</w:t>
      </w:r>
    </w:p>
    <w:p w14:paraId="43D93A28" w14:textId="705F9F54" w:rsidR="008D24D6" w:rsidRDefault="001D7188" w:rsidP="001D7188">
      <w:pPr>
        <w:pStyle w:val="bulletlist0"/>
      </w:pPr>
      <w:r>
        <w:t>•</w:t>
      </w:r>
      <w:r>
        <w:tab/>
      </w:r>
      <w:r w:rsidR="008D24D6" w:rsidRPr="00D23CFD">
        <w:t>the potential effect of aquifer depressurisation on receptors, using predicted drawdown as an indicator.</w:t>
      </w:r>
    </w:p>
    <w:p w14:paraId="665DB7DB" w14:textId="77777777" w:rsidR="001D7188" w:rsidRPr="00D23CFD" w:rsidRDefault="001D7188" w:rsidP="00CB4F01">
      <w:pPr>
        <w:pStyle w:val="Para0bullet"/>
      </w:pPr>
    </w:p>
    <w:p w14:paraId="7F98D6BC" w14:textId="6EB7D27E" w:rsidR="008D24D6" w:rsidRPr="006034D5" w:rsidRDefault="00C23EC7" w:rsidP="00616E0E">
      <w:pPr>
        <w:pStyle w:val="figurereturn"/>
      </w:pPr>
      <w:r>
        <w:object w:dxaOrig="4619" w:dyaOrig="4336" w14:anchorId="630C5C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4.25pt;height:266.25pt" o:ole="">
            <v:imagedata r:id="rId49" o:title=""/>
          </v:shape>
          <o:OLEObject Type="Embed" ProgID="Visio.Drawing.11" ShapeID="_x0000_i1025" DrawAspect="Content" ObjectID="_1573559921" r:id="rId50"/>
        </w:object>
      </w:r>
    </w:p>
    <w:p w14:paraId="2572F212" w14:textId="7CAF2650" w:rsidR="008D24D6" w:rsidRPr="00CB4F01" w:rsidRDefault="008D24D6" w:rsidP="00A53AE8">
      <w:pPr>
        <w:pStyle w:val="Figuretitle"/>
      </w:pPr>
      <w:bookmarkStart w:id="335" w:name="_Toc422928800"/>
      <w:r w:rsidRPr="00CB4F01">
        <w:t xml:space="preserve">Figure </w:t>
      </w:r>
      <w:r w:rsidRPr="00CB4F01">
        <w:fldChar w:fldCharType="begin"/>
      </w:r>
      <w:r w:rsidRPr="00CB4F01">
        <w:instrText xml:space="preserve"> SEQ Figure \* ARABIC </w:instrText>
      </w:r>
      <w:r w:rsidRPr="00CB4F01">
        <w:fldChar w:fldCharType="separate"/>
      </w:r>
      <w:r w:rsidR="00171A5E">
        <w:t>29</w:t>
      </w:r>
      <w:r w:rsidRPr="00CB4F01">
        <w:fldChar w:fldCharType="end"/>
      </w:r>
      <w:r w:rsidR="008B076F">
        <w:t>:</w:t>
      </w:r>
      <w:r w:rsidR="00755B17">
        <w:t xml:space="preserve"> </w:t>
      </w:r>
      <w:r w:rsidR="001D7188">
        <w:t xml:space="preserve"> </w:t>
      </w:r>
      <w:r w:rsidR="00755B17">
        <w:t>Overview of i</w:t>
      </w:r>
      <w:r w:rsidRPr="00CB4F01">
        <w:t xml:space="preserve">mpact </w:t>
      </w:r>
      <w:r w:rsidR="00755B17">
        <w:t>a</w:t>
      </w:r>
      <w:r w:rsidRPr="00CB4F01">
        <w:t>ssessment</w:t>
      </w:r>
      <w:r w:rsidR="001D7188">
        <w:t>.</w:t>
      </w:r>
      <w:bookmarkEnd w:id="335"/>
    </w:p>
    <w:p w14:paraId="66CF3A60" w14:textId="77777777" w:rsidR="001D7188" w:rsidRDefault="001D7188" w:rsidP="001D7188">
      <w:bookmarkStart w:id="336" w:name="_Toc420568686"/>
      <w:bookmarkStart w:id="337" w:name="_Toc420570268"/>
      <w:bookmarkStart w:id="338" w:name="_Toc420571464"/>
      <w:bookmarkStart w:id="339" w:name="_Toc420572102"/>
    </w:p>
    <w:p w14:paraId="45BD551C" w14:textId="3D28F1C0" w:rsidR="008D24D6" w:rsidRPr="009114B2" w:rsidRDefault="001D7188" w:rsidP="008D24D6">
      <w:pPr>
        <w:pStyle w:val="Head3xxx"/>
      </w:pPr>
      <w:bookmarkStart w:id="340" w:name="_Toc296766959"/>
      <w:r>
        <w:t>3.2.3</w:t>
      </w:r>
      <w:r>
        <w:tab/>
      </w:r>
      <w:r w:rsidR="008D24D6">
        <w:t>Potential connection between receptors and groundwater</w:t>
      </w:r>
      <w:bookmarkEnd w:id="336"/>
      <w:bookmarkEnd w:id="337"/>
      <w:bookmarkEnd w:id="338"/>
      <w:bookmarkEnd w:id="339"/>
      <w:bookmarkEnd w:id="340"/>
    </w:p>
    <w:p w14:paraId="0B76F256" w14:textId="7BDF9242" w:rsidR="008D24D6" w:rsidRDefault="008D24D6" w:rsidP="008D24D6">
      <w:pPr>
        <w:pStyle w:val="Para0"/>
      </w:pPr>
      <w:r w:rsidRPr="008B7664">
        <w:t xml:space="preserve">In this </w:t>
      </w:r>
      <w:r>
        <w:t>impact</w:t>
      </w:r>
      <w:r w:rsidRPr="008B7664">
        <w:t xml:space="preserve"> assessment, the </w:t>
      </w:r>
      <w:r>
        <w:t>potential degree of h</w:t>
      </w:r>
      <w:r w:rsidRPr="00751892">
        <w:t>ydraulic connection between receptors and groundwater</w:t>
      </w:r>
      <w:r w:rsidRPr="008B7664">
        <w:t xml:space="preserve"> is </w:t>
      </w:r>
      <w:r>
        <w:t>based on</w:t>
      </w:r>
      <w:r w:rsidRPr="008B7664">
        <w:t xml:space="preserve"> depth to groundwater (in metres).</w:t>
      </w:r>
      <w:r w:rsidR="009A72C5">
        <w:t xml:space="preserve"> </w:t>
      </w:r>
    </w:p>
    <w:p w14:paraId="6D3B7494" w14:textId="77777777" w:rsidR="008D24D6" w:rsidRPr="009114B2" w:rsidRDefault="008D24D6" w:rsidP="008D24D6">
      <w:pPr>
        <w:pStyle w:val="Para0"/>
        <w:rPr>
          <w:rFonts w:cs="Arial"/>
        </w:rPr>
      </w:pPr>
      <w:r w:rsidRPr="008B7664">
        <w:t xml:space="preserve">In the case of surface water receptors (rivers, lakes and wetlands), the </w:t>
      </w:r>
      <w:r>
        <w:t>potential for</w:t>
      </w:r>
      <w:r w:rsidRPr="008B7664">
        <w:t xml:space="preserve"> connection to</w:t>
      </w:r>
      <w:r>
        <w:t xml:space="preserve"> </w:t>
      </w:r>
      <w:r w:rsidRPr="009114B2">
        <w:rPr>
          <w:rFonts w:cs="Arial"/>
        </w:rPr>
        <w:t>groundwater varies depending on the depth of the watertable, and is classified as:</w:t>
      </w:r>
    </w:p>
    <w:p w14:paraId="1CF43978" w14:textId="3FEE4890" w:rsidR="008D24D6" w:rsidRPr="009114B2" w:rsidRDefault="00C23EC7" w:rsidP="00C23EC7">
      <w:pPr>
        <w:pStyle w:val="bulletlist0"/>
        <w:rPr>
          <w:lang w:val="en-US"/>
        </w:rPr>
      </w:pPr>
      <w:r>
        <w:t>•</w:t>
      </w:r>
      <w:r>
        <w:tab/>
      </w:r>
      <w:r w:rsidR="008D24D6">
        <w:t>l</w:t>
      </w:r>
      <w:r w:rsidR="008D24D6" w:rsidRPr="009114B2">
        <w:t xml:space="preserve">ow </w:t>
      </w:r>
      <w:r w:rsidR="008D24D6">
        <w:t>potential for deep watertables</w:t>
      </w:r>
    </w:p>
    <w:p w14:paraId="604D730E" w14:textId="04315B0E" w:rsidR="008D24D6" w:rsidRPr="009114B2" w:rsidRDefault="00C23EC7" w:rsidP="00C23EC7">
      <w:pPr>
        <w:pStyle w:val="bulletlist0"/>
        <w:rPr>
          <w:lang w:val="en-US"/>
        </w:rPr>
      </w:pPr>
      <w:r>
        <w:t>•</w:t>
      </w:r>
      <w:r>
        <w:tab/>
      </w:r>
      <w:r w:rsidR="008D24D6">
        <w:t>m</w:t>
      </w:r>
      <w:r w:rsidR="008D24D6" w:rsidRPr="009114B2">
        <w:t xml:space="preserve">oderate </w:t>
      </w:r>
      <w:r w:rsidR="008D24D6">
        <w:t>potential for moderate depth watertable</w:t>
      </w:r>
    </w:p>
    <w:p w14:paraId="1643BE59" w14:textId="0743D91E" w:rsidR="008D24D6" w:rsidRPr="009114B2" w:rsidRDefault="00C23EC7" w:rsidP="00C23EC7">
      <w:pPr>
        <w:pStyle w:val="bulletlist0"/>
        <w:rPr>
          <w:lang w:val="en-US"/>
        </w:rPr>
      </w:pPr>
      <w:r>
        <w:t>•</w:t>
      </w:r>
      <w:r>
        <w:tab/>
      </w:r>
      <w:r w:rsidR="008D24D6">
        <w:t>h</w:t>
      </w:r>
      <w:r w:rsidR="008D24D6" w:rsidRPr="009114B2">
        <w:t xml:space="preserve">igh </w:t>
      </w:r>
      <w:r w:rsidR="008D24D6">
        <w:t xml:space="preserve">potential </w:t>
      </w:r>
      <w:r w:rsidR="008D24D6" w:rsidRPr="009114B2">
        <w:t xml:space="preserve">for shallow watertables. </w:t>
      </w:r>
    </w:p>
    <w:p w14:paraId="7B5BF2DB" w14:textId="2FC73A84" w:rsidR="00A00ED0" w:rsidRDefault="008D24D6">
      <w:pPr>
        <w:pStyle w:val="Para0bullet"/>
      </w:pPr>
      <w:r w:rsidRPr="009114B2">
        <w:t xml:space="preserve">In the case of aquifers, connection to groundwater is inherent, and therefore the </w:t>
      </w:r>
      <w:r>
        <w:t>potential connection</w:t>
      </w:r>
      <w:r w:rsidRPr="009114B2">
        <w:t xml:space="preserve"> is </w:t>
      </w:r>
      <w:r>
        <w:t>always high</w:t>
      </w:r>
      <w:r w:rsidRPr="009114B2">
        <w:t xml:space="preserve">. The rules for defining these three </w:t>
      </w:r>
      <w:r>
        <w:t>connection</w:t>
      </w:r>
      <w:r w:rsidRPr="009114B2">
        <w:t xml:space="preserve"> categories are outlined in</w:t>
      </w:r>
      <w:r>
        <w:t xml:space="preserve"> </w:t>
      </w:r>
      <w:r>
        <w:fldChar w:fldCharType="begin"/>
      </w:r>
      <w:r>
        <w:instrText xml:space="preserve"> REF _Ref415577011 \h </w:instrText>
      </w:r>
      <w:r>
        <w:fldChar w:fldCharType="separate"/>
      </w:r>
      <w:r w:rsidR="00171A5E" w:rsidRPr="00867B51">
        <w:t xml:space="preserve">Table </w:t>
      </w:r>
      <w:r w:rsidR="00171A5E">
        <w:rPr>
          <w:noProof/>
        </w:rPr>
        <w:t>4</w:t>
      </w:r>
      <w:r>
        <w:fldChar w:fldCharType="end"/>
      </w:r>
      <w:r w:rsidRPr="009114B2">
        <w:t xml:space="preserve">. </w:t>
      </w:r>
    </w:p>
    <w:p w14:paraId="1452E882" w14:textId="1376065A" w:rsidR="008D24D6" w:rsidRDefault="008D24D6">
      <w:pPr>
        <w:pStyle w:val="Para0bullet"/>
      </w:pPr>
      <w:r>
        <w:t>Areas that have been mapped as having s</w:t>
      </w:r>
      <w:r w:rsidRPr="009114B2">
        <w:t>hallow watertables (&lt;</w:t>
      </w:r>
      <w:r w:rsidR="00C23EC7">
        <w:t> </w:t>
      </w:r>
      <w:r w:rsidRPr="009114B2">
        <w:t xml:space="preserve">2 m) </w:t>
      </w:r>
      <w:r>
        <w:t>have a high potential for surface features</w:t>
      </w:r>
      <w:r w:rsidRPr="009114B2">
        <w:t xml:space="preserve"> </w:t>
      </w:r>
      <w:r>
        <w:t>to be connected to groundwater</w:t>
      </w:r>
      <w:r w:rsidRPr="009114B2">
        <w:t xml:space="preserve">. Where watertables </w:t>
      </w:r>
      <w:r w:rsidR="00A75643">
        <w:t>are deeper</w:t>
      </w:r>
      <w:r w:rsidRPr="009114B2">
        <w:t xml:space="preserve"> (&gt;</w:t>
      </w:r>
      <w:r w:rsidR="00C23EC7">
        <w:t> </w:t>
      </w:r>
      <w:r w:rsidRPr="009114B2">
        <w:t xml:space="preserve">6 </w:t>
      </w:r>
      <w:r>
        <w:t xml:space="preserve">m), surface water has a lower potential of being connected to the groundwater. </w:t>
      </w:r>
    </w:p>
    <w:p w14:paraId="605A5C65" w14:textId="1D131068" w:rsidR="00A00ED0" w:rsidRDefault="008D24D6">
      <w:pPr>
        <w:pStyle w:val="Para0bullet"/>
        <w:rPr>
          <w:spacing w:val="-1"/>
        </w:rPr>
      </w:pPr>
      <w:r w:rsidRPr="00A75643">
        <w:rPr>
          <w:spacing w:val="-1"/>
        </w:rPr>
        <w:t xml:space="preserve">The depth to watertable data used for this project is the mapping developed as part of DELWP’s SAFE database </w:t>
      </w:r>
      <w:r w:rsidR="00A00ED0">
        <w:rPr>
          <w:spacing w:val="-1"/>
        </w:rPr>
        <w:t xml:space="preserve">(GHD, 2012) </w:t>
      </w:r>
      <w:r w:rsidRPr="00A75643">
        <w:rPr>
          <w:spacing w:val="-1"/>
        </w:rPr>
        <w:t xml:space="preserve">and is mapped on a grid across the areas of interest. This database provides a consistent approach to estimating connection </w:t>
      </w:r>
      <w:r w:rsidR="00C23EC7">
        <w:rPr>
          <w:spacing w:val="-1"/>
        </w:rPr>
        <w:t>using</w:t>
      </w:r>
      <w:r w:rsidR="00C23EC7" w:rsidRPr="00A75643">
        <w:rPr>
          <w:spacing w:val="-1"/>
        </w:rPr>
        <w:t xml:space="preserve"> </w:t>
      </w:r>
      <w:r w:rsidRPr="00A75643">
        <w:rPr>
          <w:spacing w:val="-1"/>
        </w:rPr>
        <w:t xml:space="preserve">depth to watertable for this study. </w:t>
      </w:r>
      <w:r w:rsidR="00E633BD" w:rsidRPr="00A75643">
        <w:rPr>
          <w:spacing w:val="-1"/>
        </w:rPr>
        <w:t xml:space="preserve">The depth </w:t>
      </w:r>
      <w:r w:rsidRPr="00A75643">
        <w:rPr>
          <w:spacing w:val="-1"/>
        </w:rPr>
        <w:t>to watertable map is derived from existing monitoring data and is more accurate in areas of greater density of monitoring bores</w:t>
      </w:r>
      <w:r w:rsidR="00C23EC7">
        <w:rPr>
          <w:spacing w:val="-1"/>
        </w:rPr>
        <w:t>. I</w:t>
      </w:r>
      <w:r w:rsidR="00A00ED0">
        <w:rPr>
          <w:spacing w:val="-1"/>
        </w:rPr>
        <w:t xml:space="preserve">n areas with limited monitoring bores, the elevation of the surface water body is </w:t>
      </w:r>
      <w:r w:rsidR="00C23EC7">
        <w:rPr>
          <w:spacing w:val="-1"/>
        </w:rPr>
        <w:t xml:space="preserve">used </w:t>
      </w:r>
      <w:r w:rsidR="00A00ED0">
        <w:rPr>
          <w:spacing w:val="-1"/>
        </w:rPr>
        <w:t>when close to the surface water features</w:t>
      </w:r>
      <w:r w:rsidRPr="00A75643">
        <w:rPr>
          <w:spacing w:val="-1"/>
        </w:rPr>
        <w:t>.</w:t>
      </w:r>
      <w:r w:rsidR="009A72C5">
        <w:rPr>
          <w:spacing w:val="-1"/>
        </w:rPr>
        <w:t xml:space="preserve"> </w:t>
      </w:r>
      <w:r w:rsidR="00616E0E">
        <w:rPr>
          <w:spacing w:val="-1"/>
        </w:rPr>
        <w:br/>
      </w:r>
    </w:p>
    <w:p w14:paraId="009F16F6" w14:textId="5760B95A" w:rsidR="008D24D6" w:rsidRPr="00867B51" w:rsidRDefault="008D24D6" w:rsidP="002D44DF">
      <w:pPr>
        <w:pStyle w:val="Tableheading"/>
      </w:pPr>
      <w:bookmarkStart w:id="341" w:name="_Ref415577011"/>
      <w:bookmarkStart w:id="342" w:name="_Toc296770884"/>
      <w:r w:rsidRPr="00867B51">
        <w:t xml:space="preserve">Table </w:t>
      </w:r>
      <w:r w:rsidRPr="00867B51">
        <w:fldChar w:fldCharType="begin"/>
      </w:r>
      <w:r w:rsidRPr="00867B51">
        <w:instrText xml:space="preserve"> SEQ Table \* ARABIC </w:instrText>
      </w:r>
      <w:r w:rsidRPr="00867B51">
        <w:fldChar w:fldCharType="separate"/>
      </w:r>
      <w:r w:rsidR="00171A5E">
        <w:rPr>
          <w:noProof/>
        </w:rPr>
        <w:t>4</w:t>
      </w:r>
      <w:r w:rsidRPr="00867B51">
        <w:fldChar w:fldCharType="end"/>
      </w:r>
      <w:bookmarkEnd w:id="341"/>
      <w:r w:rsidR="008B076F">
        <w:t>:</w:t>
      </w:r>
      <w:r w:rsidRPr="00867B51">
        <w:t xml:space="preserve"> </w:t>
      </w:r>
      <w:r w:rsidR="00CE7F82">
        <w:t xml:space="preserve"> </w:t>
      </w:r>
      <w:r w:rsidRPr="00867B51">
        <w:t>Rules to define water receptors’ potential connection to groundwater</w:t>
      </w:r>
      <w:r w:rsidR="00637469">
        <w:t>.</w:t>
      </w:r>
      <w:bookmarkEnd w:id="342"/>
      <w:r w:rsidRPr="00867B51">
        <w:t xml:space="preserve"> </w:t>
      </w:r>
    </w:p>
    <w:tbl>
      <w:tblPr>
        <w:tblStyle w:val="GridTable4-Accent31"/>
        <w:tblW w:w="0" w:type="auto"/>
        <w:tblInd w:w="108" w:type="dxa"/>
        <w:tblBorders>
          <w:top w:val="none" w:sz="0" w:space="0" w:color="auto"/>
          <w:left w:val="single" w:sz="8" w:space="0" w:color="C5D6E1"/>
          <w:bottom w:val="none" w:sz="0" w:space="0" w:color="auto"/>
          <w:right w:val="single" w:sz="8" w:space="0" w:color="C5D6E1"/>
          <w:insideH w:val="none" w:sz="0" w:space="0" w:color="auto"/>
          <w:insideV w:val="single" w:sz="8" w:space="0" w:color="C5D6E1"/>
        </w:tblBorders>
        <w:tblLook w:val="04A0" w:firstRow="1" w:lastRow="0" w:firstColumn="1" w:lastColumn="0" w:noHBand="0" w:noVBand="1"/>
      </w:tblPr>
      <w:tblGrid>
        <w:gridCol w:w="2178"/>
        <w:gridCol w:w="2487"/>
        <w:gridCol w:w="2487"/>
        <w:gridCol w:w="2487"/>
      </w:tblGrid>
      <w:tr w:rsidR="008D24D6" w:rsidRPr="00CE7F82" w14:paraId="1187A89D" w14:textId="77777777" w:rsidTr="00616E0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178" w:type="dxa"/>
            <w:tcBorders>
              <w:top w:val="none" w:sz="0" w:space="0" w:color="auto"/>
              <w:left w:val="none" w:sz="0" w:space="0" w:color="auto"/>
              <w:bottom w:val="single" w:sz="4" w:space="0" w:color="FFFFFF"/>
              <w:right w:val="none" w:sz="0" w:space="0" w:color="auto"/>
            </w:tcBorders>
            <w:shd w:val="clear" w:color="auto" w:fill="005A97"/>
          </w:tcPr>
          <w:p w14:paraId="72408CE4" w14:textId="77777777" w:rsidR="008D24D6" w:rsidRPr="00CE7F82" w:rsidRDefault="008D24D6" w:rsidP="005011BC">
            <w:pPr>
              <w:pStyle w:val="TableHeaderrow"/>
              <w:rPr>
                <w:b/>
              </w:rPr>
            </w:pPr>
            <w:r w:rsidRPr="00CE7F82">
              <w:rPr>
                <w:b/>
              </w:rPr>
              <w:t xml:space="preserve">Water Receptor </w:t>
            </w:r>
          </w:p>
        </w:tc>
        <w:tc>
          <w:tcPr>
            <w:tcW w:w="2487" w:type="dxa"/>
            <w:tcBorders>
              <w:top w:val="none" w:sz="0" w:space="0" w:color="auto"/>
              <w:left w:val="none" w:sz="0" w:space="0" w:color="auto"/>
              <w:bottom w:val="single" w:sz="4" w:space="0" w:color="FFFFFF"/>
              <w:right w:val="none" w:sz="0" w:space="0" w:color="auto"/>
            </w:tcBorders>
            <w:shd w:val="clear" w:color="auto" w:fill="005A97"/>
          </w:tcPr>
          <w:p w14:paraId="316A0981" w14:textId="77777777" w:rsidR="008D24D6" w:rsidRPr="00CE7F82" w:rsidRDefault="008D24D6" w:rsidP="005011BC">
            <w:pPr>
              <w:pStyle w:val="TableHeaderrow"/>
              <w:cnfStyle w:val="100000000000" w:firstRow="1" w:lastRow="0" w:firstColumn="0" w:lastColumn="0" w:oddVBand="0" w:evenVBand="0" w:oddHBand="0" w:evenHBand="0" w:firstRowFirstColumn="0" w:firstRowLastColumn="0" w:lastRowFirstColumn="0" w:lastRowLastColumn="0"/>
              <w:rPr>
                <w:b/>
              </w:rPr>
            </w:pPr>
            <w:r w:rsidRPr="00CE7F82">
              <w:rPr>
                <w:b/>
              </w:rPr>
              <w:t>Low connection</w:t>
            </w:r>
          </w:p>
        </w:tc>
        <w:tc>
          <w:tcPr>
            <w:tcW w:w="2487" w:type="dxa"/>
            <w:tcBorders>
              <w:top w:val="none" w:sz="0" w:space="0" w:color="auto"/>
              <w:left w:val="none" w:sz="0" w:space="0" w:color="auto"/>
              <w:bottom w:val="single" w:sz="4" w:space="0" w:color="FFFFFF"/>
              <w:right w:val="none" w:sz="0" w:space="0" w:color="auto"/>
            </w:tcBorders>
            <w:shd w:val="clear" w:color="auto" w:fill="005A97"/>
          </w:tcPr>
          <w:p w14:paraId="4BFB76D9" w14:textId="77777777" w:rsidR="008D24D6" w:rsidRPr="00CE7F82" w:rsidRDefault="008D24D6" w:rsidP="005011BC">
            <w:pPr>
              <w:pStyle w:val="TableHeaderrow"/>
              <w:cnfStyle w:val="100000000000" w:firstRow="1" w:lastRow="0" w:firstColumn="0" w:lastColumn="0" w:oddVBand="0" w:evenVBand="0" w:oddHBand="0" w:evenHBand="0" w:firstRowFirstColumn="0" w:firstRowLastColumn="0" w:lastRowFirstColumn="0" w:lastRowLastColumn="0"/>
              <w:rPr>
                <w:b/>
              </w:rPr>
            </w:pPr>
            <w:r w:rsidRPr="00CE7F82">
              <w:rPr>
                <w:b/>
              </w:rPr>
              <w:t>Moderate connection</w:t>
            </w:r>
          </w:p>
        </w:tc>
        <w:tc>
          <w:tcPr>
            <w:tcW w:w="2487" w:type="dxa"/>
            <w:tcBorders>
              <w:top w:val="none" w:sz="0" w:space="0" w:color="auto"/>
              <w:left w:val="none" w:sz="0" w:space="0" w:color="auto"/>
              <w:bottom w:val="single" w:sz="4" w:space="0" w:color="FFFFFF"/>
              <w:right w:val="none" w:sz="0" w:space="0" w:color="auto"/>
            </w:tcBorders>
            <w:shd w:val="clear" w:color="auto" w:fill="005A97"/>
          </w:tcPr>
          <w:p w14:paraId="090B4CA2" w14:textId="77777777" w:rsidR="008D24D6" w:rsidRPr="00CE7F82" w:rsidRDefault="008D24D6" w:rsidP="005011BC">
            <w:pPr>
              <w:pStyle w:val="TableHeaderrow"/>
              <w:cnfStyle w:val="100000000000" w:firstRow="1" w:lastRow="0" w:firstColumn="0" w:lastColumn="0" w:oddVBand="0" w:evenVBand="0" w:oddHBand="0" w:evenHBand="0" w:firstRowFirstColumn="0" w:firstRowLastColumn="0" w:lastRowFirstColumn="0" w:lastRowLastColumn="0"/>
              <w:rPr>
                <w:b/>
              </w:rPr>
            </w:pPr>
            <w:r w:rsidRPr="00CE7F82">
              <w:rPr>
                <w:b/>
              </w:rPr>
              <w:t>High connection</w:t>
            </w:r>
          </w:p>
        </w:tc>
      </w:tr>
      <w:tr w:rsidR="008D24D6" w:rsidRPr="00CE7F82" w14:paraId="2CD795F1" w14:textId="77777777" w:rsidTr="00616E0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178" w:type="dxa"/>
            <w:tcBorders>
              <w:top w:val="single" w:sz="4" w:space="0" w:color="FFFFFF"/>
              <w:left w:val="single" w:sz="4" w:space="0" w:color="FFFFFF"/>
              <w:bottom w:val="single" w:sz="4" w:space="0" w:color="005A97"/>
              <w:right w:val="single" w:sz="4" w:space="0" w:color="FFFFFF"/>
            </w:tcBorders>
            <w:shd w:val="clear" w:color="auto" w:fill="auto"/>
          </w:tcPr>
          <w:p w14:paraId="1C5C46A2" w14:textId="77777777" w:rsidR="008D24D6" w:rsidRPr="00616E0E" w:rsidRDefault="008D24D6" w:rsidP="00616E0E">
            <w:pPr>
              <w:pStyle w:val="Tabletext"/>
              <w:rPr>
                <w:b w:val="0"/>
              </w:rPr>
            </w:pPr>
            <w:r w:rsidRPr="00616E0E">
              <w:rPr>
                <w:b w:val="0"/>
              </w:rPr>
              <w:t>Rivers</w:t>
            </w:r>
          </w:p>
        </w:tc>
        <w:tc>
          <w:tcPr>
            <w:tcW w:w="2487" w:type="dxa"/>
            <w:vMerge w:val="restart"/>
            <w:tcBorders>
              <w:top w:val="single" w:sz="4" w:space="0" w:color="FFFFFF"/>
              <w:left w:val="single" w:sz="4" w:space="0" w:color="FFFFFF"/>
              <w:bottom w:val="nil"/>
              <w:right w:val="single" w:sz="4" w:space="0" w:color="FFFFFF"/>
            </w:tcBorders>
            <w:shd w:val="clear" w:color="auto" w:fill="92D050"/>
            <w:vAlign w:val="center"/>
          </w:tcPr>
          <w:p w14:paraId="1B0E8627" w14:textId="77777777" w:rsidR="008D24D6" w:rsidRPr="00616E0E" w:rsidRDefault="008D24D6" w:rsidP="00616E0E">
            <w:pPr>
              <w:pStyle w:val="Tabletext"/>
              <w:cnfStyle w:val="000000100000" w:firstRow="0" w:lastRow="0" w:firstColumn="0" w:lastColumn="0" w:oddVBand="0" w:evenVBand="0" w:oddHBand="1" w:evenHBand="0" w:firstRowFirstColumn="0" w:firstRowLastColumn="0" w:lastRowFirstColumn="0" w:lastRowLastColumn="0"/>
            </w:pPr>
            <w:r w:rsidRPr="00616E0E">
              <w:t>Initial depth to watertable (before gas development) is greater than 6 m</w:t>
            </w:r>
          </w:p>
        </w:tc>
        <w:tc>
          <w:tcPr>
            <w:tcW w:w="2487" w:type="dxa"/>
            <w:vMerge w:val="restart"/>
            <w:tcBorders>
              <w:top w:val="single" w:sz="4" w:space="0" w:color="FFFFFF"/>
              <w:left w:val="single" w:sz="4" w:space="0" w:color="FFFFFF"/>
              <w:bottom w:val="nil"/>
              <w:right w:val="single" w:sz="4" w:space="0" w:color="FFFFFF"/>
            </w:tcBorders>
            <w:shd w:val="clear" w:color="auto" w:fill="FFC000"/>
            <w:vAlign w:val="center"/>
          </w:tcPr>
          <w:p w14:paraId="173D3CB8" w14:textId="77777777" w:rsidR="008D24D6" w:rsidRPr="00616E0E" w:rsidRDefault="008D24D6" w:rsidP="00616E0E">
            <w:pPr>
              <w:pStyle w:val="Tabletext"/>
              <w:cnfStyle w:val="000000100000" w:firstRow="0" w:lastRow="0" w:firstColumn="0" w:lastColumn="0" w:oddVBand="0" w:evenVBand="0" w:oddHBand="1" w:evenHBand="0" w:firstRowFirstColumn="0" w:firstRowLastColumn="0" w:lastRowFirstColumn="0" w:lastRowLastColumn="0"/>
            </w:pPr>
            <w:r w:rsidRPr="00616E0E">
              <w:t>Initial depth to watertable (before gas development) is between 2 and 6 m</w:t>
            </w:r>
          </w:p>
        </w:tc>
        <w:tc>
          <w:tcPr>
            <w:tcW w:w="2487" w:type="dxa"/>
            <w:vMerge w:val="restart"/>
            <w:tcBorders>
              <w:top w:val="single" w:sz="4" w:space="0" w:color="FFFFFF"/>
              <w:left w:val="single" w:sz="4" w:space="0" w:color="FFFFFF"/>
              <w:bottom w:val="nil"/>
              <w:right w:val="single" w:sz="4" w:space="0" w:color="FFFFFF"/>
            </w:tcBorders>
            <w:shd w:val="clear" w:color="auto" w:fill="FF0000"/>
            <w:vAlign w:val="center"/>
          </w:tcPr>
          <w:p w14:paraId="234F1B50" w14:textId="77777777" w:rsidR="008D24D6" w:rsidRPr="00616E0E" w:rsidRDefault="008D24D6" w:rsidP="00616E0E">
            <w:pPr>
              <w:pStyle w:val="Tabletext"/>
              <w:cnfStyle w:val="000000100000" w:firstRow="0" w:lastRow="0" w:firstColumn="0" w:lastColumn="0" w:oddVBand="0" w:evenVBand="0" w:oddHBand="1" w:evenHBand="0" w:firstRowFirstColumn="0" w:firstRowLastColumn="0" w:lastRowFirstColumn="0" w:lastRowLastColumn="0"/>
            </w:pPr>
            <w:r w:rsidRPr="00616E0E">
              <w:t>Initial depth to watertable (before gas development) is less than 2 m</w:t>
            </w:r>
          </w:p>
        </w:tc>
      </w:tr>
      <w:tr w:rsidR="008D24D6" w:rsidRPr="00CE7F82" w14:paraId="6BC284CA" w14:textId="77777777" w:rsidTr="00616E0E">
        <w:trPr>
          <w:trHeight w:val="340"/>
        </w:trPr>
        <w:tc>
          <w:tcPr>
            <w:cnfStyle w:val="001000000000" w:firstRow="0" w:lastRow="0" w:firstColumn="1" w:lastColumn="0" w:oddVBand="0" w:evenVBand="0" w:oddHBand="0" w:evenHBand="0" w:firstRowFirstColumn="0" w:firstRowLastColumn="0" w:lastRowFirstColumn="0" w:lastRowLastColumn="0"/>
            <w:tcW w:w="2178" w:type="dxa"/>
            <w:tcBorders>
              <w:top w:val="single" w:sz="4" w:space="0" w:color="005A97"/>
              <w:left w:val="single" w:sz="4" w:space="0" w:color="FFFFFF"/>
              <w:bottom w:val="single" w:sz="4" w:space="0" w:color="005A97"/>
              <w:right w:val="single" w:sz="4" w:space="0" w:color="FFFFFF"/>
            </w:tcBorders>
            <w:shd w:val="clear" w:color="auto" w:fill="auto"/>
          </w:tcPr>
          <w:p w14:paraId="65A01C22" w14:textId="77777777" w:rsidR="008D24D6" w:rsidRPr="00616E0E" w:rsidRDefault="008D24D6" w:rsidP="00616E0E">
            <w:pPr>
              <w:pStyle w:val="Tabletext"/>
              <w:rPr>
                <w:b w:val="0"/>
              </w:rPr>
            </w:pPr>
            <w:r w:rsidRPr="00616E0E">
              <w:rPr>
                <w:b w:val="0"/>
              </w:rPr>
              <w:t>Water bodies (lakes, wetlands)</w:t>
            </w:r>
          </w:p>
        </w:tc>
        <w:tc>
          <w:tcPr>
            <w:tcW w:w="2487" w:type="dxa"/>
            <w:vMerge/>
            <w:tcBorders>
              <w:top w:val="nil"/>
              <w:left w:val="single" w:sz="4" w:space="0" w:color="FFFFFF"/>
              <w:bottom w:val="single" w:sz="4" w:space="0" w:color="FFFFFF"/>
              <w:right w:val="single" w:sz="4" w:space="0" w:color="FFFFFF"/>
            </w:tcBorders>
            <w:shd w:val="clear" w:color="auto" w:fill="92D050"/>
            <w:vAlign w:val="center"/>
          </w:tcPr>
          <w:p w14:paraId="4A643F89" w14:textId="77777777" w:rsidR="008D24D6" w:rsidRPr="00616E0E" w:rsidRDefault="008D24D6" w:rsidP="00616E0E">
            <w:pPr>
              <w:pStyle w:val="Tabletext"/>
              <w:cnfStyle w:val="000000000000" w:firstRow="0" w:lastRow="0" w:firstColumn="0" w:lastColumn="0" w:oddVBand="0" w:evenVBand="0" w:oddHBand="0" w:evenHBand="0" w:firstRowFirstColumn="0" w:firstRowLastColumn="0" w:lastRowFirstColumn="0" w:lastRowLastColumn="0"/>
            </w:pPr>
          </w:p>
        </w:tc>
        <w:tc>
          <w:tcPr>
            <w:tcW w:w="2487" w:type="dxa"/>
            <w:vMerge/>
            <w:tcBorders>
              <w:top w:val="nil"/>
              <w:left w:val="single" w:sz="4" w:space="0" w:color="FFFFFF"/>
              <w:bottom w:val="single" w:sz="4" w:space="0" w:color="FFFFFF"/>
              <w:right w:val="single" w:sz="4" w:space="0" w:color="FFFFFF"/>
            </w:tcBorders>
            <w:shd w:val="clear" w:color="auto" w:fill="FFC000"/>
            <w:vAlign w:val="center"/>
          </w:tcPr>
          <w:p w14:paraId="02E635ED" w14:textId="77777777" w:rsidR="008D24D6" w:rsidRPr="00616E0E" w:rsidRDefault="008D24D6" w:rsidP="00616E0E">
            <w:pPr>
              <w:pStyle w:val="Tabletext"/>
              <w:cnfStyle w:val="000000000000" w:firstRow="0" w:lastRow="0" w:firstColumn="0" w:lastColumn="0" w:oddVBand="0" w:evenVBand="0" w:oddHBand="0" w:evenHBand="0" w:firstRowFirstColumn="0" w:firstRowLastColumn="0" w:lastRowFirstColumn="0" w:lastRowLastColumn="0"/>
            </w:pPr>
          </w:p>
        </w:tc>
        <w:tc>
          <w:tcPr>
            <w:tcW w:w="2487" w:type="dxa"/>
            <w:vMerge/>
            <w:tcBorders>
              <w:top w:val="nil"/>
              <w:left w:val="single" w:sz="4" w:space="0" w:color="FFFFFF"/>
              <w:bottom w:val="single" w:sz="4" w:space="0" w:color="FFFFFF"/>
              <w:right w:val="single" w:sz="4" w:space="0" w:color="FFFFFF"/>
            </w:tcBorders>
            <w:shd w:val="clear" w:color="auto" w:fill="FF0000"/>
            <w:vAlign w:val="center"/>
          </w:tcPr>
          <w:p w14:paraId="54AF7FB1" w14:textId="77777777" w:rsidR="008D24D6" w:rsidRPr="00616E0E" w:rsidRDefault="008D24D6" w:rsidP="00616E0E">
            <w:pPr>
              <w:pStyle w:val="Tabletext"/>
              <w:cnfStyle w:val="000000000000" w:firstRow="0" w:lastRow="0" w:firstColumn="0" w:lastColumn="0" w:oddVBand="0" w:evenVBand="0" w:oddHBand="0" w:evenHBand="0" w:firstRowFirstColumn="0" w:firstRowLastColumn="0" w:lastRowFirstColumn="0" w:lastRowLastColumn="0"/>
            </w:pPr>
          </w:p>
        </w:tc>
      </w:tr>
      <w:tr w:rsidR="008D24D6" w:rsidRPr="00CE7F82" w14:paraId="6E2E23C2" w14:textId="77777777" w:rsidTr="00616E0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178" w:type="dxa"/>
            <w:tcBorders>
              <w:top w:val="single" w:sz="4" w:space="0" w:color="005A97"/>
              <w:left w:val="single" w:sz="4" w:space="0" w:color="FFFFFF"/>
              <w:bottom w:val="single" w:sz="4" w:space="0" w:color="005A97"/>
              <w:right w:val="single" w:sz="4" w:space="0" w:color="FFFFFF"/>
            </w:tcBorders>
            <w:shd w:val="clear" w:color="auto" w:fill="auto"/>
            <w:vAlign w:val="center"/>
          </w:tcPr>
          <w:p w14:paraId="206D21E9" w14:textId="77777777" w:rsidR="008D24D6" w:rsidRPr="00616E0E" w:rsidRDefault="008D24D6" w:rsidP="00616E0E">
            <w:pPr>
              <w:pStyle w:val="Tabletext"/>
              <w:rPr>
                <w:b w:val="0"/>
              </w:rPr>
            </w:pPr>
            <w:r w:rsidRPr="00616E0E">
              <w:rPr>
                <w:b w:val="0"/>
              </w:rPr>
              <w:t>Aquifers</w:t>
            </w:r>
          </w:p>
        </w:tc>
        <w:tc>
          <w:tcPr>
            <w:tcW w:w="2487" w:type="dxa"/>
            <w:tcBorders>
              <w:top w:val="single" w:sz="4" w:space="0" w:color="FFFFFF"/>
              <w:left w:val="single" w:sz="4" w:space="0" w:color="FFFFFF"/>
              <w:bottom w:val="single" w:sz="4" w:space="0" w:color="005A97"/>
              <w:right w:val="single" w:sz="4" w:space="0" w:color="FFFFFF"/>
            </w:tcBorders>
            <w:shd w:val="clear" w:color="auto" w:fill="92D050"/>
            <w:vAlign w:val="center"/>
          </w:tcPr>
          <w:p w14:paraId="15BAAA1C" w14:textId="3ABDCF00" w:rsidR="008D24D6" w:rsidRPr="00616E0E" w:rsidRDefault="00B35CFB" w:rsidP="00616E0E">
            <w:pPr>
              <w:pStyle w:val="Tabletext"/>
              <w:cnfStyle w:val="000000100000" w:firstRow="0" w:lastRow="0" w:firstColumn="0" w:lastColumn="0" w:oddVBand="0" w:evenVBand="0" w:oddHBand="1" w:evenHBand="0" w:firstRowFirstColumn="0" w:firstRowLastColumn="0" w:lastRowFirstColumn="0" w:lastRowLastColumn="0"/>
            </w:pPr>
            <w:r w:rsidRPr="00616E0E">
              <w:t>n/a</w:t>
            </w:r>
          </w:p>
        </w:tc>
        <w:tc>
          <w:tcPr>
            <w:tcW w:w="2487" w:type="dxa"/>
            <w:tcBorders>
              <w:top w:val="single" w:sz="4" w:space="0" w:color="FFFFFF"/>
              <w:left w:val="single" w:sz="4" w:space="0" w:color="FFFFFF"/>
              <w:bottom w:val="single" w:sz="4" w:space="0" w:color="005A97"/>
              <w:right w:val="single" w:sz="4" w:space="0" w:color="FFFFFF"/>
            </w:tcBorders>
            <w:shd w:val="clear" w:color="auto" w:fill="FFC000"/>
            <w:vAlign w:val="center"/>
          </w:tcPr>
          <w:p w14:paraId="351CAC12" w14:textId="0670023C" w:rsidR="008D24D6" w:rsidRPr="00616E0E" w:rsidRDefault="00B35CFB" w:rsidP="00616E0E">
            <w:pPr>
              <w:pStyle w:val="Tabletext"/>
              <w:cnfStyle w:val="000000100000" w:firstRow="0" w:lastRow="0" w:firstColumn="0" w:lastColumn="0" w:oddVBand="0" w:evenVBand="0" w:oddHBand="1" w:evenHBand="0" w:firstRowFirstColumn="0" w:firstRowLastColumn="0" w:lastRowFirstColumn="0" w:lastRowLastColumn="0"/>
            </w:pPr>
            <w:r w:rsidRPr="00616E0E">
              <w:t>n/a</w:t>
            </w:r>
          </w:p>
        </w:tc>
        <w:tc>
          <w:tcPr>
            <w:tcW w:w="2487" w:type="dxa"/>
            <w:tcBorders>
              <w:top w:val="single" w:sz="4" w:space="0" w:color="FFFFFF"/>
              <w:left w:val="single" w:sz="4" w:space="0" w:color="FFFFFF"/>
              <w:bottom w:val="single" w:sz="4" w:space="0" w:color="005A97"/>
              <w:right w:val="single" w:sz="4" w:space="0" w:color="FFFFFF"/>
            </w:tcBorders>
            <w:shd w:val="clear" w:color="auto" w:fill="FF0000"/>
            <w:vAlign w:val="center"/>
          </w:tcPr>
          <w:p w14:paraId="2801F559" w14:textId="77777777" w:rsidR="008D24D6" w:rsidRPr="00616E0E" w:rsidRDefault="008D24D6" w:rsidP="00616E0E">
            <w:pPr>
              <w:pStyle w:val="Tabletext"/>
              <w:cnfStyle w:val="000000100000" w:firstRow="0" w:lastRow="0" w:firstColumn="0" w:lastColumn="0" w:oddVBand="0" w:evenVBand="0" w:oddHBand="1" w:evenHBand="0" w:firstRowFirstColumn="0" w:firstRowLastColumn="0" w:lastRowFirstColumn="0" w:lastRowLastColumn="0"/>
            </w:pPr>
            <w:r w:rsidRPr="00616E0E">
              <w:t>Inherent connection to groundwater</w:t>
            </w:r>
          </w:p>
        </w:tc>
      </w:tr>
    </w:tbl>
    <w:p w14:paraId="7B1EADCD" w14:textId="77777777" w:rsidR="008D24D6" w:rsidRDefault="008D24D6"/>
    <w:p w14:paraId="62FE9A11" w14:textId="4223E743" w:rsidR="008D24D6" w:rsidRDefault="00B35CFB" w:rsidP="008D24D6">
      <w:pPr>
        <w:pStyle w:val="Head3xxx"/>
      </w:pPr>
      <w:bookmarkStart w:id="343" w:name="_Toc420568687"/>
      <w:bookmarkStart w:id="344" w:name="_Toc420570269"/>
      <w:bookmarkStart w:id="345" w:name="_Toc420571465"/>
      <w:bookmarkStart w:id="346" w:name="_Toc420572103"/>
      <w:bookmarkStart w:id="347" w:name="_Toc296766960"/>
      <w:r>
        <w:t>3.2.4</w:t>
      </w:r>
      <w:r>
        <w:tab/>
      </w:r>
      <w:r w:rsidR="008D24D6">
        <w:t>Potential effect of aquifer depressurisation</w:t>
      </w:r>
      <w:bookmarkEnd w:id="343"/>
      <w:bookmarkEnd w:id="344"/>
      <w:bookmarkEnd w:id="345"/>
      <w:bookmarkEnd w:id="346"/>
      <w:bookmarkEnd w:id="347"/>
    </w:p>
    <w:p w14:paraId="5C695D1C" w14:textId="44A29764" w:rsidR="008D24D6" w:rsidRDefault="00627CD0" w:rsidP="008D24D6">
      <w:pPr>
        <w:pStyle w:val="Para0"/>
      </w:pPr>
      <w:r w:rsidRPr="00867B51">
        <w:t xml:space="preserve">Table </w:t>
      </w:r>
      <w:r>
        <w:rPr>
          <w:noProof/>
        </w:rPr>
        <w:t xml:space="preserve">5 </w:t>
      </w:r>
      <w:r w:rsidR="008D24D6">
        <w:t>presents the criteria which have been adopted</w:t>
      </w:r>
      <w:r w:rsidR="008D24D6" w:rsidRPr="00854BC9">
        <w:t xml:space="preserve"> </w:t>
      </w:r>
      <w:r w:rsidR="008D24D6">
        <w:t>to</w:t>
      </w:r>
      <w:r w:rsidR="008D24D6" w:rsidRPr="00854BC9">
        <w:t xml:space="preserve"> classif</w:t>
      </w:r>
      <w:r w:rsidR="008D24D6">
        <w:t>y</w:t>
      </w:r>
      <w:r w:rsidR="008D24D6" w:rsidRPr="00854BC9">
        <w:t xml:space="preserve"> the </w:t>
      </w:r>
      <w:r w:rsidR="008D24D6">
        <w:t>effect of aquifer depressurisation on receptors, using predicted drawdown as an indicator</w:t>
      </w:r>
      <w:r w:rsidR="008D24D6" w:rsidRPr="00854BC9">
        <w:t xml:space="preserve">. For surface water receptors, the delineation of </w:t>
      </w:r>
      <w:r w:rsidR="008D24D6">
        <w:t>a low potential effect of gas development</w:t>
      </w:r>
      <w:r w:rsidR="008D24D6" w:rsidRPr="00854BC9">
        <w:t xml:space="preserve"> (i.e. 0.1 m</w:t>
      </w:r>
      <w:r w:rsidR="008D24D6">
        <w:t xml:space="preserve"> predicted drawdown</w:t>
      </w:r>
      <w:r w:rsidR="008D24D6" w:rsidRPr="00854BC9">
        <w:t xml:space="preserve">) </w:t>
      </w:r>
      <w:r w:rsidR="008D24D6">
        <w:t xml:space="preserve">has been </w:t>
      </w:r>
      <w:r w:rsidR="008D24D6" w:rsidRPr="00854BC9">
        <w:t xml:space="preserve">based on the minimum change in water level that could reasonably be </w:t>
      </w:r>
      <w:r w:rsidR="008D24D6">
        <w:t xml:space="preserve">discerned </w:t>
      </w:r>
      <w:r w:rsidR="008D24D6" w:rsidRPr="00854BC9">
        <w:t>(DELWP</w:t>
      </w:r>
      <w:r w:rsidR="004F4E80">
        <w:t xml:space="preserve">, </w:t>
      </w:r>
      <w:r w:rsidR="008D24D6" w:rsidRPr="00854BC9">
        <w:t xml:space="preserve">2015). The upper limit of 2.0 m is based on </w:t>
      </w:r>
      <w:r w:rsidR="008D24D6">
        <w:t>a range of</w:t>
      </w:r>
      <w:r w:rsidR="008D24D6" w:rsidRPr="00854BC9">
        <w:t xml:space="preserve"> studies</w:t>
      </w:r>
      <w:r w:rsidR="008D24D6">
        <w:t xml:space="preserve">. It was identified during the development of the </w:t>
      </w:r>
      <w:r w:rsidR="00C23EC7">
        <w:t>d</w:t>
      </w:r>
      <w:r w:rsidR="008D24D6">
        <w:t xml:space="preserve">raft </w:t>
      </w:r>
      <w:r w:rsidR="00C23EC7">
        <w:t>m</w:t>
      </w:r>
      <w:r w:rsidR="008D24D6">
        <w:t xml:space="preserve">inisterial </w:t>
      </w:r>
      <w:r w:rsidR="00C23EC7">
        <w:t>g</w:t>
      </w:r>
      <w:r w:rsidR="008D24D6">
        <w:t>uidelines that watertable changes greater than 2.0 m can be expected to have a significant impact on ecosystems.</w:t>
      </w:r>
      <w:r w:rsidR="008D24D6" w:rsidRPr="00854BC9">
        <w:t xml:space="preserve"> </w:t>
      </w:r>
    </w:p>
    <w:p w14:paraId="7D50B2B5" w14:textId="3B67BA8F" w:rsidR="00C23EC7" w:rsidRDefault="008D24D6" w:rsidP="008D24D6">
      <w:pPr>
        <w:pStyle w:val="Para0"/>
      </w:pPr>
      <w:r w:rsidRPr="00854BC9">
        <w:t xml:space="preserve">In the case of aquifers, the categories were defined based on </w:t>
      </w:r>
      <w:r>
        <w:t>extrapolation of the approach embedded in the draft Victorian water sharing guidance notes, in which a high potential for effect of gas development is determined when an aquifer ceases to be able to supply. Most aquifers in the study areas would need to have high drawdown before ceasing to supply, (</w:t>
      </w:r>
      <w:r w:rsidRPr="00854BC9">
        <w:t>DELWP 2015).</w:t>
      </w:r>
    </w:p>
    <w:p w14:paraId="3263F657" w14:textId="77777777" w:rsidR="00C23EC7" w:rsidRDefault="00C23EC7">
      <w:pPr>
        <w:spacing w:after="200"/>
        <w:rPr>
          <w:rFonts w:cs="Arial"/>
          <w:b/>
          <w:bCs/>
        </w:rPr>
      </w:pPr>
      <w:bookmarkStart w:id="348" w:name="_Ref414884081"/>
      <w:r>
        <w:br w:type="page"/>
      </w:r>
    </w:p>
    <w:p w14:paraId="0C906178" w14:textId="34B38E15" w:rsidR="008D24D6" w:rsidRDefault="008D24D6" w:rsidP="002D44DF">
      <w:pPr>
        <w:pStyle w:val="Tableheading"/>
      </w:pPr>
      <w:bookmarkStart w:id="349" w:name="_Toc296770885"/>
      <w:r w:rsidRPr="00867B51">
        <w:t xml:space="preserve">Table </w:t>
      </w:r>
      <w:r w:rsidRPr="00867B51">
        <w:fldChar w:fldCharType="begin"/>
      </w:r>
      <w:r w:rsidRPr="00867B51">
        <w:instrText xml:space="preserve"> SEQ Table \* ARABIC </w:instrText>
      </w:r>
      <w:r w:rsidRPr="00867B51">
        <w:fldChar w:fldCharType="separate"/>
      </w:r>
      <w:r w:rsidR="00171A5E">
        <w:rPr>
          <w:noProof/>
        </w:rPr>
        <w:t>5</w:t>
      </w:r>
      <w:r w:rsidRPr="00867B51">
        <w:fldChar w:fldCharType="end"/>
      </w:r>
      <w:bookmarkEnd w:id="348"/>
      <w:r w:rsidR="008B076F">
        <w:t>:</w:t>
      </w:r>
      <w:r w:rsidRPr="00867B51">
        <w:t xml:space="preserve"> </w:t>
      </w:r>
      <w:r w:rsidR="00CE7F82">
        <w:t xml:space="preserve"> </w:t>
      </w:r>
      <w:r w:rsidRPr="00867B51">
        <w:t>Rules defining the potential effect on water receptors of groundwater drawdown</w:t>
      </w:r>
      <w:r w:rsidR="00637469">
        <w:t>.</w:t>
      </w:r>
      <w:bookmarkEnd w:id="349"/>
      <w:r>
        <w:t xml:space="preserve"> </w:t>
      </w:r>
    </w:p>
    <w:tbl>
      <w:tblPr>
        <w:tblStyle w:val="GridTable4-Accent31"/>
        <w:tblW w:w="0" w:type="auto"/>
        <w:tblBorders>
          <w:top w:val="none" w:sz="0" w:space="0" w:color="auto"/>
          <w:left w:val="single" w:sz="8" w:space="0" w:color="C5D6E1"/>
          <w:bottom w:val="none" w:sz="0" w:space="0" w:color="auto"/>
          <w:right w:val="single" w:sz="8" w:space="0" w:color="C5D6E1"/>
          <w:insideH w:val="none" w:sz="0" w:space="0" w:color="auto"/>
          <w:insideV w:val="single" w:sz="8" w:space="0" w:color="C5D6E1"/>
        </w:tblBorders>
        <w:tblLook w:val="04A0" w:firstRow="1" w:lastRow="0" w:firstColumn="1" w:lastColumn="0" w:noHBand="0" w:noVBand="1"/>
      </w:tblPr>
      <w:tblGrid>
        <w:gridCol w:w="1668"/>
        <w:gridCol w:w="2646"/>
        <w:gridCol w:w="2646"/>
        <w:gridCol w:w="2646"/>
      </w:tblGrid>
      <w:tr w:rsidR="00616E0E" w:rsidRPr="00616E0E" w14:paraId="7C9F8930" w14:textId="77777777" w:rsidTr="00616E0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8" w:type="dxa"/>
            <w:tcBorders>
              <w:top w:val="nil"/>
              <w:left w:val="nil"/>
              <w:bottom w:val="single" w:sz="4" w:space="0" w:color="FFFFFF"/>
              <w:right w:val="single" w:sz="4" w:space="0" w:color="FFFFFF"/>
            </w:tcBorders>
            <w:shd w:val="clear" w:color="auto" w:fill="005A97"/>
            <w:vAlign w:val="center"/>
          </w:tcPr>
          <w:p w14:paraId="19F7FB0F" w14:textId="156CD37F" w:rsidR="00A4322D" w:rsidRPr="00616E0E" w:rsidRDefault="00A4322D" w:rsidP="00616E0E">
            <w:pPr>
              <w:pStyle w:val="TableHeaderrow"/>
              <w:rPr>
                <w:b/>
              </w:rPr>
            </w:pPr>
            <w:r w:rsidRPr="00616E0E">
              <w:rPr>
                <w:b/>
              </w:rPr>
              <w:t xml:space="preserve">Water </w:t>
            </w:r>
            <w:r w:rsidR="00CE7F82" w:rsidRPr="00616E0E">
              <w:rPr>
                <w:b/>
              </w:rPr>
              <w:t>r</w:t>
            </w:r>
            <w:r w:rsidRPr="00616E0E">
              <w:rPr>
                <w:b/>
              </w:rPr>
              <w:t>eceptor</w:t>
            </w:r>
          </w:p>
        </w:tc>
        <w:tc>
          <w:tcPr>
            <w:tcW w:w="2646" w:type="dxa"/>
            <w:tcBorders>
              <w:top w:val="nil"/>
              <w:left w:val="single" w:sz="4" w:space="0" w:color="FFFFFF"/>
              <w:bottom w:val="single" w:sz="4" w:space="0" w:color="FFFFFF"/>
              <w:right w:val="single" w:sz="4" w:space="0" w:color="FFFFFF"/>
            </w:tcBorders>
            <w:shd w:val="clear" w:color="auto" w:fill="005A97"/>
            <w:vAlign w:val="center"/>
          </w:tcPr>
          <w:p w14:paraId="59672658" w14:textId="0AFA76EC" w:rsidR="00A4322D" w:rsidRPr="006815DB" w:rsidRDefault="00A4322D" w:rsidP="00616E0E">
            <w:pPr>
              <w:pStyle w:val="TableHeaderrow"/>
              <w:cnfStyle w:val="100000000000" w:firstRow="1" w:lastRow="0" w:firstColumn="0" w:lastColumn="0" w:oddVBand="0" w:evenVBand="0" w:oddHBand="0" w:evenHBand="0" w:firstRowFirstColumn="0" w:firstRowLastColumn="0" w:lastRowFirstColumn="0" w:lastRowLastColumn="0"/>
              <w:rPr>
                <w:rFonts w:cs="Arial"/>
                <w:b/>
                <w:iCs/>
                <w:sz w:val="32"/>
                <w:szCs w:val="28"/>
              </w:rPr>
            </w:pPr>
            <w:r w:rsidRPr="006815DB">
              <w:rPr>
                <w:b/>
                <w:bCs/>
              </w:rPr>
              <w:t xml:space="preserve">Low </w:t>
            </w:r>
            <w:r w:rsidR="00CE7F82" w:rsidRPr="006815DB">
              <w:rPr>
                <w:b/>
                <w:bCs/>
              </w:rPr>
              <w:t>d</w:t>
            </w:r>
            <w:r w:rsidRPr="006815DB">
              <w:rPr>
                <w:b/>
                <w:bCs/>
              </w:rPr>
              <w:t>rawdown</w:t>
            </w:r>
          </w:p>
        </w:tc>
        <w:tc>
          <w:tcPr>
            <w:tcW w:w="2646" w:type="dxa"/>
            <w:tcBorders>
              <w:top w:val="nil"/>
              <w:left w:val="single" w:sz="4" w:space="0" w:color="FFFFFF"/>
              <w:bottom w:val="single" w:sz="4" w:space="0" w:color="FFFFFF"/>
              <w:right w:val="single" w:sz="4" w:space="0" w:color="FFFFFF"/>
            </w:tcBorders>
            <w:shd w:val="clear" w:color="auto" w:fill="005A97"/>
            <w:vAlign w:val="center"/>
          </w:tcPr>
          <w:p w14:paraId="6536EB23" w14:textId="45B0EFA9" w:rsidR="00A4322D" w:rsidRPr="006815DB" w:rsidRDefault="00A4322D" w:rsidP="00616E0E">
            <w:pPr>
              <w:pStyle w:val="TableHeaderrow"/>
              <w:cnfStyle w:val="100000000000" w:firstRow="1" w:lastRow="0" w:firstColumn="0" w:lastColumn="0" w:oddVBand="0" w:evenVBand="0" w:oddHBand="0" w:evenHBand="0" w:firstRowFirstColumn="0" w:firstRowLastColumn="0" w:lastRowFirstColumn="0" w:lastRowLastColumn="0"/>
              <w:rPr>
                <w:rFonts w:cs="Arial"/>
                <w:b/>
                <w:iCs/>
                <w:sz w:val="32"/>
                <w:szCs w:val="28"/>
              </w:rPr>
            </w:pPr>
            <w:r w:rsidRPr="006815DB">
              <w:rPr>
                <w:b/>
                <w:bCs/>
              </w:rPr>
              <w:t xml:space="preserve">Moderate </w:t>
            </w:r>
            <w:r w:rsidR="00CE7F82" w:rsidRPr="006815DB">
              <w:rPr>
                <w:b/>
                <w:bCs/>
              </w:rPr>
              <w:t>d</w:t>
            </w:r>
            <w:r w:rsidRPr="006815DB">
              <w:rPr>
                <w:b/>
                <w:bCs/>
              </w:rPr>
              <w:t>rawdown</w:t>
            </w:r>
          </w:p>
        </w:tc>
        <w:tc>
          <w:tcPr>
            <w:tcW w:w="2646" w:type="dxa"/>
            <w:tcBorders>
              <w:top w:val="nil"/>
              <w:left w:val="single" w:sz="4" w:space="0" w:color="FFFFFF"/>
              <w:bottom w:val="single" w:sz="4" w:space="0" w:color="FFFFFF"/>
              <w:right w:val="nil"/>
            </w:tcBorders>
            <w:shd w:val="clear" w:color="auto" w:fill="005A97"/>
            <w:vAlign w:val="center"/>
          </w:tcPr>
          <w:p w14:paraId="06E79082" w14:textId="2FE6FB84" w:rsidR="00A4322D" w:rsidRPr="006815DB" w:rsidRDefault="00A4322D" w:rsidP="00616E0E">
            <w:pPr>
              <w:pStyle w:val="TableHeaderrow"/>
              <w:cnfStyle w:val="100000000000" w:firstRow="1" w:lastRow="0" w:firstColumn="0" w:lastColumn="0" w:oddVBand="0" w:evenVBand="0" w:oddHBand="0" w:evenHBand="0" w:firstRowFirstColumn="0" w:firstRowLastColumn="0" w:lastRowFirstColumn="0" w:lastRowLastColumn="0"/>
              <w:rPr>
                <w:rFonts w:cs="Arial"/>
                <w:b/>
                <w:iCs/>
                <w:sz w:val="32"/>
                <w:szCs w:val="28"/>
              </w:rPr>
            </w:pPr>
            <w:r w:rsidRPr="006815DB">
              <w:rPr>
                <w:b/>
                <w:bCs/>
              </w:rPr>
              <w:t xml:space="preserve">High </w:t>
            </w:r>
            <w:r w:rsidR="00CE7F82" w:rsidRPr="006815DB">
              <w:rPr>
                <w:b/>
                <w:bCs/>
              </w:rPr>
              <w:t>d</w:t>
            </w:r>
            <w:r w:rsidRPr="006815DB">
              <w:rPr>
                <w:b/>
                <w:bCs/>
              </w:rPr>
              <w:t>rawdown</w:t>
            </w:r>
          </w:p>
        </w:tc>
      </w:tr>
      <w:tr w:rsidR="00A4322D" w:rsidRPr="00854BC9" w14:paraId="430F67BD" w14:textId="77777777" w:rsidTr="00616E0E">
        <w:trPr>
          <w:cnfStyle w:val="000000100000" w:firstRow="0" w:lastRow="0" w:firstColumn="0" w:lastColumn="0" w:oddVBand="0" w:evenVBand="0" w:oddHBand="1" w:evenHBand="0" w:firstRowFirstColumn="0" w:firstRowLastColumn="0" w:lastRowFirstColumn="0" w:lastRowLastColumn="0"/>
          <w:trHeight w:val="1083"/>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FFFFFF"/>
              <w:left w:val="nil"/>
              <w:bottom w:val="single" w:sz="4" w:space="0" w:color="005A97"/>
              <w:right w:val="nil"/>
            </w:tcBorders>
            <w:shd w:val="clear" w:color="auto" w:fill="auto"/>
          </w:tcPr>
          <w:p w14:paraId="0F5EFEF6" w14:textId="77777777" w:rsidR="00A4322D" w:rsidRPr="00CE7F82" w:rsidRDefault="00A4322D" w:rsidP="00B35CFB">
            <w:pPr>
              <w:pStyle w:val="Tabletext"/>
              <w:spacing w:before="80" w:after="80" w:line="276" w:lineRule="auto"/>
              <w:rPr>
                <w:b w:val="0"/>
              </w:rPr>
            </w:pPr>
            <w:r w:rsidRPr="00CE7F82">
              <w:rPr>
                <w:b w:val="0"/>
              </w:rPr>
              <w:t>Rivers</w:t>
            </w:r>
          </w:p>
        </w:tc>
        <w:tc>
          <w:tcPr>
            <w:tcW w:w="2646" w:type="dxa"/>
            <w:vMerge w:val="restart"/>
            <w:tcBorders>
              <w:top w:val="single" w:sz="4" w:space="0" w:color="FFFFFF"/>
              <w:left w:val="nil"/>
              <w:bottom w:val="single" w:sz="4" w:space="0" w:color="FFFFFF"/>
              <w:right w:val="single" w:sz="4" w:space="0" w:color="FFFFFF"/>
            </w:tcBorders>
            <w:shd w:val="clear" w:color="auto" w:fill="92D050"/>
            <w:vAlign w:val="center"/>
          </w:tcPr>
          <w:p w14:paraId="4A67D50B" w14:textId="7777777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666370">
              <w:t>Effect is small on stream flow of connected waterway to natural or current conditions</w:t>
            </w:r>
            <w:r w:rsidR="008B5DE2">
              <w:t>.</w:t>
            </w:r>
          </w:p>
          <w:p w14:paraId="0C64F13F" w14:textId="7777777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t>M</w:t>
            </w:r>
            <w:r w:rsidRPr="00C4114C">
              <w:t>inimum change in water level that could reasonably be expected to be measured in the field</w:t>
            </w:r>
            <w:r w:rsidR="008B5DE2">
              <w:t>.</w:t>
            </w:r>
          </w:p>
          <w:p w14:paraId="1787C718" w14:textId="77777777" w:rsidR="00A4322D" w:rsidRPr="00854BC9"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854BC9">
              <w:t xml:space="preserve">Drawdown in watertable aquifer </w:t>
            </w:r>
            <w:r w:rsidRPr="00922F48">
              <w:t>&lt;</w:t>
            </w:r>
            <w:r w:rsidRPr="00854BC9">
              <w:t xml:space="preserve"> 0.1 m after 30 years</w:t>
            </w:r>
            <w:r w:rsidR="008B5DE2">
              <w:t>.</w:t>
            </w:r>
          </w:p>
        </w:tc>
        <w:tc>
          <w:tcPr>
            <w:tcW w:w="2646" w:type="dxa"/>
            <w:vMerge w:val="restart"/>
            <w:tcBorders>
              <w:top w:val="single" w:sz="4" w:space="0" w:color="FFFFFF"/>
              <w:left w:val="single" w:sz="4" w:space="0" w:color="FFFFFF"/>
              <w:bottom w:val="single" w:sz="4" w:space="0" w:color="FFFFFF"/>
              <w:right w:val="single" w:sz="4" w:space="0" w:color="FFFFFF"/>
            </w:tcBorders>
            <w:shd w:val="clear" w:color="auto" w:fill="FFC000"/>
            <w:vAlign w:val="center"/>
          </w:tcPr>
          <w:p w14:paraId="4EEDA8F4" w14:textId="7777777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312183">
              <w:t>Extraction impacts measurably on stream flow of connected waterway to natural or current conditions</w:t>
            </w:r>
            <w:r w:rsidR="008B5DE2">
              <w:t>.</w:t>
            </w:r>
          </w:p>
          <w:p w14:paraId="0E776C30" w14:textId="7777777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t>M</w:t>
            </w:r>
            <w:r w:rsidRPr="00C4114C">
              <w:t>aximum annual variation in water level</w:t>
            </w:r>
            <w:r>
              <w:t xml:space="preserve"> </w:t>
            </w:r>
            <w:r w:rsidRPr="00C4114C">
              <w:t>that could reasonably be expected</w:t>
            </w:r>
            <w:r w:rsidR="008B5DE2">
              <w:t>.</w:t>
            </w:r>
            <w:r w:rsidRPr="00C4114C">
              <w:t xml:space="preserve"> </w:t>
            </w:r>
          </w:p>
          <w:p w14:paraId="167E3539" w14:textId="7377336C" w:rsidR="00A4322D" w:rsidRPr="00854BC9"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854BC9">
              <w:t>Drawdown in watertable aquifer between 0.1 m and 2 m after 30 years</w:t>
            </w:r>
            <w:r w:rsidR="008B5DE2">
              <w:t>.</w:t>
            </w:r>
          </w:p>
        </w:tc>
        <w:tc>
          <w:tcPr>
            <w:tcW w:w="2646" w:type="dxa"/>
            <w:vMerge w:val="restart"/>
            <w:tcBorders>
              <w:top w:val="single" w:sz="4" w:space="0" w:color="FFFFFF"/>
              <w:left w:val="single" w:sz="4" w:space="0" w:color="FFFFFF"/>
              <w:bottom w:val="single" w:sz="4" w:space="0" w:color="FFFFFF"/>
              <w:right w:val="nil"/>
            </w:tcBorders>
            <w:shd w:val="clear" w:color="auto" w:fill="C00000"/>
            <w:vAlign w:val="center"/>
          </w:tcPr>
          <w:p w14:paraId="02CC7FA3" w14:textId="797C7F0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3C7099">
              <w:t>Extraction impacts on stream flow of connected waterway to natural or current conditions</w:t>
            </w:r>
            <w:r w:rsidR="008B5DE2">
              <w:t>.</w:t>
            </w:r>
          </w:p>
          <w:p w14:paraId="7A493EF8" w14:textId="77777777" w:rsidR="00A4322D" w:rsidRPr="00854BC9"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854BC9">
              <w:t>Drawdown in watertable aquifer &gt; 2 m after 30 years</w:t>
            </w:r>
            <w:r w:rsidR="008B5DE2">
              <w:t>.</w:t>
            </w:r>
          </w:p>
          <w:p w14:paraId="6701971F" w14:textId="77777777" w:rsidR="00A4322D" w:rsidRPr="00854BC9"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p>
        </w:tc>
      </w:tr>
      <w:tr w:rsidR="00A4322D" w:rsidRPr="00854BC9" w14:paraId="0922C7DE" w14:textId="77777777" w:rsidTr="00616E0E">
        <w:trPr>
          <w:trHeight w:val="982"/>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005A97"/>
              <w:left w:val="nil"/>
              <w:bottom w:val="single" w:sz="4" w:space="0" w:color="005A97"/>
              <w:right w:val="nil"/>
            </w:tcBorders>
            <w:shd w:val="clear" w:color="auto" w:fill="auto"/>
          </w:tcPr>
          <w:p w14:paraId="410B9195" w14:textId="77777777" w:rsidR="00A4322D" w:rsidRPr="00CE7F82" w:rsidRDefault="00A4322D" w:rsidP="00B35CFB">
            <w:pPr>
              <w:pStyle w:val="Tabletext"/>
              <w:spacing w:before="80" w:after="80" w:line="276" w:lineRule="auto"/>
              <w:rPr>
                <w:b w:val="0"/>
              </w:rPr>
            </w:pPr>
            <w:r w:rsidRPr="00CE7F82">
              <w:rPr>
                <w:b w:val="0"/>
              </w:rPr>
              <w:t>Water bodies (lakes, wetlands)</w:t>
            </w:r>
          </w:p>
        </w:tc>
        <w:tc>
          <w:tcPr>
            <w:tcW w:w="2646" w:type="dxa"/>
            <w:vMerge/>
            <w:tcBorders>
              <w:top w:val="single" w:sz="4" w:space="0" w:color="FFFFFF"/>
              <w:left w:val="nil"/>
              <w:bottom w:val="single" w:sz="4" w:space="0" w:color="FFFFFF"/>
              <w:right w:val="single" w:sz="4" w:space="0" w:color="FFFFFF"/>
            </w:tcBorders>
            <w:shd w:val="clear" w:color="auto" w:fill="92D050"/>
          </w:tcPr>
          <w:p w14:paraId="73DCC563" w14:textId="77777777" w:rsidR="00A4322D" w:rsidRPr="00854BC9"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p>
        </w:tc>
        <w:tc>
          <w:tcPr>
            <w:tcW w:w="2646" w:type="dxa"/>
            <w:vMerge/>
            <w:tcBorders>
              <w:top w:val="single" w:sz="4" w:space="0" w:color="FFFFFF"/>
              <w:left w:val="single" w:sz="4" w:space="0" w:color="FFFFFF"/>
              <w:bottom w:val="single" w:sz="4" w:space="0" w:color="FFFFFF"/>
              <w:right w:val="single" w:sz="4" w:space="0" w:color="FFFFFF"/>
            </w:tcBorders>
            <w:shd w:val="clear" w:color="auto" w:fill="FFC000"/>
          </w:tcPr>
          <w:p w14:paraId="778D5302" w14:textId="77777777" w:rsidR="00A4322D" w:rsidRPr="00854BC9"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p>
        </w:tc>
        <w:tc>
          <w:tcPr>
            <w:tcW w:w="2646" w:type="dxa"/>
            <w:vMerge/>
            <w:tcBorders>
              <w:top w:val="single" w:sz="4" w:space="0" w:color="FFFFFF"/>
              <w:left w:val="single" w:sz="4" w:space="0" w:color="FFFFFF"/>
              <w:bottom w:val="single" w:sz="4" w:space="0" w:color="FFFFFF"/>
              <w:right w:val="nil"/>
            </w:tcBorders>
            <w:shd w:val="clear" w:color="auto" w:fill="C00000"/>
          </w:tcPr>
          <w:p w14:paraId="03B6713C" w14:textId="77777777" w:rsidR="00A4322D" w:rsidRPr="00854BC9"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p>
        </w:tc>
      </w:tr>
      <w:tr w:rsidR="00A4322D" w:rsidRPr="00854BC9" w14:paraId="4C386492" w14:textId="77777777" w:rsidTr="00616E0E">
        <w:trPr>
          <w:cnfStyle w:val="000000100000" w:firstRow="0" w:lastRow="0" w:firstColumn="0" w:lastColumn="0" w:oddVBand="0" w:evenVBand="0" w:oddHBand="1" w:evenHBand="0" w:firstRowFirstColumn="0" w:firstRowLastColumn="0" w:lastRowFirstColumn="0" w:lastRowLastColumn="0"/>
          <w:trHeight w:val="1698"/>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005A97"/>
              <w:left w:val="nil"/>
              <w:bottom w:val="single" w:sz="4" w:space="0" w:color="005A97"/>
              <w:right w:val="nil"/>
            </w:tcBorders>
            <w:shd w:val="clear" w:color="auto" w:fill="auto"/>
            <w:vAlign w:val="center"/>
          </w:tcPr>
          <w:p w14:paraId="165A448D" w14:textId="77777777" w:rsidR="00A4322D" w:rsidRPr="00CE7F82" w:rsidRDefault="00A4322D" w:rsidP="00B35CFB">
            <w:pPr>
              <w:pStyle w:val="Tabletext"/>
              <w:spacing w:before="80" w:after="80" w:line="276" w:lineRule="auto"/>
              <w:rPr>
                <w:b w:val="0"/>
              </w:rPr>
            </w:pPr>
            <w:r w:rsidRPr="00CE7F82">
              <w:rPr>
                <w:b w:val="0"/>
              </w:rPr>
              <w:t>Unconfined aquifer</w:t>
            </w:r>
          </w:p>
        </w:tc>
        <w:tc>
          <w:tcPr>
            <w:tcW w:w="2646" w:type="dxa"/>
            <w:tcBorders>
              <w:top w:val="single" w:sz="4" w:space="0" w:color="FFFFFF"/>
              <w:left w:val="nil"/>
              <w:bottom w:val="single" w:sz="4" w:space="0" w:color="FFFFFF"/>
              <w:right w:val="single" w:sz="4" w:space="0" w:color="FFFFFF"/>
            </w:tcBorders>
            <w:shd w:val="clear" w:color="auto" w:fill="92D050"/>
          </w:tcPr>
          <w:p w14:paraId="200491D8" w14:textId="7777777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t>Drawdown</w:t>
            </w:r>
            <w:r w:rsidRPr="00697FEC">
              <w:t xml:space="preserve"> is small with respect to aquifer ability to supply</w:t>
            </w:r>
            <w:r w:rsidR="008B5DE2">
              <w:t>.</w:t>
            </w:r>
          </w:p>
          <w:p w14:paraId="6A5BBCEB" w14:textId="7777777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854BC9">
              <w:t xml:space="preserve">Drawdown </w:t>
            </w:r>
            <w:r w:rsidRPr="00922F48">
              <w:t>&lt;</w:t>
            </w:r>
            <w:r w:rsidRPr="00854BC9">
              <w:t xml:space="preserve"> 2 m after 30 years</w:t>
            </w:r>
            <w:r w:rsidR="008B5DE2">
              <w:t>.</w:t>
            </w:r>
          </w:p>
        </w:tc>
        <w:tc>
          <w:tcPr>
            <w:tcW w:w="2646" w:type="dxa"/>
            <w:tcBorders>
              <w:top w:val="single" w:sz="4" w:space="0" w:color="FFFFFF"/>
              <w:left w:val="single" w:sz="4" w:space="0" w:color="FFFFFF"/>
              <w:bottom w:val="single" w:sz="4" w:space="0" w:color="FFFFFF"/>
              <w:right w:val="single" w:sz="4" w:space="0" w:color="FFFFFF"/>
            </w:tcBorders>
            <w:shd w:val="clear" w:color="auto" w:fill="FFC000"/>
          </w:tcPr>
          <w:p w14:paraId="5C6B7F14" w14:textId="7777777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E56C75">
              <w:t>Extraction impacts measurably with respect to aquifer ability to supply</w:t>
            </w:r>
            <w:r>
              <w:t>, but can potentially be mitigated by deepening of boreholes/pumps</w:t>
            </w:r>
            <w:r w:rsidR="008B5DE2">
              <w:t>.</w:t>
            </w:r>
          </w:p>
          <w:p w14:paraId="22F6F7D6" w14:textId="77777777" w:rsidR="00A4322D" w:rsidRPr="00E56C75"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854BC9">
              <w:t>Drawdown between 2 m and 15 m after 30 years</w:t>
            </w:r>
            <w:r w:rsidR="008B5DE2">
              <w:t>.</w:t>
            </w:r>
          </w:p>
        </w:tc>
        <w:tc>
          <w:tcPr>
            <w:tcW w:w="2646" w:type="dxa"/>
            <w:tcBorders>
              <w:top w:val="single" w:sz="4" w:space="0" w:color="FFFFFF"/>
              <w:left w:val="single" w:sz="4" w:space="0" w:color="FFFFFF"/>
              <w:bottom w:val="single" w:sz="4" w:space="0" w:color="FFFFFF"/>
              <w:right w:val="nil"/>
            </w:tcBorders>
            <w:shd w:val="clear" w:color="auto" w:fill="C00000"/>
          </w:tcPr>
          <w:p w14:paraId="778E90D9" w14:textId="77777777" w:rsidR="00A4322D"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AE2A53">
              <w:t>Extraction is large with respect to aquifer ability to supply</w:t>
            </w:r>
            <w:r w:rsidR="008B5DE2">
              <w:t>.</w:t>
            </w:r>
          </w:p>
          <w:p w14:paraId="3357D94E" w14:textId="77777777" w:rsidR="00A4322D" w:rsidRPr="00AE2A53" w:rsidRDefault="00A4322D" w:rsidP="00B35CFB">
            <w:pPr>
              <w:pStyle w:val="Tabletext"/>
              <w:spacing w:before="80" w:after="80" w:line="276" w:lineRule="auto"/>
              <w:cnfStyle w:val="000000100000" w:firstRow="0" w:lastRow="0" w:firstColumn="0" w:lastColumn="0" w:oddVBand="0" w:evenVBand="0" w:oddHBand="1" w:evenHBand="0" w:firstRowFirstColumn="0" w:firstRowLastColumn="0" w:lastRowFirstColumn="0" w:lastRowLastColumn="0"/>
            </w:pPr>
            <w:r w:rsidRPr="00854BC9">
              <w:t>Drawdown &gt; 15 m after 30 years</w:t>
            </w:r>
            <w:r w:rsidR="008B5DE2">
              <w:t>.</w:t>
            </w:r>
          </w:p>
        </w:tc>
      </w:tr>
      <w:tr w:rsidR="00A4322D" w:rsidRPr="00854BC9" w14:paraId="5192392B" w14:textId="77777777" w:rsidTr="00616E0E">
        <w:trPr>
          <w:trHeight w:val="1583"/>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005A97"/>
              <w:left w:val="nil"/>
              <w:bottom w:val="single" w:sz="4" w:space="0" w:color="005A97"/>
              <w:right w:val="nil"/>
            </w:tcBorders>
            <w:shd w:val="clear" w:color="auto" w:fill="auto"/>
            <w:vAlign w:val="center"/>
          </w:tcPr>
          <w:p w14:paraId="15E98E1B" w14:textId="3BFD65D8" w:rsidR="00755B17" w:rsidRPr="00CE7F82" w:rsidRDefault="00755B17" w:rsidP="00B35CFB">
            <w:pPr>
              <w:pStyle w:val="Tabletext"/>
              <w:spacing w:before="80" w:after="80" w:line="276" w:lineRule="auto"/>
              <w:rPr>
                <w:b w:val="0"/>
              </w:rPr>
            </w:pPr>
            <w:r w:rsidRPr="00CE7F82">
              <w:rPr>
                <w:b w:val="0"/>
              </w:rPr>
              <w:t>Confined</w:t>
            </w:r>
          </w:p>
          <w:p w14:paraId="2A7709B6" w14:textId="77777777" w:rsidR="00A4322D" w:rsidRPr="00CE7F82" w:rsidRDefault="00A4322D" w:rsidP="00B35CFB">
            <w:pPr>
              <w:pStyle w:val="Tabletext"/>
              <w:spacing w:before="80" w:after="80" w:line="276" w:lineRule="auto"/>
              <w:rPr>
                <w:b w:val="0"/>
              </w:rPr>
            </w:pPr>
            <w:r w:rsidRPr="00CE7F82">
              <w:rPr>
                <w:b w:val="0"/>
              </w:rPr>
              <w:t>Aquifers</w:t>
            </w:r>
          </w:p>
        </w:tc>
        <w:tc>
          <w:tcPr>
            <w:tcW w:w="2646" w:type="dxa"/>
            <w:tcBorders>
              <w:top w:val="single" w:sz="4" w:space="0" w:color="FFFFFF"/>
              <w:left w:val="nil"/>
              <w:bottom w:val="single" w:sz="4" w:space="0" w:color="005A97"/>
              <w:right w:val="single" w:sz="4" w:space="0" w:color="FFFFFF"/>
            </w:tcBorders>
            <w:shd w:val="clear" w:color="auto" w:fill="92D050"/>
          </w:tcPr>
          <w:p w14:paraId="33BC4856" w14:textId="77777777" w:rsidR="00A4322D"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r>
              <w:t>Drawdown</w:t>
            </w:r>
            <w:r w:rsidRPr="00697FEC">
              <w:t xml:space="preserve"> is small with respect to aquifer ability to supply</w:t>
            </w:r>
            <w:r w:rsidR="008B5DE2">
              <w:t>.</w:t>
            </w:r>
          </w:p>
          <w:p w14:paraId="592FCE14" w14:textId="77777777" w:rsidR="00A4322D" w:rsidRPr="00854BC9"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r w:rsidRPr="00854BC9">
              <w:t xml:space="preserve">Drawdown </w:t>
            </w:r>
            <w:r w:rsidRPr="00922F48">
              <w:t>&lt;</w:t>
            </w:r>
            <w:r w:rsidRPr="00854BC9">
              <w:t xml:space="preserve"> 10 m after 30 years</w:t>
            </w:r>
            <w:r w:rsidR="008B5DE2">
              <w:t>.</w:t>
            </w:r>
          </w:p>
        </w:tc>
        <w:tc>
          <w:tcPr>
            <w:tcW w:w="2646" w:type="dxa"/>
            <w:tcBorders>
              <w:top w:val="single" w:sz="4" w:space="0" w:color="FFFFFF"/>
              <w:left w:val="single" w:sz="4" w:space="0" w:color="FFFFFF"/>
              <w:bottom w:val="single" w:sz="4" w:space="0" w:color="005A97"/>
              <w:right w:val="single" w:sz="4" w:space="0" w:color="FFFFFF"/>
            </w:tcBorders>
            <w:shd w:val="clear" w:color="auto" w:fill="FFC000"/>
          </w:tcPr>
          <w:p w14:paraId="1A01B002" w14:textId="77777777" w:rsidR="00A4322D"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r w:rsidRPr="00E56C75">
              <w:t>Extraction impacts measurably with respect to aquifer ability to supply</w:t>
            </w:r>
            <w:r>
              <w:t>, but can potentially be mitigated by deepening of boreholes/pumps</w:t>
            </w:r>
            <w:r w:rsidR="008B5DE2">
              <w:t>.</w:t>
            </w:r>
          </w:p>
          <w:p w14:paraId="4DC9EEEE" w14:textId="77777777" w:rsidR="00A4322D" w:rsidRPr="00854BC9"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r w:rsidRPr="00854BC9">
              <w:t>Drawdown between 10 m and 75 m after 30 years</w:t>
            </w:r>
            <w:r w:rsidR="008B5DE2">
              <w:t>.</w:t>
            </w:r>
          </w:p>
        </w:tc>
        <w:tc>
          <w:tcPr>
            <w:tcW w:w="2646" w:type="dxa"/>
            <w:tcBorders>
              <w:top w:val="single" w:sz="4" w:space="0" w:color="FFFFFF"/>
              <w:left w:val="single" w:sz="4" w:space="0" w:color="FFFFFF"/>
              <w:bottom w:val="single" w:sz="4" w:space="0" w:color="005A97"/>
              <w:right w:val="nil"/>
            </w:tcBorders>
            <w:shd w:val="clear" w:color="auto" w:fill="C00000"/>
          </w:tcPr>
          <w:p w14:paraId="56DFEEC3" w14:textId="77777777" w:rsidR="00A4322D"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r w:rsidRPr="00AE2A53">
              <w:t>Extraction is large with respect to aquifer ability to supply</w:t>
            </w:r>
            <w:r w:rsidR="008B5DE2">
              <w:t>.</w:t>
            </w:r>
          </w:p>
          <w:p w14:paraId="67D7818F" w14:textId="77777777" w:rsidR="00A4322D" w:rsidRPr="00854BC9" w:rsidRDefault="00A4322D" w:rsidP="00B35CFB">
            <w:pPr>
              <w:pStyle w:val="Tabletext"/>
              <w:spacing w:before="80" w:after="80" w:line="276" w:lineRule="auto"/>
              <w:cnfStyle w:val="000000000000" w:firstRow="0" w:lastRow="0" w:firstColumn="0" w:lastColumn="0" w:oddVBand="0" w:evenVBand="0" w:oddHBand="0" w:evenHBand="0" w:firstRowFirstColumn="0" w:firstRowLastColumn="0" w:lastRowFirstColumn="0" w:lastRowLastColumn="0"/>
            </w:pPr>
            <w:r w:rsidRPr="00854BC9">
              <w:t>Drawdown &gt; 75 m after 30 years</w:t>
            </w:r>
            <w:r w:rsidR="008B5DE2">
              <w:t>.</w:t>
            </w:r>
          </w:p>
        </w:tc>
      </w:tr>
    </w:tbl>
    <w:p w14:paraId="71A807E0" w14:textId="77777777" w:rsidR="00A4322D" w:rsidRPr="00854BC9" w:rsidRDefault="00A4322D"/>
    <w:p w14:paraId="564313BC" w14:textId="766BD2B3" w:rsidR="008D24D6" w:rsidRPr="00854BC9" w:rsidRDefault="00B35CFB" w:rsidP="008D24D6">
      <w:pPr>
        <w:pStyle w:val="Head3xxx"/>
      </w:pPr>
      <w:bookmarkStart w:id="350" w:name="_Toc420568688"/>
      <w:bookmarkStart w:id="351" w:name="_Toc420570270"/>
      <w:bookmarkStart w:id="352" w:name="_Toc420571466"/>
      <w:bookmarkStart w:id="353" w:name="_Toc420572104"/>
      <w:bookmarkStart w:id="354" w:name="_Toc296766961"/>
      <w:r>
        <w:t>3.2.5</w:t>
      </w:r>
      <w:r>
        <w:tab/>
      </w:r>
      <w:r w:rsidR="008D24D6">
        <w:t>Estimation of drawdown</w:t>
      </w:r>
      <w:bookmarkEnd w:id="350"/>
      <w:bookmarkEnd w:id="351"/>
      <w:bookmarkEnd w:id="352"/>
      <w:bookmarkEnd w:id="353"/>
      <w:bookmarkEnd w:id="354"/>
    </w:p>
    <w:p w14:paraId="6658FAC5" w14:textId="3EFCA91A" w:rsidR="00DB3412" w:rsidRPr="00DB3412" w:rsidRDefault="00DB3412">
      <w:pPr>
        <w:rPr>
          <w:rFonts w:eastAsiaTheme="minorEastAsia"/>
          <w:lang w:val="en-AU" w:eastAsia="en-US"/>
        </w:rPr>
      </w:pPr>
      <w:r w:rsidRPr="00DB3412">
        <w:rPr>
          <w:rFonts w:eastAsiaTheme="minorEastAsia"/>
          <w:lang w:val="en-AU" w:eastAsia="en-US"/>
        </w:rPr>
        <w:t>Aquifer depressurisation can affect water resources by changing the groundwater level in aquifers adjacent to the water resources. In turn this change in level may affect the flow rate of water</w:t>
      </w:r>
      <w:r w:rsidR="0019043A">
        <w:rPr>
          <w:rFonts w:eastAsiaTheme="minorEastAsia"/>
          <w:lang w:val="en-AU" w:eastAsia="en-US"/>
        </w:rPr>
        <w:t>,</w:t>
      </w:r>
      <w:r w:rsidRPr="00DB3412">
        <w:rPr>
          <w:rFonts w:eastAsiaTheme="minorEastAsia"/>
          <w:lang w:val="en-AU" w:eastAsia="en-US"/>
        </w:rPr>
        <w:t xml:space="preserve"> or the contribution of groundwater to surface water</w:t>
      </w:r>
      <w:r w:rsidR="0019043A">
        <w:rPr>
          <w:rFonts w:eastAsiaTheme="minorEastAsia"/>
          <w:lang w:val="en-AU" w:eastAsia="en-US"/>
        </w:rPr>
        <w:t>,</w:t>
      </w:r>
      <w:r w:rsidRPr="00DB3412">
        <w:rPr>
          <w:rFonts w:eastAsiaTheme="minorEastAsia"/>
          <w:lang w:val="en-AU" w:eastAsia="en-US"/>
        </w:rPr>
        <w:t xml:space="preserve"> or the overall availability of groundwater. This section discusses the approach that has been taken to estimating and evaluating changes in groundwater level. In the case of groundwater resources, an impact can occur as a result of changing the pressure surface (or groundwater level) within the aquifer itself.</w:t>
      </w:r>
    </w:p>
    <w:p w14:paraId="7E9951D9" w14:textId="6E00C571" w:rsidR="00DB3412" w:rsidRPr="00DB3412" w:rsidRDefault="00DB3412">
      <w:pPr>
        <w:rPr>
          <w:rFonts w:eastAsiaTheme="minorEastAsia"/>
          <w:lang w:val="en-AU" w:eastAsia="en-US"/>
        </w:rPr>
      </w:pPr>
      <w:r w:rsidRPr="00DB3412">
        <w:rPr>
          <w:rFonts w:eastAsiaTheme="minorEastAsia"/>
          <w:lang w:val="en-AU" w:eastAsia="en-US"/>
        </w:rPr>
        <w:t>A water level change outside a gas source formation can occur if water moves from the aquifers into the gas source formation. This movement would in turn be driven by pressure reduction in the source formation by gas (and any coproduced water) extraction. A change in water level in aquifers is normally expressed as drawdown, or a change in the pressure level in an aquifer.</w:t>
      </w:r>
      <w:r w:rsidR="009A72C5">
        <w:rPr>
          <w:rFonts w:eastAsiaTheme="minorEastAsia"/>
          <w:lang w:val="en-AU" w:eastAsia="en-US"/>
        </w:rPr>
        <w:t xml:space="preserve"> </w:t>
      </w:r>
      <w:r w:rsidRPr="00DB3412">
        <w:rPr>
          <w:rFonts w:eastAsiaTheme="minorEastAsia"/>
          <w:lang w:val="en-AU" w:eastAsia="en-US"/>
        </w:rPr>
        <w:t>In confined aquifers the pressure change is usually converted to a water elevation</w:t>
      </w:r>
      <w:r w:rsidR="00B35CFB">
        <w:rPr>
          <w:rFonts w:eastAsiaTheme="minorEastAsia"/>
          <w:lang w:val="en-AU" w:eastAsia="en-US"/>
        </w:rPr>
        <w:t>,</w:t>
      </w:r>
      <w:r w:rsidRPr="00DB3412">
        <w:rPr>
          <w:rFonts w:eastAsiaTheme="minorEastAsia"/>
          <w:lang w:val="en-AU" w:eastAsia="en-US"/>
        </w:rPr>
        <w:t xml:space="preserve"> and the change in water elevation </w:t>
      </w:r>
      <w:r w:rsidR="0019043A">
        <w:rPr>
          <w:rFonts w:eastAsiaTheme="minorEastAsia"/>
          <w:lang w:val="en-AU" w:eastAsia="en-US"/>
        </w:rPr>
        <w:t xml:space="preserve">is </w:t>
      </w:r>
      <w:r w:rsidRPr="00DB3412">
        <w:rPr>
          <w:rFonts w:eastAsiaTheme="minorEastAsia"/>
          <w:lang w:val="en-AU" w:eastAsia="en-US"/>
        </w:rPr>
        <w:t>then expressed as drawdown. For example, in the watertable aquifer the drawdown would be expressed as the drop in the level of the watertable in metres. To assess the impact of gas development on water resources it is necessary to assess both the initial watertable elevation and depth to watertable, then combine these with the potential drawdown that may result from gas development.</w:t>
      </w:r>
    </w:p>
    <w:p w14:paraId="0BE4A21C" w14:textId="77777777" w:rsidR="00B35CFB" w:rsidRDefault="00B35CFB">
      <w:pPr>
        <w:spacing w:after="200"/>
        <w:rPr>
          <w:rFonts w:eastAsiaTheme="minorEastAsia"/>
          <w:lang w:val="en-AU" w:eastAsia="en-US"/>
        </w:rPr>
      </w:pPr>
      <w:r>
        <w:rPr>
          <w:rFonts w:eastAsiaTheme="minorEastAsia"/>
          <w:lang w:val="en-AU" w:eastAsia="en-US"/>
        </w:rPr>
        <w:br w:type="page"/>
      </w:r>
    </w:p>
    <w:p w14:paraId="5AE5DC74" w14:textId="2ED71245" w:rsidR="00DB3412" w:rsidRPr="00DB3412" w:rsidRDefault="00DB3412">
      <w:pPr>
        <w:rPr>
          <w:rFonts w:eastAsiaTheme="minorEastAsia"/>
          <w:lang w:val="en-AU" w:eastAsia="en-US"/>
        </w:rPr>
      </w:pPr>
      <w:r w:rsidRPr="00DB3412">
        <w:rPr>
          <w:rFonts w:eastAsiaTheme="minorEastAsia"/>
          <w:lang w:val="en-AU" w:eastAsia="en-US"/>
        </w:rPr>
        <w:t>For the impact assessment approach</w:t>
      </w:r>
      <w:r w:rsidR="0019043A">
        <w:rPr>
          <w:rFonts w:eastAsiaTheme="minorEastAsia"/>
          <w:lang w:val="en-AU" w:eastAsia="en-US"/>
        </w:rPr>
        <w:t>,</w:t>
      </w:r>
      <w:r w:rsidRPr="00DB3412">
        <w:rPr>
          <w:rFonts w:eastAsiaTheme="minorEastAsia"/>
          <w:lang w:val="en-AU" w:eastAsia="en-US"/>
        </w:rPr>
        <w:t xml:space="preserve"> the depth to watertable that was adopted is the published map for the whole of Victoria, developed by DEWLP and gridded across the state at 100</w:t>
      </w:r>
      <w:r w:rsidR="0019043A">
        <w:rPr>
          <w:rFonts w:eastAsiaTheme="minorEastAsia"/>
          <w:lang w:val="en-AU" w:eastAsia="en-US"/>
        </w:rPr>
        <w:t xml:space="preserve"> </w:t>
      </w:r>
      <w:r w:rsidRPr="00DB3412">
        <w:rPr>
          <w:rFonts w:eastAsiaTheme="minorEastAsia"/>
          <w:lang w:val="en-AU" w:eastAsia="en-US"/>
        </w:rPr>
        <w:t>m grid cells. This data set was adopted because:</w:t>
      </w:r>
    </w:p>
    <w:p w14:paraId="3F473A43" w14:textId="4E1AB737" w:rsidR="00DB3412" w:rsidRPr="00DB3412" w:rsidRDefault="000D3505" w:rsidP="000D3505">
      <w:pPr>
        <w:pStyle w:val="bulletlist0"/>
      </w:pPr>
      <w:r>
        <w:t>•</w:t>
      </w:r>
      <w:r>
        <w:tab/>
      </w:r>
      <w:r w:rsidR="00DB3412" w:rsidRPr="00DB3412">
        <w:t>it is uniformly available across the Otway study area</w:t>
      </w:r>
    </w:p>
    <w:p w14:paraId="2A92FA4D" w14:textId="71F3A506" w:rsidR="00DB3412" w:rsidRPr="00DB3412" w:rsidRDefault="000D3505" w:rsidP="000D3505">
      <w:pPr>
        <w:pStyle w:val="bulletlist0"/>
      </w:pPr>
      <w:r>
        <w:t>•</w:t>
      </w:r>
      <w:r>
        <w:tab/>
      </w:r>
      <w:r w:rsidR="00DB3412" w:rsidRPr="00DB3412">
        <w:t>it has been developed and approved for use in water resource assessment by DELWP</w:t>
      </w:r>
    </w:p>
    <w:p w14:paraId="63992D45" w14:textId="2E543BA8" w:rsidR="00DB3412" w:rsidRPr="00DB3412" w:rsidRDefault="000D3505" w:rsidP="000D3505">
      <w:pPr>
        <w:pStyle w:val="bulletlist0"/>
      </w:pPr>
      <w:r>
        <w:t>•</w:t>
      </w:r>
      <w:r>
        <w:tab/>
      </w:r>
      <w:r w:rsidR="00DB3412" w:rsidRPr="00DB3412">
        <w:t>it is consistent with other policy assessments undertaken by DELWP</w:t>
      </w:r>
    </w:p>
    <w:p w14:paraId="066A8CFB" w14:textId="2EA38460" w:rsidR="00DB3412" w:rsidRPr="00DB3412" w:rsidRDefault="000D3505" w:rsidP="000D3505">
      <w:pPr>
        <w:pStyle w:val="bulletlist0"/>
      </w:pPr>
      <w:r>
        <w:t>•</w:t>
      </w:r>
      <w:r>
        <w:tab/>
      </w:r>
      <w:r w:rsidR="0019043A">
        <w:t>u</w:t>
      </w:r>
      <w:r w:rsidR="0019043A" w:rsidRPr="00DB3412">
        <w:t xml:space="preserve">ncertainty </w:t>
      </w:r>
      <w:r w:rsidR="00DB3412" w:rsidRPr="00DB3412">
        <w:t xml:space="preserve">in the data set is </w:t>
      </w:r>
      <w:r w:rsidR="00A76D25">
        <w:t>a</w:t>
      </w:r>
      <w:r w:rsidR="00DB3412" w:rsidRPr="00DB3412">
        <w:t>cceptable for this policy</w:t>
      </w:r>
      <w:r w:rsidR="00B35CFB">
        <w:t>-</w:t>
      </w:r>
      <w:r w:rsidR="00DB3412" w:rsidRPr="00DB3412">
        <w:t>level impact assessment.</w:t>
      </w:r>
    </w:p>
    <w:p w14:paraId="5D32480F" w14:textId="77777777" w:rsidR="00BA3185" w:rsidRDefault="00DB3412" w:rsidP="00BA3185">
      <w:pPr>
        <w:pStyle w:val="CommentText"/>
      </w:pPr>
      <w:r w:rsidRPr="00DB3412">
        <w:t>For an estimate of drawdown, no existing drawdown data set (i</w:t>
      </w:r>
      <w:r w:rsidR="00DC1B06">
        <w:t>.</w:t>
      </w:r>
      <w:r w:rsidRPr="00DB3412">
        <w:t>e</w:t>
      </w:r>
      <w:r w:rsidR="00DC1B06">
        <w:t>.</w:t>
      </w:r>
      <w:r w:rsidRPr="00DB3412">
        <w:t xml:space="preserve"> from a numerical model) was identified </w:t>
      </w:r>
      <w:r w:rsidR="00CA48DF">
        <w:t xml:space="preserve">as </w:t>
      </w:r>
      <w:r w:rsidRPr="00DB3412">
        <w:t xml:space="preserve">suitable and considered the development of </w:t>
      </w:r>
      <w:r w:rsidRPr="00A75643">
        <w:t>onshore</w:t>
      </w:r>
      <w:r w:rsidRPr="00DB3412">
        <w:t xml:space="preserve"> gas</w:t>
      </w:r>
      <w:r w:rsidR="00F731EA">
        <w:t>, so a</w:t>
      </w:r>
      <w:r w:rsidRPr="00DB3412">
        <w:t xml:space="preserve"> specific assessment was required for this study.</w:t>
      </w:r>
      <w:r w:rsidR="00DC1B06">
        <w:t xml:space="preserve"> </w:t>
      </w:r>
      <w:r w:rsidR="00BA3185">
        <w:t>Unfortunately the information currently available for the Otway Basin is insufficient for developing a regional numerical model. As a result a more pragmatic ‘block model’ approach has been used. A full description of this approach is provided in Appendix B.</w:t>
      </w:r>
    </w:p>
    <w:p w14:paraId="43700572" w14:textId="71596867" w:rsidR="00880CD3" w:rsidRPr="00854BC9" w:rsidRDefault="00B35CFB" w:rsidP="00DB3412">
      <w:pPr>
        <w:pStyle w:val="Head3xxx"/>
      </w:pPr>
      <w:bookmarkStart w:id="355" w:name="_Toc420568689"/>
      <w:bookmarkStart w:id="356" w:name="_Toc420570271"/>
      <w:bookmarkStart w:id="357" w:name="_Toc420571467"/>
      <w:bookmarkStart w:id="358" w:name="_Toc420572105"/>
      <w:bookmarkStart w:id="359" w:name="_Toc296766962"/>
      <w:r>
        <w:t>3.2.6</w:t>
      </w:r>
      <w:r>
        <w:tab/>
      </w:r>
      <w:r w:rsidR="00880CD3">
        <w:t xml:space="preserve">Assessment </w:t>
      </w:r>
      <w:r w:rsidR="00880CD3" w:rsidRPr="00854BC9">
        <w:t xml:space="preserve">of </w:t>
      </w:r>
      <w:r w:rsidR="00880CD3">
        <w:t>overall potential impact</w:t>
      </w:r>
      <w:bookmarkEnd w:id="355"/>
      <w:bookmarkEnd w:id="356"/>
      <w:bookmarkEnd w:id="357"/>
      <w:bookmarkEnd w:id="358"/>
      <w:bookmarkEnd w:id="359"/>
    </w:p>
    <w:p w14:paraId="3B8DBB3C" w14:textId="1D13F0C4" w:rsidR="00880CD3" w:rsidRPr="00854BC9" w:rsidRDefault="00880CD3" w:rsidP="00880CD3">
      <w:pPr>
        <w:pStyle w:val="Para0"/>
      </w:pPr>
      <w:r w:rsidRPr="00854BC9">
        <w:t xml:space="preserve">The </w:t>
      </w:r>
      <w:r>
        <w:t>potential impact</w:t>
      </w:r>
      <w:r w:rsidRPr="00854BC9">
        <w:t xml:space="preserve"> to a </w:t>
      </w:r>
      <w:r>
        <w:t xml:space="preserve">receptor </w:t>
      </w:r>
      <w:r w:rsidRPr="00854BC9">
        <w:t xml:space="preserve">from aquifer depressurisation is based on the </w:t>
      </w:r>
      <w:r>
        <w:t xml:space="preserve">potential for </w:t>
      </w:r>
      <w:r w:rsidRPr="00854BC9">
        <w:t xml:space="preserve">the receptor </w:t>
      </w:r>
      <w:r>
        <w:t xml:space="preserve">class to </w:t>
      </w:r>
      <w:r w:rsidRPr="00854BC9">
        <w:t xml:space="preserve">be connected to groundwater (represented by depth to watertable in </w:t>
      </w:r>
      <w:r>
        <w:t>metres</w:t>
      </w:r>
      <w:r w:rsidRPr="00854BC9">
        <w:t xml:space="preserve">) and the </w:t>
      </w:r>
      <w:r>
        <w:t>potential effect of aquifer depressurisation</w:t>
      </w:r>
      <w:r w:rsidRPr="00854BC9">
        <w:t xml:space="preserve"> (represented by </w:t>
      </w:r>
      <w:r>
        <w:t xml:space="preserve">predicted </w:t>
      </w:r>
      <w:r w:rsidRPr="00854BC9">
        <w:t xml:space="preserve">drawdown in </w:t>
      </w:r>
      <w:r>
        <w:t>metres</w:t>
      </w:r>
      <w:r w:rsidRPr="00854BC9">
        <w:t xml:space="preserve">). </w:t>
      </w:r>
    </w:p>
    <w:p w14:paraId="4754B7F3" w14:textId="5435276B" w:rsidR="00880CD3" w:rsidRPr="00854BC9" w:rsidRDefault="00880CD3" w:rsidP="00880CD3">
      <w:pPr>
        <w:pStyle w:val="Para0"/>
      </w:pPr>
      <w:r w:rsidRPr="00854BC9">
        <w:t xml:space="preserve">The </w:t>
      </w:r>
      <w:r>
        <w:t>impact</w:t>
      </w:r>
      <w:r w:rsidRPr="00854BC9">
        <w:t xml:space="preserve"> matrix showing the combinations of </w:t>
      </w:r>
      <w:r>
        <w:t>potential connection</w:t>
      </w:r>
      <w:r w:rsidRPr="00854BC9">
        <w:t xml:space="preserve"> and </w:t>
      </w:r>
      <w:r>
        <w:t>effect of aquifer depressurisation</w:t>
      </w:r>
      <w:r w:rsidRPr="00854BC9">
        <w:t xml:space="preserve"> to evaluate </w:t>
      </w:r>
      <w:r>
        <w:t>overall potential impact</w:t>
      </w:r>
      <w:r w:rsidRPr="00854BC9">
        <w:t xml:space="preserve"> is presented in </w:t>
      </w:r>
      <w:r w:rsidR="00A75643">
        <w:rPr>
          <w:highlight w:val="yellow"/>
        </w:rPr>
        <w:fldChar w:fldCharType="begin"/>
      </w:r>
      <w:r w:rsidR="00A75643">
        <w:instrText xml:space="preserve"> REF _Ref416353019 \h </w:instrText>
      </w:r>
      <w:r w:rsidR="00A75643">
        <w:rPr>
          <w:highlight w:val="yellow"/>
        </w:rPr>
      </w:r>
      <w:r w:rsidR="00A75643">
        <w:rPr>
          <w:highlight w:val="yellow"/>
        </w:rPr>
        <w:fldChar w:fldCharType="separate"/>
      </w:r>
      <w:r w:rsidR="00171A5E" w:rsidRPr="00854BC9">
        <w:t xml:space="preserve">Figure </w:t>
      </w:r>
      <w:r w:rsidR="00171A5E">
        <w:rPr>
          <w:noProof/>
        </w:rPr>
        <w:t>30</w:t>
      </w:r>
      <w:r w:rsidR="00A75643">
        <w:rPr>
          <w:highlight w:val="yellow"/>
        </w:rPr>
        <w:fldChar w:fldCharType="end"/>
      </w:r>
      <w:r w:rsidR="00A75643">
        <w:t>.</w:t>
      </w:r>
      <w:r w:rsidR="009A72C5">
        <w:t xml:space="preserve"> </w:t>
      </w:r>
      <w:r w:rsidRPr="00854BC9">
        <w:t xml:space="preserve">If a </w:t>
      </w:r>
      <w:r>
        <w:t>receptor</w:t>
      </w:r>
      <w:r w:rsidRPr="00854BC9">
        <w:t xml:space="preserve"> </w:t>
      </w:r>
      <w:r>
        <w:t xml:space="preserve">class </w:t>
      </w:r>
      <w:r w:rsidRPr="00854BC9">
        <w:t xml:space="preserve">has a low </w:t>
      </w:r>
      <w:r>
        <w:t>potential connection</w:t>
      </w:r>
      <w:r w:rsidRPr="00854BC9">
        <w:t xml:space="preserve"> </w:t>
      </w:r>
      <w:r>
        <w:t xml:space="preserve">to groundwater </w:t>
      </w:r>
      <w:r w:rsidRPr="00854BC9">
        <w:t xml:space="preserve">(deep watertable) and </w:t>
      </w:r>
      <w:r>
        <w:t xml:space="preserve">drawdown is predicted to be </w:t>
      </w:r>
      <w:r w:rsidRPr="00854BC9">
        <w:t>low</w:t>
      </w:r>
      <w:r>
        <w:t xml:space="preserve">, </w:t>
      </w:r>
      <w:r w:rsidRPr="00854BC9">
        <w:t xml:space="preserve">the </w:t>
      </w:r>
      <w:r>
        <w:t xml:space="preserve">potential impact </w:t>
      </w:r>
      <w:r w:rsidRPr="00854BC9">
        <w:t xml:space="preserve">to the </w:t>
      </w:r>
      <w:r>
        <w:t>receptor</w:t>
      </w:r>
      <w:r w:rsidRPr="00854BC9">
        <w:t xml:space="preserve"> </w:t>
      </w:r>
      <w:r>
        <w:t xml:space="preserve">class is </w:t>
      </w:r>
      <w:r w:rsidRPr="00854BC9">
        <w:t>low.</w:t>
      </w:r>
      <w:r w:rsidR="009A72C5">
        <w:t xml:space="preserve"> </w:t>
      </w:r>
      <w:r w:rsidRPr="00854BC9">
        <w:t xml:space="preserve">Conversely, the </w:t>
      </w:r>
      <w:r>
        <w:t>potential impact</w:t>
      </w:r>
      <w:r w:rsidRPr="00854BC9">
        <w:t xml:space="preserve"> to a </w:t>
      </w:r>
      <w:r>
        <w:t>receptor</w:t>
      </w:r>
      <w:r w:rsidRPr="00854BC9">
        <w:t xml:space="preserve"> </w:t>
      </w:r>
      <w:r>
        <w:t xml:space="preserve">class </w:t>
      </w:r>
      <w:r w:rsidRPr="00854BC9">
        <w:t xml:space="preserve">with </w:t>
      </w:r>
      <w:r>
        <w:t>high connection (</w:t>
      </w:r>
      <w:r w:rsidRPr="00854BC9">
        <w:t>shallow watertable</w:t>
      </w:r>
      <w:r>
        <w:t>)</w:t>
      </w:r>
      <w:r w:rsidRPr="00854BC9">
        <w:t xml:space="preserve"> and a high </w:t>
      </w:r>
      <w:r>
        <w:t>potential drawdown</w:t>
      </w:r>
      <w:r w:rsidR="00CA48DF">
        <w:t>,</w:t>
      </w:r>
      <w:r w:rsidRPr="00854BC9">
        <w:t xml:space="preserve"> will be high.</w:t>
      </w:r>
      <w:r w:rsidR="009A72C5">
        <w:t xml:space="preserve"> </w:t>
      </w:r>
    </w:p>
    <w:p w14:paraId="1821C63D" w14:textId="752EF563" w:rsidR="00880CD3" w:rsidRPr="00854BC9" w:rsidRDefault="00880CD3" w:rsidP="00880CD3">
      <w:pPr>
        <w:pStyle w:val="Para0"/>
      </w:pPr>
      <w:r w:rsidRPr="00854BC9">
        <w:t xml:space="preserve">The </w:t>
      </w:r>
      <w:r>
        <w:t xml:space="preserve">potential impacts </w:t>
      </w:r>
      <w:r w:rsidRPr="00854BC9">
        <w:t xml:space="preserve">to </w:t>
      </w:r>
      <w:r>
        <w:t>receptor classes</w:t>
      </w:r>
      <w:r w:rsidRPr="00854BC9">
        <w:t xml:space="preserve"> have been assessed for </w:t>
      </w:r>
      <w:r>
        <w:t>hypothetical</w:t>
      </w:r>
      <w:r w:rsidRPr="00854BC9">
        <w:t xml:space="preserve"> gas field development</w:t>
      </w:r>
      <w:r>
        <w:t xml:space="preserve"> scenarios</w:t>
      </w:r>
      <w:r w:rsidRPr="00854BC9">
        <w:t xml:space="preserve"> over a timeframe of 30 years, as this is an indicative project life cycle </w:t>
      </w:r>
      <w:r w:rsidR="00CA48DF">
        <w:t xml:space="preserve">for </w:t>
      </w:r>
      <w:r w:rsidRPr="00854BC9">
        <w:t xml:space="preserve">possible future natural gas developments. Different </w:t>
      </w:r>
      <w:r>
        <w:t>potential effects</w:t>
      </w:r>
      <w:r w:rsidRPr="00854BC9">
        <w:t xml:space="preserve"> may result if a longer time frame was to be used.</w:t>
      </w:r>
    </w:p>
    <w:p w14:paraId="62BEC748" w14:textId="198F3F92" w:rsidR="00880CD3" w:rsidRDefault="00880CD3">
      <w:r>
        <w:t xml:space="preserve">The results are presented in summary figures in this report. The full set of </w:t>
      </w:r>
      <w:r w:rsidR="001D269E">
        <w:t xml:space="preserve">maps of </w:t>
      </w:r>
      <w:r>
        <w:t>potential connection, effect and overall impact</w:t>
      </w:r>
      <w:r w:rsidR="00CA48DF">
        <w:t>,</w:t>
      </w:r>
      <w:r>
        <w:t xml:space="preserve"> is</w:t>
      </w:r>
      <w:r w:rsidR="001D269E">
        <w:t xml:space="preserve"> provided in Appendix </w:t>
      </w:r>
      <w:r w:rsidR="001B6CF1">
        <w:t>C</w:t>
      </w:r>
      <w:r>
        <w:t>.</w:t>
      </w:r>
    </w:p>
    <w:p w14:paraId="4BF00D0B" w14:textId="1C5B1687" w:rsidR="00880CD3" w:rsidRDefault="00880CD3"/>
    <w:tbl>
      <w:tblPr>
        <w:tblStyle w:val="TableGrid5"/>
        <w:tblW w:w="0" w:type="auto"/>
        <w:jc w:val="center"/>
        <w:tblLook w:val="04A0" w:firstRow="1" w:lastRow="0" w:firstColumn="1" w:lastColumn="0" w:noHBand="0" w:noVBand="1"/>
      </w:tblPr>
      <w:tblGrid>
        <w:gridCol w:w="2333"/>
        <w:gridCol w:w="2391"/>
        <w:gridCol w:w="1559"/>
        <w:gridCol w:w="1701"/>
        <w:gridCol w:w="1621"/>
      </w:tblGrid>
      <w:tr w:rsidR="00880CD3" w:rsidRPr="00F731EA" w14:paraId="326C8D16" w14:textId="77777777" w:rsidTr="00F731EA">
        <w:trPr>
          <w:jc w:val="center"/>
        </w:trPr>
        <w:tc>
          <w:tcPr>
            <w:tcW w:w="2333" w:type="dxa"/>
            <w:vMerge w:val="restart"/>
            <w:tcBorders>
              <w:top w:val="nil"/>
              <w:left w:val="nil"/>
              <w:bottom w:val="nil"/>
              <w:right w:val="nil"/>
            </w:tcBorders>
            <w:vAlign w:val="center"/>
          </w:tcPr>
          <w:p w14:paraId="53312A73"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b/>
                <w:sz w:val="20"/>
                <w:szCs w:val="20"/>
                <w:lang w:val="en-AU"/>
              </w:rPr>
              <w:t>Connection between receptor class and groundwater</w:t>
            </w:r>
          </w:p>
        </w:tc>
        <w:tc>
          <w:tcPr>
            <w:tcW w:w="2391" w:type="dxa"/>
            <w:tcBorders>
              <w:top w:val="nil"/>
              <w:left w:val="nil"/>
              <w:bottom w:val="nil"/>
              <w:right w:val="single" w:sz="4" w:space="0" w:color="auto"/>
            </w:tcBorders>
            <w:vAlign w:val="center"/>
          </w:tcPr>
          <w:p w14:paraId="2036543F"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 xml:space="preserve">High </w:t>
            </w:r>
          </w:p>
        </w:tc>
        <w:tc>
          <w:tcPr>
            <w:tcW w:w="1559" w:type="dxa"/>
            <w:tcBorders>
              <w:top w:val="single" w:sz="4" w:space="0" w:color="auto"/>
              <w:left w:val="single" w:sz="4" w:space="0" w:color="auto"/>
              <w:bottom w:val="single" w:sz="4" w:space="0" w:color="auto"/>
              <w:right w:val="single" w:sz="4" w:space="0" w:color="auto"/>
            </w:tcBorders>
            <w:shd w:val="clear" w:color="auto" w:fill="F0F4D2" w:themeFill="text2" w:themeFillTint="33"/>
            <w:vAlign w:val="center"/>
          </w:tcPr>
          <w:p w14:paraId="5F4ABFE3"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HC / LD</w:t>
            </w:r>
          </w:p>
        </w:tc>
        <w:tc>
          <w:tcPr>
            <w:tcW w:w="1701" w:type="dxa"/>
            <w:tcBorders>
              <w:top w:val="single" w:sz="4" w:space="0" w:color="auto"/>
              <w:left w:val="single" w:sz="4" w:space="0" w:color="auto"/>
              <w:bottom w:val="single" w:sz="4" w:space="0" w:color="auto"/>
              <w:right w:val="single" w:sz="4" w:space="0" w:color="auto"/>
            </w:tcBorders>
            <w:shd w:val="clear" w:color="auto" w:fill="D2A29E"/>
            <w:vAlign w:val="center"/>
          </w:tcPr>
          <w:p w14:paraId="51B060D9" w14:textId="77777777" w:rsidR="00880CD3" w:rsidRPr="00F731EA" w:rsidRDefault="00880CD3" w:rsidP="00F731EA">
            <w:pPr>
              <w:spacing w:before="40" w:after="40"/>
              <w:rPr>
                <w:rFonts w:eastAsia="Times New Roman"/>
                <w:sz w:val="20"/>
                <w:szCs w:val="20"/>
                <w:lang w:val="en-AU" w:eastAsia="en-AU"/>
              </w:rPr>
            </w:pPr>
            <w:r w:rsidRPr="00F731EA">
              <w:rPr>
                <w:sz w:val="20"/>
                <w:szCs w:val="20"/>
                <w:lang w:val="en-AU"/>
              </w:rPr>
              <w:t>HC / MD</w:t>
            </w:r>
          </w:p>
        </w:tc>
        <w:tc>
          <w:tcPr>
            <w:tcW w:w="1621" w:type="dxa"/>
            <w:tcBorders>
              <w:top w:val="single" w:sz="4" w:space="0" w:color="auto"/>
              <w:left w:val="single" w:sz="4" w:space="0" w:color="auto"/>
              <w:bottom w:val="single" w:sz="4" w:space="0" w:color="auto"/>
              <w:right w:val="single" w:sz="4" w:space="0" w:color="auto"/>
            </w:tcBorders>
            <w:shd w:val="clear" w:color="auto" w:fill="FF0000"/>
            <w:vAlign w:val="center"/>
          </w:tcPr>
          <w:p w14:paraId="7680488F"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HC / HD</w:t>
            </w:r>
          </w:p>
        </w:tc>
      </w:tr>
      <w:tr w:rsidR="00880CD3" w:rsidRPr="00F731EA" w14:paraId="4CAE152D" w14:textId="77777777" w:rsidTr="00F731EA">
        <w:trPr>
          <w:jc w:val="center"/>
        </w:trPr>
        <w:tc>
          <w:tcPr>
            <w:tcW w:w="2333" w:type="dxa"/>
            <w:vMerge/>
            <w:tcBorders>
              <w:top w:val="nil"/>
              <w:left w:val="nil"/>
              <w:bottom w:val="nil"/>
              <w:right w:val="nil"/>
            </w:tcBorders>
            <w:vAlign w:val="center"/>
          </w:tcPr>
          <w:p w14:paraId="096D57A4" w14:textId="77777777" w:rsidR="00880CD3" w:rsidRPr="00F731EA" w:rsidRDefault="00880CD3" w:rsidP="00F731EA">
            <w:pPr>
              <w:spacing w:before="40" w:after="40"/>
              <w:rPr>
                <w:sz w:val="20"/>
                <w:szCs w:val="20"/>
                <w:lang w:val="en-AU"/>
              </w:rPr>
            </w:pPr>
          </w:p>
        </w:tc>
        <w:tc>
          <w:tcPr>
            <w:tcW w:w="2391" w:type="dxa"/>
            <w:tcBorders>
              <w:top w:val="nil"/>
              <w:left w:val="nil"/>
              <w:bottom w:val="nil"/>
              <w:right w:val="single" w:sz="4" w:space="0" w:color="auto"/>
            </w:tcBorders>
            <w:vAlign w:val="center"/>
          </w:tcPr>
          <w:p w14:paraId="42C7EF77"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 xml:space="preserve">Moderate </w:t>
            </w:r>
          </w:p>
        </w:tc>
        <w:tc>
          <w:tcPr>
            <w:tcW w:w="1559" w:type="dxa"/>
            <w:tcBorders>
              <w:top w:val="single" w:sz="4" w:space="0" w:color="auto"/>
              <w:left w:val="single" w:sz="4" w:space="0" w:color="auto"/>
              <w:bottom w:val="single" w:sz="4" w:space="0" w:color="auto"/>
              <w:right w:val="single" w:sz="4" w:space="0" w:color="auto"/>
            </w:tcBorders>
            <w:shd w:val="clear" w:color="auto" w:fill="C1D090"/>
            <w:vAlign w:val="center"/>
          </w:tcPr>
          <w:p w14:paraId="0B3A8D9D"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MC / LD</w:t>
            </w:r>
          </w:p>
        </w:tc>
        <w:tc>
          <w:tcPr>
            <w:tcW w:w="1701" w:type="dxa"/>
            <w:tcBorders>
              <w:top w:val="single" w:sz="4" w:space="0" w:color="auto"/>
              <w:left w:val="single" w:sz="4" w:space="0" w:color="auto"/>
              <w:bottom w:val="single" w:sz="4" w:space="0" w:color="auto"/>
              <w:right w:val="single" w:sz="4" w:space="0" w:color="auto"/>
            </w:tcBorders>
            <w:shd w:val="clear" w:color="auto" w:fill="F5D9A1"/>
            <w:vAlign w:val="center"/>
          </w:tcPr>
          <w:p w14:paraId="60576A4B"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MC / MD</w:t>
            </w:r>
          </w:p>
        </w:tc>
        <w:tc>
          <w:tcPr>
            <w:tcW w:w="1621" w:type="dxa"/>
            <w:tcBorders>
              <w:top w:val="single" w:sz="4" w:space="0" w:color="auto"/>
              <w:left w:val="single" w:sz="4" w:space="0" w:color="auto"/>
              <w:bottom w:val="single" w:sz="4" w:space="0" w:color="auto"/>
              <w:right w:val="single" w:sz="4" w:space="0" w:color="auto"/>
            </w:tcBorders>
            <w:shd w:val="clear" w:color="auto" w:fill="D2A29E"/>
            <w:vAlign w:val="center"/>
          </w:tcPr>
          <w:p w14:paraId="1495AA2C"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MC / HD</w:t>
            </w:r>
          </w:p>
        </w:tc>
      </w:tr>
      <w:tr w:rsidR="00880CD3" w:rsidRPr="00F731EA" w14:paraId="1F6988AE" w14:textId="77777777" w:rsidTr="00F731EA">
        <w:trPr>
          <w:jc w:val="center"/>
        </w:trPr>
        <w:tc>
          <w:tcPr>
            <w:tcW w:w="2333" w:type="dxa"/>
            <w:vMerge/>
            <w:tcBorders>
              <w:top w:val="nil"/>
              <w:left w:val="nil"/>
              <w:bottom w:val="nil"/>
              <w:right w:val="nil"/>
            </w:tcBorders>
            <w:vAlign w:val="center"/>
          </w:tcPr>
          <w:p w14:paraId="4D6F4C38" w14:textId="77777777" w:rsidR="00880CD3" w:rsidRPr="00F731EA" w:rsidRDefault="00880CD3" w:rsidP="00F731EA">
            <w:pPr>
              <w:spacing w:before="40" w:after="40"/>
              <w:rPr>
                <w:sz w:val="20"/>
                <w:szCs w:val="20"/>
                <w:lang w:val="en-AU"/>
              </w:rPr>
            </w:pPr>
          </w:p>
        </w:tc>
        <w:tc>
          <w:tcPr>
            <w:tcW w:w="2391" w:type="dxa"/>
            <w:tcBorders>
              <w:top w:val="nil"/>
              <w:left w:val="nil"/>
              <w:bottom w:val="nil"/>
              <w:right w:val="single" w:sz="4" w:space="0" w:color="auto"/>
            </w:tcBorders>
            <w:vAlign w:val="center"/>
          </w:tcPr>
          <w:p w14:paraId="41CBD743"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 xml:space="preserve">Low </w:t>
            </w:r>
          </w:p>
        </w:tc>
        <w:tc>
          <w:tcPr>
            <w:tcW w:w="1559" w:type="dxa"/>
            <w:tcBorders>
              <w:top w:val="single" w:sz="4" w:space="0" w:color="auto"/>
              <w:left w:val="single" w:sz="4" w:space="0" w:color="auto"/>
              <w:bottom w:val="single" w:sz="4" w:space="0" w:color="auto"/>
              <w:right w:val="single" w:sz="4" w:space="0" w:color="auto"/>
            </w:tcBorders>
            <w:shd w:val="clear" w:color="auto" w:fill="92D050"/>
            <w:vAlign w:val="center"/>
          </w:tcPr>
          <w:p w14:paraId="440DF3CA" w14:textId="0417ADE2" w:rsidR="00880CD3" w:rsidRPr="00F731EA" w:rsidRDefault="001D269E" w:rsidP="00F731EA">
            <w:pPr>
              <w:spacing w:before="40" w:after="40"/>
              <w:rPr>
                <w:rFonts w:eastAsia="Times New Roman" w:cs="Arial"/>
                <w:bCs/>
                <w:iCs/>
                <w:color w:val="AEC12D"/>
                <w:sz w:val="20"/>
                <w:szCs w:val="20"/>
                <w:lang w:val="en-AU" w:eastAsia="en-AU"/>
              </w:rPr>
            </w:pPr>
            <w:r w:rsidRPr="00F731EA">
              <w:rPr>
                <w:sz w:val="20"/>
                <w:szCs w:val="20"/>
                <w:lang w:val="en-AU"/>
              </w:rPr>
              <w:t>LD</w:t>
            </w:r>
            <w:r w:rsidR="00880CD3" w:rsidRPr="00F731EA">
              <w:rPr>
                <w:sz w:val="20"/>
                <w:szCs w:val="20"/>
                <w:lang w:val="en-AU"/>
              </w:rPr>
              <w:t xml:space="preserve"> / LD</w:t>
            </w:r>
          </w:p>
        </w:tc>
        <w:tc>
          <w:tcPr>
            <w:tcW w:w="1701" w:type="dxa"/>
            <w:tcBorders>
              <w:top w:val="single" w:sz="4" w:space="0" w:color="auto"/>
              <w:left w:val="single" w:sz="4" w:space="0" w:color="auto"/>
              <w:bottom w:val="single" w:sz="4" w:space="0" w:color="auto"/>
              <w:right w:val="single" w:sz="4" w:space="0" w:color="auto"/>
            </w:tcBorders>
            <w:shd w:val="clear" w:color="auto" w:fill="C1D090"/>
            <w:vAlign w:val="center"/>
          </w:tcPr>
          <w:p w14:paraId="664E6D0A" w14:textId="2A6D4FB9" w:rsidR="00880CD3" w:rsidRPr="00F731EA" w:rsidRDefault="001D269E" w:rsidP="00F731EA">
            <w:pPr>
              <w:spacing w:before="40" w:after="40"/>
              <w:rPr>
                <w:rFonts w:eastAsia="Times New Roman" w:cs="Arial"/>
                <w:bCs/>
                <w:iCs/>
                <w:color w:val="AEC12D"/>
                <w:sz w:val="20"/>
                <w:szCs w:val="20"/>
                <w:lang w:val="en-AU" w:eastAsia="en-AU"/>
              </w:rPr>
            </w:pPr>
            <w:r w:rsidRPr="00F731EA">
              <w:rPr>
                <w:sz w:val="20"/>
                <w:szCs w:val="20"/>
                <w:lang w:val="en-AU"/>
              </w:rPr>
              <w:t>LD</w:t>
            </w:r>
            <w:r w:rsidR="00880CD3" w:rsidRPr="00F731EA">
              <w:rPr>
                <w:sz w:val="20"/>
                <w:szCs w:val="20"/>
                <w:lang w:val="en-AU"/>
              </w:rPr>
              <w:t xml:space="preserve"> / MD</w:t>
            </w:r>
          </w:p>
        </w:tc>
        <w:tc>
          <w:tcPr>
            <w:tcW w:w="1621" w:type="dxa"/>
            <w:tcBorders>
              <w:top w:val="single" w:sz="4" w:space="0" w:color="auto"/>
              <w:left w:val="single" w:sz="4" w:space="0" w:color="auto"/>
              <w:bottom w:val="single" w:sz="4" w:space="0" w:color="auto"/>
              <w:right w:val="single" w:sz="4" w:space="0" w:color="auto"/>
            </w:tcBorders>
            <w:shd w:val="clear" w:color="auto" w:fill="EEF3CB" w:themeFill="background2" w:themeFillTint="66"/>
            <w:vAlign w:val="center"/>
          </w:tcPr>
          <w:p w14:paraId="69B9FE9C" w14:textId="6E93DC44" w:rsidR="00880CD3" w:rsidRPr="00F731EA" w:rsidRDefault="001D269E" w:rsidP="00F731EA">
            <w:pPr>
              <w:spacing w:before="40" w:after="40"/>
              <w:rPr>
                <w:rFonts w:eastAsia="Times New Roman" w:cs="Arial"/>
                <w:bCs/>
                <w:iCs/>
                <w:color w:val="AEC12D"/>
                <w:sz w:val="20"/>
                <w:szCs w:val="20"/>
                <w:lang w:val="en-AU" w:eastAsia="en-AU"/>
              </w:rPr>
            </w:pPr>
            <w:r w:rsidRPr="00F731EA">
              <w:rPr>
                <w:sz w:val="20"/>
                <w:szCs w:val="20"/>
                <w:lang w:val="en-AU"/>
              </w:rPr>
              <w:t>LD</w:t>
            </w:r>
            <w:r w:rsidR="00880CD3" w:rsidRPr="00F731EA">
              <w:rPr>
                <w:sz w:val="20"/>
                <w:szCs w:val="20"/>
                <w:lang w:val="en-AU"/>
              </w:rPr>
              <w:t xml:space="preserve"> / HD</w:t>
            </w:r>
          </w:p>
        </w:tc>
      </w:tr>
      <w:tr w:rsidR="00880CD3" w:rsidRPr="00F731EA" w14:paraId="056FD5E1" w14:textId="77777777" w:rsidTr="00F731EA">
        <w:trPr>
          <w:jc w:val="center"/>
        </w:trPr>
        <w:tc>
          <w:tcPr>
            <w:tcW w:w="2333" w:type="dxa"/>
            <w:tcBorders>
              <w:top w:val="nil"/>
              <w:left w:val="nil"/>
              <w:bottom w:val="nil"/>
              <w:right w:val="nil"/>
            </w:tcBorders>
            <w:vAlign w:val="center"/>
          </w:tcPr>
          <w:p w14:paraId="2EAD452B" w14:textId="77777777" w:rsidR="00880CD3" w:rsidRPr="00F731EA" w:rsidRDefault="00880CD3" w:rsidP="00F731EA">
            <w:pPr>
              <w:spacing w:before="40" w:after="40"/>
              <w:rPr>
                <w:sz w:val="20"/>
                <w:szCs w:val="20"/>
                <w:lang w:val="en-AU"/>
              </w:rPr>
            </w:pPr>
          </w:p>
        </w:tc>
        <w:tc>
          <w:tcPr>
            <w:tcW w:w="2391" w:type="dxa"/>
            <w:tcBorders>
              <w:top w:val="nil"/>
              <w:left w:val="nil"/>
              <w:bottom w:val="nil"/>
              <w:right w:val="nil"/>
            </w:tcBorders>
            <w:vAlign w:val="center"/>
          </w:tcPr>
          <w:p w14:paraId="484340D0" w14:textId="77777777" w:rsidR="00880CD3" w:rsidRPr="00F731EA" w:rsidRDefault="00880CD3" w:rsidP="00F731EA">
            <w:pPr>
              <w:spacing w:before="40" w:after="40"/>
              <w:rPr>
                <w:sz w:val="20"/>
                <w:szCs w:val="20"/>
                <w:lang w:val="en-AU"/>
              </w:rPr>
            </w:pPr>
          </w:p>
        </w:tc>
        <w:tc>
          <w:tcPr>
            <w:tcW w:w="1559" w:type="dxa"/>
            <w:tcBorders>
              <w:top w:val="single" w:sz="4" w:space="0" w:color="auto"/>
              <w:left w:val="nil"/>
              <w:bottom w:val="nil"/>
              <w:right w:val="nil"/>
            </w:tcBorders>
            <w:vAlign w:val="center"/>
          </w:tcPr>
          <w:p w14:paraId="571A3C42"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 xml:space="preserve">Low </w:t>
            </w:r>
          </w:p>
        </w:tc>
        <w:tc>
          <w:tcPr>
            <w:tcW w:w="1701" w:type="dxa"/>
            <w:tcBorders>
              <w:top w:val="single" w:sz="4" w:space="0" w:color="auto"/>
              <w:left w:val="nil"/>
              <w:bottom w:val="nil"/>
              <w:right w:val="nil"/>
            </w:tcBorders>
            <w:vAlign w:val="center"/>
          </w:tcPr>
          <w:p w14:paraId="2486A1DF"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 xml:space="preserve">Moderate </w:t>
            </w:r>
          </w:p>
        </w:tc>
        <w:tc>
          <w:tcPr>
            <w:tcW w:w="1621" w:type="dxa"/>
            <w:tcBorders>
              <w:top w:val="single" w:sz="4" w:space="0" w:color="auto"/>
              <w:left w:val="nil"/>
              <w:bottom w:val="nil"/>
              <w:right w:val="nil"/>
            </w:tcBorders>
            <w:vAlign w:val="center"/>
          </w:tcPr>
          <w:p w14:paraId="5BFC9F15" w14:textId="77777777" w:rsidR="00880CD3" w:rsidRPr="00F731EA" w:rsidRDefault="00880CD3" w:rsidP="00F731EA">
            <w:pPr>
              <w:spacing w:before="40" w:after="40"/>
              <w:rPr>
                <w:rFonts w:eastAsia="Times New Roman" w:cs="Arial"/>
                <w:bCs/>
                <w:iCs/>
                <w:color w:val="AEC12D"/>
                <w:sz w:val="20"/>
                <w:szCs w:val="20"/>
                <w:lang w:val="en-AU" w:eastAsia="en-AU"/>
              </w:rPr>
            </w:pPr>
            <w:r w:rsidRPr="00F731EA">
              <w:rPr>
                <w:sz w:val="20"/>
                <w:szCs w:val="20"/>
                <w:lang w:val="en-AU"/>
              </w:rPr>
              <w:t xml:space="preserve">High </w:t>
            </w:r>
          </w:p>
        </w:tc>
      </w:tr>
      <w:tr w:rsidR="00880CD3" w:rsidRPr="004F0A69" w14:paraId="0066EC77" w14:textId="77777777" w:rsidTr="00F731EA">
        <w:trPr>
          <w:jc w:val="center"/>
        </w:trPr>
        <w:tc>
          <w:tcPr>
            <w:tcW w:w="2333" w:type="dxa"/>
            <w:tcBorders>
              <w:top w:val="nil"/>
              <w:left w:val="nil"/>
              <w:bottom w:val="nil"/>
              <w:right w:val="nil"/>
            </w:tcBorders>
            <w:vAlign w:val="center"/>
          </w:tcPr>
          <w:p w14:paraId="2E6CC5C6" w14:textId="77777777" w:rsidR="00880CD3" w:rsidRPr="004F0A69" w:rsidRDefault="00880CD3" w:rsidP="00F731EA">
            <w:pPr>
              <w:spacing w:before="40" w:after="40"/>
              <w:rPr>
                <w:szCs w:val="24"/>
                <w:lang w:val="en-AU"/>
              </w:rPr>
            </w:pPr>
          </w:p>
        </w:tc>
        <w:tc>
          <w:tcPr>
            <w:tcW w:w="7272" w:type="dxa"/>
            <w:gridSpan w:val="4"/>
            <w:tcBorders>
              <w:top w:val="nil"/>
              <w:left w:val="nil"/>
              <w:bottom w:val="nil"/>
              <w:right w:val="nil"/>
            </w:tcBorders>
            <w:vAlign w:val="center"/>
          </w:tcPr>
          <w:p w14:paraId="1DEBF6C7" w14:textId="77777777" w:rsidR="00880CD3" w:rsidRPr="004F0A69" w:rsidRDefault="00880CD3" w:rsidP="00F731EA">
            <w:pPr>
              <w:spacing w:before="40" w:after="40"/>
              <w:rPr>
                <w:rFonts w:eastAsia="Times New Roman" w:cs="Arial"/>
                <w:bCs/>
                <w:iCs/>
                <w:color w:val="AEC12D"/>
                <w:sz w:val="32"/>
                <w:szCs w:val="28"/>
                <w:lang w:val="en-AU" w:eastAsia="en-AU"/>
              </w:rPr>
            </w:pPr>
            <w:r>
              <w:rPr>
                <w:b/>
                <w:szCs w:val="24"/>
                <w:lang w:val="en-AU"/>
              </w:rPr>
              <w:t>Groundwater Drawdown</w:t>
            </w:r>
          </w:p>
        </w:tc>
      </w:tr>
    </w:tbl>
    <w:p w14:paraId="078A3F3D" w14:textId="04FE515C" w:rsidR="00880CD3" w:rsidRDefault="00880CD3" w:rsidP="00616E0E">
      <w:pPr>
        <w:pStyle w:val="Notetext"/>
        <w:jc w:val="center"/>
      </w:pPr>
      <w:bookmarkStart w:id="360" w:name="_Ref415568939"/>
      <w:r>
        <w:t>Key: HC = high connection; MC = moderate connection</w:t>
      </w:r>
      <w:r w:rsidR="00CA48DF">
        <w:t>;</w:t>
      </w:r>
      <w:r>
        <w:t xml:space="preserve"> </w:t>
      </w:r>
      <w:r w:rsidR="001D269E">
        <w:t>LD</w:t>
      </w:r>
      <w:r>
        <w:t xml:space="preserve"> = low connection</w:t>
      </w:r>
      <w:r w:rsidR="00CA48DF">
        <w:t>;</w:t>
      </w:r>
      <w:r>
        <w:t xml:space="preserve"> HD = high drawdown</w:t>
      </w:r>
      <w:r w:rsidR="00CA48DF">
        <w:t>;</w:t>
      </w:r>
      <w:r>
        <w:t xml:space="preserve"> </w:t>
      </w:r>
      <w:r w:rsidR="00616E0E">
        <w:br/>
      </w:r>
      <w:r>
        <w:t>MD = moderate drawdown</w:t>
      </w:r>
      <w:r w:rsidR="00CA48DF">
        <w:t>;</w:t>
      </w:r>
      <w:r>
        <w:t xml:space="preserve"> LD = low drawdown.</w:t>
      </w:r>
    </w:p>
    <w:p w14:paraId="5DA8CEDE" w14:textId="47C1FFA6" w:rsidR="00880CD3" w:rsidRDefault="00880CD3" w:rsidP="00A53AE8">
      <w:pPr>
        <w:pStyle w:val="Figuretitle"/>
      </w:pPr>
      <w:bookmarkStart w:id="361" w:name="_Ref416353019"/>
      <w:bookmarkStart w:id="362" w:name="_Ref417370332"/>
      <w:bookmarkStart w:id="363" w:name="_Toc422928801"/>
      <w:r w:rsidRPr="00854BC9">
        <w:t xml:space="preserve">Figure </w:t>
      </w:r>
      <w:r>
        <w:fldChar w:fldCharType="begin"/>
      </w:r>
      <w:r>
        <w:instrText xml:space="preserve"> SEQ Figure \* ARABIC </w:instrText>
      </w:r>
      <w:r>
        <w:fldChar w:fldCharType="separate"/>
      </w:r>
      <w:r w:rsidR="00171A5E">
        <w:t>30</w:t>
      </w:r>
      <w:r>
        <w:fldChar w:fldCharType="end"/>
      </w:r>
      <w:bookmarkEnd w:id="360"/>
      <w:bookmarkEnd w:id="361"/>
      <w:r w:rsidR="008B076F">
        <w:t>:</w:t>
      </w:r>
      <w:r w:rsidRPr="00854BC9">
        <w:t xml:space="preserve"> </w:t>
      </w:r>
      <w:r w:rsidR="00ED17CA">
        <w:t xml:space="preserve"> </w:t>
      </w:r>
      <w:r>
        <w:t>Potential impact</w:t>
      </w:r>
      <w:r w:rsidRPr="00854BC9">
        <w:t xml:space="preserve"> </w:t>
      </w:r>
      <w:r>
        <w:t>on receptors due to aquifer depressurisation</w:t>
      </w:r>
      <w:bookmarkEnd w:id="362"/>
      <w:r w:rsidR="00ED17CA">
        <w:t>.</w:t>
      </w:r>
      <w:bookmarkEnd w:id="363"/>
    </w:p>
    <w:p w14:paraId="49D324C0" w14:textId="77777777" w:rsidR="00B35CFB" w:rsidRPr="00642A5D" w:rsidRDefault="00B35CFB" w:rsidP="00B35CFB"/>
    <w:p w14:paraId="7075AB38" w14:textId="77777777" w:rsidR="00B35CFB" w:rsidRDefault="00B35CFB">
      <w:pPr>
        <w:spacing w:after="200"/>
        <w:rPr>
          <w:rFonts w:cs="Arial"/>
          <w:color w:val="AEC12D" w:themeColor="text2"/>
          <w:sz w:val="32"/>
          <w:szCs w:val="32"/>
          <w:lang w:val="en-AU" w:eastAsia="en-US"/>
        </w:rPr>
      </w:pPr>
      <w:bookmarkStart w:id="364" w:name="_Toc420568690"/>
      <w:bookmarkStart w:id="365" w:name="_Toc420570272"/>
      <w:bookmarkStart w:id="366" w:name="_Toc420571468"/>
      <w:bookmarkStart w:id="367" w:name="_Toc420572106"/>
      <w:r>
        <w:br w:type="page"/>
      </w:r>
    </w:p>
    <w:p w14:paraId="14AC70C8" w14:textId="5D2BB2C2" w:rsidR="007645B8" w:rsidRPr="00642A5D" w:rsidRDefault="00B35CFB" w:rsidP="006013E3">
      <w:pPr>
        <w:pStyle w:val="Head2xx"/>
      </w:pPr>
      <w:bookmarkStart w:id="368" w:name="_Toc296766963"/>
      <w:bookmarkStart w:id="369" w:name="_Toc422927902"/>
      <w:r>
        <w:t>3.3</w:t>
      </w:r>
      <w:r>
        <w:tab/>
      </w:r>
      <w:r w:rsidR="00880CD3">
        <w:t>Impact assessment results</w:t>
      </w:r>
      <w:bookmarkEnd w:id="364"/>
      <w:bookmarkEnd w:id="365"/>
      <w:bookmarkEnd w:id="366"/>
      <w:bookmarkEnd w:id="367"/>
      <w:bookmarkEnd w:id="368"/>
      <w:bookmarkEnd w:id="369"/>
    </w:p>
    <w:p w14:paraId="366F5790" w14:textId="43473F08" w:rsidR="006013E3" w:rsidRPr="00642A5D" w:rsidRDefault="00B35CFB" w:rsidP="00B35CFB">
      <w:pPr>
        <w:pStyle w:val="Head3xxx"/>
      </w:pPr>
      <w:bookmarkStart w:id="370" w:name="_Toc420568691"/>
      <w:bookmarkStart w:id="371" w:name="_Toc420570273"/>
      <w:bookmarkStart w:id="372" w:name="_Toc420571469"/>
      <w:bookmarkStart w:id="373" w:name="_Toc420572107"/>
      <w:bookmarkStart w:id="374" w:name="_Toc296766964"/>
      <w:r>
        <w:t>3.3.1</w:t>
      </w:r>
      <w:r>
        <w:tab/>
      </w:r>
      <w:r w:rsidR="006013E3" w:rsidRPr="00642A5D">
        <w:t>Conventional gas scenario</w:t>
      </w:r>
      <w:bookmarkEnd w:id="370"/>
      <w:bookmarkEnd w:id="371"/>
      <w:bookmarkEnd w:id="372"/>
      <w:bookmarkEnd w:id="373"/>
      <w:bookmarkEnd w:id="374"/>
    </w:p>
    <w:p w14:paraId="6ADFC23D" w14:textId="77777777" w:rsidR="006013E3" w:rsidRPr="00642A5D" w:rsidRDefault="00621FF2" w:rsidP="007645B8">
      <w:pPr>
        <w:pStyle w:val="Heading4"/>
      </w:pPr>
      <w:r>
        <w:t>Potential impact</w:t>
      </w:r>
      <w:r w:rsidR="006013E3" w:rsidRPr="00642A5D">
        <w:t xml:space="preserve"> to groundwater users</w:t>
      </w:r>
    </w:p>
    <w:p w14:paraId="252B7BE6" w14:textId="250A4533" w:rsidR="004663F4" w:rsidRPr="00642A5D" w:rsidRDefault="004663F4">
      <w:r w:rsidRPr="00642A5D">
        <w:t xml:space="preserve">The </w:t>
      </w:r>
      <w:r w:rsidR="00621FF2">
        <w:t>potential impact</w:t>
      </w:r>
      <w:r w:rsidRPr="00642A5D">
        <w:t xml:space="preserve"> to groundwater users is presented as </w:t>
      </w:r>
      <w:r w:rsidR="00621FF2">
        <w:t xml:space="preserve">impact </w:t>
      </w:r>
      <w:r w:rsidRPr="00642A5D">
        <w:t>classes for each aquifer.</w:t>
      </w:r>
      <w:r w:rsidR="009A72C5">
        <w:t xml:space="preserve"> </w:t>
      </w:r>
      <w:r w:rsidRPr="00642A5D">
        <w:t xml:space="preserve">Thumbnails are presented in </w:t>
      </w:r>
      <w:r w:rsidR="007569CD" w:rsidRPr="00642A5D">
        <w:fldChar w:fldCharType="begin"/>
      </w:r>
      <w:r w:rsidRPr="00642A5D">
        <w:instrText xml:space="preserve"> REF _Ref411426693 \h </w:instrText>
      </w:r>
      <w:r w:rsidR="00642A5D">
        <w:instrText xml:space="preserve"> \* MERGEFORMAT </w:instrText>
      </w:r>
      <w:r w:rsidR="007569CD" w:rsidRPr="00642A5D">
        <w:fldChar w:fldCharType="separate"/>
      </w:r>
      <w:r w:rsidR="00171A5E" w:rsidRPr="00642A5D">
        <w:t xml:space="preserve">Figure </w:t>
      </w:r>
      <w:r w:rsidR="00171A5E">
        <w:rPr>
          <w:noProof/>
        </w:rPr>
        <w:t>31</w:t>
      </w:r>
      <w:r w:rsidR="007569CD" w:rsidRPr="00642A5D">
        <w:fldChar w:fldCharType="end"/>
      </w:r>
      <w:r w:rsidRPr="00642A5D">
        <w:t xml:space="preserve"> and detailed result maps are given in</w:t>
      </w:r>
      <w:r w:rsidR="00FB0F63" w:rsidRPr="00642A5D">
        <w:t xml:space="preserve"> Appendix E</w:t>
      </w:r>
      <w:r w:rsidRPr="00642A5D">
        <w:t xml:space="preserve">. </w:t>
      </w:r>
    </w:p>
    <w:p w14:paraId="103CE306" w14:textId="063DC732" w:rsidR="004663F4" w:rsidRPr="00642A5D" w:rsidRDefault="004663F4">
      <w:r w:rsidRPr="00642A5D">
        <w:t xml:space="preserve">Overall the </w:t>
      </w:r>
      <w:r w:rsidR="00621FF2">
        <w:t>potential impact</w:t>
      </w:r>
      <w:r w:rsidRPr="00642A5D">
        <w:t xml:space="preserve"> to all aquifers (confined and unconfined) from the development of conventional gas in the Otway region is low, with a typical </w:t>
      </w:r>
      <w:r w:rsidR="00621FF2">
        <w:t>c</w:t>
      </w:r>
      <w:r w:rsidR="001D269E">
        <w:t>ategory HC-LD</w:t>
      </w:r>
      <w:r w:rsidRPr="00642A5D">
        <w:t xml:space="preserve"> (high </w:t>
      </w:r>
      <w:r w:rsidR="001D269E">
        <w:t>connection</w:t>
      </w:r>
      <w:r w:rsidRPr="00642A5D">
        <w:t xml:space="preserve">, low </w:t>
      </w:r>
      <w:r w:rsidR="001D269E">
        <w:t>drawdown</w:t>
      </w:r>
      <w:r w:rsidRPr="00642A5D">
        <w:t>)</w:t>
      </w:r>
      <w:r w:rsidR="009B2AC4">
        <w:t>. In the case of aquifers, the connection</w:t>
      </w:r>
      <w:r w:rsidRPr="00642A5D">
        <w:t xml:space="preserve"> is always high (i.e. aquifers are inherently connected to groundwater). This means that the </w:t>
      </w:r>
      <w:r w:rsidRPr="00715102">
        <w:t xml:space="preserve">drawdown </w:t>
      </w:r>
      <w:r w:rsidR="00A75643" w:rsidRPr="00715102">
        <w:t>result</w:t>
      </w:r>
      <w:r w:rsidRPr="00715102">
        <w:t xml:space="preserve"> determines</w:t>
      </w:r>
      <w:r w:rsidRPr="00642A5D">
        <w:t xml:space="preserve"> the overall </w:t>
      </w:r>
      <w:r w:rsidR="00621FF2">
        <w:t>impact</w:t>
      </w:r>
      <w:r w:rsidRPr="00642A5D">
        <w:t>.</w:t>
      </w:r>
      <w:r w:rsidR="009A72C5">
        <w:t xml:space="preserve"> </w:t>
      </w:r>
      <w:r w:rsidRPr="00642A5D">
        <w:t xml:space="preserve">The category </w:t>
      </w:r>
      <w:r w:rsidR="001D269E">
        <w:t>HC</w:t>
      </w:r>
      <w:r w:rsidRPr="00642A5D">
        <w:t>-</w:t>
      </w:r>
      <w:r w:rsidR="001D269E">
        <w:t>LD</w:t>
      </w:r>
      <w:r w:rsidRPr="00642A5D">
        <w:t xml:space="preserve"> is therefore the lowest </w:t>
      </w:r>
      <w:r w:rsidR="00621FF2">
        <w:t xml:space="preserve">impact </w:t>
      </w:r>
      <w:r w:rsidRPr="00642A5D">
        <w:t>possible for aquifers.</w:t>
      </w:r>
    </w:p>
    <w:p w14:paraId="0ADE2710" w14:textId="1BBD5FA7" w:rsidR="00E01E1A" w:rsidRDefault="00055497">
      <w:r>
        <w:t>It is predicted that n</w:t>
      </w:r>
      <w:r w:rsidR="00B35CFB">
        <w:t>one of the</w:t>
      </w:r>
      <w:r>
        <w:t xml:space="preserve"> more than 1700</w:t>
      </w:r>
      <w:r w:rsidR="00B35CFB">
        <w:t xml:space="preserve"> </w:t>
      </w:r>
      <w:r w:rsidR="000F1062" w:rsidRPr="00642A5D">
        <w:t xml:space="preserve">groundwater </w:t>
      </w:r>
      <w:r w:rsidR="00FB0F63" w:rsidRPr="00642A5D">
        <w:t xml:space="preserve">entitlements </w:t>
      </w:r>
      <w:r w:rsidR="000F1062" w:rsidRPr="00642A5D">
        <w:t xml:space="preserve">in the Otway region </w:t>
      </w:r>
      <w:r>
        <w:t>would</w:t>
      </w:r>
      <w:r w:rsidR="000F1062" w:rsidRPr="00642A5D">
        <w:t xml:space="preserve"> be impacted by conventional gas development</w:t>
      </w:r>
      <w:r w:rsidR="00E01E1A" w:rsidRPr="00642A5D">
        <w:t>.</w:t>
      </w:r>
    </w:p>
    <w:p w14:paraId="4FBBA43A" w14:textId="77777777" w:rsidR="00B35CFB" w:rsidRPr="00642A5D" w:rsidRDefault="00B35CFB" w:rsidP="00B35CFB">
      <w:pPr>
        <w:pStyle w:val="Heading4"/>
        <w:rPr>
          <w:lang w:val="en-AU" w:eastAsia="en-US"/>
        </w:rPr>
      </w:pPr>
      <w:r>
        <w:rPr>
          <w:lang w:val="en-AU" w:eastAsia="en-US"/>
        </w:rPr>
        <w:t>Potential Impact to s</w:t>
      </w:r>
      <w:r w:rsidRPr="00642A5D">
        <w:rPr>
          <w:lang w:val="en-AU" w:eastAsia="en-US"/>
        </w:rPr>
        <w:t>urface water users</w:t>
      </w:r>
    </w:p>
    <w:p w14:paraId="6C981371" w14:textId="4C316AAC" w:rsidR="00B35CFB" w:rsidRDefault="00B35CFB" w:rsidP="00B35CFB">
      <w:r w:rsidRPr="00642A5D">
        <w:fldChar w:fldCharType="begin"/>
      </w:r>
      <w:r w:rsidRPr="00642A5D">
        <w:instrText xml:space="preserve"> REF _Ref411427881 \h </w:instrText>
      </w:r>
      <w:r>
        <w:instrText xml:space="preserve"> \* MERGEFORMAT </w:instrText>
      </w:r>
      <w:r w:rsidRPr="00642A5D">
        <w:fldChar w:fldCharType="separate"/>
      </w:r>
      <w:r w:rsidR="00171A5E" w:rsidRPr="00642A5D">
        <w:t xml:space="preserve">Figure </w:t>
      </w:r>
      <w:r w:rsidR="00171A5E">
        <w:rPr>
          <w:noProof/>
        </w:rPr>
        <w:t>32</w:t>
      </w:r>
      <w:r w:rsidRPr="00642A5D">
        <w:fldChar w:fldCharType="end"/>
      </w:r>
      <w:r w:rsidRPr="00642A5D">
        <w:t xml:space="preserve"> indicates that potential conventional gas development in the Otway region poses a low </w:t>
      </w:r>
      <w:r>
        <w:t>potential impact</w:t>
      </w:r>
      <w:r w:rsidRPr="00642A5D">
        <w:t xml:space="preserve"> to surface water users.</w:t>
      </w:r>
      <w:r>
        <w:t xml:space="preserve"> </w:t>
      </w:r>
      <w:r w:rsidR="00055497">
        <w:t>None of the more than 1100</w:t>
      </w:r>
      <w:r w:rsidRPr="00642A5D">
        <w:t xml:space="preserve"> surface water entitlements in the Otway region are </w:t>
      </w:r>
      <w:r w:rsidR="00055497">
        <w:t>predicted to experience</w:t>
      </w:r>
      <w:r w:rsidR="00055497" w:rsidRPr="00642A5D">
        <w:t xml:space="preserve"> </w:t>
      </w:r>
      <w:r w:rsidRPr="00642A5D">
        <w:t xml:space="preserve">moderate to high </w:t>
      </w:r>
      <w:r>
        <w:t>impact</w:t>
      </w:r>
      <w:r w:rsidRPr="00642A5D">
        <w:t xml:space="preserve"> as a result of conventional gas development.</w:t>
      </w:r>
    </w:p>
    <w:p w14:paraId="47353CA1" w14:textId="77777777" w:rsidR="00B35CFB" w:rsidRPr="00642A5D" w:rsidRDefault="00B35CFB" w:rsidP="00B35CFB">
      <w:pPr>
        <w:pStyle w:val="Heading4"/>
        <w:rPr>
          <w:lang w:val="en-AU" w:eastAsia="en-US"/>
        </w:rPr>
      </w:pPr>
      <w:r>
        <w:rPr>
          <w:lang w:val="en-AU" w:eastAsia="en-US"/>
        </w:rPr>
        <w:t>Potential impact</w:t>
      </w:r>
      <w:r w:rsidRPr="00642A5D">
        <w:rPr>
          <w:lang w:val="en-AU" w:eastAsia="en-US"/>
        </w:rPr>
        <w:t xml:space="preserve"> to surface water ecosystems</w:t>
      </w:r>
    </w:p>
    <w:p w14:paraId="6063D769" w14:textId="77777777" w:rsidR="00B35CFB" w:rsidRDefault="00B35CFB" w:rsidP="00B35CFB">
      <w:r>
        <w:rPr>
          <w:rFonts w:eastAsiaTheme="minorEastAsia"/>
        </w:rPr>
        <w:t>The impact assessment</w:t>
      </w:r>
      <w:r w:rsidRPr="00642A5D">
        <w:rPr>
          <w:rStyle w:val="Para0Char"/>
        </w:rPr>
        <w:t xml:space="preserve"> </w:t>
      </w:r>
      <w:r w:rsidRPr="00642A5D">
        <w:t xml:space="preserve">indicates that potential conventional gas development in the Otway region poses a low </w:t>
      </w:r>
      <w:r>
        <w:t>potential impact</w:t>
      </w:r>
      <w:r w:rsidRPr="00642A5D">
        <w:t xml:space="preserve"> to surface water ecosystems.</w:t>
      </w:r>
    </w:p>
    <w:p w14:paraId="4435BC0E" w14:textId="77777777" w:rsidR="00B35CFB" w:rsidRPr="00642A5D" w:rsidRDefault="00B35CFB"/>
    <w:p w14:paraId="078D480A" w14:textId="6BB2E245" w:rsidR="00F15CAE" w:rsidRPr="00642A5D" w:rsidRDefault="003F571F" w:rsidP="00534840">
      <w:pPr>
        <w:pStyle w:val="figurereturn"/>
        <w:rPr>
          <w:lang w:eastAsia="en-US"/>
        </w:rPr>
      </w:pPr>
      <w:r w:rsidRPr="003F571F">
        <w:drawing>
          <wp:inline distT="0" distB="0" distL="0" distR="0" wp14:anchorId="47B5FEA4" wp14:editId="28A3B16D">
            <wp:extent cx="6006662" cy="363672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6011460" cy="3639631"/>
                    </a:xfrm>
                    <a:prstGeom prst="rect">
                      <a:avLst/>
                    </a:prstGeom>
                  </pic:spPr>
                </pic:pic>
              </a:graphicData>
            </a:graphic>
          </wp:inline>
        </w:drawing>
      </w:r>
    </w:p>
    <w:p w14:paraId="040C7131" w14:textId="1842F814" w:rsidR="00CC6AE6" w:rsidRDefault="006013E3" w:rsidP="00A53AE8">
      <w:pPr>
        <w:pStyle w:val="Figuretitle"/>
      </w:pPr>
      <w:bookmarkStart w:id="375" w:name="_Ref411426693"/>
      <w:bookmarkStart w:id="376" w:name="_Toc422928802"/>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31</w:t>
      </w:r>
      <w:r w:rsidR="007569CD" w:rsidRPr="00642A5D">
        <w:fldChar w:fldCharType="end"/>
      </w:r>
      <w:bookmarkEnd w:id="375"/>
      <w:r w:rsidR="008B076F">
        <w:t>:</w:t>
      </w:r>
      <w:r w:rsidR="009A72C5">
        <w:t xml:space="preserve"> </w:t>
      </w:r>
      <w:r w:rsidR="00B35CFB">
        <w:t xml:space="preserve"> </w:t>
      </w:r>
      <w:r w:rsidR="005B40D0">
        <w:t>Potential impact</w:t>
      </w:r>
      <w:r w:rsidR="005B40D0" w:rsidRPr="00642A5D">
        <w:t xml:space="preserve"> </w:t>
      </w:r>
      <w:r w:rsidRPr="00642A5D">
        <w:t>to aquifers</w:t>
      </w:r>
      <w:r w:rsidR="00F0196D">
        <w:t xml:space="preserve"> from </w:t>
      </w:r>
      <w:r w:rsidR="001D269E">
        <w:t xml:space="preserve">possible </w:t>
      </w:r>
      <w:r w:rsidR="00F0196D">
        <w:t>conventional gas</w:t>
      </w:r>
      <w:r w:rsidR="001D269E">
        <w:t xml:space="preserve"> development</w:t>
      </w:r>
      <w:r w:rsidR="00B35CFB">
        <w:t>.</w:t>
      </w:r>
      <w:bookmarkEnd w:id="376"/>
      <w:r w:rsidR="009A72C5">
        <w:t xml:space="preserve"> </w:t>
      </w:r>
    </w:p>
    <w:p w14:paraId="5C7C4AE9" w14:textId="77777777" w:rsidR="00B35CFB" w:rsidRDefault="00B35CFB" w:rsidP="00B35CFB">
      <w:pPr>
        <w:rPr>
          <w:lang w:val="en-AU"/>
        </w:rPr>
      </w:pPr>
    </w:p>
    <w:p w14:paraId="68AECB83" w14:textId="087D273D" w:rsidR="00E33044" w:rsidRPr="00642A5D" w:rsidRDefault="00E33044" w:rsidP="00616E0E">
      <w:pPr>
        <w:pStyle w:val="figurereturn"/>
      </w:pPr>
      <w:r w:rsidRPr="00E33044">
        <w:drawing>
          <wp:inline distT="0" distB="0" distL="0" distR="0" wp14:anchorId="44570509" wp14:editId="2ADA716D">
            <wp:extent cx="5982985" cy="361791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6007132" cy="3632518"/>
                    </a:xfrm>
                    <a:prstGeom prst="rect">
                      <a:avLst/>
                    </a:prstGeom>
                  </pic:spPr>
                </pic:pic>
              </a:graphicData>
            </a:graphic>
          </wp:inline>
        </w:drawing>
      </w:r>
    </w:p>
    <w:p w14:paraId="09272EFB" w14:textId="6ED8A5DD" w:rsidR="00EC347D" w:rsidRDefault="006013E3" w:rsidP="00A53AE8">
      <w:pPr>
        <w:pStyle w:val="Figuretitle"/>
      </w:pPr>
      <w:bookmarkStart w:id="377" w:name="_Ref411427881"/>
      <w:bookmarkStart w:id="378" w:name="_Toc422928803"/>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32</w:t>
      </w:r>
      <w:r w:rsidR="007569CD" w:rsidRPr="00642A5D">
        <w:fldChar w:fldCharType="end"/>
      </w:r>
      <w:bookmarkEnd w:id="377"/>
      <w:r w:rsidR="008B076F">
        <w:t>:</w:t>
      </w:r>
      <w:r w:rsidR="009A72C5">
        <w:t xml:space="preserve"> </w:t>
      </w:r>
      <w:r w:rsidR="00055497">
        <w:t xml:space="preserve"> </w:t>
      </w:r>
      <w:r w:rsidR="00EB039A">
        <w:t>Potential impact</w:t>
      </w:r>
      <w:r w:rsidRPr="00642A5D">
        <w:t xml:space="preserve"> to surface water users from </w:t>
      </w:r>
      <w:r w:rsidR="001D269E">
        <w:t>possible</w:t>
      </w:r>
      <w:r w:rsidRPr="00642A5D">
        <w:t xml:space="preserve"> </w:t>
      </w:r>
      <w:r w:rsidR="00485F90" w:rsidRPr="00642A5D">
        <w:t>conventional</w:t>
      </w:r>
      <w:r w:rsidR="00A679B7" w:rsidRPr="00642A5D">
        <w:t xml:space="preserve"> gas</w:t>
      </w:r>
      <w:r w:rsidR="001D269E">
        <w:t xml:space="preserve"> development</w:t>
      </w:r>
      <w:r w:rsidR="00055497">
        <w:t>.</w:t>
      </w:r>
      <w:bookmarkEnd w:id="378"/>
      <w:r w:rsidR="009A72C5">
        <w:t xml:space="preserve"> </w:t>
      </w:r>
    </w:p>
    <w:p w14:paraId="00F997E7" w14:textId="77777777" w:rsidR="00B35CFB" w:rsidRPr="00642A5D" w:rsidRDefault="00B35CFB" w:rsidP="00A53AE8">
      <w:pPr>
        <w:pStyle w:val="Figuretitle"/>
      </w:pPr>
    </w:p>
    <w:p w14:paraId="0D61A217" w14:textId="2B3E53B9" w:rsidR="00E33044" w:rsidRPr="00642A5D" w:rsidRDefault="00E33044" w:rsidP="00616E0E">
      <w:pPr>
        <w:pStyle w:val="figurereturn"/>
        <w:rPr>
          <w:lang w:eastAsia="en-US"/>
        </w:rPr>
      </w:pPr>
      <w:r w:rsidRPr="00E33044">
        <w:drawing>
          <wp:inline distT="0" distB="0" distL="0" distR="0" wp14:anchorId="111EB388" wp14:editId="193E195F">
            <wp:extent cx="6022427" cy="3782678"/>
            <wp:effectExtent l="19050" t="19050" r="1651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6026683" cy="3785351"/>
                    </a:xfrm>
                    <a:prstGeom prst="rect">
                      <a:avLst/>
                    </a:prstGeom>
                    <a:ln>
                      <a:solidFill>
                        <a:schemeClr val="accent1"/>
                      </a:solidFill>
                    </a:ln>
                  </pic:spPr>
                </pic:pic>
              </a:graphicData>
            </a:graphic>
          </wp:inline>
        </w:drawing>
      </w:r>
    </w:p>
    <w:p w14:paraId="0245298D" w14:textId="651FEFA6" w:rsidR="00B35CFB" w:rsidRDefault="006013E3" w:rsidP="00A53AE8">
      <w:pPr>
        <w:pStyle w:val="Figuretitle"/>
      </w:pPr>
      <w:bookmarkStart w:id="379" w:name="_Ref411428005"/>
      <w:bookmarkStart w:id="380" w:name="_Toc422928804"/>
      <w:r w:rsidRPr="00637469">
        <w:t xml:space="preserve">Figure </w:t>
      </w:r>
      <w:r w:rsidR="007569CD" w:rsidRPr="00642A5D">
        <w:fldChar w:fldCharType="begin"/>
      </w:r>
      <w:r w:rsidRPr="00637469">
        <w:instrText xml:space="preserve"> SEQ Figure \* ARABIC </w:instrText>
      </w:r>
      <w:r w:rsidR="007569CD" w:rsidRPr="00642A5D">
        <w:fldChar w:fldCharType="separate"/>
      </w:r>
      <w:r w:rsidR="00171A5E">
        <w:t>33</w:t>
      </w:r>
      <w:r w:rsidR="007569CD" w:rsidRPr="00642A5D">
        <w:fldChar w:fldCharType="end"/>
      </w:r>
      <w:bookmarkEnd w:id="379"/>
      <w:r w:rsidR="008B076F">
        <w:t>:</w:t>
      </w:r>
      <w:r w:rsidRPr="00637469">
        <w:t xml:space="preserve"> </w:t>
      </w:r>
      <w:r w:rsidR="00055497">
        <w:t xml:space="preserve"> </w:t>
      </w:r>
      <w:r w:rsidR="00EB039A" w:rsidRPr="00637469">
        <w:t xml:space="preserve">Potential impact </w:t>
      </w:r>
      <w:r w:rsidRPr="00637469">
        <w:t xml:space="preserve">to </w:t>
      </w:r>
      <w:r w:rsidR="0032256B" w:rsidRPr="00637469">
        <w:t>surface water ecosystems</w:t>
      </w:r>
      <w:r w:rsidRPr="00637469">
        <w:t xml:space="preserve"> from po</w:t>
      </w:r>
      <w:r w:rsidR="001D269E" w:rsidRPr="00637469">
        <w:t xml:space="preserve">ssible </w:t>
      </w:r>
      <w:r w:rsidR="00485F90" w:rsidRPr="00637469">
        <w:t>conventional</w:t>
      </w:r>
      <w:r w:rsidRPr="00637469">
        <w:t xml:space="preserve"> gas</w:t>
      </w:r>
      <w:r w:rsidR="003016EB" w:rsidRPr="00637469">
        <w:t xml:space="preserve"> </w:t>
      </w:r>
      <w:r w:rsidR="001D269E" w:rsidRPr="00637469">
        <w:t>development</w:t>
      </w:r>
      <w:r w:rsidR="00055497">
        <w:t>.</w:t>
      </w:r>
      <w:bookmarkEnd w:id="380"/>
    </w:p>
    <w:p w14:paraId="779A0795" w14:textId="1F49DD64" w:rsidR="006013E3" w:rsidRPr="00642A5D" w:rsidRDefault="00B35CFB" w:rsidP="007645B8">
      <w:pPr>
        <w:pStyle w:val="Head3xxx"/>
      </w:pPr>
      <w:bookmarkStart w:id="381" w:name="_Toc420568692"/>
      <w:bookmarkStart w:id="382" w:name="_Toc420570274"/>
      <w:bookmarkStart w:id="383" w:name="_Toc420571470"/>
      <w:bookmarkStart w:id="384" w:name="_Toc420572108"/>
      <w:bookmarkStart w:id="385" w:name="_Toc296766965"/>
      <w:r>
        <w:t>3.3.2</w:t>
      </w:r>
      <w:r>
        <w:tab/>
      </w:r>
      <w:r w:rsidR="006013E3" w:rsidRPr="00642A5D">
        <w:t>Tight gas scenario</w:t>
      </w:r>
      <w:bookmarkEnd w:id="381"/>
      <w:bookmarkEnd w:id="382"/>
      <w:bookmarkEnd w:id="383"/>
      <w:bookmarkEnd w:id="384"/>
      <w:bookmarkEnd w:id="385"/>
    </w:p>
    <w:p w14:paraId="09909EF3" w14:textId="77777777" w:rsidR="006013E3" w:rsidRPr="00642A5D" w:rsidRDefault="00EB039A" w:rsidP="007645B8">
      <w:pPr>
        <w:pStyle w:val="Heading4"/>
      </w:pPr>
      <w:r>
        <w:t>Potential impact</w:t>
      </w:r>
      <w:r w:rsidR="006013E3" w:rsidRPr="00642A5D">
        <w:t xml:space="preserve"> to groundwater users</w:t>
      </w:r>
    </w:p>
    <w:p w14:paraId="0C2E7811" w14:textId="2711D945" w:rsidR="0032256B" w:rsidRPr="00642A5D" w:rsidRDefault="0032256B">
      <w:r w:rsidRPr="00642A5D">
        <w:t xml:space="preserve">The </w:t>
      </w:r>
      <w:r w:rsidR="00EB039A">
        <w:t>potential impact</w:t>
      </w:r>
      <w:r w:rsidRPr="00642A5D">
        <w:t xml:space="preserve"> to groundwater users is presented as classes for each aquifer. Thumbnails are presented in </w:t>
      </w:r>
      <w:r w:rsidR="007569CD" w:rsidRPr="00642A5D">
        <w:fldChar w:fldCharType="begin"/>
      </w:r>
      <w:r w:rsidRPr="00642A5D">
        <w:instrText xml:space="preserve"> REF _Ref411428135 \h </w:instrText>
      </w:r>
      <w:r w:rsidR="00642A5D">
        <w:instrText xml:space="preserve"> \* MERGEFORMAT </w:instrText>
      </w:r>
      <w:r w:rsidR="007569CD" w:rsidRPr="00642A5D">
        <w:fldChar w:fldCharType="separate"/>
      </w:r>
      <w:r w:rsidR="00171A5E" w:rsidRPr="00642A5D">
        <w:t xml:space="preserve">Figure </w:t>
      </w:r>
      <w:r w:rsidR="00171A5E">
        <w:rPr>
          <w:noProof/>
        </w:rPr>
        <w:t>34</w:t>
      </w:r>
      <w:r w:rsidR="007569CD" w:rsidRPr="00642A5D">
        <w:fldChar w:fldCharType="end"/>
      </w:r>
      <w:r w:rsidRPr="00642A5D">
        <w:t xml:space="preserve"> and detailed result maps are given in</w:t>
      </w:r>
      <w:r w:rsidR="001D269E">
        <w:t xml:space="preserve"> Appendix D</w:t>
      </w:r>
      <w:r w:rsidRPr="00642A5D">
        <w:t xml:space="preserve">. </w:t>
      </w:r>
    </w:p>
    <w:p w14:paraId="6DC0E8F5" w14:textId="03263AD7" w:rsidR="0032256B" w:rsidRPr="00642A5D" w:rsidRDefault="0032256B">
      <w:r w:rsidRPr="00642A5D">
        <w:t xml:space="preserve">Overall the </w:t>
      </w:r>
      <w:r w:rsidR="00EB039A">
        <w:t>potential impact</w:t>
      </w:r>
      <w:r w:rsidR="00EB039A" w:rsidRPr="00642A5D">
        <w:t xml:space="preserve"> </w:t>
      </w:r>
      <w:r w:rsidRPr="00642A5D">
        <w:t xml:space="preserve">to all aquifers (confined and unconfined) from the development of tight gas in the Otway region is low, with a typical </w:t>
      </w:r>
      <w:r w:rsidR="00EB039A">
        <w:t>potential impact</w:t>
      </w:r>
      <w:r w:rsidR="00EB039A" w:rsidRPr="00642A5D">
        <w:t xml:space="preserve"> </w:t>
      </w:r>
      <w:r w:rsidRPr="00642A5D">
        <w:t xml:space="preserve">class of Category </w:t>
      </w:r>
      <w:r w:rsidR="001D269E">
        <w:t>HC</w:t>
      </w:r>
      <w:r w:rsidRPr="00642A5D">
        <w:t>-</w:t>
      </w:r>
      <w:r w:rsidR="001D269E">
        <w:t>LD</w:t>
      </w:r>
      <w:r w:rsidRPr="00642A5D">
        <w:t xml:space="preserve"> (high </w:t>
      </w:r>
      <w:r w:rsidR="00A528CB">
        <w:t>connection</w:t>
      </w:r>
      <w:r w:rsidRPr="00642A5D">
        <w:t xml:space="preserve">, low </w:t>
      </w:r>
      <w:r w:rsidR="00A76D25">
        <w:t>drawdown</w:t>
      </w:r>
      <w:r w:rsidRPr="00642A5D">
        <w:t xml:space="preserve">). In the case of aquifers, the </w:t>
      </w:r>
      <w:r w:rsidR="00F768AD">
        <w:t>connection</w:t>
      </w:r>
      <w:r w:rsidRPr="00642A5D">
        <w:t xml:space="preserve"> is always high (i.e. aquifers are inherently connected to groundwater). This means that the drawdown metric for </w:t>
      </w:r>
      <w:r w:rsidR="00A76D25">
        <w:t>drawdown</w:t>
      </w:r>
      <w:r w:rsidRPr="00642A5D">
        <w:t xml:space="preserve"> determines the overall </w:t>
      </w:r>
      <w:r w:rsidR="005B40D0">
        <w:t>impact</w:t>
      </w:r>
      <w:r w:rsidR="005B40D0" w:rsidRPr="00642A5D">
        <w:t xml:space="preserve"> </w:t>
      </w:r>
      <w:r w:rsidRPr="00642A5D">
        <w:t>rating.</w:t>
      </w:r>
      <w:r w:rsidR="009A72C5">
        <w:t xml:space="preserve"> </w:t>
      </w:r>
      <w:r w:rsidRPr="00642A5D">
        <w:t xml:space="preserve">The category </w:t>
      </w:r>
      <w:r w:rsidR="001D269E">
        <w:t>HC</w:t>
      </w:r>
      <w:r w:rsidRPr="00642A5D">
        <w:t>-</w:t>
      </w:r>
      <w:r w:rsidR="001D269E">
        <w:t>LD</w:t>
      </w:r>
      <w:r w:rsidRPr="00642A5D">
        <w:t xml:space="preserve"> is therefore the lowest </w:t>
      </w:r>
      <w:r w:rsidR="00EB039A">
        <w:t>potential impact</w:t>
      </w:r>
      <w:r w:rsidR="00EB039A" w:rsidRPr="00642A5D">
        <w:t xml:space="preserve"> </w:t>
      </w:r>
      <w:r w:rsidRPr="00642A5D">
        <w:t>possible for aquifers.</w:t>
      </w:r>
    </w:p>
    <w:p w14:paraId="1CB5F578" w14:textId="01732F49" w:rsidR="0032256B" w:rsidRDefault="00055497">
      <w:r>
        <w:t xml:space="preserve">It is predicted that none of the more than 1700 </w:t>
      </w:r>
      <w:r w:rsidR="0032256B" w:rsidRPr="00642A5D">
        <w:t xml:space="preserve">groundwater </w:t>
      </w:r>
      <w:r w:rsidR="00113CD8" w:rsidRPr="00642A5D">
        <w:t xml:space="preserve">entitlements </w:t>
      </w:r>
      <w:r w:rsidR="0032256B" w:rsidRPr="00642A5D">
        <w:t xml:space="preserve">in the Otway region </w:t>
      </w:r>
      <w:r>
        <w:t>would</w:t>
      </w:r>
      <w:r w:rsidR="0032256B" w:rsidRPr="00642A5D">
        <w:t xml:space="preserve"> be impacted by tight gas development.</w:t>
      </w:r>
    </w:p>
    <w:p w14:paraId="1EC4DCFC" w14:textId="77777777" w:rsidR="00B35CFB" w:rsidRPr="00642A5D" w:rsidRDefault="00B35CFB" w:rsidP="00B35CFB">
      <w:pPr>
        <w:pStyle w:val="Heading4"/>
      </w:pPr>
      <w:r>
        <w:t>Potential impact</w:t>
      </w:r>
      <w:r w:rsidRPr="00642A5D">
        <w:t xml:space="preserve"> to surface water users</w:t>
      </w:r>
    </w:p>
    <w:p w14:paraId="015E6952" w14:textId="57828FC2" w:rsidR="00B35CFB" w:rsidRDefault="00B35CFB" w:rsidP="00B35CFB">
      <w:r>
        <w:t xml:space="preserve">The impact assessment </w:t>
      </w:r>
      <w:r w:rsidRPr="00642A5D">
        <w:t xml:space="preserve">indicates that potential tight gas development in the Otway region poses a low </w:t>
      </w:r>
      <w:r>
        <w:t>potential impact</w:t>
      </w:r>
      <w:r w:rsidRPr="00642A5D">
        <w:t xml:space="preserve"> to surface water users. </w:t>
      </w:r>
      <w:r w:rsidR="00055497">
        <w:t>None of the more than 1100</w:t>
      </w:r>
      <w:r w:rsidRPr="00642A5D">
        <w:t xml:space="preserve"> surface water entitlements in the Otway region are </w:t>
      </w:r>
      <w:r w:rsidR="00055497">
        <w:t>predicted to experience</w:t>
      </w:r>
      <w:r w:rsidR="00055497" w:rsidRPr="00642A5D">
        <w:t xml:space="preserve"> </w:t>
      </w:r>
      <w:r w:rsidRPr="00642A5D">
        <w:t xml:space="preserve">moderate to high </w:t>
      </w:r>
      <w:r>
        <w:t>potential impact</w:t>
      </w:r>
      <w:r w:rsidRPr="00642A5D">
        <w:t xml:space="preserve"> as a result of tight gas development.</w:t>
      </w:r>
    </w:p>
    <w:p w14:paraId="1DFB23FE" w14:textId="77777777" w:rsidR="00B35CFB" w:rsidRPr="00642A5D" w:rsidRDefault="00B35CFB" w:rsidP="00B35CFB">
      <w:pPr>
        <w:pStyle w:val="Heading4"/>
      </w:pPr>
      <w:r>
        <w:t>Potential impact</w:t>
      </w:r>
      <w:r w:rsidRPr="00642A5D">
        <w:t xml:space="preserve"> to surface water ecosystems</w:t>
      </w:r>
    </w:p>
    <w:p w14:paraId="46A07967" w14:textId="77777777" w:rsidR="00B35CFB" w:rsidRPr="00642A5D" w:rsidRDefault="00B35CFB" w:rsidP="00B35CFB">
      <w:pPr>
        <w:rPr>
          <w:lang w:val="en-AU" w:eastAsia="en-US"/>
        </w:rPr>
      </w:pPr>
      <w:r>
        <w:rPr>
          <w:rStyle w:val="Para0Char"/>
        </w:rPr>
        <w:t xml:space="preserve">The impact assessment </w:t>
      </w:r>
      <w:r w:rsidRPr="00642A5D">
        <w:t xml:space="preserve">indicates that the potential tight gas development in the Otway region poses a low </w:t>
      </w:r>
      <w:r>
        <w:t>potential impact</w:t>
      </w:r>
      <w:r w:rsidRPr="00642A5D">
        <w:t xml:space="preserve"> to surface water ecosystems.</w:t>
      </w:r>
    </w:p>
    <w:p w14:paraId="69D24CD4" w14:textId="77777777" w:rsidR="00B35CFB" w:rsidRPr="00642A5D" w:rsidRDefault="00B35CFB"/>
    <w:p w14:paraId="0B96B6D1" w14:textId="1F9B19E9" w:rsidR="006013E3" w:rsidRPr="00642A5D" w:rsidRDefault="00E33044" w:rsidP="007C766C">
      <w:pPr>
        <w:pStyle w:val="figurereturn"/>
      </w:pPr>
      <w:r w:rsidRPr="00E33044">
        <w:drawing>
          <wp:inline distT="0" distB="0" distL="0" distR="0" wp14:anchorId="70E81A58" wp14:editId="7E6022E1">
            <wp:extent cx="6085489" cy="3707207"/>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6097406" cy="3714467"/>
                    </a:xfrm>
                    <a:prstGeom prst="rect">
                      <a:avLst/>
                    </a:prstGeom>
                  </pic:spPr>
                </pic:pic>
              </a:graphicData>
            </a:graphic>
          </wp:inline>
        </w:drawing>
      </w:r>
    </w:p>
    <w:p w14:paraId="2B514F2B" w14:textId="4E3473A1" w:rsidR="006013E3" w:rsidRPr="00642A5D" w:rsidRDefault="006013E3" w:rsidP="00A53AE8">
      <w:pPr>
        <w:pStyle w:val="Figuretitle"/>
      </w:pPr>
      <w:bookmarkStart w:id="386" w:name="_Ref411428135"/>
      <w:bookmarkStart w:id="387" w:name="_Toc422928805"/>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34</w:t>
      </w:r>
      <w:r w:rsidR="007569CD" w:rsidRPr="00642A5D">
        <w:fldChar w:fldCharType="end"/>
      </w:r>
      <w:bookmarkEnd w:id="386"/>
      <w:r w:rsidR="008B076F">
        <w:t>:</w:t>
      </w:r>
      <w:r w:rsidR="009A72C5">
        <w:t xml:space="preserve"> </w:t>
      </w:r>
      <w:r w:rsidR="00F0196D">
        <w:t>Potential impact</w:t>
      </w:r>
      <w:r w:rsidR="00F0196D" w:rsidRPr="00642A5D">
        <w:t xml:space="preserve"> </w:t>
      </w:r>
      <w:r w:rsidRPr="00642A5D">
        <w:t>to aquifers</w:t>
      </w:r>
      <w:r w:rsidR="00A76D25">
        <w:t xml:space="preserve"> from possible</w:t>
      </w:r>
      <w:r w:rsidRPr="00642A5D">
        <w:t xml:space="preserve"> </w:t>
      </w:r>
      <w:r w:rsidR="00F0196D">
        <w:t>tight gas</w:t>
      </w:r>
      <w:r w:rsidR="00A76D25">
        <w:t xml:space="preserve"> development</w:t>
      </w:r>
      <w:bookmarkEnd w:id="387"/>
      <w:r w:rsidR="00250974" w:rsidRPr="00642A5D">
        <w:t xml:space="preserve"> </w:t>
      </w:r>
    </w:p>
    <w:p w14:paraId="123BBCA8" w14:textId="77777777" w:rsidR="00CC6AE6" w:rsidRDefault="00CC6AE6">
      <w:r>
        <w:br w:type="page"/>
      </w:r>
    </w:p>
    <w:p w14:paraId="533E67E7" w14:textId="4D44CA2B" w:rsidR="00485F90" w:rsidRPr="00642A5D" w:rsidRDefault="00E33044" w:rsidP="00616E0E">
      <w:pPr>
        <w:pStyle w:val="figurereturn"/>
      </w:pPr>
      <w:r w:rsidRPr="00E33044">
        <w:drawing>
          <wp:inline distT="0" distB="0" distL="0" distR="0" wp14:anchorId="39A87DAC" wp14:editId="49271BFB">
            <wp:extent cx="5943600" cy="359156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5943600" cy="3591560"/>
                    </a:xfrm>
                    <a:prstGeom prst="rect">
                      <a:avLst/>
                    </a:prstGeom>
                  </pic:spPr>
                </pic:pic>
              </a:graphicData>
            </a:graphic>
          </wp:inline>
        </w:drawing>
      </w:r>
    </w:p>
    <w:p w14:paraId="15398D5F" w14:textId="74A394FA" w:rsidR="00055497" w:rsidRDefault="006013E3" w:rsidP="00A53AE8">
      <w:pPr>
        <w:pStyle w:val="Figuretitle"/>
      </w:pPr>
      <w:bookmarkStart w:id="388" w:name="_Ref411428236"/>
      <w:bookmarkStart w:id="389" w:name="_Toc422928806"/>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35</w:t>
      </w:r>
      <w:r w:rsidR="007569CD" w:rsidRPr="00642A5D">
        <w:fldChar w:fldCharType="end"/>
      </w:r>
      <w:bookmarkEnd w:id="388"/>
      <w:r w:rsidR="008B076F">
        <w:t>:</w:t>
      </w:r>
      <w:r w:rsidRPr="00642A5D">
        <w:t xml:space="preserve"> </w:t>
      </w:r>
      <w:r w:rsidR="00055497">
        <w:t xml:space="preserve"> </w:t>
      </w:r>
      <w:r w:rsidR="00F0196D">
        <w:t>Potential impact</w:t>
      </w:r>
      <w:r w:rsidR="00F0196D" w:rsidRPr="00642A5D">
        <w:t xml:space="preserve"> </w:t>
      </w:r>
      <w:r w:rsidRPr="00642A5D">
        <w:t xml:space="preserve">to surface water </w:t>
      </w:r>
      <w:r w:rsidR="00805AAA" w:rsidRPr="00642A5D">
        <w:t>users</w:t>
      </w:r>
      <w:r w:rsidR="00A76D25">
        <w:t xml:space="preserve"> from possible</w:t>
      </w:r>
      <w:r w:rsidRPr="00642A5D">
        <w:t xml:space="preserve"> </w:t>
      </w:r>
      <w:r w:rsidR="00485F90" w:rsidRPr="00642A5D">
        <w:t>tight gas</w:t>
      </w:r>
      <w:r w:rsidR="00A76D25">
        <w:t xml:space="preserve"> development</w:t>
      </w:r>
      <w:r w:rsidR="00055497">
        <w:t>.</w:t>
      </w:r>
      <w:bookmarkEnd w:id="389"/>
    </w:p>
    <w:p w14:paraId="1B11FF05" w14:textId="5BF135B9" w:rsidR="000B6FE7" w:rsidRPr="00642A5D" w:rsidRDefault="005A1A27" w:rsidP="00C150BC">
      <w:r w:rsidRPr="00642A5D">
        <w:t xml:space="preserve"> </w:t>
      </w:r>
    </w:p>
    <w:p w14:paraId="7C29157E" w14:textId="69A3AA44" w:rsidR="006013E3" w:rsidRPr="00616E0E" w:rsidRDefault="00AD6E46" w:rsidP="00616E0E">
      <w:pPr>
        <w:pStyle w:val="figurereturn"/>
      </w:pPr>
      <w:r w:rsidRPr="00AD6E46">
        <w:drawing>
          <wp:inline distT="0" distB="0" distL="0" distR="0" wp14:anchorId="64235E4B" wp14:editId="7C694AF7">
            <wp:extent cx="5943600" cy="3579495"/>
            <wp:effectExtent l="19050" t="19050" r="19050" b="209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5943600" cy="3579495"/>
                    </a:xfrm>
                    <a:prstGeom prst="rect">
                      <a:avLst/>
                    </a:prstGeom>
                    <a:ln>
                      <a:solidFill>
                        <a:schemeClr val="accent1"/>
                      </a:solidFill>
                    </a:ln>
                  </pic:spPr>
                </pic:pic>
              </a:graphicData>
            </a:graphic>
          </wp:inline>
        </w:drawing>
      </w:r>
    </w:p>
    <w:p w14:paraId="4F2A6DFF" w14:textId="5F1CF303" w:rsidR="006013E3" w:rsidRPr="00642A5D" w:rsidRDefault="006013E3" w:rsidP="00A53AE8">
      <w:pPr>
        <w:pStyle w:val="Figuretitle"/>
      </w:pPr>
      <w:bookmarkStart w:id="390" w:name="_Ref411428371"/>
      <w:bookmarkStart w:id="391" w:name="_Toc422928807"/>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36</w:t>
      </w:r>
      <w:r w:rsidR="007569CD" w:rsidRPr="00642A5D">
        <w:fldChar w:fldCharType="end"/>
      </w:r>
      <w:bookmarkEnd w:id="390"/>
      <w:r w:rsidR="008B076F">
        <w:t>:</w:t>
      </w:r>
      <w:r w:rsidRPr="00642A5D">
        <w:t xml:space="preserve"> </w:t>
      </w:r>
      <w:r w:rsidR="00055497">
        <w:t xml:space="preserve"> </w:t>
      </w:r>
      <w:r w:rsidR="00F0196D">
        <w:t>Potential impact</w:t>
      </w:r>
      <w:r w:rsidR="00F0196D" w:rsidRPr="00642A5D">
        <w:t xml:space="preserve"> </w:t>
      </w:r>
      <w:r w:rsidRPr="00642A5D">
        <w:t>to surface</w:t>
      </w:r>
      <w:r w:rsidR="00A76D25">
        <w:t xml:space="preserve"> water ecosystems from possible</w:t>
      </w:r>
      <w:r w:rsidRPr="00642A5D">
        <w:t xml:space="preserve"> </w:t>
      </w:r>
      <w:r w:rsidR="00485F90" w:rsidRPr="00642A5D">
        <w:t>tight gas</w:t>
      </w:r>
      <w:r w:rsidR="00A76D25">
        <w:t xml:space="preserve"> development</w:t>
      </w:r>
      <w:r w:rsidR="00055497">
        <w:t>.</w:t>
      </w:r>
      <w:bookmarkEnd w:id="391"/>
      <w:r w:rsidR="003016EB" w:rsidRPr="00642A5D">
        <w:t xml:space="preserve"> </w:t>
      </w:r>
    </w:p>
    <w:p w14:paraId="5E6D03A5" w14:textId="42972153" w:rsidR="00055497" w:rsidRDefault="00055497">
      <w:pPr>
        <w:spacing w:after="200"/>
      </w:pPr>
      <w:r>
        <w:br w:type="page"/>
      </w:r>
    </w:p>
    <w:p w14:paraId="1731CB9A" w14:textId="6FBF03BE" w:rsidR="006013E3" w:rsidRPr="00642A5D" w:rsidRDefault="00B35CFB" w:rsidP="007645B8">
      <w:pPr>
        <w:pStyle w:val="Head3xxx"/>
      </w:pPr>
      <w:bookmarkStart w:id="392" w:name="_Toc420568693"/>
      <w:bookmarkStart w:id="393" w:name="_Toc420570275"/>
      <w:bookmarkStart w:id="394" w:name="_Toc420571471"/>
      <w:bookmarkStart w:id="395" w:name="_Toc420572109"/>
      <w:bookmarkStart w:id="396" w:name="_Toc296766966"/>
      <w:r>
        <w:t>3.3.3</w:t>
      </w:r>
      <w:r>
        <w:tab/>
      </w:r>
      <w:r w:rsidR="006013E3" w:rsidRPr="00642A5D">
        <w:t>Shale gas scenario</w:t>
      </w:r>
      <w:bookmarkEnd w:id="392"/>
      <w:bookmarkEnd w:id="393"/>
      <w:bookmarkEnd w:id="394"/>
      <w:bookmarkEnd w:id="395"/>
      <w:bookmarkEnd w:id="396"/>
    </w:p>
    <w:p w14:paraId="369A7804" w14:textId="77777777" w:rsidR="006013E3" w:rsidRPr="00642A5D" w:rsidRDefault="00B14C90" w:rsidP="007645B8">
      <w:pPr>
        <w:pStyle w:val="Heading4"/>
      </w:pPr>
      <w:r>
        <w:t>Potential impact</w:t>
      </w:r>
      <w:r w:rsidRPr="00642A5D">
        <w:t xml:space="preserve"> </w:t>
      </w:r>
      <w:r w:rsidR="006013E3" w:rsidRPr="00642A5D">
        <w:t>to groundwater users</w:t>
      </w:r>
    </w:p>
    <w:p w14:paraId="5EFB0A64" w14:textId="32AD44AF" w:rsidR="00C6101A" w:rsidRPr="00642A5D" w:rsidRDefault="00C6101A">
      <w:r w:rsidRPr="00642A5D">
        <w:t xml:space="preserve">The </w:t>
      </w:r>
      <w:r w:rsidR="00B14C90">
        <w:t>potential impact</w:t>
      </w:r>
      <w:r w:rsidR="00B14C90" w:rsidRPr="00642A5D">
        <w:t xml:space="preserve"> </w:t>
      </w:r>
      <w:r w:rsidRPr="00642A5D">
        <w:t>to groundwater users is presented as classes for each aquifer.</w:t>
      </w:r>
      <w:r w:rsidR="009A72C5">
        <w:t xml:space="preserve"> </w:t>
      </w:r>
      <w:r w:rsidRPr="00642A5D">
        <w:t xml:space="preserve">Thumbnails are presented in </w:t>
      </w:r>
      <w:r w:rsidR="007569CD" w:rsidRPr="00642A5D">
        <w:fldChar w:fldCharType="begin"/>
      </w:r>
      <w:r w:rsidRPr="00642A5D">
        <w:instrText xml:space="preserve"> REF _Ref411428430 \h </w:instrText>
      </w:r>
      <w:r w:rsidR="00642A5D">
        <w:instrText xml:space="preserve"> \* MERGEFORMAT </w:instrText>
      </w:r>
      <w:r w:rsidR="007569CD" w:rsidRPr="00642A5D">
        <w:fldChar w:fldCharType="separate"/>
      </w:r>
      <w:r w:rsidR="00171A5E" w:rsidRPr="00642A5D">
        <w:t xml:space="preserve">Figure </w:t>
      </w:r>
      <w:r w:rsidR="00171A5E">
        <w:rPr>
          <w:noProof/>
        </w:rPr>
        <w:t>37</w:t>
      </w:r>
      <w:r w:rsidR="007569CD" w:rsidRPr="00642A5D">
        <w:fldChar w:fldCharType="end"/>
      </w:r>
      <w:r w:rsidRPr="00642A5D">
        <w:t xml:space="preserve"> and detailed result maps are given in</w:t>
      </w:r>
      <w:r w:rsidR="00EE1970" w:rsidRPr="00642A5D">
        <w:t xml:space="preserve"> Appendix E</w:t>
      </w:r>
      <w:r w:rsidRPr="00642A5D">
        <w:t xml:space="preserve">. </w:t>
      </w:r>
    </w:p>
    <w:p w14:paraId="5FCA8F78" w14:textId="5985D297" w:rsidR="00C6101A" w:rsidRPr="00642A5D" w:rsidRDefault="00C6101A">
      <w:r w:rsidRPr="00642A5D">
        <w:t xml:space="preserve">Overall the </w:t>
      </w:r>
      <w:r w:rsidR="00B14C90">
        <w:t>potential impact</w:t>
      </w:r>
      <w:r w:rsidR="00B14C90" w:rsidRPr="00642A5D">
        <w:t xml:space="preserve"> </w:t>
      </w:r>
      <w:r w:rsidRPr="00642A5D">
        <w:t>to all aquifers (confined and unconfined) from the development of shale gas in the Otway region</w:t>
      </w:r>
      <w:r w:rsidR="00C766A2">
        <w:t>,</w:t>
      </w:r>
      <w:r w:rsidRPr="00642A5D">
        <w:t xml:space="preserve"> is low with a typical </w:t>
      </w:r>
      <w:r w:rsidR="00B14C90">
        <w:t>potential impact</w:t>
      </w:r>
      <w:r w:rsidR="00B14C90" w:rsidRPr="00642A5D">
        <w:t xml:space="preserve"> </w:t>
      </w:r>
      <w:r w:rsidRPr="00642A5D">
        <w:t xml:space="preserve">class of Category </w:t>
      </w:r>
      <w:r w:rsidR="001D269E">
        <w:t>HC</w:t>
      </w:r>
      <w:r w:rsidRPr="00642A5D">
        <w:t>-</w:t>
      </w:r>
      <w:r w:rsidR="001D269E">
        <w:t>LD</w:t>
      </w:r>
      <w:r w:rsidRPr="00642A5D">
        <w:t xml:space="preserve"> (high </w:t>
      </w:r>
      <w:r w:rsidR="00F768AD">
        <w:t>connection</w:t>
      </w:r>
      <w:r w:rsidRPr="00642A5D">
        <w:t xml:space="preserve">, low </w:t>
      </w:r>
      <w:r w:rsidR="00A76D25">
        <w:t>drawdown</w:t>
      </w:r>
      <w:r w:rsidRPr="00642A5D">
        <w:t xml:space="preserve">). In the case of aquifers, the </w:t>
      </w:r>
      <w:r w:rsidR="00F768AD">
        <w:t>connection</w:t>
      </w:r>
      <w:r w:rsidRPr="00642A5D">
        <w:t xml:space="preserve"> is always high (i.e. aquifers are inherently connected to groundwater). This means that the drawdown metric for </w:t>
      </w:r>
      <w:r w:rsidR="00A76D25">
        <w:t>drawdown</w:t>
      </w:r>
      <w:r w:rsidRPr="00642A5D">
        <w:t xml:space="preserve"> determines the overall </w:t>
      </w:r>
      <w:r w:rsidR="00B14C90">
        <w:t>potential impact</w:t>
      </w:r>
      <w:r w:rsidR="00B14C90" w:rsidRPr="00642A5D">
        <w:t xml:space="preserve"> </w:t>
      </w:r>
      <w:r w:rsidRPr="00642A5D">
        <w:t xml:space="preserve">rating. The category </w:t>
      </w:r>
      <w:r w:rsidR="001D269E">
        <w:t>HC</w:t>
      </w:r>
      <w:r w:rsidRPr="00642A5D">
        <w:t>-</w:t>
      </w:r>
      <w:r w:rsidR="001D269E">
        <w:t>LD</w:t>
      </w:r>
      <w:r w:rsidRPr="00642A5D">
        <w:t xml:space="preserve"> is therefore the lowest </w:t>
      </w:r>
      <w:r w:rsidR="00B14C90">
        <w:t>potential impact</w:t>
      </w:r>
      <w:r w:rsidR="00B14C90" w:rsidRPr="00642A5D">
        <w:t xml:space="preserve"> </w:t>
      </w:r>
      <w:r w:rsidRPr="00642A5D">
        <w:t>possible for aquifers.</w:t>
      </w:r>
    </w:p>
    <w:p w14:paraId="78EED312" w14:textId="5C97AF29" w:rsidR="000F1062" w:rsidRDefault="00055497">
      <w:r>
        <w:t>It is predicted that none of the more than 1700</w:t>
      </w:r>
      <w:r w:rsidR="000F1062" w:rsidRPr="00642A5D">
        <w:t xml:space="preserve"> groundwater </w:t>
      </w:r>
      <w:r w:rsidR="00EE1970" w:rsidRPr="00642A5D">
        <w:t xml:space="preserve">entitlements </w:t>
      </w:r>
      <w:r w:rsidR="000F1062" w:rsidRPr="00642A5D">
        <w:t xml:space="preserve">in the Otway region </w:t>
      </w:r>
      <w:r>
        <w:t>would</w:t>
      </w:r>
      <w:r w:rsidR="000F1062" w:rsidRPr="00642A5D">
        <w:t xml:space="preserve"> be impacted by </w:t>
      </w:r>
      <w:r w:rsidR="00E672DD" w:rsidRPr="00642A5D">
        <w:t>shale</w:t>
      </w:r>
      <w:r w:rsidR="000F1062" w:rsidRPr="00642A5D">
        <w:t xml:space="preserve"> gas development.</w:t>
      </w:r>
    </w:p>
    <w:p w14:paraId="692CDF7A" w14:textId="77777777" w:rsidR="00B35CFB" w:rsidRPr="00642A5D" w:rsidRDefault="00B35CFB" w:rsidP="00B35CFB">
      <w:pPr>
        <w:pStyle w:val="Heading4"/>
      </w:pPr>
      <w:r>
        <w:t>Potential impact</w:t>
      </w:r>
      <w:r w:rsidRPr="00642A5D">
        <w:t xml:space="preserve"> to surface water users</w:t>
      </w:r>
    </w:p>
    <w:p w14:paraId="798634AB" w14:textId="2B9A5767" w:rsidR="00B35CFB" w:rsidRPr="00642A5D" w:rsidRDefault="00B35CFB" w:rsidP="00B35CFB">
      <w:r w:rsidRPr="00642A5D">
        <w:fldChar w:fldCharType="begin"/>
      </w:r>
      <w:r w:rsidRPr="00642A5D">
        <w:instrText xml:space="preserve"> REF _Ref411428517 \h </w:instrText>
      </w:r>
      <w:r>
        <w:instrText xml:space="preserve"> \* MERGEFORMAT </w:instrText>
      </w:r>
      <w:r w:rsidRPr="00642A5D">
        <w:fldChar w:fldCharType="separate"/>
      </w:r>
      <w:r w:rsidR="00171A5E" w:rsidRPr="00534840">
        <w:t xml:space="preserve">Figure </w:t>
      </w:r>
      <w:r w:rsidR="00171A5E">
        <w:rPr>
          <w:noProof/>
        </w:rPr>
        <w:t>38</w:t>
      </w:r>
      <w:r w:rsidRPr="00642A5D">
        <w:fldChar w:fldCharType="end"/>
      </w:r>
      <w:r w:rsidRPr="00642A5D">
        <w:t xml:space="preserve"> indicates that potential shale gas development in the Otway region poses a low </w:t>
      </w:r>
      <w:r>
        <w:t>potential impact</w:t>
      </w:r>
      <w:r w:rsidRPr="00642A5D">
        <w:t xml:space="preserve"> to surface water users. </w:t>
      </w:r>
      <w:r w:rsidR="00055497">
        <w:t>None of the more than 1100</w:t>
      </w:r>
      <w:r w:rsidRPr="00642A5D">
        <w:t xml:space="preserve"> surface water entitlements in</w:t>
      </w:r>
      <w:r w:rsidR="00A65062">
        <w:t xml:space="preserve"> the Otway region are </w:t>
      </w:r>
      <w:r w:rsidR="00055497">
        <w:t xml:space="preserve">predicted to experience </w:t>
      </w:r>
      <w:r w:rsidRPr="00642A5D">
        <w:t xml:space="preserve">moderate to high </w:t>
      </w:r>
      <w:r>
        <w:t>potential impact</w:t>
      </w:r>
      <w:r w:rsidRPr="00642A5D">
        <w:t xml:space="preserve"> as a result of shale gas development.</w:t>
      </w:r>
    </w:p>
    <w:p w14:paraId="3A56B73F" w14:textId="77777777" w:rsidR="00B35CFB" w:rsidRPr="00642A5D" w:rsidRDefault="00B35CFB" w:rsidP="00B35CFB">
      <w:pPr>
        <w:pStyle w:val="Heading4"/>
      </w:pPr>
      <w:r>
        <w:t>Potential impact</w:t>
      </w:r>
      <w:r w:rsidRPr="00642A5D">
        <w:t xml:space="preserve"> to surface water ecosystems</w:t>
      </w:r>
    </w:p>
    <w:p w14:paraId="2BC0B372" w14:textId="50649FB7" w:rsidR="00B35CFB" w:rsidRPr="00642A5D" w:rsidRDefault="00B35CFB" w:rsidP="00B35CFB">
      <w:pPr>
        <w:rPr>
          <w:lang w:val="en-AU" w:eastAsia="en-US"/>
        </w:rPr>
      </w:pPr>
      <w:r w:rsidRPr="00642A5D">
        <w:rPr>
          <w:rStyle w:val="Para0Char"/>
        </w:rPr>
        <w:fldChar w:fldCharType="begin"/>
      </w:r>
      <w:r w:rsidRPr="00642A5D">
        <w:instrText xml:space="preserve"> REF _Ref411428644 \h </w:instrText>
      </w:r>
      <w:r>
        <w:rPr>
          <w:rStyle w:val="Para0Char"/>
        </w:rPr>
        <w:instrText xml:space="preserve"> \* MERGEFORMAT </w:instrText>
      </w:r>
      <w:r w:rsidRPr="00642A5D">
        <w:rPr>
          <w:rStyle w:val="Para0Char"/>
        </w:rPr>
      </w:r>
      <w:r w:rsidRPr="00642A5D">
        <w:rPr>
          <w:rStyle w:val="Para0Char"/>
        </w:rPr>
        <w:fldChar w:fldCharType="separate"/>
      </w:r>
      <w:r w:rsidR="00171A5E" w:rsidRPr="00642A5D">
        <w:t xml:space="preserve">Figure </w:t>
      </w:r>
      <w:r w:rsidR="00171A5E">
        <w:rPr>
          <w:noProof/>
        </w:rPr>
        <w:t>39</w:t>
      </w:r>
      <w:r w:rsidRPr="00642A5D">
        <w:rPr>
          <w:rStyle w:val="Para0Char"/>
        </w:rPr>
        <w:fldChar w:fldCharType="end"/>
      </w:r>
      <w:r w:rsidRPr="00642A5D">
        <w:rPr>
          <w:rStyle w:val="Para0Char"/>
        </w:rPr>
        <w:t xml:space="preserve"> </w:t>
      </w:r>
      <w:r w:rsidRPr="00642A5D">
        <w:t xml:space="preserve">indicates that the potential shale gas development in the Otway region poses a low </w:t>
      </w:r>
      <w:r>
        <w:t>potential impact</w:t>
      </w:r>
      <w:r w:rsidRPr="00642A5D">
        <w:t xml:space="preserve"> to surface water ecosystems.</w:t>
      </w:r>
    </w:p>
    <w:p w14:paraId="5A7A77B4" w14:textId="77777777" w:rsidR="00B35CFB" w:rsidRPr="00642A5D" w:rsidRDefault="00B35CFB"/>
    <w:p w14:paraId="7D2449A1" w14:textId="5E288784" w:rsidR="00250974" w:rsidRPr="00616E0E" w:rsidRDefault="00AD6E46" w:rsidP="00616E0E">
      <w:pPr>
        <w:pStyle w:val="figurereturn"/>
      </w:pPr>
      <w:r w:rsidRPr="00AD6E46">
        <w:drawing>
          <wp:inline distT="0" distB="0" distL="0" distR="0" wp14:anchorId="5E92FDC8" wp14:editId="6E6DDD50">
            <wp:extent cx="5948427" cy="359320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5951966" cy="3595343"/>
                    </a:xfrm>
                    <a:prstGeom prst="rect">
                      <a:avLst/>
                    </a:prstGeom>
                  </pic:spPr>
                </pic:pic>
              </a:graphicData>
            </a:graphic>
          </wp:inline>
        </w:drawing>
      </w:r>
    </w:p>
    <w:p w14:paraId="08B21B2E" w14:textId="7B127103" w:rsidR="008F65CB" w:rsidRDefault="006013E3" w:rsidP="00A53AE8">
      <w:pPr>
        <w:pStyle w:val="Figuretitle"/>
      </w:pPr>
      <w:bookmarkStart w:id="397" w:name="_Ref411428430"/>
      <w:bookmarkStart w:id="398" w:name="_Toc422928808"/>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37</w:t>
      </w:r>
      <w:r w:rsidR="007569CD" w:rsidRPr="00642A5D">
        <w:fldChar w:fldCharType="end"/>
      </w:r>
      <w:bookmarkEnd w:id="397"/>
      <w:r w:rsidR="008B076F">
        <w:t>:</w:t>
      </w:r>
      <w:r w:rsidRPr="00642A5D">
        <w:t xml:space="preserve"> </w:t>
      </w:r>
      <w:r w:rsidR="00055497">
        <w:t xml:space="preserve"> </w:t>
      </w:r>
      <w:r w:rsidR="00B14C90">
        <w:t>Potential impact</w:t>
      </w:r>
      <w:r w:rsidR="00B14C90" w:rsidRPr="00642A5D">
        <w:t xml:space="preserve"> </w:t>
      </w:r>
      <w:r w:rsidRPr="00642A5D">
        <w:t>to aquifers</w:t>
      </w:r>
      <w:r w:rsidR="00A76D25">
        <w:t xml:space="preserve"> from possible</w:t>
      </w:r>
      <w:r w:rsidRPr="00642A5D">
        <w:t xml:space="preserve"> </w:t>
      </w:r>
      <w:r w:rsidR="00250974" w:rsidRPr="00642A5D">
        <w:t>shale gas</w:t>
      </w:r>
      <w:r w:rsidR="00A76D25">
        <w:t xml:space="preserve"> development</w:t>
      </w:r>
      <w:r w:rsidR="00055497">
        <w:t>.</w:t>
      </w:r>
      <w:bookmarkEnd w:id="398"/>
    </w:p>
    <w:p w14:paraId="514345B4" w14:textId="77777777" w:rsidR="008F65CB" w:rsidRDefault="008F65CB">
      <w:r>
        <w:br w:type="page"/>
      </w:r>
    </w:p>
    <w:p w14:paraId="4AC1FAFB" w14:textId="4F81E2F8" w:rsidR="00250974" w:rsidRPr="00642A5D" w:rsidRDefault="00AD6E46" w:rsidP="007C766C">
      <w:pPr>
        <w:pStyle w:val="figurereturn"/>
      </w:pPr>
      <w:r w:rsidRPr="00AD6E46">
        <w:drawing>
          <wp:inline distT="0" distB="0" distL="0" distR="0" wp14:anchorId="0449EBD2" wp14:editId="07D0425F">
            <wp:extent cx="5849065" cy="3528811"/>
            <wp:effectExtent l="19050" t="19050" r="18415" b="146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5858080" cy="3534250"/>
                    </a:xfrm>
                    <a:prstGeom prst="rect">
                      <a:avLst/>
                    </a:prstGeom>
                    <a:ln>
                      <a:solidFill>
                        <a:schemeClr val="accent1"/>
                      </a:solidFill>
                    </a:ln>
                  </pic:spPr>
                </pic:pic>
              </a:graphicData>
            </a:graphic>
          </wp:inline>
        </w:drawing>
      </w:r>
    </w:p>
    <w:p w14:paraId="56FBF6C2" w14:textId="0D867641" w:rsidR="00B35CFB" w:rsidRDefault="006013E3" w:rsidP="00A53AE8">
      <w:pPr>
        <w:pStyle w:val="Figuretitle"/>
      </w:pPr>
      <w:bookmarkStart w:id="399" w:name="_Ref411428517"/>
      <w:bookmarkStart w:id="400" w:name="_Toc422928809"/>
      <w:r w:rsidRPr="00534840">
        <w:t xml:space="preserve">Figure </w:t>
      </w:r>
      <w:r w:rsidR="007569CD" w:rsidRPr="00534840">
        <w:fldChar w:fldCharType="begin"/>
      </w:r>
      <w:r w:rsidRPr="007C766C">
        <w:instrText xml:space="preserve"> SEQ Figure \* ARABIC </w:instrText>
      </w:r>
      <w:r w:rsidR="007569CD" w:rsidRPr="00534840">
        <w:fldChar w:fldCharType="separate"/>
      </w:r>
      <w:r w:rsidR="00171A5E">
        <w:t>38</w:t>
      </w:r>
      <w:r w:rsidR="007569CD" w:rsidRPr="00534840">
        <w:fldChar w:fldCharType="end"/>
      </w:r>
      <w:bookmarkEnd w:id="399"/>
      <w:r w:rsidR="008B076F">
        <w:t>:</w:t>
      </w:r>
      <w:r w:rsidR="009A72C5" w:rsidRPr="00534840">
        <w:t xml:space="preserve"> </w:t>
      </w:r>
      <w:r w:rsidR="00055497">
        <w:t xml:space="preserve"> </w:t>
      </w:r>
      <w:r w:rsidR="00A76D25">
        <w:t>P</w:t>
      </w:r>
      <w:r w:rsidR="00B14C90" w:rsidRPr="00534840">
        <w:t>otential</w:t>
      </w:r>
      <w:r w:rsidR="00B14C90">
        <w:t xml:space="preserve"> impact</w:t>
      </w:r>
      <w:r w:rsidR="00B14C90" w:rsidRPr="00642A5D">
        <w:t xml:space="preserve"> </w:t>
      </w:r>
      <w:r w:rsidRPr="00642A5D">
        <w:t xml:space="preserve">to surface water </w:t>
      </w:r>
      <w:r w:rsidR="00C05BEB" w:rsidRPr="00642A5D">
        <w:t>users</w:t>
      </w:r>
      <w:r w:rsidR="00A76D25">
        <w:t xml:space="preserve"> from possible</w:t>
      </w:r>
      <w:r w:rsidRPr="00642A5D">
        <w:t xml:space="preserve"> </w:t>
      </w:r>
      <w:r w:rsidR="00250974" w:rsidRPr="00642A5D">
        <w:t>shale gas</w:t>
      </w:r>
      <w:r w:rsidR="00A76D25">
        <w:t xml:space="preserve"> development</w:t>
      </w:r>
      <w:r w:rsidR="00055497">
        <w:t>.</w:t>
      </w:r>
      <w:bookmarkEnd w:id="400"/>
    </w:p>
    <w:p w14:paraId="6AC65C00" w14:textId="0CFBD508" w:rsidR="00E672DD" w:rsidRPr="00642A5D" w:rsidRDefault="00E672DD" w:rsidP="00A53AE8">
      <w:pPr>
        <w:pStyle w:val="Figuretitle"/>
      </w:pPr>
    </w:p>
    <w:p w14:paraId="3EEFE631" w14:textId="0F701A76" w:rsidR="006013E3" w:rsidRPr="00642A5D" w:rsidRDefault="00AD6E46" w:rsidP="007C766C">
      <w:pPr>
        <w:pStyle w:val="figurereturn"/>
      </w:pPr>
      <w:r w:rsidRPr="00AD6E46">
        <w:drawing>
          <wp:inline distT="0" distB="0" distL="0" distR="0" wp14:anchorId="767497C7" wp14:editId="5B8EF72C">
            <wp:extent cx="5943600" cy="3573780"/>
            <wp:effectExtent l="19050" t="19050" r="19050" b="266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573780"/>
                    </a:xfrm>
                    <a:prstGeom prst="rect">
                      <a:avLst/>
                    </a:prstGeom>
                    <a:ln>
                      <a:solidFill>
                        <a:schemeClr val="accent1"/>
                      </a:solidFill>
                    </a:ln>
                  </pic:spPr>
                </pic:pic>
              </a:graphicData>
            </a:graphic>
          </wp:inline>
        </w:drawing>
      </w:r>
    </w:p>
    <w:p w14:paraId="145EC3B0" w14:textId="7A736052" w:rsidR="006013E3" w:rsidRPr="00642A5D" w:rsidRDefault="006013E3" w:rsidP="00A53AE8">
      <w:pPr>
        <w:pStyle w:val="Figuretitle"/>
      </w:pPr>
      <w:bookmarkStart w:id="401" w:name="_Ref411428644"/>
      <w:bookmarkStart w:id="402" w:name="_Toc422928810"/>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39</w:t>
      </w:r>
      <w:r w:rsidR="007569CD" w:rsidRPr="00642A5D">
        <w:fldChar w:fldCharType="end"/>
      </w:r>
      <w:bookmarkEnd w:id="401"/>
      <w:r w:rsidR="008B076F">
        <w:t>:</w:t>
      </w:r>
      <w:r w:rsidRPr="00642A5D">
        <w:t xml:space="preserve"> </w:t>
      </w:r>
      <w:r w:rsidR="00055497">
        <w:t xml:space="preserve"> </w:t>
      </w:r>
      <w:r w:rsidR="00B14C90">
        <w:t>Potential impact</w:t>
      </w:r>
      <w:r w:rsidR="00B14C90" w:rsidRPr="00642A5D">
        <w:t xml:space="preserve"> </w:t>
      </w:r>
      <w:r w:rsidRPr="00642A5D">
        <w:t>to surfac</w:t>
      </w:r>
      <w:r w:rsidR="00A76D25">
        <w:t>e water ecosystems from possible</w:t>
      </w:r>
      <w:r w:rsidRPr="00642A5D">
        <w:t xml:space="preserve"> </w:t>
      </w:r>
      <w:r w:rsidR="00250974" w:rsidRPr="00642A5D">
        <w:t>shale gas</w:t>
      </w:r>
      <w:r w:rsidR="00A76D25">
        <w:t xml:space="preserve"> development</w:t>
      </w:r>
      <w:r w:rsidR="00055497">
        <w:t>.</w:t>
      </w:r>
      <w:bookmarkEnd w:id="402"/>
    </w:p>
    <w:p w14:paraId="39EB6EBC" w14:textId="77777777" w:rsidR="0023525F" w:rsidRPr="00642A5D" w:rsidRDefault="0023525F">
      <w:r w:rsidRPr="00642A5D">
        <w:br w:type="page"/>
      </w:r>
    </w:p>
    <w:p w14:paraId="180404C1" w14:textId="0DFF75A1" w:rsidR="006013E3" w:rsidRPr="00642A5D" w:rsidRDefault="00B35CFB" w:rsidP="007645B8">
      <w:pPr>
        <w:pStyle w:val="Head3xxx"/>
      </w:pPr>
      <w:bookmarkStart w:id="403" w:name="_Toc420568694"/>
      <w:bookmarkStart w:id="404" w:name="_Toc420570276"/>
      <w:bookmarkStart w:id="405" w:name="_Toc420571472"/>
      <w:bookmarkStart w:id="406" w:name="_Toc420572110"/>
      <w:bookmarkStart w:id="407" w:name="_Toc296766967"/>
      <w:r>
        <w:t>3.3.4</w:t>
      </w:r>
      <w:r>
        <w:tab/>
      </w:r>
      <w:r w:rsidR="006013E3" w:rsidRPr="00642A5D">
        <w:t xml:space="preserve">Coal </w:t>
      </w:r>
      <w:r w:rsidR="00FB4F59">
        <w:t>s</w:t>
      </w:r>
      <w:r w:rsidR="00FB4F59" w:rsidRPr="00642A5D">
        <w:t xml:space="preserve">eam </w:t>
      </w:r>
      <w:r w:rsidR="00FB4F59">
        <w:t>g</w:t>
      </w:r>
      <w:r w:rsidR="00FB4F59" w:rsidRPr="00642A5D">
        <w:t xml:space="preserve">as </w:t>
      </w:r>
      <w:r w:rsidR="006013E3" w:rsidRPr="00642A5D">
        <w:t>scenario</w:t>
      </w:r>
      <w:bookmarkEnd w:id="403"/>
      <w:bookmarkEnd w:id="404"/>
      <w:bookmarkEnd w:id="405"/>
      <w:bookmarkEnd w:id="406"/>
      <w:bookmarkEnd w:id="407"/>
    </w:p>
    <w:p w14:paraId="78D9ECC7" w14:textId="77777777" w:rsidR="006013E3" w:rsidRPr="00642A5D" w:rsidRDefault="00EB61BB" w:rsidP="007645B8">
      <w:pPr>
        <w:pStyle w:val="Heading4"/>
      </w:pPr>
      <w:r>
        <w:t>Potential impact</w:t>
      </w:r>
      <w:r w:rsidRPr="00642A5D">
        <w:t xml:space="preserve"> </w:t>
      </w:r>
      <w:r w:rsidR="006013E3" w:rsidRPr="00642A5D">
        <w:t>to groundwater users</w:t>
      </w:r>
    </w:p>
    <w:p w14:paraId="5B5D879A" w14:textId="7D18503F" w:rsidR="00871DE3" w:rsidRPr="00642A5D" w:rsidRDefault="00871DE3">
      <w:r w:rsidRPr="00642A5D">
        <w:t xml:space="preserve">The </w:t>
      </w:r>
      <w:r w:rsidR="00EB61BB">
        <w:t>potential impact</w:t>
      </w:r>
      <w:r w:rsidR="00EB61BB" w:rsidRPr="00642A5D">
        <w:t xml:space="preserve"> </w:t>
      </w:r>
      <w:r w:rsidRPr="00642A5D">
        <w:t>to groundwater users is presented as classes for each aquifer.</w:t>
      </w:r>
      <w:r w:rsidR="009A72C5">
        <w:t xml:space="preserve"> </w:t>
      </w:r>
      <w:r w:rsidRPr="00642A5D">
        <w:t xml:space="preserve">Thumbnails are presented in </w:t>
      </w:r>
      <w:r w:rsidR="007569CD" w:rsidRPr="00642A5D">
        <w:fldChar w:fldCharType="begin"/>
      </w:r>
      <w:r w:rsidRPr="00642A5D">
        <w:instrText xml:space="preserve"> REF _Ref409798062 \h </w:instrText>
      </w:r>
      <w:r w:rsidR="00642A5D">
        <w:instrText xml:space="preserve"> \* MERGEFORMAT </w:instrText>
      </w:r>
      <w:r w:rsidR="007569CD" w:rsidRPr="00642A5D">
        <w:fldChar w:fldCharType="separate"/>
      </w:r>
      <w:r w:rsidR="00171A5E" w:rsidRPr="00642A5D">
        <w:t xml:space="preserve">Figure </w:t>
      </w:r>
      <w:r w:rsidR="00171A5E">
        <w:rPr>
          <w:noProof/>
        </w:rPr>
        <w:t>40</w:t>
      </w:r>
      <w:r w:rsidR="007569CD" w:rsidRPr="00642A5D">
        <w:fldChar w:fldCharType="end"/>
      </w:r>
      <w:r w:rsidRPr="00642A5D">
        <w:t xml:space="preserve"> and detailed result maps are given in</w:t>
      </w:r>
      <w:r w:rsidR="00EE1970" w:rsidRPr="00642A5D">
        <w:t xml:space="preserve"> Appendix E</w:t>
      </w:r>
      <w:r w:rsidRPr="00642A5D">
        <w:t xml:space="preserve">. </w:t>
      </w:r>
    </w:p>
    <w:p w14:paraId="2E27FBC8" w14:textId="705F4C26" w:rsidR="00871DE3" w:rsidRPr="00642A5D" w:rsidRDefault="00055497">
      <w:r>
        <w:t>T</w:t>
      </w:r>
      <w:r w:rsidR="00871DE3" w:rsidRPr="00642A5D">
        <w:t xml:space="preserve">he </w:t>
      </w:r>
      <w:r w:rsidR="00EB61BB">
        <w:t>potential impact</w:t>
      </w:r>
      <w:r w:rsidR="00EB61BB" w:rsidRPr="00642A5D">
        <w:t xml:space="preserve"> </w:t>
      </w:r>
      <w:r w:rsidR="00871DE3" w:rsidRPr="00642A5D">
        <w:t xml:space="preserve">to all aquifers (confined and unconfined) from the development of coal seam gas in the Otway region is low, with a typical class of Category </w:t>
      </w:r>
      <w:r w:rsidR="001D269E">
        <w:t>HC</w:t>
      </w:r>
      <w:r w:rsidR="00871DE3" w:rsidRPr="00642A5D">
        <w:t>-</w:t>
      </w:r>
      <w:r w:rsidR="001D269E">
        <w:t>LD</w:t>
      </w:r>
      <w:r w:rsidR="00871DE3" w:rsidRPr="00642A5D">
        <w:t xml:space="preserve"> (high </w:t>
      </w:r>
      <w:r w:rsidR="00F768AD">
        <w:t>connection</w:t>
      </w:r>
      <w:r w:rsidR="00871DE3" w:rsidRPr="00642A5D">
        <w:t xml:space="preserve">, low </w:t>
      </w:r>
      <w:r w:rsidR="00A76D25">
        <w:t>drawdown</w:t>
      </w:r>
      <w:r w:rsidR="00871DE3" w:rsidRPr="00642A5D">
        <w:t xml:space="preserve">). In the case of aquifers the </w:t>
      </w:r>
      <w:r w:rsidR="00F768AD">
        <w:t>connection</w:t>
      </w:r>
      <w:r w:rsidR="00871DE3" w:rsidRPr="00642A5D">
        <w:t xml:space="preserve"> is always high (i.e. aquifers are inherently connected to groundwater).</w:t>
      </w:r>
      <w:r w:rsidR="009A72C5">
        <w:t xml:space="preserve"> </w:t>
      </w:r>
      <w:r w:rsidR="00871DE3" w:rsidRPr="00642A5D">
        <w:t xml:space="preserve">This means that the metric for </w:t>
      </w:r>
      <w:r w:rsidR="00A76D25">
        <w:t>drawdown</w:t>
      </w:r>
      <w:r w:rsidR="00871DE3" w:rsidRPr="00642A5D">
        <w:t xml:space="preserve"> determines the overall rating. The category </w:t>
      </w:r>
      <w:r w:rsidR="001D269E">
        <w:t>HC</w:t>
      </w:r>
      <w:r w:rsidR="00871DE3" w:rsidRPr="00642A5D">
        <w:t>-</w:t>
      </w:r>
      <w:r w:rsidR="001D269E">
        <w:t>LD</w:t>
      </w:r>
      <w:r w:rsidR="00871DE3" w:rsidRPr="00642A5D">
        <w:t xml:space="preserve"> is therefore the lowest </w:t>
      </w:r>
      <w:r w:rsidR="00EB61BB">
        <w:t>potential impact</w:t>
      </w:r>
      <w:r w:rsidR="00EB61BB" w:rsidRPr="00642A5D">
        <w:t xml:space="preserve"> </w:t>
      </w:r>
      <w:r w:rsidR="00871DE3" w:rsidRPr="00642A5D">
        <w:t>possible for aquifers.</w:t>
      </w:r>
    </w:p>
    <w:p w14:paraId="4EF30385" w14:textId="0E3670EA" w:rsidR="00E672DD" w:rsidRDefault="00055497">
      <w:r>
        <w:t>It is predicted that none of the more than 1700</w:t>
      </w:r>
      <w:r w:rsidR="00E672DD" w:rsidRPr="00642A5D">
        <w:t xml:space="preserve"> groundwater </w:t>
      </w:r>
      <w:r w:rsidR="00EE1970" w:rsidRPr="00642A5D">
        <w:t xml:space="preserve">entitlements </w:t>
      </w:r>
      <w:r w:rsidR="00E672DD" w:rsidRPr="00642A5D">
        <w:t xml:space="preserve">in the Otway region </w:t>
      </w:r>
      <w:r>
        <w:t>would</w:t>
      </w:r>
      <w:r w:rsidR="00E672DD" w:rsidRPr="00642A5D">
        <w:t xml:space="preserve"> be impacted by coal seam gas development.</w:t>
      </w:r>
    </w:p>
    <w:p w14:paraId="028D664B" w14:textId="77777777" w:rsidR="00B35CFB" w:rsidRPr="00642A5D" w:rsidRDefault="00B35CFB" w:rsidP="00B35CFB">
      <w:pPr>
        <w:pStyle w:val="Heading4"/>
      </w:pPr>
      <w:r>
        <w:t>Potential impact</w:t>
      </w:r>
      <w:r w:rsidRPr="00642A5D">
        <w:t xml:space="preserve"> to surface water users</w:t>
      </w:r>
    </w:p>
    <w:p w14:paraId="059A0731" w14:textId="77777777" w:rsidR="00B35CFB" w:rsidRPr="00642A5D" w:rsidRDefault="00B35CFB" w:rsidP="00B35CFB">
      <w:r>
        <w:t xml:space="preserve">The assessment </w:t>
      </w:r>
      <w:r w:rsidRPr="00642A5D">
        <w:t xml:space="preserve">indicates that potential coal seam gas development in the Otway region poses a low </w:t>
      </w:r>
      <w:r>
        <w:t xml:space="preserve">potential impact </w:t>
      </w:r>
      <w:r w:rsidRPr="00642A5D">
        <w:t xml:space="preserve">to surface water users. There are over 1,100 surface water entitlements in the Otway region and none are classified as having a moderate to high </w:t>
      </w:r>
      <w:r>
        <w:t>potential impact</w:t>
      </w:r>
      <w:r w:rsidRPr="00642A5D">
        <w:t xml:space="preserve"> as a result of coal seam gas development.</w:t>
      </w:r>
    </w:p>
    <w:p w14:paraId="0112A246" w14:textId="77777777" w:rsidR="00B35CFB" w:rsidRPr="00642A5D" w:rsidRDefault="00B35CFB" w:rsidP="00B35CFB">
      <w:pPr>
        <w:pStyle w:val="Heading4"/>
      </w:pPr>
      <w:r>
        <w:t>Potential impact</w:t>
      </w:r>
      <w:r w:rsidRPr="00642A5D">
        <w:t xml:space="preserve"> to surface water ecosystems</w:t>
      </w:r>
    </w:p>
    <w:p w14:paraId="42E7F5C4" w14:textId="7E6F65A8" w:rsidR="00B35CFB" w:rsidRPr="00642A5D" w:rsidRDefault="00B35CFB" w:rsidP="00B35CFB">
      <w:pPr>
        <w:rPr>
          <w:lang w:val="en-AU" w:eastAsia="en-US"/>
        </w:rPr>
      </w:pPr>
      <w:r>
        <w:rPr>
          <w:rStyle w:val="Para0Char"/>
        </w:rPr>
        <w:t xml:space="preserve">The assessment </w:t>
      </w:r>
      <w:r w:rsidRPr="00642A5D">
        <w:t xml:space="preserve">indicates that the potential coal seam gas development in the Otway region poses a low </w:t>
      </w:r>
      <w:r>
        <w:t>potential impact</w:t>
      </w:r>
      <w:r w:rsidRPr="00642A5D">
        <w:t xml:space="preserve"> to surface water ecosystems</w:t>
      </w:r>
      <w:r>
        <w:t xml:space="preserve"> (</w:t>
      </w:r>
      <w:r w:rsidRPr="00534840">
        <w:t xml:space="preserve">see </w:t>
      </w:r>
      <w:r w:rsidRPr="00534840">
        <w:rPr>
          <w:rStyle w:val="Para0Char"/>
        </w:rPr>
        <w:fldChar w:fldCharType="begin"/>
      </w:r>
      <w:r w:rsidRPr="007C766C">
        <w:rPr>
          <w:rStyle w:val="Para0Char"/>
        </w:rPr>
        <w:instrText xml:space="preserve"> REF _Ref411428829 \h  \* MERGEFORMAT </w:instrText>
      </w:r>
      <w:r w:rsidRPr="00534840">
        <w:rPr>
          <w:rStyle w:val="Para0Char"/>
        </w:rPr>
      </w:r>
      <w:r w:rsidRPr="00534840">
        <w:rPr>
          <w:rStyle w:val="Para0Char"/>
        </w:rPr>
        <w:fldChar w:fldCharType="separate"/>
      </w:r>
      <w:r w:rsidR="00171A5E" w:rsidRPr="00642A5D">
        <w:t xml:space="preserve">Figure </w:t>
      </w:r>
      <w:r w:rsidR="00171A5E">
        <w:rPr>
          <w:noProof/>
        </w:rPr>
        <w:t>42</w:t>
      </w:r>
      <w:r w:rsidRPr="00534840">
        <w:rPr>
          <w:rStyle w:val="Para0Char"/>
        </w:rPr>
        <w:fldChar w:fldCharType="end"/>
      </w:r>
      <w:r>
        <w:rPr>
          <w:rStyle w:val="Para0Char"/>
        </w:rPr>
        <w:t>)</w:t>
      </w:r>
      <w:r w:rsidRPr="00642A5D">
        <w:t>.</w:t>
      </w:r>
    </w:p>
    <w:p w14:paraId="3FB7A04C" w14:textId="77777777" w:rsidR="00B35CFB" w:rsidRPr="00642A5D" w:rsidRDefault="00B35CFB"/>
    <w:p w14:paraId="5BDAD351" w14:textId="7977AFF8" w:rsidR="00250974" w:rsidRPr="00642A5D" w:rsidRDefault="00AD6E46" w:rsidP="007C766C">
      <w:pPr>
        <w:pStyle w:val="figurereturn"/>
        <w:rPr>
          <w:lang w:eastAsia="en-US"/>
        </w:rPr>
      </w:pPr>
      <w:r w:rsidRPr="00AD6E46">
        <w:drawing>
          <wp:inline distT="0" distB="0" distL="0" distR="0" wp14:anchorId="0201CFEC" wp14:editId="16AD49D3">
            <wp:extent cx="5943600" cy="3606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5943600" cy="3606800"/>
                    </a:xfrm>
                    <a:prstGeom prst="rect">
                      <a:avLst/>
                    </a:prstGeom>
                  </pic:spPr>
                </pic:pic>
              </a:graphicData>
            </a:graphic>
          </wp:inline>
        </w:drawing>
      </w:r>
    </w:p>
    <w:p w14:paraId="74E9A7A2" w14:textId="7D735A87" w:rsidR="006013E3" w:rsidRPr="00642A5D" w:rsidRDefault="006013E3" w:rsidP="00A53AE8">
      <w:pPr>
        <w:pStyle w:val="Figuretitle"/>
      </w:pPr>
      <w:bookmarkStart w:id="408" w:name="_Ref409798062"/>
      <w:bookmarkStart w:id="409" w:name="_Toc422928811"/>
      <w:r w:rsidRPr="00642A5D">
        <w:t xml:space="preserve">Figure </w:t>
      </w:r>
      <w:r w:rsidR="007569CD" w:rsidRPr="007C766C">
        <w:fldChar w:fldCharType="begin"/>
      </w:r>
      <w:r w:rsidRPr="007C766C">
        <w:instrText xml:space="preserve"> SEQ Figure \* ARABIC </w:instrText>
      </w:r>
      <w:r w:rsidR="007569CD" w:rsidRPr="007C766C">
        <w:fldChar w:fldCharType="separate"/>
      </w:r>
      <w:r w:rsidR="00171A5E">
        <w:t>40</w:t>
      </w:r>
      <w:r w:rsidR="007569CD" w:rsidRPr="007C766C">
        <w:fldChar w:fldCharType="end"/>
      </w:r>
      <w:bookmarkEnd w:id="408"/>
      <w:r w:rsidR="008B076F">
        <w:t>:</w:t>
      </w:r>
      <w:r w:rsidR="009A72C5" w:rsidRPr="00534840">
        <w:t xml:space="preserve"> </w:t>
      </w:r>
      <w:r w:rsidR="00055497">
        <w:t xml:space="preserve"> </w:t>
      </w:r>
      <w:r w:rsidR="00A76D25">
        <w:t>P</w:t>
      </w:r>
      <w:r w:rsidR="00EB61BB" w:rsidRPr="00534840">
        <w:t>otential i</w:t>
      </w:r>
      <w:r w:rsidR="00EB61BB">
        <w:t>mpact</w:t>
      </w:r>
      <w:r w:rsidR="00EB61BB" w:rsidRPr="00642A5D">
        <w:t xml:space="preserve"> </w:t>
      </w:r>
      <w:r w:rsidRPr="00642A5D">
        <w:t xml:space="preserve">to aquifers </w:t>
      </w:r>
      <w:r w:rsidR="00A76D25">
        <w:t>from possible</w:t>
      </w:r>
      <w:r w:rsidRPr="00642A5D">
        <w:t xml:space="preserve"> </w:t>
      </w:r>
      <w:r w:rsidR="00FB4F59">
        <w:t>c</w:t>
      </w:r>
      <w:r w:rsidR="00FB4F59" w:rsidRPr="00642A5D">
        <w:t xml:space="preserve">oal </w:t>
      </w:r>
      <w:r w:rsidR="00FB4F59">
        <w:t>s</w:t>
      </w:r>
      <w:r w:rsidR="00FB4F59" w:rsidRPr="00642A5D">
        <w:t xml:space="preserve">eam </w:t>
      </w:r>
      <w:r w:rsidR="00FB4F59">
        <w:t>g</w:t>
      </w:r>
      <w:r w:rsidR="00FB4F59" w:rsidRPr="00642A5D">
        <w:t xml:space="preserve">as </w:t>
      </w:r>
      <w:r w:rsidRPr="00642A5D">
        <w:t>(b</w:t>
      </w:r>
      <w:r w:rsidR="00250974" w:rsidRPr="00642A5D">
        <w:t>lack</w:t>
      </w:r>
      <w:r w:rsidR="00EB61BB">
        <w:t xml:space="preserve"> coal)</w:t>
      </w:r>
      <w:r w:rsidR="00A76D25">
        <w:t xml:space="preserve"> development</w:t>
      </w:r>
      <w:r w:rsidR="00055497">
        <w:t>.</w:t>
      </w:r>
      <w:bookmarkEnd w:id="409"/>
    </w:p>
    <w:p w14:paraId="42D0F08E" w14:textId="77777777" w:rsidR="006013E3" w:rsidRPr="00642A5D" w:rsidRDefault="006013E3">
      <w:pPr>
        <w:rPr>
          <w:lang w:eastAsia="en-US"/>
        </w:rPr>
      </w:pPr>
    </w:p>
    <w:p w14:paraId="37370BB6" w14:textId="230315B1" w:rsidR="00250974" w:rsidRPr="00642A5D" w:rsidRDefault="00AD6E46" w:rsidP="007C766C">
      <w:pPr>
        <w:pStyle w:val="figurereturn"/>
      </w:pPr>
      <w:r w:rsidRPr="00AD6E46">
        <w:drawing>
          <wp:inline distT="0" distB="0" distL="0" distR="0" wp14:anchorId="2475F93A" wp14:editId="10F5DA47">
            <wp:extent cx="5943600" cy="3579495"/>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5943600" cy="3579495"/>
                    </a:xfrm>
                    <a:prstGeom prst="rect">
                      <a:avLst/>
                    </a:prstGeom>
                  </pic:spPr>
                </pic:pic>
              </a:graphicData>
            </a:graphic>
          </wp:inline>
        </w:drawing>
      </w:r>
    </w:p>
    <w:p w14:paraId="55C90AF3" w14:textId="476D3D86" w:rsidR="006013E3" w:rsidRPr="00642A5D" w:rsidRDefault="006013E3" w:rsidP="00A53AE8">
      <w:pPr>
        <w:pStyle w:val="Figuretitle"/>
      </w:pPr>
      <w:bookmarkStart w:id="410" w:name="_Ref411428784"/>
      <w:bookmarkStart w:id="411" w:name="_Toc422928812"/>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41</w:t>
      </w:r>
      <w:r w:rsidR="007569CD" w:rsidRPr="00642A5D">
        <w:fldChar w:fldCharType="end"/>
      </w:r>
      <w:bookmarkEnd w:id="410"/>
      <w:r w:rsidR="008B076F">
        <w:t>:</w:t>
      </w:r>
      <w:r w:rsidR="009A72C5">
        <w:t xml:space="preserve"> </w:t>
      </w:r>
      <w:r w:rsidR="00055497">
        <w:t xml:space="preserve"> </w:t>
      </w:r>
      <w:r w:rsidR="00EB61BB">
        <w:t>Potential impact</w:t>
      </w:r>
      <w:r w:rsidR="00EB61BB" w:rsidRPr="00642A5D">
        <w:t xml:space="preserve"> </w:t>
      </w:r>
      <w:r w:rsidRPr="00642A5D">
        <w:t xml:space="preserve">to surface water </w:t>
      </w:r>
      <w:r w:rsidR="003016EB" w:rsidRPr="00642A5D">
        <w:t>users</w:t>
      </w:r>
      <w:r w:rsidR="00A76D25">
        <w:t xml:space="preserve"> from possible</w:t>
      </w:r>
      <w:r w:rsidR="00EB61BB">
        <w:t xml:space="preserve"> </w:t>
      </w:r>
      <w:r w:rsidR="00FB4F59">
        <w:t>coal seam gas (black coal)</w:t>
      </w:r>
      <w:r w:rsidR="00A76D25">
        <w:t xml:space="preserve"> development</w:t>
      </w:r>
      <w:r w:rsidR="00055497">
        <w:t>.</w:t>
      </w:r>
      <w:bookmarkEnd w:id="411"/>
    </w:p>
    <w:p w14:paraId="1CB5F135" w14:textId="77777777" w:rsidR="006013E3" w:rsidRPr="00642A5D" w:rsidRDefault="006013E3">
      <w:pPr>
        <w:rPr>
          <w:lang w:eastAsia="en-US"/>
        </w:rPr>
      </w:pPr>
    </w:p>
    <w:p w14:paraId="6226D7E7" w14:textId="7F1F9B5F" w:rsidR="006013E3" w:rsidRPr="00642A5D" w:rsidRDefault="000F54A3" w:rsidP="007C766C">
      <w:pPr>
        <w:pStyle w:val="figurereturn"/>
      </w:pPr>
      <w:r w:rsidRPr="000F54A3">
        <w:drawing>
          <wp:inline distT="0" distB="0" distL="0" distR="0" wp14:anchorId="7E91CFFD" wp14:editId="42C3993B">
            <wp:extent cx="5943600" cy="357886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943600" cy="3578860"/>
                    </a:xfrm>
                    <a:prstGeom prst="rect">
                      <a:avLst/>
                    </a:prstGeom>
                  </pic:spPr>
                </pic:pic>
              </a:graphicData>
            </a:graphic>
          </wp:inline>
        </w:drawing>
      </w:r>
    </w:p>
    <w:p w14:paraId="0735B261" w14:textId="4734960D" w:rsidR="006013E3" w:rsidRDefault="006013E3" w:rsidP="00A53AE8">
      <w:pPr>
        <w:pStyle w:val="Figuretitle"/>
      </w:pPr>
      <w:bookmarkStart w:id="412" w:name="_Ref411428829"/>
      <w:bookmarkStart w:id="413" w:name="_Toc422928813"/>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42</w:t>
      </w:r>
      <w:r w:rsidR="007569CD" w:rsidRPr="00642A5D">
        <w:fldChar w:fldCharType="end"/>
      </w:r>
      <w:bookmarkEnd w:id="412"/>
      <w:r w:rsidR="008B076F">
        <w:t>:</w:t>
      </w:r>
      <w:r w:rsidRPr="00642A5D">
        <w:t xml:space="preserve"> </w:t>
      </w:r>
      <w:r w:rsidR="00055497">
        <w:t xml:space="preserve"> </w:t>
      </w:r>
      <w:r w:rsidR="00EB61BB">
        <w:t>Potential impact</w:t>
      </w:r>
      <w:r w:rsidR="00EB61BB" w:rsidRPr="00642A5D">
        <w:t xml:space="preserve"> </w:t>
      </w:r>
      <w:r w:rsidRPr="00642A5D">
        <w:t>to surface wate</w:t>
      </w:r>
      <w:r w:rsidR="00A76D25">
        <w:t>r ecosystems from possible</w:t>
      </w:r>
      <w:r w:rsidR="00EB61BB">
        <w:t xml:space="preserve"> </w:t>
      </w:r>
      <w:r w:rsidR="00FB4F59">
        <w:t>coal seam gas (black coal)</w:t>
      </w:r>
      <w:r w:rsidR="00A76D25">
        <w:t xml:space="preserve"> development</w:t>
      </w:r>
      <w:r w:rsidR="00055497">
        <w:t>.</w:t>
      </w:r>
      <w:bookmarkEnd w:id="413"/>
    </w:p>
    <w:p w14:paraId="5DF1003E" w14:textId="77777777" w:rsidR="00055497" w:rsidRDefault="00055497">
      <w:pPr>
        <w:spacing w:after="200"/>
        <w:rPr>
          <w:rFonts w:cs="Arial"/>
          <w:b/>
          <w:bCs/>
          <w:sz w:val="26"/>
          <w:szCs w:val="26"/>
        </w:rPr>
      </w:pPr>
      <w:bookmarkStart w:id="414" w:name="_Toc420568695"/>
      <w:bookmarkStart w:id="415" w:name="_Toc420570277"/>
      <w:bookmarkStart w:id="416" w:name="_Toc420571473"/>
      <w:bookmarkStart w:id="417" w:name="_Toc420572111"/>
      <w:r>
        <w:br w:type="page"/>
      </w:r>
    </w:p>
    <w:p w14:paraId="3208F793" w14:textId="7CF1A918" w:rsidR="00BF54CE" w:rsidRPr="00642A5D" w:rsidRDefault="00B35CFB" w:rsidP="00055497">
      <w:pPr>
        <w:pStyle w:val="Head3xxx"/>
      </w:pPr>
      <w:bookmarkStart w:id="418" w:name="_Toc296766968"/>
      <w:r>
        <w:t>3.3.5</w:t>
      </w:r>
      <w:r>
        <w:tab/>
      </w:r>
      <w:r w:rsidR="007645B8" w:rsidRPr="00642A5D">
        <w:t>Summary of results</w:t>
      </w:r>
      <w:bookmarkEnd w:id="414"/>
      <w:bookmarkEnd w:id="415"/>
      <w:bookmarkEnd w:id="416"/>
      <w:bookmarkEnd w:id="417"/>
      <w:bookmarkEnd w:id="418"/>
    </w:p>
    <w:p w14:paraId="1D0E8F0E" w14:textId="2E0012D7" w:rsidR="000C3692" w:rsidRPr="00642A5D" w:rsidRDefault="00055497" w:rsidP="00C150BC">
      <w:pPr>
        <w:pStyle w:val="bulletlist0"/>
      </w:pPr>
      <w:r>
        <w:t>•</w:t>
      </w:r>
      <w:r>
        <w:tab/>
      </w:r>
      <w:r w:rsidR="000C3692" w:rsidRPr="00642A5D">
        <w:t xml:space="preserve">The </w:t>
      </w:r>
      <w:r w:rsidR="00EB61BB">
        <w:t>potential impact</w:t>
      </w:r>
      <w:r w:rsidR="00992BC5">
        <w:t>s</w:t>
      </w:r>
      <w:r w:rsidR="00EB61BB" w:rsidRPr="00642A5D">
        <w:t xml:space="preserve"> </w:t>
      </w:r>
      <w:r w:rsidR="000C3692" w:rsidRPr="00642A5D">
        <w:t>from all gas development scenarios</w:t>
      </w:r>
      <w:r w:rsidR="00992BC5">
        <w:t xml:space="preserve"> are</w:t>
      </w:r>
      <w:r w:rsidR="000C3692" w:rsidRPr="00642A5D">
        <w:t xml:space="preserve"> assessed as low for the Otway region. </w:t>
      </w:r>
    </w:p>
    <w:p w14:paraId="5292DEF5" w14:textId="421C6033" w:rsidR="00250974" w:rsidRPr="00642A5D" w:rsidRDefault="00055497" w:rsidP="00C150BC">
      <w:pPr>
        <w:pStyle w:val="bulletlist0"/>
      </w:pPr>
      <w:r>
        <w:t>•</w:t>
      </w:r>
      <w:r>
        <w:tab/>
      </w:r>
      <w:r w:rsidR="00250974" w:rsidRPr="00642A5D">
        <w:t xml:space="preserve">The </w:t>
      </w:r>
      <w:r w:rsidR="00EB61BB">
        <w:t>potential impact</w:t>
      </w:r>
      <w:r w:rsidR="00992BC5">
        <w:t>s</w:t>
      </w:r>
      <w:r w:rsidR="00EB61BB" w:rsidRPr="00642A5D">
        <w:t xml:space="preserve"> </w:t>
      </w:r>
      <w:r w:rsidR="00250974" w:rsidRPr="00642A5D">
        <w:t xml:space="preserve">to aquifers </w:t>
      </w:r>
      <w:r w:rsidR="00992BC5">
        <w:t>are</w:t>
      </w:r>
      <w:r w:rsidR="00992BC5" w:rsidRPr="00642A5D">
        <w:t xml:space="preserve"> </w:t>
      </w:r>
      <w:r>
        <w:t xml:space="preserve">assessed </w:t>
      </w:r>
      <w:r w:rsidR="00250974" w:rsidRPr="00642A5D">
        <w:t xml:space="preserve">low for all cases, as the drawdown resulting </w:t>
      </w:r>
      <w:r w:rsidR="00FE339E" w:rsidRPr="00642A5D">
        <w:t xml:space="preserve">from </w:t>
      </w:r>
      <w:r w:rsidR="00250974" w:rsidRPr="00642A5D">
        <w:t>gas development is not sufficient to pose a</w:t>
      </w:r>
      <w:r w:rsidR="005B40D0">
        <w:t>n impact</w:t>
      </w:r>
      <w:r w:rsidR="00250974" w:rsidRPr="00642A5D">
        <w:t xml:space="preserve"> to </w:t>
      </w:r>
      <w:r w:rsidR="005B40D0">
        <w:t>groundwater</w:t>
      </w:r>
      <w:r w:rsidR="00250974" w:rsidRPr="00642A5D">
        <w:t xml:space="preserve"> </w:t>
      </w:r>
      <w:r w:rsidR="00EE1970" w:rsidRPr="00642A5D">
        <w:t>users</w:t>
      </w:r>
      <w:r w:rsidR="00250974" w:rsidRPr="00642A5D">
        <w:t xml:space="preserve">. </w:t>
      </w:r>
    </w:p>
    <w:p w14:paraId="678032CB" w14:textId="37E5AAD9" w:rsidR="00EE1970" w:rsidRPr="00642A5D" w:rsidRDefault="00055497" w:rsidP="00C150BC">
      <w:pPr>
        <w:pStyle w:val="bulletlist0"/>
      </w:pPr>
      <w:r>
        <w:t>•</w:t>
      </w:r>
      <w:r>
        <w:tab/>
      </w:r>
      <w:r w:rsidR="00250974" w:rsidRPr="00642A5D">
        <w:t xml:space="preserve">The </w:t>
      </w:r>
      <w:r w:rsidR="00EB61BB">
        <w:t>potential impact</w:t>
      </w:r>
      <w:r w:rsidR="00992BC5">
        <w:t>s</w:t>
      </w:r>
      <w:r w:rsidR="00EB61BB" w:rsidRPr="00642A5D">
        <w:t xml:space="preserve"> </w:t>
      </w:r>
      <w:r w:rsidR="00250974" w:rsidRPr="00642A5D">
        <w:t xml:space="preserve">to surface water users from </w:t>
      </w:r>
      <w:r w:rsidR="00992BC5">
        <w:t xml:space="preserve">all </w:t>
      </w:r>
      <w:r w:rsidR="00250974" w:rsidRPr="00642A5D">
        <w:t>gas development</w:t>
      </w:r>
      <w:r>
        <w:t>s</w:t>
      </w:r>
      <w:r w:rsidR="00250974" w:rsidRPr="00642A5D">
        <w:t xml:space="preserve"> </w:t>
      </w:r>
      <w:r w:rsidR="00992BC5">
        <w:t>are</w:t>
      </w:r>
      <w:r w:rsidR="00250974" w:rsidRPr="00642A5D">
        <w:t xml:space="preserve"> </w:t>
      </w:r>
      <w:r>
        <w:t xml:space="preserve">assessed as </w:t>
      </w:r>
      <w:r w:rsidR="00250974" w:rsidRPr="00642A5D">
        <w:t xml:space="preserve">low. The </w:t>
      </w:r>
      <w:r w:rsidR="00EB61BB">
        <w:t>potential impact</w:t>
      </w:r>
      <w:r w:rsidR="00EB61BB" w:rsidRPr="00642A5D">
        <w:t xml:space="preserve"> </w:t>
      </w:r>
      <w:r w:rsidR="00250974" w:rsidRPr="00642A5D">
        <w:t xml:space="preserve">to surface water ecosystems mirrors the </w:t>
      </w:r>
      <w:r w:rsidR="00EB61BB">
        <w:t>potential impact</w:t>
      </w:r>
      <w:r w:rsidR="00EB61BB" w:rsidRPr="00642A5D">
        <w:t xml:space="preserve"> </w:t>
      </w:r>
      <w:r w:rsidR="00250974" w:rsidRPr="00642A5D">
        <w:t xml:space="preserve">to surface water users, because </w:t>
      </w:r>
      <w:r w:rsidR="00EA6556" w:rsidRPr="00642A5D">
        <w:t xml:space="preserve">the </w:t>
      </w:r>
      <w:r w:rsidR="00180E7F" w:rsidRPr="00642A5D">
        <w:t xml:space="preserve">same </w:t>
      </w:r>
      <w:r w:rsidR="00A76D25">
        <w:t>drawdown</w:t>
      </w:r>
      <w:r w:rsidR="00250974" w:rsidRPr="00642A5D">
        <w:t xml:space="preserve"> scale has been adopted.</w:t>
      </w:r>
      <w:r w:rsidR="00180E7F" w:rsidRPr="00642A5D">
        <w:t xml:space="preserve"> </w:t>
      </w:r>
      <w:r w:rsidR="00250974" w:rsidRPr="00642A5D">
        <w:t xml:space="preserve">In all cases the </w:t>
      </w:r>
      <w:r w:rsidR="00EB61BB">
        <w:t>potential impact</w:t>
      </w:r>
      <w:r w:rsidR="00EB61BB" w:rsidRPr="00642A5D">
        <w:t xml:space="preserve"> </w:t>
      </w:r>
      <w:r w:rsidR="00250974" w:rsidRPr="00642A5D">
        <w:t xml:space="preserve">to surface water ecosystems from </w:t>
      </w:r>
      <w:r w:rsidR="00992BC5">
        <w:t xml:space="preserve">all </w:t>
      </w:r>
      <w:r w:rsidR="00250974" w:rsidRPr="00642A5D">
        <w:t xml:space="preserve">gas development </w:t>
      </w:r>
      <w:r w:rsidR="00992BC5">
        <w:t xml:space="preserve">scenarios are assessed as </w:t>
      </w:r>
      <w:r w:rsidR="00250974" w:rsidRPr="00642A5D">
        <w:t>low.</w:t>
      </w:r>
    </w:p>
    <w:p w14:paraId="3C299520" w14:textId="53DF7C79" w:rsidR="00E672DD" w:rsidRPr="00B35CFB" w:rsidRDefault="00055497" w:rsidP="00C150BC">
      <w:pPr>
        <w:pStyle w:val="bulletlist0"/>
      </w:pPr>
      <w:r>
        <w:t>•</w:t>
      </w:r>
      <w:r>
        <w:tab/>
      </w:r>
      <w:r w:rsidR="00EE1970" w:rsidRPr="00642A5D">
        <w:t>As exploration would have less impact than full development</w:t>
      </w:r>
      <w:r w:rsidR="00C766A2">
        <w:t>,</w:t>
      </w:r>
      <w:r w:rsidR="00EE1970" w:rsidRPr="00642A5D">
        <w:t xml:space="preserve"> the </w:t>
      </w:r>
      <w:r w:rsidR="00EB61BB">
        <w:t>potential impact</w:t>
      </w:r>
      <w:r w:rsidR="00EB61BB" w:rsidRPr="00642A5D">
        <w:t xml:space="preserve"> </w:t>
      </w:r>
      <w:r w:rsidR="00EE1970" w:rsidRPr="00642A5D">
        <w:t xml:space="preserve">of exploration is also </w:t>
      </w:r>
      <w:r>
        <w:t>assessed as</w:t>
      </w:r>
      <w:r w:rsidR="00EE1970" w:rsidRPr="00642A5D">
        <w:t xml:space="preserve"> low.</w:t>
      </w:r>
    </w:p>
    <w:p w14:paraId="224ABE60" w14:textId="1C5060A8" w:rsidR="00566159" w:rsidRPr="00642A5D" w:rsidRDefault="00B35CFB" w:rsidP="007645B8">
      <w:pPr>
        <w:pStyle w:val="Head2xx"/>
      </w:pPr>
      <w:bookmarkStart w:id="419" w:name="_Toc420568696"/>
      <w:bookmarkStart w:id="420" w:name="_Toc420570278"/>
      <w:bookmarkStart w:id="421" w:name="_Toc420571474"/>
      <w:bookmarkStart w:id="422" w:name="_Toc420572112"/>
      <w:bookmarkStart w:id="423" w:name="_Toc296766969"/>
      <w:bookmarkStart w:id="424" w:name="_Toc422927903"/>
      <w:r>
        <w:t>3.4</w:t>
      </w:r>
      <w:r>
        <w:tab/>
      </w:r>
      <w:r w:rsidR="005011BC">
        <w:t>Potential impact</w:t>
      </w:r>
      <w:r w:rsidR="005011BC" w:rsidRPr="00642A5D">
        <w:t xml:space="preserve"> </w:t>
      </w:r>
      <w:r w:rsidR="00566159" w:rsidRPr="00642A5D">
        <w:t xml:space="preserve">to </w:t>
      </w:r>
      <w:r w:rsidR="00FB4F59">
        <w:t>g</w:t>
      </w:r>
      <w:r w:rsidR="00FB4F59" w:rsidRPr="00642A5D">
        <w:t xml:space="preserve">roundwater </w:t>
      </w:r>
      <w:r w:rsidR="00FB4F59">
        <w:t>q</w:t>
      </w:r>
      <w:r w:rsidR="00FB4F59" w:rsidRPr="00642A5D">
        <w:t>uality</w:t>
      </w:r>
      <w:bookmarkEnd w:id="419"/>
      <w:bookmarkEnd w:id="420"/>
      <w:bookmarkEnd w:id="421"/>
      <w:bookmarkEnd w:id="422"/>
      <w:bookmarkEnd w:id="423"/>
      <w:bookmarkEnd w:id="424"/>
    </w:p>
    <w:p w14:paraId="287622DF" w14:textId="76E7FB26" w:rsidR="00CF1C5C" w:rsidRPr="00642A5D" w:rsidRDefault="00566159">
      <w:pPr>
        <w:rPr>
          <w:lang w:eastAsia="en-US"/>
        </w:rPr>
      </w:pPr>
      <w:r w:rsidRPr="00642A5D">
        <w:rPr>
          <w:lang w:eastAsia="en-US"/>
        </w:rPr>
        <w:t xml:space="preserve">Groundwater quality </w:t>
      </w:r>
      <w:r w:rsidR="005011BC">
        <w:rPr>
          <w:lang w:eastAsia="en-US"/>
        </w:rPr>
        <w:t xml:space="preserve">could </w:t>
      </w:r>
      <w:r w:rsidRPr="00642A5D">
        <w:rPr>
          <w:lang w:eastAsia="en-US"/>
        </w:rPr>
        <w:t>be affected where gas development</w:t>
      </w:r>
      <w:r w:rsidR="00E52D1A">
        <w:rPr>
          <w:lang w:eastAsia="en-US"/>
        </w:rPr>
        <w:t>,</w:t>
      </w:r>
      <w:r w:rsidRPr="00642A5D">
        <w:rPr>
          <w:lang w:eastAsia="en-US"/>
        </w:rPr>
        <w:t xml:space="preserve"> combined with regional groundwater use</w:t>
      </w:r>
      <w:r w:rsidR="00E52D1A">
        <w:rPr>
          <w:lang w:eastAsia="en-US"/>
        </w:rPr>
        <w:t>,</w:t>
      </w:r>
      <w:r w:rsidRPr="00642A5D">
        <w:rPr>
          <w:lang w:eastAsia="en-US"/>
        </w:rPr>
        <w:t xml:space="preserve"> causes drawdown to change </w:t>
      </w:r>
      <w:r w:rsidR="00C66A6A">
        <w:rPr>
          <w:lang w:eastAsia="en-US"/>
        </w:rPr>
        <w:t>groundwater</w:t>
      </w:r>
      <w:r w:rsidR="00C66A6A" w:rsidRPr="00642A5D">
        <w:rPr>
          <w:lang w:eastAsia="en-US"/>
        </w:rPr>
        <w:t xml:space="preserve"> </w:t>
      </w:r>
      <w:r w:rsidRPr="00642A5D">
        <w:rPr>
          <w:lang w:eastAsia="en-US"/>
        </w:rPr>
        <w:t xml:space="preserve">gradients. </w:t>
      </w:r>
      <w:r w:rsidR="005011BC">
        <w:rPr>
          <w:lang w:eastAsia="en-US"/>
        </w:rPr>
        <w:t xml:space="preserve">If </w:t>
      </w:r>
      <w:r w:rsidRPr="00642A5D">
        <w:rPr>
          <w:lang w:eastAsia="en-US"/>
        </w:rPr>
        <w:t xml:space="preserve">this </w:t>
      </w:r>
      <w:r w:rsidR="00C66A6A">
        <w:rPr>
          <w:lang w:eastAsia="en-US"/>
        </w:rPr>
        <w:t xml:space="preserve">was </w:t>
      </w:r>
      <w:r w:rsidRPr="00642A5D">
        <w:rPr>
          <w:lang w:eastAsia="en-US"/>
        </w:rPr>
        <w:t>to occur where low quality</w:t>
      </w:r>
      <w:r w:rsidR="00CF1C5C" w:rsidRPr="00642A5D">
        <w:rPr>
          <w:lang w:eastAsia="en-US"/>
        </w:rPr>
        <w:t xml:space="preserve"> groundwater</w:t>
      </w:r>
      <w:r w:rsidRPr="00642A5D">
        <w:rPr>
          <w:lang w:eastAsia="en-US"/>
        </w:rPr>
        <w:t xml:space="preserve"> </w:t>
      </w:r>
      <w:r w:rsidR="00412805">
        <w:rPr>
          <w:lang w:eastAsia="en-US"/>
        </w:rPr>
        <w:br/>
      </w:r>
      <w:r w:rsidR="00CF1C5C" w:rsidRPr="00642A5D">
        <w:rPr>
          <w:lang w:eastAsia="en-US"/>
        </w:rPr>
        <w:t xml:space="preserve">and high quality groundwater exist adjacent to each other, there is potential for high quality groundwater </w:t>
      </w:r>
      <w:r w:rsidR="00412805">
        <w:rPr>
          <w:lang w:eastAsia="en-US"/>
        </w:rPr>
        <w:br/>
      </w:r>
      <w:r w:rsidR="00CF1C5C" w:rsidRPr="00642A5D">
        <w:rPr>
          <w:lang w:eastAsia="en-US"/>
        </w:rPr>
        <w:t xml:space="preserve">to become contaminated via mixing with poor quality groundwater. This could occur between two </w:t>
      </w:r>
      <w:r w:rsidR="00412805">
        <w:rPr>
          <w:lang w:eastAsia="en-US"/>
        </w:rPr>
        <w:br/>
      </w:r>
      <w:r w:rsidR="00CF1C5C" w:rsidRPr="00642A5D">
        <w:rPr>
          <w:lang w:eastAsia="en-US"/>
        </w:rPr>
        <w:t>adjacent aquifers that contain groundwater of variable quality, or within an aquifer that contains variable groundwater quality.</w:t>
      </w:r>
    </w:p>
    <w:p w14:paraId="57248F1D" w14:textId="6CBE3B45" w:rsidR="00BF54CE" w:rsidRPr="00642A5D" w:rsidRDefault="00566159">
      <w:pPr>
        <w:rPr>
          <w:lang w:eastAsia="en-US"/>
        </w:rPr>
      </w:pPr>
      <w:r w:rsidRPr="00642A5D">
        <w:rPr>
          <w:lang w:eastAsia="en-US"/>
        </w:rPr>
        <w:t>Th</w:t>
      </w:r>
      <w:r w:rsidR="005011BC">
        <w:rPr>
          <w:lang w:eastAsia="en-US"/>
        </w:rPr>
        <w:t>is assessment has determined that the</w:t>
      </w:r>
      <w:r w:rsidRPr="00642A5D">
        <w:rPr>
          <w:lang w:eastAsia="en-US"/>
        </w:rPr>
        <w:t xml:space="preserve"> impact of gas development o</w:t>
      </w:r>
      <w:r w:rsidR="005011BC">
        <w:rPr>
          <w:lang w:eastAsia="en-US"/>
        </w:rPr>
        <w:t>n</w:t>
      </w:r>
      <w:r w:rsidRPr="00642A5D">
        <w:rPr>
          <w:lang w:eastAsia="en-US"/>
        </w:rPr>
        <w:t xml:space="preserve"> groundwater gradients in the aquifer sequence is small and w</w:t>
      </w:r>
      <w:r w:rsidR="005011BC">
        <w:rPr>
          <w:lang w:eastAsia="en-US"/>
        </w:rPr>
        <w:t>e</w:t>
      </w:r>
      <w:r w:rsidRPr="00642A5D">
        <w:rPr>
          <w:lang w:eastAsia="en-US"/>
        </w:rPr>
        <w:t>ll within the range of gradients that have already been experienc</w:t>
      </w:r>
      <w:r w:rsidR="003050C3">
        <w:rPr>
          <w:lang w:eastAsia="en-US"/>
        </w:rPr>
        <w:t>ed by aquifers</w:t>
      </w:r>
      <w:r w:rsidRPr="00642A5D">
        <w:rPr>
          <w:lang w:eastAsia="en-US"/>
        </w:rPr>
        <w:t>.</w:t>
      </w:r>
      <w:r w:rsidR="003050C3">
        <w:rPr>
          <w:lang w:eastAsia="en-US"/>
        </w:rPr>
        <w:t xml:space="preserve"> </w:t>
      </w:r>
      <w:r w:rsidR="00CF1C5C" w:rsidRPr="00642A5D">
        <w:rPr>
          <w:lang w:eastAsia="en-US"/>
        </w:rPr>
        <w:t>As such, the hydraulic gradient within</w:t>
      </w:r>
      <w:r w:rsidR="00E52D1A">
        <w:rPr>
          <w:lang w:eastAsia="en-US"/>
        </w:rPr>
        <w:t>,</w:t>
      </w:r>
      <w:r w:rsidR="00CF1C5C" w:rsidRPr="00642A5D">
        <w:rPr>
          <w:lang w:eastAsia="en-US"/>
        </w:rPr>
        <w:t xml:space="preserve"> and between aquifers</w:t>
      </w:r>
      <w:r w:rsidR="00E52D1A">
        <w:rPr>
          <w:lang w:eastAsia="en-US"/>
        </w:rPr>
        <w:t>,</w:t>
      </w:r>
      <w:r w:rsidR="00A76D25">
        <w:rPr>
          <w:lang w:eastAsia="en-US"/>
        </w:rPr>
        <w:t xml:space="preserve"> is not likely </w:t>
      </w:r>
      <w:r w:rsidR="00CF1C5C" w:rsidRPr="00642A5D">
        <w:rPr>
          <w:lang w:eastAsia="en-US"/>
        </w:rPr>
        <w:t>to vary considerably in response to the scenarios</w:t>
      </w:r>
      <w:r w:rsidR="00E52D1A">
        <w:rPr>
          <w:lang w:eastAsia="en-US"/>
        </w:rPr>
        <w:t>,</w:t>
      </w:r>
      <w:r w:rsidR="00CF1C5C" w:rsidRPr="00642A5D">
        <w:rPr>
          <w:lang w:eastAsia="en-US"/>
        </w:rPr>
        <w:t xml:space="preserve"> and contamination of high quality groundwater with adjacent low quality groundwater is not likely to occur either within or between aquifers. </w:t>
      </w:r>
      <w:r w:rsidRPr="00642A5D">
        <w:rPr>
          <w:lang w:eastAsia="en-US"/>
        </w:rPr>
        <w:t xml:space="preserve">This is to be contrasted with other areas in Australia where gas development occurs within the aquifer sequence and there is not always a seal or aquitard to effectively isolate the </w:t>
      </w:r>
      <w:r w:rsidR="008F4F83" w:rsidRPr="00642A5D">
        <w:rPr>
          <w:lang w:eastAsia="en-US"/>
        </w:rPr>
        <w:t xml:space="preserve">drawdown from </w:t>
      </w:r>
      <w:r w:rsidRPr="00642A5D">
        <w:rPr>
          <w:lang w:eastAsia="en-US"/>
        </w:rPr>
        <w:t>gas development.</w:t>
      </w:r>
    </w:p>
    <w:p w14:paraId="1712DB48" w14:textId="3A9727B4" w:rsidR="00344EA8" w:rsidRPr="00642A5D" w:rsidRDefault="00566159">
      <w:pPr>
        <w:rPr>
          <w:lang w:eastAsia="en-US"/>
        </w:rPr>
      </w:pPr>
      <w:r w:rsidRPr="00642A5D">
        <w:rPr>
          <w:lang w:eastAsia="en-US"/>
        </w:rPr>
        <w:t xml:space="preserve">In the Otway region the </w:t>
      </w:r>
      <w:r w:rsidR="003050C3">
        <w:t>potential impact</w:t>
      </w:r>
      <w:r w:rsidR="003050C3" w:rsidRPr="00642A5D">
        <w:rPr>
          <w:lang w:eastAsia="en-US"/>
        </w:rPr>
        <w:t xml:space="preserve"> </w:t>
      </w:r>
      <w:r w:rsidRPr="00642A5D">
        <w:rPr>
          <w:lang w:eastAsia="en-US"/>
        </w:rPr>
        <w:t xml:space="preserve">of groundwater quality changes is </w:t>
      </w:r>
      <w:r w:rsidR="0067364F">
        <w:rPr>
          <w:lang w:eastAsia="en-US"/>
        </w:rPr>
        <w:t xml:space="preserve">assessed as </w:t>
      </w:r>
      <w:r w:rsidRPr="00642A5D">
        <w:rPr>
          <w:lang w:eastAsia="en-US"/>
        </w:rPr>
        <w:t>low.</w:t>
      </w:r>
    </w:p>
    <w:p w14:paraId="10426EB2" w14:textId="77777777" w:rsidR="00535122" w:rsidRDefault="00535122" w:rsidP="00B35CFB">
      <w:pPr>
        <w:rPr>
          <w:rFonts w:cs="Arial"/>
          <w:color w:val="005A97" w:themeColor="text1"/>
          <w:sz w:val="52"/>
          <w:szCs w:val="48"/>
          <w:lang w:val="en-US" w:eastAsia="en-US"/>
        </w:rPr>
      </w:pPr>
      <w:bookmarkStart w:id="425" w:name="_Ref406510701"/>
      <w:bookmarkStart w:id="426" w:name="_Ref406514164"/>
      <w:bookmarkStart w:id="427" w:name="_Ref406514210"/>
      <w:bookmarkStart w:id="428" w:name="_Ref406592407"/>
      <w:bookmarkStart w:id="429" w:name="_Ref406594094"/>
      <w:r>
        <w:br w:type="page"/>
      </w:r>
    </w:p>
    <w:p w14:paraId="4973092F" w14:textId="3F012B8E" w:rsidR="00BF54CE" w:rsidRPr="00642A5D" w:rsidRDefault="00A35B08" w:rsidP="00412805">
      <w:pPr>
        <w:pStyle w:val="Head1x"/>
        <w:ind w:left="709" w:hanging="709"/>
      </w:pPr>
      <w:bookmarkStart w:id="430" w:name="_Toc420568697"/>
      <w:bookmarkStart w:id="431" w:name="_Toc420570279"/>
      <w:bookmarkStart w:id="432" w:name="_Toc420571475"/>
      <w:bookmarkStart w:id="433" w:name="_Toc420572113"/>
      <w:bookmarkStart w:id="434" w:name="_Toc296766970"/>
      <w:bookmarkStart w:id="435" w:name="_Toc422927904"/>
      <w:r>
        <w:t>4</w:t>
      </w:r>
      <w:r>
        <w:tab/>
      </w:r>
      <w:r w:rsidR="00946902">
        <w:t xml:space="preserve">Chemical </w:t>
      </w:r>
      <w:r w:rsidR="003050C3">
        <w:t xml:space="preserve">contamination </w:t>
      </w:r>
      <w:r w:rsidR="00946902">
        <w:t>of</w:t>
      </w:r>
      <w:r w:rsidR="002A14FD">
        <w:t xml:space="preserve"> </w:t>
      </w:r>
      <w:r w:rsidR="00946902">
        <w:t xml:space="preserve">groundwater </w:t>
      </w:r>
      <w:r w:rsidR="003050C3">
        <w:t>from h</w:t>
      </w:r>
      <w:r w:rsidR="00862DB6" w:rsidRPr="00642A5D">
        <w:t xml:space="preserve">ydraulic </w:t>
      </w:r>
      <w:r w:rsidR="00412805">
        <w:br/>
      </w:r>
      <w:r w:rsidR="00862DB6" w:rsidRPr="00642A5D">
        <w:t>fracturing</w:t>
      </w:r>
      <w:r w:rsidR="0061023B">
        <w:t xml:space="preserve"> fluids:</w:t>
      </w:r>
      <w:r w:rsidR="00EF340F" w:rsidRPr="00642A5D">
        <w:t xml:space="preserve"> risk assessment</w:t>
      </w:r>
      <w:bookmarkEnd w:id="425"/>
      <w:bookmarkEnd w:id="426"/>
      <w:bookmarkEnd w:id="427"/>
      <w:bookmarkEnd w:id="428"/>
      <w:bookmarkEnd w:id="429"/>
      <w:bookmarkEnd w:id="430"/>
      <w:bookmarkEnd w:id="431"/>
      <w:bookmarkEnd w:id="432"/>
      <w:bookmarkEnd w:id="433"/>
      <w:bookmarkEnd w:id="434"/>
      <w:bookmarkEnd w:id="435"/>
    </w:p>
    <w:p w14:paraId="5D343A79" w14:textId="4A80EFCC" w:rsidR="00027A1E" w:rsidRPr="00642A5D" w:rsidRDefault="00027A1E" w:rsidP="005A1A27">
      <w:pPr>
        <w:pStyle w:val="Para0"/>
      </w:pPr>
      <w:r w:rsidRPr="00642A5D">
        <w:t>Hydraulic fractur</w:t>
      </w:r>
      <w:r w:rsidR="00DC509D" w:rsidRPr="00642A5D">
        <w:t xml:space="preserve">ing </w:t>
      </w:r>
      <w:r w:rsidRPr="00642A5D">
        <w:t>is variously known as well stimulation, hydraulic fracturing, fraccing or fracking. </w:t>
      </w:r>
      <w:r w:rsidR="0067364F">
        <w:t>T</w:t>
      </w:r>
      <w:r w:rsidRPr="00642A5D">
        <w:t xml:space="preserve">he </w:t>
      </w:r>
      <w:r w:rsidR="0067364F">
        <w:t xml:space="preserve">technical </w:t>
      </w:r>
      <w:r w:rsidRPr="00642A5D">
        <w:t xml:space="preserve">term ‘hydraulic fracturing’ is </w:t>
      </w:r>
      <w:r w:rsidR="0067364F">
        <w:t>used in this report</w:t>
      </w:r>
      <w:r w:rsidR="007F6E2E" w:rsidRPr="00642A5D">
        <w:t>.</w:t>
      </w:r>
    </w:p>
    <w:p w14:paraId="6CABEEE5" w14:textId="4D3F4229" w:rsidR="00A528CB" w:rsidRDefault="00A528CB" w:rsidP="005A1A27">
      <w:pPr>
        <w:pStyle w:val="Para0"/>
      </w:pPr>
      <w:r>
        <w:t xml:space="preserve">This report is a qualitative assessment of impacts from </w:t>
      </w:r>
      <w:r w:rsidR="00946902">
        <w:t xml:space="preserve">chemical </w:t>
      </w:r>
      <w:r>
        <w:t xml:space="preserve">contamination </w:t>
      </w:r>
      <w:r w:rsidR="00946902">
        <w:t xml:space="preserve">of groundwater </w:t>
      </w:r>
      <w:r>
        <w:t xml:space="preserve">from hydraulic fracturing, as the technical detail required to undertake more detailed analysis in Victoria is </w:t>
      </w:r>
      <w:r w:rsidR="006800F3">
        <w:br/>
      </w:r>
      <w:r>
        <w:t xml:space="preserve">not </w:t>
      </w:r>
      <w:r w:rsidR="002D4544">
        <w:t>available</w:t>
      </w:r>
      <w:r>
        <w:t>.</w:t>
      </w:r>
    </w:p>
    <w:p w14:paraId="37B40B19" w14:textId="1FE404F8" w:rsidR="00696D8E" w:rsidRPr="00642A5D" w:rsidRDefault="00027A1E" w:rsidP="005A1A27">
      <w:pPr>
        <w:pStyle w:val="Para0"/>
      </w:pPr>
      <w:r w:rsidRPr="00642A5D">
        <w:t xml:space="preserve">If onshore gas reserves </w:t>
      </w:r>
      <w:r w:rsidR="00696D8E" w:rsidRPr="00642A5D">
        <w:t>were to be discovered</w:t>
      </w:r>
      <w:r w:rsidRPr="00642A5D">
        <w:t xml:space="preserve"> in the Otway </w:t>
      </w:r>
      <w:r w:rsidR="006F739E" w:rsidRPr="00642A5D">
        <w:t>region</w:t>
      </w:r>
      <w:r w:rsidRPr="00642A5D">
        <w:t xml:space="preserve">, </w:t>
      </w:r>
      <w:r w:rsidR="006F739E" w:rsidRPr="00642A5D">
        <w:t xml:space="preserve">hydraulic fracturing </w:t>
      </w:r>
      <w:r w:rsidR="003B2F9B" w:rsidRPr="00642A5D">
        <w:t>may be employed</w:t>
      </w:r>
      <w:r w:rsidR="006F739E" w:rsidRPr="00642A5D">
        <w:t xml:space="preserve"> to develop tight/shale gas and </w:t>
      </w:r>
      <w:r w:rsidR="009D587F" w:rsidRPr="00642A5D">
        <w:t>possibly</w:t>
      </w:r>
      <w:r w:rsidR="006F739E" w:rsidRPr="00642A5D">
        <w:t xml:space="preserve"> deep coal seam gas</w:t>
      </w:r>
      <w:r w:rsidR="009D587F" w:rsidRPr="00642A5D">
        <w:t>.</w:t>
      </w:r>
      <w:r w:rsidR="003B2F9B" w:rsidRPr="00642A5D">
        <w:t xml:space="preserve"> As the geological understanding of these potential reservoirs in the </w:t>
      </w:r>
      <w:r w:rsidR="007C4916">
        <w:t>Otway region</w:t>
      </w:r>
      <w:r w:rsidR="003B2F9B" w:rsidRPr="00642A5D">
        <w:t xml:space="preserve"> is immature, it is not known whether the rocks are suitable for fracturing.</w:t>
      </w:r>
      <w:r w:rsidR="009A72C5">
        <w:t xml:space="preserve"> </w:t>
      </w:r>
      <w:r w:rsidRPr="00642A5D">
        <w:t xml:space="preserve">While there is </w:t>
      </w:r>
      <w:r w:rsidR="007F6E2E" w:rsidRPr="00642A5D">
        <w:t xml:space="preserve">a </w:t>
      </w:r>
      <w:r w:rsidRPr="00642A5D">
        <w:t>significant volume of information available on the risks associated with hydraulic fracturing, the risks are difficult to quanti</w:t>
      </w:r>
      <w:r w:rsidR="003B2F9B" w:rsidRPr="00642A5D">
        <w:t>f</w:t>
      </w:r>
      <w:r w:rsidRPr="00642A5D">
        <w:t>y at a</w:t>
      </w:r>
      <w:r w:rsidR="00696D8E" w:rsidRPr="00642A5D">
        <w:t xml:space="preserve">ny scale in the </w:t>
      </w:r>
      <w:r w:rsidR="007C4916">
        <w:t>Otway region</w:t>
      </w:r>
      <w:r w:rsidR="00696D8E" w:rsidRPr="00642A5D">
        <w:t xml:space="preserve"> due to the high level of uncertainty associated with the geology.</w:t>
      </w:r>
    </w:p>
    <w:p w14:paraId="111AA171" w14:textId="58FFA64A" w:rsidR="00BF54CE" w:rsidRPr="00642A5D" w:rsidRDefault="00027A1E" w:rsidP="005A1A27">
      <w:pPr>
        <w:pStyle w:val="Para0"/>
      </w:pPr>
      <w:r w:rsidRPr="00642A5D">
        <w:t xml:space="preserve">Information required to fully assess the risks of hydraulic fracturing include detailed </w:t>
      </w:r>
      <w:r w:rsidR="00696D8E" w:rsidRPr="00642A5D">
        <w:t>data associated with</w:t>
      </w:r>
      <w:r w:rsidRPr="00642A5D">
        <w:t xml:space="preserve"> rock and reservoir properties, details about the proposed drilling and development techniques</w:t>
      </w:r>
      <w:r w:rsidR="003114E6">
        <w:t>,</w:t>
      </w:r>
      <w:r w:rsidRPr="00642A5D">
        <w:t xml:space="preserve"> and specific analysis of the combination of these factors at individual well sites. </w:t>
      </w:r>
      <w:r w:rsidR="009D587F" w:rsidRPr="00642A5D">
        <w:t>Given</w:t>
      </w:r>
      <w:r w:rsidR="003114E6">
        <w:t xml:space="preserve"> that</w:t>
      </w:r>
      <w:r w:rsidR="009D587F" w:rsidRPr="00642A5D">
        <w:t xml:space="preserve"> none</w:t>
      </w:r>
      <w:r w:rsidRPr="00642A5D">
        <w:t xml:space="preserve"> of this detailed informat</w:t>
      </w:r>
      <w:r w:rsidR="009D587F" w:rsidRPr="00642A5D">
        <w:t>ion is available for this study,</w:t>
      </w:r>
      <w:r w:rsidRPr="00642A5D">
        <w:t xml:space="preserve"> a review of the key factors that influence the risks and how they </w:t>
      </w:r>
      <w:r w:rsidR="00696D8E" w:rsidRPr="00642A5D">
        <w:t xml:space="preserve">might </w:t>
      </w:r>
      <w:r w:rsidRPr="00642A5D">
        <w:t xml:space="preserve">relate to Victorian onshore gas </w:t>
      </w:r>
      <w:r w:rsidR="009D587F" w:rsidRPr="00642A5D">
        <w:t>has been undertaken</w:t>
      </w:r>
      <w:r w:rsidRPr="00642A5D">
        <w:t xml:space="preserve">. To this end, this document presents a discussion on the potential risks associated with hydraulic fracturing and builds upon scientific research and case studies in order to evaluate the associated risks to water resources. A key reference for this risk assessment discussion is Cook </w:t>
      </w:r>
      <w:r w:rsidR="0061023B" w:rsidRPr="0061023B">
        <w:t>et al.</w:t>
      </w:r>
      <w:r w:rsidRPr="00642A5D">
        <w:t xml:space="preserve"> (2013)</w:t>
      </w:r>
      <w:r w:rsidR="00F370D6">
        <w:t>,</w:t>
      </w:r>
      <w:r w:rsidRPr="00642A5D">
        <w:t xml:space="preserve"> who completed a study on shale gas in Australia. Cook </w:t>
      </w:r>
      <w:r w:rsidR="0061023B" w:rsidRPr="0061023B">
        <w:t>et al.</w:t>
      </w:r>
      <w:r w:rsidRPr="00642A5D">
        <w:t xml:space="preserve"> (2013) </w:t>
      </w:r>
      <w:r w:rsidR="0061023B" w:rsidRPr="00642A5D">
        <w:t>buil</w:t>
      </w:r>
      <w:r w:rsidR="0061023B">
        <w:t>t</w:t>
      </w:r>
      <w:r w:rsidR="0061023B" w:rsidRPr="00642A5D">
        <w:t xml:space="preserve"> </w:t>
      </w:r>
      <w:r w:rsidRPr="00642A5D">
        <w:t xml:space="preserve">on other key references such as King (2012) and </w:t>
      </w:r>
      <w:r w:rsidR="000717E9">
        <w:t>RS/RA</w:t>
      </w:r>
      <w:r w:rsidR="00F370D6">
        <w:t>E</w:t>
      </w:r>
      <w:r w:rsidRPr="00642A5D">
        <w:t xml:space="preserve"> (2012).</w:t>
      </w:r>
    </w:p>
    <w:p w14:paraId="1C3D4660" w14:textId="77777777" w:rsidR="000717E9" w:rsidRPr="003B5E5B" w:rsidRDefault="000717E9" w:rsidP="000717E9">
      <w:pPr>
        <w:pStyle w:val="Head2xx"/>
      </w:pPr>
      <w:bookmarkStart w:id="436" w:name="_Ref409795994"/>
      <w:bookmarkStart w:id="437" w:name="_Toc420510999"/>
      <w:bookmarkStart w:id="438" w:name="_Toc420572598"/>
      <w:bookmarkStart w:id="439" w:name="_Toc296656460"/>
      <w:bookmarkStart w:id="440" w:name="_Toc296766971"/>
      <w:bookmarkStart w:id="441" w:name="_Toc422927905"/>
      <w:r>
        <w:t>4.1</w:t>
      </w:r>
      <w:r>
        <w:tab/>
      </w:r>
      <w:r w:rsidRPr="003B5E5B">
        <w:t>Overview of hydraulic fracturing</w:t>
      </w:r>
      <w:bookmarkEnd w:id="436"/>
      <w:bookmarkEnd w:id="437"/>
      <w:bookmarkEnd w:id="438"/>
      <w:bookmarkEnd w:id="439"/>
      <w:bookmarkEnd w:id="440"/>
      <w:bookmarkEnd w:id="441"/>
    </w:p>
    <w:p w14:paraId="75C1A4F1" w14:textId="77777777" w:rsidR="000717E9" w:rsidRDefault="000717E9" w:rsidP="000717E9">
      <w:r w:rsidRPr="00D467A3">
        <w:t>Hydraulic fracturing is a technique that has been employed in the petroleum industry globally for over 60 years and in Australia for over 40 years</w:t>
      </w:r>
      <w:r>
        <w:t>. The process involves ‘stimulating’ the hydrocarbon-bearing formations by the injection of fluid (and other materials) under high pressure to enhance the flow of hydrocarbons to the well head during later development. This stimulation creates or enhances permeability and existing fluid and gas pathways. Typically the process creates additional fractures in the reservoir rock and holds open for a period of time.</w:t>
      </w:r>
    </w:p>
    <w:p w14:paraId="20E1AA1D" w14:textId="0EDA00E7" w:rsidR="000717E9" w:rsidRDefault="000717E9" w:rsidP="000717E9">
      <w:r>
        <w:t xml:space="preserve">Hydraulic fracturing is required for most, though not all, types of onshore gas development. Hydraulic fracturing is not normally required for conventional gas </w:t>
      </w:r>
      <w:r w:rsidRPr="002242F5">
        <w:t>because of the high porosities and permeabilities in which conventional gas is commonly found, together with the high formation pressures</w:t>
      </w:r>
      <w:r>
        <w:t>.</w:t>
      </w:r>
      <w:r w:rsidRPr="002242F5">
        <w:t xml:space="preserve"> </w:t>
      </w:r>
      <w:r>
        <w:t>L</w:t>
      </w:r>
      <w:r w:rsidRPr="002242F5">
        <w:t xml:space="preserve">arge amounts of </w:t>
      </w:r>
      <w:r>
        <w:t xml:space="preserve">conventional </w:t>
      </w:r>
      <w:r w:rsidRPr="002242F5">
        <w:t>gas can often be extracted using a small number of wells</w:t>
      </w:r>
      <w:r>
        <w:t xml:space="preserve">. </w:t>
      </w:r>
      <w:r w:rsidRPr="002242F5">
        <w:t xml:space="preserve">Shale gas and tight gas cannot </w:t>
      </w:r>
      <w:r>
        <w:t xml:space="preserve">usually </w:t>
      </w:r>
      <w:r w:rsidRPr="002242F5">
        <w:t>be extracted using a single production well of the type used for conventional gas, because of the low permeabilities</w:t>
      </w:r>
      <w:r>
        <w:t xml:space="preserve"> in the reservoir rocks. </w:t>
      </w:r>
      <w:r w:rsidRPr="002242F5">
        <w:t xml:space="preserve">In the case of </w:t>
      </w:r>
      <w:r>
        <w:t>coal seam gas</w:t>
      </w:r>
      <w:r w:rsidRPr="002242F5">
        <w:t xml:space="preserve">, some but not all gas fields have a high natural permeability due to the fractures </w:t>
      </w:r>
      <w:r>
        <w:t>in</w:t>
      </w:r>
      <w:r w:rsidRPr="002242F5">
        <w:t xml:space="preserve"> cleats</w:t>
      </w:r>
      <w:r>
        <w:t>, which means that hydraulic fracturing is required occasionally. In Australia s</w:t>
      </w:r>
      <w:r w:rsidRPr="00500176">
        <w:t xml:space="preserve">ince 2000, 8% of </w:t>
      </w:r>
      <w:r>
        <w:t>coal seam gas</w:t>
      </w:r>
      <w:r w:rsidRPr="00500176">
        <w:t xml:space="preserve"> wells have been hydraulically fractured</w:t>
      </w:r>
      <w:r>
        <w:t>,</w:t>
      </w:r>
      <w:r w:rsidRPr="00500176">
        <w:t xml:space="preserve"> and the industry estimates that between 10 and 40% of wells yet to be drilled for current </w:t>
      </w:r>
      <w:r>
        <w:t>coal seam gas</w:t>
      </w:r>
      <w:r w:rsidRPr="00500176">
        <w:t xml:space="preserve"> developments across Australia</w:t>
      </w:r>
      <w:r>
        <w:t xml:space="preserve"> (mainly Queensland)</w:t>
      </w:r>
      <w:r w:rsidRPr="00500176">
        <w:t xml:space="preserve"> may need some method of flow enhancement</w:t>
      </w:r>
      <w:r>
        <w:t>,</w:t>
      </w:r>
      <w:r w:rsidRPr="00500176">
        <w:t xml:space="preserve"> including h</w:t>
      </w:r>
      <w:r>
        <w:t xml:space="preserve">ydraulic fracturing (SKM, 2012). </w:t>
      </w:r>
    </w:p>
    <w:p w14:paraId="0C47D80E" w14:textId="1FDABA91" w:rsidR="000717E9" w:rsidRDefault="000717E9" w:rsidP="000717E9">
      <w:r>
        <w:t xml:space="preserve">There have been significant technological advancements over the last decade resulting in the growth of the shale gas industry in the United States. Cook et al. (2013) highlighted that the implementation processes such as deep horizontal drilling, multiple-stage hydraulic fracturing, improved real-time sensing monitoring to guide both the horizontal drilling and hydraulic fracturing processes have improved the viability of natural gas developments in United States. These technological improvements in horizontal drilling techniques within the petroleum industry is leading to coal seam gas developers utilising ‘surface to in-seam drilling’, or horizontal drilling, which can reduce the requirement for conventional hydraulic fracturing of coal seam gas wells </w:t>
      </w:r>
      <w:r w:rsidR="006800F3">
        <w:br/>
      </w:r>
      <w:r>
        <w:t>(SKM, 2012).</w:t>
      </w:r>
    </w:p>
    <w:p w14:paraId="1C220ED9" w14:textId="6213D613" w:rsidR="000717E9" w:rsidRDefault="000717E9" w:rsidP="000717E9">
      <w:r>
        <w:fldChar w:fldCharType="begin"/>
      </w:r>
      <w:r>
        <w:instrText xml:space="preserve"> REF _Ref406427211 \h </w:instrText>
      </w:r>
      <w:r>
        <w:fldChar w:fldCharType="separate"/>
      </w:r>
      <w:r w:rsidR="00171A5E">
        <w:t xml:space="preserve">Figure </w:t>
      </w:r>
      <w:r w:rsidR="00171A5E">
        <w:rPr>
          <w:noProof/>
        </w:rPr>
        <w:t>43</w:t>
      </w:r>
      <w:r>
        <w:fldChar w:fldCharType="end"/>
      </w:r>
      <w:r>
        <w:t xml:space="preserve"> illustrates the effects of hydraulic fracturing in a vertical well and a horizontal well. Hydraulic fracturing is often performed sequentially at multiple depths and horizontally along beds. Additionally, fracturing may be conducted multiple times in the same well over its life in order to widen or lengthen the initial fractures to increase gas productivity. </w:t>
      </w:r>
    </w:p>
    <w:p w14:paraId="08861D63" w14:textId="5E4D99D8" w:rsidR="000717E9" w:rsidRDefault="000717E9" w:rsidP="000717E9">
      <w:r>
        <w:t>Fluid volumes pumped down wells during the hydraulic fracturing of tight and shale gas formations are usually in the order of 10 to 20 million litres and reach maximum pressures of up to about 70 000 kPa over a period of a few hours (</w:t>
      </w:r>
      <w:r w:rsidRPr="008A6B5A">
        <w:t>Myers et al., 2012</w:t>
      </w:r>
      <w:r>
        <w:t xml:space="preserve">, Kissinger et al., 2013, </w:t>
      </w:r>
      <w:r w:rsidRPr="00194889">
        <w:t>Lan</w:t>
      </w:r>
      <w:r>
        <w:t>g</w:t>
      </w:r>
      <w:r w:rsidRPr="00194889">
        <w:t>e et al., 2013</w:t>
      </w:r>
      <w:r>
        <w:t xml:space="preserve">). In coal seam gas developments, fracture fluid volumes are typically much smaller, usually ranging between 0.5 and 3 million litres (CSIRO, 2014). </w:t>
      </w:r>
    </w:p>
    <w:p w14:paraId="7965F193" w14:textId="77777777" w:rsidR="000717E9" w:rsidRDefault="000717E9" w:rsidP="000717E9"/>
    <w:p w14:paraId="56F194D4" w14:textId="77777777" w:rsidR="000717E9" w:rsidRDefault="000717E9" w:rsidP="006800F3">
      <w:pPr>
        <w:pStyle w:val="figurereturn"/>
      </w:pPr>
      <w:r w:rsidRPr="00625A9F">
        <w:drawing>
          <wp:inline distT="0" distB="0" distL="0" distR="0" wp14:anchorId="06F2D3F6" wp14:editId="64DA3231">
            <wp:extent cx="6218739" cy="4453467"/>
            <wp:effectExtent l="0" t="0" r="4445" b="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222746" cy="4456336"/>
                    </a:xfrm>
                    <a:prstGeom prst="rect">
                      <a:avLst/>
                    </a:prstGeom>
                  </pic:spPr>
                </pic:pic>
              </a:graphicData>
            </a:graphic>
          </wp:inline>
        </w:drawing>
      </w:r>
    </w:p>
    <w:p w14:paraId="0CE76FBF" w14:textId="0A1EE16D" w:rsidR="000717E9" w:rsidRDefault="000717E9" w:rsidP="00A53AE8">
      <w:pPr>
        <w:pStyle w:val="Figuretitle"/>
      </w:pPr>
      <w:bookmarkStart w:id="442" w:name="_Ref406427211"/>
      <w:bookmarkStart w:id="443" w:name="_Ref409795919"/>
      <w:bookmarkStart w:id="444" w:name="_Toc420573166"/>
      <w:bookmarkStart w:id="445" w:name="_Toc420576468"/>
      <w:bookmarkStart w:id="446" w:name="_Toc420576550"/>
      <w:bookmarkStart w:id="447" w:name="_Toc420576634"/>
      <w:bookmarkStart w:id="448" w:name="_Toc420576991"/>
      <w:bookmarkStart w:id="449" w:name="_Toc422928814"/>
      <w:r>
        <w:t xml:space="preserve">Figure </w:t>
      </w:r>
      <w:r>
        <w:fldChar w:fldCharType="begin"/>
      </w:r>
      <w:r>
        <w:instrText xml:space="preserve"> SEQ Figure \* ARABIC </w:instrText>
      </w:r>
      <w:r>
        <w:fldChar w:fldCharType="separate"/>
      </w:r>
      <w:r w:rsidR="00171A5E">
        <w:t>43</w:t>
      </w:r>
      <w:r>
        <w:fldChar w:fldCharType="end"/>
      </w:r>
      <w:bookmarkEnd w:id="442"/>
      <w:r>
        <w:t xml:space="preserve">:  Schematic of a deep unconventional (shale) gas well in the Cooper Basin, Australia. </w:t>
      </w:r>
      <w:r w:rsidR="006800F3">
        <w:br/>
      </w:r>
      <w:r>
        <w:t>(Source: Cook et al., 2013.)</w:t>
      </w:r>
      <w:bookmarkEnd w:id="443"/>
      <w:bookmarkEnd w:id="444"/>
      <w:bookmarkEnd w:id="445"/>
      <w:bookmarkEnd w:id="446"/>
      <w:bookmarkEnd w:id="447"/>
      <w:bookmarkEnd w:id="448"/>
      <w:bookmarkEnd w:id="449"/>
    </w:p>
    <w:p w14:paraId="1513781D" w14:textId="77777777" w:rsidR="000717E9" w:rsidRDefault="000717E9">
      <w:pPr>
        <w:spacing w:after="200"/>
      </w:pPr>
      <w:r>
        <w:br w:type="page"/>
      </w:r>
    </w:p>
    <w:p w14:paraId="51B424C1" w14:textId="2E08723E" w:rsidR="000717E9" w:rsidRDefault="000717E9" w:rsidP="000717E9">
      <w:r>
        <w:t xml:space="preserve">After the prospective formation has been sufficiently fractured, pressures are reduced and the fluids are back-produced (removed) from the formation. The recently formed fractures are prevented from closing by the proppant (sand-sized particles included in the fluid mixture that is injected) allowing the gas to migrate through the more permeable formation and be extracted via the production well. </w:t>
      </w:r>
    </w:p>
    <w:p w14:paraId="1B15703F" w14:textId="7A0CA201" w:rsidR="001C57CB" w:rsidRPr="00642A5D" w:rsidRDefault="001C57CB" w:rsidP="001C57CB">
      <w:pPr>
        <w:pStyle w:val="Para0"/>
      </w:pPr>
      <w:r w:rsidRPr="00642A5D">
        <w:t xml:space="preserve">Cook </w:t>
      </w:r>
      <w:r w:rsidR="0061023B" w:rsidRPr="0061023B">
        <w:t>et al.</w:t>
      </w:r>
      <w:r w:rsidRPr="00642A5D">
        <w:t xml:space="preserve"> (2013) suggest</w:t>
      </w:r>
      <w:r w:rsidR="0061023B">
        <w:t>ed</w:t>
      </w:r>
      <w:r w:rsidRPr="00642A5D">
        <w:t xml:space="preserve"> that </w:t>
      </w:r>
      <w:r w:rsidR="00383122" w:rsidRPr="00642A5D">
        <w:t xml:space="preserve">in </w:t>
      </w:r>
      <w:r w:rsidRPr="00642A5D">
        <w:t>a typical hydraulic fractur</w:t>
      </w:r>
      <w:r w:rsidR="00383122" w:rsidRPr="00642A5D">
        <w:t>e treatment,</w:t>
      </w:r>
      <w:r w:rsidRPr="00642A5D">
        <w:t xml:space="preserve"> between 3 and 12 additive chemicals </w:t>
      </w:r>
      <w:r w:rsidR="00383122" w:rsidRPr="00642A5D">
        <w:t xml:space="preserve">may be used </w:t>
      </w:r>
      <w:r w:rsidRPr="00642A5D">
        <w:t>depending on the characteristics of the water and the formation being fractured.</w:t>
      </w:r>
      <w:r w:rsidR="009A72C5">
        <w:t xml:space="preserve"> </w:t>
      </w:r>
      <w:r w:rsidRPr="00642A5D">
        <w:t>The chemicals used in hydraulic fracturing are discussed in detail in</w:t>
      </w:r>
      <w:r w:rsidR="00024597">
        <w:t xml:space="preserve"> section</w:t>
      </w:r>
      <w:r w:rsidRPr="00642A5D">
        <w:t xml:space="preserve"> </w:t>
      </w:r>
      <w:r w:rsidR="00326B19" w:rsidRPr="00642A5D">
        <w:fldChar w:fldCharType="begin"/>
      </w:r>
      <w:r w:rsidR="00326B19" w:rsidRPr="00642A5D">
        <w:instrText xml:space="preserve"> REF _Ref406581068 \r \h  \* MERGEFORMAT </w:instrText>
      </w:r>
      <w:r w:rsidR="00326B19" w:rsidRPr="00642A5D">
        <w:fldChar w:fldCharType="separate"/>
      </w:r>
      <w:r w:rsidR="00171A5E">
        <w:t>0</w:t>
      </w:r>
      <w:r w:rsidR="00326B19" w:rsidRPr="00642A5D">
        <w:fldChar w:fldCharType="end"/>
      </w:r>
      <w:r w:rsidRPr="00642A5D">
        <w:t>.</w:t>
      </w:r>
    </w:p>
    <w:p w14:paraId="341CB5A7" w14:textId="63DC00FD" w:rsidR="00027A1E" w:rsidRPr="00642A5D" w:rsidRDefault="003D5D59" w:rsidP="006800F3">
      <w:pPr>
        <w:pStyle w:val="Head2xx"/>
        <w:ind w:left="709" w:hanging="709"/>
      </w:pPr>
      <w:bookmarkStart w:id="450" w:name="_Ref406583437"/>
      <w:bookmarkStart w:id="451" w:name="_Toc420568699"/>
      <w:bookmarkStart w:id="452" w:name="_Toc420570281"/>
      <w:bookmarkStart w:id="453" w:name="_Toc420571477"/>
      <w:bookmarkStart w:id="454" w:name="_Toc420572115"/>
      <w:bookmarkStart w:id="455" w:name="_Toc296766972"/>
      <w:bookmarkStart w:id="456" w:name="_Toc422927906"/>
      <w:r>
        <w:t>4.2</w:t>
      </w:r>
      <w:r>
        <w:tab/>
      </w:r>
      <w:r w:rsidR="00027A1E" w:rsidRPr="00642A5D">
        <w:t xml:space="preserve">Key risks to water resources associated with </w:t>
      </w:r>
      <w:r w:rsidR="006800F3">
        <w:br/>
      </w:r>
      <w:r w:rsidR="00027A1E" w:rsidRPr="00642A5D">
        <w:t>hydraulic fracturing</w:t>
      </w:r>
      <w:bookmarkEnd w:id="450"/>
      <w:bookmarkEnd w:id="451"/>
      <w:bookmarkEnd w:id="452"/>
      <w:bookmarkEnd w:id="453"/>
      <w:bookmarkEnd w:id="454"/>
      <w:bookmarkEnd w:id="455"/>
      <w:bookmarkEnd w:id="456"/>
    </w:p>
    <w:p w14:paraId="4C71888E" w14:textId="51AFF28E" w:rsidR="001C57CB" w:rsidRPr="00642A5D" w:rsidRDefault="001C57CB" w:rsidP="001C57CB">
      <w:pPr>
        <w:pStyle w:val="Para0"/>
      </w:pPr>
      <w:r w:rsidRPr="00642A5D">
        <w:t xml:space="preserve">The </w:t>
      </w:r>
      <w:r w:rsidR="000717E9">
        <w:t xml:space="preserve">United States Environmental Protection Authority </w:t>
      </w:r>
      <w:r w:rsidRPr="00642A5D">
        <w:t>identified four mechanisms by which hydraulic fracturing can cause or increase the potential for groundwater contamination</w:t>
      </w:r>
      <w:r w:rsidR="000717E9">
        <w:t xml:space="preserve"> (USEPA 2011)</w:t>
      </w:r>
      <w:r w:rsidRPr="00642A5D">
        <w:t>, including:</w:t>
      </w:r>
    </w:p>
    <w:p w14:paraId="5D8E9371" w14:textId="77777777" w:rsidR="000717E9" w:rsidRPr="001271A7" w:rsidRDefault="000717E9" w:rsidP="000717E9">
      <w:pPr>
        <w:pStyle w:val="bulletlist0"/>
      </w:pPr>
      <w:r>
        <w:t>•</w:t>
      </w:r>
      <w:r>
        <w:tab/>
      </w:r>
      <w:r w:rsidRPr="001271A7">
        <w:t>failure of wells during the hydraulic fracturing process, which may create pathways by which contaminants can affect groundwater assets</w:t>
      </w:r>
    </w:p>
    <w:p w14:paraId="41BB3CED" w14:textId="77777777" w:rsidR="000717E9" w:rsidRPr="001271A7" w:rsidRDefault="000717E9" w:rsidP="000717E9">
      <w:pPr>
        <w:pStyle w:val="bulletlist0"/>
      </w:pPr>
      <w:r>
        <w:t>•</w:t>
      </w:r>
      <w:r>
        <w:tab/>
      </w:r>
      <w:r w:rsidRPr="001271A7">
        <w:t>leakage of hydraulic fracturing fluids beyond the fracture zones from the prospective zone to adjacent formations</w:t>
      </w:r>
    </w:p>
    <w:p w14:paraId="471D38FF" w14:textId="77777777" w:rsidR="000717E9" w:rsidRPr="001271A7" w:rsidRDefault="000717E9" w:rsidP="000717E9">
      <w:pPr>
        <w:pStyle w:val="bulletlist0"/>
      </w:pPr>
      <w:r>
        <w:t>•</w:t>
      </w:r>
      <w:r>
        <w:tab/>
      </w:r>
      <w:r w:rsidRPr="001271A7">
        <w:t>mobilisation and migration of naturally occurring contaminants from the prospective zone to adjacent formations via fractures</w:t>
      </w:r>
    </w:p>
    <w:p w14:paraId="472073DD" w14:textId="77777777" w:rsidR="000717E9" w:rsidRPr="001271A7" w:rsidRDefault="000717E9" w:rsidP="000717E9">
      <w:pPr>
        <w:pStyle w:val="bulletlist0"/>
      </w:pPr>
      <w:r>
        <w:t>•</w:t>
      </w:r>
      <w:r>
        <w:tab/>
      </w:r>
      <w:r w:rsidRPr="001271A7">
        <w:t>leakage of gas from prospective formations.</w:t>
      </w:r>
    </w:p>
    <w:p w14:paraId="5CB17A81" w14:textId="1D2FB22C" w:rsidR="001C57CB" w:rsidRPr="00642A5D" w:rsidRDefault="001C57CB" w:rsidP="007C766C">
      <w:pPr>
        <w:pStyle w:val="Para0bullet"/>
      </w:pPr>
      <w:r w:rsidRPr="00642A5D">
        <w:t>These broadly correlate with</w:t>
      </w:r>
      <w:r w:rsidR="000717E9">
        <w:t xml:space="preserve"> the Standing Council for Energy Resources, which</w:t>
      </w:r>
      <w:r w:rsidRPr="00642A5D">
        <w:t xml:space="preserve"> indicated that the major risk during hydraulic fracturing was excessive fracture propagation, resulting in potential groundwater contamination via fracture fluid leakage and increased connectivity between naturally occurring contaminants and groundwater resources</w:t>
      </w:r>
      <w:r w:rsidR="000717E9">
        <w:t xml:space="preserve"> (SCER 2013)</w:t>
      </w:r>
      <w:r w:rsidRPr="00642A5D">
        <w:t xml:space="preserve">. </w:t>
      </w:r>
    </w:p>
    <w:p w14:paraId="1FB59BAE" w14:textId="49D2F084" w:rsidR="001C57CB" w:rsidRPr="00642A5D" w:rsidRDefault="001C57CB" w:rsidP="007C766C">
      <w:pPr>
        <w:pStyle w:val="Para0bullet"/>
      </w:pPr>
      <w:r w:rsidRPr="00642A5D">
        <w:t xml:space="preserve">Hydraulic fracturing operations also have the potential to cause groundwater and surface water contamination via a range of </w:t>
      </w:r>
      <w:r w:rsidR="00A528CB">
        <w:t xml:space="preserve">other mechanisms including co-produced </w:t>
      </w:r>
      <w:r w:rsidRPr="00642A5D">
        <w:t>water storage, contaminant spills, leakages and pipeline failures.</w:t>
      </w:r>
      <w:r w:rsidR="009A72C5">
        <w:t xml:space="preserve"> </w:t>
      </w:r>
      <w:r w:rsidRPr="00642A5D">
        <w:t>King (2012) identified 20 key risks associated with hydraulic fracturing</w:t>
      </w:r>
      <w:r w:rsidR="00936533">
        <w:t>, which were</w:t>
      </w:r>
      <w:r w:rsidRPr="00642A5D">
        <w:t xml:space="preserve"> summarised by Cook </w:t>
      </w:r>
      <w:r w:rsidR="0061023B" w:rsidRPr="0061023B">
        <w:t>et al.</w:t>
      </w:r>
      <w:r w:rsidRPr="00642A5D">
        <w:t xml:space="preserve"> (2013). The key risks relate to on-site spill and well integrity issues induced by hydraulic fracturing. </w:t>
      </w:r>
    </w:p>
    <w:p w14:paraId="15221C82" w14:textId="15A58986" w:rsidR="001C57CB" w:rsidRPr="00642A5D" w:rsidRDefault="001C57CB" w:rsidP="005A06A1">
      <w:pPr>
        <w:pStyle w:val="Para0"/>
      </w:pPr>
      <w:r w:rsidRPr="00642A5D">
        <w:t>Well failure can occur due to incorrect construction, poor seal construction in the annulus</w:t>
      </w:r>
      <w:r w:rsidR="000D5DEF">
        <w:t>,</w:t>
      </w:r>
      <w:r w:rsidRPr="00642A5D">
        <w:t xml:space="preserve"> or deterioration due to pressure, stress or corrosion. If the cement or casing surrounding the well fails then contaminants may migrate through the resulting gaps, potentially contaminating above lying aquifers (USEPA, 2012). </w:t>
      </w:r>
      <w:r w:rsidR="000717E9">
        <w:t>T</w:t>
      </w:r>
      <w:r w:rsidRPr="00642A5D">
        <w:t xml:space="preserve">he proper construction of the well and correct use of materials is </w:t>
      </w:r>
      <w:r w:rsidR="000717E9">
        <w:t xml:space="preserve">therefore </w:t>
      </w:r>
      <w:r w:rsidRPr="00642A5D">
        <w:t xml:space="preserve">crucial to protect groundwater resources. In Queensland and NSW, coal seam gas wells are required to be constructed in accordance with the relevant code </w:t>
      </w:r>
      <w:r w:rsidR="005A06A1">
        <w:t>of</w:t>
      </w:r>
      <w:r w:rsidR="005A06A1" w:rsidRPr="00642A5D">
        <w:t xml:space="preserve"> </w:t>
      </w:r>
      <w:r w:rsidRPr="00642A5D">
        <w:t>practice for constructing and abandoning coal seam gas wells (DEEDI, 2011</w:t>
      </w:r>
      <w:r w:rsidR="000717E9">
        <w:t>; DTIRIS, 2012</w:t>
      </w:r>
      <w:r w:rsidRPr="00642A5D">
        <w:t>). Other onshore gas wells are required to be constructed in accordance with the relevant state petroleum legislation.</w:t>
      </w:r>
    </w:p>
    <w:p w14:paraId="58AC66D7" w14:textId="0A99A7AF" w:rsidR="001C57CB" w:rsidRPr="00642A5D" w:rsidRDefault="001C57CB" w:rsidP="001C57CB">
      <w:pPr>
        <w:pStyle w:val="Para0"/>
      </w:pPr>
      <w:r w:rsidRPr="00642A5D">
        <w:t xml:space="preserve">For the purpose of this </w:t>
      </w:r>
      <w:r w:rsidR="000717E9">
        <w:t>review</w:t>
      </w:r>
      <w:r w:rsidRPr="00642A5D">
        <w:t xml:space="preserve"> it is assumed that appropriate standards and guidelines have been developed in order to mediate any risks associated with well installation. Therefore, this review does not assess the risks to groundwater resources resulting from well integrity. While concerns continue to be raised regarding the integrity of wells and their potential to lead to groundwater contamination, such discussion is outside the scope of this generalised assessment of the risks to water resources.</w:t>
      </w:r>
    </w:p>
    <w:p w14:paraId="2CEEB331" w14:textId="77777777" w:rsidR="006800F3" w:rsidRDefault="006800F3">
      <w:pPr>
        <w:spacing w:after="200"/>
        <w:rPr>
          <w:rFonts w:cs="Arial"/>
          <w:color w:val="AEC12D" w:themeColor="text2"/>
          <w:sz w:val="32"/>
          <w:szCs w:val="32"/>
          <w:lang w:val="en-AU" w:eastAsia="en-US"/>
        </w:rPr>
      </w:pPr>
      <w:bookmarkStart w:id="457" w:name="_Ref406581068"/>
      <w:bookmarkStart w:id="458" w:name="_Toc420568700"/>
      <w:bookmarkStart w:id="459" w:name="_Toc420570282"/>
      <w:bookmarkStart w:id="460" w:name="_Toc420571478"/>
      <w:bookmarkStart w:id="461" w:name="_Toc420572116"/>
      <w:bookmarkStart w:id="462" w:name="_Toc296766973"/>
      <w:bookmarkStart w:id="463" w:name="_Toc422927907"/>
      <w:r>
        <w:br w:type="page"/>
      </w:r>
    </w:p>
    <w:p w14:paraId="68F2281C" w14:textId="04041D8F" w:rsidR="00027A1E" w:rsidRPr="00642A5D" w:rsidRDefault="00A65062" w:rsidP="00F60E96">
      <w:pPr>
        <w:pStyle w:val="Head2xx"/>
      </w:pPr>
      <w:r>
        <w:t>4.3</w:t>
      </w:r>
      <w:r>
        <w:tab/>
      </w:r>
      <w:r w:rsidR="00027A1E" w:rsidRPr="00642A5D">
        <w:t>Contaminant sources</w:t>
      </w:r>
      <w:bookmarkEnd w:id="457"/>
      <w:bookmarkEnd w:id="458"/>
      <w:bookmarkEnd w:id="459"/>
      <w:bookmarkEnd w:id="460"/>
      <w:bookmarkEnd w:id="461"/>
      <w:bookmarkEnd w:id="462"/>
      <w:bookmarkEnd w:id="463"/>
    </w:p>
    <w:p w14:paraId="2CF9AA7E" w14:textId="1A139889" w:rsidR="00027A1E" w:rsidRPr="00642A5D" w:rsidRDefault="003D5D59" w:rsidP="00451A8E">
      <w:pPr>
        <w:pStyle w:val="Head3xxx"/>
        <w:rPr>
          <w:lang w:eastAsia="en-US"/>
        </w:rPr>
      </w:pPr>
      <w:bookmarkStart w:id="464" w:name="_Toc420568701"/>
      <w:bookmarkStart w:id="465" w:name="_Toc420570283"/>
      <w:bookmarkStart w:id="466" w:name="_Toc420571479"/>
      <w:bookmarkStart w:id="467" w:name="_Toc420572117"/>
      <w:bookmarkStart w:id="468" w:name="_Toc296766974"/>
      <w:r>
        <w:rPr>
          <w:lang w:eastAsia="en-US"/>
        </w:rPr>
        <w:t>4.2.1</w:t>
      </w:r>
      <w:r>
        <w:rPr>
          <w:lang w:eastAsia="en-US"/>
        </w:rPr>
        <w:tab/>
      </w:r>
      <w:r w:rsidR="00027A1E" w:rsidRPr="00642A5D">
        <w:rPr>
          <w:lang w:eastAsia="en-US"/>
        </w:rPr>
        <w:t>Hydraulic fracturing fluid</w:t>
      </w:r>
      <w:bookmarkEnd w:id="464"/>
      <w:bookmarkEnd w:id="465"/>
      <w:bookmarkEnd w:id="466"/>
      <w:bookmarkEnd w:id="467"/>
      <w:bookmarkEnd w:id="468"/>
    </w:p>
    <w:p w14:paraId="010E61F8" w14:textId="4415199F" w:rsidR="001C57CB" w:rsidRPr="00642A5D" w:rsidRDefault="00A528CB" w:rsidP="00534840">
      <w:pPr>
        <w:pStyle w:val="Para0"/>
      </w:pPr>
      <w:r>
        <w:t xml:space="preserve">Between 97% and 99% of </w:t>
      </w:r>
      <w:r w:rsidR="001C57CB" w:rsidRPr="00642A5D">
        <w:t xml:space="preserve">hydraulic fracturing fluid </w:t>
      </w:r>
      <w:r>
        <w:t xml:space="preserve">consists of </w:t>
      </w:r>
      <w:r w:rsidR="001C57CB" w:rsidRPr="00642A5D">
        <w:t>water</w:t>
      </w:r>
      <w:r>
        <w:t xml:space="preserve"> and </w:t>
      </w:r>
      <w:r w:rsidR="001C57CB" w:rsidRPr="00642A5D">
        <w:t>proppant</w:t>
      </w:r>
      <w:r>
        <w:t xml:space="preserve"> (</w:t>
      </w:r>
      <w:r w:rsidRPr="00642A5D">
        <w:t>IESC, 2014</w:t>
      </w:r>
      <w:r w:rsidR="00352324">
        <w:t>a</w:t>
      </w:r>
      <w:r>
        <w:t>)</w:t>
      </w:r>
      <w:r w:rsidR="001C57CB" w:rsidRPr="00642A5D">
        <w:t xml:space="preserve">. </w:t>
      </w:r>
      <w:r>
        <w:t>T</w:t>
      </w:r>
      <w:r w:rsidR="001C57CB" w:rsidRPr="00642A5D">
        <w:t xml:space="preserve">ypically </w:t>
      </w:r>
      <w:r>
        <w:t>the proppant is sand</w:t>
      </w:r>
      <w:r w:rsidR="001C57CB" w:rsidRPr="00642A5D">
        <w:t>. The remaining additives vary according to site specific requirements</w:t>
      </w:r>
      <w:r w:rsidR="008F73A2" w:rsidRPr="00642A5D">
        <w:t>;</w:t>
      </w:r>
      <w:r w:rsidR="001C57CB" w:rsidRPr="00642A5D">
        <w:t xml:space="preserve"> however, a list and brief description of such additives </w:t>
      </w:r>
      <w:r w:rsidR="005A06A1">
        <w:t>is given</w:t>
      </w:r>
      <w:r w:rsidR="001C57CB" w:rsidRPr="00642A5D">
        <w:t xml:space="preserve"> in </w:t>
      </w:r>
      <w:r w:rsidR="00534840">
        <w:fldChar w:fldCharType="begin"/>
      </w:r>
      <w:r w:rsidR="00534840">
        <w:instrText xml:space="preserve"> REF _Ref419889297 \h </w:instrText>
      </w:r>
      <w:r w:rsidR="00534840">
        <w:fldChar w:fldCharType="separate"/>
      </w:r>
      <w:r w:rsidR="00171A5E" w:rsidRPr="00642A5D">
        <w:t xml:space="preserve">Table </w:t>
      </w:r>
      <w:r w:rsidR="00171A5E">
        <w:rPr>
          <w:noProof/>
        </w:rPr>
        <w:t>6</w:t>
      </w:r>
      <w:r w:rsidR="00534840">
        <w:fldChar w:fldCharType="end"/>
      </w:r>
      <w:r>
        <w:t>. There is a ban on the use of mono-aromatic hydrocarbons such as benzene, toluene, ethylbenzene and xylene (BTEX), so these chemicals cannot be used in hydraulic fracturing.</w:t>
      </w:r>
    </w:p>
    <w:p w14:paraId="1FD1116E" w14:textId="5FACCB53" w:rsidR="00DF4AE5" w:rsidRPr="00642A5D" w:rsidRDefault="001C57CB" w:rsidP="001C57CB">
      <w:pPr>
        <w:pStyle w:val="Para0"/>
      </w:pPr>
      <w:r w:rsidRPr="00642A5D">
        <w:t>In some cases hydraulic fracturing can be conducted using air instead of water, where carbon dioxide or nitrogen is used as a carrier fluid. Fracturing with carbon dioxide as the carrier fluid was first introduced in 1981</w:t>
      </w:r>
      <w:r w:rsidR="008F73A2" w:rsidRPr="00642A5D">
        <w:t xml:space="preserve"> </w:t>
      </w:r>
      <w:r w:rsidRPr="00642A5D">
        <w:t xml:space="preserve">and has been used commercially in unconventional gas applications in Canada and the US (Gandossi, 2013). The technology can be preferable to water as carbon dioxide requires </w:t>
      </w:r>
      <w:r w:rsidR="001D6950">
        <w:t>less</w:t>
      </w:r>
      <w:r w:rsidRPr="00642A5D">
        <w:t xml:space="preserve"> chemical additives than water with enhanced gas recovery. The use of nitrogen as a hydraulic fracturing fluid is still a relatively new technology. The technique is commercially available and it has been applied fo</w:t>
      </w:r>
      <w:r w:rsidR="006800F3">
        <w:t xml:space="preserve">r fracturing shale formations, </w:t>
      </w:r>
      <w:r w:rsidRPr="00642A5D">
        <w:t>it</w:t>
      </w:r>
      <w:r w:rsidR="00946902">
        <w:t>’</w:t>
      </w:r>
      <w:r w:rsidRPr="00642A5D">
        <w:t xml:space="preserve">s costly usage appears to be limited. </w:t>
      </w:r>
    </w:p>
    <w:p w14:paraId="7D8D990D" w14:textId="744BE44C" w:rsidR="00027A1E" w:rsidRPr="00642A5D" w:rsidRDefault="00027A1E" w:rsidP="002D44DF">
      <w:pPr>
        <w:pStyle w:val="Tableheading"/>
      </w:pPr>
      <w:bookmarkStart w:id="469" w:name="_Ref405476492"/>
      <w:bookmarkStart w:id="470" w:name="_Ref419889297"/>
      <w:bookmarkStart w:id="471" w:name="_Toc296770886"/>
      <w:r w:rsidRPr="00642A5D">
        <w:t xml:space="preserve">Table </w:t>
      </w:r>
      <w:r w:rsidR="007569CD" w:rsidRPr="00642A5D">
        <w:fldChar w:fldCharType="begin"/>
      </w:r>
      <w:r w:rsidRPr="00642A5D">
        <w:instrText xml:space="preserve"> SEQ Table \* ARABIC </w:instrText>
      </w:r>
      <w:r w:rsidR="007569CD" w:rsidRPr="00642A5D">
        <w:fldChar w:fldCharType="separate"/>
      </w:r>
      <w:r w:rsidR="00171A5E">
        <w:rPr>
          <w:noProof/>
        </w:rPr>
        <w:t>6</w:t>
      </w:r>
      <w:r w:rsidR="007569CD" w:rsidRPr="00642A5D">
        <w:fldChar w:fldCharType="end"/>
      </w:r>
      <w:bookmarkEnd w:id="469"/>
      <w:bookmarkEnd w:id="470"/>
      <w:r w:rsidR="008B076F">
        <w:t>:</w:t>
      </w:r>
      <w:r w:rsidR="009A72C5">
        <w:t xml:space="preserve"> </w:t>
      </w:r>
      <w:r w:rsidR="00CE7F82">
        <w:t xml:space="preserve"> </w:t>
      </w:r>
      <w:r w:rsidRPr="00642A5D">
        <w:t>Hydraulic fracturing fluid constituents</w:t>
      </w:r>
      <w:r w:rsidR="003D5D59">
        <w:t>.</w:t>
      </w:r>
      <w:r w:rsidRPr="00642A5D">
        <w:t xml:space="preserve"> (</w:t>
      </w:r>
      <w:r w:rsidR="003D5D59">
        <w:t>S</w:t>
      </w:r>
      <w:r w:rsidR="00D671B2">
        <w:t xml:space="preserve">ource: </w:t>
      </w:r>
      <w:r w:rsidRPr="00642A5D">
        <w:t xml:space="preserve">Cook </w:t>
      </w:r>
      <w:r w:rsidR="0061023B" w:rsidRPr="0061023B">
        <w:t>et al.</w:t>
      </w:r>
      <w:r w:rsidRPr="00642A5D">
        <w:t>, 2013</w:t>
      </w:r>
      <w:r w:rsidR="003D5D59">
        <w:t>.</w:t>
      </w:r>
      <w:r w:rsidRPr="00642A5D">
        <w:t>)</w:t>
      </w:r>
      <w:bookmarkEnd w:id="471"/>
    </w:p>
    <w:p w14:paraId="3C358AEC" w14:textId="77777777" w:rsidR="00027A1E" w:rsidRDefault="00027A1E" w:rsidP="00027A1E">
      <w:pPr>
        <w:pStyle w:val="Para0"/>
      </w:pPr>
      <w:r w:rsidRPr="00642A5D">
        <w:rPr>
          <w:noProof/>
          <w:lang w:eastAsia="en-AU"/>
        </w:rPr>
        <w:drawing>
          <wp:inline distT="0" distB="0" distL="0" distR="0" wp14:anchorId="13FB4BEE" wp14:editId="32F25921">
            <wp:extent cx="6062703" cy="4040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6071242" cy="4045840"/>
                    </a:xfrm>
                    <a:prstGeom prst="rect">
                      <a:avLst/>
                    </a:prstGeom>
                  </pic:spPr>
                </pic:pic>
              </a:graphicData>
            </a:graphic>
          </wp:inline>
        </w:drawing>
      </w:r>
    </w:p>
    <w:p w14:paraId="6D1F5BAB" w14:textId="002D527E" w:rsidR="00027A1E" w:rsidRPr="00642A5D" w:rsidRDefault="003D5D59" w:rsidP="00451A8E">
      <w:pPr>
        <w:pStyle w:val="Head3xxx"/>
        <w:rPr>
          <w:lang w:eastAsia="en-US"/>
        </w:rPr>
      </w:pPr>
      <w:bookmarkStart w:id="472" w:name="_Toc420568702"/>
      <w:bookmarkStart w:id="473" w:name="_Toc420570284"/>
      <w:bookmarkStart w:id="474" w:name="_Toc420571480"/>
      <w:bookmarkStart w:id="475" w:name="_Toc420572118"/>
      <w:bookmarkStart w:id="476" w:name="_Toc296766975"/>
      <w:r>
        <w:rPr>
          <w:lang w:eastAsia="en-US"/>
        </w:rPr>
        <w:t>4.2.2</w:t>
      </w:r>
      <w:r>
        <w:rPr>
          <w:lang w:eastAsia="en-US"/>
        </w:rPr>
        <w:tab/>
      </w:r>
      <w:r w:rsidR="000E020F" w:rsidRPr="00642A5D">
        <w:rPr>
          <w:lang w:eastAsia="en-US"/>
        </w:rPr>
        <w:t>Naturally occurring contaminants</w:t>
      </w:r>
      <w:bookmarkEnd w:id="472"/>
      <w:bookmarkEnd w:id="473"/>
      <w:bookmarkEnd w:id="474"/>
      <w:bookmarkEnd w:id="475"/>
      <w:bookmarkEnd w:id="476"/>
    </w:p>
    <w:p w14:paraId="670CAA73" w14:textId="27C587EB" w:rsidR="001C57CB" w:rsidRPr="00642A5D" w:rsidRDefault="001C57CB" w:rsidP="001C57CB">
      <w:pPr>
        <w:pStyle w:val="Para0"/>
      </w:pPr>
      <w:r w:rsidRPr="00642A5D">
        <w:t xml:space="preserve">Groundwater contains small quantities of naturally occurring substances such as heavy metals, radioactive </w:t>
      </w:r>
      <w:r w:rsidRPr="00BA3185">
        <w:t xml:space="preserve">elements and organic compounds (USEPA 2011). </w:t>
      </w:r>
      <w:r w:rsidR="003D5D59" w:rsidRPr="00BA3185">
        <w:t>O</w:t>
      </w:r>
      <w:r w:rsidRPr="00BA3185">
        <w:t>nshore natural gas also commonly contains various gases</w:t>
      </w:r>
      <w:r w:rsidR="003D5D59" w:rsidRPr="00BA3185">
        <w:t>,</w:t>
      </w:r>
      <w:r w:rsidRPr="00BA3185">
        <w:t xml:space="preserve"> including methane, ethane, carbon dioxide, hydrogen </w:t>
      </w:r>
      <w:r w:rsidR="002D4544" w:rsidRPr="00BA3185">
        <w:t>sul</w:t>
      </w:r>
      <w:r w:rsidR="003D5D59" w:rsidRPr="00BA3185">
        <w:t>f</w:t>
      </w:r>
      <w:r w:rsidR="002D4544" w:rsidRPr="00BA3185">
        <w:t>ide</w:t>
      </w:r>
      <w:r w:rsidRPr="00642A5D">
        <w:t>, nitrogen and helium.</w:t>
      </w:r>
    </w:p>
    <w:p w14:paraId="6BF3FD61" w14:textId="5FFC07D4" w:rsidR="001C57CB" w:rsidRPr="00642A5D" w:rsidRDefault="001C57CB" w:rsidP="001C57CB">
      <w:pPr>
        <w:pStyle w:val="Para0"/>
      </w:pPr>
      <w:r w:rsidRPr="00642A5D">
        <w:t>Hydraulic fracturing fluids can contain acids and carbonates which theoretically could have the potential to alter the acid</w:t>
      </w:r>
      <w:r w:rsidR="003D5D59">
        <w:t>–</w:t>
      </w:r>
      <w:r w:rsidRPr="00642A5D">
        <w:t>base (i.e</w:t>
      </w:r>
      <w:r w:rsidR="008F73A2" w:rsidRPr="00642A5D">
        <w:t>.</w:t>
      </w:r>
      <w:r w:rsidRPr="00642A5D">
        <w:t xml:space="preserve"> pH) conditions within the gas</w:t>
      </w:r>
      <w:r w:rsidR="008F73A2" w:rsidRPr="00642A5D">
        <w:t>-bearing</w:t>
      </w:r>
      <w:r w:rsidRPr="00642A5D">
        <w:t xml:space="preserve"> formation. Additionally, the injected water could have the potential to alter the redox and temperature conditions within the </w:t>
      </w:r>
      <w:r w:rsidR="007738BF">
        <w:t>prospective</w:t>
      </w:r>
      <w:r w:rsidRPr="00642A5D">
        <w:t xml:space="preserve"> formation, further mobilising potentially hazardous substances.</w:t>
      </w:r>
      <w:r w:rsidR="009A72C5">
        <w:t xml:space="preserve"> </w:t>
      </w:r>
      <w:r w:rsidRPr="00642A5D">
        <w:t xml:space="preserve">If naturally occurring contaminants are mobilised within the </w:t>
      </w:r>
      <w:r w:rsidR="007738BF">
        <w:t>prospective</w:t>
      </w:r>
      <w:r w:rsidRPr="00642A5D">
        <w:t xml:space="preserve"> formation, they can be recovered in the flow back water and be treated accordingly.</w:t>
      </w:r>
    </w:p>
    <w:p w14:paraId="0A4C58E5" w14:textId="62C53877" w:rsidR="001C57CB" w:rsidRPr="00642A5D" w:rsidRDefault="001C57CB" w:rsidP="001C57CB">
      <w:pPr>
        <w:pStyle w:val="Para0"/>
      </w:pPr>
      <w:r w:rsidRPr="00642A5D">
        <w:t>Limited research has been conducted on the mobility of naturally occurring substances associated with coals or other gas</w:t>
      </w:r>
      <w:r w:rsidR="008F73A2" w:rsidRPr="00642A5D">
        <w:t>-bearing</w:t>
      </w:r>
      <w:r w:rsidRPr="00642A5D">
        <w:t xml:space="preserve"> formations in Australia. CSIRO (2011) found that water</w:t>
      </w:r>
      <w:r w:rsidR="003D5D59">
        <w:t>-</w:t>
      </w:r>
      <w:r w:rsidRPr="00642A5D">
        <w:t xml:space="preserve">soluble constituents of Permian coal may be produced by the breakdown of the chemical structures within the coal matrix. Such water soluble compounds include phenols, aldehydes, ketones, and various compounds that contain carboxy, hydroxyl and methoxy groups. Other water soluble compounds include nitrogen-bearing compounds (such as pyridines and amines), polycyclic aromatic hydrocarbons (PAHs), low molecular weight aliphatic hydrocarbons, and mono aromatic hydrocarbons such as benzene, toluene, ethylbenze and xylenes (BTEX). </w:t>
      </w:r>
    </w:p>
    <w:p w14:paraId="2DFAF6F9" w14:textId="7327915B" w:rsidR="000E020F" w:rsidRPr="00642A5D" w:rsidRDefault="001C57CB">
      <w:r w:rsidRPr="00642A5D">
        <w:t xml:space="preserve">In addition to the mobilisation of potentially hazardous metal, organic and gaseous compounds, the water quality within shale and tight gas formations is commonly low. Shale and tight gas </w:t>
      </w:r>
      <w:r w:rsidR="00721130" w:rsidRPr="00642A5D">
        <w:t>host formations</w:t>
      </w:r>
      <w:r w:rsidR="007738BF">
        <w:t xml:space="preserve"> have a</w:t>
      </w:r>
      <w:r w:rsidRPr="00642A5D">
        <w:t xml:space="preserve"> low permeability and are located at greater depths than surface aquifers. These factors drive long groundwater residence times, greater water rock interaction and mineral dissolution, result in groundwater with a high salinity.</w:t>
      </w:r>
    </w:p>
    <w:p w14:paraId="0FE187A0" w14:textId="37B65C91" w:rsidR="00027A1E" w:rsidRPr="00642A5D" w:rsidRDefault="003D5D59" w:rsidP="00F60E96">
      <w:pPr>
        <w:pStyle w:val="Head2xx"/>
      </w:pPr>
      <w:bookmarkStart w:id="477" w:name="_Ref406584243"/>
      <w:bookmarkStart w:id="478" w:name="_Toc420568703"/>
      <w:bookmarkStart w:id="479" w:name="_Toc420570285"/>
      <w:bookmarkStart w:id="480" w:name="_Toc420571481"/>
      <w:bookmarkStart w:id="481" w:name="_Toc420572119"/>
      <w:bookmarkStart w:id="482" w:name="_Toc296766976"/>
      <w:bookmarkStart w:id="483" w:name="_Toc422927908"/>
      <w:r>
        <w:t>4.4</w:t>
      </w:r>
      <w:r>
        <w:tab/>
      </w:r>
      <w:r w:rsidR="000E020F" w:rsidRPr="00642A5D">
        <w:t>Contaminant pathways</w:t>
      </w:r>
      <w:bookmarkEnd w:id="477"/>
      <w:bookmarkEnd w:id="478"/>
      <w:bookmarkEnd w:id="479"/>
      <w:bookmarkEnd w:id="480"/>
      <w:bookmarkEnd w:id="481"/>
      <w:bookmarkEnd w:id="482"/>
      <w:bookmarkEnd w:id="483"/>
    </w:p>
    <w:p w14:paraId="5A1CBE72" w14:textId="77777777" w:rsidR="001C57CB" w:rsidRPr="00642A5D" w:rsidRDefault="001C57CB" w:rsidP="001C57CB">
      <w:pPr>
        <w:pStyle w:val="Para0"/>
      </w:pPr>
      <w:r w:rsidRPr="00642A5D">
        <w:t xml:space="preserve">As outlined in the previous section, the primary contaminants associated with hydraulic fracturing include hydraulic fracturing fluids and gases. Assuming that well integrity is maintained and that contaminants in formations above the natural gas source do not migrate via the well, for the purposes of assessing the risk of release, all of these contaminants will be sourced from the hydraulic fracturing fluids. </w:t>
      </w:r>
    </w:p>
    <w:p w14:paraId="1BC2F388" w14:textId="74F1D6A4" w:rsidR="001C57CB" w:rsidRPr="00642A5D" w:rsidRDefault="001C57CB" w:rsidP="001C57CB">
      <w:pPr>
        <w:pStyle w:val="Para0"/>
      </w:pPr>
      <w:r w:rsidRPr="00642A5D">
        <w:t xml:space="preserve">By their nature, </w:t>
      </w:r>
      <w:r w:rsidR="003D5D59">
        <w:t>tight and shale</w:t>
      </w:r>
      <w:r w:rsidRPr="00642A5D">
        <w:t xml:space="preserve"> gas sources have a low permeability (otherwise they would not need to be fractured prior to gas extraction). </w:t>
      </w:r>
      <w:r w:rsidR="003D5D59">
        <w:t>T</w:t>
      </w:r>
      <w:r w:rsidRPr="00642A5D">
        <w:t xml:space="preserve">he migration of </w:t>
      </w:r>
      <w:r w:rsidRPr="00BA3185">
        <w:t xml:space="preserve">contaminants from </w:t>
      </w:r>
      <w:r w:rsidR="003D5D59" w:rsidRPr="00BA3185">
        <w:t xml:space="preserve">a </w:t>
      </w:r>
      <w:r w:rsidR="00FA480F" w:rsidRPr="00BA3185">
        <w:t xml:space="preserve">prospective </w:t>
      </w:r>
      <w:r w:rsidR="003D5D59" w:rsidRPr="00BA3185">
        <w:t>tight and</w:t>
      </w:r>
      <w:r w:rsidR="003D5D59">
        <w:t xml:space="preserve"> shale gas</w:t>
      </w:r>
      <w:r w:rsidRPr="00642A5D">
        <w:t xml:space="preserve"> </w:t>
      </w:r>
      <w:r w:rsidR="00FA480F">
        <w:t xml:space="preserve">resource </w:t>
      </w:r>
      <w:r w:rsidRPr="00642A5D">
        <w:t xml:space="preserve">into adjacent aquifers </w:t>
      </w:r>
      <w:r w:rsidR="003D5D59">
        <w:t xml:space="preserve">therefore </w:t>
      </w:r>
      <w:r w:rsidRPr="00642A5D">
        <w:t>requires a pathway. Such pathways include the intersection of induced fractures with overlying or adjacent permeable formations, or intersection with a nearby natural fracture/fault systems</w:t>
      </w:r>
      <w:r w:rsidR="00721130" w:rsidRPr="00642A5D">
        <w:t>,</w:t>
      </w:r>
      <w:r w:rsidRPr="00642A5D">
        <w:t xml:space="preserve"> which may </w:t>
      </w:r>
      <w:r w:rsidR="00721130" w:rsidRPr="00642A5D">
        <w:t>further</w:t>
      </w:r>
      <w:r w:rsidRPr="00642A5D">
        <w:t xml:space="preserve"> increase permeability (e.g. Kissinger </w:t>
      </w:r>
      <w:r w:rsidR="0061023B" w:rsidRPr="0061023B">
        <w:t>et al.</w:t>
      </w:r>
      <w:r w:rsidRPr="00642A5D">
        <w:t>, 2013; USEPA, 2004). In contrast to shale and tight gas, some coal seam gas form</w:t>
      </w:r>
      <w:r w:rsidR="00FA480F">
        <w:t xml:space="preserve">ations may have a </w:t>
      </w:r>
      <w:r w:rsidRPr="00642A5D">
        <w:t xml:space="preserve">high permeability and hydraulic fracturing </w:t>
      </w:r>
      <w:r w:rsidR="00721130" w:rsidRPr="00642A5D">
        <w:t>may not be</w:t>
      </w:r>
      <w:r w:rsidRPr="00642A5D">
        <w:t xml:space="preserve"> required.</w:t>
      </w:r>
    </w:p>
    <w:p w14:paraId="21057343" w14:textId="7CC43993" w:rsidR="001C57CB" w:rsidRPr="00642A5D" w:rsidRDefault="001C57CB" w:rsidP="001C57CB">
      <w:pPr>
        <w:pStyle w:val="Para0"/>
      </w:pPr>
      <w:r w:rsidRPr="00642A5D">
        <w:t>There are two primary potential pathways for contaminants to migrate</w:t>
      </w:r>
      <w:r w:rsidR="003D5D59">
        <w:t>:</w:t>
      </w:r>
      <w:r w:rsidRPr="00642A5D">
        <w:t xml:space="preserve"> newly created or widened fractures</w:t>
      </w:r>
      <w:r w:rsidR="006371B0">
        <w:t>,</w:t>
      </w:r>
      <w:r w:rsidRPr="00642A5D">
        <w:t xml:space="preserve"> or via natural zones of high permeability driven by structural features such as faults.</w:t>
      </w:r>
      <w:r w:rsidR="009A72C5">
        <w:t xml:space="preserve"> </w:t>
      </w:r>
      <w:r w:rsidRPr="00642A5D">
        <w:t>This section discusses these potential pathways in the context of the hydraulic fracturing process.</w:t>
      </w:r>
    </w:p>
    <w:p w14:paraId="6923966C" w14:textId="65C25489" w:rsidR="000E020F" w:rsidRPr="00642A5D" w:rsidRDefault="003D5D59" w:rsidP="003D5D59">
      <w:pPr>
        <w:pStyle w:val="Head3xxx"/>
        <w:rPr>
          <w:lang w:eastAsia="en-US"/>
        </w:rPr>
      </w:pPr>
      <w:bookmarkStart w:id="484" w:name="_Toc420568704"/>
      <w:bookmarkStart w:id="485" w:name="_Toc420570286"/>
      <w:bookmarkStart w:id="486" w:name="_Toc420571482"/>
      <w:bookmarkStart w:id="487" w:name="_Toc420572120"/>
      <w:bookmarkStart w:id="488" w:name="_Toc296766977"/>
      <w:r>
        <w:rPr>
          <w:lang w:eastAsia="en-US"/>
        </w:rPr>
        <w:t>4.4.1</w:t>
      </w:r>
      <w:r>
        <w:rPr>
          <w:lang w:eastAsia="en-US"/>
        </w:rPr>
        <w:tab/>
      </w:r>
      <w:r w:rsidR="000E020F" w:rsidRPr="00642A5D">
        <w:rPr>
          <w:lang w:eastAsia="en-US"/>
        </w:rPr>
        <w:t>Fracture propagation</w:t>
      </w:r>
      <w:bookmarkEnd w:id="484"/>
      <w:bookmarkEnd w:id="485"/>
      <w:bookmarkEnd w:id="486"/>
      <w:bookmarkEnd w:id="487"/>
      <w:bookmarkEnd w:id="488"/>
    </w:p>
    <w:p w14:paraId="154E9935" w14:textId="0EE1C11B" w:rsidR="00E47F00" w:rsidRPr="00642A5D" w:rsidRDefault="00E47F00">
      <w:r w:rsidRPr="00642A5D">
        <w:t xml:space="preserve">Over time </w:t>
      </w:r>
      <w:r w:rsidR="001C52DA" w:rsidRPr="00642A5D">
        <w:t xml:space="preserve">hydraulic </w:t>
      </w:r>
      <w:r w:rsidRPr="00642A5D">
        <w:t xml:space="preserve">fracturing </w:t>
      </w:r>
      <w:r w:rsidR="001C52DA" w:rsidRPr="00642A5D">
        <w:t>processes and technologies have</w:t>
      </w:r>
      <w:r w:rsidRPr="00642A5D">
        <w:t xml:space="preserve"> become more sophisticated, but it is still energy intensive and expensive (Fisher and Warpinski, 2011). </w:t>
      </w:r>
      <w:r w:rsidR="003D5D59">
        <w:t>T</w:t>
      </w:r>
      <w:r w:rsidRPr="00642A5D">
        <w:t xml:space="preserve">he industry has been motivated to better understand and control fracture growth, which has been documented in technical and research articles. </w:t>
      </w:r>
    </w:p>
    <w:p w14:paraId="03585648" w14:textId="67D938AF" w:rsidR="00E47F00" w:rsidRPr="00642A5D" w:rsidRDefault="00E47F00">
      <w:r w:rsidRPr="00642A5D">
        <w:t xml:space="preserve">For fractures to propagate they must be opened by internal pressure (Fisher and Warpinski, 2011). In order for this to occur, the internal pressure must be sufficient to counteract the least compressive stress, displace the walls of the fracture, propagate the fracture and counteract any pressure loss due to fluid leakage through the </w:t>
      </w:r>
      <w:r w:rsidR="00FA480F">
        <w:t>prospective</w:t>
      </w:r>
      <w:r w:rsidRPr="00642A5D">
        <w:t xml:space="preserve"> formation (Flewelling </w:t>
      </w:r>
      <w:r w:rsidR="0061023B" w:rsidRPr="0061023B">
        <w:t>et al.</w:t>
      </w:r>
      <w:r w:rsidRPr="00642A5D">
        <w:t>, 2013). Fisher and Warpinski (2011) note</w:t>
      </w:r>
      <w:r w:rsidR="003D5D59">
        <w:t>d</w:t>
      </w:r>
      <w:r w:rsidRPr="00642A5D">
        <w:t xml:space="preserve"> that in the Marcellus Shale, fractures generally propagate vertically in tight and shale gas formations at depths greater than ~600</w:t>
      </w:r>
      <w:r w:rsidR="001C52DA" w:rsidRPr="00642A5D">
        <w:t xml:space="preserve"> </w:t>
      </w:r>
      <w:r w:rsidRPr="00642A5D">
        <w:t xml:space="preserve">m. This is because fracture growth occurs perpendicular to the direction of least stress (in the direction of maximum stress) and in this system the vertical stress of the overburden </w:t>
      </w:r>
      <w:r w:rsidR="003D5D59">
        <w:t xml:space="preserve">typically </w:t>
      </w:r>
      <w:r w:rsidRPr="00642A5D">
        <w:t xml:space="preserve">becomes the largest single stress at depths greater than </w:t>
      </w:r>
      <w:r w:rsidR="003D5D59">
        <w:t xml:space="preserve">about </w:t>
      </w:r>
      <w:r w:rsidRPr="00642A5D">
        <w:t>600 m.</w:t>
      </w:r>
    </w:p>
    <w:p w14:paraId="6EF2BB54" w14:textId="18DDB2B3" w:rsidR="00E47F00" w:rsidRPr="00642A5D" w:rsidRDefault="00E47F00">
      <w:r w:rsidRPr="00642A5D">
        <w:t xml:space="preserve">During propagation, fracture width increases proportional to height. Thus, in order to maintain the fluid pressure required to propagate fractures, large volumes of fluid are required. Additionally, leakage of </w:t>
      </w:r>
      <w:r w:rsidR="00E0244A">
        <w:t xml:space="preserve">hydraulic </w:t>
      </w:r>
      <w:r w:rsidRPr="00642A5D">
        <w:t>frac</w:t>
      </w:r>
      <w:r w:rsidR="00987B3B" w:rsidRPr="00642A5D">
        <w:t>tur</w:t>
      </w:r>
      <w:r w:rsidR="00E0244A">
        <w:t>ing</w:t>
      </w:r>
      <w:r w:rsidRPr="00642A5D">
        <w:t xml:space="preserve"> fluids throughout the </w:t>
      </w:r>
      <w:r w:rsidR="00FA480F">
        <w:t xml:space="preserve">prospective formation can </w:t>
      </w:r>
      <w:r w:rsidRPr="00642A5D">
        <w:t xml:space="preserve">reduce fluid pressure and the extent of the fractures. </w:t>
      </w:r>
      <w:r w:rsidR="00E0244A" w:rsidRPr="00BA3185">
        <w:t>H</w:t>
      </w:r>
      <w:r w:rsidRPr="00BA3185">
        <w:t xml:space="preserve">ydraulic fractures are </w:t>
      </w:r>
      <w:r w:rsidR="00E0244A" w:rsidRPr="00BA3185">
        <w:t xml:space="preserve">therefore </w:t>
      </w:r>
      <w:r w:rsidRPr="00BA3185">
        <w:t>limited in their extent</w:t>
      </w:r>
      <w:r w:rsidR="00E0244A" w:rsidRPr="00BA3185">
        <w:t>;</w:t>
      </w:r>
      <w:r w:rsidRPr="00BA3185">
        <w:t xml:space="preserve"> </w:t>
      </w:r>
      <w:r w:rsidR="00E0244A" w:rsidRPr="00BA3185">
        <w:t xml:space="preserve">although </w:t>
      </w:r>
      <w:r w:rsidRPr="00BA3185">
        <w:t>heights have</w:t>
      </w:r>
      <w:r w:rsidRPr="00642A5D">
        <w:t xml:space="preserve"> been recorded in excess of this in homogeneous </w:t>
      </w:r>
      <w:r w:rsidR="00874FC7" w:rsidRPr="00642A5D">
        <w:t xml:space="preserve">shale </w:t>
      </w:r>
      <w:r w:rsidRPr="00642A5D">
        <w:t>formations, fractures of less than 100 m are most common (Fisher and Warpinski, 2011).</w:t>
      </w:r>
      <w:r w:rsidR="009A72C5">
        <w:t xml:space="preserve"> </w:t>
      </w:r>
    </w:p>
    <w:p w14:paraId="7109880A" w14:textId="0C1D46AF" w:rsidR="00E47F00" w:rsidRPr="00642A5D" w:rsidRDefault="00E47F00">
      <w:r w:rsidRPr="00642A5D">
        <w:t xml:space="preserve">Predictive computer modelling and microseismic monitoring of fracture growth in the United States shales suggests a typical maximum vertical extent of 90 m (Cook </w:t>
      </w:r>
      <w:r w:rsidR="0061023B" w:rsidRPr="0061023B">
        <w:t>et al.</w:t>
      </w:r>
      <w:r w:rsidRPr="00642A5D">
        <w:t>, 2013). However Fisher and Warpinski (2011) conducted a review of thousands of shale hydraulic fracturing treatments across North America and found that in rare occurrences when transmissive fault</w:t>
      </w:r>
      <w:r w:rsidR="00987B3B" w:rsidRPr="00642A5D">
        <w:t>s</w:t>
      </w:r>
      <w:r w:rsidRPr="00642A5D">
        <w:t xml:space="preserve"> were intersected, additional height growth </w:t>
      </w:r>
      <w:r w:rsidR="00FA480F">
        <w:t>(</w:t>
      </w:r>
      <w:r w:rsidR="00E0244A">
        <w:t xml:space="preserve">about </w:t>
      </w:r>
      <w:r w:rsidR="00874FC7" w:rsidRPr="00642A5D">
        <w:t xml:space="preserve">100 m) </w:t>
      </w:r>
      <w:r w:rsidRPr="00642A5D">
        <w:t xml:space="preserve">can occur. This study showed that in such circumstances, vertical fracture growth has been recorded up to 500 metres, however these large distances are likely to be the result of re-opening an old fault rather </w:t>
      </w:r>
      <w:r w:rsidR="00810211" w:rsidRPr="00642A5D">
        <w:t>tha</w:t>
      </w:r>
      <w:r w:rsidR="00810211">
        <w:t xml:space="preserve">n </w:t>
      </w:r>
      <w:r w:rsidRPr="00642A5D">
        <w:t xml:space="preserve">a newly created fault propagating such distances. </w:t>
      </w:r>
      <w:r w:rsidR="00A7429B" w:rsidRPr="00642A5D">
        <w:t>Such incidents</w:t>
      </w:r>
      <w:r w:rsidRPr="00642A5D">
        <w:t xml:space="preserve"> were recorded in the Marcellus Shale which extends across New York, Pennsylvania, Ohio, Maryland, West Virginia and Virginia. Fracture growth in the Marcellus Shale generally showed a greater upward limit when compared to other shale units in the United States such as the Barnett Shale (Texas), the Woodford Shale (Oklahoma) and the Eagleford Shale (south Texas).</w:t>
      </w:r>
    </w:p>
    <w:p w14:paraId="15B4D1A9" w14:textId="00E17248" w:rsidR="001C57CB" w:rsidRPr="00BA3185" w:rsidRDefault="001C57CB" w:rsidP="001C57CB">
      <w:pPr>
        <w:pStyle w:val="Para0"/>
      </w:pPr>
      <w:r w:rsidRPr="00642A5D">
        <w:t xml:space="preserve">It should be noted that the </w:t>
      </w:r>
      <w:r w:rsidR="00FA480F">
        <w:t xml:space="preserve">dominant </w:t>
      </w:r>
      <w:r w:rsidRPr="00642A5D">
        <w:t xml:space="preserve">stress regime throughout North America is associated with extensional tectonics (processes associated with crustal stretching), while the </w:t>
      </w:r>
      <w:r w:rsidR="00FA480F">
        <w:t>dominant</w:t>
      </w:r>
      <w:r w:rsidR="00FA480F" w:rsidRPr="00642A5D">
        <w:t xml:space="preserve"> </w:t>
      </w:r>
      <w:r w:rsidRPr="00642A5D">
        <w:t xml:space="preserve">stress regime in Victoria is associated with compressional tectonics (processes driven by crustal compression). In this setting, it is expected </w:t>
      </w:r>
      <w:r w:rsidRPr="00BA3185">
        <w:t xml:space="preserve">that hydraulic fractures will propagate in a dominantly horizontal direction opposed to the vertical fracture direction that dominates at depths of greater than </w:t>
      </w:r>
      <w:r w:rsidR="00E0244A" w:rsidRPr="00BA3185">
        <w:t xml:space="preserve">about </w:t>
      </w:r>
      <w:r w:rsidRPr="00BA3185">
        <w:t>600 m in North America.</w:t>
      </w:r>
      <w:r w:rsidR="009A72C5" w:rsidRPr="00BA3185">
        <w:t xml:space="preserve"> </w:t>
      </w:r>
      <w:r w:rsidR="00E0244A" w:rsidRPr="00BA3185">
        <w:t xml:space="preserve">It is therefore </w:t>
      </w:r>
      <w:r w:rsidRPr="00BA3185">
        <w:t xml:space="preserve">expected that the vertical extent of fractures resulting from stimulations in the Gippsland and </w:t>
      </w:r>
      <w:r w:rsidR="007C4916" w:rsidRPr="00BA3185">
        <w:t>Otway region</w:t>
      </w:r>
      <w:r w:rsidRPr="00BA3185">
        <w:t>s is likely to be less than the 90 m extent cited in North American examples.</w:t>
      </w:r>
      <w:r w:rsidR="009A72C5" w:rsidRPr="00BA3185">
        <w:t xml:space="preserve"> </w:t>
      </w:r>
      <w:r w:rsidRPr="00BA3185">
        <w:t>Compression</w:t>
      </w:r>
      <w:r w:rsidR="00E0244A" w:rsidRPr="00BA3185">
        <w:t>-</w:t>
      </w:r>
      <w:r w:rsidRPr="00BA3185">
        <w:t xml:space="preserve">driven horizontal stresses are expected to be greater than those that exist in an extensional setting. This is supported by work in the Gippsland Basin (e.g. Nelson </w:t>
      </w:r>
      <w:r w:rsidR="0061023B" w:rsidRPr="00BA3185">
        <w:t>et al.</w:t>
      </w:r>
      <w:r w:rsidRPr="00BA3185">
        <w:t xml:space="preserve">, 2006) which indicates that vertical stress will increase from </w:t>
      </w:r>
      <w:r w:rsidR="00E0244A" w:rsidRPr="00BA3185">
        <w:t xml:space="preserve">about </w:t>
      </w:r>
      <w:r w:rsidRPr="00BA3185">
        <w:t xml:space="preserve">20 </w:t>
      </w:r>
      <w:r w:rsidR="00E0244A" w:rsidRPr="00BA3185">
        <w:t xml:space="preserve">to </w:t>
      </w:r>
      <w:r w:rsidRPr="00BA3185">
        <w:t xml:space="preserve">66 MPa between 1 and 3 km depth below sea level, while the maximum horizontal stress will increase from </w:t>
      </w:r>
      <w:r w:rsidR="00E0244A" w:rsidRPr="00BA3185">
        <w:t xml:space="preserve">about </w:t>
      </w:r>
      <w:r w:rsidRPr="00BA3185">
        <w:t xml:space="preserve">40 </w:t>
      </w:r>
      <w:r w:rsidR="00E0244A" w:rsidRPr="00BA3185">
        <w:t>to</w:t>
      </w:r>
      <w:r w:rsidRPr="00BA3185">
        <w:t xml:space="preserve"> MPa over the same depths (a rate of </w:t>
      </w:r>
      <w:r w:rsidR="00E0244A" w:rsidRPr="00BA3185">
        <w:t xml:space="preserve">about </w:t>
      </w:r>
      <w:r w:rsidRPr="00BA3185">
        <w:t>40 MPa/km,</w:t>
      </w:r>
      <w:r w:rsidR="00E0244A" w:rsidRPr="00BA3185">
        <w:t xml:space="preserve"> which is</w:t>
      </w:r>
      <w:r w:rsidRPr="00BA3185">
        <w:t xml:space="preserve"> roughly twice the rate of the vertical stress increase). </w:t>
      </w:r>
    </w:p>
    <w:p w14:paraId="54DBF4C5" w14:textId="1DC73647" w:rsidR="001C57CB" w:rsidRPr="00BA3185" w:rsidRDefault="001C57CB" w:rsidP="001C57CB">
      <w:pPr>
        <w:pStyle w:val="Para0"/>
      </w:pPr>
      <w:r w:rsidRPr="00BA3185">
        <w:t xml:space="preserve">While hydraulic fracturing in </w:t>
      </w:r>
      <w:r w:rsidR="00FA480F" w:rsidRPr="00BA3185">
        <w:t xml:space="preserve">prospective </w:t>
      </w:r>
      <w:r w:rsidR="00024597" w:rsidRPr="00BA3185">
        <w:t>coal seam gas</w:t>
      </w:r>
      <w:r w:rsidR="00FA480F" w:rsidRPr="00BA3185">
        <w:t xml:space="preserve"> units </w:t>
      </w:r>
      <w:r w:rsidRPr="00BA3185">
        <w:t>(when required) can create new fractures, it most commonly opens and enlarges existing fractures within the coal seam (US EPA, 2004). In doing so, the connections of the natural fracture networks in and around the coal seams are increased and the overall permeability increased. It should also be noted that gases within coal beds are not structurally trapped by geologic strata in the same way that conventional and tight gas is</w:t>
      </w:r>
      <w:r w:rsidR="00E0244A" w:rsidRPr="00BA3185">
        <w:t>,</w:t>
      </w:r>
      <w:r w:rsidRPr="00BA3185">
        <w:t xml:space="preserve"> and most of the </w:t>
      </w:r>
      <w:r w:rsidR="00024597" w:rsidRPr="00BA3185">
        <w:t>coal seam gas</w:t>
      </w:r>
      <w:r w:rsidRPr="00BA3185">
        <w:t xml:space="preserve"> is contained within the coal itself, adsorbed to the coal particles. </w:t>
      </w:r>
    </w:p>
    <w:p w14:paraId="154A0222" w14:textId="6AB7E4B8" w:rsidR="001C57CB" w:rsidRPr="00642A5D" w:rsidRDefault="001C57CB" w:rsidP="001C57CB">
      <w:pPr>
        <w:pStyle w:val="Para0"/>
      </w:pPr>
      <w:r w:rsidRPr="00BA3185">
        <w:t xml:space="preserve">Fracture growth in </w:t>
      </w:r>
      <w:r w:rsidR="00024597" w:rsidRPr="00BA3185">
        <w:t>coal seam gas</w:t>
      </w:r>
      <w:r w:rsidRPr="00BA3185">
        <w:t xml:space="preserve"> formations is </w:t>
      </w:r>
      <w:r w:rsidR="00E0244A" w:rsidRPr="00BA3185">
        <w:t xml:space="preserve">typically </w:t>
      </w:r>
      <w:r w:rsidRPr="00BA3185">
        <w:t>slow, with an average velocity of less than 10</w:t>
      </w:r>
      <w:r w:rsidR="00E0244A" w:rsidRPr="00BA3185">
        <w:t> m</w:t>
      </w:r>
      <w:r w:rsidRPr="00BA3185">
        <w:t xml:space="preserve"> per minute initially, slowing to less than 1</w:t>
      </w:r>
      <w:r w:rsidR="00E0244A" w:rsidRPr="00BA3185">
        <w:t> m</w:t>
      </w:r>
      <w:r w:rsidRPr="00BA3185">
        <w:t xml:space="preserve"> per minute towards the end of the treatment (CSIRO, 2014). For a large </w:t>
      </w:r>
      <w:r w:rsidR="00024597" w:rsidRPr="00BA3185">
        <w:t>coal seam gas</w:t>
      </w:r>
      <w:r w:rsidRPr="00BA3185">
        <w:t xml:space="preserve"> development, proppant extent (and fracture widening) might extend </w:t>
      </w:r>
      <w:r w:rsidR="00987B3B" w:rsidRPr="00BA3185">
        <w:t xml:space="preserve">horizontally </w:t>
      </w:r>
      <w:r w:rsidRPr="00BA3185">
        <w:t>to a distance of 200 to 300</w:t>
      </w:r>
      <w:r w:rsidR="00E0244A" w:rsidRPr="00BA3185">
        <w:t> m</w:t>
      </w:r>
      <w:r w:rsidRPr="00BA3185">
        <w:t xml:space="preserve"> from a vertical well (CSIRO, 2014).</w:t>
      </w:r>
    </w:p>
    <w:p w14:paraId="5340A0A7" w14:textId="23190FDB" w:rsidR="001C57CB" w:rsidRPr="00642A5D" w:rsidRDefault="00E0244A" w:rsidP="001C57CB">
      <w:pPr>
        <w:pStyle w:val="Para0"/>
      </w:pPr>
      <w:r>
        <w:t>As for</w:t>
      </w:r>
      <w:r w:rsidR="001C57CB" w:rsidRPr="00642A5D">
        <w:t xml:space="preserve"> shale gas, the depth and rock types surrounding </w:t>
      </w:r>
      <w:r w:rsidR="00024597">
        <w:t>coal seam gas</w:t>
      </w:r>
      <w:r w:rsidR="001C57CB" w:rsidRPr="00642A5D">
        <w:t xml:space="preserve"> have a fundamental influence on fracture dimensions and orientations. For </w:t>
      </w:r>
      <w:r w:rsidR="00024597">
        <w:t>coal seam gas</w:t>
      </w:r>
      <w:r w:rsidR="001C57CB" w:rsidRPr="00642A5D">
        <w:t xml:space="preserve"> in the United States, it is reported that at depths less than </w:t>
      </w:r>
      <w:r>
        <w:t>about</w:t>
      </w:r>
      <w:r w:rsidR="001C57CB" w:rsidRPr="00642A5D">
        <w:t xml:space="preserve"> 300 m, the direction of least principal stress tends to be vertical and thus, fractures tend to propagate horizontally (USEPA, 2004). USEPA (2004) reported that vertical fractures at this depth were usually related to pre-existing natural fractures in the coal seam. At depths greater than </w:t>
      </w:r>
      <w:r>
        <w:t>about</w:t>
      </w:r>
      <w:r w:rsidR="001C57CB" w:rsidRPr="00642A5D">
        <w:t>300 m, the direction of least principal stress generally becomes horizontal and thus vertical fractures tend to dominate.</w:t>
      </w:r>
      <w:r w:rsidR="009A72C5">
        <w:t xml:space="preserve"> </w:t>
      </w:r>
      <w:r w:rsidR="001C57CB" w:rsidRPr="00642A5D">
        <w:t xml:space="preserve">This means </w:t>
      </w:r>
      <w:r>
        <w:t xml:space="preserve">that </w:t>
      </w:r>
      <w:r w:rsidR="001C57CB" w:rsidRPr="00642A5D">
        <w:t xml:space="preserve">for potential </w:t>
      </w:r>
      <w:r w:rsidR="00024597">
        <w:t>coal seam gas</w:t>
      </w:r>
      <w:r w:rsidR="001C57CB" w:rsidRPr="00642A5D">
        <w:t xml:space="preserve"> development in Victoria the least principal stress at the </w:t>
      </w:r>
      <w:r w:rsidR="00FA480F">
        <w:t>prospective</w:t>
      </w:r>
      <w:r w:rsidR="001C57CB" w:rsidRPr="00642A5D">
        <w:t xml:space="preserve"> depth should be determined to confirm the likely direction of propagation of fractures and optimise any fra</w:t>
      </w:r>
      <w:r w:rsidR="00987B3B" w:rsidRPr="00642A5D">
        <w:t>cture stimulation</w:t>
      </w:r>
      <w:r w:rsidR="001C57CB" w:rsidRPr="00642A5D">
        <w:t xml:space="preserve"> program.</w:t>
      </w:r>
      <w:r w:rsidR="009A72C5">
        <w:t xml:space="preserve"> </w:t>
      </w:r>
    </w:p>
    <w:p w14:paraId="715FF963" w14:textId="6D62F763" w:rsidR="001C57CB" w:rsidRPr="00642A5D" w:rsidRDefault="001C57CB" w:rsidP="001C57CB">
      <w:pPr>
        <w:pStyle w:val="Para0"/>
      </w:pPr>
      <w:r w:rsidRPr="00642A5D">
        <w:t xml:space="preserve">Recent investigations indicate a clear and simple relationship between the volume of hydraulic fracturing fluids used during fracturing of shales and the height of the fractures developed (Flewelling </w:t>
      </w:r>
      <w:r w:rsidR="0061023B" w:rsidRPr="0061023B">
        <w:t>et al.</w:t>
      </w:r>
      <w:r w:rsidRPr="00642A5D">
        <w:t>, 2013). The study compared the estimated upper limit of fracture height as a function of fluid volume in over 12</w:t>
      </w:r>
      <w:r w:rsidR="00E0244A">
        <w:t> </w:t>
      </w:r>
      <w:r w:rsidRPr="00642A5D">
        <w:t>000 fracture networks across Canada and America (approximately 57% of these data were collected in the Barnett, Eagle Ford, and Marcellus shale plays) that were mapped with microseismic sensors (</w:t>
      </w:r>
      <w:r w:rsidR="007569CD" w:rsidRPr="00642A5D">
        <w:fldChar w:fldCharType="begin"/>
      </w:r>
      <w:r w:rsidRPr="00642A5D">
        <w:instrText xml:space="preserve"> REF _Ref404699226 \h </w:instrText>
      </w:r>
      <w:r w:rsidR="00642A5D">
        <w:instrText xml:space="preserve"> \* MERGEFORMAT </w:instrText>
      </w:r>
      <w:r w:rsidR="007569CD" w:rsidRPr="00642A5D">
        <w:fldChar w:fldCharType="separate"/>
      </w:r>
      <w:r w:rsidR="00171A5E" w:rsidRPr="00642A5D">
        <w:t xml:space="preserve">Figure </w:t>
      </w:r>
      <w:r w:rsidR="00171A5E">
        <w:rPr>
          <w:noProof/>
        </w:rPr>
        <w:t>44</w:t>
      </w:r>
      <w:r w:rsidR="007569CD" w:rsidRPr="00642A5D">
        <w:fldChar w:fldCharType="end"/>
      </w:r>
      <w:r w:rsidRPr="00642A5D">
        <w:t xml:space="preserve">). The results indicate that the majority of fractures were less than 100 m, and the maximum vertical extent of possible fracture growth was about 600 m, with a handful of fractures between 400 and 600 m. </w:t>
      </w:r>
    </w:p>
    <w:p w14:paraId="09EF3930" w14:textId="77777777" w:rsidR="000E020F" w:rsidRPr="006800F3" w:rsidRDefault="000E020F" w:rsidP="006800F3">
      <w:pPr>
        <w:pStyle w:val="figurereturn"/>
      </w:pPr>
      <w:r w:rsidRPr="00642A5D">
        <w:drawing>
          <wp:inline distT="0" distB="0" distL="0" distR="0" wp14:anchorId="566B4747" wp14:editId="059A8D24">
            <wp:extent cx="5943600" cy="18821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5943600" cy="1882140"/>
                    </a:xfrm>
                    <a:prstGeom prst="rect">
                      <a:avLst/>
                    </a:prstGeom>
                  </pic:spPr>
                </pic:pic>
              </a:graphicData>
            </a:graphic>
          </wp:inline>
        </w:drawing>
      </w:r>
    </w:p>
    <w:p w14:paraId="3971A168" w14:textId="28A3A39F" w:rsidR="000E020F" w:rsidRDefault="000E020F" w:rsidP="00A53AE8">
      <w:pPr>
        <w:pStyle w:val="Figuretitle"/>
      </w:pPr>
      <w:bookmarkStart w:id="489" w:name="_Ref404699226"/>
      <w:bookmarkStart w:id="490" w:name="_Toc422928815"/>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44</w:t>
      </w:r>
      <w:r w:rsidR="007569CD" w:rsidRPr="00642A5D">
        <w:fldChar w:fldCharType="end"/>
      </w:r>
      <w:bookmarkEnd w:id="489"/>
      <w:r w:rsidR="008B076F">
        <w:t>:</w:t>
      </w:r>
      <w:r w:rsidRPr="00642A5D">
        <w:t xml:space="preserve"> </w:t>
      </w:r>
      <w:r w:rsidR="00E0244A">
        <w:t xml:space="preserve"> (a) </w:t>
      </w:r>
      <w:r w:rsidRPr="00642A5D">
        <w:t>Location of formations where fracture height and HF fluid volume were collected</w:t>
      </w:r>
      <w:r w:rsidR="00E0244A">
        <w:t>.</w:t>
      </w:r>
      <w:r w:rsidRPr="00642A5D">
        <w:t xml:space="preserve"> </w:t>
      </w:r>
      <w:r w:rsidR="00E0244A">
        <w:t>(b)</w:t>
      </w:r>
      <w:r w:rsidR="00E0244A" w:rsidRPr="00642A5D">
        <w:t xml:space="preserve"> </w:t>
      </w:r>
      <w:r w:rsidR="00E0244A">
        <w:t>C</w:t>
      </w:r>
      <w:r w:rsidR="009C08E6">
        <w:t>o</w:t>
      </w:r>
      <w:r w:rsidRPr="00642A5D">
        <w:t>variance between fracture height and HF fluid volume</w:t>
      </w:r>
      <w:r w:rsidR="00E0244A">
        <w:t>.</w:t>
      </w:r>
      <w:r w:rsidRPr="00642A5D">
        <w:t xml:space="preserve"> </w:t>
      </w:r>
      <w:r w:rsidR="008F369D">
        <w:t>(</w:t>
      </w:r>
      <w:r w:rsidR="00E0244A">
        <w:t>S</w:t>
      </w:r>
      <w:r w:rsidR="008F369D">
        <w:t xml:space="preserve">ource: </w:t>
      </w:r>
      <w:r w:rsidRPr="00642A5D">
        <w:t xml:space="preserve">Flewelling </w:t>
      </w:r>
      <w:r w:rsidR="0061023B" w:rsidRPr="0061023B">
        <w:t>et al.</w:t>
      </w:r>
      <w:r w:rsidRPr="00642A5D">
        <w:t>, 2013</w:t>
      </w:r>
      <w:r w:rsidR="00E0244A">
        <w:t>.</w:t>
      </w:r>
      <w:r w:rsidR="00417C88" w:rsidRPr="00642A5D">
        <w:t>)</w:t>
      </w:r>
      <w:bookmarkEnd w:id="490"/>
    </w:p>
    <w:p w14:paraId="5749EABF" w14:textId="7884CA2A" w:rsidR="001C57CB" w:rsidRPr="00642A5D" w:rsidRDefault="001C57CB">
      <w:r w:rsidRPr="00642A5D">
        <w:t xml:space="preserve">While it is useful to have an idea of typical fracture extents, it is widely documented that hydraulic fracture growth is not always predictable and that all extractive industry activities, including onshore gas, carry some level of risk (IESC, </w:t>
      </w:r>
      <w:r w:rsidRPr="00BA3185">
        <w:t>2014</w:t>
      </w:r>
      <w:r w:rsidR="00352324">
        <w:t>a</w:t>
      </w:r>
      <w:r w:rsidRPr="00BA3185">
        <w:t xml:space="preserve">). Accordingly, pre-fracture assessments are commonly conducted as part of the hydraulic fracturing program design. Such assessments </w:t>
      </w:r>
      <w:r w:rsidR="007F0BC7" w:rsidRPr="00BA3185">
        <w:t xml:space="preserve">typically </w:t>
      </w:r>
      <w:r w:rsidR="00FA480F" w:rsidRPr="00BA3185">
        <w:t xml:space="preserve">include a characterisation </w:t>
      </w:r>
      <w:r w:rsidR="007F0BC7" w:rsidRPr="00BA3185">
        <w:t>of the</w:t>
      </w:r>
      <w:r w:rsidRPr="00BA3185">
        <w:t xml:space="preserve"> geology, permeability, stresses and fault distribution</w:t>
      </w:r>
      <w:r w:rsidR="007F0BC7" w:rsidRPr="00BA3185">
        <w:t xml:space="preserve"> in the prospective and surrounding formations</w:t>
      </w:r>
      <w:r w:rsidR="00774117" w:rsidRPr="00BA3185">
        <w:t>,</w:t>
      </w:r>
      <w:r w:rsidRPr="00BA3185">
        <w:t xml:space="preserve"> and estimates of fluid los</w:t>
      </w:r>
      <w:r w:rsidR="00554134" w:rsidRPr="00BA3185">
        <w:t>s</w:t>
      </w:r>
      <w:r w:rsidRPr="00BA3185">
        <w:t>es during fracturing.</w:t>
      </w:r>
      <w:r w:rsidRPr="00642A5D">
        <w:t xml:space="preserve"> </w:t>
      </w:r>
    </w:p>
    <w:p w14:paraId="49BF84AB" w14:textId="6F1986DA" w:rsidR="000E020F" w:rsidRPr="00642A5D" w:rsidRDefault="00283EAE" w:rsidP="00451A8E">
      <w:pPr>
        <w:pStyle w:val="Head3xxx"/>
        <w:rPr>
          <w:lang w:eastAsia="en-US"/>
        </w:rPr>
      </w:pPr>
      <w:bookmarkStart w:id="491" w:name="_Toc420568705"/>
      <w:bookmarkStart w:id="492" w:name="_Toc420570287"/>
      <w:bookmarkStart w:id="493" w:name="_Toc420571483"/>
      <w:bookmarkStart w:id="494" w:name="_Toc420572121"/>
      <w:bookmarkStart w:id="495" w:name="_Toc296766978"/>
      <w:r>
        <w:rPr>
          <w:lang w:eastAsia="en-US"/>
        </w:rPr>
        <w:t>4.4.2</w:t>
      </w:r>
      <w:r>
        <w:rPr>
          <w:lang w:eastAsia="en-US"/>
        </w:rPr>
        <w:tab/>
      </w:r>
      <w:r w:rsidR="000E020F" w:rsidRPr="00642A5D">
        <w:rPr>
          <w:lang w:eastAsia="en-US"/>
        </w:rPr>
        <w:t>Natural faults and fractures</w:t>
      </w:r>
      <w:bookmarkEnd w:id="491"/>
      <w:bookmarkEnd w:id="492"/>
      <w:bookmarkEnd w:id="493"/>
      <w:bookmarkEnd w:id="494"/>
      <w:bookmarkEnd w:id="495"/>
    </w:p>
    <w:p w14:paraId="53516172" w14:textId="760DF0B3" w:rsidR="001C57CB" w:rsidRPr="00642A5D" w:rsidRDefault="001C57CB" w:rsidP="001C57CB">
      <w:pPr>
        <w:pStyle w:val="Para0"/>
      </w:pPr>
      <w:r w:rsidRPr="00642A5D">
        <w:t xml:space="preserve">Faults have been suggested as mechanisms for enhancing fracture growth during hydraulic fracturing of </w:t>
      </w:r>
      <w:r w:rsidR="00D9269A">
        <w:t xml:space="preserve">prospective </w:t>
      </w:r>
      <w:r w:rsidRPr="00642A5D">
        <w:t xml:space="preserve">shale gas </w:t>
      </w:r>
      <w:r w:rsidR="00D9269A">
        <w:t>resources</w:t>
      </w:r>
      <w:r w:rsidRPr="00642A5D">
        <w:t xml:space="preserve">. This however ignores the principles underlying the formation of hydrocarbon reservoirs (Fisher and Warpinski, 2011). That is, if there has been an open pathway between the </w:t>
      </w:r>
      <w:r w:rsidR="00D9269A">
        <w:t>prospective</w:t>
      </w:r>
      <w:r w:rsidRPr="00642A5D">
        <w:t xml:space="preserve"> formation and the near surface through an existing fault, then over geological time periods it is possible that hydrocarbons in the immediate vicinity could escape. If, on the other hand, the fault zone is not highly permeable and is closed, the conditions required to extend the fault may be almost identical to those required to induce fractures in competent rock.</w:t>
      </w:r>
    </w:p>
    <w:p w14:paraId="74143DA2" w14:textId="69CB487D" w:rsidR="001C57CB" w:rsidRPr="00642A5D" w:rsidRDefault="001C57CB">
      <w:r w:rsidRPr="00642A5D">
        <w:t xml:space="preserve">These observations about the practicalities of oil and gas reservoirs strongly suggest that natural faults and fractures do not necessarily result in enhanced fracture growth during stimulation. In this context, it remains possible that the hydraulic fracturing may result in connection between induced fractures and fracture/fault zones with an elevated permeability (e.g. Kissinger </w:t>
      </w:r>
      <w:r w:rsidR="0061023B" w:rsidRPr="0061023B">
        <w:t>et al.</w:t>
      </w:r>
      <w:r w:rsidRPr="00642A5D">
        <w:t xml:space="preserve">, 2013; Lange </w:t>
      </w:r>
      <w:r w:rsidR="0061023B" w:rsidRPr="0061023B">
        <w:t>et al.</w:t>
      </w:r>
      <w:r w:rsidRPr="00642A5D">
        <w:t xml:space="preserve">, 2013). It is important to establish a sound geological and hydrogeological understanding of the </w:t>
      </w:r>
      <w:r w:rsidR="00D9269A">
        <w:t>prospective</w:t>
      </w:r>
      <w:r w:rsidRPr="00642A5D">
        <w:t xml:space="preserve"> </w:t>
      </w:r>
      <w:r w:rsidR="00D9269A">
        <w:t xml:space="preserve">natural gas source </w:t>
      </w:r>
      <w:r w:rsidRPr="00642A5D">
        <w:t xml:space="preserve">and surrounding formations prior to hydraulic fracturing </w:t>
      </w:r>
      <w:r w:rsidR="00774117">
        <w:t>in order</w:t>
      </w:r>
      <w:r w:rsidRPr="00642A5D">
        <w:t xml:space="preserve"> to avoid the potential for unwanted connection between high permeability areas.</w:t>
      </w:r>
    </w:p>
    <w:p w14:paraId="478D6D48" w14:textId="2EA445E1" w:rsidR="00027A1E" w:rsidRPr="00642A5D" w:rsidRDefault="00283EAE" w:rsidP="00F60E96">
      <w:pPr>
        <w:pStyle w:val="Head2xx"/>
      </w:pPr>
      <w:bookmarkStart w:id="496" w:name="_Toc420568706"/>
      <w:bookmarkStart w:id="497" w:name="_Toc420570288"/>
      <w:bookmarkStart w:id="498" w:name="_Toc420571484"/>
      <w:bookmarkStart w:id="499" w:name="_Toc420572122"/>
      <w:bookmarkStart w:id="500" w:name="_Toc296766979"/>
      <w:bookmarkStart w:id="501" w:name="_Toc422927909"/>
      <w:r>
        <w:t>4.5</w:t>
      </w:r>
      <w:r>
        <w:tab/>
      </w:r>
      <w:r w:rsidR="000E020F" w:rsidRPr="00642A5D">
        <w:t>Contamination mechanisms</w:t>
      </w:r>
      <w:bookmarkEnd w:id="496"/>
      <w:bookmarkEnd w:id="497"/>
      <w:bookmarkEnd w:id="498"/>
      <w:bookmarkEnd w:id="499"/>
      <w:bookmarkEnd w:id="500"/>
      <w:bookmarkEnd w:id="501"/>
    </w:p>
    <w:p w14:paraId="4794FD2A" w14:textId="0A4987D8" w:rsidR="000E020F" w:rsidRPr="00642A5D" w:rsidRDefault="000E020F" w:rsidP="00C150BC">
      <w:pPr>
        <w:pStyle w:val="Para0"/>
      </w:pPr>
      <w:r w:rsidRPr="00642A5D">
        <w:t>There are three main mechanisms by which hydraulic fracturing can lead to contamination</w:t>
      </w:r>
      <w:r w:rsidR="00283EAE">
        <w:t xml:space="preserve"> are </w:t>
      </w:r>
      <w:r w:rsidR="00417C88" w:rsidRPr="00642A5D">
        <w:t>f</w:t>
      </w:r>
      <w:r w:rsidRPr="00642A5D">
        <w:t>luid migration during hydraulic fracturing</w:t>
      </w:r>
      <w:r w:rsidR="00283EAE">
        <w:t xml:space="preserve">, </w:t>
      </w:r>
      <w:r w:rsidR="00417C88" w:rsidRPr="00642A5D">
        <w:t>p</w:t>
      </w:r>
      <w:r w:rsidRPr="00642A5D">
        <w:t>assive fluid migration</w:t>
      </w:r>
      <w:r w:rsidR="00283EAE">
        <w:t xml:space="preserve">, and </w:t>
      </w:r>
      <w:r w:rsidR="00417C88" w:rsidRPr="00642A5D">
        <w:t>g</w:t>
      </w:r>
      <w:r w:rsidRPr="00642A5D">
        <w:t>as migration.</w:t>
      </w:r>
      <w:r w:rsidR="00283EAE">
        <w:t xml:space="preserve"> </w:t>
      </w:r>
    </w:p>
    <w:p w14:paraId="39C119B6" w14:textId="4157494A" w:rsidR="00027A1E" w:rsidRPr="00642A5D" w:rsidRDefault="00283EAE" w:rsidP="00C150BC">
      <w:pPr>
        <w:pStyle w:val="Head3xxx"/>
        <w:rPr>
          <w:lang w:eastAsia="en-US"/>
        </w:rPr>
      </w:pPr>
      <w:bookmarkStart w:id="502" w:name="_Toc420568707"/>
      <w:bookmarkStart w:id="503" w:name="_Toc420570289"/>
      <w:bookmarkStart w:id="504" w:name="_Toc420571485"/>
      <w:bookmarkStart w:id="505" w:name="_Toc420572123"/>
      <w:bookmarkStart w:id="506" w:name="_Toc296766980"/>
      <w:r>
        <w:rPr>
          <w:lang w:eastAsia="en-US"/>
        </w:rPr>
        <w:t>4.5.1</w:t>
      </w:r>
      <w:r>
        <w:rPr>
          <w:lang w:eastAsia="en-US"/>
        </w:rPr>
        <w:tab/>
      </w:r>
      <w:r w:rsidR="000E020F" w:rsidRPr="00642A5D">
        <w:rPr>
          <w:lang w:eastAsia="en-US"/>
        </w:rPr>
        <w:t>Fluid migration during hydraulic fracturing</w:t>
      </w:r>
      <w:bookmarkEnd w:id="502"/>
      <w:bookmarkEnd w:id="503"/>
      <w:bookmarkEnd w:id="504"/>
      <w:bookmarkEnd w:id="505"/>
      <w:bookmarkEnd w:id="506"/>
    </w:p>
    <w:p w14:paraId="400432B5" w14:textId="351A473A" w:rsidR="001C57CB" w:rsidRPr="00642A5D" w:rsidRDefault="00283EAE" w:rsidP="00810211">
      <w:pPr>
        <w:pStyle w:val="Para0"/>
      </w:pPr>
      <w:r>
        <w:t>As discussed in S</w:t>
      </w:r>
      <w:r w:rsidR="001C57CB" w:rsidRPr="00642A5D">
        <w:t xml:space="preserve">ection </w:t>
      </w:r>
      <w:r w:rsidR="008F271F">
        <w:t>4.</w:t>
      </w:r>
      <w:r>
        <w:t>1</w:t>
      </w:r>
      <w:r w:rsidR="001C57CB" w:rsidRPr="00642A5D">
        <w:t>, the maximum pressure</w:t>
      </w:r>
      <w:r w:rsidR="00D9269A">
        <w:t>s reached during fracturing</w:t>
      </w:r>
      <w:r w:rsidR="001C57CB" w:rsidRPr="00642A5D">
        <w:t xml:space="preserve"> last for a few hours while total fracturing operations last around 12 hours (Lange </w:t>
      </w:r>
      <w:r w:rsidR="0061023B" w:rsidRPr="0061023B">
        <w:t>et al.</w:t>
      </w:r>
      <w:r w:rsidR="001C57CB" w:rsidRPr="00642A5D">
        <w:t xml:space="preserve">, 2013). After fracture stimulation has ceased, the pressure built up in the </w:t>
      </w:r>
      <w:r w:rsidR="001C57CB" w:rsidRPr="00BA3185">
        <w:t xml:space="preserve">formation drives the return of some fluids back to the surface via the well. Additionally, some further hydraulic fracturing fluids are returned to the surface during a flushing phase (back production), where guidelines recommend flushing out </w:t>
      </w:r>
      <w:r w:rsidR="00D9269A" w:rsidRPr="00BA3185">
        <w:t>about</w:t>
      </w:r>
      <w:r w:rsidR="00D9269A">
        <w:t xml:space="preserve"> </w:t>
      </w:r>
      <w:r w:rsidR="001C57CB" w:rsidRPr="00642A5D">
        <w:t>1.5 times the volume of the hydraulic fracturing fluid (</w:t>
      </w:r>
      <w:r w:rsidR="00352324">
        <w:t>IESC, 2014a</w:t>
      </w:r>
      <w:r w:rsidR="001C57CB" w:rsidRPr="00642A5D">
        <w:t xml:space="preserve">). Further recovery of </w:t>
      </w:r>
      <w:r>
        <w:t xml:space="preserve">hydraulic </w:t>
      </w:r>
      <w:r w:rsidR="001C57CB" w:rsidRPr="00642A5D">
        <w:t>frac</w:t>
      </w:r>
      <w:r w:rsidR="00987B3B" w:rsidRPr="00642A5D">
        <w:t>turing</w:t>
      </w:r>
      <w:r w:rsidR="001C57CB" w:rsidRPr="00642A5D">
        <w:t xml:space="preserve"> fluids will occur during the production of gas from the gas source.</w:t>
      </w:r>
    </w:p>
    <w:p w14:paraId="13C59985" w14:textId="73D7478B" w:rsidR="000E020F" w:rsidRPr="00642A5D" w:rsidRDefault="000E020F">
      <w:r w:rsidRPr="00642A5D">
        <w:t xml:space="preserve">The movement of fracturing fluids into </w:t>
      </w:r>
      <w:r w:rsidR="00417C88" w:rsidRPr="00642A5D">
        <w:t xml:space="preserve">a </w:t>
      </w:r>
      <w:r w:rsidRPr="00642A5D">
        <w:t>formation during the fracturing phase is known as fluid “leak-off”. This occurs during the fracturing phase as the pressure within the fractures is greater t</w:t>
      </w:r>
      <w:r w:rsidR="00932254">
        <w:t xml:space="preserve">han the fluid pressure in the prospective gas </w:t>
      </w:r>
      <w:r w:rsidRPr="00642A5D">
        <w:t>formation</w:t>
      </w:r>
      <w:r w:rsidR="003211D1" w:rsidRPr="00642A5D">
        <w:t>.</w:t>
      </w:r>
    </w:p>
    <w:p w14:paraId="1E9F4661" w14:textId="41B35F74" w:rsidR="000E020F" w:rsidRPr="00642A5D" w:rsidRDefault="008122DF" w:rsidP="00A35B08">
      <w:r w:rsidRPr="00642A5D">
        <w:t>Fluid leak-</w:t>
      </w:r>
      <w:r w:rsidR="000E020F" w:rsidRPr="00642A5D">
        <w:t>off rates have been estimated over the last 30 years and have become more efficient over time.</w:t>
      </w:r>
      <w:r w:rsidR="009A72C5">
        <w:t xml:space="preserve"> </w:t>
      </w:r>
      <w:r w:rsidR="000E020F" w:rsidRPr="00642A5D">
        <w:t>Reports from the US EPA (2011) estimate variations in frac</w:t>
      </w:r>
      <w:r w:rsidR="00975D43" w:rsidRPr="00642A5D">
        <w:t>turing</w:t>
      </w:r>
      <w:r w:rsidR="000E020F" w:rsidRPr="00642A5D">
        <w:t xml:space="preserve"> fluid recovery in </w:t>
      </w:r>
      <w:r w:rsidR="00932254">
        <w:t xml:space="preserve">prospective </w:t>
      </w:r>
      <w:r w:rsidR="000E020F" w:rsidRPr="00642A5D">
        <w:t xml:space="preserve">shale gas </w:t>
      </w:r>
      <w:r w:rsidR="00932254">
        <w:t>formations</w:t>
      </w:r>
      <w:r w:rsidR="000E020F" w:rsidRPr="00642A5D">
        <w:t xml:space="preserve"> ranging from 25 to 75%. In contrast, estimates for the Marcellus Shale suggest a fracture fluid recovery rate of 10 to 30 </w:t>
      </w:r>
      <w:r w:rsidR="003211D1" w:rsidRPr="00642A5D">
        <w:t xml:space="preserve">% </w:t>
      </w:r>
      <w:r w:rsidR="000E020F" w:rsidRPr="00642A5D">
        <w:t xml:space="preserve">(Arthur </w:t>
      </w:r>
      <w:r w:rsidR="0061023B" w:rsidRPr="0061023B">
        <w:t>et al.</w:t>
      </w:r>
      <w:r w:rsidR="000E020F" w:rsidRPr="00642A5D">
        <w:t xml:space="preserve">, 2008). For coal seam gas, Penny </w:t>
      </w:r>
      <w:r w:rsidR="0061023B" w:rsidRPr="0061023B">
        <w:t>et al.</w:t>
      </w:r>
      <w:r w:rsidR="000E020F" w:rsidRPr="00642A5D">
        <w:t xml:space="preserve"> (1985) suggested a</w:t>
      </w:r>
      <w:r w:rsidR="00946902">
        <w:t xml:space="preserve"> flow-back rate of</w:t>
      </w:r>
      <w:r w:rsidR="000E020F" w:rsidRPr="00642A5D">
        <w:t xml:space="preserve"> </w:t>
      </w:r>
      <w:r w:rsidR="00D9269A">
        <w:t xml:space="preserve">about </w:t>
      </w:r>
      <w:r w:rsidR="000E020F" w:rsidRPr="00642A5D">
        <w:t xml:space="preserve">30%, while Palmer </w:t>
      </w:r>
      <w:r w:rsidR="0061023B" w:rsidRPr="0061023B">
        <w:t>et al.</w:t>
      </w:r>
      <w:r w:rsidR="000E020F" w:rsidRPr="00642A5D">
        <w:t xml:space="preserve"> (1991) estimated a 61 </w:t>
      </w:r>
      <w:r w:rsidR="003211D1" w:rsidRPr="00642A5D">
        <w:t>%</w:t>
      </w:r>
      <w:r w:rsidR="000E020F" w:rsidRPr="00642A5D">
        <w:t xml:space="preserve"> fracturing fluid recovery rate over a 19 day period in the Black Warrior Basin. Golder Associates (2010) estimated a 40% fluid recovery rate for wells in the Surat Bas</w:t>
      </w:r>
      <w:r w:rsidR="00946902">
        <w:t xml:space="preserve">in. These results are </w:t>
      </w:r>
      <w:r w:rsidR="000E020F" w:rsidRPr="00642A5D">
        <w:t xml:space="preserve">consistent with reports from the CSIRO (2014) who suggest typical recovery rates in the order of 30 to 60%. </w:t>
      </w:r>
      <w:r w:rsidR="003211D1" w:rsidRPr="00642A5D">
        <w:t>It is noted however that leak-off fluids may not be completely lost to the form</w:t>
      </w:r>
      <w:r w:rsidR="00D9269A">
        <w:t xml:space="preserve">ation as these are </w:t>
      </w:r>
      <w:r w:rsidR="003211D1" w:rsidRPr="00642A5D">
        <w:t>partially recovered during gas production when fluid pressure regimes are reversed (</w:t>
      </w:r>
      <w:r w:rsidR="00352324">
        <w:t>IESC, 2014a</w:t>
      </w:r>
      <w:r w:rsidR="003211D1" w:rsidRPr="00642A5D">
        <w:t>).</w:t>
      </w:r>
    </w:p>
    <w:p w14:paraId="5F5BC084" w14:textId="6B4CE320" w:rsidR="00775768" w:rsidRPr="00642A5D" w:rsidRDefault="00775768" w:rsidP="00775768">
      <w:pPr>
        <w:pStyle w:val="Para0"/>
      </w:pPr>
      <w:r w:rsidRPr="00642A5D">
        <w:t>The risk of hydraulic fracture fluid entering groundwater resources has been previously assessed (</w:t>
      </w:r>
      <w:r w:rsidR="00352324">
        <w:t>IESC, 2014a</w:t>
      </w:r>
      <w:r w:rsidRPr="00642A5D">
        <w:t>; USEPA, 2011), and three major factors that control contamination risks were outlined. These were:</w:t>
      </w:r>
    </w:p>
    <w:p w14:paraId="5DF57A84" w14:textId="45B1FB6F" w:rsidR="00775768" w:rsidRPr="00642A5D" w:rsidRDefault="00FE5DFC" w:rsidP="00FE5DFC">
      <w:pPr>
        <w:pStyle w:val="bulletlist0"/>
      </w:pPr>
      <w:r>
        <w:t>•</w:t>
      </w:r>
      <w:r>
        <w:tab/>
      </w:r>
      <w:r w:rsidR="00775768" w:rsidRPr="00642A5D">
        <w:t>distance between the natural gas source and overlying aquifers</w:t>
      </w:r>
    </w:p>
    <w:p w14:paraId="2D6A0FBE" w14:textId="08D4D7E1" w:rsidR="00775768" w:rsidRPr="00642A5D" w:rsidRDefault="00FE5DFC" w:rsidP="00FE5DFC">
      <w:pPr>
        <w:pStyle w:val="bulletlist0"/>
      </w:pPr>
      <w:r>
        <w:t>•</w:t>
      </w:r>
      <w:r>
        <w:tab/>
      </w:r>
      <w:r w:rsidR="00775768" w:rsidRPr="00642A5D">
        <w:t>geochemical and physical transport mechanisms operating between the natural gas source and overlying aquifers</w:t>
      </w:r>
    </w:p>
    <w:p w14:paraId="58EAB42E" w14:textId="4F6A88BC" w:rsidR="00775768" w:rsidRPr="00642A5D" w:rsidRDefault="00FE5DFC" w:rsidP="00FE5DFC">
      <w:pPr>
        <w:pStyle w:val="bulletlist0"/>
      </w:pPr>
      <w:r>
        <w:t>•</w:t>
      </w:r>
      <w:r>
        <w:tab/>
      </w:r>
      <w:r w:rsidR="00775768" w:rsidRPr="00642A5D">
        <w:t>hydraulic connectivity between the natural gas source and overlying aquifers.</w:t>
      </w:r>
    </w:p>
    <w:p w14:paraId="3F0F1F7A" w14:textId="73676B69" w:rsidR="00775768" w:rsidRPr="00642A5D" w:rsidRDefault="00775768" w:rsidP="00775768">
      <w:pPr>
        <w:pStyle w:val="Para0"/>
      </w:pPr>
      <w:r w:rsidRPr="00642A5D">
        <w:t>Modelling of fracture fluid migration is simulated using organic compounds under the assumption that inorganic compounds are readily soluble and dissociate in groundwater (</w:t>
      </w:r>
      <w:r w:rsidR="00352324">
        <w:t>IESC, 2014a</w:t>
      </w:r>
      <w:r w:rsidRPr="00642A5D">
        <w:t>). Models are initiated with a given volume and concentration of a chemical of potential concern to simulate those left after hydraulic fracturing. The models generally use dispersion and sorption processes to model transport but assume no degradation of chemicals over time.</w:t>
      </w:r>
      <w:r w:rsidR="009A72C5">
        <w:t xml:space="preserve"> </w:t>
      </w:r>
    </w:p>
    <w:p w14:paraId="42377232" w14:textId="6D7912F8" w:rsidR="000E020F" w:rsidRDefault="000E020F">
      <w:r w:rsidRPr="00642A5D">
        <w:t xml:space="preserve">Fate and transport modelling by Golder Associates (2010) was used to assess the migration of oxyalklated alcohol and drilling mud from vertical </w:t>
      </w:r>
      <w:r w:rsidR="00024597">
        <w:t>coal seam gas</w:t>
      </w:r>
      <w:r w:rsidRPr="00642A5D">
        <w:t xml:space="preserve"> wells. The modelling suggested that both compounds would migrate less than 5 m beyond the hydraulic fracturing radius of influence over a period of 1000 years. The hydraulic fracturing radius of influence is assumed to occur within 20 m of the perforated section of the well and is illustrated in </w:t>
      </w:r>
      <w:r w:rsidR="00326B19" w:rsidRPr="00642A5D">
        <w:fldChar w:fldCharType="begin"/>
      </w:r>
      <w:r w:rsidR="00326B19" w:rsidRPr="00642A5D">
        <w:instrText xml:space="preserve"> REF _Ref406404500 \h  \* MERGEFORMAT </w:instrText>
      </w:r>
      <w:r w:rsidR="00326B19" w:rsidRPr="00642A5D">
        <w:fldChar w:fldCharType="separate"/>
      </w:r>
      <w:r w:rsidR="00171A5E" w:rsidRPr="00642A5D">
        <w:t xml:space="preserve">Figure </w:t>
      </w:r>
      <w:r w:rsidR="00171A5E">
        <w:rPr>
          <w:noProof/>
        </w:rPr>
        <w:t>45</w:t>
      </w:r>
      <w:r w:rsidR="00326B19" w:rsidRPr="00642A5D">
        <w:fldChar w:fldCharType="end"/>
      </w:r>
      <w:r w:rsidRPr="00642A5D">
        <w:t>. This is an upper estimate as it assumes that natural groundwater conditions were resumed immediately after fracturing, whereas in reality hydraulic pressure gradients would be directed towards the well in the periods immediately after fracture stimulation.</w:t>
      </w:r>
    </w:p>
    <w:p w14:paraId="6424D110" w14:textId="77777777" w:rsidR="000E020F" w:rsidRPr="006800F3" w:rsidRDefault="000E020F" w:rsidP="006800F3">
      <w:pPr>
        <w:pStyle w:val="figurereturn"/>
      </w:pPr>
      <w:r w:rsidRPr="00642A5D">
        <w:drawing>
          <wp:inline distT="0" distB="0" distL="0" distR="0" wp14:anchorId="79F4B193" wp14:editId="152554A1">
            <wp:extent cx="3639659" cy="24051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aulic fracture radius.jpg"/>
                    <pic:cNvPicPr/>
                  </pic:nvPicPr>
                  <pic:blipFill>
                    <a:blip r:embed="rId66">
                      <a:extLst>
                        <a:ext uri="{28A0092B-C50C-407E-A947-70E740481C1C}">
                          <a14:useLocalDpi xmlns:a14="http://schemas.microsoft.com/office/drawing/2010/main"/>
                        </a:ext>
                      </a:extLst>
                    </a:blip>
                    <a:stretch>
                      <a:fillRect/>
                    </a:stretch>
                  </pic:blipFill>
                  <pic:spPr>
                    <a:xfrm>
                      <a:off x="0" y="0"/>
                      <a:ext cx="3643020" cy="2407376"/>
                    </a:xfrm>
                    <a:prstGeom prst="rect">
                      <a:avLst/>
                    </a:prstGeom>
                  </pic:spPr>
                </pic:pic>
              </a:graphicData>
            </a:graphic>
          </wp:inline>
        </w:drawing>
      </w:r>
    </w:p>
    <w:p w14:paraId="7375380A" w14:textId="65FF0DB0" w:rsidR="000E020F" w:rsidRPr="00642A5D" w:rsidRDefault="000E020F" w:rsidP="00A53AE8">
      <w:pPr>
        <w:pStyle w:val="Figuretitle"/>
      </w:pPr>
      <w:bookmarkStart w:id="507" w:name="_Ref406404500"/>
      <w:bookmarkStart w:id="508" w:name="_Toc422928816"/>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45</w:t>
      </w:r>
      <w:r w:rsidR="007569CD" w:rsidRPr="00642A5D">
        <w:fldChar w:fldCharType="end"/>
      </w:r>
      <w:bookmarkEnd w:id="507"/>
      <w:r w:rsidR="008B076F">
        <w:t>:</w:t>
      </w:r>
      <w:r w:rsidRPr="00642A5D">
        <w:t xml:space="preserve"> Conceptual shape of zone of hydraulic fracture extent for a vertical well</w:t>
      </w:r>
      <w:r w:rsidR="009C08E6">
        <w:t>.</w:t>
      </w:r>
      <w:r w:rsidRPr="00642A5D">
        <w:t xml:space="preserve"> (</w:t>
      </w:r>
      <w:r w:rsidR="009C08E6">
        <w:t>S</w:t>
      </w:r>
      <w:r w:rsidR="00D671B2">
        <w:t xml:space="preserve">ource: </w:t>
      </w:r>
      <w:r w:rsidRPr="00642A5D">
        <w:t>Golder Associates, 2010</w:t>
      </w:r>
      <w:r w:rsidR="009C08E6">
        <w:t>.</w:t>
      </w:r>
      <w:r w:rsidRPr="00642A5D">
        <w:t>)</w:t>
      </w:r>
      <w:bookmarkEnd w:id="508"/>
    </w:p>
    <w:p w14:paraId="0BC72FBA" w14:textId="7A0BC23C" w:rsidR="00FE5DFC" w:rsidRDefault="00E47F00" w:rsidP="00A35B08">
      <w:r w:rsidRPr="00642A5D">
        <w:t xml:space="preserve">To a similar end, Kissinger </w:t>
      </w:r>
      <w:r w:rsidR="0061023B" w:rsidRPr="0061023B">
        <w:t>et al.</w:t>
      </w:r>
      <w:r w:rsidRPr="00642A5D">
        <w:t xml:space="preserve"> (2013) modelled fluid migration from fractured shale gas reservoirs during over-pressure conditions in order to simulate conditions in </w:t>
      </w:r>
      <w:r w:rsidR="004B72B1" w:rsidRPr="00642A5D">
        <w:t xml:space="preserve">onshore </w:t>
      </w:r>
      <w:r w:rsidR="00932254">
        <w:t>gas formations</w:t>
      </w:r>
      <w:r w:rsidRPr="00642A5D">
        <w:t xml:space="preserve"> during hydraulic fracturing. </w:t>
      </w:r>
      <w:r w:rsidR="00FE5DFC" w:rsidRPr="00642A5D">
        <w:t xml:space="preserve">Models were set up and run for a series of settings throughout the Musteland Basin and Lower Saxony Basin in Germany and included </w:t>
      </w:r>
      <w:r w:rsidR="00FE5DFC">
        <w:t>coal seam gas</w:t>
      </w:r>
      <w:r w:rsidR="00FE5DFC" w:rsidRPr="00642A5D">
        <w:t xml:space="preserve">, tight gas and shale gas. </w:t>
      </w:r>
      <w:r w:rsidRPr="00642A5D">
        <w:t>Over pressures used in the simulations ranged from 5000 to 70</w:t>
      </w:r>
      <w:r w:rsidR="00FE5DFC">
        <w:t> </w:t>
      </w:r>
      <w:r w:rsidRPr="00642A5D">
        <w:t xml:space="preserve">000 kPa and are </w:t>
      </w:r>
      <w:r w:rsidR="00A76D25">
        <w:t>within the</w:t>
      </w:r>
      <w:r w:rsidRPr="00642A5D">
        <w:t xml:space="preserve"> range for hydraulic fracturing operations. </w:t>
      </w:r>
      <w:r w:rsidR="00FE5DFC">
        <w:t>Each model was</w:t>
      </w:r>
      <w:r w:rsidRPr="00642A5D">
        <w:t xml:space="preserve"> run for 12 hour</w:t>
      </w:r>
      <w:r w:rsidR="00FE5DFC">
        <w:t>s,</w:t>
      </w:r>
      <w:r w:rsidRPr="00642A5D">
        <w:t xml:space="preserve"> </w:t>
      </w:r>
      <w:r w:rsidR="00BA3185" w:rsidRPr="00642A5D">
        <w:t>representi</w:t>
      </w:r>
      <w:r w:rsidR="00BA3185">
        <w:t>ng</w:t>
      </w:r>
      <w:r w:rsidR="00FE5DFC" w:rsidRPr="00642A5D">
        <w:t xml:space="preserve"> </w:t>
      </w:r>
      <w:r w:rsidRPr="00642A5D">
        <w:t>2 hours of high</w:t>
      </w:r>
      <w:r w:rsidR="00FE5DFC">
        <w:t>-</w:t>
      </w:r>
      <w:r w:rsidRPr="00642A5D">
        <w:t xml:space="preserve">pressure fracturing and a 10 hour relaxation period. The results indicate that when the hydraulic fracture zones are directly overlain by very low permeability overburden fluid migration from the fracture zone is negligible. </w:t>
      </w:r>
    </w:p>
    <w:p w14:paraId="3953F180" w14:textId="72DF1289" w:rsidR="00E47F00" w:rsidRPr="00642A5D" w:rsidRDefault="00FE5DFC" w:rsidP="00A35B08">
      <w:r w:rsidRPr="00642A5D">
        <w:t xml:space="preserve">Kissinger </w:t>
      </w:r>
      <w:r w:rsidRPr="0061023B">
        <w:t>et al.</w:t>
      </w:r>
      <w:r>
        <w:t xml:space="preserve"> (2013)</w:t>
      </w:r>
      <w:r w:rsidR="00E47F00" w:rsidRPr="00642A5D">
        <w:t xml:space="preserve"> also </w:t>
      </w:r>
      <w:r w:rsidR="00D9269A">
        <w:t>assessed</w:t>
      </w:r>
      <w:r w:rsidR="00E47F00" w:rsidRPr="00642A5D">
        <w:t xml:space="preserve"> scenarios in which the very low permeability overburden contained a hypothetical naturally occurring fracture zone</w:t>
      </w:r>
      <w:r>
        <w:t>, and</w:t>
      </w:r>
      <w:r w:rsidR="00E47F00" w:rsidRPr="00642A5D">
        <w:t xml:space="preserve"> a maximum fluid migration distance of 48 metres was </w:t>
      </w:r>
      <w:r>
        <w:t>assumed</w:t>
      </w:r>
      <w:r w:rsidR="00E47F00" w:rsidRPr="00642A5D">
        <w:t xml:space="preserve">. It was also noted that the assumption of such pressures over the duration of 2 hrs is unlikely and thus, migration distances </w:t>
      </w:r>
      <w:r>
        <w:t>were</w:t>
      </w:r>
      <w:r w:rsidRPr="00642A5D">
        <w:t xml:space="preserve"> </w:t>
      </w:r>
      <w:r w:rsidR="00A76D25">
        <w:t>the</w:t>
      </w:r>
      <w:r w:rsidR="00E47F00" w:rsidRPr="00642A5D">
        <w:t xml:space="preserve"> upper limit. Furthermore, large fluid losses during this period could be detected by the operator and the connection to a fracture zone of high permeability is likely to reduce overall hydraulic fracturing due to pressure loss. </w:t>
      </w:r>
    </w:p>
    <w:p w14:paraId="646487C6" w14:textId="72D70ADA" w:rsidR="000E020F" w:rsidRPr="00642A5D" w:rsidRDefault="00E47F00">
      <w:r w:rsidRPr="00642A5D">
        <w:t>While the migration of fluids durin</w:t>
      </w:r>
      <w:r w:rsidR="00D9269A">
        <w:t>g hydraulic fracturing is</w:t>
      </w:r>
      <w:r w:rsidRPr="00642A5D">
        <w:t xml:space="preserve"> thought of as a mechanism by which hydraulic fracturing fluids can migrate into natural formations and groundwater systems, naturally occurring contaminants may also be mobilised by this mechanism. For example, increased</w:t>
      </w:r>
      <w:r w:rsidR="00932254">
        <w:t xml:space="preserve"> permeability within the prospective gas </w:t>
      </w:r>
      <w:r w:rsidRPr="00642A5D">
        <w:t xml:space="preserve">formations and high pressures generated during hydraulic fracturing may drive the movement of high salinity groundwater from </w:t>
      </w:r>
      <w:r w:rsidR="00932254">
        <w:t>prospective gas</w:t>
      </w:r>
      <w:r w:rsidRPr="00642A5D">
        <w:t xml:space="preserve"> formations into nearby aquifers. For the most part this </w:t>
      </w:r>
      <w:r w:rsidR="00FE5DFC">
        <w:t>would</w:t>
      </w:r>
      <w:r w:rsidR="00FE5DFC" w:rsidRPr="00642A5D">
        <w:t xml:space="preserve"> </w:t>
      </w:r>
      <w:r w:rsidRPr="00642A5D">
        <w:t>occur if the fract</w:t>
      </w:r>
      <w:r w:rsidR="00932254">
        <w:t>ures propagate out of the prospective gas</w:t>
      </w:r>
      <w:r w:rsidRPr="00642A5D">
        <w:t xml:space="preserve"> formation</w:t>
      </w:r>
      <w:r w:rsidR="000E020F" w:rsidRPr="00642A5D">
        <w:t>.</w:t>
      </w:r>
    </w:p>
    <w:p w14:paraId="7FB9B3AF" w14:textId="765BA7D1" w:rsidR="00E47F00" w:rsidRPr="00642A5D" w:rsidRDefault="00FE5DFC">
      <w:r>
        <w:t>W</w:t>
      </w:r>
      <w:r w:rsidR="00E47F00" w:rsidRPr="00642A5D">
        <w:t xml:space="preserve">here hydraulic fracturing in </w:t>
      </w:r>
      <w:r w:rsidR="00024597">
        <w:t>coal seam gas</w:t>
      </w:r>
      <w:r w:rsidR="00E47F00" w:rsidRPr="00642A5D">
        <w:t xml:space="preserve"> is required, fractures are rarely induced during the injection of hydraulic fracturing fluids into coals seam gas formations. Instead, the fluids are injected in order to widen and “prop” the existing fractures open. Therefore the extent of fluid migration during hydraulic fra</w:t>
      </w:r>
      <w:r w:rsidR="00D9269A">
        <w:t>cturing in coal seams is</w:t>
      </w:r>
      <w:r w:rsidR="00E47F00" w:rsidRPr="00642A5D">
        <w:t xml:space="preserve"> reliant on the existing fracture network within and surrounding the coal seam, as well as the permeability of the units surrounding the coal seam. </w:t>
      </w:r>
    </w:p>
    <w:p w14:paraId="122F2AFA" w14:textId="3541F09E" w:rsidR="00775768" w:rsidRPr="00642A5D" w:rsidRDefault="00775768">
      <w:r w:rsidRPr="00642A5D">
        <w:t>The US EPA (2004) cite</w:t>
      </w:r>
      <w:r w:rsidR="00FE5DFC">
        <w:t>d</w:t>
      </w:r>
      <w:r w:rsidRPr="00642A5D">
        <w:t xml:space="preserve"> a study </w:t>
      </w:r>
      <w:r w:rsidR="00FE5DFC">
        <w:t>by</w:t>
      </w:r>
      <w:r w:rsidR="00FE5DFC" w:rsidRPr="00642A5D">
        <w:t xml:space="preserve"> </w:t>
      </w:r>
      <w:r w:rsidRPr="00642A5D">
        <w:t>Diamond and Oyler (1987) in which coal beds and surrounding formations were investigated after hydraulic fracturing had taken place. The study suggested that fluid movement during stimulations could exceed proppant distances and induced fracture distances, although significant uncertainties still exist.</w:t>
      </w:r>
      <w:r w:rsidR="009A72C5">
        <w:t xml:space="preserve"> </w:t>
      </w:r>
      <w:r w:rsidRPr="00642A5D">
        <w:t xml:space="preserve">By adding fluorescent tracers to hydraulic fracture fluids during stimulations, the movement of fluids along and beyond fractures was </w:t>
      </w:r>
      <w:r w:rsidR="00D9269A">
        <w:t xml:space="preserve">traced. While tracers were </w:t>
      </w:r>
      <w:r w:rsidRPr="00642A5D">
        <w:t xml:space="preserve">used in 8 </w:t>
      </w:r>
      <w:r w:rsidR="00D9269A">
        <w:t>stimulations and 5 of the</w:t>
      </w:r>
      <w:r w:rsidRPr="00642A5D">
        <w:t xml:space="preserve">se were used </w:t>
      </w:r>
      <w:r w:rsidR="00D9269A">
        <w:t xml:space="preserve">together </w:t>
      </w:r>
      <w:r w:rsidRPr="00642A5D">
        <w:t>with prop</w:t>
      </w:r>
      <w:r w:rsidR="00975D43" w:rsidRPr="00642A5D">
        <w:t>p</w:t>
      </w:r>
      <w:r w:rsidRPr="00642A5D">
        <w:t>ants, in all but one of these scenarios the tracer migrated beyond the distance of the proppant. The most significant example of this was at Oak Grave Mine in Alabama where the proppant was found ~30 m from the well while the tracer was found ~200 m from the well. In this circumstance it was found that the fra</w:t>
      </w:r>
      <w:r w:rsidR="00D9269A">
        <w:t xml:space="preserve">cture width was </w:t>
      </w:r>
      <w:r w:rsidR="002D4544">
        <w:t xml:space="preserve">essentially </w:t>
      </w:r>
      <w:r w:rsidR="002D4544" w:rsidRPr="00642A5D">
        <w:t>the</w:t>
      </w:r>
      <w:r w:rsidRPr="00642A5D">
        <w:t xml:space="preserve"> width of the naturally occurring cleat and without the tracer, the cleat would not have been identified as a pathway for hydraulic fracture fluids. </w:t>
      </w:r>
    </w:p>
    <w:p w14:paraId="36906999" w14:textId="04E80931" w:rsidR="00A76DC9" w:rsidRPr="00642A5D" w:rsidRDefault="00DB3EEF" w:rsidP="00451A8E">
      <w:pPr>
        <w:pStyle w:val="Head3xxx"/>
        <w:rPr>
          <w:lang w:eastAsia="en-US"/>
        </w:rPr>
      </w:pPr>
      <w:bookmarkStart w:id="509" w:name="_Toc420568708"/>
      <w:bookmarkStart w:id="510" w:name="_Toc420570290"/>
      <w:bookmarkStart w:id="511" w:name="_Toc420571486"/>
      <w:bookmarkStart w:id="512" w:name="_Toc420572124"/>
      <w:bookmarkStart w:id="513" w:name="_Toc296766981"/>
      <w:r>
        <w:rPr>
          <w:lang w:eastAsia="en-US"/>
        </w:rPr>
        <w:t>4.5.2</w:t>
      </w:r>
      <w:r>
        <w:rPr>
          <w:lang w:eastAsia="en-US"/>
        </w:rPr>
        <w:tab/>
      </w:r>
      <w:r w:rsidR="000E020F" w:rsidRPr="00642A5D">
        <w:rPr>
          <w:lang w:eastAsia="en-US"/>
        </w:rPr>
        <w:t>Passive fluid migration</w:t>
      </w:r>
      <w:bookmarkEnd w:id="509"/>
      <w:bookmarkEnd w:id="510"/>
      <w:bookmarkEnd w:id="511"/>
      <w:bookmarkEnd w:id="512"/>
      <w:bookmarkEnd w:id="513"/>
    </w:p>
    <w:p w14:paraId="5D2FF5EF" w14:textId="3DB8A242" w:rsidR="00E47F00" w:rsidRPr="00642A5D" w:rsidRDefault="00E47F00">
      <w:r w:rsidRPr="00642A5D">
        <w:t xml:space="preserve">If induced hydraulic fractures become connected with existing zones of high permeability that are connected with aquifers (such as faults or fracture systems), contaminant laden fluids have the potential to passively migrate into those aquifers. Unlike fluid migration during hydraulic fracturing, passive fluid migration after fracturing will </w:t>
      </w:r>
      <w:r w:rsidR="00FE5DFC">
        <w:t>rely</w:t>
      </w:r>
      <w:r w:rsidRPr="00642A5D">
        <w:t xml:space="preserve"> on the natural hydraulic gradients within the formation and not the hydraulic gradients formed during fluid injections. In this context, fluid migration after fracturing is likely to occur over longer time scales than during fracturing, as natural hydraulic gradients are lower than those established during fracturing. Additionally, for a contaminant to migrate from </w:t>
      </w:r>
      <w:r w:rsidR="00125AEF" w:rsidRPr="00642A5D">
        <w:t>the natural gas source</w:t>
      </w:r>
      <w:r w:rsidRPr="00642A5D">
        <w:t xml:space="preserve"> into the </w:t>
      </w:r>
      <w:r w:rsidR="003E468A">
        <w:t>over</w:t>
      </w:r>
      <w:r w:rsidRPr="00642A5D">
        <w:t xml:space="preserve">lying aquifers, the prevailing vertical hydraulic gradient must be upwards from the </w:t>
      </w:r>
      <w:r w:rsidR="00D9269A">
        <w:t>prospective</w:t>
      </w:r>
      <w:r w:rsidRPr="00642A5D">
        <w:t xml:space="preserve"> formation towards t</w:t>
      </w:r>
      <w:r w:rsidR="00D9269A">
        <w:t xml:space="preserve">hose </w:t>
      </w:r>
      <w:r w:rsidRPr="00642A5D">
        <w:t xml:space="preserve">aquifers. </w:t>
      </w:r>
    </w:p>
    <w:p w14:paraId="554D3BD7" w14:textId="77777777" w:rsidR="006800F3" w:rsidRDefault="006800F3">
      <w:pPr>
        <w:spacing w:after="200"/>
      </w:pPr>
      <w:r>
        <w:br w:type="page"/>
      </w:r>
    </w:p>
    <w:p w14:paraId="13FACC7C" w14:textId="1961BAF0" w:rsidR="00E47F00" w:rsidRPr="00642A5D" w:rsidRDefault="00E47F00">
      <w:r w:rsidRPr="00642A5D">
        <w:t xml:space="preserve">This is consistent with modelling results </w:t>
      </w:r>
      <w:r w:rsidR="00FE5DFC">
        <w:t>of</w:t>
      </w:r>
      <w:r w:rsidR="00FE5DFC" w:rsidRPr="00642A5D">
        <w:t xml:space="preserve"> </w:t>
      </w:r>
      <w:r w:rsidRPr="00642A5D">
        <w:t xml:space="preserve">Kissinger </w:t>
      </w:r>
      <w:r w:rsidR="0061023B" w:rsidRPr="0061023B">
        <w:t>et al.</w:t>
      </w:r>
      <w:r w:rsidRPr="00642A5D">
        <w:t xml:space="preserve"> (2013)</w:t>
      </w:r>
      <w:r w:rsidR="00FE5DFC">
        <w:t>,</w:t>
      </w:r>
      <w:r w:rsidRPr="00642A5D">
        <w:t xml:space="preserve"> who found negligible vertical movement of a conservative tracer along a simulated </w:t>
      </w:r>
      <w:r w:rsidR="00FE5DFC" w:rsidRPr="00642A5D">
        <w:t>high</w:t>
      </w:r>
      <w:r w:rsidR="00FE5DFC">
        <w:t>-</w:t>
      </w:r>
      <w:r w:rsidRPr="00642A5D">
        <w:t xml:space="preserve">permeability fracture/fault zone linking a contaminant zone to an aquifer </w:t>
      </w:r>
      <w:r w:rsidR="00FE5DFC" w:rsidRPr="00642A5D">
        <w:t xml:space="preserve">above </w:t>
      </w:r>
      <w:r w:rsidRPr="00642A5D">
        <w:t xml:space="preserve">with </w:t>
      </w:r>
      <w:r w:rsidR="00FE5DFC">
        <w:t xml:space="preserve">an </w:t>
      </w:r>
      <w:r w:rsidRPr="00642A5D">
        <w:t>identical hydraulic head. In contrast, when the same model was run with a hydraulic head in the contaminant zone 60 m greater than the aquifer</w:t>
      </w:r>
      <w:r w:rsidR="00FE5DFC">
        <w:t xml:space="preserve"> above</w:t>
      </w:r>
      <w:r w:rsidRPr="00642A5D">
        <w:t>, the tracer migrated upwards from the contaminant zone into the aquifer above over a period of 30 years. While the model indicates that groundwate</w:t>
      </w:r>
      <w:r w:rsidR="0080104D" w:rsidRPr="00642A5D">
        <w:t xml:space="preserve">r contamination can occur when the simulated </w:t>
      </w:r>
      <w:r w:rsidRPr="00642A5D">
        <w:t>hydrogeological setting</w:t>
      </w:r>
      <w:r w:rsidR="0080104D" w:rsidRPr="00642A5D">
        <w:t xml:space="preserve"> is optimised for contaminant migration</w:t>
      </w:r>
      <w:r w:rsidRPr="00642A5D">
        <w:t xml:space="preserve">, it should also be noted that tracer concentrations in the model decreased by a factor of 4000 over </w:t>
      </w:r>
      <w:r w:rsidR="00FE5DFC">
        <w:t xml:space="preserve">a </w:t>
      </w:r>
      <w:r w:rsidRPr="00642A5D">
        <w:t>fracture/fault zone</w:t>
      </w:r>
      <w:r w:rsidR="00FE5DFC">
        <w:t xml:space="preserve"> of about 1000 m</w:t>
      </w:r>
      <w:r w:rsidRPr="00642A5D">
        <w:t>, indicating that significant dilution of contaminants is likely to occur in such settings.</w:t>
      </w:r>
    </w:p>
    <w:p w14:paraId="178371CA" w14:textId="20EC2C00" w:rsidR="00E47F00" w:rsidRPr="00642A5D" w:rsidRDefault="00E47F00">
      <w:r w:rsidRPr="00642A5D">
        <w:t>In these simulations, contaminant transport via the low permeability formation (</w:t>
      </w:r>
      <w:r w:rsidR="00FE5DFC">
        <w:t>1</w:t>
      </w:r>
      <w:r w:rsidR="00FE5DFC">
        <w:rPr>
          <w:rFonts w:cs="Arial"/>
        </w:rPr>
        <w:t> </w:t>
      </w:r>
      <w:r w:rsidR="00FE5DFC">
        <w:rPr>
          <w:rFonts w:cs="Arial"/>
        </w:rPr>
        <w:sym w:font="Symbol" w:char="F0B4"/>
      </w:r>
      <w:r w:rsidR="00FE5DFC">
        <w:rPr>
          <w:rFonts w:cs="Arial"/>
        </w:rPr>
        <w:t> </w:t>
      </w:r>
      <w:r w:rsidR="00FE5DFC">
        <w:t>10</w:t>
      </w:r>
      <w:r w:rsidR="00FE5DFC">
        <w:rPr>
          <w:vertAlign w:val="superscript"/>
        </w:rPr>
        <w:t>–</w:t>
      </w:r>
      <w:r w:rsidR="00FE5DFC" w:rsidRPr="00D1741E">
        <w:rPr>
          <w:vertAlign w:val="superscript"/>
        </w:rPr>
        <w:t>18</w:t>
      </w:r>
      <w:r w:rsidRPr="00642A5D">
        <w:rPr>
          <w:vertAlign w:val="superscript"/>
        </w:rPr>
        <w:t xml:space="preserve"> </w:t>
      </w:r>
      <w:r w:rsidRPr="00642A5D">
        <w:t>m</w:t>
      </w:r>
      <w:r w:rsidRPr="00642A5D">
        <w:rPr>
          <w:vertAlign w:val="superscript"/>
        </w:rPr>
        <w:t>2</w:t>
      </w:r>
      <w:r w:rsidRPr="00642A5D">
        <w:t>) surrounding the higher permeability fracture/fault zone was not apparent, indicating that the passive movement of fluids through low pe</w:t>
      </w:r>
      <w:r w:rsidR="003E468A">
        <w:t>rmeability seals is</w:t>
      </w:r>
      <w:r w:rsidRPr="00642A5D">
        <w:t xml:space="preserve"> negligible.</w:t>
      </w:r>
    </w:p>
    <w:p w14:paraId="28B10376" w14:textId="47201DDC" w:rsidR="000E020F" w:rsidRPr="00642A5D" w:rsidRDefault="000E020F" w:rsidP="00A35B08">
      <w:r w:rsidRPr="00642A5D">
        <w:t>The mobility of contaminants will not rely on the physical hyd</w:t>
      </w:r>
      <w:r w:rsidR="003E468A">
        <w:t xml:space="preserve">rogeology of the area, </w:t>
      </w:r>
      <w:r w:rsidRPr="00642A5D">
        <w:t xml:space="preserve">the chemical nature of the hydraulic fracturing fluids used and the natural hydrogeochemistry of the groundwater system. </w:t>
      </w:r>
      <w:r w:rsidR="00FE5DFC">
        <w:t>H</w:t>
      </w:r>
      <w:r w:rsidR="00E47F00" w:rsidRPr="00642A5D">
        <w:t xml:space="preserve">ydraulic fracturing fluids have the potential to mobilise naturally occurring substances </w:t>
      </w:r>
      <w:r w:rsidR="00FE5DFC">
        <w:t xml:space="preserve">such as heavy metals </w:t>
      </w:r>
      <w:r w:rsidR="00E47F00" w:rsidRPr="00642A5D">
        <w:t xml:space="preserve">from the </w:t>
      </w:r>
      <w:r w:rsidR="00D9269A">
        <w:t>prospective</w:t>
      </w:r>
      <w:r w:rsidR="00E47F00" w:rsidRPr="00642A5D">
        <w:t xml:space="preserve"> formation</w:t>
      </w:r>
      <w:r w:rsidR="003E468A">
        <w:t xml:space="preserve"> (</w:t>
      </w:r>
      <w:r w:rsidR="00352324">
        <w:t>IESC, 2014a</w:t>
      </w:r>
      <w:r w:rsidR="003E468A">
        <w:t>). T</w:t>
      </w:r>
      <w:r w:rsidR="00E47F00" w:rsidRPr="00642A5D">
        <w:t>here are a range of chemical and biological processes which can reduce the mobility of naturally occurring substances. For example a change in the redox potential of groundwater can decrease the mobility of naturally occurring substances, while microbes can reduce contaminant mobility by binding metals or organic substances (</w:t>
      </w:r>
      <w:r w:rsidR="00352324">
        <w:t>IESC, 2014a</w:t>
      </w:r>
      <w:r w:rsidR="00E47F00" w:rsidRPr="00642A5D">
        <w:t>).</w:t>
      </w:r>
      <w:r w:rsidR="009A72C5">
        <w:t xml:space="preserve"> </w:t>
      </w:r>
    </w:p>
    <w:p w14:paraId="29DE9EBC" w14:textId="794F90E7" w:rsidR="000E020F" w:rsidRPr="00642A5D" w:rsidRDefault="000E020F">
      <w:r w:rsidRPr="00642A5D">
        <w:t>The key issue with passive fluid migration is that the depressurisation associated with the gas extraction will create a gradient towards the well for the life of the gas field</w:t>
      </w:r>
      <w:r w:rsidR="003E468A">
        <w:t xml:space="preserve"> typically 30 years</w:t>
      </w:r>
      <w:r w:rsidRPr="00642A5D">
        <w:t>.</w:t>
      </w:r>
      <w:r w:rsidR="009A72C5">
        <w:t xml:space="preserve"> </w:t>
      </w:r>
      <w:r w:rsidR="003E468A">
        <w:t>The</w:t>
      </w:r>
      <w:r w:rsidRPr="00642A5D">
        <w:t xml:space="preserve"> key question </w:t>
      </w:r>
      <w:r w:rsidR="00390B8F" w:rsidRPr="00642A5D">
        <w:t xml:space="preserve">then </w:t>
      </w:r>
      <w:r w:rsidRPr="00642A5D">
        <w:t>becomes the recovery time</w:t>
      </w:r>
      <w:r w:rsidR="00CF0107" w:rsidRPr="00642A5D">
        <w:t xml:space="preserve"> until</w:t>
      </w:r>
      <w:r w:rsidRPr="00642A5D">
        <w:t xml:space="preserve"> the natural gradient takes over.</w:t>
      </w:r>
      <w:r w:rsidR="009A72C5">
        <w:t xml:space="preserve"> </w:t>
      </w:r>
      <w:r w:rsidR="003E468A">
        <w:t xml:space="preserve">For deep confined reservoirs such as tight gas, this may take hundreds of years. Hence for a very long time </w:t>
      </w:r>
      <w:r w:rsidRPr="00642A5D">
        <w:t>passive fluid migration i</w:t>
      </w:r>
      <w:r w:rsidR="0084774F" w:rsidRPr="00642A5D">
        <w:t xml:space="preserve">nto connected aquifers is not likely to occur. </w:t>
      </w:r>
    </w:p>
    <w:p w14:paraId="5C7C561B" w14:textId="05D0557B" w:rsidR="000E020F" w:rsidRPr="00642A5D" w:rsidRDefault="00DB3EEF" w:rsidP="00451A8E">
      <w:pPr>
        <w:pStyle w:val="Head3xxx"/>
        <w:rPr>
          <w:lang w:eastAsia="en-US"/>
        </w:rPr>
      </w:pPr>
      <w:bookmarkStart w:id="514" w:name="_Toc296766982"/>
      <w:r>
        <w:rPr>
          <w:lang w:eastAsia="en-US"/>
        </w:rPr>
        <w:t>4.5.3</w:t>
      </w:r>
      <w:bookmarkEnd w:id="514"/>
      <w:r>
        <w:rPr>
          <w:lang w:eastAsia="en-US"/>
        </w:rPr>
        <w:tab/>
      </w:r>
      <w:bookmarkStart w:id="515" w:name="_Toc420568709"/>
      <w:bookmarkStart w:id="516" w:name="_Toc420570291"/>
      <w:bookmarkStart w:id="517" w:name="_Toc420571487"/>
      <w:bookmarkStart w:id="518" w:name="_Toc420572125"/>
      <w:bookmarkStart w:id="519" w:name="_Toc296766983"/>
      <w:r w:rsidR="000E020F" w:rsidRPr="00642A5D">
        <w:rPr>
          <w:lang w:eastAsia="en-US"/>
        </w:rPr>
        <w:t>Gas migration</w:t>
      </w:r>
      <w:bookmarkEnd w:id="515"/>
      <w:bookmarkEnd w:id="516"/>
      <w:bookmarkEnd w:id="517"/>
      <w:bookmarkEnd w:id="518"/>
      <w:bookmarkEnd w:id="519"/>
    </w:p>
    <w:p w14:paraId="29003269" w14:textId="2029F100" w:rsidR="00E47F00" w:rsidRPr="00485339" w:rsidRDefault="00E47F00">
      <w:r w:rsidRPr="00642A5D">
        <w:t xml:space="preserve">In </w:t>
      </w:r>
      <w:r w:rsidR="003A6A46" w:rsidRPr="00642A5D">
        <w:t>general terms the</w:t>
      </w:r>
      <w:r w:rsidR="00F02056" w:rsidRPr="00642A5D">
        <w:t>re are no distinct</w:t>
      </w:r>
      <w:r w:rsidR="003A6A46" w:rsidRPr="00642A5D">
        <w:t xml:space="preserve"> natural barriers in </w:t>
      </w:r>
      <w:r w:rsidRPr="00642A5D">
        <w:t xml:space="preserve">shale gas and tight gas reservoirs which </w:t>
      </w:r>
      <w:r w:rsidR="004D5DE8">
        <w:t>trap</w:t>
      </w:r>
      <w:r w:rsidRPr="00642A5D">
        <w:t xml:space="preserve"> the gas in the </w:t>
      </w:r>
      <w:r w:rsidR="00775768" w:rsidRPr="00642A5D">
        <w:t>natural gas</w:t>
      </w:r>
      <w:r w:rsidR="00975D43" w:rsidRPr="00642A5D">
        <w:t>-bearing</w:t>
      </w:r>
      <w:r w:rsidR="00125AEF" w:rsidRPr="00642A5D">
        <w:t xml:space="preserve"> </w:t>
      </w:r>
      <w:r w:rsidRPr="00642A5D">
        <w:t xml:space="preserve">formation </w:t>
      </w:r>
      <w:r w:rsidR="0087501D">
        <w:t xml:space="preserve">and </w:t>
      </w:r>
      <w:r w:rsidRPr="00642A5D">
        <w:t>also act as barriers to the vertical migration of gas from that formation</w:t>
      </w:r>
      <w:r w:rsidR="004D5DE8">
        <w:t>;</w:t>
      </w:r>
      <w:r w:rsidR="00F02056" w:rsidRPr="00642A5D">
        <w:t xml:space="preserve"> instead it is the overall depth and low vertical hydraulic conductivity</w:t>
      </w:r>
      <w:r w:rsidRPr="00642A5D">
        <w:t>. Additionally, during gas production, high pressure gradients towards the production well are established and thus</w:t>
      </w:r>
      <w:r w:rsidR="0080104D" w:rsidRPr="00642A5D">
        <w:t>,</w:t>
      </w:r>
      <w:r w:rsidRPr="00642A5D">
        <w:t xml:space="preserve"> the migration of </w:t>
      </w:r>
      <w:r w:rsidRPr="00485339">
        <w:t>gases away from the well would be unlikely given that the well is in operation and maintains integrity (USEPA, 2011).</w:t>
      </w:r>
    </w:p>
    <w:p w14:paraId="079AAF81" w14:textId="65F721A2" w:rsidR="00E47F00" w:rsidRPr="00485339" w:rsidRDefault="004D5DE8">
      <w:r w:rsidRPr="00485339">
        <w:t>M</w:t>
      </w:r>
      <w:r w:rsidR="00E47F00" w:rsidRPr="00485339">
        <w:t xml:space="preserve">odelling </w:t>
      </w:r>
      <w:r w:rsidRPr="00485339">
        <w:t xml:space="preserve">by </w:t>
      </w:r>
      <w:r w:rsidR="00E47F00" w:rsidRPr="00485339">
        <w:t xml:space="preserve">Kissinger </w:t>
      </w:r>
      <w:r w:rsidR="0061023B" w:rsidRPr="00485339">
        <w:t>et al.</w:t>
      </w:r>
      <w:r w:rsidR="00E47F00" w:rsidRPr="00485339">
        <w:t xml:space="preserve"> (2013) focused on the migration of gas (methane) from</w:t>
      </w:r>
      <w:r w:rsidR="003E468A" w:rsidRPr="00485339">
        <w:t xml:space="preserve"> a hydraulically fractured resource</w:t>
      </w:r>
      <w:r w:rsidR="00E47F00" w:rsidRPr="00485339">
        <w:t xml:space="preserve"> through low</w:t>
      </w:r>
      <w:r w:rsidRPr="00485339">
        <w:t>-</w:t>
      </w:r>
      <w:r w:rsidR="00E47F00" w:rsidRPr="00485339">
        <w:t xml:space="preserve">permeability overburden in order to simulate conditions in areas of the Lower Saxony Basin in Germany. The </w:t>
      </w:r>
      <w:r w:rsidR="00125AEF" w:rsidRPr="00485339">
        <w:t xml:space="preserve">model </w:t>
      </w:r>
      <w:r w:rsidR="00E47F00" w:rsidRPr="00485339">
        <w:t xml:space="preserve">simulations </w:t>
      </w:r>
      <w:r w:rsidR="00975D43" w:rsidRPr="00485339">
        <w:t>we</w:t>
      </w:r>
      <w:r w:rsidR="00E47F00" w:rsidRPr="00485339">
        <w:t xml:space="preserve">re based on one setting with an overburden of </w:t>
      </w:r>
      <w:r w:rsidRPr="00485339">
        <w:t xml:space="preserve">about </w:t>
      </w:r>
      <w:r w:rsidR="00E47F00" w:rsidRPr="00485339">
        <w:t xml:space="preserve">1200 m and another with an overburden of </w:t>
      </w:r>
      <w:r w:rsidRPr="00485339">
        <w:t xml:space="preserve">about </w:t>
      </w:r>
      <w:r w:rsidR="00E47F00" w:rsidRPr="00485339">
        <w:t>3500 m and variable vertical permeabilit</w:t>
      </w:r>
      <w:r w:rsidRPr="00485339">
        <w:t>ie</w:t>
      </w:r>
      <w:r w:rsidR="00E47F00" w:rsidRPr="00485339">
        <w:t xml:space="preserve">s ranging from </w:t>
      </w:r>
      <w:r w:rsidRPr="00485339">
        <w:t xml:space="preserve">1 </w:t>
      </w:r>
      <w:r w:rsidRPr="00485339">
        <w:rPr>
          <w:rFonts w:cs="Arial"/>
        </w:rPr>
        <w:sym w:font="Symbol" w:char="F0B4"/>
      </w:r>
      <w:r w:rsidRPr="00485339">
        <w:t xml:space="preserve"> 10</w:t>
      </w:r>
      <w:r w:rsidRPr="00485339">
        <w:rPr>
          <w:vertAlign w:val="superscript"/>
        </w:rPr>
        <w:t>–14</w:t>
      </w:r>
      <w:r w:rsidR="00E47F00" w:rsidRPr="00485339">
        <w:t xml:space="preserve"> to </w:t>
      </w:r>
      <w:r w:rsidRPr="00485339">
        <w:t xml:space="preserve">1 </w:t>
      </w:r>
      <w:r w:rsidRPr="00485339">
        <w:rPr>
          <w:rFonts w:cs="Arial"/>
        </w:rPr>
        <w:sym w:font="Symbol" w:char="F0B4"/>
      </w:r>
      <w:r w:rsidRPr="00485339">
        <w:t xml:space="preserve"> 10</w:t>
      </w:r>
      <w:r w:rsidRPr="00485339">
        <w:rPr>
          <w:vertAlign w:val="superscript"/>
        </w:rPr>
        <w:t>–18</w:t>
      </w:r>
      <w:r w:rsidR="00E47F00" w:rsidRPr="00485339">
        <w:rPr>
          <w:vertAlign w:val="superscript"/>
        </w:rPr>
        <w:t xml:space="preserve"> </w:t>
      </w:r>
      <w:r w:rsidR="00E47F00" w:rsidRPr="00485339">
        <w:t>m</w:t>
      </w:r>
      <w:r w:rsidR="00E47F00" w:rsidRPr="00485339">
        <w:rPr>
          <w:vertAlign w:val="superscript"/>
        </w:rPr>
        <w:t>2</w:t>
      </w:r>
      <w:r w:rsidR="00E47F00" w:rsidRPr="00485339">
        <w:t xml:space="preserve"> throughout the stratigraphy. The force driving the upward migration of gasses in this setting is the buoyancy of the gas due to the density difference between gas and water phases, and capillary forces which differ from layer to layer and may cause the lateral spreading of gases (Kissinger </w:t>
      </w:r>
      <w:r w:rsidR="0061023B" w:rsidRPr="00485339">
        <w:t>et al.</w:t>
      </w:r>
      <w:r w:rsidR="00E47F00" w:rsidRPr="00485339">
        <w:t>, 2013). The simulations consider the migration of</w:t>
      </w:r>
      <w:r w:rsidR="003E468A" w:rsidRPr="00485339">
        <w:t xml:space="preserve"> residual methane from a resource </w:t>
      </w:r>
      <w:r w:rsidR="00E47F00" w:rsidRPr="00485339">
        <w:t>formation over a 100 year post</w:t>
      </w:r>
      <w:r w:rsidRPr="00485339">
        <w:t>-</w:t>
      </w:r>
      <w:r w:rsidR="00E47F00" w:rsidRPr="00485339">
        <w:t xml:space="preserve">operation period. </w:t>
      </w:r>
    </w:p>
    <w:p w14:paraId="2BEAC8B1" w14:textId="77777777" w:rsidR="006800F3" w:rsidRDefault="00E47F00">
      <w:r w:rsidRPr="00485339">
        <w:t>The findings of the study indicate</w:t>
      </w:r>
      <w:r w:rsidR="004D5DE8" w:rsidRPr="00485339">
        <w:t>d</w:t>
      </w:r>
      <w:r w:rsidRPr="00485339">
        <w:t xml:space="preserve"> that the </w:t>
      </w:r>
      <w:r w:rsidR="003E468A" w:rsidRPr="00485339">
        <w:t>leakage of methane from a resource</w:t>
      </w:r>
      <w:r w:rsidRPr="00485339">
        <w:t xml:space="preserve"> formation to surface aquifers is possible if a range of c</w:t>
      </w:r>
      <w:r w:rsidR="003E468A" w:rsidRPr="00485339">
        <w:t>riteria are fulfilled. T</w:t>
      </w:r>
      <w:r w:rsidRPr="00485339">
        <w:t xml:space="preserve">here must be a fully penetrating permeable fault/fracture zone between the </w:t>
      </w:r>
      <w:r w:rsidR="00932254" w:rsidRPr="00485339">
        <w:t>prospective gas</w:t>
      </w:r>
      <w:r w:rsidRPr="00485339">
        <w:t xml:space="preserve"> formation and aquifer. Additionally, large volumes of methane need to be mobilised from the gas reservoir and the gas reservoir needs to be relatively close to surface aquifers (i.e. methane did not migrate to the surface aquifer when separated from the </w:t>
      </w:r>
      <w:r w:rsidR="00932254" w:rsidRPr="00485339">
        <w:t>prospective gas formation</w:t>
      </w:r>
      <w:r w:rsidRPr="00485339">
        <w:t xml:space="preserve"> by </w:t>
      </w:r>
      <w:r w:rsidR="004D5DE8" w:rsidRPr="00485339">
        <w:t xml:space="preserve">about </w:t>
      </w:r>
      <w:r w:rsidRPr="00485339">
        <w:t xml:space="preserve">3500 m, but did when separated by </w:t>
      </w:r>
      <w:r w:rsidR="004D5DE8" w:rsidRPr="00485339">
        <w:t xml:space="preserve">about </w:t>
      </w:r>
      <w:r w:rsidRPr="00485339">
        <w:t>1200 m</w:t>
      </w:r>
      <w:r w:rsidR="00F014C1" w:rsidRPr="00485339">
        <w:t xml:space="preserve"> and a fully penetrating permeable fault/fracture zone exists between the </w:t>
      </w:r>
      <w:r w:rsidR="00932254" w:rsidRPr="00485339">
        <w:t>prospective gas</w:t>
      </w:r>
      <w:r w:rsidR="00F014C1" w:rsidRPr="00485339">
        <w:t xml:space="preserve"> formation and aquifer</w:t>
      </w:r>
      <w:r w:rsidRPr="00485339">
        <w:t>). Kissinger et al</w:t>
      </w:r>
      <w:r w:rsidR="004D5DE8" w:rsidRPr="00485339">
        <w:t>.</w:t>
      </w:r>
      <w:r w:rsidRPr="00485339">
        <w:t xml:space="preserve"> (2013) suggest</w:t>
      </w:r>
      <w:r w:rsidR="004D5DE8" w:rsidRPr="00485339">
        <w:t>ed</w:t>
      </w:r>
      <w:r w:rsidRPr="00485339">
        <w:t xml:space="preserve"> that fracturing </w:t>
      </w:r>
    </w:p>
    <w:p w14:paraId="5791166A" w14:textId="77777777" w:rsidR="006800F3" w:rsidRDefault="006800F3">
      <w:pPr>
        <w:spacing w:after="200"/>
      </w:pPr>
      <w:r>
        <w:br w:type="page"/>
      </w:r>
    </w:p>
    <w:p w14:paraId="544B94AB" w14:textId="6921FA6D" w:rsidR="00E47F00" w:rsidRPr="00642A5D" w:rsidRDefault="00E47F00">
      <w:r w:rsidRPr="00485339">
        <w:t>operations should not be carried out in a reservoir with a fault zone that penetrates the full thickness of the</w:t>
      </w:r>
      <w:r w:rsidRPr="00642A5D">
        <w:t xml:space="preserve"> overburden and that</w:t>
      </w:r>
      <w:r w:rsidR="004D5DE8">
        <w:t>,</w:t>
      </w:r>
      <w:r w:rsidRPr="00642A5D">
        <w:t xml:space="preserve"> given this</w:t>
      </w:r>
      <w:r w:rsidR="004D5DE8">
        <w:t>,</w:t>
      </w:r>
      <w:r w:rsidRPr="00642A5D">
        <w:t xml:space="preserve"> it is highly unlikely that l</w:t>
      </w:r>
      <w:r w:rsidR="003E468A">
        <w:t xml:space="preserve">eakage of methane from a resource </w:t>
      </w:r>
      <w:r w:rsidRPr="00642A5D">
        <w:t>formation to surface would occur.</w:t>
      </w:r>
    </w:p>
    <w:p w14:paraId="729355C9" w14:textId="7B1C8DF6" w:rsidR="00E47F00" w:rsidRPr="00642A5D" w:rsidRDefault="00E47F00">
      <w:r w:rsidRPr="00642A5D">
        <w:t>In undisturbed coal seams, gases migrate to areas of lower pressure or diffuse to areas of lower concentration via networks of natural minor fractures called cleats (</w:t>
      </w:r>
      <w:r w:rsidR="00352324">
        <w:t>IESC, 2014a</w:t>
      </w:r>
      <w:r w:rsidRPr="00642A5D">
        <w:t xml:space="preserve">). Once within the cleat system, the gas is adsorbed to the formation and held there under static </w:t>
      </w:r>
      <w:r w:rsidR="00344EA8">
        <w:t xml:space="preserve">fluid </w:t>
      </w:r>
      <w:r w:rsidRPr="00642A5D">
        <w:t xml:space="preserve">conditions. However once the pressure in the coal is lowered during depressurisation and development, the gas desorbs from the cleats and migrates to the area of lowest pressure. Horizontal or inclined wells and hydraulic fracturing (when required) can provide a high </w:t>
      </w:r>
      <w:r w:rsidRPr="00485339">
        <w:t xml:space="preserve">permeability pathway via which gasses can migrate. In contrast to shale gas, coal seam gas resources are often </w:t>
      </w:r>
      <w:r w:rsidR="00A65846" w:rsidRPr="00485339">
        <w:t xml:space="preserve">comparatively </w:t>
      </w:r>
      <w:r w:rsidRPr="00485339">
        <w:t xml:space="preserve">shallow and located in closer proximity </w:t>
      </w:r>
      <w:r w:rsidR="00975D43" w:rsidRPr="00485339">
        <w:t xml:space="preserve">to </w:t>
      </w:r>
      <w:r w:rsidRPr="00485339">
        <w:t>groundwater resources. Under these circumstances, the hydraulic fracturing</w:t>
      </w:r>
      <w:r w:rsidRPr="00642A5D">
        <w:t xml:space="preserve"> and depressurisation of </w:t>
      </w:r>
      <w:r w:rsidR="00024597">
        <w:t>coal seam gas</w:t>
      </w:r>
      <w:r w:rsidRPr="00642A5D">
        <w:t xml:space="preserve"> may result in the mobilisation and migration of gasses into adjacent groundwater resources when sufficient low permeability units are not present (Eco Logical Australia, 2011</w:t>
      </w:r>
      <w:r w:rsidR="00A65846">
        <w:t xml:space="preserve">; </w:t>
      </w:r>
      <w:r w:rsidR="00A65846" w:rsidRPr="00642A5D">
        <w:t>US</w:t>
      </w:r>
      <w:r w:rsidR="00A65846">
        <w:t>EPA, 2011</w:t>
      </w:r>
      <w:r w:rsidRPr="00642A5D">
        <w:t>)</w:t>
      </w:r>
      <w:r w:rsidR="008573A4">
        <w:t xml:space="preserve">. </w:t>
      </w:r>
    </w:p>
    <w:p w14:paraId="194EEEEB" w14:textId="38D76B48" w:rsidR="00E47F00" w:rsidRPr="00642A5D" w:rsidRDefault="00E47F00">
      <w:r w:rsidRPr="00642A5D">
        <w:t xml:space="preserve">The USEPA (2004) reported a number of incidents in which methane gas migration has </w:t>
      </w:r>
      <w:r w:rsidR="00A65846">
        <w:t>led</w:t>
      </w:r>
      <w:r w:rsidRPr="00642A5D">
        <w:t xml:space="preserve"> to subsurface contamination. This includes </w:t>
      </w:r>
      <w:r w:rsidR="00A65846">
        <w:t>incidents</w:t>
      </w:r>
      <w:r w:rsidR="00A65846" w:rsidRPr="00642A5D">
        <w:t xml:space="preserve"> </w:t>
      </w:r>
      <w:r w:rsidRPr="00642A5D">
        <w:t>in the San Juan Basin (Colorado and New Mexico), Powder River Basin (Wyoming and Montana), Black Warrior Basin (Alabama) and Central Appalachian Basin (Virginia and West Virginia). In The San Juan Basin the major mechanism driving the migration of methane to groundwater resources appeared to be improperly constructed and abandoned gas wells.</w:t>
      </w:r>
      <w:r w:rsidR="009A72C5">
        <w:t xml:space="preserve"> </w:t>
      </w:r>
      <w:r w:rsidRPr="00642A5D">
        <w:t>However</w:t>
      </w:r>
      <w:r w:rsidR="00902092" w:rsidRPr="00642A5D">
        <w:t>,</w:t>
      </w:r>
      <w:r w:rsidRPr="00642A5D">
        <w:t xml:space="preserve"> documented gas seeps and the occurrence of methane in water wells prior to any </w:t>
      </w:r>
      <w:r w:rsidR="00024597">
        <w:t>coal seam gas</w:t>
      </w:r>
      <w:r w:rsidRPr="00642A5D">
        <w:t xml:space="preserve"> developments, also indicates that natural fractures probably serve as conduits in parts of the basin where coal formations are near or at the surface and in the interior of the basin, where the coal formations are deeper. </w:t>
      </w:r>
    </w:p>
    <w:p w14:paraId="04305A42" w14:textId="4F85173A" w:rsidR="00775768" w:rsidRPr="00642A5D" w:rsidRDefault="00775768" w:rsidP="00A35B08">
      <w:r w:rsidRPr="00642A5D">
        <w:t xml:space="preserve">There have been many reports </w:t>
      </w:r>
      <w:r w:rsidR="00337096">
        <w:t>of</w:t>
      </w:r>
      <w:r w:rsidRPr="00642A5D">
        <w:t xml:space="preserve"> methane being detected in water bores in Queensland, some of them natural and others resulting from </w:t>
      </w:r>
      <w:r w:rsidR="00024597">
        <w:t>coal seam gas</w:t>
      </w:r>
      <w:r w:rsidRPr="00642A5D">
        <w:t xml:space="preserve"> developments.</w:t>
      </w:r>
      <w:r w:rsidR="009A72C5">
        <w:t xml:space="preserve"> </w:t>
      </w:r>
      <w:r w:rsidRPr="00642A5D">
        <w:t xml:space="preserve">The Walloon Coal Measures in the Surat Basin act as an aquifer in areas where </w:t>
      </w:r>
      <w:r w:rsidR="00024597">
        <w:t>coal seam gas</w:t>
      </w:r>
      <w:r w:rsidRPr="00642A5D">
        <w:t xml:space="preserve"> is also being developed.</w:t>
      </w:r>
      <w:r w:rsidR="009A72C5">
        <w:t xml:space="preserve"> </w:t>
      </w:r>
      <w:r w:rsidRPr="00642A5D">
        <w:t xml:space="preserve">While gas in water bores was reported before the </w:t>
      </w:r>
      <w:r w:rsidR="00024597">
        <w:t>coal seam gas</w:t>
      </w:r>
      <w:r w:rsidRPr="00642A5D">
        <w:t xml:space="preserve"> industry was established, the </w:t>
      </w:r>
      <w:r w:rsidR="00024597">
        <w:t>coal seam gas</w:t>
      </w:r>
      <w:r w:rsidRPr="00642A5D">
        <w:t xml:space="preserve"> industry has drawn media attention as a result of the large scale depressurisation, which appears to have caused fugitive gas emissions in water bores and inappropriately decommissioned/abandoned water bores and mining exploration bores (Day </w:t>
      </w:r>
      <w:r w:rsidR="0061023B" w:rsidRPr="0061023B">
        <w:t>et al.</w:t>
      </w:r>
      <w:r w:rsidRPr="00642A5D">
        <w:t>, 2014; Walker and Mallants, 2014).</w:t>
      </w:r>
      <w:r w:rsidR="009A72C5">
        <w:t xml:space="preserve"> </w:t>
      </w:r>
      <w:r w:rsidRPr="00642A5D">
        <w:t>In the case of the Walloon Coal Measures, the water bores are intersecting the same unit as the coal seams</w:t>
      </w:r>
      <w:r w:rsidR="00337096">
        <w:t>, and t</w:t>
      </w:r>
      <w:r w:rsidRPr="00642A5D">
        <w:t>he gas has not migrated into an overlying aquifer, rather it has been desorbed in response to the depressurisation. Risks associated with the construction and decommissioning</w:t>
      </w:r>
      <w:r w:rsidR="00337096">
        <w:t xml:space="preserve"> or </w:t>
      </w:r>
      <w:r w:rsidRPr="00642A5D">
        <w:t>aban</w:t>
      </w:r>
      <w:r w:rsidR="003E468A">
        <w:t xml:space="preserve">donment of wells are </w:t>
      </w:r>
      <w:r w:rsidRPr="00642A5D">
        <w:t>dealt with during project-specific risk assessmen</w:t>
      </w:r>
      <w:r w:rsidR="003E468A">
        <w:t xml:space="preserve">ts and </w:t>
      </w:r>
      <w:r w:rsidR="00337096">
        <w:t xml:space="preserve">are </w:t>
      </w:r>
      <w:r w:rsidR="003E468A">
        <w:t>not assessed</w:t>
      </w:r>
      <w:r w:rsidRPr="00642A5D">
        <w:t xml:space="preserve"> in this risk assessment. However</w:t>
      </w:r>
      <w:r w:rsidR="00337096">
        <w:t>,</w:t>
      </w:r>
      <w:r w:rsidRPr="00642A5D">
        <w:t xml:space="preserve"> operational water bores </w:t>
      </w:r>
      <w:r w:rsidR="003E468A">
        <w:t>with gas leakages are assessed</w:t>
      </w:r>
      <w:r w:rsidRPr="00642A5D">
        <w:t>.</w:t>
      </w:r>
      <w:r w:rsidR="009A72C5">
        <w:t xml:space="preserve"> </w:t>
      </w:r>
    </w:p>
    <w:p w14:paraId="4E0341E2" w14:textId="3FD8F498" w:rsidR="00775768" w:rsidRPr="00642A5D" w:rsidRDefault="00775768">
      <w:r w:rsidRPr="00642A5D">
        <w:t>As the chemical nature of the hydraulic fracturing fluid, groundwater system and geological formation at each natural gas site will vary, it has been recommended that baseline characterisation of methane and other contaminants be conducted and overseen by relevant government agencies prior to hydraulic fracturing (</w:t>
      </w:r>
      <w:r w:rsidR="00C21796">
        <w:t>RS/RAE</w:t>
      </w:r>
      <w:r w:rsidRPr="00642A5D">
        <w:t xml:space="preserve">, 2012). According to this recommendation, the baseline data should be collected from the same well that will be hydraulically fractured, however water quality data from nearby wells screened in the same formation may also be suitable for baseline monitoring, provided </w:t>
      </w:r>
      <w:r w:rsidRPr="00943638">
        <w:t xml:space="preserve">they are up </w:t>
      </w:r>
      <w:r w:rsidRPr="007C766C">
        <w:t>gradient</w:t>
      </w:r>
      <w:r w:rsidRPr="00642A5D">
        <w:t xml:space="preserve"> of the fracturing site.</w:t>
      </w:r>
    </w:p>
    <w:p w14:paraId="6E0365DF" w14:textId="7A8028E4" w:rsidR="00775768" w:rsidRDefault="00E47F00">
      <w:r w:rsidRPr="00642A5D">
        <w:t>C</w:t>
      </w:r>
      <w:r w:rsidR="00775768" w:rsidRPr="00642A5D">
        <w:t xml:space="preserve">ook </w:t>
      </w:r>
      <w:r w:rsidR="0061023B" w:rsidRPr="0061023B">
        <w:t>et al.</w:t>
      </w:r>
      <w:r w:rsidR="00775768" w:rsidRPr="00642A5D">
        <w:t xml:space="preserve"> (2013) highlight</w:t>
      </w:r>
      <w:r w:rsidR="00C21796">
        <w:t>ed</w:t>
      </w:r>
      <w:r w:rsidR="00775768" w:rsidRPr="00642A5D">
        <w:t xml:space="preserve"> the importance of conducting baseline and key development studies, especially in relation to groundwater monitoring. The</w:t>
      </w:r>
      <w:r w:rsidR="00C21796">
        <w:t>y indicated</w:t>
      </w:r>
      <w:r w:rsidR="00775768" w:rsidRPr="00642A5D">
        <w:t xml:space="preserve"> that operators should carry out site-specific monitoring of methane and other groundwater contaminants before, during and after gas deve</w:t>
      </w:r>
      <w:r w:rsidR="003E468A">
        <w:t>lopment operations. They pointed out that</w:t>
      </w:r>
      <w:r w:rsidR="00775768" w:rsidRPr="00642A5D">
        <w:t xml:space="preserve"> regulator driven national baseline surveys of methane and other contaminants in groundwater are desirable to improve the understanding of background levels of methane in groundwater unrelated to gas development and </w:t>
      </w:r>
      <w:r w:rsidR="00285DF5">
        <w:t xml:space="preserve">to </w:t>
      </w:r>
      <w:r w:rsidR="00775768" w:rsidRPr="00642A5D">
        <w:t>remove ambiguity surrounding groundwater contamination.</w:t>
      </w:r>
    </w:p>
    <w:p w14:paraId="350C95AF" w14:textId="77777777" w:rsidR="00C21796" w:rsidRDefault="00C21796">
      <w:pPr>
        <w:spacing w:after="200"/>
        <w:rPr>
          <w:rFonts w:cs="Arial"/>
          <w:color w:val="AEC12D" w:themeColor="text2"/>
          <w:sz w:val="32"/>
          <w:szCs w:val="32"/>
          <w:lang w:val="en-AU" w:eastAsia="en-US"/>
        </w:rPr>
      </w:pPr>
      <w:bookmarkStart w:id="520" w:name="_Toc420568710"/>
      <w:bookmarkStart w:id="521" w:name="_Toc420570292"/>
      <w:bookmarkStart w:id="522" w:name="_Toc420571488"/>
      <w:bookmarkStart w:id="523" w:name="_Toc420572126"/>
      <w:r>
        <w:br w:type="page"/>
      </w:r>
    </w:p>
    <w:p w14:paraId="1B20A664" w14:textId="5A1A110A" w:rsidR="000E020F" w:rsidRPr="00642A5D" w:rsidRDefault="00A73ABD" w:rsidP="00F60E96">
      <w:pPr>
        <w:pStyle w:val="Head2xx"/>
      </w:pPr>
      <w:bookmarkStart w:id="524" w:name="_Toc296766984"/>
      <w:bookmarkStart w:id="525" w:name="_Toc422927910"/>
      <w:r>
        <w:t>4.6</w:t>
      </w:r>
      <w:r>
        <w:tab/>
      </w:r>
      <w:r w:rsidR="00F60E96" w:rsidRPr="00642A5D">
        <w:t>Summary of potential risks of hydraulic fracturing</w:t>
      </w:r>
      <w:bookmarkEnd w:id="520"/>
      <w:bookmarkEnd w:id="521"/>
      <w:bookmarkEnd w:id="522"/>
      <w:bookmarkEnd w:id="523"/>
      <w:bookmarkEnd w:id="524"/>
      <w:bookmarkEnd w:id="525"/>
    </w:p>
    <w:p w14:paraId="4E9BFA22" w14:textId="59BE413C" w:rsidR="00775768" w:rsidRDefault="0044110D" w:rsidP="00775768">
      <w:pPr>
        <w:pStyle w:val="Para0"/>
      </w:pPr>
      <w:r w:rsidRPr="00642A5D">
        <w:t>H</w:t>
      </w:r>
      <w:r w:rsidR="00775768" w:rsidRPr="00642A5D">
        <w:t>ydraulic fracturing is commonly required during the development of tight gas and s</w:t>
      </w:r>
      <w:r w:rsidR="003E468A">
        <w:t xml:space="preserve">hale gas </w:t>
      </w:r>
      <w:r w:rsidR="002D4544">
        <w:t xml:space="preserve">resource </w:t>
      </w:r>
      <w:r w:rsidR="002D4544" w:rsidRPr="00642A5D">
        <w:t>formations</w:t>
      </w:r>
      <w:r w:rsidR="00775768" w:rsidRPr="00642A5D">
        <w:t xml:space="preserve"> in order to increase permeability in the formation and the resulting well productivity</w:t>
      </w:r>
      <w:r w:rsidR="003E468A">
        <w:t>. However, coal seam gas resource</w:t>
      </w:r>
      <w:r w:rsidR="00775768" w:rsidRPr="00642A5D">
        <w:t xml:space="preserve"> often exhibit naturally high permeabilities and </w:t>
      </w:r>
      <w:r w:rsidR="00902092" w:rsidRPr="00642A5D">
        <w:t xml:space="preserve">may </w:t>
      </w:r>
      <w:r w:rsidR="00775768" w:rsidRPr="00642A5D">
        <w:t>not require hydraulic fracturing prior to production.</w:t>
      </w:r>
      <w:r w:rsidR="009A72C5">
        <w:t xml:space="preserve"> </w:t>
      </w:r>
      <w:r w:rsidR="00775768" w:rsidRPr="00642A5D">
        <w:t>Horizontal drilling is also commonly used in the development of shale and tight gas.</w:t>
      </w:r>
      <w:r w:rsidR="009A72C5">
        <w:t xml:space="preserve"> </w:t>
      </w:r>
      <w:r w:rsidR="00775768" w:rsidRPr="00642A5D">
        <w:t xml:space="preserve">Horizontal drilling is also being adopted by the </w:t>
      </w:r>
      <w:r w:rsidR="00024597">
        <w:t>coal seam gas</w:t>
      </w:r>
      <w:r w:rsidR="00775768" w:rsidRPr="00642A5D">
        <w:t xml:space="preserve"> industry in Australia and this is often sufficient for gas development and hydraulic fracturing is not required. In such circumstances, the risks presented by hydraulic fracturing are absent.</w:t>
      </w:r>
      <w:r w:rsidR="009A72C5">
        <w:t xml:space="preserve"> </w:t>
      </w:r>
    </w:p>
    <w:p w14:paraId="3CC32CDF" w14:textId="56B9F765" w:rsidR="00775768" w:rsidRPr="00642A5D" w:rsidRDefault="00775768" w:rsidP="00C150BC">
      <w:pPr>
        <w:pStyle w:val="Para0bullet"/>
      </w:pPr>
      <w:r w:rsidRPr="00642A5D">
        <w:t>The contamination risks presented by hydraulic fracturing originate from contaminants associated with hydraulic fracturing fluids used during stimulation</w:t>
      </w:r>
      <w:r w:rsidR="00B81ED3">
        <w:t xml:space="preserve"> (see Section 4.3.1)</w:t>
      </w:r>
      <w:r w:rsidRPr="00642A5D">
        <w:t xml:space="preserve"> and contaminants that </w:t>
      </w:r>
      <w:r w:rsidR="00B81ED3">
        <w:t>occur</w:t>
      </w:r>
      <w:r w:rsidR="00B81ED3" w:rsidRPr="00642A5D">
        <w:t xml:space="preserve"> </w:t>
      </w:r>
      <w:r w:rsidRPr="00642A5D">
        <w:t xml:space="preserve">naturally </w:t>
      </w:r>
      <w:r w:rsidR="00B81ED3">
        <w:t>in</w:t>
      </w:r>
      <w:r w:rsidRPr="00642A5D">
        <w:t xml:space="preserve"> </w:t>
      </w:r>
      <w:r w:rsidR="00932254">
        <w:t>prospective gas formation</w:t>
      </w:r>
      <w:r w:rsidRPr="00642A5D">
        <w:t>s and proximal formations (e.g. poor</w:t>
      </w:r>
      <w:r w:rsidR="00B81ED3">
        <w:t>-</w:t>
      </w:r>
      <w:r w:rsidRPr="00642A5D">
        <w:t>quality groundwater and methane). As hydraulic fracturing is conduct</w:t>
      </w:r>
      <w:r w:rsidR="00932254">
        <w:t xml:space="preserve">ed in settings where the prospective </w:t>
      </w:r>
      <w:r w:rsidRPr="00642A5D">
        <w:t xml:space="preserve">formation has a low permeability, </w:t>
      </w:r>
      <w:r w:rsidR="00B81ED3">
        <w:t>the migration</w:t>
      </w:r>
      <w:r w:rsidRPr="00642A5D">
        <w:t xml:space="preserve"> of contaminants from the </w:t>
      </w:r>
      <w:r w:rsidR="00B81ED3">
        <w:t>target</w:t>
      </w:r>
      <w:r w:rsidRPr="00642A5D">
        <w:t xml:space="preserve"> into an adjacent aquifer</w:t>
      </w:r>
      <w:r w:rsidR="00B81ED3">
        <w:t xml:space="preserve"> must be via</w:t>
      </w:r>
      <w:r w:rsidRPr="00642A5D">
        <w:t xml:space="preserve"> a pathway of increased permeability that links the </w:t>
      </w:r>
      <w:r w:rsidR="00932254">
        <w:t>prospective gas formation</w:t>
      </w:r>
      <w:r w:rsidRPr="00642A5D">
        <w:t xml:space="preserve"> to an aquifer. A review of relevant literature indicates that for this to be achieved, an induced fracture must either</w:t>
      </w:r>
      <w:r w:rsidR="00A73ABD">
        <w:t xml:space="preserve"> </w:t>
      </w:r>
      <w:r w:rsidR="00110DA7">
        <w:t>e</w:t>
      </w:r>
      <w:r w:rsidR="00110DA7" w:rsidRPr="00642A5D">
        <w:t xml:space="preserve">xtend </w:t>
      </w:r>
      <w:r w:rsidRPr="00642A5D">
        <w:t>beyond the limi</w:t>
      </w:r>
      <w:r w:rsidR="00932254">
        <w:t>t of the low permeability prospective</w:t>
      </w:r>
      <w:r w:rsidRPr="00642A5D">
        <w:t xml:space="preserve"> formation and into an adjacent low permeability formation</w:t>
      </w:r>
      <w:r w:rsidR="00A73ABD">
        <w:t xml:space="preserve">, or </w:t>
      </w:r>
      <w:r w:rsidR="00110DA7">
        <w:t>i</w:t>
      </w:r>
      <w:r w:rsidR="00110DA7" w:rsidRPr="00642A5D">
        <w:t xml:space="preserve">ntersect </w:t>
      </w:r>
      <w:r w:rsidRPr="00642A5D">
        <w:t>a structural feature (such as a fault/fracture zone) that provides a pathway of increased permeability.</w:t>
      </w:r>
      <w:r w:rsidR="00B81ED3">
        <w:t xml:space="preserve"> </w:t>
      </w:r>
      <w:r w:rsidRPr="00642A5D">
        <w:t>Additionally</w:t>
      </w:r>
      <w:r w:rsidR="002D4544" w:rsidRPr="00642A5D">
        <w:t>, a</w:t>
      </w:r>
      <w:r w:rsidRPr="00642A5D">
        <w:t xml:space="preserve"> hydraulic gradient would need to be prevalent such that groundwater would flow from the natural gas source towards the aquifer </w:t>
      </w:r>
      <w:r w:rsidR="003E468A">
        <w:t>for the migration of liquid contamination</w:t>
      </w:r>
      <w:r w:rsidRPr="00642A5D">
        <w:t>.</w:t>
      </w:r>
    </w:p>
    <w:p w14:paraId="269D463F" w14:textId="49CDF00D" w:rsidR="000E020F" w:rsidRPr="00642A5D" w:rsidRDefault="00A73ABD" w:rsidP="00775768">
      <w:pPr>
        <w:pStyle w:val="Head2xx"/>
      </w:pPr>
      <w:bookmarkStart w:id="526" w:name="_Toc420568711"/>
      <w:bookmarkStart w:id="527" w:name="_Toc420570293"/>
      <w:bookmarkStart w:id="528" w:name="_Toc420571489"/>
      <w:bookmarkStart w:id="529" w:name="_Toc420572127"/>
      <w:bookmarkStart w:id="530" w:name="_Toc296766985"/>
      <w:bookmarkStart w:id="531" w:name="_Toc422927911"/>
      <w:r>
        <w:t>4.7</w:t>
      </w:r>
      <w:r>
        <w:tab/>
      </w:r>
      <w:r w:rsidR="00C6710F">
        <w:t>Qualitative r</w:t>
      </w:r>
      <w:r w:rsidR="000E020F" w:rsidRPr="00642A5D">
        <w:t>isk assessment</w:t>
      </w:r>
      <w:bookmarkEnd w:id="526"/>
      <w:bookmarkEnd w:id="527"/>
      <w:bookmarkEnd w:id="528"/>
      <w:bookmarkEnd w:id="529"/>
      <w:bookmarkEnd w:id="530"/>
      <w:bookmarkEnd w:id="531"/>
    </w:p>
    <w:p w14:paraId="7A9CB38D" w14:textId="332F08B7" w:rsidR="00C6710F" w:rsidRDefault="00C6710F" w:rsidP="0044110D">
      <w:pPr>
        <w:pStyle w:val="Caption"/>
        <w:rPr>
          <w:i w:val="0"/>
          <w:sz w:val="20"/>
          <w:szCs w:val="20"/>
        </w:rPr>
      </w:pPr>
      <w:bookmarkStart w:id="532" w:name="_Ref406508659"/>
      <w:r w:rsidRPr="00C6710F">
        <w:rPr>
          <w:i w:val="0"/>
          <w:sz w:val="20"/>
          <w:szCs w:val="20"/>
        </w:rPr>
        <w:t xml:space="preserve">Risks associated with </w:t>
      </w:r>
      <w:r w:rsidR="003439B4">
        <w:rPr>
          <w:i w:val="0"/>
          <w:sz w:val="20"/>
          <w:szCs w:val="20"/>
        </w:rPr>
        <w:t xml:space="preserve">contamination of groundwater from </w:t>
      </w:r>
      <w:r w:rsidRPr="00C6710F">
        <w:rPr>
          <w:i w:val="0"/>
          <w:sz w:val="20"/>
          <w:szCs w:val="20"/>
        </w:rPr>
        <w:t>hyd</w:t>
      </w:r>
      <w:r w:rsidR="003E468A">
        <w:rPr>
          <w:i w:val="0"/>
          <w:sz w:val="20"/>
          <w:szCs w:val="20"/>
        </w:rPr>
        <w:t xml:space="preserve">raulic fracturing </w:t>
      </w:r>
      <w:r w:rsidR="003439B4">
        <w:rPr>
          <w:i w:val="0"/>
          <w:sz w:val="20"/>
          <w:szCs w:val="20"/>
        </w:rPr>
        <w:t xml:space="preserve">fluids </w:t>
      </w:r>
      <w:r w:rsidR="003E468A">
        <w:rPr>
          <w:i w:val="0"/>
          <w:sz w:val="20"/>
          <w:szCs w:val="20"/>
        </w:rPr>
        <w:t xml:space="preserve">are </w:t>
      </w:r>
      <w:r w:rsidRPr="00C6710F">
        <w:rPr>
          <w:i w:val="0"/>
          <w:sz w:val="20"/>
          <w:szCs w:val="20"/>
        </w:rPr>
        <w:t xml:space="preserve">assessed and managed through project/site specific studies. As the current study does not relate to a specific project the potential risks associated with </w:t>
      </w:r>
      <w:r w:rsidR="003E468A">
        <w:rPr>
          <w:i w:val="0"/>
          <w:sz w:val="20"/>
          <w:szCs w:val="20"/>
        </w:rPr>
        <w:t xml:space="preserve">groundwater contamination from </w:t>
      </w:r>
      <w:r w:rsidRPr="00C6710F">
        <w:rPr>
          <w:i w:val="0"/>
          <w:sz w:val="20"/>
          <w:szCs w:val="20"/>
        </w:rPr>
        <w:t xml:space="preserve">hydraulic fracturing are assessed based on a proposed </w:t>
      </w:r>
      <w:r w:rsidR="00F768AD">
        <w:rPr>
          <w:i w:val="0"/>
          <w:sz w:val="20"/>
          <w:szCs w:val="20"/>
        </w:rPr>
        <w:t>connection</w:t>
      </w:r>
      <w:r w:rsidRPr="00C6710F">
        <w:rPr>
          <w:i w:val="0"/>
          <w:sz w:val="20"/>
          <w:szCs w:val="20"/>
        </w:rPr>
        <w:t xml:space="preserve"> and consequence criteria as shown in Table </w:t>
      </w:r>
      <w:r w:rsidR="00110DA7">
        <w:rPr>
          <w:i w:val="0"/>
          <w:sz w:val="20"/>
          <w:szCs w:val="20"/>
        </w:rPr>
        <w:t>7</w:t>
      </w:r>
      <w:r w:rsidR="00110DA7" w:rsidRPr="00C6710F">
        <w:rPr>
          <w:i w:val="0"/>
          <w:sz w:val="20"/>
          <w:szCs w:val="20"/>
        </w:rPr>
        <w:t xml:space="preserve"> </w:t>
      </w:r>
      <w:r w:rsidRPr="00C6710F">
        <w:rPr>
          <w:i w:val="0"/>
          <w:sz w:val="20"/>
          <w:szCs w:val="20"/>
        </w:rPr>
        <w:t xml:space="preserve">and Table </w:t>
      </w:r>
      <w:r w:rsidR="00110DA7">
        <w:rPr>
          <w:i w:val="0"/>
          <w:sz w:val="20"/>
          <w:szCs w:val="20"/>
        </w:rPr>
        <w:t>8</w:t>
      </w:r>
      <w:r w:rsidR="00110DA7" w:rsidRPr="00C6710F">
        <w:rPr>
          <w:i w:val="0"/>
          <w:sz w:val="20"/>
          <w:szCs w:val="20"/>
        </w:rPr>
        <w:t xml:space="preserve"> </w:t>
      </w:r>
      <w:r w:rsidRPr="00C6710F">
        <w:rPr>
          <w:i w:val="0"/>
          <w:sz w:val="20"/>
          <w:szCs w:val="20"/>
        </w:rPr>
        <w:t xml:space="preserve">respectively. </w:t>
      </w:r>
    </w:p>
    <w:p w14:paraId="68A1322A" w14:textId="1E821F3D" w:rsidR="0044110D" w:rsidRPr="00642A5D" w:rsidRDefault="0044110D" w:rsidP="002D44DF">
      <w:pPr>
        <w:pStyle w:val="Tableheading"/>
      </w:pPr>
      <w:bookmarkStart w:id="533" w:name="_Toc296770887"/>
      <w:r w:rsidRPr="00642A5D">
        <w:t xml:space="preserve">Table </w:t>
      </w:r>
      <w:r w:rsidR="007569CD" w:rsidRPr="00642A5D">
        <w:fldChar w:fldCharType="begin"/>
      </w:r>
      <w:r w:rsidRPr="00642A5D">
        <w:instrText xml:space="preserve"> SEQ Table \* ARABIC </w:instrText>
      </w:r>
      <w:r w:rsidR="007569CD" w:rsidRPr="00642A5D">
        <w:fldChar w:fldCharType="separate"/>
      </w:r>
      <w:r w:rsidR="00171A5E">
        <w:rPr>
          <w:noProof/>
        </w:rPr>
        <w:t>7</w:t>
      </w:r>
      <w:r w:rsidR="007569CD" w:rsidRPr="00642A5D">
        <w:fldChar w:fldCharType="end"/>
      </w:r>
      <w:bookmarkEnd w:id="532"/>
      <w:r w:rsidR="008B076F">
        <w:t>:</w:t>
      </w:r>
      <w:r w:rsidRPr="00642A5D">
        <w:t xml:space="preserve"> </w:t>
      </w:r>
      <w:r w:rsidR="00CE7F82">
        <w:t xml:space="preserve"> </w:t>
      </w:r>
      <w:r w:rsidRPr="00642A5D">
        <w:t xml:space="preserve">Proposed </w:t>
      </w:r>
      <w:r w:rsidR="00F768AD">
        <w:t>connection</w:t>
      </w:r>
      <w:r w:rsidRPr="00642A5D">
        <w:t xml:space="preserve"> assessment criteria for </w:t>
      </w:r>
      <w:r w:rsidR="003439B4">
        <w:t>h</w:t>
      </w:r>
      <w:r w:rsidRPr="00642A5D">
        <w:t>ydraulic fracturing impacts.</w:t>
      </w:r>
      <w:bookmarkEnd w:id="533"/>
    </w:p>
    <w:tbl>
      <w:tblPr>
        <w:tblStyle w:val="GridTable4-Accent3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267"/>
        <w:gridCol w:w="7372"/>
      </w:tblGrid>
      <w:tr w:rsidR="0044110D" w:rsidRPr="00A73ABD" w14:paraId="51C651FB" w14:textId="77777777" w:rsidTr="006800F3">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bottom w:val="none" w:sz="0" w:space="0" w:color="auto"/>
              <w:right w:val="single" w:sz="4" w:space="0" w:color="FFFFFF"/>
            </w:tcBorders>
            <w:shd w:val="clear" w:color="auto" w:fill="005A97"/>
          </w:tcPr>
          <w:p w14:paraId="0B0E5E89" w14:textId="77777777" w:rsidR="0044110D" w:rsidRPr="00A73ABD" w:rsidRDefault="0044110D" w:rsidP="00A73ABD">
            <w:pPr>
              <w:pStyle w:val="TableHeaderrow"/>
              <w:rPr>
                <w:b/>
              </w:rPr>
            </w:pPr>
            <w:r w:rsidRPr="00A73ABD">
              <w:rPr>
                <w:b/>
              </w:rPr>
              <w:t>Likelihood of fracture propagation</w:t>
            </w:r>
          </w:p>
        </w:tc>
        <w:tc>
          <w:tcPr>
            <w:tcW w:w="7372" w:type="dxa"/>
            <w:tcBorders>
              <w:top w:val="nil"/>
              <w:left w:val="single" w:sz="4" w:space="0" w:color="FFFFFF"/>
              <w:bottom w:val="none" w:sz="0" w:space="0" w:color="auto"/>
              <w:right w:val="none" w:sz="0" w:space="0" w:color="auto"/>
            </w:tcBorders>
            <w:shd w:val="clear" w:color="auto" w:fill="005A97"/>
          </w:tcPr>
          <w:p w14:paraId="414D691D" w14:textId="77777777" w:rsidR="0044110D" w:rsidRPr="00A73ABD" w:rsidRDefault="0044110D" w:rsidP="00172DA2">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A73ABD">
              <w:rPr>
                <w:b/>
              </w:rPr>
              <w:t>Pressure/time/volume of hydraulic fracturing.</w:t>
            </w:r>
          </w:p>
        </w:tc>
      </w:tr>
      <w:tr w:rsidR="0044110D" w:rsidRPr="00642A5D" w14:paraId="163C6573" w14:textId="77777777" w:rsidTr="006800F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7" w:type="dxa"/>
            <w:shd w:val="clear" w:color="auto" w:fill="auto"/>
            <w:vAlign w:val="center"/>
          </w:tcPr>
          <w:p w14:paraId="05E33F20" w14:textId="208892C3" w:rsidR="0044110D" w:rsidRPr="00642A5D" w:rsidRDefault="0044110D" w:rsidP="006800F3">
            <w:pPr>
              <w:pStyle w:val="Tabletext"/>
            </w:pPr>
            <w:r w:rsidRPr="00642A5D">
              <w:t>High</w:t>
            </w:r>
          </w:p>
        </w:tc>
        <w:tc>
          <w:tcPr>
            <w:tcW w:w="7372" w:type="dxa"/>
            <w:shd w:val="clear" w:color="auto" w:fill="auto"/>
            <w:vAlign w:val="center"/>
          </w:tcPr>
          <w:p w14:paraId="20A287B1" w14:textId="4A75F288" w:rsidR="0044110D" w:rsidRPr="00642A5D" w:rsidRDefault="0044110D" w:rsidP="006800F3">
            <w:pPr>
              <w:pStyle w:val="Tabletext"/>
              <w:cnfStyle w:val="000000100000" w:firstRow="0" w:lastRow="0" w:firstColumn="0" w:lastColumn="0" w:oddVBand="0" w:evenVBand="0" w:oddHBand="1" w:evenHBand="0" w:firstRowFirstColumn="0" w:firstRowLastColumn="0" w:lastRowFirstColumn="0" w:lastRowLastColumn="0"/>
            </w:pPr>
            <w:r w:rsidRPr="00642A5D">
              <w:t>High pressure</w:t>
            </w:r>
            <w:r w:rsidR="008F65CB">
              <w:t xml:space="preserve">, </w:t>
            </w:r>
            <w:r w:rsidR="00172DA2">
              <w:t>l</w:t>
            </w:r>
            <w:r w:rsidRPr="00642A5D">
              <w:t>ong time</w:t>
            </w:r>
            <w:r w:rsidR="008F65CB">
              <w:t xml:space="preserve">, </w:t>
            </w:r>
            <w:r w:rsidR="00172DA2">
              <w:t>h</w:t>
            </w:r>
            <w:r w:rsidRPr="00642A5D">
              <w:t>igh volume</w:t>
            </w:r>
          </w:p>
        </w:tc>
      </w:tr>
      <w:tr w:rsidR="0044110D" w:rsidRPr="00642A5D" w14:paraId="3E5492F8" w14:textId="77777777" w:rsidTr="006800F3">
        <w:trPr>
          <w:trHeight w:val="340"/>
        </w:trPr>
        <w:tc>
          <w:tcPr>
            <w:cnfStyle w:val="001000000000" w:firstRow="0" w:lastRow="0" w:firstColumn="1" w:lastColumn="0" w:oddVBand="0" w:evenVBand="0" w:oddHBand="0" w:evenHBand="0" w:firstRowFirstColumn="0" w:firstRowLastColumn="0" w:lastRowFirstColumn="0" w:lastRowLastColumn="0"/>
            <w:tcW w:w="2267" w:type="dxa"/>
            <w:shd w:val="clear" w:color="auto" w:fill="auto"/>
            <w:vAlign w:val="center"/>
          </w:tcPr>
          <w:p w14:paraId="4D52D073" w14:textId="3273053A" w:rsidR="0044110D" w:rsidRPr="00642A5D" w:rsidRDefault="0044110D" w:rsidP="006800F3">
            <w:pPr>
              <w:pStyle w:val="Tabletext"/>
            </w:pPr>
            <w:r w:rsidRPr="00642A5D">
              <w:t>Moderate</w:t>
            </w:r>
          </w:p>
        </w:tc>
        <w:tc>
          <w:tcPr>
            <w:tcW w:w="7372" w:type="dxa"/>
            <w:shd w:val="clear" w:color="auto" w:fill="auto"/>
            <w:vAlign w:val="center"/>
          </w:tcPr>
          <w:p w14:paraId="4A15B885" w14:textId="7DCDCC71" w:rsidR="0044110D" w:rsidRPr="00642A5D" w:rsidRDefault="0044110D" w:rsidP="006800F3">
            <w:pPr>
              <w:pStyle w:val="Tabletext"/>
              <w:cnfStyle w:val="000000000000" w:firstRow="0" w:lastRow="0" w:firstColumn="0" w:lastColumn="0" w:oddVBand="0" w:evenVBand="0" w:oddHBand="0" w:evenHBand="0" w:firstRowFirstColumn="0" w:firstRowLastColumn="0" w:lastRowFirstColumn="0" w:lastRowLastColumn="0"/>
            </w:pPr>
            <w:r w:rsidRPr="00642A5D">
              <w:t>Moderate pressure</w:t>
            </w:r>
            <w:r w:rsidR="008F65CB">
              <w:t xml:space="preserve">, </w:t>
            </w:r>
            <w:r w:rsidR="00172DA2">
              <w:t>m</w:t>
            </w:r>
            <w:r w:rsidRPr="00642A5D">
              <w:t>edium time</w:t>
            </w:r>
            <w:r w:rsidR="008F65CB">
              <w:t xml:space="preserve">, </w:t>
            </w:r>
            <w:r w:rsidR="00172DA2">
              <w:t>m</w:t>
            </w:r>
            <w:r w:rsidRPr="00642A5D">
              <w:t>edium volume</w:t>
            </w:r>
          </w:p>
        </w:tc>
      </w:tr>
      <w:tr w:rsidR="0044110D" w:rsidRPr="00642A5D" w14:paraId="74339A80" w14:textId="77777777" w:rsidTr="006800F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67" w:type="dxa"/>
            <w:shd w:val="clear" w:color="auto" w:fill="auto"/>
            <w:vAlign w:val="center"/>
          </w:tcPr>
          <w:p w14:paraId="4D9706F7" w14:textId="77777777" w:rsidR="0044110D" w:rsidRPr="00642A5D" w:rsidRDefault="0044110D" w:rsidP="006800F3">
            <w:pPr>
              <w:pStyle w:val="Tabletext"/>
            </w:pPr>
            <w:r w:rsidRPr="00642A5D">
              <w:t>Low</w:t>
            </w:r>
          </w:p>
        </w:tc>
        <w:tc>
          <w:tcPr>
            <w:tcW w:w="7372" w:type="dxa"/>
            <w:shd w:val="clear" w:color="auto" w:fill="auto"/>
            <w:vAlign w:val="center"/>
          </w:tcPr>
          <w:p w14:paraId="5A471669" w14:textId="511768FB" w:rsidR="0044110D" w:rsidRPr="00642A5D" w:rsidRDefault="0044110D" w:rsidP="006800F3">
            <w:pPr>
              <w:pStyle w:val="Tabletext"/>
              <w:cnfStyle w:val="000000100000" w:firstRow="0" w:lastRow="0" w:firstColumn="0" w:lastColumn="0" w:oddVBand="0" w:evenVBand="0" w:oddHBand="1" w:evenHBand="0" w:firstRowFirstColumn="0" w:firstRowLastColumn="0" w:lastRowFirstColumn="0" w:lastRowLastColumn="0"/>
            </w:pPr>
            <w:r w:rsidRPr="00642A5D">
              <w:t>Low pressure</w:t>
            </w:r>
            <w:r w:rsidR="008F65CB">
              <w:t xml:space="preserve">, </w:t>
            </w:r>
            <w:r w:rsidR="00172DA2">
              <w:t>s</w:t>
            </w:r>
            <w:r w:rsidRPr="00642A5D">
              <w:t>hort time</w:t>
            </w:r>
            <w:r w:rsidR="008F65CB">
              <w:t xml:space="preserve">, </w:t>
            </w:r>
            <w:r w:rsidR="00172DA2">
              <w:t>l</w:t>
            </w:r>
            <w:r w:rsidRPr="00642A5D">
              <w:t>ow volume</w:t>
            </w:r>
          </w:p>
        </w:tc>
      </w:tr>
    </w:tbl>
    <w:p w14:paraId="0ED78770" w14:textId="0A23556E" w:rsidR="00A73ABD" w:rsidRDefault="00A73ABD" w:rsidP="006800F3">
      <w:pPr>
        <w:pStyle w:val="Notetext"/>
      </w:pPr>
      <w:bookmarkStart w:id="534" w:name="_Ref406508219"/>
      <w:bookmarkStart w:id="535" w:name="_Ref409798569"/>
      <w:bookmarkStart w:id="536" w:name="_Ref409798604"/>
    </w:p>
    <w:p w14:paraId="7ABB10F7" w14:textId="00F522BB" w:rsidR="0044110D" w:rsidRPr="00642A5D" w:rsidRDefault="00C6710F" w:rsidP="002D44DF">
      <w:pPr>
        <w:pStyle w:val="Tableheading"/>
      </w:pPr>
      <w:bookmarkStart w:id="537" w:name="_Toc296770888"/>
      <w:r>
        <w:t>T</w:t>
      </w:r>
      <w:r w:rsidR="0044110D" w:rsidRPr="00642A5D">
        <w:t xml:space="preserve">able </w:t>
      </w:r>
      <w:r w:rsidR="007569CD" w:rsidRPr="00642A5D">
        <w:fldChar w:fldCharType="begin"/>
      </w:r>
      <w:r w:rsidR="0044110D" w:rsidRPr="00642A5D">
        <w:instrText xml:space="preserve"> SEQ Table \* ARABIC </w:instrText>
      </w:r>
      <w:r w:rsidR="007569CD" w:rsidRPr="00642A5D">
        <w:fldChar w:fldCharType="separate"/>
      </w:r>
      <w:r w:rsidR="00171A5E">
        <w:rPr>
          <w:noProof/>
        </w:rPr>
        <w:t>8</w:t>
      </w:r>
      <w:r w:rsidR="007569CD" w:rsidRPr="00642A5D">
        <w:fldChar w:fldCharType="end"/>
      </w:r>
      <w:bookmarkEnd w:id="534"/>
      <w:bookmarkEnd w:id="535"/>
      <w:bookmarkEnd w:id="536"/>
      <w:r w:rsidR="008B076F">
        <w:t>:</w:t>
      </w:r>
      <w:r w:rsidR="009A72C5">
        <w:t xml:space="preserve"> </w:t>
      </w:r>
      <w:r w:rsidR="00CE7F82">
        <w:t xml:space="preserve"> </w:t>
      </w:r>
      <w:r w:rsidR="0044110D" w:rsidRPr="00642A5D">
        <w:t>Proposed consequence scale for hydraulic fracturing impacts.</w:t>
      </w:r>
      <w:bookmarkEnd w:id="537"/>
    </w:p>
    <w:tbl>
      <w:tblPr>
        <w:tblStyle w:val="GridTable4-Accent3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301"/>
        <w:gridCol w:w="2446"/>
        <w:gridCol w:w="2446"/>
        <w:gridCol w:w="2446"/>
      </w:tblGrid>
      <w:tr w:rsidR="0044110D" w:rsidRPr="00A73ABD" w14:paraId="6B461AC1" w14:textId="77777777" w:rsidTr="006800F3">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301" w:type="dxa"/>
            <w:tcBorders>
              <w:top w:val="nil"/>
              <w:left w:val="none" w:sz="0" w:space="0" w:color="auto"/>
              <w:bottom w:val="none" w:sz="0" w:space="0" w:color="auto"/>
              <w:right w:val="single" w:sz="4" w:space="0" w:color="FFFFFF"/>
            </w:tcBorders>
            <w:shd w:val="clear" w:color="auto" w:fill="005A97"/>
          </w:tcPr>
          <w:p w14:paraId="7586C64B" w14:textId="08911430" w:rsidR="0044110D" w:rsidRPr="00A73ABD" w:rsidRDefault="0044110D" w:rsidP="00A73ABD">
            <w:pPr>
              <w:pStyle w:val="TableHeaderrow"/>
              <w:rPr>
                <w:b/>
              </w:rPr>
            </w:pPr>
            <w:r w:rsidRPr="00A73ABD">
              <w:rPr>
                <w:b/>
              </w:rPr>
              <w:t xml:space="preserve">Hydraulic </w:t>
            </w:r>
            <w:r w:rsidR="00A73ABD">
              <w:rPr>
                <w:b/>
              </w:rPr>
              <w:t>f</w:t>
            </w:r>
            <w:r w:rsidRPr="00A73ABD">
              <w:rPr>
                <w:b/>
              </w:rPr>
              <w:t>racturing Impact</w:t>
            </w:r>
          </w:p>
        </w:tc>
        <w:tc>
          <w:tcPr>
            <w:tcW w:w="2446" w:type="dxa"/>
            <w:tcBorders>
              <w:top w:val="nil"/>
              <w:left w:val="single" w:sz="4" w:space="0" w:color="FFFFFF"/>
              <w:bottom w:val="none" w:sz="0" w:space="0" w:color="auto"/>
              <w:right w:val="single" w:sz="4" w:space="0" w:color="FFFFFF"/>
            </w:tcBorders>
            <w:shd w:val="clear" w:color="auto" w:fill="005A97"/>
          </w:tcPr>
          <w:p w14:paraId="4E72211C" w14:textId="40C023E5" w:rsidR="0044110D" w:rsidRPr="00A73ABD" w:rsidRDefault="0044110D" w:rsidP="00172DA2">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A73ABD">
              <w:rPr>
                <w:b/>
              </w:rPr>
              <w:t xml:space="preserve">Low </w:t>
            </w:r>
            <w:r w:rsidR="00A73ABD">
              <w:rPr>
                <w:b/>
              </w:rPr>
              <w:t>c</w:t>
            </w:r>
            <w:r w:rsidRPr="00A73ABD">
              <w:rPr>
                <w:b/>
              </w:rPr>
              <w:t>onsequence</w:t>
            </w:r>
          </w:p>
        </w:tc>
        <w:tc>
          <w:tcPr>
            <w:tcW w:w="2446" w:type="dxa"/>
            <w:tcBorders>
              <w:top w:val="nil"/>
              <w:left w:val="single" w:sz="4" w:space="0" w:color="FFFFFF"/>
              <w:bottom w:val="none" w:sz="0" w:space="0" w:color="auto"/>
              <w:right w:val="single" w:sz="4" w:space="0" w:color="FFFFFF"/>
            </w:tcBorders>
            <w:shd w:val="clear" w:color="auto" w:fill="005A97"/>
          </w:tcPr>
          <w:p w14:paraId="0B6CFE60" w14:textId="262DD359" w:rsidR="0044110D" w:rsidRPr="00A73ABD" w:rsidRDefault="0044110D" w:rsidP="00172DA2">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A73ABD">
              <w:rPr>
                <w:b/>
              </w:rPr>
              <w:t xml:space="preserve">Moderate </w:t>
            </w:r>
            <w:r w:rsidR="00A73ABD">
              <w:rPr>
                <w:b/>
              </w:rPr>
              <w:t>c</w:t>
            </w:r>
            <w:r w:rsidRPr="00A73ABD">
              <w:rPr>
                <w:b/>
              </w:rPr>
              <w:t>onsequence</w:t>
            </w:r>
          </w:p>
        </w:tc>
        <w:tc>
          <w:tcPr>
            <w:tcW w:w="2446" w:type="dxa"/>
            <w:tcBorders>
              <w:top w:val="nil"/>
              <w:left w:val="single" w:sz="4" w:space="0" w:color="FFFFFF"/>
              <w:bottom w:val="none" w:sz="0" w:space="0" w:color="auto"/>
              <w:right w:val="none" w:sz="0" w:space="0" w:color="auto"/>
            </w:tcBorders>
            <w:shd w:val="clear" w:color="auto" w:fill="005A97"/>
          </w:tcPr>
          <w:p w14:paraId="6F675C20" w14:textId="4711B7ED" w:rsidR="0044110D" w:rsidRPr="00A73ABD" w:rsidRDefault="0044110D" w:rsidP="00172DA2">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A73ABD">
              <w:rPr>
                <w:b/>
              </w:rPr>
              <w:t xml:space="preserve">High </w:t>
            </w:r>
            <w:r w:rsidR="00A73ABD">
              <w:rPr>
                <w:b/>
              </w:rPr>
              <w:t>c</w:t>
            </w:r>
            <w:r w:rsidRPr="00A73ABD">
              <w:rPr>
                <w:b/>
              </w:rPr>
              <w:t>onsequence</w:t>
            </w:r>
          </w:p>
        </w:tc>
      </w:tr>
      <w:tr w:rsidR="0044110D" w:rsidRPr="00642A5D" w14:paraId="41AB7E09" w14:textId="77777777" w:rsidTr="006800F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01" w:type="dxa"/>
            <w:shd w:val="clear" w:color="auto" w:fill="auto"/>
          </w:tcPr>
          <w:p w14:paraId="7B7D43F0" w14:textId="77777777" w:rsidR="0044110D" w:rsidRPr="00642A5D" w:rsidRDefault="0044110D" w:rsidP="00A73ABD">
            <w:pPr>
              <w:pStyle w:val="Tabletext"/>
            </w:pPr>
            <w:r w:rsidRPr="00642A5D">
              <w:t>Increased connectivity with adjacent good quality aquifers</w:t>
            </w:r>
          </w:p>
        </w:tc>
        <w:tc>
          <w:tcPr>
            <w:tcW w:w="2446" w:type="dxa"/>
            <w:shd w:val="clear" w:color="auto" w:fill="auto"/>
          </w:tcPr>
          <w:p w14:paraId="0FA448B3" w14:textId="2D9A1245" w:rsidR="0044110D" w:rsidRPr="00642A5D" w:rsidRDefault="0044110D" w:rsidP="00A73ABD">
            <w:pPr>
              <w:pStyle w:val="Tabletext"/>
              <w:cnfStyle w:val="000000100000" w:firstRow="0" w:lastRow="0" w:firstColumn="0" w:lastColumn="0" w:oddVBand="0" w:evenVBand="0" w:oddHBand="1" w:evenHBand="0" w:firstRowFirstColumn="0" w:firstRowLastColumn="0" w:lastRowFirstColumn="0" w:lastRowLastColumn="0"/>
            </w:pPr>
            <w:r w:rsidRPr="00642A5D">
              <w:t xml:space="preserve">Fracture propagation is confined to a small fraction of formation thickness within the </w:t>
            </w:r>
            <w:r w:rsidR="00932254">
              <w:t>prospective gas formation</w:t>
            </w:r>
            <w:r w:rsidRPr="00642A5D">
              <w:t>.</w:t>
            </w:r>
          </w:p>
        </w:tc>
        <w:tc>
          <w:tcPr>
            <w:tcW w:w="2446" w:type="dxa"/>
            <w:shd w:val="clear" w:color="auto" w:fill="auto"/>
          </w:tcPr>
          <w:p w14:paraId="2C85ADE8" w14:textId="5D3ADC41" w:rsidR="0044110D" w:rsidRPr="00642A5D" w:rsidRDefault="0044110D" w:rsidP="00A73ABD">
            <w:pPr>
              <w:pStyle w:val="Tabletext"/>
              <w:cnfStyle w:val="000000100000" w:firstRow="0" w:lastRow="0" w:firstColumn="0" w:lastColumn="0" w:oddVBand="0" w:evenVBand="0" w:oddHBand="1" w:evenHBand="0" w:firstRowFirstColumn="0" w:firstRowLastColumn="0" w:lastRowFirstColumn="0" w:lastRowLastColumn="0"/>
            </w:pPr>
            <w:r w:rsidRPr="00642A5D">
              <w:t xml:space="preserve">Fracture propagation is confined to within the </w:t>
            </w:r>
            <w:r w:rsidR="00932254">
              <w:t>prospective gas</w:t>
            </w:r>
            <w:r w:rsidRPr="00642A5D">
              <w:t xml:space="preserve"> formation.</w:t>
            </w:r>
          </w:p>
        </w:tc>
        <w:tc>
          <w:tcPr>
            <w:tcW w:w="2446" w:type="dxa"/>
            <w:shd w:val="clear" w:color="auto" w:fill="auto"/>
          </w:tcPr>
          <w:p w14:paraId="1F6D5D92" w14:textId="77777777" w:rsidR="0044110D" w:rsidRPr="00642A5D" w:rsidRDefault="0044110D" w:rsidP="00A73ABD">
            <w:pPr>
              <w:pStyle w:val="Tabletext"/>
              <w:cnfStyle w:val="000000100000" w:firstRow="0" w:lastRow="0" w:firstColumn="0" w:lastColumn="0" w:oddVBand="0" w:evenVBand="0" w:oddHBand="1" w:evenHBand="0" w:firstRowFirstColumn="0" w:firstRowLastColumn="0" w:lastRowFirstColumn="0" w:lastRowLastColumn="0"/>
            </w:pPr>
            <w:r w:rsidRPr="00642A5D">
              <w:t>Fracture propagation extends to adjacent formations.</w:t>
            </w:r>
          </w:p>
        </w:tc>
      </w:tr>
      <w:tr w:rsidR="0044110D" w:rsidRPr="00642A5D" w14:paraId="410A4F7E" w14:textId="77777777" w:rsidTr="006800F3">
        <w:trPr>
          <w:trHeight w:val="340"/>
        </w:trPr>
        <w:tc>
          <w:tcPr>
            <w:cnfStyle w:val="001000000000" w:firstRow="0" w:lastRow="0" w:firstColumn="1" w:lastColumn="0" w:oddVBand="0" w:evenVBand="0" w:oddHBand="0" w:evenHBand="0" w:firstRowFirstColumn="0" w:firstRowLastColumn="0" w:lastRowFirstColumn="0" w:lastRowLastColumn="0"/>
            <w:tcW w:w="2301" w:type="dxa"/>
            <w:shd w:val="clear" w:color="auto" w:fill="auto"/>
          </w:tcPr>
          <w:p w14:paraId="6B0EEA7F" w14:textId="77777777" w:rsidR="0044110D" w:rsidRPr="00642A5D" w:rsidRDefault="0044110D" w:rsidP="00A73ABD">
            <w:pPr>
              <w:pStyle w:val="Tabletext"/>
            </w:pPr>
            <w:r w:rsidRPr="00642A5D">
              <w:t>Unacceptable contamination of adjacent good quality aquifers</w:t>
            </w:r>
          </w:p>
        </w:tc>
        <w:tc>
          <w:tcPr>
            <w:tcW w:w="2446" w:type="dxa"/>
            <w:shd w:val="clear" w:color="auto" w:fill="auto"/>
          </w:tcPr>
          <w:p w14:paraId="3646F210" w14:textId="77777777" w:rsidR="0044110D" w:rsidRPr="00642A5D" w:rsidRDefault="0044110D" w:rsidP="00A73ABD">
            <w:pPr>
              <w:pStyle w:val="Tabletext"/>
              <w:cnfStyle w:val="000000000000" w:firstRow="0" w:lastRow="0" w:firstColumn="0" w:lastColumn="0" w:oddVBand="0" w:evenVBand="0" w:oddHBand="0" w:evenHBand="0" w:firstRowFirstColumn="0" w:firstRowLastColumn="0" w:lastRowFirstColumn="0" w:lastRowLastColumn="0"/>
            </w:pPr>
            <w:r w:rsidRPr="00642A5D">
              <w:t>Substantial recovery of fracture stimulation fluids (FSF), and or use of inert FSF.</w:t>
            </w:r>
          </w:p>
        </w:tc>
        <w:tc>
          <w:tcPr>
            <w:tcW w:w="2446" w:type="dxa"/>
            <w:shd w:val="clear" w:color="auto" w:fill="auto"/>
          </w:tcPr>
          <w:p w14:paraId="5AC12741" w14:textId="1D47F24D" w:rsidR="0044110D" w:rsidRPr="00642A5D" w:rsidRDefault="0044110D" w:rsidP="00A73ABD">
            <w:pPr>
              <w:pStyle w:val="Tabletext"/>
              <w:cnfStyle w:val="000000000000" w:firstRow="0" w:lastRow="0" w:firstColumn="0" w:lastColumn="0" w:oddVBand="0" w:evenVBand="0" w:oddHBand="0" w:evenHBand="0" w:firstRowFirstColumn="0" w:firstRowLastColumn="0" w:lastRowFirstColumn="0" w:lastRowLastColumn="0"/>
            </w:pPr>
            <w:r w:rsidRPr="00642A5D">
              <w:t xml:space="preserve">Partial recovery of FSF, combined with fracture propagation within the </w:t>
            </w:r>
            <w:r w:rsidR="00932254">
              <w:t>prospective gas</w:t>
            </w:r>
            <w:r w:rsidRPr="00642A5D">
              <w:t xml:space="preserve"> formation.</w:t>
            </w:r>
          </w:p>
        </w:tc>
        <w:tc>
          <w:tcPr>
            <w:tcW w:w="2446" w:type="dxa"/>
            <w:shd w:val="clear" w:color="auto" w:fill="auto"/>
          </w:tcPr>
          <w:p w14:paraId="3F0BC17B" w14:textId="77777777" w:rsidR="0044110D" w:rsidRPr="00642A5D" w:rsidRDefault="0044110D" w:rsidP="00A73ABD">
            <w:pPr>
              <w:pStyle w:val="Tabletext"/>
              <w:cnfStyle w:val="000000000000" w:firstRow="0" w:lastRow="0" w:firstColumn="0" w:lastColumn="0" w:oddVBand="0" w:evenVBand="0" w:oddHBand="0" w:evenHBand="0" w:firstRowFirstColumn="0" w:firstRowLastColumn="0" w:lastRowFirstColumn="0" w:lastRowLastColumn="0"/>
            </w:pPr>
            <w:r w:rsidRPr="00642A5D">
              <w:t>No or poor recovery of FSF, combined with fracture propagation into adjacent formations.</w:t>
            </w:r>
          </w:p>
        </w:tc>
      </w:tr>
    </w:tbl>
    <w:p w14:paraId="43987D60" w14:textId="77777777" w:rsidR="0044110D" w:rsidRPr="00642A5D" w:rsidRDefault="0044110D">
      <w:pPr>
        <w:pStyle w:val="Para0bullet"/>
      </w:pPr>
    </w:p>
    <w:p w14:paraId="4C0E953B" w14:textId="66EAE59F" w:rsidR="000E020F" w:rsidRPr="00642A5D" w:rsidRDefault="00A73ABD" w:rsidP="00451A8E">
      <w:pPr>
        <w:pStyle w:val="Head3xxx"/>
      </w:pPr>
      <w:bookmarkStart w:id="538" w:name="_Toc420568712"/>
      <w:bookmarkStart w:id="539" w:name="_Toc420570294"/>
      <w:bookmarkStart w:id="540" w:name="_Toc420571490"/>
      <w:bookmarkStart w:id="541" w:name="_Toc420572128"/>
      <w:bookmarkStart w:id="542" w:name="_Toc296766986"/>
      <w:r>
        <w:t>4.7.1</w:t>
      </w:r>
      <w:r>
        <w:tab/>
      </w:r>
      <w:r w:rsidR="000E020F" w:rsidRPr="00642A5D">
        <w:t>Tight gas and shale gas</w:t>
      </w:r>
      <w:bookmarkEnd w:id="538"/>
      <w:bookmarkEnd w:id="539"/>
      <w:bookmarkEnd w:id="540"/>
      <w:bookmarkEnd w:id="541"/>
      <w:bookmarkEnd w:id="542"/>
      <w:r w:rsidR="000E020F" w:rsidRPr="00642A5D">
        <w:t xml:space="preserve"> </w:t>
      </w:r>
    </w:p>
    <w:p w14:paraId="667FCB9A" w14:textId="6F643F68" w:rsidR="0044110D" w:rsidRPr="00642A5D" w:rsidRDefault="0044110D" w:rsidP="00A35B08">
      <w:r w:rsidRPr="00642A5D">
        <w:t xml:space="preserve">Tight gas </w:t>
      </w:r>
      <w:r w:rsidR="00E73711" w:rsidRPr="00642A5D">
        <w:t>has</w:t>
      </w:r>
      <w:r w:rsidRPr="00642A5D">
        <w:t xml:space="preserve"> been identified at the </w:t>
      </w:r>
      <w:r w:rsidR="00902092" w:rsidRPr="00642A5D">
        <w:t>top</w:t>
      </w:r>
      <w:r w:rsidRPr="00642A5D">
        <w:t xml:space="preserve"> of the </w:t>
      </w:r>
      <w:r w:rsidR="00EA7676" w:rsidRPr="00642A5D">
        <w:t>Eumeralla</w:t>
      </w:r>
      <w:r w:rsidRPr="00642A5D">
        <w:t xml:space="preserve"> Formation</w:t>
      </w:r>
      <w:r w:rsidR="00902092" w:rsidRPr="00642A5D">
        <w:t xml:space="preserve"> in the Port Campbell Embayment by previous petroleum exploration. The formation is present in the areas between depths of around</w:t>
      </w:r>
      <w:r w:rsidRPr="00642A5D">
        <w:t xml:space="preserve"> 1300 to 3500 m</w:t>
      </w:r>
      <w:r w:rsidR="00E73711" w:rsidRPr="00642A5D">
        <w:t xml:space="preserve"> (</w:t>
      </w:r>
      <w:r w:rsidR="007E52AB" w:rsidRPr="00485339">
        <w:t>G</w:t>
      </w:r>
      <w:r w:rsidR="007E52AB">
        <w:t>oldie</w:t>
      </w:r>
      <w:r w:rsidR="007E52AB" w:rsidRPr="00485339">
        <w:t xml:space="preserve"> D</w:t>
      </w:r>
      <w:r w:rsidR="007E52AB">
        <w:t>ivko</w:t>
      </w:r>
      <w:r w:rsidR="007E52AB" w:rsidRPr="00485339">
        <w:t>, L. M., 2015</w:t>
      </w:r>
      <w:r w:rsidR="00E73711" w:rsidRPr="00642A5D">
        <w:t>)</w:t>
      </w:r>
      <w:r w:rsidRPr="00642A5D">
        <w:t xml:space="preserve">. The Lower Tertiary Aquifer is the </w:t>
      </w:r>
      <w:r w:rsidR="00C26CA1" w:rsidRPr="00642A5D">
        <w:t xml:space="preserve">closest </w:t>
      </w:r>
      <w:r w:rsidRPr="00642A5D">
        <w:t xml:space="preserve">groundwater </w:t>
      </w:r>
      <w:r w:rsidR="00C26CA1" w:rsidRPr="00642A5D">
        <w:t xml:space="preserve">resource </w:t>
      </w:r>
      <w:r w:rsidRPr="00642A5D">
        <w:t xml:space="preserve">to the </w:t>
      </w:r>
      <w:r w:rsidR="00EA7676" w:rsidRPr="00642A5D">
        <w:t>Eumeralla</w:t>
      </w:r>
      <w:r w:rsidRPr="00642A5D">
        <w:t xml:space="preserve"> Formation. The </w:t>
      </w:r>
      <w:r w:rsidR="00EA7676" w:rsidRPr="00642A5D">
        <w:t>Eumeralla</w:t>
      </w:r>
      <w:r w:rsidRPr="00642A5D">
        <w:t xml:space="preserve"> Formation is separated from the </w:t>
      </w:r>
      <w:r w:rsidR="00EA00B3" w:rsidRPr="00642A5D">
        <w:t>Lower Tertiary Aquifer</w:t>
      </w:r>
      <w:r w:rsidRPr="00642A5D">
        <w:t xml:space="preserve"> in the Port Campbell Embayment by the Sherbrook Group (excluding the Timboon Sandstone which comprises the lower most unit of the </w:t>
      </w:r>
      <w:r w:rsidR="00EA00B3" w:rsidRPr="00642A5D">
        <w:t>Lower Tertiary Aquifer</w:t>
      </w:r>
      <w:r w:rsidRPr="00642A5D">
        <w:t xml:space="preserve">) including the Waarre Formation, Flaxmans Formation, Belfast Mudstone and </w:t>
      </w:r>
      <w:r w:rsidR="002D4544" w:rsidRPr="00642A5D">
        <w:t>Paaratte</w:t>
      </w:r>
      <w:r w:rsidRPr="00642A5D">
        <w:t xml:space="preserve"> Formation. In the Port Campbell Embayment, these units constitute approximately 600 m of low permeability sandstones, mudstones and shales. </w:t>
      </w:r>
    </w:p>
    <w:p w14:paraId="4FB2C49C" w14:textId="20C9E57B" w:rsidR="0044110D" w:rsidRPr="00642A5D" w:rsidRDefault="0044110D">
      <w:r w:rsidRPr="00642A5D">
        <w:t xml:space="preserve">Shale gas </w:t>
      </w:r>
      <w:r w:rsidR="00932254">
        <w:t>prospect</w:t>
      </w:r>
      <w:r w:rsidRPr="00642A5D">
        <w:t xml:space="preserve">s have been identified in the Casterton Formation within the Penola Trough at depths of over 3500 m. Again, the </w:t>
      </w:r>
      <w:r w:rsidR="00F40E71" w:rsidRPr="00642A5D">
        <w:t>Lower Tertiary Aquifer</w:t>
      </w:r>
      <w:r w:rsidRPr="00642A5D">
        <w:t xml:space="preserve"> is the most proximal groundwater asset to the Casterton Formation in the Penola Tough. Here, the Casterton Formation is separated from the </w:t>
      </w:r>
      <w:r w:rsidR="00F40E71" w:rsidRPr="00642A5D">
        <w:t>Lower Tertiary Aquifer</w:t>
      </w:r>
      <w:r w:rsidRPr="00642A5D">
        <w:t xml:space="preserve"> by the Crayfish </w:t>
      </w:r>
      <w:r w:rsidR="00902092" w:rsidRPr="00642A5D">
        <w:t>Subg</w:t>
      </w:r>
      <w:r w:rsidRPr="00642A5D">
        <w:t xml:space="preserve">roup, the </w:t>
      </w:r>
      <w:r w:rsidR="00EA7676" w:rsidRPr="00642A5D">
        <w:t>Eumeralla</w:t>
      </w:r>
      <w:r w:rsidRPr="00642A5D">
        <w:t xml:space="preserve"> Formation and </w:t>
      </w:r>
      <w:r w:rsidR="00BB5931">
        <w:t xml:space="preserve">in some areas </w:t>
      </w:r>
      <w:r w:rsidRPr="00642A5D">
        <w:t xml:space="preserve">the Sherbrook Group (again excluding the Timboon Sandstone). This constitutes a variety of sandstones, mudstones and shales of predominantly low permeability which have been estimated at thicknesses of up to </w:t>
      </w:r>
      <w:r w:rsidR="00172DA2">
        <w:t>3000 m</w:t>
      </w:r>
      <w:r w:rsidRPr="00642A5D">
        <w:t xml:space="preserve"> in the southwest of the Penola Trough and approximately </w:t>
      </w:r>
      <w:r w:rsidR="00172DA2">
        <w:t>1500 m</w:t>
      </w:r>
      <w:r w:rsidRPr="00642A5D">
        <w:t xml:space="preserve"> in the northeast of the Trough (Boult and Hibburt, 2002).</w:t>
      </w:r>
    </w:p>
    <w:p w14:paraId="182D8392" w14:textId="5D8F0BAF" w:rsidR="0044110D" w:rsidRPr="00642A5D" w:rsidRDefault="0044110D">
      <w:r w:rsidRPr="00642A5D">
        <w:t xml:space="preserve">As indicated above, maximum vertical fracture propagation distances are less than 100 m in North America (Cook </w:t>
      </w:r>
      <w:r w:rsidR="0061023B" w:rsidRPr="0061023B">
        <w:t>et al.</w:t>
      </w:r>
      <w:r w:rsidRPr="00642A5D">
        <w:t xml:space="preserve">, 2013), and expected to be less than this in the </w:t>
      </w:r>
      <w:r w:rsidR="007C4916">
        <w:t>Otway region</w:t>
      </w:r>
      <w:r w:rsidRPr="00642A5D">
        <w:t xml:space="preserve">. With respect to tight gas development, a vertical fracture </w:t>
      </w:r>
      <w:r w:rsidR="00110DA7">
        <w:t>in</w:t>
      </w:r>
      <w:r w:rsidR="00110DA7" w:rsidRPr="00642A5D">
        <w:t xml:space="preserve"> </w:t>
      </w:r>
      <w:r w:rsidRPr="00642A5D">
        <w:t xml:space="preserve">the order of tens of metres would </w:t>
      </w:r>
      <w:r w:rsidR="00D14DBA" w:rsidRPr="00642A5D">
        <w:t>not reach within</w:t>
      </w:r>
      <w:r w:rsidRPr="00642A5D">
        <w:t xml:space="preserve"> 500 m </w:t>
      </w:r>
      <w:r w:rsidR="003D3FEB" w:rsidRPr="00642A5D">
        <w:t xml:space="preserve">of </w:t>
      </w:r>
      <w:r w:rsidRPr="00642A5D">
        <w:t xml:space="preserve">the nearest groundwater </w:t>
      </w:r>
      <w:r w:rsidR="003D3FEB" w:rsidRPr="00642A5D">
        <w:t xml:space="preserve">resource </w:t>
      </w:r>
      <w:r w:rsidRPr="00642A5D">
        <w:t xml:space="preserve">in the Port Campbell Embayment. </w:t>
      </w:r>
      <w:r w:rsidR="00F40E71" w:rsidRPr="00642A5D">
        <w:t>In the case of</w:t>
      </w:r>
      <w:r w:rsidRPr="00642A5D">
        <w:t xml:space="preserve"> shale gas, a vertical hydraulic fracture </w:t>
      </w:r>
      <w:r w:rsidR="00110DA7">
        <w:t>in</w:t>
      </w:r>
      <w:r w:rsidR="00110DA7" w:rsidRPr="00642A5D">
        <w:t xml:space="preserve"> </w:t>
      </w:r>
      <w:r w:rsidRPr="00642A5D">
        <w:t xml:space="preserve">the order of tens of metres would </w:t>
      </w:r>
      <w:r w:rsidR="00D14DBA" w:rsidRPr="00642A5D">
        <w:t>not reach within</w:t>
      </w:r>
      <w:r w:rsidRPr="00642A5D">
        <w:t xml:space="preserve"> </w:t>
      </w:r>
      <w:r w:rsidR="00172DA2">
        <w:t>1400</w:t>
      </w:r>
      <w:r w:rsidRPr="00642A5D">
        <w:t xml:space="preserve"> to</w:t>
      </w:r>
      <w:r w:rsidR="00172DA2">
        <w:t>2900 m</w:t>
      </w:r>
      <w:r w:rsidRPr="00642A5D">
        <w:t xml:space="preserve"> </w:t>
      </w:r>
      <w:r w:rsidR="003D3FEB" w:rsidRPr="00642A5D">
        <w:t xml:space="preserve">of </w:t>
      </w:r>
      <w:r w:rsidRPr="00642A5D">
        <w:t xml:space="preserve">the nearest groundwater </w:t>
      </w:r>
      <w:r w:rsidR="003D3FEB" w:rsidRPr="00642A5D">
        <w:t>resource</w:t>
      </w:r>
      <w:r w:rsidRPr="00642A5D">
        <w:t xml:space="preserve">. </w:t>
      </w:r>
    </w:p>
    <w:p w14:paraId="251D24EC" w14:textId="39ED6F2C" w:rsidR="0044110D" w:rsidRPr="00642A5D" w:rsidRDefault="00172DA2">
      <w:r>
        <w:t>U</w:t>
      </w:r>
      <w:r w:rsidR="0044110D" w:rsidRPr="00642A5D">
        <w:t>nder particular conditions vertical fracture</w:t>
      </w:r>
      <w:r>
        <w:t>s larger than</w:t>
      </w:r>
      <w:r w:rsidR="0044110D" w:rsidRPr="00642A5D">
        <w:t xml:space="preserve"> 100</w:t>
      </w:r>
      <w:r w:rsidR="00F40269" w:rsidRPr="00642A5D">
        <w:t> </w:t>
      </w:r>
      <w:r w:rsidR="0044110D" w:rsidRPr="00642A5D">
        <w:t>m have been recorded (e.g. Fisher and Warpinski</w:t>
      </w:r>
      <w:r w:rsidR="00BB5931">
        <w:t>,</w:t>
      </w:r>
      <w:r w:rsidR="0044110D" w:rsidRPr="00642A5D">
        <w:t xml:space="preserve"> 2011). </w:t>
      </w:r>
      <w:r>
        <w:t>Although</w:t>
      </w:r>
      <w:r w:rsidRPr="00642A5D">
        <w:t xml:space="preserve"> </w:t>
      </w:r>
      <w:r w:rsidR="0044110D" w:rsidRPr="00642A5D">
        <w:t xml:space="preserve">fractures of such distances cannot be </w:t>
      </w:r>
      <w:r>
        <w:t>discounted</w:t>
      </w:r>
      <w:r w:rsidR="0044110D" w:rsidRPr="00642A5D">
        <w:t xml:space="preserve">, it is possible to </w:t>
      </w:r>
      <w:r>
        <w:t>reduce</w:t>
      </w:r>
      <w:r w:rsidRPr="00642A5D">
        <w:t xml:space="preserve"> </w:t>
      </w:r>
      <w:r w:rsidR="0044110D" w:rsidRPr="00642A5D">
        <w:t>the</w:t>
      </w:r>
      <w:r>
        <w:t>ir</w:t>
      </w:r>
      <w:r w:rsidR="0044110D" w:rsidRPr="00642A5D">
        <w:t xml:space="preserve"> likelihood </w:t>
      </w:r>
      <w:r>
        <w:t>by</w:t>
      </w:r>
      <w:r w:rsidR="0044110D" w:rsidRPr="00642A5D">
        <w:t xml:space="preserve"> </w:t>
      </w:r>
      <w:r w:rsidR="00ED1CE4" w:rsidRPr="00642A5D">
        <w:t>mini-fracture test</w:t>
      </w:r>
      <w:r>
        <w:t>ing</w:t>
      </w:r>
      <w:r w:rsidR="0044110D" w:rsidRPr="00642A5D">
        <w:t>, fracture design</w:t>
      </w:r>
      <w:r>
        <w:t>,</w:t>
      </w:r>
      <w:r w:rsidR="0044110D" w:rsidRPr="00642A5D">
        <w:t xml:space="preserve"> and </w:t>
      </w:r>
      <w:r>
        <w:t xml:space="preserve">the </w:t>
      </w:r>
      <w:r w:rsidRPr="00642A5D">
        <w:t>implement</w:t>
      </w:r>
      <w:r>
        <w:t>ation of appropriate</w:t>
      </w:r>
      <w:r w:rsidRPr="00642A5D">
        <w:t xml:space="preserve"> </w:t>
      </w:r>
      <w:r w:rsidR="0044110D" w:rsidRPr="00642A5D">
        <w:t>operational procedures (Fisher and Warpinski</w:t>
      </w:r>
      <w:r w:rsidR="00BB5931">
        <w:t>,</w:t>
      </w:r>
      <w:r w:rsidR="0044110D" w:rsidRPr="00642A5D">
        <w:t xml:space="preserve"> 2011). </w:t>
      </w:r>
      <w:r>
        <w:t>I</w:t>
      </w:r>
      <w:r w:rsidR="0044110D" w:rsidRPr="00642A5D">
        <w:t xml:space="preserve">n the event of a fracture intersecting </w:t>
      </w:r>
      <w:r>
        <w:t xml:space="preserve">a </w:t>
      </w:r>
      <w:r w:rsidR="0044110D" w:rsidRPr="00642A5D">
        <w:t xml:space="preserve">zone of high permeability, </w:t>
      </w:r>
      <w:r>
        <w:t xml:space="preserve">the </w:t>
      </w:r>
      <w:r w:rsidR="0044110D" w:rsidRPr="00642A5D">
        <w:t xml:space="preserve">operator would be able to identify fluid leakage and cease operations. Furthermore, the likelihood of intersecting such zones can be reduced by fault/fracture mapping. </w:t>
      </w:r>
      <w:r w:rsidR="00ED1CE4" w:rsidRPr="00642A5D">
        <w:t>Consequently</w:t>
      </w:r>
      <w:r w:rsidR="0044110D" w:rsidRPr="00642A5D">
        <w:t xml:space="preserve">, contamination via the generation of fully penetrating fractures or the intersection between stimulated and pre-existing fractures </w:t>
      </w:r>
      <w:r w:rsidR="006800F3">
        <w:br/>
      </w:r>
      <w:r w:rsidR="0044110D" w:rsidRPr="00642A5D">
        <w:t xml:space="preserve">is unlikely. </w:t>
      </w:r>
    </w:p>
    <w:p w14:paraId="6A1E4401" w14:textId="355F1258" w:rsidR="000E020F" w:rsidRPr="00642A5D" w:rsidRDefault="0044110D">
      <w:r w:rsidRPr="00642A5D">
        <w:t>Based on the above, the overall risk of groundwater contamination or drawdown resulting from hydraulic fracturin</w:t>
      </w:r>
      <w:r w:rsidR="00932254">
        <w:t>g of shale and tight gas prospective formations</w:t>
      </w:r>
      <w:r w:rsidRPr="00642A5D">
        <w:t xml:space="preserve"> in the </w:t>
      </w:r>
      <w:r w:rsidR="007C4916">
        <w:t>Otway region</w:t>
      </w:r>
      <w:r w:rsidRPr="00642A5D">
        <w:t xml:space="preserve"> is </w:t>
      </w:r>
      <w:r w:rsidR="00A76D25">
        <w:t>l</w:t>
      </w:r>
      <w:r w:rsidRPr="00642A5D">
        <w:t>ow</w:t>
      </w:r>
      <w:r w:rsidR="000E020F" w:rsidRPr="00642A5D">
        <w:t xml:space="preserve">. </w:t>
      </w:r>
    </w:p>
    <w:p w14:paraId="2623C523" w14:textId="5C7802A4" w:rsidR="000E020F" w:rsidRPr="00642A5D" w:rsidRDefault="00A73ABD" w:rsidP="00451A8E">
      <w:pPr>
        <w:pStyle w:val="Head3xxx"/>
      </w:pPr>
      <w:bookmarkStart w:id="543" w:name="_Toc420568713"/>
      <w:bookmarkStart w:id="544" w:name="_Toc420570295"/>
      <w:bookmarkStart w:id="545" w:name="_Toc420571491"/>
      <w:bookmarkStart w:id="546" w:name="_Toc420572129"/>
      <w:bookmarkStart w:id="547" w:name="_Toc296766987"/>
      <w:r>
        <w:t>4.7.2</w:t>
      </w:r>
      <w:r>
        <w:tab/>
      </w:r>
      <w:r w:rsidR="000E020F" w:rsidRPr="00642A5D">
        <w:t>Coal seam gas</w:t>
      </w:r>
      <w:bookmarkEnd w:id="543"/>
      <w:bookmarkEnd w:id="544"/>
      <w:bookmarkEnd w:id="545"/>
      <w:bookmarkEnd w:id="546"/>
      <w:bookmarkEnd w:id="547"/>
      <w:r w:rsidR="000E020F" w:rsidRPr="00642A5D">
        <w:t xml:space="preserve"> </w:t>
      </w:r>
    </w:p>
    <w:p w14:paraId="454EA356" w14:textId="3D29BA55" w:rsidR="004874D1" w:rsidRPr="00642A5D" w:rsidRDefault="004874D1">
      <w:r w:rsidRPr="00642A5D">
        <w:t xml:space="preserve">Coal seam gas </w:t>
      </w:r>
      <w:r w:rsidR="00172DA2" w:rsidRPr="00642A5D">
        <w:t>prospectiv</w:t>
      </w:r>
      <w:r w:rsidR="00172DA2">
        <w:t>it</w:t>
      </w:r>
      <w:r w:rsidR="00172DA2" w:rsidRPr="00642A5D">
        <w:t xml:space="preserve">y </w:t>
      </w:r>
      <w:r w:rsidRPr="00642A5D">
        <w:t xml:space="preserve">is limited to where the base of the Eumeralla Formation is relatively shallow (at depths of approximately </w:t>
      </w:r>
      <w:r w:rsidR="00B70719">
        <w:t>6</w:t>
      </w:r>
      <w:r w:rsidRPr="00642A5D">
        <w:t>00 m</w:t>
      </w:r>
      <w:r w:rsidR="00172DA2">
        <w:t xml:space="preserve"> or more</w:t>
      </w:r>
      <w:r w:rsidRPr="00642A5D">
        <w:t xml:space="preserve">). </w:t>
      </w:r>
      <w:r w:rsidR="00172DA2">
        <w:t>Although</w:t>
      </w:r>
      <w:r w:rsidRPr="00642A5D">
        <w:t xml:space="preserve"> the Lower Tertiary Aquifer </w:t>
      </w:r>
      <w:r w:rsidR="00ED1CE4" w:rsidRPr="00642A5D">
        <w:t xml:space="preserve">(LTA) </w:t>
      </w:r>
      <w:r w:rsidRPr="00642A5D">
        <w:t xml:space="preserve">is </w:t>
      </w:r>
      <w:r w:rsidR="00A76D25">
        <w:t>t</w:t>
      </w:r>
      <w:r w:rsidRPr="00642A5D">
        <w:t xml:space="preserve">he </w:t>
      </w:r>
      <w:r w:rsidR="003D3FEB" w:rsidRPr="00642A5D">
        <w:t>closest</w:t>
      </w:r>
      <w:r w:rsidRPr="00642A5D">
        <w:t xml:space="preserve"> groundwater </w:t>
      </w:r>
      <w:r w:rsidR="003D3FEB" w:rsidRPr="00642A5D">
        <w:t>resource</w:t>
      </w:r>
      <w:r w:rsidRPr="00642A5D">
        <w:t xml:space="preserve"> to the Eumer</w:t>
      </w:r>
      <w:r w:rsidR="00EA7676" w:rsidRPr="00642A5D">
        <w:t>a</w:t>
      </w:r>
      <w:r w:rsidRPr="00642A5D">
        <w:t>lla Formation</w:t>
      </w:r>
      <w:r w:rsidR="00172DA2">
        <w:t>, it is</w:t>
      </w:r>
      <w:r w:rsidRPr="00642A5D">
        <w:t xml:space="preserve"> absent or yields low</w:t>
      </w:r>
      <w:r w:rsidR="00172DA2">
        <w:t>-</w:t>
      </w:r>
      <w:r w:rsidRPr="00642A5D">
        <w:t>quality ground</w:t>
      </w:r>
      <w:r w:rsidR="00932254">
        <w:t xml:space="preserve">water near </w:t>
      </w:r>
      <w:r w:rsidR="00A65062">
        <w:t>prospective</w:t>
      </w:r>
      <w:r w:rsidR="00172DA2">
        <w:t xml:space="preserve"> </w:t>
      </w:r>
      <w:r w:rsidR="00932254">
        <w:t>coal seam gas formations</w:t>
      </w:r>
      <w:r w:rsidRPr="00642A5D">
        <w:t xml:space="preserve"> surrounding Lake Corangamite, Lake Colac and to the northeast of Port Fairy. Additionally, the </w:t>
      </w:r>
      <w:r w:rsidR="00172DA2">
        <w:t>over</w:t>
      </w:r>
      <w:r w:rsidRPr="00642A5D">
        <w:t xml:space="preserve">lying </w:t>
      </w:r>
      <w:r w:rsidR="00ED1CE4" w:rsidRPr="00642A5D">
        <w:t>Upper Mid-Tertiary Aquifer (</w:t>
      </w:r>
      <w:r w:rsidRPr="00642A5D">
        <w:t>UMTA</w:t>
      </w:r>
      <w:r w:rsidR="00ED1CE4" w:rsidRPr="00642A5D">
        <w:t>)</w:t>
      </w:r>
      <w:r w:rsidRPr="00642A5D">
        <w:t xml:space="preserve"> is also generally absent in these areas</w:t>
      </w:r>
      <w:r w:rsidR="00172DA2">
        <w:t>,</w:t>
      </w:r>
      <w:r w:rsidRPr="00642A5D">
        <w:t xml:space="preserve"> </w:t>
      </w:r>
      <w:r w:rsidR="00172DA2">
        <w:t>so that</w:t>
      </w:r>
      <w:r w:rsidRPr="00642A5D">
        <w:t xml:space="preserve"> surface aquifers are generally the </w:t>
      </w:r>
      <w:r w:rsidR="003D3FEB" w:rsidRPr="00642A5D">
        <w:t>closest</w:t>
      </w:r>
      <w:r w:rsidRPr="00642A5D">
        <w:t xml:space="preserve"> groundwater </w:t>
      </w:r>
      <w:r w:rsidR="003D3FEB" w:rsidRPr="00642A5D">
        <w:t>resource</w:t>
      </w:r>
      <w:r w:rsidRPr="00642A5D">
        <w:t>.</w:t>
      </w:r>
    </w:p>
    <w:p w14:paraId="74DCE8FD" w14:textId="35115B23" w:rsidR="004874D1" w:rsidRPr="00642A5D" w:rsidRDefault="004874D1">
      <w:r w:rsidRPr="00642A5D">
        <w:t xml:space="preserve">As the upper aquifers are within the upper 100 m of the stratigraphic column (SRW, 2011), </w:t>
      </w:r>
      <w:r w:rsidR="00EA7676" w:rsidRPr="00642A5D">
        <w:t xml:space="preserve">potential </w:t>
      </w:r>
      <w:r w:rsidR="00ED1CE4" w:rsidRPr="00642A5D">
        <w:t>natural gas</w:t>
      </w:r>
      <w:r w:rsidR="00EA7676" w:rsidRPr="00642A5D">
        <w:t>-bearing formations</w:t>
      </w:r>
      <w:r w:rsidR="00ED1CE4" w:rsidRPr="00642A5D">
        <w:t xml:space="preserve"> </w:t>
      </w:r>
      <w:r w:rsidRPr="00642A5D">
        <w:t xml:space="preserve">at greater than </w:t>
      </w:r>
      <w:r w:rsidR="00B70719">
        <w:t>6</w:t>
      </w:r>
      <w:r w:rsidRPr="00642A5D">
        <w:t xml:space="preserve">00 m depth will be separated by approximately </w:t>
      </w:r>
      <w:r w:rsidR="00B70719">
        <w:t>5</w:t>
      </w:r>
      <w:r w:rsidRPr="00642A5D">
        <w:t xml:space="preserve">00 m of variably distributed sandstones, mudstones, marls and limestones which constitute alternating layers of higher and lower permeability. In this setting, maximum vertical fracture propagation distances of tens of metres would </w:t>
      </w:r>
      <w:r w:rsidR="00E86D90" w:rsidRPr="00642A5D">
        <w:t>not be closer than</w:t>
      </w:r>
      <w:r w:rsidRPr="00642A5D">
        <w:t xml:space="preserve"> 500 m from the nearest groundwater </w:t>
      </w:r>
      <w:r w:rsidR="003D3FEB" w:rsidRPr="00642A5D">
        <w:t>resource</w:t>
      </w:r>
      <w:r w:rsidRPr="00642A5D">
        <w:t>. Accordingly, it remains unlikely that highly permeable pathways of over 500 m w</w:t>
      </w:r>
      <w:r w:rsidR="00EA7676" w:rsidRPr="00642A5D">
        <w:t>ould</w:t>
      </w:r>
      <w:r w:rsidRPr="00642A5D">
        <w:t xml:space="preserve"> exist between</w:t>
      </w:r>
      <w:r w:rsidR="00B70719">
        <w:t xml:space="preserve"> </w:t>
      </w:r>
      <w:r w:rsidR="00932254">
        <w:t>the prospective gas formations</w:t>
      </w:r>
      <w:r w:rsidRPr="00642A5D">
        <w:t xml:space="preserve"> and upper aquifers in this setting and </w:t>
      </w:r>
      <w:r w:rsidR="00172DA2">
        <w:t>thus</w:t>
      </w:r>
      <w:r w:rsidRPr="00642A5D">
        <w:t xml:space="preserve"> the overall risk from hydraulic fracturing is low.</w:t>
      </w:r>
    </w:p>
    <w:p w14:paraId="70B5E89D" w14:textId="75E22E25" w:rsidR="00B612CA" w:rsidRDefault="004874D1">
      <w:r w:rsidRPr="00642A5D">
        <w:t xml:space="preserve">For the remaining </w:t>
      </w:r>
      <w:r w:rsidR="00932254">
        <w:t xml:space="preserve">prospective </w:t>
      </w:r>
      <w:r w:rsidRPr="00642A5D">
        <w:t xml:space="preserve">coal seam gas </w:t>
      </w:r>
      <w:r w:rsidR="00B612CA">
        <w:t>areas</w:t>
      </w:r>
      <w:r w:rsidRPr="00642A5D">
        <w:t xml:space="preserve"> </w:t>
      </w:r>
      <w:r w:rsidR="00B612CA">
        <w:t>there is a minimum of approximately 300 m of low</w:t>
      </w:r>
      <w:r w:rsidR="00172DA2">
        <w:t>-</w:t>
      </w:r>
      <w:r w:rsidR="00B612CA">
        <w:t xml:space="preserve">permeability Eurmeralla </w:t>
      </w:r>
      <w:r w:rsidR="00B612CA" w:rsidRPr="00642A5D">
        <w:t>Formation</w:t>
      </w:r>
      <w:r w:rsidR="00B612CA">
        <w:t xml:space="preserve"> between the top of the prospective coal seam gas resource (the Killara coal measures) and the </w:t>
      </w:r>
      <w:r w:rsidR="00D96D0B">
        <w:t>lowermost aquifer</w:t>
      </w:r>
      <w:r w:rsidR="008573A4">
        <w:t xml:space="preserve">. </w:t>
      </w:r>
      <w:r w:rsidR="00B612CA">
        <w:t>I</w:t>
      </w:r>
      <w:r w:rsidR="00B612CA" w:rsidRPr="00642A5D">
        <w:t xml:space="preserve">t </w:t>
      </w:r>
      <w:r w:rsidR="00B612CA">
        <w:t xml:space="preserve">is </w:t>
      </w:r>
      <w:r w:rsidR="00B612CA" w:rsidRPr="00642A5D">
        <w:t xml:space="preserve">unlikely that highly permeable pathways of over </w:t>
      </w:r>
      <w:r w:rsidR="00B612CA">
        <w:t>3</w:t>
      </w:r>
      <w:r w:rsidR="00B612CA" w:rsidRPr="00642A5D">
        <w:t>00 m would exist between</w:t>
      </w:r>
      <w:r w:rsidR="00B612CA">
        <w:t xml:space="preserve"> the prospective gas formations</w:t>
      </w:r>
      <w:r w:rsidR="00B612CA" w:rsidRPr="00642A5D">
        <w:t xml:space="preserve"> and </w:t>
      </w:r>
      <w:r w:rsidR="00D96D0B">
        <w:t>lowermost aquifer</w:t>
      </w:r>
      <w:r w:rsidR="00B612CA" w:rsidRPr="00642A5D">
        <w:t xml:space="preserve"> in this setting and as such, the overall risk from hydraulic fracturing is low.</w:t>
      </w:r>
    </w:p>
    <w:p w14:paraId="7B797AB1" w14:textId="36C48338" w:rsidR="000E020F" w:rsidRPr="00642A5D" w:rsidRDefault="004874D1" w:rsidP="00A35B08">
      <w:r w:rsidRPr="00642A5D">
        <w:t>Key factors to be determined for a site</w:t>
      </w:r>
      <w:r w:rsidR="00172DA2">
        <w:t>-</w:t>
      </w:r>
      <w:r w:rsidRPr="00642A5D">
        <w:t xml:space="preserve">specific risk assessment </w:t>
      </w:r>
      <w:r w:rsidR="00EA7676" w:rsidRPr="00642A5D">
        <w:t>would be</w:t>
      </w:r>
      <w:r w:rsidRPr="00642A5D">
        <w:t xml:space="preserve"> the thickness of the units separati</w:t>
      </w:r>
      <w:r w:rsidR="003E468A">
        <w:t xml:space="preserve">ng the prospective </w:t>
      </w:r>
      <w:r w:rsidRPr="00642A5D">
        <w:t>formations and groundwater assets, their specific permeabilities, stress regimes in the ba</w:t>
      </w:r>
      <w:r w:rsidR="00932254">
        <w:t>sin</w:t>
      </w:r>
      <w:r w:rsidR="00172DA2">
        <w:t>,</w:t>
      </w:r>
      <w:r w:rsidR="00932254">
        <w:t xml:space="preserve"> and the proximity of prospective gas formations</w:t>
      </w:r>
      <w:r w:rsidRPr="00642A5D">
        <w:t xml:space="preserve"> to existing faults </w:t>
      </w:r>
      <w:r w:rsidR="00172DA2">
        <w:t>that might</w:t>
      </w:r>
      <w:r w:rsidRPr="00642A5D">
        <w:t xml:space="preserve"> provide high</w:t>
      </w:r>
      <w:r w:rsidR="00172DA2">
        <w:t>-</w:t>
      </w:r>
      <w:r w:rsidRPr="00642A5D">
        <w:t>permeability pathways</w:t>
      </w:r>
      <w:r w:rsidR="000E020F" w:rsidRPr="00642A5D">
        <w:t>.</w:t>
      </w:r>
    </w:p>
    <w:p w14:paraId="7E64C9BD" w14:textId="77777777" w:rsidR="00451A8E" w:rsidRPr="00642A5D" w:rsidRDefault="00451A8E"/>
    <w:p w14:paraId="7B9C5829" w14:textId="77777777" w:rsidR="00451A8E" w:rsidRPr="00642A5D" w:rsidRDefault="00451A8E">
      <w:pPr>
        <w:rPr>
          <w:rFonts w:cs="Arial"/>
          <w:color w:val="005A97" w:themeColor="text1"/>
          <w:sz w:val="52"/>
          <w:szCs w:val="48"/>
          <w:lang w:val="en-US" w:eastAsia="en-US"/>
        </w:rPr>
      </w:pPr>
      <w:bookmarkStart w:id="548" w:name="_Ref406510694"/>
      <w:bookmarkStart w:id="549" w:name="_Ref406514316"/>
      <w:r w:rsidRPr="00642A5D">
        <w:br w:type="page"/>
      </w:r>
    </w:p>
    <w:p w14:paraId="37EF0A84" w14:textId="7524EBFE" w:rsidR="00A76DC9" w:rsidRPr="00642A5D" w:rsidRDefault="005707ED" w:rsidP="00F60E96">
      <w:pPr>
        <w:pStyle w:val="Head1x"/>
      </w:pPr>
      <w:bookmarkStart w:id="550" w:name="_Toc420568714"/>
      <w:bookmarkStart w:id="551" w:name="_Toc420570296"/>
      <w:bookmarkStart w:id="552" w:name="_Toc420571492"/>
      <w:bookmarkStart w:id="553" w:name="_Toc420572130"/>
      <w:bookmarkStart w:id="554" w:name="_Toc296766988"/>
      <w:bookmarkStart w:id="555" w:name="_Toc422927912"/>
      <w:r>
        <w:t>5</w:t>
      </w:r>
      <w:r>
        <w:tab/>
      </w:r>
      <w:r w:rsidR="00F60E96" w:rsidRPr="00642A5D">
        <w:t>I</w:t>
      </w:r>
      <w:r w:rsidR="00A76DC9" w:rsidRPr="00642A5D">
        <w:t>nduced seismicity</w:t>
      </w:r>
      <w:bookmarkEnd w:id="548"/>
      <w:bookmarkEnd w:id="549"/>
      <w:r w:rsidR="0044128F">
        <w:t xml:space="preserve"> risk assessment</w:t>
      </w:r>
      <w:bookmarkEnd w:id="550"/>
      <w:bookmarkEnd w:id="551"/>
      <w:bookmarkEnd w:id="552"/>
      <w:bookmarkEnd w:id="553"/>
      <w:bookmarkEnd w:id="554"/>
      <w:bookmarkEnd w:id="555"/>
    </w:p>
    <w:p w14:paraId="687339E6" w14:textId="079010F1" w:rsidR="00A76DC9" w:rsidRPr="00642A5D" w:rsidRDefault="00A76DC9">
      <w:pPr>
        <w:rPr>
          <w:lang w:val="en-AU" w:eastAsia="en-US"/>
        </w:rPr>
      </w:pPr>
      <w:r w:rsidRPr="00642A5D">
        <w:rPr>
          <w:lang w:val="en-AU" w:eastAsia="en-US"/>
        </w:rPr>
        <w:t xml:space="preserve">This </w:t>
      </w:r>
      <w:r w:rsidR="00FD53FF">
        <w:rPr>
          <w:lang w:val="en-AU" w:eastAsia="en-US"/>
        </w:rPr>
        <w:t>chapter</w:t>
      </w:r>
      <w:r w:rsidRPr="00642A5D">
        <w:rPr>
          <w:lang w:val="en-AU" w:eastAsia="en-US"/>
        </w:rPr>
        <w:t xml:space="preserve"> outlines the risk assessment on induced seismicity informed by a literature review.</w:t>
      </w:r>
    </w:p>
    <w:p w14:paraId="2781257E" w14:textId="247E73AC" w:rsidR="00EF340F" w:rsidRPr="00642A5D" w:rsidRDefault="005707ED" w:rsidP="00F60E96">
      <w:pPr>
        <w:pStyle w:val="Head2xx"/>
      </w:pPr>
      <w:bookmarkStart w:id="556" w:name="_Toc420568715"/>
      <w:bookmarkStart w:id="557" w:name="_Toc420570297"/>
      <w:bookmarkStart w:id="558" w:name="_Toc420571493"/>
      <w:bookmarkStart w:id="559" w:name="_Toc420572131"/>
      <w:bookmarkStart w:id="560" w:name="_Toc296766989"/>
      <w:bookmarkStart w:id="561" w:name="_Toc422927913"/>
      <w:r>
        <w:t>5.1</w:t>
      </w:r>
      <w:r>
        <w:tab/>
      </w:r>
      <w:r w:rsidR="0084774F" w:rsidRPr="00642A5D">
        <w:t>Seismicity</w:t>
      </w:r>
      <w:bookmarkEnd w:id="556"/>
      <w:bookmarkEnd w:id="557"/>
      <w:bookmarkEnd w:id="558"/>
      <w:bookmarkEnd w:id="559"/>
      <w:bookmarkEnd w:id="560"/>
      <w:bookmarkEnd w:id="561"/>
    </w:p>
    <w:p w14:paraId="20880CB2" w14:textId="6A2B176B" w:rsidR="00E84339" w:rsidRPr="00642A5D" w:rsidRDefault="00EF340F">
      <w:r w:rsidRPr="00642A5D">
        <w:t>S</w:t>
      </w:r>
      <w:r w:rsidR="00E84339" w:rsidRPr="00642A5D">
        <w:t>eismic events or seismicity, refer to natural events which release energy in the Earth's crust due to tectonic processes such as faulting.</w:t>
      </w:r>
      <w:r w:rsidR="009A72C5">
        <w:t xml:space="preserve"> </w:t>
      </w:r>
      <w:r w:rsidR="00E84339" w:rsidRPr="00642A5D">
        <w:t xml:space="preserve">This produces </w:t>
      </w:r>
      <w:r w:rsidR="007F223C">
        <w:t xml:space="preserve">seismic </w:t>
      </w:r>
      <w:r w:rsidR="00E84339" w:rsidRPr="00642A5D">
        <w:t>wave energy which travels through the crust producing earthquakes (</w:t>
      </w:r>
      <w:r w:rsidR="007F223C" w:rsidRPr="00642A5D">
        <w:t>G</w:t>
      </w:r>
      <w:r w:rsidR="007F223C">
        <w:t>eosciences Australia</w:t>
      </w:r>
      <w:r w:rsidR="00E84339" w:rsidRPr="00642A5D">
        <w:t>, 2014). The motions of the earth’s crust during such an event are recorded by seismometers and used to determine the size and location of seismic events. The amount of energy released during an episode is related to the crustal material, movement in the crust and the area over which the movement has occurred.</w:t>
      </w:r>
    </w:p>
    <w:p w14:paraId="1E5BCBCD" w14:textId="10BB9F9A" w:rsidR="00E84339" w:rsidRPr="00642A5D" w:rsidRDefault="003E468A">
      <w:r>
        <w:t>These features are</w:t>
      </w:r>
      <w:r w:rsidR="00E84339" w:rsidRPr="00642A5D">
        <w:t xml:space="preserve"> commonly reported by using either the moment of magnitude (MW) scale (Hanks and Kanamori, 1979) or Richter (M</w:t>
      </w:r>
      <w:r w:rsidR="00E84339" w:rsidRPr="00642A5D">
        <w:rPr>
          <w:vertAlign w:val="subscript"/>
        </w:rPr>
        <w:t>L</w:t>
      </w:r>
      <w:r w:rsidR="00E84339" w:rsidRPr="00642A5D">
        <w:t>) scale (Richter, 1935). The Richter scale was designed for measuring earthquakes ranging in magnitude from 3 to 7. As such, Richter's original methodology is not always used as it does not give reliable results when applied to M</w:t>
      </w:r>
      <w:r w:rsidR="0087501D" w:rsidRPr="00642A5D">
        <w:rPr>
          <w:vertAlign w:val="subscript"/>
        </w:rPr>
        <w:t>L</w:t>
      </w:r>
      <w:r w:rsidR="00E84339" w:rsidRPr="00642A5D">
        <w:t xml:space="preserve"> &gt; 7 earthquakes, and it was not designed to use data from earthquakes recorded at epicentral distances greater than ~ 600 km. The two scales are approximately equal for medium scale earthquakes (i.e. MW is approximately equal to M</w:t>
      </w:r>
      <w:r w:rsidR="00E84339" w:rsidRPr="00642A5D">
        <w:rPr>
          <w:vertAlign w:val="subscript"/>
        </w:rPr>
        <w:t>L</w:t>
      </w:r>
      <w:r w:rsidR="00E84339" w:rsidRPr="00642A5D">
        <w:t xml:space="preserve"> when MW is approximately 5) and in fact, most methods for measuring earthquakes are based on Richter’s method.</w:t>
      </w:r>
    </w:p>
    <w:p w14:paraId="42A647B9" w14:textId="40D1C8AC" w:rsidR="00E84339" w:rsidRDefault="00E84339">
      <w:r w:rsidRPr="00642A5D">
        <w:t xml:space="preserve">The United States Geological Survey estimates that several million earthquakes occur in the world each year (USGS, 2014). However, it is likely that </w:t>
      </w:r>
      <w:r w:rsidR="006B6F9F" w:rsidRPr="00642A5D">
        <w:t xml:space="preserve">most of these </w:t>
      </w:r>
      <w:r w:rsidRPr="00642A5D">
        <w:t>go undetected because they are located in remote areas away from seismometers or are very small in magnitude. The National Earthquake Information Centre record approximately 50 earthquakes each day, or about 20,000 a year (</w:t>
      </w:r>
      <w:r w:rsidR="00326B19" w:rsidRPr="00642A5D">
        <w:fldChar w:fldCharType="begin"/>
      </w:r>
      <w:r w:rsidR="00326B19" w:rsidRPr="00642A5D">
        <w:instrText xml:space="preserve"> REF _Ref405900086 \h  \* MERGEFORMAT </w:instrText>
      </w:r>
      <w:r w:rsidR="00326B19" w:rsidRPr="00642A5D">
        <w:fldChar w:fldCharType="separate"/>
      </w:r>
      <w:r w:rsidR="00171A5E" w:rsidRPr="00642A5D">
        <w:t xml:space="preserve">Figure </w:t>
      </w:r>
      <w:r w:rsidR="00171A5E">
        <w:t>46</w:t>
      </w:r>
      <w:r w:rsidR="00326B19" w:rsidRPr="00642A5D">
        <w:fldChar w:fldCharType="end"/>
      </w:r>
      <w:r w:rsidRPr="00642A5D">
        <w:t xml:space="preserve">). Earthquakes of a magnitude of 3.4 </w:t>
      </w:r>
      <w:r w:rsidR="006B6F9F" w:rsidRPr="00642A5D">
        <w:t>M</w:t>
      </w:r>
      <w:r w:rsidR="006B6F9F" w:rsidRPr="00642A5D">
        <w:rPr>
          <w:vertAlign w:val="subscript"/>
        </w:rPr>
        <w:t>L</w:t>
      </w:r>
      <w:r w:rsidR="006B6F9F" w:rsidRPr="00642A5D">
        <w:t xml:space="preserve"> </w:t>
      </w:r>
      <w:r w:rsidRPr="00642A5D">
        <w:t>or low</w:t>
      </w:r>
      <w:r w:rsidR="003E468A">
        <w:t xml:space="preserve">er are not felt and are measurable </w:t>
      </w:r>
      <w:r w:rsidRPr="00642A5D">
        <w:t>by seismographs, although exceptions to this may occur if a person is close to the epicentre (Middelmann, 2007).</w:t>
      </w:r>
      <w:r w:rsidR="009A72C5">
        <w:t xml:space="preserve"> </w:t>
      </w:r>
      <w:r w:rsidRPr="00642A5D">
        <w:t xml:space="preserve">A summary of the likely consequences resulting from earthquake magnitude has been summarised in </w:t>
      </w:r>
      <w:r w:rsidR="00326B19" w:rsidRPr="00642A5D">
        <w:fldChar w:fldCharType="begin"/>
      </w:r>
      <w:r w:rsidR="00326B19" w:rsidRPr="00642A5D">
        <w:instrText xml:space="preserve"> REF _Ref405987009 \h  \* MERGEFORMAT </w:instrText>
      </w:r>
      <w:r w:rsidR="00326B19" w:rsidRPr="00642A5D">
        <w:fldChar w:fldCharType="separate"/>
      </w:r>
      <w:r w:rsidR="00171A5E" w:rsidRPr="00642A5D">
        <w:t xml:space="preserve">Figure </w:t>
      </w:r>
      <w:r w:rsidR="00171A5E">
        <w:t>47</w:t>
      </w:r>
      <w:r w:rsidR="00326B19" w:rsidRPr="00642A5D">
        <w:fldChar w:fldCharType="end"/>
      </w:r>
      <w:r w:rsidRPr="00642A5D">
        <w:t>.</w:t>
      </w:r>
    </w:p>
    <w:p w14:paraId="1EC423F2" w14:textId="77777777" w:rsidR="007F223C" w:rsidRPr="00642A5D" w:rsidRDefault="007F223C"/>
    <w:p w14:paraId="001A4C4B" w14:textId="77777777" w:rsidR="00EF340F" w:rsidRPr="00642A5D" w:rsidRDefault="00451A8E" w:rsidP="007C766C">
      <w:pPr>
        <w:pStyle w:val="figurereturn"/>
      </w:pPr>
      <w:r w:rsidRPr="00642A5D">
        <w:drawing>
          <wp:inline distT="0" distB="0" distL="0" distR="0" wp14:anchorId="20ADD051" wp14:editId="542C60F4">
            <wp:extent cx="5943600" cy="2800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943600" cy="2800350"/>
                    </a:xfrm>
                    <a:prstGeom prst="rect">
                      <a:avLst/>
                    </a:prstGeom>
                    <a:noFill/>
                    <a:ln>
                      <a:noFill/>
                    </a:ln>
                  </pic:spPr>
                </pic:pic>
              </a:graphicData>
            </a:graphic>
          </wp:inline>
        </w:drawing>
      </w:r>
    </w:p>
    <w:p w14:paraId="0BED82AF" w14:textId="4B0C3FC8" w:rsidR="00EF340F" w:rsidRPr="00642A5D" w:rsidRDefault="00EF340F" w:rsidP="00A53AE8">
      <w:pPr>
        <w:pStyle w:val="Figuretitle"/>
      </w:pPr>
      <w:bookmarkStart w:id="562" w:name="_Ref405900086"/>
      <w:bookmarkStart w:id="563" w:name="_Toc422928817"/>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46</w:t>
      </w:r>
      <w:r w:rsidR="007569CD" w:rsidRPr="00642A5D">
        <w:fldChar w:fldCharType="end"/>
      </w:r>
      <w:bookmarkEnd w:id="562"/>
      <w:r w:rsidR="008B076F">
        <w:t>:</w:t>
      </w:r>
      <w:r w:rsidRPr="00642A5D">
        <w:t xml:space="preserve"> </w:t>
      </w:r>
      <w:r w:rsidR="007F223C">
        <w:t xml:space="preserve"> </w:t>
      </w:r>
      <w:r w:rsidRPr="00642A5D">
        <w:t>Number and magnitude of earthquakes recorded from 2000 to 2012 worl</w:t>
      </w:r>
      <w:r w:rsidR="008F369D">
        <w:t>dwide and in the US</w:t>
      </w:r>
      <w:r w:rsidR="007F223C">
        <w:t>A.</w:t>
      </w:r>
      <w:r w:rsidR="008F369D">
        <w:t xml:space="preserve"> (</w:t>
      </w:r>
      <w:r w:rsidR="007F223C">
        <w:t>S</w:t>
      </w:r>
      <w:r w:rsidR="008F369D">
        <w:t xml:space="preserve">ource: </w:t>
      </w:r>
      <w:r w:rsidRPr="00642A5D">
        <w:t>USGS, 2014</w:t>
      </w:r>
      <w:r w:rsidR="007F223C">
        <w:t>.</w:t>
      </w:r>
      <w:r w:rsidRPr="00642A5D">
        <w:t>)</w:t>
      </w:r>
      <w:bookmarkEnd w:id="563"/>
      <w:r w:rsidRPr="00642A5D">
        <w:t xml:space="preserve"> </w:t>
      </w:r>
    </w:p>
    <w:p w14:paraId="76684027" w14:textId="77777777" w:rsidR="00EF340F" w:rsidRPr="006800F3" w:rsidRDefault="00EF340F" w:rsidP="006800F3">
      <w:pPr>
        <w:pStyle w:val="figurereturn"/>
      </w:pPr>
      <w:r w:rsidRPr="00642A5D">
        <w:drawing>
          <wp:inline distT="0" distB="0" distL="0" distR="0" wp14:anchorId="5037C41D" wp14:editId="459060E2">
            <wp:extent cx="5020733" cy="2709954"/>
            <wp:effectExtent l="0" t="0" r="889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5029255" cy="2714554"/>
                    </a:xfrm>
                    <a:prstGeom prst="rect">
                      <a:avLst/>
                    </a:prstGeom>
                  </pic:spPr>
                </pic:pic>
              </a:graphicData>
            </a:graphic>
          </wp:inline>
        </w:drawing>
      </w:r>
    </w:p>
    <w:p w14:paraId="1872133E" w14:textId="2FF7B892" w:rsidR="00EF340F" w:rsidRPr="00642A5D" w:rsidRDefault="00EF340F" w:rsidP="00A53AE8">
      <w:pPr>
        <w:pStyle w:val="Figuretitle"/>
      </w:pPr>
      <w:bookmarkStart w:id="564" w:name="_Ref405987009"/>
      <w:bookmarkStart w:id="565" w:name="_Toc422928818"/>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47</w:t>
      </w:r>
      <w:r w:rsidR="007569CD" w:rsidRPr="00642A5D">
        <w:fldChar w:fldCharType="end"/>
      </w:r>
      <w:bookmarkEnd w:id="564"/>
      <w:r w:rsidR="008B076F">
        <w:t>:</w:t>
      </w:r>
      <w:r w:rsidRPr="00642A5D">
        <w:t xml:space="preserve"> </w:t>
      </w:r>
      <w:r w:rsidR="005707ED">
        <w:t xml:space="preserve"> </w:t>
      </w:r>
      <w:r w:rsidRPr="00642A5D">
        <w:t>Earthquake magnitude and typical effect</w:t>
      </w:r>
      <w:r w:rsidR="005707ED">
        <w:t>.</w:t>
      </w:r>
      <w:r w:rsidRPr="00642A5D">
        <w:t xml:space="preserve"> (</w:t>
      </w:r>
      <w:r w:rsidR="005707ED">
        <w:t>S</w:t>
      </w:r>
      <w:r w:rsidR="008F369D">
        <w:t xml:space="preserve">ource: </w:t>
      </w:r>
      <w:r w:rsidRPr="00642A5D">
        <w:t>Middelmann, 2007</w:t>
      </w:r>
      <w:r w:rsidR="005707ED">
        <w:t>.</w:t>
      </w:r>
      <w:r w:rsidRPr="00642A5D">
        <w:t>)</w:t>
      </w:r>
      <w:bookmarkEnd w:id="565"/>
    </w:p>
    <w:p w14:paraId="6C85F746" w14:textId="7F95CCFF" w:rsidR="005707ED" w:rsidRPr="00642A5D" w:rsidRDefault="005707ED" w:rsidP="005707ED">
      <w:pPr>
        <w:pStyle w:val="Para0"/>
      </w:pPr>
      <w:r w:rsidRPr="00642A5D">
        <w:t>S</w:t>
      </w:r>
      <w:r>
        <w:t>eismic events</w:t>
      </w:r>
      <w:r w:rsidRPr="00642A5D">
        <w:t xml:space="preserve"> commonly occur in tectonically active areas such as plate margins where zones of c</w:t>
      </w:r>
      <w:r>
        <w:t>rustal deformation are dominant</w:t>
      </w:r>
      <w:r w:rsidRPr="00642A5D">
        <w:t>. In these areas, strain energy accumulates over time until the contact strength between two surfaces is exceeded, resulting in a rupture (a fault) and a seismic event (Ellsworth, 2013). While far more common along plate margins, seismic events also occur within continental plates, as shear stress levels within plate interiors is commonly close to the strength limit of the crust and thus small perturbations that affect fault stability can trigger seismic events.</w:t>
      </w:r>
    </w:p>
    <w:p w14:paraId="6B58DF27" w14:textId="62ADD69D" w:rsidR="00E84339" w:rsidRPr="00642A5D" w:rsidRDefault="00E84339">
      <w:r w:rsidRPr="00642A5D">
        <w:t xml:space="preserve">As Australia is located in an intra-plate setting (within a continental plate and away from plate margins), earthquakes occur less frequently than in </w:t>
      </w:r>
      <w:r w:rsidR="00BB5931">
        <w:t xml:space="preserve">plate </w:t>
      </w:r>
      <w:r w:rsidRPr="00642A5D">
        <w:t>marginal settings. In Australia a person is likely to experience an earthquake large enough to be felt once in every five to ten years (SRC, 2014). Despite this, regions within Australia remain seismically active, albeit at lower scales of magnitude. In Victoria 608 earthquakes have been recorded since 1990 (</w:t>
      </w:r>
      <w:r w:rsidR="005707ED">
        <w:t>Geosciences Australia</w:t>
      </w:r>
      <w:r w:rsidRPr="00642A5D">
        <w:t xml:space="preserve">, 2014). </w:t>
      </w:r>
      <w:r w:rsidR="003E468A">
        <w:t xml:space="preserve">Most seismic events in </w:t>
      </w:r>
      <w:r w:rsidR="002D4544">
        <w:t>Victoria</w:t>
      </w:r>
      <w:r w:rsidRPr="00642A5D">
        <w:t xml:space="preserve"> range in magnitude from 2.0-2.9 (</w:t>
      </w:r>
      <w:r w:rsidR="00326B19" w:rsidRPr="00642A5D">
        <w:fldChar w:fldCharType="begin"/>
      </w:r>
      <w:r w:rsidR="00326B19" w:rsidRPr="00642A5D">
        <w:instrText xml:space="preserve"> REF _Ref405992107 \h  \* MERGEFORMAT </w:instrText>
      </w:r>
      <w:r w:rsidR="00326B19" w:rsidRPr="00642A5D">
        <w:fldChar w:fldCharType="separate"/>
      </w:r>
      <w:r w:rsidR="00171A5E" w:rsidRPr="00642A5D">
        <w:t xml:space="preserve">Figure </w:t>
      </w:r>
      <w:r w:rsidR="00171A5E">
        <w:t>48</w:t>
      </w:r>
      <w:r w:rsidR="00326B19" w:rsidRPr="00642A5D">
        <w:fldChar w:fldCharType="end"/>
      </w:r>
      <w:r w:rsidRPr="00642A5D">
        <w:t xml:space="preserve">) and 6 earthquakes have recorded a magnitude of 4.0 or greater. </w:t>
      </w:r>
    </w:p>
    <w:p w14:paraId="4B75CCC2" w14:textId="019FB661" w:rsidR="00EF340F" w:rsidRDefault="00E84339">
      <w:r w:rsidRPr="00642A5D">
        <w:t xml:space="preserve">Within Victoria, </w:t>
      </w:r>
      <w:r w:rsidR="003E468A">
        <w:t xml:space="preserve">earthquakes </w:t>
      </w:r>
      <w:r w:rsidRPr="00642A5D">
        <w:t>occur throughout the southern portion of the Gippsland Basin (</w:t>
      </w:r>
      <w:r w:rsidR="00326B19" w:rsidRPr="00642A5D">
        <w:fldChar w:fldCharType="begin"/>
      </w:r>
      <w:r w:rsidR="00326B19" w:rsidRPr="00642A5D">
        <w:instrText xml:space="preserve"> REF _Ref405992407 \h  \* MERGEFORMAT </w:instrText>
      </w:r>
      <w:r w:rsidR="00326B19" w:rsidRPr="00642A5D">
        <w:fldChar w:fldCharType="separate"/>
      </w:r>
      <w:r w:rsidR="00171A5E" w:rsidRPr="00642A5D">
        <w:t xml:space="preserve">Figure </w:t>
      </w:r>
      <w:r w:rsidR="00171A5E">
        <w:t>49</w:t>
      </w:r>
      <w:r w:rsidR="00326B19" w:rsidRPr="00642A5D">
        <w:fldChar w:fldCharType="end"/>
      </w:r>
      <w:r w:rsidRPr="00642A5D">
        <w:t>) around the Strzelecki Ranges and the township of Moe. This is understood to be related to the reactivation of Palaeozoic faults due to northeast</w:t>
      </w:r>
      <w:r w:rsidR="005707ED">
        <w:t>–</w:t>
      </w:r>
      <w:r w:rsidRPr="00642A5D">
        <w:t xml:space="preserve">southwest compressional stress (McCue </w:t>
      </w:r>
      <w:r w:rsidR="0061023B" w:rsidRPr="0061023B">
        <w:t>et al.</w:t>
      </w:r>
      <w:r w:rsidRPr="00642A5D">
        <w:t>, 2013).</w:t>
      </w:r>
    </w:p>
    <w:p w14:paraId="0B7B45D0" w14:textId="77777777" w:rsidR="005707ED" w:rsidRPr="005707ED" w:rsidRDefault="005707ED" w:rsidP="00C150BC">
      <w:pPr>
        <w:spacing w:after="0" w:line="240" w:lineRule="auto"/>
      </w:pPr>
    </w:p>
    <w:p w14:paraId="013D1668" w14:textId="79893DBB" w:rsidR="00EF340F" w:rsidRPr="006800F3" w:rsidRDefault="00451A8E" w:rsidP="006800F3">
      <w:pPr>
        <w:pStyle w:val="figurereturn"/>
      </w:pPr>
      <w:r w:rsidRPr="00642A5D">
        <w:drawing>
          <wp:inline distT="0" distB="0" distL="0" distR="0" wp14:anchorId="60436E0E" wp14:editId="4EE19BB0">
            <wp:extent cx="5342255" cy="1896533"/>
            <wp:effectExtent l="0" t="0" r="17145" b="3429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BEB536B" w14:textId="4305AD44" w:rsidR="005707ED" w:rsidRPr="005707ED" w:rsidRDefault="00EF340F" w:rsidP="00A53AE8">
      <w:pPr>
        <w:pStyle w:val="Figuretitle"/>
      </w:pPr>
      <w:bookmarkStart w:id="566" w:name="_Ref405992107"/>
      <w:bookmarkStart w:id="567" w:name="_Toc422928819"/>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48</w:t>
      </w:r>
      <w:r w:rsidR="007569CD" w:rsidRPr="00642A5D">
        <w:fldChar w:fldCharType="end"/>
      </w:r>
      <w:bookmarkEnd w:id="566"/>
      <w:r w:rsidR="008B076F">
        <w:t>:</w:t>
      </w:r>
      <w:r w:rsidRPr="00642A5D">
        <w:t xml:space="preserve"> </w:t>
      </w:r>
      <w:r w:rsidR="005707ED">
        <w:t xml:space="preserve"> </w:t>
      </w:r>
      <w:r w:rsidRPr="00642A5D">
        <w:t>Frequency and magnitude of earthquakes in Victoria from 1990 to 2014</w:t>
      </w:r>
      <w:r w:rsidR="005707ED">
        <w:t>.</w:t>
      </w:r>
      <w:r w:rsidRPr="00642A5D">
        <w:t xml:space="preserve"> </w:t>
      </w:r>
      <w:r w:rsidR="005707ED">
        <w:br/>
      </w:r>
      <w:r w:rsidRPr="00642A5D">
        <w:t>(</w:t>
      </w:r>
      <w:r w:rsidR="005707ED">
        <w:t>S</w:t>
      </w:r>
      <w:r w:rsidR="00D671B2">
        <w:t xml:space="preserve">ource: </w:t>
      </w:r>
      <w:r w:rsidR="00024597" w:rsidRPr="00642A5D">
        <w:t>G</w:t>
      </w:r>
      <w:r w:rsidR="00024597">
        <w:t>eoscience Australia</w:t>
      </w:r>
      <w:r w:rsidRPr="00642A5D">
        <w:t>, 2014</w:t>
      </w:r>
      <w:r w:rsidR="005707ED">
        <w:t>.</w:t>
      </w:r>
      <w:r w:rsidRPr="00642A5D">
        <w:t>)</w:t>
      </w:r>
      <w:bookmarkEnd w:id="567"/>
      <w:r w:rsidR="005707ED">
        <w:br w:type="page"/>
      </w:r>
    </w:p>
    <w:p w14:paraId="1DAB9ECE" w14:textId="77777777" w:rsidR="00EF340F" w:rsidRPr="00642A5D" w:rsidRDefault="00EF340F" w:rsidP="006800F3">
      <w:pPr>
        <w:pStyle w:val="figurereturn"/>
      </w:pPr>
      <w:r w:rsidRPr="00642A5D">
        <w:drawing>
          <wp:inline distT="0" distB="0" distL="0" distR="0" wp14:anchorId="19D9596E" wp14:editId="401E83C2">
            <wp:extent cx="6120243" cy="3862493"/>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n EQ Jan_1990_Dec_14.jpg"/>
                    <pic:cNvPicPr/>
                  </pic:nvPicPr>
                  <pic:blipFill>
                    <a:blip r:embed="rId70" cstate="screen">
                      <a:extLst>
                        <a:ext uri="{28A0092B-C50C-407E-A947-70E740481C1C}">
                          <a14:useLocalDpi xmlns:a14="http://schemas.microsoft.com/office/drawing/2010/main"/>
                        </a:ext>
                      </a:extLst>
                    </a:blip>
                    <a:stretch>
                      <a:fillRect/>
                    </a:stretch>
                  </pic:blipFill>
                  <pic:spPr>
                    <a:xfrm>
                      <a:off x="0" y="0"/>
                      <a:ext cx="6122903" cy="3864172"/>
                    </a:xfrm>
                    <a:prstGeom prst="rect">
                      <a:avLst/>
                    </a:prstGeom>
                  </pic:spPr>
                </pic:pic>
              </a:graphicData>
            </a:graphic>
          </wp:inline>
        </w:drawing>
      </w:r>
    </w:p>
    <w:p w14:paraId="5BF81558" w14:textId="4BD4EC4F" w:rsidR="00A76DC9" w:rsidRDefault="00EF340F" w:rsidP="00A53AE8">
      <w:pPr>
        <w:pStyle w:val="Figuretitle"/>
      </w:pPr>
      <w:bookmarkStart w:id="568" w:name="_Ref405992407"/>
      <w:bookmarkStart w:id="569" w:name="_Toc422928820"/>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49</w:t>
      </w:r>
      <w:r w:rsidR="007569CD" w:rsidRPr="00642A5D">
        <w:fldChar w:fldCharType="end"/>
      </w:r>
      <w:bookmarkEnd w:id="568"/>
      <w:r w:rsidR="008B076F">
        <w:t>:</w:t>
      </w:r>
      <w:r w:rsidR="00C34576">
        <w:t xml:space="preserve"> </w:t>
      </w:r>
      <w:r w:rsidRPr="00642A5D">
        <w:t xml:space="preserve"> Distribution and magnitude of earthquakes in Victoria from 1990 to 2014 current</w:t>
      </w:r>
      <w:r w:rsidR="00C34576">
        <w:t>.</w:t>
      </w:r>
      <w:r w:rsidRPr="00642A5D">
        <w:t xml:space="preserve"> (</w:t>
      </w:r>
      <w:r w:rsidR="00C34576">
        <w:t>S</w:t>
      </w:r>
      <w:r w:rsidR="00D671B2">
        <w:t xml:space="preserve">ource: </w:t>
      </w:r>
      <w:r w:rsidRPr="00642A5D">
        <w:t>G</w:t>
      </w:r>
      <w:r w:rsidR="00BB5931">
        <w:t xml:space="preserve">eoscience </w:t>
      </w:r>
      <w:r w:rsidRPr="00642A5D">
        <w:t>A</w:t>
      </w:r>
      <w:r w:rsidR="00BB5931">
        <w:t>ustralia</w:t>
      </w:r>
      <w:r w:rsidRPr="00642A5D">
        <w:t>, 2014</w:t>
      </w:r>
      <w:r w:rsidR="00C34576">
        <w:t>.</w:t>
      </w:r>
      <w:r w:rsidRPr="00642A5D">
        <w:t>)</w:t>
      </w:r>
      <w:bookmarkEnd w:id="569"/>
    </w:p>
    <w:p w14:paraId="5D1EDC48" w14:textId="222865D4" w:rsidR="00A76DC9" w:rsidRPr="00642A5D" w:rsidRDefault="005707ED" w:rsidP="00F60E96">
      <w:pPr>
        <w:pStyle w:val="Head2xx"/>
      </w:pPr>
      <w:bookmarkStart w:id="570" w:name="_Toc420568716"/>
      <w:bookmarkStart w:id="571" w:name="_Toc420570298"/>
      <w:bookmarkStart w:id="572" w:name="_Toc420571494"/>
      <w:bookmarkStart w:id="573" w:name="_Toc420572132"/>
      <w:bookmarkStart w:id="574" w:name="_Toc296766990"/>
      <w:bookmarkStart w:id="575" w:name="_Toc422927914"/>
      <w:r>
        <w:t>5.2</w:t>
      </w:r>
      <w:r>
        <w:tab/>
      </w:r>
      <w:r w:rsidR="008B4F7E" w:rsidRPr="00642A5D">
        <w:t>Induced seismicity</w:t>
      </w:r>
      <w:bookmarkEnd w:id="570"/>
      <w:bookmarkEnd w:id="571"/>
      <w:bookmarkEnd w:id="572"/>
      <w:bookmarkEnd w:id="573"/>
      <w:bookmarkEnd w:id="574"/>
      <w:bookmarkEnd w:id="575"/>
    </w:p>
    <w:p w14:paraId="03F58BCE" w14:textId="41A1C24C" w:rsidR="00E84339" w:rsidRPr="00642A5D" w:rsidRDefault="003505D8">
      <w:r w:rsidRPr="00642A5D">
        <w:t>I</w:t>
      </w:r>
      <w:r w:rsidR="00E84339" w:rsidRPr="00642A5D">
        <w:t>nduced seismicity refers to seismic events that are triggered by human activity, including filling of large water reservoirs, mining and activities involving pumping fluids or gases into the earth (which includes injection of water and gases). These activities produce changes in stress regimes and fluid/rock characteristics. The most common way to trigger an earthquake is to increase the groundwater pore pressure.</w:t>
      </w:r>
      <w:r w:rsidR="009A72C5">
        <w:t xml:space="preserve"> </w:t>
      </w:r>
      <w:r w:rsidR="00E84339" w:rsidRPr="00642A5D">
        <w:t>Small local earthquakes can be triggered by pumping water into the earth, oil and gas extraction activities and geothermal energy (NAS, 2013).</w:t>
      </w:r>
    </w:p>
    <w:p w14:paraId="7E01028C" w14:textId="77777777" w:rsidR="00E84339" w:rsidRPr="00642A5D" w:rsidRDefault="00E84339">
      <w:r w:rsidRPr="00642A5D">
        <w:t xml:space="preserve">It is important to highlight that while induced seismic events are triggered by human activity, they most commonly release pre-existing stresses that have built up between two surfaces (Ellsworth, 2013). Factors that control the probability of inducing a seismic event include the magnitude of the induced stress change, the spatial scale of the change, the natural stress regime of the material affected and the presence of pre-existing structural weaknesses in the subject material. </w:t>
      </w:r>
    </w:p>
    <w:p w14:paraId="07CBB537" w14:textId="3996E9C5" w:rsidR="00E84339" w:rsidRPr="00642A5D" w:rsidRDefault="00E84339">
      <w:r w:rsidRPr="00642A5D">
        <w:t>Induced seismicity associated with unconventional gas extraction is potentially related to three key activities:</w:t>
      </w:r>
    </w:p>
    <w:p w14:paraId="2CF3B84D" w14:textId="3F4F66C6" w:rsidR="00E84339" w:rsidRPr="00642A5D" w:rsidRDefault="006166A4" w:rsidP="006166A4">
      <w:pPr>
        <w:pStyle w:val="bulletlist0"/>
      </w:pPr>
      <w:r>
        <w:t>•</w:t>
      </w:r>
      <w:r>
        <w:tab/>
      </w:r>
      <w:r w:rsidR="00E84339" w:rsidRPr="00642A5D">
        <w:t>hydraulic fracturing</w:t>
      </w:r>
    </w:p>
    <w:p w14:paraId="1CF23A17" w14:textId="4408B406" w:rsidR="00E84339" w:rsidRPr="00642A5D" w:rsidRDefault="006166A4" w:rsidP="006166A4">
      <w:pPr>
        <w:pStyle w:val="bulletlist0"/>
      </w:pPr>
      <w:r>
        <w:t>•</w:t>
      </w:r>
      <w:r>
        <w:tab/>
      </w:r>
      <w:r w:rsidR="00E84339" w:rsidRPr="00642A5D">
        <w:t>gas production</w:t>
      </w:r>
    </w:p>
    <w:p w14:paraId="13AB4F36" w14:textId="6790F68D" w:rsidR="00E84339" w:rsidRPr="00642A5D" w:rsidRDefault="006166A4" w:rsidP="006166A4">
      <w:pPr>
        <w:pStyle w:val="bulletlist0"/>
      </w:pPr>
      <w:r>
        <w:t>•</w:t>
      </w:r>
      <w:r>
        <w:tab/>
      </w:r>
      <w:r w:rsidR="00A528CB">
        <w:t>co-produced</w:t>
      </w:r>
      <w:r w:rsidR="00E84339" w:rsidRPr="00642A5D">
        <w:t xml:space="preserve"> re-injection.</w:t>
      </w:r>
    </w:p>
    <w:p w14:paraId="1D215FC2" w14:textId="2DE7F8E3" w:rsidR="006166A4" w:rsidRDefault="006166A4">
      <w:pPr>
        <w:spacing w:after="200"/>
        <w:rPr>
          <w:rFonts w:eastAsiaTheme="minorEastAsia"/>
          <w:lang w:val="en-AU" w:eastAsia="en-US"/>
        </w:rPr>
      </w:pPr>
      <w:r>
        <w:rPr>
          <w:rFonts w:eastAsiaTheme="minorEastAsia"/>
          <w:lang w:val="en-AU" w:eastAsia="en-US"/>
        </w:rPr>
        <w:br w:type="page"/>
      </w:r>
    </w:p>
    <w:p w14:paraId="2E0A8FB4" w14:textId="492BCF18" w:rsidR="00E84339" w:rsidRPr="00642A5D" w:rsidRDefault="006166A4" w:rsidP="00C34576">
      <w:r>
        <w:rPr>
          <w:rFonts w:eastAsiaTheme="minorEastAsia"/>
          <w:lang w:val="en-AU" w:eastAsia="en-US"/>
        </w:rPr>
        <w:t xml:space="preserve">Figure </w:t>
      </w:r>
      <w:r w:rsidR="00E7436B">
        <w:rPr>
          <w:rFonts w:eastAsiaTheme="minorEastAsia"/>
          <w:lang w:val="en-AU" w:eastAsia="en-US"/>
        </w:rPr>
        <w:t>5</w:t>
      </w:r>
      <w:r>
        <w:rPr>
          <w:rFonts w:eastAsiaTheme="minorEastAsia"/>
          <w:lang w:val="en-AU" w:eastAsia="en-US"/>
        </w:rPr>
        <w:t>0 summarises</w:t>
      </w:r>
      <w:r w:rsidR="00943638">
        <w:t xml:space="preserve"> </w:t>
      </w:r>
      <w:r w:rsidR="00E84339" w:rsidRPr="00642A5D">
        <w:t>seismic events related to various forms of energy development</w:t>
      </w:r>
      <w:r w:rsidR="00943638">
        <w:t>,</w:t>
      </w:r>
      <w:r w:rsidR="00E84339" w:rsidRPr="00642A5D">
        <w:t xml:space="preserve"> including:</w:t>
      </w:r>
    </w:p>
    <w:p w14:paraId="6637B1FF" w14:textId="17FDE068" w:rsidR="00E84339" w:rsidRPr="00642A5D" w:rsidRDefault="00C34576" w:rsidP="00C34576">
      <w:pPr>
        <w:pStyle w:val="bulletlist0"/>
      </w:pPr>
      <w:r>
        <w:t>•</w:t>
      </w:r>
      <w:r>
        <w:tab/>
      </w:r>
      <w:r w:rsidR="00E84339" w:rsidRPr="00642A5D">
        <w:t>extraction of oil and gas</w:t>
      </w:r>
    </w:p>
    <w:p w14:paraId="01B47A07" w14:textId="5C037631" w:rsidR="00E84339" w:rsidRPr="00642A5D" w:rsidRDefault="00C34576" w:rsidP="00C34576">
      <w:pPr>
        <w:pStyle w:val="bulletlist0"/>
      </w:pPr>
      <w:r>
        <w:t>•</w:t>
      </w:r>
      <w:r>
        <w:tab/>
      </w:r>
      <w:r w:rsidR="00E84339" w:rsidRPr="00642A5D">
        <w:t>secondary recovery of hydrocarbons from fluid injection</w:t>
      </w:r>
    </w:p>
    <w:p w14:paraId="03BA11B9" w14:textId="5408431C" w:rsidR="00E84339" w:rsidRPr="00642A5D" w:rsidRDefault="00C34576" w:rsidP="00C34576">
      <w:pPr>
        <w:pStyle w:val="bulletlist0"/>
      </w:pPr>
      <w:r>
        <w:t>•</w:t>
      </w:r>
      <w:r>
        <w:tab/>
      </w:r>
      <w:r w:rsidR="00E84339" w:rsidRPr="00642A5D">
        <w:t xml:space="preserve">disposal of </w:t>
      </w:r>
      <w:r w:rsidR="00A528CB">
        <w:t>co-produced</w:t>
      </w:r>
      <w:r w:rsidR="00E84339" w:rsidRPr="00642A5D">
        <w:t xml:space="preserve"> via injection</w:t>
      </w:r>
    </w:p>
    <w:p w14:paraId="14469C03" w14:textId="76C3E3D4" w:rsidR="00E84339" w:rsidRPr="00642A5D" w:rsidRDefault="00C34576" w:rsidP="00C34576">
      <w:pPr>
        <w:pStyle w:val="bulletlist0"/>
      </w:pPr>
      <w:r>
        <w:t>•</w:t>
      </w:r>
      <w:r>
        <w:tab/>
      </w:r>
      <w:r w:rsidR="00E84339" w:rsidRPr="00642A5D">
        <w:t>construction of water reservoirs</w:t>
      </w:r>
    </w:p>
    <w:p w14:paraId="73DBD33A" w14:textId="07F901BA" w:rsidR="00E84339" w:rsidRPr="00642A5D" w:rsidRDefault="00C34576" w:rsidP="00C34576">
      <w:pPr>
        <w:pStyle w:val="bulletlist0"/>
      </w:pPr>
      <w:r>
        <w:t>•</w:t>
      </w:r>
      <w:r>
        <w:tab/>
      </w:r>
      <w:r w:rsidR="00E84339" w:rsidRPr="00642A5D">
        <w:t>geothermal energy production</w:t>
      </w:r>
    </w:p>
    <w:p w14:paraId="53435935" w14:textId="053972E2" w:rsidR="00E84339" w:rsidRPr="00642A5D" w:rsidRDefault="00C34576" w:rsidP="00C34576">
      <w:pPr>
        <w:pStyle w:val="bulletlist0"/>
      </w:pPr>
      <w:r>
        <w:t>•</w:t>
      </w:r>
      <w:r>
        <w:tab/>
      </w:r>
      <w:r w:rsidR="00E84339" w:rsidRPr="00642A5D">
        <w:t>hydraulic fracturing.</w:t>
      </w:r>
    </w:p>
    <w:p w14:paraId="59C23585" w14:textId="64CEB516" w:rsidR="00E84339" w:rsidRPr="00642A5D" w:rsidRDefault="008B4F7E">
      <w:r w:rsidRPr="00642A5D">
        <w:t>T</w:t>
      </w:r>
      <w:r w:rsidR="00E84339" w:rsidRPr="00642A5D">
        <w:t xml:space="preserve">here has been a growing realisation that most of the injection-induced earthquakes associated with hydrocarbon development are associated with the re-injection of </w:t>
      </w:r>
      <w:r w:rsidR="00A528CB">
        <w:t>coproduced</w:t>
      </w:r>
      <w:r w:rsidR="00E84339" w:rsidRPr="00642A5D">
        <w:t xml:space="preserve"> into deep formations (Ellsworth, 2013). </w:t>
      </w:r>
      <w:r w:rsidR="006166A4">
        <w:t>Nine</w:t>
      </w:r>
      <w:r w:rsidR="00E84339" w:rsidRPr="00642A5D">
        <w:t xml:space="preserve"> earthquakes </w:t>
      </w:r>
      <w:r w:rsidR="006166A4">
        <w:t xml:space="preserve">attributed to </w:t>
      </w:r>
      <w:r w:rsidR="00A528CB">
        <w:t>coproduced</w:t>
      </w:r>
      <w:r w:rsidR="00E84339" w:rsidRPr="00642A5D">
        <w:t xml:space="preserve"> re-injection </w:t>
      </w:r>
      <w:r w:rsidR="006166A4" w:rsidRPr="00642A5D">
        <w:t xml:space="preserve">have been </w:t>
      </w:r>
      <w:r w:rsidR="006166A4">
        <w:t>reported</w:t>
      </w:r>
      <w:r w:rsidR="006166A4" w:rsidRPr="00642A5D">
        <w:t xml:space="preserve"> in the US</w:t>
      </w:r>
      <w:r w:rsidR="006166A4">
        <w:t xml:space="preserve">A </w:t>
      </w:r>
      <w:r w:rsidR="00E84339" w:rsidRPr="00642A5D">
        <w:t xml:space="preserve">(NAS, 2013). Seven of these had a magnitude of 4 or greater and the maximum magnitude was 4.8. The major mechanism driving these seismic events was an increase in pore pressure. </w:t>
      </w:r>
    </w:p>
    <w:p w14:paraId="0A8C2568" w14:textId="2BB6BA9D" w:rsidR="00E84339" w:rsidRPr="00642A5D" w:rsidRDefault="00E84339">
      <w:r w:rsidRPr="00642A5D">
        <w:t>Management of coproduced wat</w:t>
      </w:r>
      <w:r w:rsidR="003E468A">
        <w:t xml:space="preserve">er, including re-injection, is </w:t>
      </w:r>
      <w:r w:rsidRPr="00642A5D">
        <w:t xml:space="preserve">addressed by existing regulations and requirements for project-specific risk assessments (including the potential for induced seismicity). Therefore, the re-injection of waste water as a cause of induced seismicity is not discussed further in this section. Instead, the section focusses </w:t>
      </w:r>
      <w:r w:rsidR="00002EB1">
        <w:t>on</w:t>
      </w:r>
      <w:r w:rsidR="00002EB1" w:rsidRPr="00642A5D">
        <w:t xml:space="preserve"> </w:t>
      </w:r>
      <w:r w:rsidRPr="00642A5D">
        <w:t>other potential causes</w:t>
      </w:r>
      <w:r w:rsidR="00002EB1">
        <w:t>,</w:t>
      </w:r>
      <w:r w:rsidRPr="00642A5D">
        <w:t xml:space="preserve"> notably hydraulic fracturing and gas production. </w:t>
      </w:r>
    </w:p>
    <w:p w14:paraId="3D83C473" w14:textId="1D969C71" w:rsidR="00E84339" w:rsidRDefault="00E84339">
      <w:r w:rsidRPr="00642A5D">
        <w:t xml:space="preserve">This distinction between hydraulic fracturing and reinjection of </w:t>
      </w:r>
      <w:r w:rsidR="00A528CB">
        <w:t>co-produced</w:t>
      </w:r>
      <w:r w:rsidRPr="00642A5D">
        <w:t xml:space="preserve"> is arbitrary, as hydraulic fracturing involves the injection of fracturing fluids to increase the pressure to create fractures. The key difference between the two activities relates to the period of time over which the higher pressures are maintained. For hydraulic fracturing the higher pressures are temporary (hours), compared to reinjection of </w:t>
      </w:r>
      <w:r w:rsidR="00A528CB">
        <w:t>co-produced</w:t>
      </w:r>
      <w:r w:rsidRPr="00642A5D">
        <w:t xml:space="preserve"> for disposal where the higher pressures are maintained over long time scales.</w:t>
      </w:r>
    </w:p>
    <w:p w14:paraId="72D19CEF" w14:textId="77777777" w:rsidR="006166A4" w:rsidRPr="00642A5D" w:rsidRDefault="006166A4"/>
    <w:p w14:paraId="03143610" w14:textId="77777777" w:rsidR="008B4F7E" w:rsidRPr="006800F3" w:rsidRDefault="008B4F7E" w:rsidP="006800F3">
      <w:pPr>
        <w:pStyle w:val="figurereturn"/>
      </w:pPr>
      <w:r w:rsidRPr="00642A5D">
        <w:drawing>
          <wp:inline distT="0" distB="0" distL="0" distR="0" wp14:anchorId="77AAF934" wp14:editId="6DB174A1">
            <wp:extent cx="4953000" cy="38980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4952755" cy="3897834"/>
                    </a:xfrm>
                    <a:prstGeom prst="rect">
                      <a:avLst/>
                    </a:prstGeom>
                  </pic:spPr>
                </pic:pic>
              </a:graphicData>
            </a:graphic>
          </wp:inline>
        </w:drawing>
      </w:r>
    </w:p>
    <w:p w14:paraId="1584BC2B" w14:textId="1C21EC35" w:rsidR="006166A4" w:rsidRPr="006166A4" w:rsidRDefault="008B4F7E" w:rsidP="00A53AE8">
      <w:pPr>
        <w:pStyle w:val="Figuretitle"/>
      </w:pPr>
      <w:bookmarkStart w:id="576" w:name="_Ref405901241"/>
      <w:bookmarkStart w:id="577" w:name="_Toc422928821"/>
      <w:r w:rsidRPr="00642A5D">
        <w:t xml:space="preserve">Figure </w:t>
      </w:r>
      <w:r w:rsidR="007569CD" w:rsidRPr="00642A5D">
        <w:fldChar w:fldCharType="begin"/>
      </w:r>
      <w:r w:rsidRPr="00642A5D">
        <w:instrText xml:space="preserve"> SEQ Figure \* ARABIC </w:instrText>
      </w:r>
      <w:r w:rsidR="007569CD" w:rsidRPr="00642A5D">
        <w:fldChar w:fldCharType="separate"/>
      </w:r>
      <w:r w:rsidR="00171A5E">
        <w:t>50</w:t>
      </w:r>
      <w:r w:rsidR="007569CD" w:rsidRPr="00642A5D">
        <w:fldChar w:fldCharType="end"/>
      </w:r>
      <w:bookmarkEnd w:id="576"/>
      <w:r w:rsidR="008B076F">
        <w:t>:</w:t>
      </w:r>
      <w:r w:rsidR="006166A4">
        <w:t xml:space="preserve"> </w:t>
      </w:r>
      <w:r w:rsidRPr="00642A5D">
        <w:t xml:space="preserve"> Location and magnitude of seismic events caused by or likely </w:t>
      </w:r>
      <w:r w:rsidR="006166A4">
        <w:t xml:space="preserve">to be </w:t>
      </w:r>
      <w:r w:rsidRPr="00642A5D">
        <w:t xml:space="preserve">related to </w:t>
      </w:r>
      <w:r w:rsidR="006166A4">
        <w:br/>
      </w:r>
      <w:r w:rsidRPr="00642A5D">
        <w:t>energy development from various energy technologies worldwide</w:t>
      </w:r>
      <w:r w:rsidR="006166A4">
        <w:t>.</w:t>
      </w:r>
      <w:r w:rsidRPr="00642A5D">
        <w:t xml:space="preserve"> (</w:t>
      </w:r>
      <w:r w:rsidR="006166A4">
        <w:t>S</w:t>
      </w:r>
      <w:r w:rsidR="00D671B2">
        <w:t xml:space="preserve">ource: </w:t>
      </w:r>
      <w:r w:rsidRPr="00642A5D">
        <w:t>NAS, 2013</w:t>
      </w:r>
      <w:r w:rsidR="006166A4">
        <w:t>.</w:t>
      </w:r>
      <w:r w:rsidRPr="00642A5D">
        <w:t>)</w:t>
      </w:r>
      <w:bookmarkEnd w:id="577"/>
      <w:r w:rsidR="006166A4">
        <w:br w:type="page"/>
      </w:r>
    </w:p>
    <w:p w14:paraId="77826DC4" w14:textId="02D72F6A" w:rsidR="008B4F7E" w:rsidRPr="00642A5D" w:rsidRDefault="005707ED" w:rsidP="00F60E96">
      <w:pPr>
        <w:pStyle w:val="Head2xx"/>
      </w:pPr>
      <w:bookmarkStart w:id="578" w:name="_Toc420568717"/>
      <w:bookmarkStart w:id="579" w:name="_Toc420570299"/>
      <w:bookmarkStart w:id="580" w:name="_Toc420571495"/>
      <w:bookmarkStart w:id="581" w:name="_Toc420572133"/>
      <w:bookmarkStart w:id="582" w:name="_Toc296766991"/>
      <w:bookmarkStart w:id="583" w:name="_Toc422927915"/>
      <w:r>
        <w:t>5.3</w:t>
      </w:r>
      <w:r>
        <w:tab/>
      </w:r>
      <w:r w:rsidR="008B4F7E" w:rsidRPr="00642A5D">
        <w:t>Hydraulic fracturing</w:t>
      </w:r>
      <w:bookmarkEnd w:id="578"/>
      <w:bookmarkEnd w:id="579"/>
      <w:bookmarkEnd w:id="580"/>
      <w:bookmarkEnd w:id="581"/>
      <w:bookmarkEnd w:id="582"/>
      <w:bookmarkEnd w:id="583"/>
    </w:p>
    <w:p w14:paraId="61B9DFAD" w14:textId="427FECD0" w:rsidR="008B4F7E" w:rsidRPr="00485339" w:rsidRDefault="008B4F7E">
      <w:r w:rsidRPr="00642A5D">
        <w:t xml:space="preserve">In </w:t>
      </w:r>
      <w:r w:rsidR="003E468A">
        <w:t xml:space="preserve">prospective </w:t>
      </w:r>
      <w:r w:rsidR="00E84339" w:rsidRPr="00642A5D">
        <w:t>onshore</w:t>
      </w:r>
      <w:r w:rsidR="00932254">
        <w:t xml:space="preserve"> gas formations</w:t>
      </w:r>
      <w:r w:rsidRPr="00642A5D">
        <w:t xml:space="preserve"> with low permeabilit</w:t>
      </w:r>
      <w:r w:rsidR="00F0558B" w:rsidRPr="00642A5D">
        <w:t>ie</w:t>
      </w:r>
      <w:r w:rsidRPr="00642A5D">
        <w:t>s (i.e. shale gas, tight gas and some coal seam gas settings), fluid</w:t>
      </w:r>
      <w:r w:rsidR="00932254">
        <w:t xml:space="preserve">s may be injected into a prospective gas </w:t>
      </w:r>
      <w:r w:rsidRPr="00642A5D">
        <w:t>formation under pressure in order to create fractures and increase permeabilities via a process known as hydraulic fracturing (</w:t>
      </w:r>
      <w:r w:rsidR="00FD53FF">
        <w:t>chapter</w:t>
      </w:r>
      <w:r w:rsidR="001E3C87" w:rsidRPr="00642A5D">
        <w:t xml:space="preserve"> </w:t>
      </w:r>
      <w:r w:rsidR="00326B19" w:rsidRPr="00642A5D">
        <w:fldChar w:fldCharType="begin"/>
      </w:r>
      <w:r w:rsidR="00326B19" w:rsidRPr="00642A5D">
        <w:instrText xml:space="preserve"> REF _Ref406592407 \r \h  \* MERGEFORMAT </w:instrText>
      </w:r>
      <w:r w:rsidR="00326B19" w:rsidRPr="00642A5D">
        <w:fldChar w:fldCharType="separate"/>
      </w:r>
      <w:r w:rsidR="00171A5E">
        <w:t>0</w:t>
      </w:r>
      <w:r w:rsidR="00326B19" w:rsidRPr="00642A5D">
        <w:fldChar w:fldCharType="end"/>
      </w:r>
      <w:r w:rsidRPr="00642A5D">
        <w:t xml:space="preserve">). During hydraulic fracturing, fracture growth is often mapped using micro-seismic monitoring. This process involves monitoring small movements resulting from fracture growth using arrays of sensitive receivers (geophones or accelerometers) deployed at various depths in nearby wells (Fisher and Warpinsk, 2013). As such, during fracture stimulations, hydraulic fracturing intentionally and continuously induces micro-seismic events. </w:t>
      </w:r>
      <w:r w:rsidR="003E468A">
        <w:t xml:space="preserve">Most </w:t>
      </w:r>
      <w:r w:rsidRPr="00642A5D">
        <w:t xml:space="preserve">seismic events associated with hydraulic fracturing </w:t>
      </w:r>
      <w:r w:rsidRPr="00485339">
        <w:t xml:space="preserve">have a magnitude of less than 1 </w:t>
      </w:r>
      <w:r w:rsidR="00CE7F82" w:rsidRPr="00485339">
        <w:t>M</w:t>
      </w:r>
      <w:r w:rsidR="00CE7F82" w:rsidRPr="00485339">
        <w:rPr>
          <w:vertAlign w:val="subscript"/>
        </w:rPr>
        <w:t>L</w:t>
      </w:r>
      <w:r w:rsidR="00CE7F82" w:rsidRPr="00485339">
        <w:rPr>
          <w:vertAlign w:val="superscript"/>
        </w:rPr>
        <w:t xml:space="preserve"> </w:t>
      </w:r>
      <w:r w:rsidRPr="00485339">
        <w:t xml:space="preserve">(Ellsworth, 2013). </w:t>
      </w:r>
    </w:p>
    <w:p w14:paraId="32C6EA35" w14:textId="5C6F788E" w:rsidR="008B4F7E" w:rsidRPr="00485339" w:rsidRDefault="008B4F7E">
      <w:r w:rsidRPr="00485339">
        <w:t xml:space="preserve">Continuous monitoring of seismicity and the </w:t>
      </w:r>
      <w:r w:rsidR="003815EE" w:rsidRPr="00485339">
        <w:t xml:space="preserve">implementation </w:t>
      </w:r>
      <w:r w:rsidRPr="00485339">
        <w:t xml:space="preserve">of a </w:t>
      </w:r>
      <w:r w:rsidR="006166A4" w:rsidRPr="00485339">
        <w:t>‘</w:t>
      </w:r>
      <w:r w:rsidRPr="00485339">
        <w:t>traffic light</w:t>
      </w:r>
      <w:r w:rsidR="006166A4" w:rsidRPr="00485339">
        <w:t>’</w:t>
      </w:r>
      <w:r w:rsidRPr="00485339">
        <w:t xml:space="preserve"> system was recommended by the Royal Society and the Royal Academy of Engineering (</w:t>
      </w:r>
      <w:r w:rsidR="006166A4" w:rsidRPr="00485339">
        <w:t xml:space="preserve">RS/RAE </w:t>
      </w:r>
      <w:r w:rsidRPr="00485339">
        <w:t>2012)</w:t>
      </w:r>
      <w:r w:rsidR="006166A4" w:rsidRPr="00485339">
        <w:t>. They</w:t>
      </w:r>
      <w:r w:rsidRPr="00485339">
        <w:t xml:space="preserve"> indicated that for induced seismic events with an M</w:t>
      </w:r>
      <w:r w:rsidRPr="00485339">
        <w:rPr>
          <w:vertAlign w:val="subscript"/>
        </w:rPr>
        <w:t>L</w:t>
      </w:r>
      <w:r w:rsidRPr="00485339">
        <w:t xml:space="preserve"> between 0 and 1.7, operations may continue but monitoring after injections should be continued for at least two days, until the seismicity rates fall below one event per day. For events larger than M</w:t>
      </w:r>
      <w:r w:rsidRPr="00485339">
        <w:rPr>
          <w:vertAlign w:val="subscript"/>
        </w:rPr>
        <w:t>L</w:t>
      </w:r>
      <w:r w:rsidRPr="00485339">
        <w:t xml:space="preserve"> = 1.7, it was recommended that injections should be temporarily stopped and flowback induced while monitoring continues. Green </w:t>
      </w:r>
      <w:r w:rsidR="0061023B" w:rsidRPr="00485339">
        <w:t>et al.</w:t>
      </w:r>
      <w:r w:rsidRPr="00485339">
        <w:t xml:space="preserve"> (201</w:t>
      </w:r>
      <w:r w:rsidR="00623144" w:rsidRPr="00485339">
        <w:t>2</w:t>
      </w:r>
      <w:r w:rsidRPr="00485339">
        <w:t>) proposed more stringent guidelines (as noted by Frogtech, 2013) as part of a study for the Department of Energy and Climate Change, recommending that operations be halted and remedial actions instituted if seismic events &gt; 0.5 M</w:t>
      </w:r>
      <w:r w:rsidRPr="00485339">
        <w:rPr>
          <w:vertAlign w:val="subscript"/>
        </w:rPr>
        <w:t>L</w:t>
      </w:r>
      <w:r w:rsidRPr="00485339">
        <w:t xml:space="preserve"> are detected.</w:t>
      </w:r>
    </w:p>
    <w:p w14:paraId="1413BE7C" w14:textId="76515A95" w:rsidR="008B4F7E" w:rsidRPr="00485339" w:rsidRDefault="008B4F7E">
      <w:r w:rsidRPr="00485339">
        <w:t xml:space="preserve">The Marcellus Shale in the United States </w:t>
      </w:r>
      <w:r w:rsidR="003E468A" w:rsidRPr="00485339">
        <w:t xml:space="preserve">is the largest source of natural gas in the United States and </w:t>
      </w:r>
      <w:r w:rsidRPr="00485339">
        <w:t>extends throughout Pennsylvania, W</w:t>
      </w:r>
      <w:r w:rsidR="00CF0107" w:rsidRPr="00485339">
        <w:t>est Virginia, Ohio and New York</w:t>
      </w:r>
      <w:r w:rsidR="00EA7676" w:rsidRPr="00485339">
        <w:t xml:space="preserve"> </w:t>
      </w:r>
      <w:r w:rsidR="00F02056" w:rsidRPr="00485339">
        <w:t xml:space="preserve">and </w:t>
      </w:r>
      <w:r w:rsidRPr="00485339">
        <w:t>is characterised by low levels of seismic activity. The regional seismograph network in this area systematically logs all earthquakes with a magnitude of greater than 2 and despite thousands of fracture stimulations in Pennsylvania since the major development in the field since 2005, six earthquakes with a magnitude greater than 2 have been recorded</w:t>
      </w:r>
      <w:r w:rsidR="000D5DEF" w:rsidRPr="00485339">
        <w:t>,</w:t>
      </w:r>
      <w:r w:rsidRPr="00485339">
        <w:t xml:space="preserve"> with a maximum magnitude of 2.3 (Ellsworth, 2013). </w:t>
      </w:r>
    </w:p>
    <w:p w14:paraId="547F5C9C" w14:textId="1FD90BB5" w:rsidR="008B4F7E" w:rsidRPr="00642A5D" w:rsidRDefault="008B4F7E">
      <w:pPr>
        <w:rPr>
          <w:rStyle w:val="CommentReference"/>
        </w:rPr>
      </w:pPr>
      <w:r w:rsidRPr="00485339">
        <w:t xml:space="preserve">Of </w:t>
      </w:r>
      <w:r w:rsidR="006166A4" w:rsidRPr="00485339">
        <w:t xml:space="preserve">around </w:t>
      </w:r>
      <w:r w:rsidRPr="00485339">
        <w:t>35</w:t>
      </w:r>
      <w:r w:rsidR="006166A4" w:rsidRPr="00485339">
        <w:t> </w:t>
      </w:r>
      <w:r w:rsidRPr="00485339">
        <w:t xml:space="preserve">000 hydraulically fractured shale gas wells which exist in the United States, one case of felt seismicity has been recorded in which hydraulic fracturing for shale gas development is suspected as the cause (NAS, 2013). This event was reported as a sequence of earthquakes in Oklahoma during nearby </w:t>
      </w:r>
      <w:r w:rsidR="006166A4" w:rsidRPr="00485339">
        <w:t xml:space="preserve">hydraulic fracturing </w:t>
      </w:r>
      <w:r w:rsidRPr="00485339">
        <w:t>operations</w:t>
      </w:r>
      <w:r w:rsidR="006166A4" w:rsidRPr="00485339">
        <w:t>,</w:t>
      </w:r>
      <w:r w:rsidRPr="00485339">
        <w:t xml:space="preserve"> with a maximum magnitude of 2.9</w:t>
      </w:r>
      <w:r w:rsidR="006166A4" w:rsidRPr="00485339">
        <w:t xml:space="preserve"> M</w:t>
      </w:r>
      <w:r w:rsidR="006166A4" w:rsidRPr="00485339">
        <w:rPr>
          <w:vertAlign w:val="subscript"/>
        </w:rPr>
        <w:t>L</w:t>
      </w:r>
      <w:r w:rsidRPr="00485339">
        <w:t xml:space="preserve">. Holland (2011) reported that despite a clear temporal correlation with hydraulic fracturing, the natural seismicity of the area and limitations in the data made it uncertain whether the source of the seismicity was related to hydraulic fracturing or natural processes. Subsequent work by Kim (2013) indicates that this seismicity was related to the injection of </w:t>
      </w:r>
      <w:r w:rsidR="00A528CB" w:rsidRPr="00485339">
        <w:t>coproduced</w:t>
      </w:r>
      <w:r w:rsidRPr="00485339">
        <w:t xml:space="preserve"> and not hydraulic fracturing.</w:t>
      </w:r>
      <w:r w:rsidRPr="00642A5D">
        <w:t xml:space="preserve"> </w:t>
      </w:r>
    </w:p>
    <w:p w14:paraId="3510A40A" w14:textId="5A391BA0" w:rsidR="008B4F7E" w:rsidRPr="00642A5D" w:rsidRDefault="008B4F7E">
      <w:r w:rsidRPr="00642A5D">
        <w:t xml:space="preserve">In British Columbia, </w:t>
      </w:r>
      <w:r w:rsidR="006166A4">
        <w:t xml:space="preserve">Canada, </w:t>
      </w:r>
      <w:r w:rsidRPr="00642A5D">
        <w:t xml:space="preserve">a series of seismic events were recorded in the Horn River Basin associated with the development of </w:t>
      </w:r>
      <w:r w:rsidR="00932254">
        <w:t xml:space="preserve">prospective </w:t>
      </w:r>
      <w:r w:rsidRPr="00642A5D">
        <w:t xml:space="preserve">shale gas </w:t>
      </w:r>
      <w:r w:rsidR="00932254">
        <w:t>formations</w:t>
      </w:r>
      <w:r w:rsidRPr="00642A5D">
        <w:t xml:space="preserve"> in 2009 (BC Oil and Gas Commission, 2012). This example is not displayed in </w:t>
      </w:r>
      <w:r w:rsidR="00326B19" w:rsidRPr="00642A5D">
        <w:fldChar w:fldCharType="begin"/>
      </w:r>
      <w:r w:rsidR="00326B19" w:rsidRPr="00642A5D">
        <w:instrText xml:space="preserve"> REF _Ref405901241 \h  \* MERGEFORMAT </w:instrText>
      </w:r>
      <w:r w:rsidR="00326B19" w:rsidRPr="00642A5D">
        <w:fldChar w:fldCharType="separate"/>
      </w:r>
      <w:r w:rsidR="00171A5E" w:rsidRPr="00642A5D">
        <w:t xml:space="preserve">Figure </w:t>
      </w:r>
      <w:r w:rsidR="00171A5E">
        <w:rPr>
          <w:noProof/>
        </w:rPr>
        <w:t>50</w:t>
      </w:r>
      <w:r w:rsidR="00326B19" w:rsidRPr="00642A5D">
        <w:fldChar w:fldCharType="end"/>
      </w:r>
      <w:r w:rsidRPr="00642A5D">
        <w:t xml:space="preserve"> above as investigations into these seismic events were conducted contemporaneously with the NAS (2013) report. A total of 21 seismic events were recorded with a magnitude of 3.0 or larger, however the largest (3.8) was reported as felt by workers. It was determined that the cause of the events was the injection of fluids during hydraulic fracture stimulation in close proximity to pre-existing faults (Ellsworth, 2013). It was also determined that the earthquakes were driven by the movement of previously unknown critically stressed faults that were oriented for failure. These were activated in response to increased fluid pressure communicated through conductive pathways that caused slip via a reduction in the effective normal stress.</w:t>
      </w:r>
    </w:p>
    <w:p w14:paraId="5A71E587" w14:textId="4CF4087D" w:rsidR="00E84339" w:rsidRPr="00642A5D" w:rsidRDefault="00E84339" w:rsidP="00E84339">
      <w:pPr>
        <w:pStyle w:val="Para0"/>
      </w:pPr>
      <w:r w:rsidRPr="00642A5D">
        <w:t xml:space="preserve">In England, one case of induced seismicity </w:t>
      </w:r>
      <w:r w:rsidRPr="00485339">
        <w:t xml:space="preserve">felt by workers has been confirmed to have been caused by hydraulic fracturing for shale gas development (Green </w:t>
      </w:r>
      <w:r w:rsidR="0061023B" w:rsidRPr="00485339">
        <w:t>et al.</w:t>
      </w:r>
      <w:r w:rsidRPr="00485339">
        <w:t>, 201</w:t>
      </w:r>
      <w:r w:rsidR="006166A4" w:rsidRPr="00485339">
        <w:t>2</w:t>
      </w:r>
      <w:r w:rsidRPr="00485339">
        <w:t>).</w:t>
      </w:r>
      <w:r w:rsidR="009A72C5" w:rsidRPr="00485339">
        <w:t xml:space="preserve"> </w:t>
      </w:r>
      <w:r w:rsidRPr="00485339">
        <w:t>In April 2011, the Blackpool area experienced a seismic event of magnitude 2.3 M</w:t>
      </w:r>
      <w:r w:rsidRPr="00485339">
        <w:rPr>
          <w:vertAlign w:val="subscript"/>
        </w:rPr>
        <w:t>L</w:t>
      </w:r>
      <w:r w:rsidRPr="00485339">
        <w:t xml:space="preserve"> shortly after hydraulic fracturing in Cuadrilla’s Preese Hall well in the Bowland Shale (RS</w:t>
      </w:r>
      <w:r w:rsidR="000717E9" w:rsidRPr="00485339">
        <w:t>/</w:t>
      </w:r>
      <w:r w:rsidRPr="00485339">
        <w:t>RAE, 2012). An additional seismic event 1.5 M</w:t>
      </w:r>
      <w:r w:rsidRPr="00485339">
        <w:rPr>
          <w:vertAlign w:val="subscript"/>
        </w:rPr>
        <w:t>L</w:t>
      </w:r>
      <w:r w:rsidRPr="00485339">
        <w:t xml:space="preserve"> in magnitude occurred in May 2011 following further hydraulic fracturing of the same well. </w:t>
      </w:r>
      <w:r w:rsidR="006166A4" w:rsidRPr="00485339">
        <w:t xml:space="preserve">The </w:t>
      </w:r>
      <w:r w:rsidRPr="00485339">
        <w:t xml:space="preserve">reports by Green </w:t>
      </w:r>
      <w:r w:rsidR="0061023B" w:rsidRPr="00485339">
        <w:t>et al.</w:t>
      </w:r>
      <w:r w:rsidRPr="00485339">
        <w:t xml:space="preserve"> (201</w:t>
      </w:r>
      <w:r w:rsidR="006166A4" w:rsidRPr="00485339">
        <w:t>2</w:t>
      </w:r>
      <w:r w:rsidRPr="00485339">
        <w:t>) and the Royal Society and the Royal Academy of Engineering (</w:t>
      </w:r>
      <w:r w:rsidR="006166A4" w:rsidRPr="00485339">
        <w:t xml:space="preserve">RS/RAE </w:t>
      </w:r>
      <w:r w:rsidRPr="00485339">
        <w:t xml:space="preserve">2012) </w:t>
      </w:r>
      <w:r w:rsidR="006166A4" w:rsidRPr="00485339">
        <w:t xml:space="preserve">both </w:t>
      </w:r>
      <w:r w:rsidRPr="00485339">
        <w:t>indicate that hydraulic fracturing was</w:t>
      </w:r>
      <w:r w:rsidRPr="00642A5D">
        <w:t xml:space="preserve"> responsible for the induced seismic events as a result of reactivation of a pre-stressed fault.</w:t>
      </w:r>
    </w:p>
    <w:p w14:paraId="5E7F5A56" w14:textId="77777777" w:rsidR="00E84339" w:rsidRPr="00642A5D" w:rsidRDefault="00E84339" w:rsidP="00E84339">
      <w:pPr>
        <w:pStyle w:val="Para0"/>
      </w:pPr>
      <w:r w:rsidRPr="00642A5D">
        <w:t xml:space="preserve">The NAS (2013) suggests that very low number of </w:t>
      </w:r>
      <w:r w:rsidR="00F02056" w:rsidRPr="00642A5D">
        <w:t xml:space="preserve">fault </w:t>
      </w:r>
      <w:r w:rsidRPr="00642A5D">
        <w:t>events relative to the large number of hydraulically fractured wells for shale gas is likely due to the short duration of injection of fluids and the limited fluid volumes used over a small spatial area.</w:t>
      </w:r>
    </w:p>
    <w:p w14:paraId="56B97D77" w14:textId="49DDD5D1" w:rsidR="00E84339" w:rsidRPr="00642A5D" w:rsidRDefault="00E84339" w:rsidP="00E84339">
      <w:pPr>
        <w:pStyle w:val="Para0"/>
      </w:pPr>
      <w:r w:rsidRPr="00642A5D">
        <w:t xml:space="preserve">In New Zealand, hydraulic fracturing is a </w:t>
      </w:r>
      <w:r w:rsidR="003E468A">
        <w:t xml:space="preserve">comparatively new technique, </w:t>
      </w:r>
      <w:r w:rsidRPr="00642A5D">
        <w:t xml:space="preserve">the first recorded </w:t>
      </w:r>
      <w:r w:rsidR="005A4374" w:rsidRPr="00642A5D">
        <w:t>hydraulic fracturing</w:t>
      </w:r>
      <w:r w:rsidR="003E468A">
        <w:t xml:space="preserve"> was undertaken in 1989</w:t>
      </w:r>
      <w:r w:rsidRPr="00642A5D">
        <w:t>.</w:t>
      </w:r>
      <w:r w:rsidR="009A72C5">
        <w:t xml:space="preserve"> </w:t>
      </w:r>
      <w:r w:rsidRPr="00642A5D">
        <w:t>Almost all the fracturing undertaken to date has occurred near Taranaki. The NZ Parliamentary Commissioner for the Environment commissioned a study to evaluate the environmental impacts of hydraulic fracturing in New Zealand in 2012</w:t>
      </w:r>
      <w:r w:rsidR="003E468A">
        <w:t xml:space="preserve"> NZPCE, 2012)</w:t>
      </w:r>
      <w:r w:rsidRPr="00642A5D">
        <w:t>. This study suggested that hydraulic fracturing in New Zealand creates earthquakes, with magnitudes less than 2 that cannot be</w:t>
      </w:r>
      <w:r w:rsidR="00A76D25">
        <w:t xml:space="preserve"> felt at the surface. These </w:t>
      </w:r>
      <w:r w:rsidRPr="00642A5D">
        <w:t>earthquakes are within the natural variability experienced in the region. However, where injected hydraulic fracturing fluids migrate to an active fault, the fluid can cause movement within the stressed fault which allows the fault to slip.</w:t>
      </w:r>
      <w:r w:rsidR="009A72C5">
        <w:t xml:space="preserve"> </w:t>
      </w:r>
      <w:r w:rsidR="00352482">
        <w:t>The study infers</w:t>
      </w:r>
      <w:r w:rsidRPr="00642A5D">
        <w:t xml:space="preserve"> that it is not possible to trigger significant earthquakes if there is no local active fault and that the chance of inducing an earthquake is influenced by a range of variables, which include the volume of fluid injected, the size of the existing fault and how much stress it is under. The key conclusion of this study, based on records from the earthquake monitoring systems, was that there is no evidence to suggest that fracturing around Taranaki has cause induced seismicity that could be felt at the surface.</w:t>
      </w:r>
      <w:r w:rsidR="009A72C5">
        <w:t xml:space="preserve"> </w:t>
      </w:r>
    </w:p>
    <w:p w14:paraId="250F3179" w14:textId="33F06942" w:rsidR="008B4F7E" w:rsidRPr="00642A5D" w:rsidRDefault="008B4F7E">
      <w:r w:rsidRPr="00642A5D">
        <w:t xml:space="preserve">In summary, despite tens of thousands of hydraulic fracture stimulations globally, two events large enough </w:t>
      </w:r>
      <w:r w:rsidR="00CE7F82">
        <w:br/>
      </w:r>
      <w:r w:rsidRPr="00642A5D">
        <w:t>to be felt by workers have been confirmed as</w:t>
      </w:r>
      <w:r w:rsidR="00ED7B0C" w:rsidRPr="00642A5D">
        <w:t xml:space="preserve"> </w:t>
      </w:r>
      <w:r w:rsidRPr="00642A5D">
        <w:t xml:space="preserve">related to hydraulic fracturing. As outlined above, this includes an event in British Columbia, </w:t>
      </w:r>
      <w:r w:rsidR="00CE7F82">
        <w:t>Canada</w:t>
      </w:r>
      <w:r w:rsidR="00CE7F82" w:rsidRPr="00642A5D">
        <w:t xml:space="preserve"> </w:t>
      </w:r>
      <w:r w:rsidRPr="00642A5D">
        <w:t>(maximum M</w:t>
      </w:r>
      <w:r w:rsidRPr="00642A5D">
        <w:rPr>
          <w:vertAlign w:val="subscript"/>
        </w:rPr>
        <w:t>L</w:t>
      </w:r>
      <w:r w:rsidRPr="00642A5D">
        <w:t xml:space="preserve"> = 3.8) and an event in Blackpool, </w:t>
      </w:r>
      <w:r w:rsidR="00CE7F82">
        <w:t>England</w:t>
      </w:r>
      <w:r w:rsidRPr="00642A5D">
        <w:t xml:space="preserve"> (maximum </w:t>
      </w:r>
      <w:r w:rsidR="00CE7F82">
        <w:br/>
      </w:r>
      <w:r w:rsidRPr="00642A5D">
        <w:t>M</w:t>
      </w:r>
      <w:r w:rsidRPr="00642A5D">
        <w:rPr>
          <w:vertAlign w:val="subscript"/>
        </w:rPr>
        <w:t>L</w:t>
      </w:r>
      <w:r w:rsidRPr="00642A5D">
        <w:t xml:space="preserve"> = 2.3). Cook </w:t>
      </w:r>
      <w:r w:rsidR="0061023B" w:rsidRPr="0061023B">
        <w:t>et al.</w:t>
      </w:r>
      <w:r w:rsidRPr="00642A5D">
        <w:t xml:space="preserve"> (2013) summarise</w:t>
      </w:r>
      <w:r w:rsidR="00ED7B0C" w:rsidRPr="00642A5D">
        <w:t>d</w:t>
      </w:r>
      <w:r w:rsidRPr="00642A5D">
        <w:t xml:space="preserve"> the findings of a number of reports with respect to the risk of induced seismicity presented by hydraulic fracturing and report</w:t>
      </w:r>
      <w:r w:rsidR="00ED7B0C" w:rsidRPr="00642A5D">
        <w:t>ed</w:t>
      </w:r>
      <w:r w:rsidRPr="00642A5D">
        <w:t xml:space="preserve"> that:</w:t>
      </w:r>
    </w:p>
    <w:p w14:paraId="52E9B05E" w14:textId="6CD386C3" w:rsidR="00E84339" w:rsidRPr="00642A5D" w:rsidRDefault="006166A4" w:rsidP="006166A4">
      <w:pPr>
        <w:pStyle w:val="bulletlist0"/>
      </w:pPr>
      <w:r>
        <w:t>•</w:t>
      </w:r>
      <w:r>
        <w:tab/>
      </w:r>
      <w:r w:rsidR="00E84339" w:rsidRPr="00642A5D">
        <w:t>Seismicity induced by hydraulic fracturing would be no greater than 3 M</w:t>
      </w:r>
      <w:r w:rsidR="00E84339" w:rsidRPr="00642A5D">
        <w:rPr>
          <w:vertAlign w:val="subscript"/>
        </w:rPr>
        <w:t>L</w:t>
      </w:r>
      <w:r w:rsidR="00E84339" w:rsidRPr="00642A5D">
        <w:t xml:space="preserve"> and would be felt by people, resulting in negligible, if any, surface impacts.</w:t>
      </w:r>
    </w:p>
    <w:p w14:paraId="6A1FF5F0" w14:textId="55CF0D57" w:rsidR="00E84339" w:rsidRPr="00642A5D" w:rsidRDefault="006166A4" w:rsidP="006166A4">
      <w:pPr>
        <w:pStyle w:val="bulletlist0"/>
      </w:pPr>
      <w:r>
        <w:t>•</w:t>
      </w:r>
      <w:r>
        <w:tab/>
      </w:r>
      <w:r w:rsidR="00E84339" w:rsidRPr="00642A5D">
        <w:t>Hydraulic fracturing itself rarely triggers earthquakes large enough to be a safety concern.</w:t>
      </w:r>
    </w:p>
    <w:p w14:paraId="672AF8B0" w14:textId="47E583F9" w:rsidR="00E84339" w:rsidRPr="00642A5D" w:rsidRDefault="006166A4" w:rsidP="006166A4">
      <w:pPr>
        <w:pStyle w:val="bulletlist0"/>
      </w:pPr>
      <w:r>
        <w:t>•</w:t>
      </w:r>
      <w:r>
        <w:tab/>
      </w:r>
      <w:r w:rsidR="00E84339" w:rsidRPr="00642A5D">
        <w:t>Hydraulic fracturing a well as presently implemented for shale gas recovery does not pose a high risk for inducing felt seismic events.</w:t>
      </w:r>
    </w:p>
    <w:p w14:paraId="7693657B" w14:textId="20EDFB12" w:rsidR="008B4F7E" w:rsidRPr="00642A5D" w:rsidRDefault="008B4F7E">
      <w:pPr>
        <w:rPr>
          <w:lang w:eastAsia="en-US"/>
        </w:rPr>
      </w:pPr>
      <w:r w:rsidRPr="00642A5D">
        <w:t xml:space="preserve">Cook </w:t>
      </w:r>
      <w:r w:rsidR="0061023B" w:rsidRPr="0061023B">
        <w:t>et al.</w:t>
      </w:r>
      <w:r w:rsidRPr="00642A5D">
        <w:t xml:space="preserve"> (2013) concludes that despite the relatively low risk presented by hydraulic fracturing itself, real-time seismic monitoring can allow operators to respond to seismic indicators and mitigate the risk.</w:t>
      </w:r>
    </w:p>
    <w:p w14:paraId="0FA90EF5" w14:textId="1442AE3B" w:rsidR="00A76DC9" w:rsidRPr="00642A5D" w:rsidRDefault="005707ED" w:rsidP="00F60E96">
      <w:pPr>
        <w:pStyle w:val="Head2xx"/>
      </w:pPr>
      <w:bookmarkStart w:id="584" w:name="_Toc420568718"/>
      <w:bookmarkStart w:id="585" w:name="_Toc420570300"/>
      <w:bookmarkStart w:id="586" w:name="_Toc420571496"/>
      <w:bookmarkStart w:id="587" w:name="_Toc420572134"/>
      <w:bookmarkStart w:id="588" w:name="_Toc296766992"/>
      <w:bookmarkStart w:id="589" w:name="_Toc422927916"/>
      <w:r>
        <w:t>5.4</w:t>
      </w:r>
      <w:r>
        <w:tab/>
      </w:r>
      <w:r w:rsidR="00ED7B0C" w:rsidRPr="00642A5D">
        <w:t>Gas development</w:t>
      </w:r>
      <w:bookmarkEnd w:id="584"/>
      <w:bookmarkEnd w:id="585"/>
      <w:bookmarkEnd w:id="586"/>
      <w:bookmarkEnd w:id="587"/>
      <w:bookmarkEnd w:id="588"/>
      <w:bookmarkEnd w:id="589"/>
    </w:p>
    <w:p w14:paraId="43D5CB92" w14:textId="77777777" w:rsidR="00CE7F82" w:rsidRDefault="00CE7F82" w:rsidP="00CE7F82">
      <w:r>
        <w:t>Oil,</w:t>
      </w:r>
      <w:r w:rsidRPr="00FD1A9A">
        <w:t xml:space="preserve"> gas </w:t>
      </w:r>
      <w:r>
        <w:t xml:space="preserve">and fluid </w:t>
      </w:r>
      <w:r w:rsidRPr="00FD1A9A">
        <w:t xml:space="preserve">extraction </w:t>
      </w:r>
      <w:r>
        <w:t>from a reservoir can cause declines</w:t>
      </w:r>
      <w:r w:rsidRPr="00FD1A9A">
        <w:t xml:space="preserve"> </w:t>
      </w:r>
      <w:r>
        <w:t>in the pore pressure that can</w:t>
      </w:r>
      <w:r w:rsidRPr="00FD1A9A">
        <w:t xml:space="preserve"> cause induced seismic events</w:t>
      </w:r>
      <w:r>
        <w:t xml:space="preserve"> (NAS, 2013). Declining pore pressure associated with extraction causes contraction of the reservoir and induces stresses in the surrounding rock. This can increase horizontal stresses above and below the reservoir and increases the potential for reverse faulting. It has been estimated that the withdrawal of fluids from reservoirs</w:t>
      </w:r>
      <w:r w:rsidRPr="00C01005">
        <w:t xml:space="preserve"> </w:t>
      </w:r>
      <w:r>
        <w:t>can cause earthquakes up to magnitude 5.0</w:t>
      </w:r>
      <w:r w:rsidRPr="00AF5B6F">
        <w:t xml:space="preserve"> </w:t>
      </w:r>
      <w:r>
        <w:t>M</w:t>
      </w:r>
      <w:r w:rsidRPr="00E36D66">
        <w:rPr>
          <w:vertAlign w:val="subscript"/>
        </w:rPr>
        <w:t>L</w:t>
      </w:r>
      <w:r>
        <w:t xml:space="preserve"> (Grasso, 1992).</w:t>
      </w:r>
    </w:p>
    <w:p w14:paraId="7BEF82A4" w14:textId="2902DACD" w:rsidR="00CE7F82" w:rsidRDefault="00CE7F82" w:rsidP="00CE7F82">
      <w:r w:rsidRPr="000A6E4D">
        <w:t>I</w:t>
      </w:r>
      <w:r>
        <w:t>n</w:t>
      </w:r>
      <w:r w:rsidRPr="000A6E4D">
        <w:t xml:space="preserve"> a study into induced seismicity related to natural gas extraction, Van Eijs </w:t>
      </w:r>
      <w:r>
        <w:t xml:space="preserve">et al. </w:t>
      </w:r>
      <w:r w:rsidRPr="000A6E4D">
        <w:t xml:space="preserve">(2006) </w:t>
      </w:r>
      <w:r>
        <w:t>found three major contributing factors in producing seismicity:</w:t>
      </w:r>
    </w:p>
    <w:p w14:paraId="2E73CF48" w14:textId="77777777" w:rsidR="00CE7F82" w:rsidRPr="000A6E4D" w:rsidRDefault="00CE7F82" w:rsidP="00CE7F82">
      <w:pPr>
        <w:pStyle w:val="bulletlist0"/>
      </w:pPr>
      <w:r>
        <w:t>•</w:t>
      </w:r>
      <w:r>
        <w:tab/>
        <w:t>pore pressure drop from pumping</w:t>
      </w:r>
    </w:p>
    <w:p w14:paraId="2BE3C0D1" w14:textId="77777777" w:rsidR="00CE7F82" w:rsidRDefault="00CE7F82" w:rsidP="00CE7F82">
      <w:pPr>
        <w:pStyle w:val="bulletlist0"/>
      </w:pPr>
      <w:r>
        <w:t>•</w:t>
      </w:r>
      <w:r>
        <w:tab/>
        <w:t>existing fault density overlying the gas field</w:t>
      </w:r>
    </w:p>
    <w:p w14:paraId="5B68EC96" w14:textId="77777777" w:rsidR="00CE7F82" w:rsidRDefault="00CE7F82" w:rsidP="00CE7F82">
      <w:pPr>
        <w:pStyle w:val="bulletlist0"/>
      </w:pPr>
      <w:r>
        <w:t>•</w:t>
      </w:r>
      <w:r>
        <w:tab/>
        <w:t>contrast in crustal stiffness between the reservoir rock and the surrounding rock.</w:t>
      </w:r>
    </w:p>
    <w:p w14:paraId="63492E73" w14:textId="41CC6BFD" w:rsidR="00CE7F82" w:rsidRDefault="00CE7F82" w:rsidP="00CE7F82">
      <w:r>
        <w:t>The</w:t>
      </w:r>
      <w:r w:rsidRPr="0027174F">
        <w:t xml:space="preserve"> extraction of fluids and hydrocarbons may cause vertical stress reducti</w:t>
      </w:r>
      <w:r>
        <w:t>on and isostatic uplift (the asc</w:t>
      </w:r>
      <w:r w:rsidRPr="0027174F">
        <w:t xml:space="preserve">ent of underlying rock </w:t>
      </w:r>
      <w:r>
        <w:t xml:space="preserve">as a result of the </w:t>
      </w:r>
      <w:r w:rsidRPr="0027174F">
        <w:t xml:space="preserve">removal of </w:t>
      </w:r>
      <w:r>
        <w:t>overburden</w:t>
      </w:r>
      <w:r w:rsidRPr="0027174F">
        <w:t xml:space="preserve"> weight) of the lithosphere surrounding gas development (McGarr, 1991)</w:t>
      </w:r>
      <w:r>
        <w:t xml:space="preserve">. This may induce slip on pre-existing faults at depth. </w:t>
      </w:r>
    </w:p>
    <w:p w14:paraId="5764EF8F" w14:textId="2390A1D1" w:rsidR="00E84339" w:rsidRPr="00642A5D" w:rsidRDefault="00CE7F82" w:rsidP="00E84339">
      <w:pPr>
        <w:pStyle w:val="Para0"/>
      </w:pPr>
      <w:r w:rsidRPr="0027174F">
        <w:t>The National Academy of Sciences (NAS, 2013) report</w:t>
      </w:r>
      <w:r>
        <w:t>ed</w:t>
      </w:r>
      <w:r w:rsidRPr="0027174F">
        <w:t xml:space="preserve"> that</w:t>
      </w:r>
      <w:r>
        <w:t>,</w:t>
      </w:r>
      <w:r w:rsidRPr="0027174F">
        <w:t xml:space="preserve"> </w:t>
      </w:r>
      <w:r>
        <w:t>on</w:t>
      </w:r>
      <w:r w:rsidRPr="0027174F">
        <w:t xml:space="preserve"> approximately 6000 </w:t>
      </w:r>
      <w:r>
        <w:t xml:space="preserve">producing oil and gas </w:t>
      </w:r>
      <w:r w:rsidRPr="0027174F">
        <w:t>extraction fields across California, Illinois, Nebraska, Oklahoma and Texas</w:t>
      </w:r>
      <w:r>
        <w:t>, workers</w:t>
      </w:r>
      <w:r w:rsidRPr="0027174F">
        <w:t xml:space="preserve"> have felt seismic events at </w:t>
      </w:r>
      <w:r>
        <w:t>20</w:t>
      </w:r>
      <w:r w:rsidRPr="0027174F">
        <w:t xml:space="preserve"> locations</w:t>
      </w:r>
      <w:r>
        <w:t xml:space="preserve">. </w:t>
      </w:r>
      <w:r w:rsidRPr="0027174F">
        <w:t xml:space="preserve">Of these, </w:t>
      </w:r>
      <w:r>
        <w:t>five</w:t>
      </w:r>
      <w:r w:rsidRPr="0027174F">
        <w:t xml:space="preserve"> events have had a magnitude of 4 or greater</w:t>
      </w:r>
      <w:r>
        <w:t>,</w:t>
      </w:r>
      <w:r w:rsidRPr="0027174F">
        <w:t xml:space="preserve"> and the most significant event had a magnitude of 6.5</w:t>
      </w:r>
      <w:r w:rsidRPr="00AF5B6F">
        <w:t xml:space="preserve"> </w:t>
      </w:r>
      <w:r>
        <w:t>M</w:t>
      </w:r>
      <w:r w:rsidRPr="00E36D66">
        <w:rPr>
          <w:vertAlign w:val="subscript"/>
        </w:rPr>
        <w:t>L</w:t>
      </w:r>
      <w:r>
        <w:t xml:space="preserve">. </w:t>
      </w:r>
      <w:r w:rsidR="00E84339" w:rsidRPr="00642A5D">
        <w:t>The global distribution of seismic events related to oil and gas extraction are illustrated in</w:t>
      </w:r>
      <w:r w:rsidR="00F84B5F" w:rsidRPr="00642A5D">
        <w:t xml:space="preserve"> </w:t>
      </w:r>
      <w:r w:rsidR="00943638">
        <w:fldChar w:fldCharType="begin"/>
      </w:r>
      <w:r w:rsidR="00943638">
        <w:instrText xml:space="preserve"> REF _Ref405901241 \h </w:instrText>
      </w:r>
      <w:r w:rsidR="00943638">
        <w:fldChar w:fldCharType="separate"/>
      </w:r>
      <w:r w:rsidR="00171A5E" w:rsidRPr="00642A5D">
        <w:t xml:space="preserve">Figure </w:t>
      </w:r>
      <w:r w:rsidR="00171A5E">
        <w:rPr>
          <w:noProof/>
        </w:rPr>
        <w:t>50</w:t>
      </w:r>
      <w:r w:rsidR="00943638">
        <w:fldChar w:fldCharType="end"/>
      </w:r>
      <w:r>
        <w:t xml:space="preserve"> (see Section 5.2).</w:t>
      </w:r>
    </w:p>
    <w:p w14:paraId="564728CC" w14:textId="55A536B1" w:rsidR="00E84339" w:rsidRPr="00642A5D" w:rsidRDefault="00E84339">
      <w:r w:rsidRPr="00642A5D">
        <w:t>It has been well documented that the Lacq gas field in France provides a good example of induced seismicity resulting from fluid extraction (NAS, 2013).</w:t>
      </w:r>
      <w:r w:rsidR="009A72C5">
        <w:t xml:space="preserve"> </w:t>
      </w:r>
      <w:r w:rsidRPr="00642A5D">
        <w:t xml:space="preserve">The gas reservoir is a limestone sequence approximately 500 m </w:t>
      </w:r>
      <w:r w:rsidR="00CD3D6E">
        <w:t>thick</w:t>
      </w:r>
      <w:r w:rsidRPr="00642A5D">
        <w:t xml:space="preserve"> and the first earthquake felt at the site occurred after a decrease in pressure of approximately 300 bar (3060 mH</w:t>
      </w:r>
      <w:r w:rsidRPr="00642A5D">
        <w:rPr>
          <w:vertAlign w:val="subscript"/>
        </w:rPr>
        <w:t>2</w:t>
      </w:r>
      <w:r w:rsidRPr="00642A5D">
        <w:t>O) from 1957 to 1969. Development over the ensuing ~15 years resulted in a further 200 bar pressure drop accompanied by 800 seismic events with magnitude of up to M</w:t>
      </w:r>
      <w:r w:rsidR="00CE7F82">
        <w:rPr>
          <w:vertAlign w:val="subscript"/>
        </w:rPr>
        <w:t>L</w:t>
      </w:r>
      <w:r w:rsidRPr="00642A5D">
        <w:t xml:space="preserve"> 4.2. While this provides an example of seismicity related to reductions in pore pressure associated with fluid extraction, it should also be noted that the Lacq gas field is an example of conventional gas production. As such, the intrinsic differences between </w:t>
      </w:r>
      <w:r w:rsidR="00932254">
        <w:t xml:space="preserve">prospective </w:t>
      </w:r>
      <w:r w:rsidRPr="00642A5D">
        <w:t xml:space="preserve">conventional and unconventional </w:t>
      </w:r>
      <w:r w:rsidR="00932254">
        <w:t xml:space="preserve">gas </w:t>
      </w:r>
      <w:r w:rsidRPr="00642A5D">
        <w:t xml:space="preserve">should be accounted for before directly relating such results to </w:t>
      </w:r>
      <w:r w:rsidR="00932254">
        <w:t xml:space="preserve">prospective </w:t>
      </w:r>
      <w:r w:rsidRPr="00642A5D">
        <w:t xml:space="preserve">unconventional </w:t>
      </w:r>
      <w:r w:rsidR="00932254">
        <w:t>gas</w:t>
      </w:r>
      <w:r w:rsidRPr="00642A5D">
        <w:t>.</w:t>
      </w:r>
      <w:r w:rsidR="009A72C5">
        <w:t xml:space="preserve"> </w:t>
      </w:r>
    </w:p>
    <w:p w14:paraId="02F510E0" w14:textId="5F53F98E" w:rsidR="00E84339" w:rsidRPr="00642A5D" w:rsidRDefault="00E84339">
      <w:r w:rsidRPr="00642A5D">
        <w:t>Understanding seismicity induced by fluid and hydrocarbon withdrawal requires characterisation of stress changes associated with the large-scale reservoir expansion due to pore pressure reduction and uplift driven by mass removal. Because stress change can take place over large areas (approximate to the size of the oil/gas reservoir) there is potential for event magnitudes to be high. Additionally, unconventional gas is usually over large areas and may induce seismicity over greater spatial scales. However in order to trigger an event, the stress field between two surfaces must be close to critical as stress changes in response to pore pressure reductions are small. For example</w:t>
      </w:r>
      <w:r w:rsidR="002E04BC">
        <w:t>,</w:t>
      </w:r>
      <w:r w:rsidRPr="00642A5D">
        <w:t xml:space="preserve"> at the Lacq gas field a pressure drop of 300 bar was required to increase the maximum shear stress by 1 bar (NAS, 2013).</w:t>
      </w:r>
    </w:p>
    <w:p w14:paraId="0E951108" w14:textId="74587FE7" w:rsidR="00E84339" w:rsidRPr="00642A5D" w:rsidRDefault="00E84339">
      <w:pPr>
        <w:rPr>
          <w:lang w:val="en-AU" w:eastAsia="en-US"/>
        </w:rPr>
      </w:pPr>
      <w:r w:rsidRPr="00642A5D">
        <w:t xml:space="preserve">Cook </w:t>
      </w:r>
      <w:r w:rsidR="0061023B" w:rsidRPr="0061023B">
        <w:t>et al.</w:t>
      </w:r>
      <w:r w:rsidRPr="00642A5D">
        <w:t xml:space="preserve"> (2013) also highlights potential risks associated with pressure changes in gas reservoirs. A review of gas withdrawal and injection history at the Iona facility in southwest Victoria including modelling of pressure changes, revealed maximum subsidence predictions of 2.5 and 9.0 mm at various stages of gas production from the reservoir. Subsidence was expected to be greatest directly above the reservoir but some displacement was expected up to 2.5 km from the centre of the reservoir. Fault stability during pressure changes was predicted by modelling plastic strain, and a value of 1% strain increase was used to indicate the point at which rock failure becomes elevated.</w:t>
      </w:r>
    </w:p>
    <w:p w14:paraId="07BB2778" w14:textId="5D22D42B" w:rsidR="00ED7B0C" w:rsidRPr="00642A5D" w:rsidRDefault="005707ED" w:rsidP="00F60E96">
      <w:pPr>
        <w:pStyle w:val="Head2xx"/>
      </w:pPr>
      <w:bookmarkStart w:id="590" w:name="_Toc420570301"/>
      <w:bookmarkStart w:id="591" w:name="_Toc420571497"/>
      <w:bookmarkStart w:id="592" w:name="_Toc420572135"/>
      <w:bookmarkStart w:id="593" w:name="_Toc296766993"/>
      <w:bookmarkStart w:id="594" w:name="_Toc422927917"/>
      <w:r>
        <w:t>5.5</w:t>
      </w:r>
      <w:r>
        <w:tab/>
      </w:r>
      <w:r w:rsidR="00C6710F">
        <w:t>Qualitative r</w:t>
      </w:r>
      <w:r w:rsidR="006B4380" w:rsidRPr="00642A5D">
        <w:t>isk assessment</w:t>
      </w:r>
      <w:bookmarkEnd w:id="590"/>
      <w:bookmarkEnd w:id="591"/>
      <w:bookmarkEnd w:id="592"/>
      <w:bookmarkEnd w:id="593"/>
      <w:bookmarkEnd w:id="594"/>
    </w:p>
    <w:p w14:paraId="31E5DC9E" w14:textId="77777777" w:rsidR="00C6710F" w:rsidRPr="00C6710F" w:rsidRDefault="00C6710F" w:rsidP="00C6710F">
      <w:pPr>
        <w:pStyle w:val="Para0"/>
        <w:rPr>
          <w:rFonts w:eastAsia="Times New Roman" w:cs="Times New Roman"/>
          <w:szCs w:val="20"/>
          <w:lang w:val="en-GB" w:eastAsia="en-AU"/>
        </w:rPr>
      </w:pPr>
      <w:r w:rsidRPr="00C6710F">
        <w:rPr>
          <w:rFonts w:eastAsia="Times New Roman" w:cs="Times New Roman"/>
          <w:szCs w:val="20"/>
          <w:lang w:val="en-GB" w:eastAsia="en-AU"/>
        </w:rPr>
        <w:t>The development of a qualitative risk assessment for induced seismicity involves the understanding of uncertainties associated with subsurface complexities. At the start of any subsurface project, the uncertainty is broad and is not expected to be fully resolved. The risks associated with induced seismicity include those associated with increased pressure driven by processes such as hydraulic fracturing and decreases in pressure resulting from gas or fluid extraction. These processes could possibly lead to fault re-activation and seismic events.</w:t>
      </w:r>
    </w:p>
    <w:p w14:paraId="5A4D71D0" w14:textId="0D5063D9" w:rsidR="006B4380" w:rsidRDefault="00C6710F" w:rsidP="00C6710F">
      <w:pPr>
        <w:pStyle w:val="Para0"/>
        <w:rPr>
          <w:rFonts w:eastAsia="Times New Roman" w:cs="Times New Roman"/>
          <w:szCs w:val="20"/>
          <w:lang w:val="en-GB" w:eastAsia="en-AU"/>
        </w:rPr>
      </w:pPr>
      <w:r w:rsidRPr="00C6710F">
        <w:rPr>
          <w:rFonts w:eastAsia="Times New Roman" w:cs="Times New Roman"/>
          <w:szCs w:val="20"/>
          <w:lang w:val="en-GB" w:eastAsia="en-AU"/>
        </w:rPr>
        <w:t>The likelihood of inducing a seismic event during gas development relies on a number of factors including the natural level of seismicity in the area, curre</w:t>
      </w:r>
      <w:r w:rsidR="00932254">
        <w:rPr>
          <w:rFonts w:eastAsia="Times New Roman" w:cs="Times New Roman"/>
          <w:szCs w:val="20"/>
          <w:lang w:val="en-GB" w:eastAsia="en-AU"/>
        </w:rPr>
        <w:t xml:space="preserve">nt stress regimes in the prospective gas formations </w:t>
      </w:r>
      <w:r w:rsidRPr="00C6710F">
        <w:rPr>
          <w:rFonts w:eastAsia="Times New Roman" w:cs="Times New Roman"/>
          <w:szCs w:val="20"/>
          <w:lang w:val="en-GB" w:eastAsia="en-AU"/>
        </w:rPr>
        <w:t xml:space="preserve">and surrounding formations, the prevalence and proximity of faults and weaknesses to the </w:t>
      </w:r>
      <w:r w:rsidR="00932254">
        <w:rPr>
          <w:rFonts w:eastAsia="Times New Roman" w:cs="Times New Roman"/>
          <w:szCs w:val="20"/>
          <w:lang w:val="en-GB" w:eastAsia="en-AU"/>
        </w:rPr>
        <w:t>prospective gas formation</w:t>
      </w:r>
      <w:r w:rsidR="000D5DEF">
        <w:rPr>
          <w:rFonts w:eastAsia="Times New Roman" w:cs="Times New Roman"/>
          <w:szCs w:val="20"/>
          <w:lang w:val="en-GB" w:eastAsia="en-AU"/>
        </w:rPr>
        <w:t>,</w:t>
      </w:r>
      <w:r w:rsidRPr="00C6710F">
        <w:rPr>
          <w:rFonts w:eastAsia="Times New Roman" w:cs="Times New Roman"/>
          <w:szCs w:val="20"/>
          <w:lang w:val="en-GB" w:eastAsia="en-AU"/>
        </w:rPr>
        <w:t xml:space="preserve"> and the nature and operation of the development undertaken (i.e. pressure changes and intensity of development wells). Using </w:t>
      </w:r>
      <w:r w:rsidR="002D4544" w:rsidRPr="00C6710F">
        <w:rPr>
          <w:rFonts w:eastAsia="Times New Roman" w:cs="Times New Roman"/>
          <w:szCs w:val="20"/>
          <w:lang w:val="en-GB" w:eastAsia="en-AU"/>
        </w:rPr>
        <w:t>th</w:t>
      </w:r>
      <w:r w:rsidR="002D4544">
        <w:rPr>
          <w:rFonts w:eastAsia="Times New Roman" w:cs="Times New Roman"/>
          <w:szCs w:val="20"/>
          <w:lang w:val="en-GB" w:eastAsia="en-AU"/>
        </w:rPr>
        <w:t>ese criteria</w:t>
      </w:r>
      <w:r w:rsidRPr="00C6710F">
        <w:rPr>
          <w:rFonts w:eastAsia="Times New Roman" w:cs="Times New Roman"/>
          <w:szCs w:val="20"/>
          <w:lang w:val="en-GB" w:eastAsia="en-AU"/>
        </w:rPr>
        <w:t xml:space="preserve">, the likelihood of inducing a seismic event can be characterised as low, moderate or high (Table </w:t>
      </w:r>
      <w:r w:rsidR="002E04BC">
        <w:rPr>
          <w:rFonts w:eastAsia="Times New Roman" w:cs="Times New Roman"/>
          <w:szCs w:val="20"/>
          <w:lang w:val="en-GB" w:eastAsia="en-AU"/>
        </w:rPr>
        <w:t>9</w:t>
      </w:r>
      <w:r w:rsidRPr="00C6710F">
        <w:rPr>
          <w:rFonts w:eastAsia="Times New Roman" w:cs="Times New Roman"/>
          <w:szCs w:val="20"/>
          <w:lang w:val="en-GB" w:eastAsia="en-AU"/>
        </w:rPr>
        <w:t>).</w:t>
      </w:r>
    </w:p>
    <w:p w14:paraId="670134D8" w14:textId="30032C32" w:rsidR="006B4380" w:rsidRPr="00642A5D" w:rsidRDefault="006B4380" w:rsidP="002D44DF">
      <w:pPr>
        <w:pStyle w:val="Tableheading"/>
      </w:pPr>
      <w:bookmarkStart w:id="595" w:name="_Ref406506767"/>
      <w:bookmarkStart w:id="596" w:name="_Toc296770889"/>
      <w:r w:rsidRPr="00642A5D">
        <w:t xml:space="preserve">Table </w:t>
      </w:r>
      <w:r w:rsidR="007569CD" w:rsidRPr="00642A5D">
        <w:fldChar w:fldCharType="begin"/>
      </w:r>
      <w:r w:rsidRPr="00642A5D">
        <w:instrText xml:space="preserve"> SEQ Table \* ARABIC </w:instrText>
      </w:r>
      <w:r w:rsidR="007569CD" w:rsidRPr="00642A5D">
        <w:fldChar w:fldCharType="separate"/>
      </w:r>
      <w:r w:rsidR="00171A5E">
        <w:rPr>
          <w:noProof/>
        </w:rPr>
        <w:t>9</w:t>
      </w:r>
      <w:r w:rsidR="007569CD" w:rsidRPr="00642A5D">
        <w:fldChar w:fldCharType="end"/>
      </w:r>
      <w:bookmarkEnd w:id="595"/>
      <w:r w:rsidR="008B076F">
        <w:t>:</w:t>
      </w:r>
      <w:r w:rsidRPr="00642A5D">
        <w:t xml:space="preserve"> </w:t>
      </w:r>
      <w:r w:rsidR="00CE7F82">
        <w:t xml:space="preserve"> </w:t>
      </w:r>
      <w:r w:rsidRPr="00642A5D">
        <w:t>Proposed likelihood assessment criteria for induced seismicity</w:t>
      </w:r>
      <w:r w:rsidR="008F369D">
        <w:t>.</w:t>
      </w:r>
      <w:bookmarkEnd w:id="596"/>
    </w:p>
    <w:tbl>
      <w:tblPr>
        <w:tblW w:w="0" w:type="auto"/>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3071"/>
        <w:gridCol w:w="3071"/>
        <w:gridCol w:w="3497"/>
      </w:tblGrid>
      <w:tr w:rsidR="00CE7F82" w:rsidRPr="00685203" w14:paraId="13A89829" w14:textId="77777777" w:rsidTr="00E7436B">
        <w:trPr>
          <w:trHeight w:val="397"/>
        </w:trPr>
        <w:tc>
          <w:tcPr>
            <w:tcW w:w="3071" w:type="dxa"/>
            <w:tcBorders>
              <w:top w:val="nil"/>
              <w:right w:val="single" w:sz="4" w:space="0" w:color="FFFFFF"/>
            </w:tcBorders>
            <w:shd w:val="clear" w:color="auto" w:fill="005A97"/>
            <w:vAlign w:val="center"/>
          </w:tcPr>
          <w:p w14:paraId="1C39327B" w14:textId="77777777" w:rsidR="00CE7F82" w:rsidRPr="00685203" w:rsidRDefault="00CE7F82" w:rsidP="00E35DD3">
            <w:pPr>
              <w:pStyle w:val="TableHeaderrow"/>
            </w:pPr>
            <w:r w:rsidRPr="00685203">
              <w:t>Induced seismicity likelihood</w:t>
            </w:r>
          </w:p>
        </w:tc>
        <w:tc>
          <w:tcPr>
            <w:tcW w:w="3071" w:type="dxa"/>
            <w:tcBorders>
              <w:top w:val="nil"/>
              <w:left w:val="single" w:sz="4" w:space="0" w:color="FFFFFF"/>
              <w:right w:val="single" w:sz="4" w:space="0" w:color="FFFFFF"/>
            </w:tcBorders>
            <w:shd w:val="clear" w:color="auto" w:fill="005A97"/>
            <w:vAlign w:val="center"/>
          </w:tcPr>
          <w:p w14:paraId="59526782" w14:textId="77777777" w:rsidR="00CE7F82" w:rsidRPr="00685203" w:rsidRDefault="00CE7F82" w:rsidP="00E35DD3">
            <w:pPr>
              <w:pStyle w:val="TableHeaderrow"/>
            </w:pPr>
            <w:r w:rsidRPr="00685203">
              <w:t>Pressure change</w:t>
            </w:r>
          </w:p>
        </w:tc>
        <w:tc>
          <w:tcPr>
            <w:tcW w:w="3497" w:type="dxa"/>
            <w:tcBorders>
              <w:top w:val="nil"/>
              <w:left w:val="single" w:sz="4" w:space="0" w:color="FFFFFF"/>
            </w:tcBorders>
            <w:shd w:val="clear" w:color="auto" w:fill="005A97"/>
            <w:vAlign w:val="center"/>
          </w:tcPr>
          <w:p w14:paraId="4959C35D" w14:textId="77777777" w:rsidR="00CE7F82" w:rsidRPr="00685203" w:rsidRDefault="00CE7F82" w:rsidP="00E35DD3">
            <w:pPr>
              <w:pStyle w:val="TableHeaderrow"/>
            </w:pPr>
            <w:r w:rsidRPr="00685203">
              <w:t>Intensity of development of wells</w:t>
            </w:r>
          </w:p>
        </w:tc>
      </w:tr>
      <w:tr w:rsidR="00CE7F82" w:rsidRPr="00B851DB" w14:paraId="7CA0C09F" w14:textId="77777777" w:rsidTr="00E7436B">
        <w:trPr>
          <w:trHeight w:val="397"/>
        </w:trPr>
        <w:tc>
          <w:tcPr>
            <w:tcW w:w="3071" w:type="dxa"/>
            <w:shd w:val="clear" w:color="auto" w:fill="auto"/>
            <w:vAlign w:val="center"/>
          </w:tcPr>
          <w:p w14:paraId="45E21A69" w14:textId="77777777" w:rsidR="00CE7F82" w:rsidRPr="00B851DB" w:rsidRDefault="00CE7F82" w:rsidP="00E35DD3">
            <w:pPr>
              <w:pStyle w:val="Tabletext"/>
            </w:pPr>
            <w:r>
              <w:t>High</w:t>
            </w:r>
          </w:p>
        </w:tc>
        <w:tc>
          <w:tcPr>
            <w:tcW w:w="3071" w:type="dxa"/>
            <w:shd w:val="clear" w:color="auto" w:fill="auto"/>
            <w:vAlign w:val="center"/>
          </w:tcPr>
          <w:p w14:paraId="0E1C0CDB" w14:textId="77777777" w:rsidR="00CE7F82" w:rsidRPr="00B851DB" w:rsidRDefault="00CE7F82" w:rsidP="00E35DD3">
            <w:pPr>
              <w:pStyle w:val="Tabletext"/>
            </w:pPr>
            <w:r>
              <w:t>High change</w:t>
            </w:r>
          </w:p>
        </w:tc>
        <w:tc>
          <w:tcPr>
            <w:tcW w:w="3497" w:type="dxa"/>
            <w:shd w:val="clear" w:color="auto" w:fill="auto"/>
            <w:vAlign w:val="center"/>
          </w:tcPr>
          <w:p w14:paraId="6525F7D0" w14:textId="77777777" w:rsidR="00CE7F82" w:rsidRPr="00B851DB" w:rsidRDefault="00CE7F82" w:rsidP="00E35DD3">
            <w:pPr>
              <w:pStyle w:val="Tabletext"/>
            </w:pPr>
            <w:r w:rsidRPr="00B851DB">
              <w:t xml:space="preserve">High </w:t>
            </w:r>
            <w:r>
              <w:t>intensity</w:t>
            </w:r>
          </w:p>
        </w:tc>
      </w:tr>
      <w:tr w:rsidR="00CE7F82" w:rsidRPr="00B851DB" w14:paraId="7783C3C8" w14:textId="77777777" w:rsidTr="00E7436B">
        <w:trPr>
          <w:trHeight w:val="397"/>
        </w:trPr>
        <w:tc>
          <w:tcPr>
            <w:tcW w:w="3071" w:type="dxa"/>
            <w:shd w:val="clear" w:color="auto" w:fill="auto"/>
            <w:vAlign w:val="center"/>
          </w:tcPr>
          <w:p w14:paraId="3E0AA0B4" w14:textId="77777777" w:rsidR="00CE7F82" w:rsidRPr="00B851DB" w:rsidRDefault="00CE7F82" w:rsidP="00E35DD3">
            <w:pPr>
              <w:pStyle w:val="Tabletext"/>
            </w:pPr>
            <w:r>
              <w:t>Moderate</w:t>
            </w:r>
          </w:p>
        </w:tc>
        <w:tc>
          <w:tcPr>
            <w:tcW w:w="3071" w:type="dxa"/>
            <w:shd w:val="clear" w:color="auto" w:fill="auto"/>
            <w:vAlign w:val="center"/>
          </w:tcPr>
          <w:p w14:paraId="38C3E67E" w14:textId="77777777" w:rsidR="00CE7F82" w:rsidRPr="00B851DB" w:rsidRDefault="00CE7F82" w:rsidP="00E35DD3">
            <w:pPr>
              <w:pStyle w:val="Tabletext"/>
            </w:pPr>
            <w:r>
              <w:t>Moderate change</w:t>
            </w:r>
          </w:p>
        </w:tc>
        <w:tc>
          <w:tcPr>
            <w:tcW w:w="3497" w:type="dxa"/>
            <w:shd w:val="clear" w:color="auto" w:fill="auto"/>
            <w:vAlign w:val="center"/>
          </w:tcPr>
          <w:p w14:paraId="4E6E4617" w14:textId="77777777" w:rsidR="00CE7F82" w:rsidRPr="00B851DB" w:rsidRDefault="00CE7F82" w:rsidP="00E35DD3">
            <w:pPr>
              <w:pStyle w:val="Tabletext"/>
            </w:pPr>
            <w:r w:rsidRPr="00B851DB">
              <w:t xml:space="preserve">Moderate </w:t>
            </w:r>
            <w:r>
              <w:t>intensity</w:t>
            </w:r>
          </w:p>
        </w:tc>
      </w:tr>
      <w:tr w:rsidR="00CE7F82" w:rsidRPr="00B851DB" w14:paraId="6F01F2AE" w14:textId="77777777" w:rsidTr="00E7436B">
        <w:trPr>
          <w:trHeight w:val="397"/>
        </w:trPr>
        <w:tc>
          <w:tcPr>
            <w:tcW w:w="3071" w:type="dxa"/>
            <w:shd w:val="clear" w:color="auto" w:fill="auto"/>
            <w:vAlign w:val="center"/>
          </w:tcPr>
          <w:p w14:paraId="14FAD149" w14:textId="77777777" w:rsidR="00CE7F82" w:rsidRPr="00B851DB" w:rsidRDefault="00CE7F82" w:rsidP="00E35DD3">
            <w:pPr>
              <w:pStyle w:val="Tabletext"/>
            </w:pPr>
            <w:r>
              <w:t>Low</w:t>
            </w:r>
          </w:p>
        </w:tc>
        <w:tc>
          <w:tcPr>
            <w:tcW w:w="3071" w:type="dxa"/>
            <w:shd w:val="clear" w:color="auto" w:fill="auto"/>
            <w:vAlign w:val="center"/>
          </w:tcPr>
          <w:p w14:paraId="753B9A49" w14:textId="77777777" w:rsidR="00CE7F82" w:rsidRPr="00B851DB" w:rsidRDefault="00CE7F82" w:rsidP="00E35DD3">
            <w:pPr>
              <w:pStyle w:val="Tabletext"/>
            </w:pPr>
            <w:r>
              <w:t>Small change</w:t>
            </w:r>
          </w:p>
        </w:tc>
        <w:tc>
          <w:tcPr>
            <w:tcW w:w="3497" w:type="dxa"/>
            <w:shd w:val="clear" w:color="auto" w:fill="auto"/>
            <w:vAlign w:val="center"/>
          </w:tcPr>
          <w:p w14:paraId="0A9AC847" w14:textId="77777777" w:rsidR="00CE7F82" w:rsidRPr="00B851DB" w:rsidRDefault="00CE7F82" w:rsidP="00E35DD3">
            <w:pPr>
              <w:pStyle w:val="Tabletext"/>
            </w:pPr>
            <w:r w:rsidRPr="00B851DB">
              <w:t xml:space="preserve">Low </w:t>
            </w:r>
            <w:r>
              <w:t>intensity</w:t>
            </w:r>
          </w:p>
        </w:tc>
      </w:tr>
    </w:tbl>
    <w:p w14:paraId="7B8CDBBE" w14:textId="77777777" w:rsidR="0040408C" w:rsidRPr="00642A5D" w:rsidRDefault="0040408C" w:rsidP="00EA47FC">
      <w:pPr>
        <w:pStyle w:val="Para0"/>
      </w:pPr>
    </w:p>
    <w:p w14:paraId="65D703A7" w14:textId="797A76B0" w:rsidR="006B4380" w:rsidRDefault="006B4380">
      <w:r w:rsidRPr="00642A5D">
        <w:t>The consequence of induced seismicity is related to the magnitude or size of the seismic event that has been induced.</w:t>
      </w:r>
      <w:r w:rsidR="009A72C5">
        <w:t xml:space="preserve"> </w:t>
      </w:r>
      <w:r w:rsidR="00CE7F82">
        <w:t>E</w:t>
      </w:r>
      <w:r w:rsidR="009B6F1D" w:rsidRPr="00642A5D">
        <w:t>vents less than 3.4 in magnitude are not felt by individuals and usually measurable with seismometers. Events between and including 3.5 and 4.2 in magnitude can be felt by individuals but cause little to no structural damage, while events 4.3 or greater in magnitude are felt by individuals and have the potential to cause structural damage. These events have been categorised as of low, moderate and high consequence, respectively</w:t>
      </w:r>
      <w:r w:rsidRPr="00642A5D">
        <w:t xml:space="preserve"> (</w:t>
      </w:r>
      <w:r w:rsidR="00326B19" w:rsidRPr="00642A5D">
        <w:fldChar w:fldCharType="begin"/>
      </w:r>
      <w:r w:rsidR="00326B19" w:rsidRPr="00642A5D">
        <w:instrText xml:space="preserve"> REF _Ref406506961 \h  \* MERGEFORMAT </w:instrText>
      </w:r>
      <w:r w:rsidR="00326B19" w:rsidRPr="00642A5D">
        <w:fldChar w:fldCharType="separate"/>
      </w:r>
      <w:r w:rsidR="00171A5E" w:rsidRPr="006D7CF4">
        <w:t xml:space="preserve">Table </w:t>
      </w:r>
      <w:r w:rsidR="00171A5E">
        <w:rPr>
          <w:noProof/>
        </w:rPr>
        <w:t>10</w:t>
      </w:r>
      <w:r w:rsidR="00326B19" w:rsidRPr="00642A5D">
        <w:fldChar w:fldCharType="end"/>
      </w:r>
      <w:r w:rsidRPr="00642A5D">
        <w:t xml:space="preserve">). </w:t>
      </w:r>
      <w:r w:rsidR="00E7436B">
        <w:br/>
      </w:r>
    </w:p>
    <w:p w14:paraId="6EA8131E" w14:textId="77777777" w:rsidR="00CE7F82" w:rsidRDefault="00CE7F82" w:rsidP="002D44DF">
      <w:pPr>
        <w:pStyle w:val="Tableheading"/>
      </w:pPr>
      <w:bookmarkStart w:id="597" w:name="_Ref406506961"/>
      <w:bookmarkStart w:id="598" w:name="_Toc296600012"/>
      <w:bookmarkStart w:id="599" w:name="_Toc296770890"/>
      <w:r w:rsidRPr="006D7CF4">
        <w:t xml:space="preserve">Table </w:t>
      </w:r>
      <w:r w:rsidRPr="006D7CF4">
        <w:fldChar w:fldCharType="begin"/>
      </w:r>
      <w:r w:rsidRPr="006D7CF4">
        <w:instrText xml:space="preserve"> SEQ Table \* ARABIC </w:instrText>
      </w:r>
      <w:r w:rsidRPr="006D7CF4">
        <w:fldChar w:fldCharType="separate"/>
      </w:r>
      <w:r w:rsidR="00171A5E">
        <w:rPr>
          <w:noProof/>
        </w:rPr>
        <w:t>10</w:t>
      </w:r>
      <w:r w:rsidRPr="006D7CF4">
        <w:fldChar w:fldCharType="end"/>
      </w:r>
      <w:bookmarkEnd w:id="597"/>
      <w:r>
        <w:t xml:space="preserve">:  </w:t>
      </w:r>
      <w:r w:rsidRPr="006D7CF4">
        <w:t>Proposed consequence scale for induced seismicity</w:t>
      </w:r>
      <w:r>
        <w:t>.</w:t>
      </w:r>
      <w:bookmarkEnd w:id="598"/>
      <w:bookmarkEnd w:id="599"/>
    </w:p>
    <w:tbl>
      <w:tblPr>
        <w:tblW w:w="0" w:type="auto"/>
        <w:tblInd w:w="108"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2552"/>
        <w:gridCol w:w="2263"/>
        <w:gridCol w:w="2383"/>
        <w:gridCol w:w="2016"/>
      </w:tblGrid>
      <w:tr w:rsidR="00CE7F82" w:rsidRPr="00685203" w14:paraId="255A49B0" w14:textId="77777777" w:rsidTr="00E7436B">
        <w:trPr>
          <w:trHeight w:val="397"/>
        </w:trPr>
        <w:tc>
          <w:tcPr>
            <w:tcW w:w="2552" w:type="dxa"/>
            <w:tcBorders>
              <w:top w:val="nil"/>
              <w:right w:val="single" w:sz="4" w:space="0" w:color="FFFFFF"/>
            </w:tcBorders>
            <w:shd w:val="clear" w:color="auto" w:fill="005A97"/>
            <w:vAlign w:val="center"/>
          </w:tcPr>
          <w:p w14:paraId="40F256BE" w14:textId="77777777" w:rsidR="00CE7F82" w:rsidRPr="00685203" w:rsidRDefault="00CE7F82" w:rsidP="00E35DD3">
            <w:pPr>
              <w:pStyle w:val="TableHeaderrow"/>
            </w:pPr>
            <w:r w:rsidRPr="00685203">
              <w:t>Induced seismicity impact</w:t>
            </w:r>
          </w:p>
        </w:tc>
        <w:tc>
          <w:tcPr>
            <w:tcW w:w="2263" w:type="dxa"/>
            <w:tcBorders>
              <w:top w:val="nil"/>
              <w:left w:val="single" w:sz="4" w:space="0" w:color="FFFFFF"/>
              <w:right w:val="single" w:sz="4" w:space="0" w:color="FFFFFF"/>
            </w:tcBorders>
            <w:shd w:val="clear" w:color="auto" w:fill="005A97"/>
            <w:vAlign w:val="center"/>
          </w:tcPr>
          <w:p w14:paraId="2BF67FC8" w14:textId="77777777" w:rsidR="00CE7F82" w:rsidRPr="00685203" w:rsidRDefault="00CE7F82" w:rsidP="00E35DD3">
            <w:pPr>
              <w:pStyle w:val="TableHeaderrow"/>
            </w:pPr>
            <w:r w:rsidRPr="00685203">
              <w:t>Low consequence</w:t>
            </w:r>
          </w:p>
        </w:tc>
        <w:tc>
          <w:tcPr>
            <w:tcW w:w="2383" w:type="dxa"/>
            <w:tcBorders>
              <w:top w:val="nil"/>
              <w:left w:val="single" w:sz="4" w:space="0" w:color="FFFFFF"/>
              <w:right w:val="single" w:sz="4" w:space="0" w:color="FFFFFF"/>
            </w:tcBorders>
            <w:shd w:val="clear" w:color="auto" w:fill="005A97"/>
            <w:vAlign w:val="center"/>
          </w:tcPr>
          <w:p w14:paraId="2A90DD72" w14:textId="77777777" w:rsidR="00CE7F82" w:rsidRPr="00685203" w:rsidRDefault="00CE7F82" w:rsidP="00E35DD3">
            <w:pPr>
              <w:pStyle w:val="TableHeaderrow"/>
            </w:pPr>
            <w:r w:rsidRPr="00685203">
              <w:t>Moderate consequence</w:t>
            </w:r>
          </w:p>
        </w:tc>
        <w:tc>
          <w:tcPr>
            <w:tcW w:w="2016" w:type="dxa"/>
            <w:tcBorders>
              <w:top w:val="nil"/>
              <w:left w:val="single" w:sz="4" w:space="0" w:color="FFFFFF"/>
            </w:tcBorders>
            <w:shd w:val="clear" w:color="auto" w:fill="005A97"/>
            <w:vAlign w:val="center"/>
          </w:tcPr>
          <w:p w14:paraId="128C2453" w14:textId="77777777" w:rsidR="00CE7F82" w:rsidRPr="00685203" w:rsidRDefault="00CE7F82" w:rsidP="00E35DD3">
            <w:pPr>
              <w:pStyle w:val="TableHeaderrow"/>
            </w:pPr>
            <w:r w:rsidRPr="00685203">
              <w:t>High consequence</w:t>
            </w:r>
          </w:p>
        </w:tc>
      </w:tr>
      <w:tr w:rsidR="00CE7F82" w:rsidRPr="00B851DB" w14:paraId="0B6EAD83" w14:textId="77777777" w:rsidTr="00E7436B">
        <w:trPr>
          <w:trHeight w:val="397"/>
        </w:trPr>
        <w:tc>
          <w:tcPr>
            <w:tcW w:w="2552" w:type="dxa"/>
            <w:shd w:val="clear" w:color="auto" w:fill="auto"/>
            <w:vAlign w:val="center"/>
          </w:tcPr>
          <w:p w14:paraId="13C9ADFF" w14:textId="77777777" w:rsidR="00CE7F82" w:rsidRPr="00B851DB" w:rsidRDefault="00CE7F82" w:rsidP="00E35DD3">
            <w:pPr>
              <w:pStyle w:val="Tabletext"/>
            </w:pPr>
            <w:r>
              <w:t>Earthquake magnitude</w:t>
            </w:r>
          </w:p>
        </w:tc>
        <w:tc>
          <w:tcPr>
            <w:tcW w:w="2263" w:type="dxa"/>
            <w:shd w:val="clear" w:color="auto" w:fill="auto"/>
            <w:vAlign w:val="center"/>
          </w:tcPr>
          <w:p w14:paraId="3B24C6EF" w14:textId="77777777" w:rsidR="00CE7F82" w:rsidRPr="00B851DB" w:rsidRDefault="00CE7F82" w:rsidP="00E35DD3">
            <w:pPr>
              <w:pStyle w:val="Tabletext"/>
            </w:pPr>
            <w:r>
              <w:t>M</w:t>
            </w:r>
            <w:r w:rsidRPr="00E36D66">
              <w:rPr>
                <w:vertAlign w:val="subscript"/>
              </w:rPr>
              <w:t>L</w:t>
            </w:r>
            <w:r>
              <w:t xml:space="preserve"> </w:t>
            </w:r>
            <w:r>
              <w:rPr>
                <w:rFonts w:cs="Arial"/>
              </w:rPr>
              <w:t>≤</w:t>
            </w:r>
            <w:r>
              <w:t xml:space="preserve"> 3.4</w:t>
            </w:r>
          </w:p>
        </w:tc>
        <w:tc>
          <w:tcPr>
            <w:tcW w:w="2383" w:type="dxa"/>
            <w:shd w:val="clear" w:color="auto" w:fill="auto"/>
            <w:vAlign w:val="center"/>
          </w:tcPr>
          <w:p w14:paraId="0CF09A9D" w14:textId="77777777" w:rsidR="00CE7F82" w:rsidRPr="00B851DB" w:rsidRDefault="00CE7F82" w:rsidP="00E35DD3">
            <w:pPr>
              <w:pStyle w:val="Tabletext"/>
            </w:pPr>
            <w:r>
              <w:t>M</w:t>
            </w:r>
            <w:r w:rsidRPr="00E36D66">
              <w:rPr>
                <w:vertAlign w:val="subscript"/>
              </w:rPr>
              <w:t>L</w:t>
            </w:r>
            <w:r>
              <w:t xml:space="preserve"> between 3.5 and 4.2</w:t>
            </w:r>
          </w:p>
        </w:tc>
        <w:tc>
          <w:tcPr>
            <w:tcW w:w="2016" w:type="dxa"/>
            <w:shd w:val="clear" w:color="auto" w:fill="auto"/>
            <w:vAlign w:val="center"/>
          </w:tcPr>
          <w:p w14:paraId="05684012" w14:textId="77777777" w:rsidR="00CE7F82" w:rsidRPr="00B851DB" w:rsidRDefault="00CE7F82" w:rsidP="00E35DD3">
            <w:pPr>
              <w:pStyle w:val="Tabletext"/>
            </w:pPr>
            <w:r>
              <w:t>M</w:t>
            </w:r>
            <w:r w:rsidRPr="00E36D66">
              <w:rPr>
                <w:vertAlign w:val="subscript"/>
              </w:rPr>
              <w:t>L</w:t>
            </w:r>
            <w:r>
              <w:t xml:space="preserve"> </w:t>
            </w:r>
            <w:r>
              <w:rPr>
                <w:rFonts w:cs="Arial"/>
              </w:rPr>
              <w:t>≥</w:t>
            </w:r>
            <w:r>
              <w:t xml:space="preserve"> 4.3</w:t>
            </w:r>
          </w:p>
        </w:tc>
      </w:tr>
    </w:tbl>
    <w:p w14:paraId="07E7DE2A" w14:textId="77777777" w:rsidR="006B4380" w:rsidRPr="00642A5D" w:rsidRDefault="006B4380" w:rsidP="00E7436B">
      <w:pPr>
        <w:pStyle w:val="Notetext"/>
      </w:pPr>
    </w:p>
    <w:p w14:paraId="6542A328" w14:textId="77777777" w:rsidR="006B4380" w:rsidRPr="00642A5D" w:rsidRDefault="006B4380">
      <w:r w:rsidRPr="00642A5D">
        <w:t xml:space="preserve">The potential for hydraulic fracturing to trigger seismic events in the Otway region can be related to </w:t>
      </w:r>
      <w:r w:rsidR="0040408C" w:rsidRPr="00642A5D">
        <w:t xml:space="preserve">the potential development of </w:t>
      </w:r>
      <w:r w:rsidRPr="00642A5D">
        <w:t>shale gas, tight gas and</w:t>
      </w:r>
      <w:r w:rsidR="001C57CB" w:rsidRPr="00642A5D">
        <w:t xml:space="preserve"> </w:t>
      </w:r>
      <w:r w:rsidR="00ED1CE4" w:rsidRPr="00642A5D">
        <w:t>to a lesser extent</w:t>
      </w:r>
      <w:r w:rsidRPr="00642A5D">
        <w:t xml:space="preserve"> coal seam gas. In contrast, depressurisation resulting from fluid and gas extraction in the Otway region is primarily related to coal seam gas where water extraction may be required to induce desorption of gas from the coals. </w:t>
      </w:r>
    </w:p>
    <w:p w14:paraId="487A34AF" w14:textId="2B7FFD4B" w:rsidR="006B4380" w:rsidRPr="00642A5D" w:rsidRDefault="006B4380">
      <w:r w:rsidRPr="00642A5D">
        <w:t xml:space="preserve">Within the </w:t>
      </w:r>
      <w:r w:rsidR="007C4916">
        <w:t>Otway region</w:t>
      </w:r>
      <w:r w:rsidRPr="00642A5D">
        <w:t xml:space="preserve"> a number of fault systems are present which provide the potential for fault activation via depressurisation and hydraulic fracturing. However, the natural level of seismicity in the </w:t>
      </w:r>
      <w:r w:rsidR="007C4916">
        <w:t>Otway region</w:t>
      </w:r>
      <w:r w:rsidRPr="00642A5D">
        <w:t xml:space="preserve"> is relatively low, as indicated by </w:t>
      </w:r>
      <w:r w:rsidR="00326B19" w:rsidRPr="00642A5D">
        <w:fldChar w:fldCharType="begin"/>
      </w:r>
      <w:r w:rsidR="00326B19" w:rsidRPr="00642A5D">
        <w:instrText xml:space="preserve"> REF _Ref405992407 \h  \* MERGEFORMAT </w:instrText>
      </w:r>
      <w:r w:rsidR="00326B19" w:rsidRPr="00642A5D">
        <w:fldChar w:fldCharType="separate"/>
      </w:r>
      <w:r w:rsidR="00171A5E" w:rsidRPr="00642A5D">
        <w:t xml:space="preserve">Figure </w:t>
      </w:r>
      <w:r w:rsidR="00171A5E">
        <w:rPr>
          <w:noProof/>
        </w:rPr>
        <w:t>49</w:t>
      </w:r>
      <w:r w:rsidR="00326B19" w:rsidRPr="00642A5D">
        <w:fldChar w:fldCharType="end"/>
      </w:r>
      <w:r w:rsidRPr="00642A5D">
        <w:t xml:space="preserve">. Of the 604 seismic events recorded in Victoria since 1990, 38 occurred in the </w:t>
      </w:r>
      <w:r w:rsidR="007C4916">
        <w:t>Otway region</w:t>
      </w:r>
      <w:r w:rsidRPr="00642A5D">
        <w:t>. This suggests that</w:t>
      </w:r>
      <w:r w:rsidR="00F35E31">
        <w:t xml:space="preserve"> the</w:t>
      </w:r>
      <w:r w:rsidRPr="00642A5D">
        <w:t xml:space="preserve"> fault systems in the basin </w:t>
      </w:r>
      <w:r w:rsidR="00F35E31">
        <w:t>are not</w:t>
      </w:r>
      <w:r w:rsidRPr="00642A5D">
        <w:t xml:space="preserve"> critically stressed or commonly subject to stress accumulation and rupture.</w:t>
      </w:r>
      <w:r w:rsidR="009A72C5">
        <w:t xml:space="preserve"> </w:t>
      </w:r>
      <w:r w:rsidRPr="00642A5D">
        <w:t xml:space="preserve">Additionally, </w:t>
      </w:r>
      <w:r w:rsidR="00F35E31">
        <w:t xml:space="preserve">about </w:t>
      </w:r>
      <w:r w:rsidRPr="00642A5D">
        <w:t xml:space="preserve">70% </w:t>
      </w:r>
      <w:r w:rsidR="00F35E31">
        <w:t xml:space="preserve">of these events </w:t>
      </w:r>
      <w:r w:rsidRPr="00642A5D">
        <w:t xml:space="preserve">were </w:t>
      </w:r>
      <w:r w:rsidR="00F35E31">
        <w:t xml:space="preserve">less than </w:t>
      </w:r>
      <w:r w:rsidRPr="00642A5D">
        <w:t>magnitude 3</w:t>
      </w:r>
      <w:r w:rsidR="00F35E31">
        <w:t xml:space="preserve"> M</w:t>
      </w:r>
      <w:r w:rsidR="00F35E31">
        <w:rPr>
          <w:vertAlign w:val="subscript"/>
        </w:rPr>
        <w:t>L</w:t>
      </w:r>
      <w:r w:rsidRPr="00642A5D">
        <w:t xml:space="preserve"> and not likely to be felt by an individual. </w:t>
      </w:r>
    </w:p>
    <w:p w14:paraId="134400C8" w14:textId="682500AF" w:rsidR="006B4380" w:rsidRPr="00642A5D" w:rsidRDefault="006B4380">
      <w:r w:rsidRPr="00642A5D">
        <w:t>There is evidence to suggest that seismic events of moderate magnitude (up to 4.2</w:t>
      </w:r>
      <w:r w:rsidR="00F35E31">
        <w:t xml:space="preserve"> M</w:t>
      </w:r>
      <w:r w:rsidR="00F35E31">
        <w:rPr>
          <w:vertAlign w:val="subscript"/>
        </w:rPr>
        <w:t>L</w:t>
      </w:r>
      <w:r w:rsidRPr="00642A5D">
        <w:t>) can occur in response to the depressurisation of a gas reservoir, however such evidence is</w:t>
      </w:r>
      <w:r w:rsidR="00ED1CE4" w:rsidRPr="00642A5D">
        <w:t xml:space="preserve"> </w:t>
      </w:r>
      <w:r w:rsidRPr="00642A5D">
        <w:t xml:space="preserve">related to </w:t>
      </w:r>
      <w:r w:rsidR="00932254">
        <w:t xml:space="preserve">prospective </w:t>
      </w:r>
      <w:r w:rsidRPr="00642A5D">
        <w:t xml:space="preserve">conventional </w:t>
      </w:r>
      <w:r w:rsidR="00932254">
        <w:t>gas formation</w:t>
      </w:r>
      <w:r w:rsidRPr="00642A5D">
        <w:t xml:space="preserve"> in which significant pressure changes occur over small areas. </w:t>
      </w:r>
      <w:r w:rsidR="000011D1" w:rsidRPr="00642A5D">
        <w:t>L</w:t>
      </w:r>
      <w:r w:rsidRPr="00642A5D">
        <w:t xml:space="preserve">ocal studies in the Otway region (Cook </w:t>
      </w:r>
      <w:r w:rsidR="0061023B" w:rsidRPr="0061023B">
        <w:t>et al.</w:t>
      </w:r>
      <w:r w:rsidRPr="00642A5D">
        <w:t>, 2014) found that there was no fault activity associated with the injection of 66,000 tonnes of CO</w:t>
      </w:r>
      <w:r w:rsidRPr="00642A5D">
        <w:rPr>
          <w:vertAlign w:val="subscript"/>
        </w:rPr>
        <w:t>2</w:t>
      </w:r>
      <w:r w:rsidRPr="00642A5D">
        <w:t xml:space="preserve"> into the </w:t>
      </w:r>
      <w:r w:rsidR="00F862EC" w:rsidRPr="00642A5D">
        <w:t xml:space="preserve">Waarre </w:t>
      </w:r>
      <w:r w:rsidRPr="00642A5D">
        <w:t>Formation (the formation overlying the coal seam gas</w:t>
      </w:r>
      <w:r w:rsidR="00932254">
        <w:t xml:space="preserve"> formation</w:t>
      </w:r>
      <w:r w:rsidRPr="00642A5D">
        <w:t xml:space="preserve">). This suggests that the likelihood of inducing a seismic event via fluid and gas removal is low. </w:t>
      </w:r>
      <w:r w:rsidR="00F35E31">
        <w:t>Therefore</w:t>
      </w:r>
      <w:r w:rsidRPr="00642A5D">
        <w:t xml:space="preserve"> the overall risk posed by depressurisation is low to moderate.</w:t>
      </w:r>
    </w:p>
    <w:p w14:paraId="32DEBF04" w14:textId="401E37F7" w:rsidR="006B4380" w:rsidRPr="00642A5D" w:rsidRDefault="006B4380">
      <w:r w:rsidRPr="00642A5D">
        <w:t>During the process of hydraulic fracturing it is almost certain that low</w:t>
      </w:r>
      <w:r w:rsidR="0021079B">
        <w:t>-</w:t>
      </w:r>
      <w:r w:rsidRPr="00642A5D">
        <w:t>magnitude seismicity</w:t>
      </w:r>
      <w:r w:rsidR="0021079B" w:rsidRPr="00642A5D">
        <w:t xml:space="preserve"> (</w:t>
      </w:r>
      <w:r w:rsidR="0021079B">
        <w:t xml:space="preserve">under </w:t>
      </w:r>
      <w:r w:rsidR="0021079B" w:rsidRPr="00642A5D">
        <w:t>1.5</w:t>
      </w:r>
      <w:r w:rsidR="0021079B">
        <w:t xml:space="preserve"> </w:t>
      </w:r>
      <w:r w:rsidR="0021079B" w:rsidRPr="00642A5D">
        <w:t>M</w:t>
      </w:r>
      <w:r w:rsidR="0021079B" w:rsidRPr="00642A5D">
        <w:rPr>
          <w:vertAlign w:val="subscript"/>
        </w:rPr>
        <w:t>L</w:t>
      </w:r>
      <w:r w:rsidR="0021079B" w:rsidRPr="00642A5D">
        <w:t>)</w:t>
      </w:r>
      <w:r w:rsidRPr="00642A5D">
        <w:t xml:space="preserve"> will be induced. However such events are unlikely to be felt by individuals and are of low consequence. </w:t>
      </w:r>
      <w:r w:rsidR="000011D1" w:rsidRPr="00642A5D">
        <w:t>Therefore</w:t>
      </w:r>
      <w:r w:rsidRPr="00642A5D">
        <w:t xml:space="preserve">, the overall risk posed by such events is low. </w:t>
      </w:r>
      <w:r w:rsidR="000011D1" w:rsidRPr="00642A5D">
        <w:t>T</w:t>
      </w:r>
      <w:r w:rsidRPr="00642A5D">
        <w:t>he likelihood of hydraulic fracture induced seismic events large enough to be felt by an individual is highly remote. In a global context, of the tens of thousands of hydraulic fracture stimulations that have occurred, two reports of induced seismicity felt by an individual have been confirmed. Furthermore, the maximum magnitude of these events was 2.3 and 3.8</w:t>
      </w:r>
      <w:r w:rsidR="00F35E31">
        <w:t xml:space="preserve"> M</w:t>
      </w:r>
      <w:r w:rsidR="00F35E31">
        <w:rPr>
          <w:vertAlign w:val="subscript"/>
        </w:rPr>
        <w:t>L</w:t>
      </w:r>
      <w:r w:rsidRPr="00642A5D">
        <w:t xml:space="preserve">. </w:t>
      </w:r>
    </w:p>
    <w:p w14:paraId="2652C56F" w14:textId="11A19361" w:rsidR="006B4380" w:rsidRPr="00642A5D" w:rsidRDefault="006B4380">
      <w:r w:rsidRPr="00642A5D">
        <w:t xml:space="preserve">Events of this magnitude are </w:t>
      </w:r>
      <w:r w:rsidR="002D4544" w:rsidRPr="00642A5D">
        <w:t>not likely</w:t>
      </w:r>
      <w:r w:rsidRPr="00642A5D">
        <w:t xml:space="preserve"> to cause damage, nor commonly are they felt by individuals. Additionally, it is possible to </w:t>
      </w:r>
      <w:r w:rsidR="006F4F9D">
        <w:t>mitigate</w:t>
      </w:r>
      <w:r w:rsidR="006F4F9D" w:rsidRPr="00642A5D">
        <w:t xml:space="preserve"> </w:t>
      </w:r>
      <w:r w:rsidRPr="00642A5D">
        <w:t xml:space="preserve">the development of such events during hydraulic fracturing by pre-operation assessments and the implementation of operational procedures such as those outlined by </w:t>
      </w:r>
      <w:r w:rsidR="000011D1" w:rsidRPr="00642A5D">
        <w:t xml:space="preserve">the </w:t>
      </w:r>
      <w:r w:rsidRPr="00642A5D">
        <w:t>Royal Society and the Royal Academy of Engineering (</w:t>
      </w:r>
      <w:r w:rsidR="006F4F9D">
        <w:t xml:space="preserve">RS/RAE </w:t>
      </w:r>
      <w:r w:rsidRPr="00642A5D">
        <w:t xml:space="preserve">2012). </w:t>
      </w:r>
      <w:r w:rsidR="006F4F9D">
        <w:t>T</w:t>
      </w:r>
      <w:r w:rsidRPr="00642A5D">
        <w:t xml:space="preserve">he overall risk of inducing moderate to high seismic events by hydraulic fracturing in the Otway </w:t>
      </w:r>
      <w:r w:rsidR="009E5D2B" w:rsidRPr="00642A5D">
        <w:t>region</w:t>
      </w:r>
      <w:r w:rsidRPr="00642A5D">
        <w:t xml:space="preserve"> is </w:t>
      </w:r>
      <w:r w:rsidR="006F4F9D">
        <w:t xml:space="preserve">therefore </w:t>
      </w:r>
      <w:r w:rsidRPr="00642A5D">
        <w:t>low.</w:t>
      </w:r>
    </w:p>
    <w:p w14:paraId="506D0A04" w14:textId="1F427A0D" w:rsidR="00451A8E" w:rsidRPr="00642A5D" w:rsidRDefault="00451A8E" w:rsidP="00A35B08">
      <w:pPr>
        <w:rPr>
          <w:rFonts w:cs="Arial"/>
          <w:color w:val="005A97" w:themeColor="text1"/>
          <w:sz w:val="52"/>
          <w:szCs w:val="48"/>
          <w:lang w:val="en-US" w:eastAsia="en-US"/>
        </w:rPr>
      </w:pPr>
      <w:bookmarkStart w:id="600" w:name="_Ref406510685"/>
      <w:bookmarkStart w:id="601" w:name="_Ref406514401"/>
      <w:bookmarkStart w:id="602" w:name="_Toc406764521"/>
      <w:r w:rsidRPr="00642A5D">
        <w:br w:type="page"/>
      </w:r>
    </w:p>
    <w:p w14:paraId="02261B5E" w14:textId="48A988B2" w:rsidR="00F60E96" w:rsidRPr="00642A5D" w:rsidRDefault="005707ED" w:rsidP="001E0653">
      <w:pPr>
        <w:pStyle w:val="Head1x"/>
      </w:pPr>
      <w:bookmarkStart w:id="603" w:name="_Toc420570302"/>
      <w:bookmarkStart w:id="604" w:name="_Toc420571498"/>
      <w:bookmarkStart w:id="605" w:name="_Toc420572136"/>
      <w:bookmarkStart w:id="606" w:name="_Toc296766994"/>
      <w:bookmarkStart w:id="607" w:name="_Toc422927918"/>
      <w:r>
        <w:t>6</w:t>
      </w:r>
      <w:r>
        <w:tab/>
      </w:r>
      <w:r w:rsidR="00F60E96" w:rsidRPr="00642A5D">
        <w:t>Land subsidence</w:t>
      </w:r>
      <w:bookmarkEnd w:id="600"/>
      <w:bookmarkEnd w:id="601"/>
      <w:bookmarkEnd w:id="602"/>
      <w:r w:rsidR="001E0653" w:rsidRPr="00642A5D">
        <w:t xml:space="preserve"> risk assessment</w:t>
      </w:r>
      <w:bookmarkEnd w:id="603"/>
      <w:bookmarkEnd w:id="604"/>
      <w:bookmarkEnd w:id="605"/>
      <w:bookmarkEnd w:id="606"/>
      <w:bookmarkEnd w:id="607"/>
    </w:p>
    <w:p w14:paraId="0AF48572" w14:textId="2AEDF001" w:rsidR="00F60E96" w:rsidRPr="00642A5D" w:rsidRDefault="005707ED" w:rsidP="001E0653">
      <w:pPr>
        <w:pStyle w:val="Head2xx"/>
      </w:pPr>
      <w:bookmarkStart w:id="608" w:name="_Toc420570303"/>
      <w:bookmarkStart w:id="609" w:name="_Toc420571499"/>
      <w:bookmarkStart w:id="610" w:name="_Toc420572137"/>
      <w:bookmarkStart w:id="611" w:name="_Toc296766995"/>
      <w:bookmarkStart w:id="612" w:name="_Toc422927919"/>
      <w:r>
        <w:t>6.1</w:t>
      </w:r>
      <w:r>
        <w:tab/>
      </w:r>
      <w:r w:rsidR="00F60E96" w:rsidRPr="00642A5D">
        <w:t>Overview</w:t>
      </w:r>
      <w:bookmarkEnd w:id="608"/>
      <w:bookmarkEnd w:id="609"/>
      <w:bookmarkEnd w:id="610"/>
      <w:bookmarkEnd w:id="611"/>
      <w:bookmarkEnd w:id="612"/>
    </w:p>
    <w:p w14:paraId="61B024E8" w14:textId="445C094F" w:rsidR="00F60E96" w:rsidRPr="00642A5D" w:rsidRDefault="00F60E96" w:rsidP="00A35B08">
      <w:pPr>
        <w:rPr>
          <w:lang w:val="en-US" w:eastAsia="en-US"/>
        </w:rPr>
      </w:pPr>
      <w:r w:rsidRPr="00642A5D">
        <w:rPr>
          <w:lang w:val="en-US" w:eastAsia="en-US"/>
        </w:rPr>
        <w:t>Subsidence</w:t>
      </w:r>
      <w:r w:rsidR="003815EE">
        <w:rPr>
          <w:lang w:val="en-US" w:eastAsia="en-US"/>
        </w:rPr>
        <w:t xml:space="preserve"> </w:t>
      </w:r>
      <w:r w:rsidRPr="00642A5D">
        <w:rPr>
          <w:lang w:val="en-US" w:eastAsia="en-US"/>
        </w:rPr>
        <w:t xml:space="preserve">refers to the phenomenon of ground level lowering resulting from water (or fluid) removal from </w:t>
      </w:r>
      <w:r w:rsidRPr="00485339">
        <w:rPr>
          <w:lang w:val="en-US" w:eastAsia="en-US"/>
        </w:rPr>
        <w:t>the subsurface. It is sometimes referred to as land subsidence. Subsidence is a geomechanical process that can occur when water is withdrawn from an aquifer. One of the impacts that the exploration or development of onshore gas</w:t>
      </w:r>
      <w:r w:rsidRPr="00642A5D">
        <w:rPr>
          <w:lang w:val="en-US" w:eastAsia="en-US"/>
        </w:rPr>
        <w:t xml:space="preserve"> could have is to cause drawdown in aquifers in the Otway region. This chapter provides a brief review and overview of the process by which drawdown may lead to subsidence and a qualitative assessment of the potential risks that may arise from onshore gas </w:t>
      </w:r>
      <w:r w:rsidR="000D5DEF">
        <w:rPr>
          <w:lang w:val="en-US" w:eastAsia="en-US"/>
        </w:rPr>
        <w:t>development</w:t>
      </w:r>
      <w:r w:rsidRPr="00642A5D">
        <w:rPr>
          <w:lang w:val="en-US" w:eastAsia="en-US"/>
        </w:rPr>
        <w:t>.</w:t>
      </w:r>
    </w:p>
    <w:p w14:paraId="3D84B57C" w14:textId="051D19F4" w:rsidR="003362A1" w:rsidRDefault="005707ED" w:rsidP="003362A1">
      <w:pPr>
        <w:pStyle w:val="Head2xx"/>
      </w:pPr>
      <w:bookmarkStart w:id="613" w:name="_Toc419109712"/>
      <w:bookmarkStart w:id="614" w:name="_Toc420570304"/>
      <w:bookmarkStart w:id="615" w:name="_Toc420571500"/>
      <w:bookmarkStart w:id="616" w:name="_Toc420572138"/>
      <w:bookmarkStart w:id="617" w:name="_Toc296766996"/>
      <w:bookmarkStart w:id="618" w:name="_Toc422927920"/>
      <w:r>
        <w:t>6.2</w:t>
      </w:r>
      <w:r>
        <w:tab/>
      </w:r>
      <w:r w:rsidR="003362A1">
        <w:t>Summary of subsidence processes</w:t>
      </w:r>
      <w:bookmarkEnd w:id="613"/>
      <w:bookmarkEnd w:id="614"/>
      <w:bookmarkEnd w:id="615"/>
      <w:bookmarkEnd w:id="616"/>
      <w:bookmarkEnd w:id="617"/>
      <w:bookmarkEnd w:id="618"/>
    </w:p>
    <w:p w14:paraId="27331F1B" w14:textId="093DAAFD" w:rsidR="003362A1" w:rsidRDefault="003362A1">
      <w:pPr>
        <w:rPr>
          <w:lang w:val="en-US" w:eastAsia="en-US"/>
        </w:rPr>
      </w:pPr>
      <w:r>
        <w:rPr>
          <w:lang w:val="en-US" w:eastAsia="en-US"/>
        </w:rPr>
        <w:t>T</w:t>
      </w:r>
      <w:r w:rsidRPr="00B851DB">
        <w:rPr>
          <w:lang w:val="en-US" w:eastAsia="en-US"/>
        </w:rPr>
        <w:t xml:space="preserve">he pressure </w:t>
      </w:r>
      <w:r>
        <w:rPr>
          <w:lang w:val="en-US" w:eastAsia="en-US"/>
        </w:rPr>
        <w:t>within an</w:t>
      </w:r>
      <w:r w:rsidRPr="00B851DB">
        <w:rPr>
          <w:lang w:val="en-US" w:eastAsia="en-US"/>
        </w:rPr>
        <w:t xml:space="preserve"> aquifer is caused by a combination of the weight of the sediments and the weight of water (fluid) and the atmosphere. This weight is borne in part by the aquifer sediments</w:t>
      </w:r>
      <w:r w:rsidR="00F544D4">
        <w:rPr>
          <w:lang w:val="en-US" w:eastAsia="en-US"/>
        </w:rPr>
        <w:t>,</w:t>
      </w:r>
      <w:r w:rsidRPr="00B851DB">
        <w:rPr>
          <w:lang w:val="en-US" w:eastAsia="en-US"/>
        </w:rPr>
        <w:t xml:space="preserve"> and in part by the water (fluid) in the aquifer. For the purposes of this discussion we will refer to the fluid in an aquifer as water. </w:t>
      </w:r>
      <w:r>
        <w:rPr>
          <w:lang w:val="en-US" w:eastAsia="en-US"/>
        </w:rPr>
        <w:t>The weight of both the overlying</w:t>
      </w:r>
      <w:r w:rsidRPr="00B851DB">
        <w:rPr>
          <w:lang w:val="en-US" w:eastAsia="en-US"/>
        </w:rPr>
        <w:t xml:space="preserve"> sediment grains and the </w:t>
      </w:r>
      <w:r>
        <w:rPr>
          <w:lang w:val="en-US" w:eastAsia="en-US"/>
        </w:rPr>
        <w:t xml:space="preserve">overlying </w:t>
      </w:r>
      <w:r w:rsidRPr="00B851DB">
        <w:rPr>
          <w:lang w:val="en-US" w:eastAsia="en-US"/>
        </w:rPr>
        <w:t>water</w:t>
      </w:r>
      <w:r>
        <w:rPr>
          <w:lang w:val="en-US" w:eastAsia="en-US"/>
        </w:rPr>
        <w:t xml:space="preserve"> contribute to the aquifer pressure</w:t>
      </w:r>
      <w:r w:rsidRPr="00B851DB">
        <w:rPr>
          <w:lang w:val="en-US" w:eastAsia="en-US"/>
        </w:rPr>
        <w:t xml:space="preserve"> in proportion to the mix of water and sediment</w:t>
      </w:r>
      <w:r>
        <w:rPr>
          <w:lang w:val="en-US" w:eastAsia="en-US"/>
        </w:rPr>
        <w:t xml:space="preserve"> in the hydrogeological sequence</w:t>
      </w:r>
      <w:r w:rsidRPr="00B851DB">
        <w:rPr>
          <w:lang w:val="en-US" w:eastAsia="en-US"/>
        </w:rPr>
        <w:t xml:space="preserve">. </w:t>
      </w:r>
    </w:p>
    <w:p w14:paraId="13201599" w14:textId="40082169" w:rsidR="003362A1" w:rsidRPr="00B851DB" w:rsidRDefault="003362A1">
      <w:pPr>
        <w:rPr>
          <w:lang w:val="en-US" w:eastAsia="en-US"/>
        </w:rPr>
      </w:pPr>
      <w:r w:rsidRPr="00B851DB">
        <w:rPr>
          <w:lang w:val="en-US" w:eastAsia="en-US"/>
        </w:rPr>
        <w:t>Subsidence is potentially of concern in sedimentary aquifers (</w:t>
      </w:r>
      <w:r w:rsidR="00D246E0">
        <w:rPr>
          <w:lang w:val="en-US" w:eastAsia="en-US"/>
        </w:rPr>
        <w:t>Poland,</w:t>
      </w:r>
      <w:r w:rsidR="00D246E0" w:rsidRPr="00B851DB">
        <w:rPr>
          <w:lang w:val="en-US" w:eastAsia="en-US"/>
        </w:rPr>
        <w:t xml:space="preserve"> </w:t>
      </w:r>
      <w:r w:rsidRPr="00B851DB">
        <w:rPr>
          <w:lang w:val="en-US" w:eastAsia="en-US"/>
        </w:rPr>
        <w:t xml:space="preserve">1984). A sedimentary aquifer </w:t>
      </w:r>
      <w:r w:rsidR="006F4F9D">
        <w:rPr>
          <w:lang w:val="en-US" w:eastAsia="en-US"/>
        </w:rPr>
        <w:t>can be considered to be</w:t>
      </w:r>
      <w:r w:rsidR="006F4F9D" w:rsidRPr="00B851DB">
        <w:rPr>
          <w:lang w:val="en-US" w:eastAsia="en-US"/>
        </w:rPr>
        <w:t xml:space="preserve"> </w:t>
      </w:r>
      <w:r w:rsidRPr="00B851DB">
        <w:rPr>
          <w:lang w:val="en-US" w:eastAsia="en-US"/>
        </w:rPr>
        <w:t>a collection of grains of gravel, sands, silt and clay of different sizes that are combined together</w:t>
      </w:r>
      <w:r w:rsidR="00485339">
        <w:rPr>
          <w:lang w:val="en-US" w:eastAsia="en-US"/>
        </w:rPr>
        <w:t xml:space="preserve">. </w:t>
      </w:r>
      <w:r w:rsidRPr="00B851DB">
        <w:rPr>
          <w:lang w:val="en-US" w:eastAsia="en-US"/>
        </w:rPr>
        <w:t>Pressure from overlying sediments or rocks and the weight of water are carried by the grains in contact with each other. Increasing pressure will compress the sediments</w:t>
      </w:r>
      <w:r>
        <w:rPr>
          <w:lang w:val="en-US" w:eastAsia="en-US"/>
        </w:rPr>
        <w:t>.</w:t>
      </w:r>
      <w:r w:rsidRPr="00B851DB">
        <w:rPr>
          <w:lang w:val="en-US" w:eastAsia="en-US"/>
        </w:rPr>
        <w:t xml:space="preserve"> The rate of compression with increasing pressure is very small. It can be measured by taking samples of the sediment and testing in a laboratory.</w:t>
      </w:r>
    </w:p>
    <w:p w14:paraId="50E955B0" w14:textId="549B16B5" w:rsidR="003362A1" w:rsidRDefault="003362A1">
      <w:pPr>
        <w:rPr>
          <w:lang w:val="en-US" w:eastAsia="en-US"/>
        </w:rPr>
      </w:pPr>
      <w:r w:rsidRPr="00B851DB">
        <w:rPr>
          <w:lang w:val="en-US" w:eastAsia="en-US"/>
        </w:rPr>
        <w:t>As sediments are deposited they become progressively buried. The burial process compacts and consolidates the sediment. Over geological time the sediments may be moved or lifted by geological forces. Typically sediments as we find them today have been buried deeper in the earth at some stage in the past.</w:t>
      </w:r>
      <w:r w:rsidR="009A72C5">
        <w:rPr>
          <w:lang w:val="en-US" w:eastAsia="en-US"/>
        </w:rPr>
        <w:t xml:space="preserve"> </w:t>
      </w:r>
    </w:p>
    <w:p w14:paraId="2289293D" w14:textId="092505FC" w:rsidR="003362A1" w:rsidRDefault="003362A1">
      <w:pPr>
        <w:rPr>
          <w:lang w:val="en-US" w:eastAsia="en-US"/>
        </w:rPr>
      </w:pPr>
      <w:r w:rsidRPr="00642A5D">
        <w:rPr>
          <w:lang w:val="en-US" w:eastAsia="en-US"/>
        </w:rPr>
        <w:t>Whil</w:t>
      </w:r>
      <w:r w:rsidR="00966E03">
        <w:rPr>
          <w:lang w:val="en-US" w:eastAsia="en-US"/>
        </w:rPr>
        <w:t>e</w:t>
      </w:r>
      <w:r w:rsidRPr="00642A5D">
        <w:rPr>
          <w:lang w:val="en-US" w:eastAsia="en-US"/>
        </w:rPr>
        <w:t xml:space="preserve"> the general pattern of consolidation and the forces that control it are well understood, there is relatively little known about the precise characteristics of the consolidation process of sediments in the Otway region. Very few field studies have been undertaken. One study has been undertaken where laboratory testing of aquifers for compression parameters has been reported (the Barwon Downs case study</w:t>
      </w:r>
      <w:r w:rsidR="00966E03">
        <w:rPr>
          <w:lang w:val="en-US" w:eastAsia="en-US"/>
        </w:rPr>
        <w:t>;</w:t>
      </w:r>
      <w:r w:rsidR="00966E03" w:rsidRPr="00642A5D">
        <w:rPr>
          <w:lang w:val="en-US" w:eastAsia="en-US"/>
        </w:rPr>
        <w:t xml:space="preserve"> </w:t>
      </w:r>
      <w:r w:rsidRPr="00642A5D">
        <w:rPr>
          <w:lang w:val="en-US" w:eastAsia="en-US"/>
        </w:rPr>
        <w:t>see below).</w:t>
      </w:r>
    </w:p>
    <w:p w14:paraId="02FFDD02" w14:textId="77777777" w:rsidR="006B4392" w:rsidRDefault="006B4392">
      <w:pPr>
        <w:rPr>
          <w:lang w:val="en-US" w:eastAsia="en-US"/>
        </w:rPr>
      </w:pPr>
      <w:r w:rsidRPr="00642A5D">
        <w:rPr>
          <w:lang w:val="en-US" w:eastAsia="en-US"/>
        </w:rPr>
        <w:t>Subsidence is dominated by the clay and fine grained sediments within a sedimentary sequence. Typically this means that for the aquifers and sediments in the Otway region, the aquitards will provide the majority of any potential settlement and thus are likely to be the source of the majority of any subsidence. Fractured rock aquifers are not expected to provide significant settlement.</w:t>
      </w:r>
    </w:p>
    <w:p w14:paraId="2CCE5305" w14:textId="487952F9" w:rsidR="006B4392" w:rsidRPr="00642A5D" w:rsidRDefault="005707ED" w:rsidP="006B4392">
      <w:pPr>
        <w:pStyle w:val="Head2xx"/>
      </w:pPr>
      <w:bookmarkStart w:id="619" w:name="_Toc418508688"/>
      <w:bookmarkStart w:id="620" w:name="_Toc420570305"/>
      <w:bookmarkStart w:id="621" w:name="_Toc420571501"/>
      <w:bookmarkStart w:id="622" w:name="_Toc420572139"/>
      <w:bookmarkStart w:id="623" w:name="_Toc296766997"/>
      <w:bookmarkStart w:id="624" w:name="_Toc422927921"/>
      <w:r>
        <w:t>6.3</w:t>
      </w:r>
      <w:r>
        <w:tab/>
      </w:r>
      <w:r w:rsidR="00D671B2">
        <w:t>Summary of subsidence p</w:t>
      </w:r>
      <w:r w:rsidR="006B4392" w:rsidRPr="00642A5D">
        <w:t>rocesses</w:t>
      </w:r>
      <w:bookmarkEnd w:id="619"/>
      <w:bookmarkEnd w:id="620"/>
      <w:bookmarkEnd w:id="621"/>
      <w:bookmarkEnd w:id="622"/>
      <w:bookmarkEnd w:id="623"/>
      <w:bookmarkEnd w:id="624"/>
    </w:p>
    <w:p w14:paraId="0253B0A1" w14:textId="77777777" w:rsidR="006B4392" w:rsidRPr="00B851DB" w:rsidRDefault="006B4392">
      <w:pPr>
        <w:rPr>
          <w:lang w:val="en-US" w:eastAsia="en-US"/>
        </w:rPr>
      </w:pPr>
      <w:r w:rsidRPr="00B851DB">
        <w:rPr>
          <w:lang w:val="en-US" w:eastAsia="en-US"/>
        </w:rPr>
        <w:t>The key factors that influence the risk of subsidence are:</w:t>
      </w:r>
    </w:p>
    <w:p w14:paraId="5FABB161" w14:textId="6EC1958D" w:rsidR="006B4392" w:rsidRPr="00B851DB" w:rsidRDefault="00966E03" w:rsidP="00966E03">
      <w:pPr>
        <w:pStyle w:val="bulletlist0"/>
      </w:pPr>
      <w:r>
        <w:t>•</w:t>
      </w:r>
      <w:r>
        <w:tab/>
      </w:r>
      <w:r w:rsidR="006B4392">
        <w:t>water level d</w:t>
      </w:r>
      <w:r w:rsidR="006B4392" w:rsidRPr="00B851DB">
        <w:t>rawdown in aquifers</w:t>
      </w:r>
    </w:p>
    <w:p w14:paraId="58C0CC7A" w14:textId="00DA8313" w:rsidR="006B4392" w:rsidRPr="00B851DB" w:rsidRDefault="00966E03" w:rsidP="00966E03">
      <w:pPr>
        <w:pStyle w:val="bulletlist0"/>
      </w:pPr>
      <w:r>
        <w:t>•</w:t>
      </w:r>
      <w:r>
        <w:tab/>
      </w:r>
      <w:r w:rsidR="006B4392">
        <w:t>c</w:t>
      </w:r>
      <w:r w:rsidR="006B4392" w:rsidRPr="00B851DB">
        <w:t>ompressibility of the aquifer sediments, especially the aquitards (or clay bearing layers)</w:t>
      </w:r>
      <w:r w:rsidR="006B4392">
        <w:t xml:space="preserve"> and coal layers</w:t>
      </w:r>
    </w:p>
    <w:p w14:paraId="777146EC" w14:textId="22757D6E" w:rsidR="006B4392" w:rsidRPr="00B851DB" w:rsidRDefault="00966E03" w:rsidP="00966E03">
      <w:pPr>
        <w:pStyle w:val="bulletlist0"/>
      </w:pPr>
      <w:r>
        <w:t>•</w:t>
      </w:r>
      <w:r>
        <w:tab/>
      </w:r>
      <w:r w:rsidR="006B4392">
        <w:t>r</w:t>
      </w:r>
      <w:r w:rsidR="006B4392" w:rsidRPr="00B851DB">
        <w:t>atio of fine grained (clay) sediments to medium to coarse grained sediments (sands)</w:t>
      </w:r>
    </w:p>
    <w:p w14:paraId="4FBACD6F" w14:textId="4D83DD1F" w:rsidR="006B4392" w:rsidRDefault="00966E03" w:rsidP="00966E03">
      <w:pPr>
        <w:pStyle w:val="bulletlist0"/>
      </w:pPr>
      <w:r>
        <w:t>•</w:t>
      </w:r>
      <w:r>
        <w:tab/>
      </w:r>
      <w:r w:rsidR="006B4392">
        <w:t>l</w:t>
      </w:r>
      <w:r w:rsidR="006B4392" w:rsidRPr="00B851DB">
        <w:t xml:space="preserve">ength of time that the </w:t>
      </w:r>
      <w:r w:rsidR="006B4392">
        <w:t xml:space="preserve">water level </w:t>
      </w:r>
      <w:r w:rsidR="006B4392" w:rsidRPr="00B851DB">
        <w:t>drawdown persists</w:t>
      </w:r>
    </w:p>
    <w:p w14:paraId="4C680559" w14:textId="56CAAA14" w:rsidR="006B4392" w:rsidRPr="00627F98" w:rsidRDefault="00966E03" w:rsidP="00966E03">
      <w:pPr>
        <w:pStyle w:val="bulletlist0"/>
      </w:pPr>
      <w:r>
        <w:t>•</w:t>
      </w:r>
      <w:r>
        <w:tab/>
      </w:r>
      <w:r w:rsidR="006B4392">
        <w:t>p</w:t>
      </w:r>
      <w:r w:rsidR="006B4392" w:rsidRPr="00627F98">
        <w:t>rior compaction (consolidation) history of the sediments.</w:t>
      </w:r>
    </w:p>
    <w:p w14:paraId="68F43B13" w14:textId="77777777" w:rsidR="00966E03" w:rsidRDefault="00966E03">
      <w:pPr>
        <w:spacing w:after="200"/>
        <w:rPr>
          <w:lang w:val="en-US" w:eastAsia="en-US"/>
        </w:rPr>
      </w:pPr>
      <w:r>
        <w:rPr>
          <w:lang w:val="en-US" w:eastAsia="en-US"/>
        </w:rPr>
        <w:br w:type="page"/>
      </w:r>
    </w:p>
    <w:p w14:paraId="4DA201FF" w14:textId="37EBB7BA" w:rsidR="006B4392" w:rsidRPr="00FC4AD3" w:rsidRDefault="006B4392">
      <w:pPr>
        <w:rPr>
          <w:lang w:val="en-US" w:eastAsia="en-US"/>
        </w:rPr>
      </w:pPr>
      <w:r w:rsidRPr="00FC4AD3">
        <w:rPr>
          <w:lang w:val="en-US" w:eastAsia="en-US"/>
        </w:rPr>
        <w:t>For the Otway area, some of the risk factors are reasonably known and others can be estimated or inferred. Each of the risk factors is discussed below.</w:t>
      </w:r>
    </w:p>
    <w:p w14:paraId="5B33653B" w14:textId="77777777" w:rsidR="00FC4AD3" w:rsidRPr="00FC4AD3" w:rsidRDefault="00FC4AD3" w:rsidP="00E7436B">
      <w:pPr>
        <w:pStyle w:val="Heading4"/>
        <w:rPr>
          <w:lang w:val="en-US" w:eastAsia="en-US"/>
        </w:rPr>
      </w:pPr>
      <w:r w:rsidRPr="00FC4AD3">
        <w:rPr>
          <w:lang w:val="en-US" w:eastAsia="en-US"/>
        </w:rPr>
        <w:t>Drawdown</w:t>
      </w:r>
    </w:p>
    <w:p w14:paraId="5DBF8137" w14:textId="60E940FD" w:rsidR="00FC4AD3" w:rsidRPr="00FC4AD3" w:rsidRDefault="00FC4AD3">
      <w:pPr>
        <w:rPr>
          <w:lang w:val="en-US" w:eastAsia="en-US"/>
        </w:rPr>
      </w:pPr>
      <w:r w:rsidRPr="00FC4AD3">
        <w:rPr>
          <w:lang w:val="en-US" w:eastAsia="en-US"/>
        </w:rPr>
        <w:t>The block model approach described earlier in this report has been used to estimate the potential drawdown in aquifers in the Otway region as a result of onshore gas exploration or development. These drawdown estimates provide an indication of the likely influence of gas developments on regional groundwater systems. The typical regional drawdown (in any aquifer) estimated by this study is in the order of 10 to 100</w:t>
      </w:r>
      <w:r w:rsidR="002E04BC">
        <w:rPr>
          <w:lang w:val="en-US" w:eastAsia="en-US"/>
        </w:rPr>
        <w:t xml:space="preserve"> </w:t>
      </w:r>
      <w:r w:rsidRPr="00FC4AD3">
        <w:rPr>
          <w:lang w:val="en-US" w:eastAsia="en-US"/>
        </w:rPr>
        <w:t xml:space="preserve">cm after 30 years. This drawdown is small </w:t>
      </w:r>
      <w:r w:rsidR="00352482">
        <w:rPr>
          <w:lang w:val="en-US" w:eastAsia="en-US"/>
        </w:rPr>
        <w:t xml:space="preserve">(less than 100 mm) </w:t>
      </w:r>
      <w:r w:rsidRPr="00FC4AD3">
        <w:rPr>
          <w:lang w:val="en-US" w:eastAsia="en-US"/>
        </w:rPr>
        <w:t>and well within the range of drawdown that may be expected from other regional groundwater extraction.</w:t>
      </w:r>
      <w:r w:rsidR="009A72C5">
        <w:rPr>
          <w:lang w:val="en-US" w:eastAsia="en-US"/>
        </w:rPr>
        <w:t xml:space="preserve"> </w:t>
      </w:r>
    </w:p>
    <w:p w14:paraId="16CD13B1" w14:textId="1E38C377" w:rsidR="00FC4AD3" w:rsidRPr="00FC4AD3" w:rsidRDefault="00FC4AD3" w:rsidP="00E7436B">
      <w:pPr>
        <w:pStyle w:val="Heading4"/>
        <w:rPr>
          <w:lang w:val="en-US" w:eastAsia="en-US"/>
        </w:rPr>
      </w:pPr>
      <w:r w:rsidRPr="00FC4AD3">
        <w:rPr>
          <w:lang w:val="en-US" w:eastAsia="en-US"/>
        </w:rPr>
        <w:t xml:space="preserve">Aquifer and </w:t>
      </w:r>
      <w:r w:rsidR="00966E03">
        <w:rPr>
          <w:lang w:val="en-US" w:eastAsia="en-US"/>
        </w:rPr>
        <w:t>a</w:t>
      </w:r>
      <w:r w:rsidRPr="00FC4AD3">
        <w:rPr>
          <w:lang w:val="en-US" w:eastAsia="en-US"/>
        </w:rPr>
        <w:t xml:space="preserve">quitard </w:t>
      </w:r>
      <w:r w:rsidR="00966E03">
        <w:rPr>
          <w:lang w:val="en-US" w:eastAsia="en-US"/>
        </w:rPr>
        <w:t>c</w:t>
      </w:r>
      <w:r w:rsidRPr="00FC4AD3">
        <w:rPr>
          <w:lang w:val="en-US" w:eastAsia="en-US"/>
        </w:rPr>
        <w:t>ompressibility</w:t>
      </w:r>
    </w:p>
    <w:p w14:paraId="547938AD" w14:textId="02AF7537" w:rsidR="00FC4AD3" w:rsidRPr="00FC4AD3" w:rsidRDefault="00FC4AD3">
      <w:pPr>
        <w:rPr>
          <w:lang w:val="en-US" w:eastAsia="en-US"/>
        </w:rPr>
      </w:pPr>
      <w:r w:rsidRPr="00FC4AD3">
        <w:rPr>
          <w:lang w:val="en-US" w:eastAsia="en-US"/>
        </w:rPr>
        <w:t xml:space="preserve">Little is known of the actual sediment compressibility characteristics in the broader Otway region. </w:t>
      </w:r>
      <w:r w:rsidR="00966E03">
        <w:rPr>
          <w:lang w:val="en-US" w:eastAsia="en-US"/>
        </w:rPr>
        <w:t>T</w:t>
      </w:r>
      <w:r w:rsidRPr="00FC4AD3">
        <w:rPr>
          <w:lang w:val="en-US" w:eastAsia="en-US"/>
        </w:rPr>
        <w:t xml:space="preserve">he Barwon Downs case study </w:t>
      </w:r>
      <w:r w:rsidR="00966E03">
        <w:rPr>
          <w:lang w:val="en-US" w:eastAsia="en-US"/>
        </w:rPr>
        <w:t xml:space="preserve">indicated that </w:t>
      </w:r>
      <w:r w:rsidRPr="00FC4AD3">
        <w:rPr>
          <w:lang w:val="en-US" w:eastAsia="en-US"/>
        </w:rPr>
        <w:t>the Gellibrand Marl (which is the major regional aquitard) is over-consolidated and recompression ratio values are available from laboratory testing. The extent to which these would be more applicable to the rest of the study area is not defined but it can reasonably be assumed that these values can be taken to represent the Gellibrand Marl more widely.</w:t>
      </w:r>
      <w:r w:rsidR="009A72C5">
        <w:rPr>
          <w:lang w:val="en-US" w:eastAsia="en-US"/>
        </w:rPr>
        <w:t xml:space="preserve"> </w:t>
      </w:r>
      <w:r w:rsidRPr="00FC4AD3">
        <w:rPr>
          <w:lang w:val="en-US" w:eastAsia="en-US"/>
        </w:rPr>
        <w:t>Whether these values apply specifically to other units is not clear. It can be confidently assumed that the bulk of the aquifer sequence below the Gellibrand Marl is over-consolidated.</w:t>
      </w:r>
    </w:p>
    <w:p w14:paraId="49803AB6" w14:textId="77777777" w:rsidR="00FC4AD3" w:rsidRPr="00FC4AD3" w:rsidRDefault="00FC4AD3">
      <w:pPr>
        <w:rPr>
          <w:lang w:val="en-US" w:eastAsia="en-US"/>
        </w:rPr>
      </w:pPr>
      <w:r w:rsidRPr="00FC4AD3">
        <w:rPr>
          <w:lang w:val="en-US" w:eastAsia="en-US"/>
        </w:rPr>
        <w:t>Uncertainty in the compressibility of sediments is a significant barrier to any quantitative assessment of subsidence. In the absence of any other more relevant values, the values adopted for Barwon Downs appear to be the best available.</w:t>
      </w:r>
    </w:p>
    <w:p w14:paraId="5759273E" w14:textId="7D2B099B" w:rsidR="00FC4AD3" w:rsidRPr="00FC4AD3" w:rsidRDefault="00FC4AD3" w:rsidP="00E7436B">
      <w:pPr>
        <w:pStyle w:val="Heading4"/>
        <w:rPr>
          <w:lang w:val="en-US" w:eastAsia="en-US"/>
        </w:rPr>
      </w:pPr>
      <w:r w:rsidRPr="00FC4AD3">
        <w:rPr>
          <w:lang w:val="en-US" w:eastAsia="en-US"/>
        </w:rPr>
        <w:t xml:space="preserve">Ratio of </w:t>
      </w:r>
      <w:r w:rsidR="00966E03">
        <w:rPr>
          <w:lang w:val="en-US" w:eastAsia="en-US"/>
        </w:rPr>
        <w:t>c</w:t>
      </w:r>
      <w:r w:rsidRPr="00FC4AD3">
        <w:rPr>
          <w:lang w:val="en-US" w:eastAsia="en-US"/>
        </w:rPr>
        <w:t xml:space="preserve">lay to </w:t>
      </w:r>
      <w:r w:rsidR="00966E03">
        <w:rPr>
          <w:lang w:val="en-US" w:eastAsia="en-US"/>
        </w:rPr>
        <w:t>s</w:t>
      </w:r>
      <w:r w:rsidRPr="00FC4AD3">
        <w:rPr>
          <w:lang w:val="en-US" w:eastAsia="en-US"/>
        </w:rPr>
        <w:t>and</w:t>
      </w:r>
    </w:p>
    <w:p w14:paraId="1243482C" w14:textId="6666E5CC" w:rsidR="00FC4AD3" w:rsidRPr="00FC4AD3" w:rsidRDefault="00FC4AD3">
      <w:pPr>
        <w:rPr>
          <w:lang w:val="en-US" w:eastAsia="en-US"/>
        </w:rPr>
      </w:pPr>
      <w:r w:rsidRPr="00FC4AD3">
        <w:rPr>
          <w:lang w:val="en-US" w:eastAsia="en-US"/>
        </w:rPr>
        <w:t xml:space="preserve">In the Otway region the stratigraphy is well defined for the Tertiary and earlier sediments. Stratigraphic profiles in the upper part of the sequence are reasonably well known. Deeper profiles are known from a more limited number of bores, but they are generally well described and the ratios of clay to sand are moderately well known. The data on sediment size </w:t>
      </w:r>
      <w:r w:rsidR="002D4544" w:rsidRPr="00FC4AD3">
        <w:rPr>
          <w:lang w:val="en-US" w:eastAsia="en-US"/>
        </w:rPr>
        <w:t>is adequate</w:t>
      </w:r>
      <w:r w:rsidRPr="00FC4AD3">
        <w:rPr>
          <w:lang w:val="en-US" w:eastAsia="en-US"/>
        </w:rPr>
        <w:t xml:space="preserve"> given the uncertainties in other parameters</w:t>
      </w:r>
    </w:p>
    <w:p w14:paraId="50875CF3" w14:textId="771C8354" w:rsidR="00FC4AD3" w:rsidRPr="00FC4AD3" w:rsidRDefault="00FC4AD3" w:rsidP="00E7436B">
      <w:pPr>
        <w:pStyle w:val="Heading4"/>
        <w:rPr>
          <w:lang w:val="en-US" w:eastAsia="en-US"/>
        </w:rPr>
      </w:pPr>
      <w:r w:rsidRPr="00FC4AD3">
        <w:rPr>
          <w:lang w:val="en-US" w:eastAsia="en-US"/>
        </w:rPr>
        <w:t xml:space="preserve">Timing of </w:t>
      </w:r>
      <w:r w:rsidR="00966E03">
        <w:rPr>
          <w:lang w:val="en-US" w:eastAsia="en-US"/>
        </w:rPr>
        <w:t>d</w:t>
      </w:r>
      <w:r w:rsidRPr="00FC4AD3">
        <w:rPr>
          <w:lang w:val="en-US" w:eastAsia="en-US"/>
        </w:rPr>
        <w:t>rawdown</w:t>
      </w:r>
    </w:p>
    <w:p w14:paraId="7405C132" w14:textId="10176F5C" w:rsidR="00FC4AD3" w:rsidRDefault="00FC4AD3">
      <w:pPr>
        <w:rPr>
          <w:lang w:val="en-US" w:eastAsia="en-US"/>
        </w:rPr>
      </w:pPr>
      <w:r w:rsidRPr="00FC4AD3">
        <w:rPr>
          <w:lang w:val="en-US" w:eastAsia="en-US"/>
        </w:rPr>
        <w:t xml:space="preserve">The time </w:t>
      </w:r>
      <w:r w:rsidR="00966E03">
        <w:rPr>
          <w:lang w:val="en-US" w:eastAsia="en-US"/>
        </w:rPr>
        <w:t>that elapses between</w:t>
      </w:r>
      <w:r w:rsidR="00966E03" w:rsidRPr="00FC4AD3">
        <w:rPr>
          <w:lang w:val="en-US" w:eastAsia="en-US"/>
        </w:rPr>
        <w:t xml:space="preserve"> </w:t>
      </w:r>
      <w:r w:rsidRPr="00FC4AD3">
        <w:rPr>
          <w:lang w:val="en-US" w:eastAsia="en-US"/>
        </w:rPr>
        <w:t>drawdown and recover</w:t>
      </w:r>
      <w:r w:rsidR="00966E03">
        <w:rPr>
          <w:lang w:val="en-US" w:eastAsia="en-US"/>
        </w:rPr>
        <w:t>y</w:t>
      </w:r>
      <w:r w:rsidRPr="00FC4AD3">
        <w:rPr>
          <w:lang w:val="en-US" w:eastAsia="en-US"/>
        </w:rPr>
        <w:t xml:space="preserve"> is moderately well known. Estimates for onshore gas development are over 30 years</w:t>
      </w:r>
      <w:r w:rsidR="00966E03">
        <w:rPr>
          <w:lang w:val="en-US" w:eastAsia="en-US"/>
        </w:rPr>
        <w:t>,</w:t>
      </w:r>
      <w:r w:rsidRPr="00FC4AD3">
        <w:rPr>
          <w:lang w:val="en-US" w:eastAsia="en-US"/>
        </w:rPr>
        <w:t xml:space="preserve"> and water level recovery in the aquifer sequence (as compared with the gas source rocks) is likely to be in the order of</w:t>
      </w:r>
      <w:r w:rsidR="003E468A">
        <w:rPr>
          <w:lang w:val="en-US" w:eastAsia="en-US"/>
        </w:rPr>
        <w:t xml:space="preserve"> a decade. </w:t>
      </w:r>
    </w:p>
    <w:p w14:paraId="1BD1A316" w14:textId="6E17D9B6" w:rsidR="00FC4AD3" w:rsidRPr="00FC4AD3" w:rsidRDefault="00FC4AD3" w:rsidP="00E7436B">
      <w:pPr>
        <w:pStyle w:val="Heading4"/>
        <w:rPr>
          <w:lang w:val="en-US" w:eastAsia="en-US"/>
        </w:rPr>
      </w:pPr>
      <w:r w:rsidRPr="00FC4AD3">
        <w:rPr>
          <w:lang w:val="en-US" w:eastAsia="en-US"/>
        </w:rPr>
        <w:t xml:space="preserve">Consolidation </w:t>
      </w:r>
      <w:r w:rsidR="00966E03">
        <w:rPr>
          <w:lang w:val="en-US" w:eastAsia="en-US"/>
        </w:rPr>
        <w:t>h</w:t>
      </w:r>
      <w:r w:rsidRPr="00FC4AD3">
        <w:rPr>
          <w:lang w:val="en-US" w:eastAsia="en-US"/>
        </w:rPr>
        <w:t>istory</w:t>
      </w:r>
    </w:p>
    <w:p w14:paraId="546A49A6" w14:textId="68BF32B3" w:rsidR="00FC4AD3" w:rsidRPr="00FC4AD3" w:rsidRDefault="00FC4AD3">
      <w:pPr>
        <w:rPr>
          <w:lang w:val="en-US" w:eastAsia="en-US"/>
        </w:rPr>
      </w:pPr>
      <w:r w:rsidRPr="00FC4AD3">
        <w:rPr>
          <w:lang w:val="en-US" w:eastAsia="en-US"/>
        </w:rPr>
        <w:t>Prior consolidation and compaction history of sediments is important when predicting subsidence</w:t>
      </w:r>
      <w:r w:rsidR="00966E03">
        <w:rPr>
          <w:lang w:val="en-US" w:eastAsia="en-US"/>
        </w:rPr>
        <w:t>, because</w:t>
      </w:r>
      <w:r w:rsidRPr="00FC4AD3">
        <w:rPr>
          <w:lang w:val="en-US" w:eastAsia="en-US"/>
        </w:rPr>
        <w:t xml:space="preserve"> </w:t>
      </w:r>
      <w:r w:rsidR="00966E03">
        <w:rPr>
          <w:lang w:val="en-US" w:eastAsia="en-US"/>
        </w:rPr>
        <w:t xml:space="preserve">how </w:t>
      </w:r>
      <w:r w:rsidRPr="00FC4AD3">
        <w:rPr>
          <w:lang w:val="en-US" w:eastAsia="en-US"/>
        </w:rPr>
        <w:t xml:space="preserve">sediments behave to the stress of water withdrawal </w:t>
      </w:r>
      <w:r w:rsidR="00966E03" w:rsidRPr="00FC4AD3">
        <w:rPr>
          <w:lang w:val="en-US" w:eastAsia="en-US"/>
        </w:rPr>
        <w:t>depend</w:t>
      </w:r>
      <w:r w:rsidR="00966E03">
        <w:rPr>
          <w:lang w:val="en-US" w:eastAsia="en-US"/>
        </w:rPr>
        <w:t>s</w:t>
      </w:r>
      <w:r w:rsidR="00966E03" w:rsidRPr="00FC4AD3">
        <w:rPr>
          <w:lang w:val="en-US" w:eastAsia="en-US"/>
        </w:rPr>
        <w:t xml:space="preserve"> </w:t>
      </w:r>
      <w:r w:rsidRPr="00FC4AD3">
        <w:rPr>
          <w:lang w:val="en-US" w:eastAsia="en-US"/>
        </w:rPr>
        <w:t>on whether the stresses are greater than or less than the maximum pressure that has been previously applied to the sediments. Sediments with stresses that are less than the historical maximum are called over-consolidated. Sediments where stresses are greater than previously applied are called normally-consolidated sediments. The compressibility of over-consolidated sediments is about one tenth of the compressibility of normally consolidated (</w:t>
      </w:r>
      <w:r w:rsidR="00966E03" w:rsidRPr="00FC4AD3">
        <w:rPr>
          <w:lang w:val="en-US" w:eastAsia="en-US"/>
        </w:rPr>
        <w:t>Helm 1984</w:t>
      </w:r>
      <w:r w:rsidR="00966E03">
        <w:rPr>
          <w:lang w:val="en-US" w:eastAsia="en-US"/>
        </w:rPr>
        <w:t xml:space="preserve">; </w:t>
      </w:r>
      <w:r w:rsidRPr="00FC4AD3">
        <w:rPr>
          <w:lang w:val="en-US" w:eastAsia="en-US"/>
        </w:rPr>
        <w:t>Underschultz, 2006).</w:t>
      </w:r>
    </w:p>
    <w:p w14:paraId="0C984A29" w14:textId="487FD40F" w:rsidR="00F60E96" w:rsidRDefault="00966E03">
      <w:pPr>
        <w:rPr>
          <w:lang w:val="en-US" w:eastAsia="en-US"/>
        </w:rPr>
      </w:pPr>
      <w:r>
        <w:rPr>
          <w:lang w:val="en-US" w:eastAsia="en-US"/>
        </w:rPr>
        <w:t>T</w:t>
      </w:r>
      <w:r w:rsidR="00FC4AD3" w:rsidRPr="00FC4AD3">
        <w:rPr>
          <w:lang w:val="en-US" w:eastAsia="en-US"/>
        </w:rPr>
        <w:t xml:space="preserve">he pre-consolidation history is key to predicting the likely subsidence </w:t>
      </w:r>
      <w:r>
        <w:rPr>
          <w:lang w:val="en-US" w:eastAsia="en-US"/>
        </w:rPr>
        <w:t>but</w:t>
      </w:r>
      <w:r w:rsidR="00FC4AD3" w:rsidRPr="00FC4AD3">
        <w:rPr>
          <w:lang w:val="en-US" w:eastAsia="en-US"/>
        </w:rPr>
        <w:t xml:space="preserve"> there is no known data from the broader sedimentary sequence in the Otway area. </w:t>
      </w:r>
      <w:r>
        <w:rPr>
          <w:lang w:val="en-US" w:eastAsia="en-US"/>
        </w:rPr>
        <w:t>As a result, d</w:t>
      </w:r>
      <w:r w:rsidRPr="00FC4AD3">
        <w:rPr>
          <w:lang w:val="en-US" w:eastAsia="en-US"/>
        </w:rPr>
        <w:t>etailed predictions of subsidence in the Otway region are not possible</w:t>
      </w:r>
      <w:r>
        <w:rPr>
          <w:lang w:val="en-US" w:eastAsia="en-US"/>
        </w:rPr>
        <w:t>. (</w:t>
      </w:r>
      <w:r w:rsidR="00FC4AD3" w:rsidRPr="00FC4AD3">
        <w:rPr>
          <w:lang w:val="en-US" w:eastAsia="en-US"/>
        </w:rPr>
        <w:t xml:space="preserve">Assumptions </w:t>
      </w:r>
      <w:r>
        <w:rPr>
          <w:lang w:val="en-US" w:eastAsia="en-US"/>
        </w:rPr>
        <w:t>about</w:t>
      </w:r>
      <w:r w:rsidR="00FC4AD3" w:rsidRPr="00FC4AD3">
        <w:rPr>
          <w:lang w:val="en-US" w:eastAsia="en-US"/>
        </w:rPr>
        <w:t xml:space="preserve"> the stress history of the sediments can be made, but these </w:t>
      </w:r>
      <w:r>
        <w:rPr>
          <w:lang w:val="en-US" w:eastAsia="en-US"/>
        </w:rPr>
        <w:t>have</w:t>
      </w:r>
      <w:r w:rsidR="00FC4AD3" w:rsidRPr="00FC4AD3">
        <w:rPr>
          <w:lang w:val="en-US" w:eastAsia="en-US"/>
        </w:rPr>
        <w:t xml:space="preserve"> little data to support them.</w:t>
      </w:r>
      <w:r>
        <w:rPr>
          <w:lang w:val="en-US" w:eastAsia="en-US"/>
        </w:rPr>
        <w:t>)</w:t>
      </w:r>
      <w:r w:rsidR="00FC4AD3" w:rsidRPr="00FC4AD3">
        <w:rPr>
          <w:lang w:val="en-US" w:eastAsia="en-US"/>
        </w:rPr>
        <w:t xml:space="preserve"> The single relevant observation is that the Barwon Downs area is responding in a way that is consistent with the sediments being over-consolidated with respect to current extraction stresses.</w:t>
      </w:r>
      <w:r w:rsidR="003815EE">
        <w:rPr>
          <w:lang w:val="en-US" w:eastAsia="en-US"/>
        </w:rPr>
        <w:t xml:space="preserve"> </w:t>
      </w:r>
      <w:r w:rsidR="00F60E96" w:rsidRPr="00642A5D">
        <w:rPr>
          <w:lang w:val="en-US" w:eastAsia="en-US"/>
        </w:rPr>
        <w:t xml:space="preserve">Within an aquifer at any point </w:t>
      </w:r>
      <w:r>
        <w:rPr>
          <w:lang w:val="en-US" w:eastAsia="en-US"/>
        </w:rPr>
        <w:t xml:space="preserve">below the ground surface, </w:t>
      </w:r>
      <w:r w:rsidR="00F60E96" w:rsidRPr="00642A5D">
        <w:rPr>
          <w:lang w:val="en-US" w:eastAsia="en-US"/>
        </w:rPr>
        <w:t>the pressure is caused by a combination of the combined weight of the sediments above that point</w:t>
      </w:r>
      <w:r>
        <w:rPr>
          <w:lang w:val="en-US" w:eastAsia="en-US"/>
        </w:rPr>
        <w:t>,</w:t>
      </w:r>
      <w:r w:rsidR="00F60E96" w:rsidRPr="00642A5D">
        <w:rPr>
          <w:lang w:val="en-US" w:eastAsia="en-US"/>
        </w:rPr>
        <w:t xml:space="preserve"> the weight of water (fluid)</w:t>
      </w:r>
      <w:r>
        <w:rPr>
          <w:lang w:val="en-US" w:eastAsia="en-US"/>
        </w:rPr>
        <w:t>,</w:t>
      </w:r>
      <w:r w:rsidR="009A72C5">
        <w:rPr>
          <w:lang w:val="en-US" w:eastAsia="en-US"/>
        </w:rPr>
        <w:t xml:space="preserve"> </w:t>
      </w:r>
      <w:r w:rsidR="00F60E96" w:rsidRPr="00642A5D">
        <w:rPr>
          <w:lang w:val="en-US" w:eastAsia="en-US"/>
        </w:rPr>
        <w:t xml:space="preserve">and the </w:t>
      </w:r>
      <w:r w:rsidRPr="00642A5D">
        <w:rPr>
          <w:lang w:val="en-US" w:eastAsia="en-US"/>
        </w:rPr>
        <w:t>atmospher</w:t>
      </w:r>
      <w:r>
        <w:rPr>
          <w:lang w:val="en-US" w:eastAsia="en-US"/>
        </w:rPr>
        <w:t>ic pressure</w:t>
      </w:r>
      <w:r w:rsidRPr="00642A5D">
        <w:rPr>
          <w:lang w:val="en-US" w:eastAsia="en-US"/>
        </w:rPr>
        <w:t xml:space="preserve"> </w:t>
      </w:r>
      <w:r w:rsidR="00F60E96" w:rsidRPr="00642A5D">
        <w:rPr>
          <w:lang w:val="en-US" w:eastAsia="en-US"/>
        </w:rPr>
        <w:t xml:space="preserve">above that point. This weight is borne in part by the aquifer sediments and in part by the water (fluid) in the aquifer. For the purposes of this discussion we will refer to the fluid in an aquifer as water. It can be any fluid, but as the focus of this report is the risk to water resources, water is the main consideration. Subsidence is potentially of concern in sedimentary aquifers (UNESCO 1984). Fractured rock aquifers are generally of less concern. In the Otway region the majority of water resources occur in sedimentary aquifers, although significant fractured rock aquifers are present (Refer conceptual model, in </w:t>
      </w:r>
      <w:r w:rsidR="006B4392" w:rsidRPr="00943638">
        <w:rPr>
          <w:lang w:val="en-US" w:eastAsia="en-US"/>
        </w:rPr>
        <w:t>C</w:t>
      </w:r>
      <w:r w:rsidR="00FD53FF" w:rsidRPr="00943638">
        <w:rPr>
          <w:lang w:val="en-US" w:eastAsia="en-US"/>
        </w:rPr>
        <w:t>hapter</w:t>
      </w:r>
      <w:r w:rsidR="00F60E96" w:rsidRPr="00943638">
        <w:rPr>
          <w:lang w:val="en-US" w:eastAsia="en-US"/>
        </w:rPr>
        <w:t xml:space="preserve"> </w:t>
      </w:r>
      <w:r w:rsidR="006B4392" w:rsidRPr="00943638">
        <w:rPr>
          <w:lang w:val="en-US" w:eastAsia="en-US"/>
        </w:rPr>
        <w:t>1</w:t>
      </w:r>
      <w:r w:rsidR="00943638">
        <w:rPr>
          <w:lang w:val="en-US" w:eastAsia="en-US"/>
        </w:rPr>
        <w:t>)</w:t>
      </w:r>
      <w:r w:rsidR="00F60E96" w:rsidRPr="00943638">
        <w:rPr>
          <w:lang w:val="en-US" w:eastAsia="en-US"/>
        </w:rPr>
        <w:t>.</w:t>
      </w:r>
    </w:p>
    <w:p w14:paraId="4961CD1A" w14:textId="77777777" w:rsidR="00F60E96" w:rsidRPr="00642A5D" w:rsidRDefault="00F60E96">
      <w:pPr>
        <w:rPr>
          <w:lang w:val="en-US" w:eastAsia="en-US"/>
        </w:rPr>
      </w:pPr>
      <w:r w:rsidRPr="00642A5D">
        <w:rPr>
          <w:lang w:val="en-US" w:eastAsia="en-US"/>
        </w:rPr>
        <w:t>Subsidence is dominated by the clay and fine grained sediments within a sedimentary sequence. Typically this means that for the aquifers and sediments in the Otway region, the aquitards will provide the majority of any potential settlement and thus are likely to be the source of the majority of any subsidence. Fractured rock aquifers are not expected to provide significant settlement.</w:t>
      </w:r>
    </w:p>
    <w:p w14:paraId="48063FDA" w14:textId="77777777" w:rsidR="00FC4AD3" w:rsidRPr="00FC4AD3" w:rsidRDefault="00FC4AD3" w:rsidP="00E7436B">
      <w:pPr>
        <w:pStyle w:val="Heading4"/>
        <w:rPr>
          <w:lang w:val="en-US" w:eastAsia="en-US"/>
        </w:rPr>
      </w:pPr>
      <w:r w:rsidRPr="00FC4AD3">
        <w:rPr>
          <w:lang w:val="en-US" w:eastAsia="en-US"/>
        </w:rPr>
        <w:t>Barwon Downs</w:t>
      </w:r>
    </w:p>
    <w:p w14:paraId="32CC6D21" w14:textId="77777777" w:rsidR="00F60E96" w:rsidRPr="00642A5D" w:rsidRDefault="00F60E96">
      <w:pPr>
        <w:rPr>
          <w:lang w:val="en-US" w:eastAsia="en-US"/>
        </w:rPr>
      </w:pPr>
      <w:r w:rsidRPr="00642A5D">
        <w:rPr>
          <w:lang w:val="en-US" w:eastAsia="en-US"/>
        </w:rPr>
        <w:t>In the Otway region the Barwon Downs area has been identified as being potentially at risk of subsidence as a result of groundwater extraction</w:t>
      </w:r>
      <w:r w:rsidR="00E86FC7" w:rsidRPr="00642A5D">
        <w:rPr>
          <w:lang w:val="en-US" w:eastAsia="en-US"/>
        </w:rPr>
        <w:t xml:space="preserve">. Barwon Downs contains </w:t>
      </w:r>
      <w:r w:rsidR="00F02056" w:rsidRPr="00642A5D">
        <w:rPr>
          <w:lang w:val="en-US" w:eastAsia="en-US"/>
        </w:rPr>
        <w:t xml:space="preserve">a </w:t>
      </w:r>
      <w:r w:rsidRPr="00642A5D">
        <w:rPr>
          <w:lang w:val="en-US" w:eastAsia="en-US"/>
        </w:rPr>
        <w:t>major public groundwater supply</w:t>
      </w:r>
      <w:r w:rsidR="00F02056" w:rsidRPr="00642A5D">
        <w:rPr>
          <w:lang w:val="en-US" w:eastAsia="en-US"/>
        </w:rPr>
        <w:t xml:space="preserve"> located in the G</w:t>
      </w:r>
      <w:r w:rsidRPr="00642A5D">
        <w:rPr>
          <w:lang w:val="en-US" w:eastAsia="en-US"/>
        </w:rPr>
        <w:t>erangamete</w:t>
      </w:r>
      <w:r w:rsidR="00F02056" w:rsidRPr="00642A5D">
        <w:rPr>
          <w:lang w:val="en-US" w:eastAsia="en-US"/>
        </w:rPr>
        <w:t xml:space="preserve"> area</w:t>
      </w:r>
      <w:r w:rsidRPr="00642A5D">
        <w:rPr>
          <w:lang w:val="en-US" w:eastAsia="en-US"/>
        </w:rPr>
        <w:t>. At this site</w:t>
      </w:r>
      <w:r w:rsidR="00E86FC7" w:rsidRPr="00642A5D">
        <w:rPr>
          <w:lang w:val="en-US" w:eastAsia="en-US"/>
        </w:rPr>
        <w:t>,</w:t>
      </w:r>
      <w:r w:rsidRPr="00642A5D">
        <w:rPr>
          <w:lang w:val="en-US" w:eastAsia="en-US"/>
        </w:rPr>
        <w:t xml:space="preserve"> </w:t>
      </w:r>
      <w:r w:rsidR="00E86FC7" w:rsidRPr="00642A5D">
        <w:rPr>
          <w:lang w:val="en-US" w:eastAsia="en-US"/>
        </w:rPr>
        <w:t xml:space="preserve">where </w:t>
      </w:r>
      <w:r w:rsidRPr="00642A5D">
        <w:rPr>
          <w:lang w:val="en-US" w:eastAsia="en-US"/>
        </w:rPr>
        <w:t>deep pumping bores extract groundwater from the Dilwyn Formation and adjacent aquifers</w:t>
      </w:r>
      <w:r w:rsidR="00F02056" w:rsidRPr="00642A5D">
        <w:rPr>
          <w:lang w:val="en-US" w:eastAsia="en-US"/>
        </w:rPr>
        <w:t xml:space="preserve">, </w:t>
      </w:r>
      <w:r w:rsidR="00E86FC7" w:rsidRPr="00642A5D">
        <w:rPr>
          <w:lang w:val="en-US" w:eastAsia="en-US"/>
        </w:rPr>
        <w:t>land subsidence is identified as a risk of pumping</w:t>
      </w:r>
      <w:r w:rsidRPr="00642A5D">
        <w:rPr>
          <w:lang w:val="en-US" w:eastAsia="en-US"/>
        </w:rPr>
        <w:t>.</w:t>
      </w:r>
    </w:p>
    <w:p w14:paraId="67836A25" w14:textId="564569B2" w:rsidR="00F60E96" w:rsidRPr="00642A5D" w:rsidRDefault="00F60E96">
      <w:pPr>
        <w:rPr>
          <w:lang w:val="en-US" w:eastAsia="en-US"/>
        </w:rPr>
      </w:pPr>
      <w:r w:rsidRPr="00642A5D">
        <w:rPr>
          <w:lang w:val="en-US" w:eastAsia="en-US"/>
        </w:rPr>
        <w:t xml:space="preserve">An investigation was undertaken early in the development of </w:t>
      </w:r>
      <w:r w:rsidRPr="00943638">
        <w:rPr>
          <w:lang w:val="en-US" w:eastAsia="en-US"/>
        </w:rPr>
        <w:t>the wellfield,</w:t>
      </w:r>
      <w:r w:rsidRPr="00642A5D">
        <w:rPr>
          <w:lang w:val="en-US" w:eastAsia="en-US"/>
        </w:rPr>
        <w:t xml:space="preserve"> (Rural Water Commission, 1986), in which estimates of subsidence were prepared.</w:t>
      </w:r>
      <w:r w:rsidR="009A72C5">
        <w:rPr>
          <w:lang w:val="en-US" w:eastAsia="en-US"/>
        </w:rPr>
        <w:t xml:space="preserve"> </w:t>
      </w:r>
      <w:r w:rsidRPr="00642A5D">
        <w:rPr>
          <w:lang w:val="en-US" w:eastAsia="en-US"/>
        </w:rPr>
        <w:t>These estimates were based on compaction parameters that were adopted from Gippsland (Helm, 1984), as local test results were not available. Subsequently laboratory testing of samples from the Barwon Downs region were collected (Rural Water Commission, 1987). These results indicated laboratory estimates of the compression ratio (CR</w:t>
      </w:r>
      <w:r w:rsidRPr="00642A5D">
        <w:rPr>
          <w:vertAlign w:val="subscript"/>
          <w:lang w:val="en-US" w:eastAsia="en-US"/>
        </w:rPr>
        <w:t>2</w:t>
      </w:r>
      <w:r w:rsidRPr="00642A5D">
        <w:rPr>
          <w:lang w:val="en-US" w:eastAsia="en-US"/>
        </w:rPr>
        <w:t>) in the range of 0.06 to 0.09. This indicates that the clays from the Gellibrand Marl (the unit tested) are over-consolidated. Estimates of land subsidence were then made</w:t>
      </w:r>
      <w:r w:rsidR="00045519">
        <w:rPr>
          <w:lang w:val="en-US" w:eastAsia="en-US"/>
        </w:rPr>
        <w:t>.</w:t>
      </w:r>
      <w:r w:rsidRPr="00642A5D">
        <w:rPr>
          <w:lang w:val="en-US" w:eastAsia="en-US"/>
        </w:rPr>
        <w:t xml:space="preserve"> </w:t>
      </w:r>
      <w:r w:rsidR="00045519">
        <w:rPr>
          <w:lang w:val="en-US" w:eastAsia="en-US"/>
        </w:rPr>
        <w:t>These</w:t>
      </w:r>
      <w:r w:rsidR="00045519" w:rsidRPr="00642A5D">
        <w:rPr>
          <w:lang w:val="en-US" w:eastAsia="en-US"/>
        </w:rPr>
        <w:t xml:space="preserve"> </w:t>
      </w:r>
      <w:r w:rsidRPr="00642A5D">
        <w:rPr>
          <w:lang w:val="en-US" w:eastAsia="en-US"/>
        </w:rPr>
        <w:t>indicated that (depending on the groundwater extraction rate and pattern) land subsidence of up to 0.4</w:t>
      </w:r>
      <w:r w:rsidR="00C54663">
        <w:rPr>
          <w:lang w:val="en-US" w:eastAsia="en-US"/>
        </w:rPr>
        <w:t xml:space="preserve"> </w:t>
      </w:r>
      <w:r w:rsidRPr="00642A5D">
        <w:rPr>
          <w:lang w:val="en-US" w:eastAsia="en-US"/>
        </w:rPr>
        <w:t>m could be possible.</w:t>
      </w:r>
    </w:p>
    <w:p w14:paraId="11229991" w14:textId="6AF71B56" w:rsidR="00E672DD" w:rsidRPr="00642A5D" w:rsidRDefault="00F60E96">
      <w:pPr>
        <w:rPr>
          <w:rFonts w:cs="Arial"/>
          <w:color w:val="AEC12D" w:themeColor="text2"/>
          <w:sz w:val="32"/>
          <w:szCs w:val="32"/>
          <w:lang w:val="en-AU" w:eastAsia="en-US"/>
        </w:rPr>
      </w:pPr>
      <w:r w:rsidRPr="00642A5D">
        <w:rPr>
          <w:lang w:val="en-US" w:eastAsia="en-US"/>
        </w:rPr>
        <w:t>The licen</w:t>
      </w:r>
      <w:r w:rsidR="00943638">
        <w:rPr>
          <w:lang w:val="en-US" w:eastAsia="en-US"/>
        </w:rPr>
        <w:t>s</w:t>
      </w:r>
      <w:r w:rsidRPr="00642A5D">
        <w:rPr>
          <w:lang w:val="en-US" w:eastAsia="en-US"/>
        </w:rPr>
        <w:t xml:space="preserve">e for groundwater take and use for the Barwon Downs </w:t>
      </w:r>
      <w:r w:rsidR="00943638">
        <w:rPr>
          <w:lang w:val="en-US" w:eastAsia="en-US"/>
        </w:rPr>
        <w:t>well</w:t>
      </w:r>
      <w:r w:rsidRPr="00943638">
        <w:rPr>
          <w:lang w:val="en-US" w:eastAsia="en-US"/>
        </w:rPr>
        <w:t>field</w:t>
      </w:r>
      <w:r w:rsidRPr="00642A5D">
        <w:rPr>
          <w:lang w:val="en-US" w:eastAsia="en-US"/>
        </w:rPr>
        <w:t xml:space="preserve"> includes a requirement to monitor for subsidence and allows for up to 200mm of subsidence within the licence conditions, (Barwon Water 2013). In 2013 the maximum measured subsidence was 54mm.</w:t>
      </w:r>
      <w:r w:rsidR="009A72C5">
        <w:rPr>
          <w:lang w:val="en-US" w:eastAsia="en-US"/>
        </w:rPr>
        <w:t xml:space="preserve"> </w:t>
      </w:r>
      <w:r w:rsidRPr="00642A5D">
        <w:rPr>
          <w:lang w:val="en-US" w:eastAsia="en-US"/>
        </w:rPr>
        <w:t xml:space="preserve">The Barwon Downs </w:t>
      </w:r>
      <w:r w:rsidRPr="00943638">
        <w:rPr>
          <w:lang w:val="en-US" w:eastAsia="en-US"/>
        </w:rPr>
        <w:t>well field</w:t>
      </w:r>
      <w:r w:rsidRPr="00642A5D">
        <w:rPr>
          <w:lang w:val="en-US" w:eastAsia="en-US"/>
        </w:rPr>
        <w:t xml:space="preserve"> has generated drawdown of up to 40 metres. The bore field is used intermittently as a reserve supply for Geelong. </w:t>
      </w:r>
    </w:p>
    <w:p w14:paraId="776A1222" w14:textId="7170F02C" w:rsidR="00F60E96" w:rsidRPr="00642A5D" w:rsidRDefault="005707ED" w:rsidP="001E0653">
      <w:pPr>
        <w:pStyle w:val="Head2xx"/>
      </w:pPr>
      <w:bookmarkStart w:id="625" w:name="_Toc420570306"/>
      <w:bookmarkStart w:id="626" w:name="_Toc420571502"/>
      <w:bookmarkStart w:id="627" w:name="_Toc420572140"/>
      <w:bookmarkStart w:id="628" w:name="_Toc296766998"/>
      <w:bookmarkStart w:id="629" w:name="_Toc422927922"/>
      <w:r>
        <w:t>6.4</w:t>
      </w:r>
      <w:r>
        <w:tab/>
      </w:r>
      <w:r w:rsidR="00FC4AD3">
        <w:t>Qualitative r</w:t>
      </w:r>
      <w:r w:rsidR="001E0653" w:rsidRPr="00642A5D">
        <w:t>isk assessment</w:t>
      </w:r>
      <w:bookmarkEnd w:id="625"/>
      <w:bookmarkEnd w:id="626"/>
      <w:bookmarkEnd w:id="627"/>
      <w:bookmarkEnd w:id="628"/>
      <w:bookmarkEnd w:id="629"/>
    </w:p>
    <w:p w14:paraId="3B46A6FA" w14:textId="77777777" w:rsidR="00F60E96" w:rsidRPr="00642A5D" w:rsidRDefault="00F60E96">
      <w:pPr>
        <w:rPr>
          <w:lang w:val="en-US" w:eastAsia="en-US"/>
        </w:rPr>
      </w:pPr>
      <w:r w:rsidRPr="00642A5D">
        <w:rPr>
          <w:lang w:val="en-US" w:eastAsia="en-US"/>
        </w:rPr>
        <w:t>Detailed predictions of subsidence in the Otway region are not possible as the pre-consolidation history is key to predicting the likely subsidence and yet there is no known data from the broader sedimentary sequence in the Otway area. Assumptions as to the stress history of the sediments can be made, but these are assumptions with little data to support them. The single relevant observation is that the Barwon Downs area is responding in a way that is consistent with the sediments being over-consolidated with respect to the current day extraction stresses.</w:t>
      </w:r>
    </w:p>
    <w:p w14:paraId="7D92069D" w14:textId="1C6C6B61" w:rsidR="00E635E3" w:rsidRDefault="00E635E3">
      <w:pPr>
        <w:rPr>
          <w:lang w:val="en-US" w:eastAsia="en-US"/>
        </w:rPr>
      </w:pPr>
      <w:r w:rsidRPr="00642A5D">
        <w:rPr>
          <w:lang w:val="en-US" w:eastAsia="en-US"/>
        </w:rPr>
        <w:t xml:space="preserve">The likelihood of subsidence is determined by the nature of the aquifers and how they may respond to drawdown. In effect this means that a likelihood scale is linked to the magnitude of subsidence that may occur. This is a combination of the consolidation parameters of the aquifers/aquitards and the expected drawdown. An approximate likelihood framework </w:t>
      </w:r>
      <w:r>
        <w:rPr>
          <w:lang w:val="en-US" w:eastAsia="en-US"/>
        </w:rPr>
        <w:t>(Table 11)</w:t>
      </w:r>
      <w:r w:rsidRPr="00642A5D">
        <w:rPr>
          <w:lang w:val="en-US" w:eastAsia="en-US"/>
        </w:rPr>
        <w:t xml:space="preserve"> is proposed</w:t>
      </w:r>
      <w:r>
        <w:rPr>
          <w:lang w:val="en-US" w:eastAsia="en-US"/>
        </w:rPr>
        <w:t>,</w:t>
      </w:r>
      <w:r w:rsidRPr="00642A5D">
        <w:rPr>
          <w:lang w:val="en-US" w:eastAsia="en-US"/>
        </w:rPr>
        <w:t xml:space="preserve"> based on the discussion above.</w:t>
      </w:r>
    </w:p>
    <w:p w14:paraId="290DE6F1" w14:textId="12F67E02" w:rsidR="00966E03" w:rsidRPr="00642A5D" w:rsidRDefault="00966E03" w:rsidP="00966E03">
      <w:pPr>
        <w:rPr>
          <w:lang w:val="en-US" w:eastAsia="en-US"/>
        </w:rPr>
      </w:pPr>
      <w:r w:rsidRPr="00642A5D">
        <w:rPr>
          <w:lang w:val="en-US" w:eastAsia="en-US"/>
        </w:rPr>
        <w:t xml:space="preserve">The consequence of subsidence is variable depending on the receptor. Built structures have deformation limits. Natural systems tend to be more resilient but will still have a limit. For this study the water resources that are being considered are aquifers, streams and ecosystems that are dependent on groundwater. Determining a consequence scale will need to be based on the nature of the water resource under consideration. In this study consequence is not able to be determined directly from data, as the key parameters to determine potential subsidence and the flow on consequences are not sufficiently known. For the purposes of this assessment the DELWP Resource Share Guidance approach is recommended as the basis of assessing </w:t>
      </w:r>
      <w:r>
        <w:rPr>
          <w:lang w:val="en-US" w:eastAsia="en-US"/>
        </w:rPr>
        <w:t>likelihood</w:t>
      </w:r>
      <w:r w:rsidRPr="00642A5D">
        <w:rPr>
          <w:lang w:val="en-US" w:eastAsia="en-US"/>
        </w:rPr>
        <w:t xml:space="preserve">, as shown in </w:t>
      </w:r>
      <w:r w:rsidRPr="00642A5D">
        <w:rPr>
          <w:lang w:val="en-US" w:eastAsia="en-US"/>
        </w:rPr>
        <w:fldChar w:fldCharType="begin"/>
      </w:r>
      <w:r w:rsidRPr="00642A5D">
        <w:rPr>
          <w:lang w:val="en-US" w:eastAsia="en-US"/>
        </w:rPr>
        <w:instrText xml:space="preserve"> REF _Ref409770302 \h </w:instrText>
      </w:r>
      <w:r>
        <w:rPr>
          <w:lang w:val="en-US" w:eastAsia="en-US"/>
        </w:rPr>
        <w:instrText xml:space="preserve"> \* MERGEFORMAT </w:instrText>
      </w:r>
      <w:r w:rsidRPr="00642A5D">
        <w:rPr>
          <w:lang w:val="en-US" w:eastAsia="en-US"/>
        </w:rPr>
      </w:r>
      <w:r w:rsidRPr="00642A5D">
        <w:rPr>
          <w:lang w:val="en-US" w:eastAsia="en-US"/>
        </w:rPr>
        <w:fldChar w:fldCharType="separate"/>
      </w:r>
      <w:r w:rsidR="00171A5E" w:rsidRPr="00642A5D">
        <w:t xml:space="preserve">Table </w:t>
      </w:r>
      <w:r w:rsidR="00171A5E">
        <w:rPr>
          <w:noProof/>
        </w:rPr>
        <w:t>11</w:t>
      </w:r>
      <w:r w:rsidRPr="00642A5D">
        <w:rPr>
          <w:lang w:val="en-US" w:eastAsia="en-US"/>
        </w:rPr>
        <w:fldChar w:fldCharType="end"/>
      </w:r>
      <w:r w:rsidRPr="00642A5D">
        <w:rPr>
          <w:lang w:val="en-US" w:eastAsia="en-US"/>
        </w:rPr>
        <w:t>.</w:t>
      </w:r>
    </w:p>
    <w:p w14:paraId="2C296EDB" w14:textId="15616BC4" w:rsidR="00966E03" w:rsidRDefault="00966E03">
      <w:pPr>
        <w:spacing w:after="200"/>
        <w:rPr>
          <w:lang w:val="en-US" w:eastAsia="en-US"/>
        </w:rPr>
      </w:pPr>
      <w:r>
        <w:rPr>
          <w:lang w:val="en-US" w:eastAsia="en-US"/>
        </w:rPr>
        <w:br w:type="page"/>
      </w:r>
    </w:p>
    <w:p w14:paraId="6FBAA81E" w14:textId="70CAB908" w:rsidR="00F60E96" w:rsidRPr="00642A5D" w:rsidRDefault="00F60E96" w:rsidP="002D44DF">
      <w:pPr>
        <w:pStyle w:val="Tableheading"/>
      </w:pPr>
      <w:bookmarkStart w:id="630" w:name="_Ref409770302"/>
      <w:bookmarkStart w:id="631" w:name="_Ref406594535"/>
      <w:bookmarkStart w:id="632" w:name="_Toc296770891"/>
      <w:r w:rsidRPr="00642A5D">
        <w:t xml:space="preserve">Table </w:t>
      </w:r>
      <w:r w:rsidR="007569CD" w:rsidRPr="00642A5D">
        <w:fldChar w:fldCharType="begin"/>
      </w:r>
      <w:r w:rsidRPr="00642A5D">
        <w:instrText xml:space="preserve"> SEQ Table \* ARABIC </w:instrText>
      </w:r>
      <w:r w:rsidR="007569CD" w:rsidRPr="00642A5D">
        <w:fldChar w:fldCharType="separate"/>
      </w:r>
      <w:r w:rsidR="00171A5E">
        <w:rPr>
          <w:noProof/>
        </w:rPr>
        <w:t>11</w:t>
      </w:r>
      <w:r w:rsidR="007569CD" w:rsidRPr="00642A5D">
        <w:fldChar w:fldCharType="end"/>
      </w:r>
      <w:bookmarkEnd w:id="630"/>
      <w:r w:rsidR="008B076F">
        <w:t>:</w:t>
      </w:r>
      <w:r w:rsidR="00E635E3">
        <w:t xml:space="preserve"> </w:t>
      </w:r>
      <w:r w:rsidR="00966E03">
        <w:t xml:space="preserve"> </w:t>
      </w:r>
      <w:r w:rsidR="00E635E3">
        <w:t xml:space="preserve">Proposed likelihood </w:t>
      </w:r>
      <w:r w:rsidRPr="00642A5D">
        <w:t>scale for subsidence caused by drawdown in aquifers</w:t>
      </w:r>
      <w:bookmarkEnd w:id="631"/>
      <w:r w:rsidR="008F369D">
        <w:t>.</w:t>
      </w:r>
      <w:bookmarkEnd w:id="632"/>
    </w:p>
    <w:tbl>
      <w:tblPr>
        <w:tblStyle w:val="GridTable4-Accent3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355"/>
        <w:gridCol w:w="2463"/>
        <w:gridCol w:w="2464"/>
        <w:gridCol w:w="2464"/>
      </w:tblGrid>
      <w:tr w:rsidR="00E635E3" w:rsidRPr="00E7436B" w14:paraId="2A112129" w14:textId="77777777" w:rsidTr="00E7436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55" w:type="dxa"/>
            <w:tcBorders>
              <w:top w:val="nil"/>
              <w:left w:val="none" w:sz="0" w:space="0" w:color="auto"/>
              <w:bottom w:val="none" w:sz="0" w:space="0" w:color="auto"/>
              <w:right w:val="single" w:sz="4" w:space="0" w:color="FFFFFF"/>
            </w:tcBorders>
            <w:shd w:val="clear" w:color="auto" w:fill="005A97"/>
          </w:tcPr>
          <w:p w14:paraId="5E01DBB4" w14:textId="77777777" w:rsidR="00E635E3" w:rsidRPr="00E7436B" w:rsidRDefault="00E635E3" w:rsidP="00E7436B">
            <w:pPr>
              <w:pStyle w:val="TableHeaderrow"/>
              <w:rPr>
                <w:b/>
              </w:rPr>
            </w:pPr>
            <w:r w:rsidRPr="00E7436B">
              <w:rPr>
                <w:b/>
              </w:rPr>
              <w:t>Consolidation response / Drawdown Range</w:t>
            </w:r>
          </w:p>
        </w:tc>
        <w:tc>
          <w:tcPr>
            <w:tcW w:w="2463" w:type="dxa"/>
            <w:tcBorders>
              <w:top w:val="nil"/>
              <w:left w:val="single" w:sz="4" w:space="0" w:color="FFFFFF"/>
              <w:bottom w:val="none" w:sz="0" w:space="0" w:color="auto"/>
              <w:right w:val="single" w:sz="4" w:space="0" w:color="FFFFFF"/>
            </w:tcBorders>
            <w:shd w:val="clear" w:color="auto" w:fill="005A97"/>
          </w:tcPr>
          <w:p w14:paraId="085681B4" w14:textId="77777777" w:rsidR="00E635E3" w:rsidRPr="00E7436B" w:rsidRDefault="00E635E3" w:rsidP="00E7436B">
            <w:pPr>
              <w:pStyle w:val="TableHeaderrow"/>
              <w:cnfStyle w:val="100000000000" w:firstRow="1" w:lastRow="0" w:firstColumn="0" w:lastColumn="0" w:oddVBand="0" w:evenVBand="0" w:oddHBand="0" w:evenHBand="0" w:firstRowFirstColumn="0" w:firstRowLastColumn="0" w:lastRowFirstColumn="0" w:lastRowLastColumn="0"/>
              <w:rPr>
                <w:b/>
              </w:rPr>
            </w:pPr>
            <w:r w:rsidRPr="00E7436B">
              <w:rPr>
                <w:b/>
              </w:rPr>
              <w:t>LOW</w:t>
            </w:r>
          </w:p>
          <w:p w14:paraId="79BA8CC9" w14:textId="77777777" w:rsidR="00E635E3" w:rsidRPr="00E7436B" w:rsidRDefault="00E635E3" w:rsidP="00E7436B">
            <w:pPr>
              <w:pStyle w:val="TableHeaderrow"/>
              <w:cnfStyle w:val="100000000000" w:firstRow="1" w:lastRow="0" w:firstColumn="0" w:lastColumn="0" w:oddVBand="0" w:evenVBand="0" w:oddHBand="0" w:evenHBand="0" w:firstRowFirstColumn="0" w:firstRowLastColumn="0" w:lastRowFirstColumn="0" w:lastRowLastColumn="0"/>
              <w:rPr>
                <w:b/>
              </w:rPr>
            </w:pPr>
            <w:r w:rsidRPr="00E7436B">
              <w:rPr>
                <w:b/>
              </w:rPr>
              <w:t>Less than 1 m drawdown over 30 years</w:t>
            </w:r>
          </w:p>
        </w:tc>
        <w:tc>
          <w:tcPr>
            <w:tcW w:w="2464" w:type="dxa"/>
            <w:tcBorders>
              <w:top w:val="nil"/>
              <w:left w:val="single" w:sz="4" w:space="0" w:color="FFFFFF"/>
              <w:bottom w:val="none" w:sz="0" w:space="0" w:color="auto"/>
              <w:right w:val="single" w:sz="4" w:space="0" w:color="FFFFFF"/>
            </w:tcBorders>
            <w:shd w:val="clear" w:color="auto" w:fill="005A97"/>
          </w:tcPr>
          <w:p w14:paraId="04B7F648" w14:textId="77777777" w:rsidR="00E635E3" w:rsidRPr="00E7436B" w:rsidRDefault="00E635E3" w:rsidP="00E7436B">
            <w:pPr>
              <w:pStyle w:val="TableHeaderrow"/>
              <w:cnfStyle w:val="100000000000" w:firstRow="1" w:lastRow="0" w:firstColumn="0" w:lastColumn="0" w:oddVBand="0" w:evenVBand="0" w:oddHBand="0" w:evenHBand="0" w:firstRowFirstColumn="0" w:firstRowLastColumn="0" w:lastRowFirstColumn="0" w:lastRowLastColumn="0"/>
              <w:rPr>
                <w:b/>
              </w:rPr>
            </w:pPr>
            <w:r w:rsidRPr="00E7436B">
              <w:rPr>
                <w:b/>
              </w:rPr>
              <w:t>MODERATE</w:t>
            </w:r>
          </w:p>
          <w:p w14:paraId="206FD3FE" w14:textId="77777777" w:rsidR="00E635E3" w:rsidRPr="00E7436B" w:rsidRDefault="00E635E3" w:rsidP="00E7436B">
            <w:pPr>
              <w:pStyle w:val="TableHeaderrow"/>
              <w:cnfStyle w:val="100000000000" w:firstRow="1" w:lastRow="0" w:firstColumn="0" w:lastColumn="0" w:oddVBand="0" w:evenVBand="0" w:oddHBand="0" w:evenHBand="0" w:firstRowFirstColumn="0" w:firstRowLastColumn="0" w:lastRowFirstColumn="0" w:lastRowLastColumn="0"/>
              <w:rPr>
                <w:b/>
              </w:rPr>
            </w:pPr>
            <w:r w:rsidRPr="00E7436B">
              <w:rPr>
                <w:b/>
              </w:rPr>
              <w:t>Between 1 m and 10 m drawdown over 30 years</w:t>
            </w:r>
          </w:p>
        </w:tc>
        <w:tc>
          <w:tcPr>
            <w:tcW w:w="2464" w:type="dxa"/>
            <w:tcBorders>
              <w:top w:val="nil"/>
              <w:left w:val="single" w:sz="4" w:space="0" w:color="FFFFFF"/>
              <w:bottom w:val="none" w:sz="0" w:space="0" w:color="auto"/>
              <w:right w:val="none" w:sz="0" w:space="0" w:color="auto"/>
            </w:tcBorders>
            <w:shd w:val="clear" w:color="auto" w:fill="005A97"/>
          </w:tcPr>
          <w:p w14:paraId="7D2474B6" w14:textId="77777777" w:rsidR="00E635E3" w:rsidRPr="00E7436B" w:rsidRDefault="00E635E3" w:rsidP="00E7436B">
            <w:pPr>
              <w:pStyle w:val="TableHeaderrow"/>
              <w:cnfStyle w:val="100000000000" w:firstRow="1" w:lastRow="0" w:firstColumn="0" w:lastColumn="0" w:oddVBand="0" w:evenVBand="0" w:oddHBand="0" w:evenHBand="0" w:firstRowFirstColumn="0" w:firstRowLastColumn="0" w:lastRowFirstColumn="0" w:lastRowLastColumn="0"/>
              <w:rPr>
                <w:b/>
              </w:rPr>
            </w:pPr>
            <w:r w:rsidRPr="00E7436B">
              <w:rPr>
                <w:b/>
              </w:rPr>
              <w:t>HIGH</w:t>
            </w:r>
          </w:p>
          <w:p w14:paraId="7A9E6838" w14:textId="77777777" w:rsidR="00E635E3" w:rsidRPr="00E7436B" w:rsidRDefault="00E635E3" w:rsidP="00E7436B">
            <w:pPr>
              <w:pStyle w:val="TableHeaderrow"/>
              <w:cnfStyle w:val="100000000000" w:firstRow="1" w:lastRow="0" w:firstColumn="0" w:lastColumn="0" w:oddVBand="0" w:evenVBand="0" w:oddHBand="0" w:evenHBand="0" w:firstRowFirstColumn="0" w:firstRowLastColumn="0" w:lastRowFirstColumn="0" w:lastRowLastColumn="0"/>
              <w:rPr>
                <w:b/>
              </w:rPr>
            </w:pPr>
            <w:r w:rsidRPr="00E7436B">
              <w:rPr>
                <w:b/>
              </w:rPr>
              <w:t>Greater than 10 m drawdown over 30 years</w:t>
            </w:r>
          </w:p>
        </w:tc>
      </w:tr>
      <w:tr w:rsidR="00E635E3" w:rsidRPr="00966E03" w14:paraId="35E0FC9B" w14:textId="77777777" w:rsidTr="00E7436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55" w:type="dxa"/>
            <w:shd w:val="clear" w:color="auto" w:fill="auto"/>
          </w:tcPr>
          <w:p w14:paraId="6E31DC43" w14:textId="77777777" w:rsidR="00E635E3" w:rsidRPr="00966E03" w:rsidRDefault="00E635E3" w:rsidP="00966E03">
            <w:pPr>
              <w:pStyle w:val="Tabletext"/>
            </w:pPr>
            <w:r w:rsidRPr="00966E03">
              <w:t>HIGH</w:t>
            </w:r>
          </w:p>
          <w:p w14:paraId="53AB4567" w14:textId="358D9EF2" w:rsidR="00E635E3" w:rsidRPr="00966E03" w:rsidRDefault="00E635E3" w:rsidP="00966E03">
            <w:pPr>
              <w:pStyle w:val="Tabletext"/>
            </w:pPr>
            <w:r w:rsidRPr="00966E03">
              <w:t xml:space="preserve">Normally </w:t>
            </w:r>
            <w:r w:rsidR="00966E03">
              <w:t>c</w:t>
            </w:r>
            <w:r w:rsidRPr="00966E03">
              <w:t>onsolidated sediments</w:t>
            </w:r>
          </w:p>
        </w:tc>
        <w:tc>
          <w:tcPr>
            <w:tcW w:w="2463" w:type="dxa"/>
            <w:shd w:val="clear" w:color="auto" w:fill="auto"/>
            <w:vAlign w:val="center"/>
          </w:tcPr>
          <w:p w14:paraId="6C92711C" w14:textId="1B9CA70E" w:rsidR="00E635E3" w:rsidRPr="00966E03" w:rsidRDefault="00E635E3" w:rsidP="00966E03">
            <w:pPr>
              <w:pStyle w:val="Tabletext"/>
              <w:jc w:val="center"/>
              <w:cnfStyle w:val="000000100000" w:firstRow="0" w:lastRow="0" w:firstColumn="0" w:lastColumn="0" w:oddVBand="0" w:evenVBand="0" w:oddHBand="1" w:evenHBand="0" w:firstRowFirstColumn="0" w:firstRowLastColumn="0" w:lastRowFirstColumn="0" w:lastRowLastColumn="0"/>
            </w:pPr>
            <w:r w:rsidRPr="00966E03">
              <w:t>Moderate</w:t>
            </w:r>
          </w:p>
        </w:tc>
        <w:tc>
          <w:tcPr>
            <w:tcW w:w="2464" w:type="dxa"/>
            <w:shd w:val="clear" w:color="auto" w:fill="auto"/>
            <w:vAlign w:val="center"/>
          </w:tcPr>
          <w:p w14:paraId="490A2034" w14:textId="63C172C4" w:rsidR="00E635E3" w:rsidRPr="00966E03" w:rsidRDefault="00E635E3" w:rsidP="008C08D5">
            <w:pPr>
              <w:pStyle w:val="Tabletext"/>
              <w:jc w:val="center"/>
              <w:cnfStyle w:val="000000100000" w:firstRow="0" w:lastRow="0" w:firstColumn="0" w:lastColumn="0" w:oddVBand="0" w:evenVBand="0" w:oddHBand="1" w:evenHBand="0" w:firstRowFirstColumn="0" w:firstRowLastColumn="0" w:lastRowFirstColumn="0" w:lastRowLastColumn="0"/>
            </w:pPr>
            <w:r w:rsidRPr="00966E03">
              <w:t>High</w:t>
            </w:r>
          </w:p>
        </w:tc>
        <w:tc>
          <w:tcPr>
            <w:tcW w:w="2464" w:type="dxa"/>
            <w:shd w:val="clear" w:color="auto" w:fill="auto"/>
            <w:vAlign w:val="center"/>
          </w:tcPr>
          <w:p w14:paraId="24824D6C" w14:textId="0F5CA944" w:rsidR="00E635E3" w:rsidRPr="00966E03" w:rsidRDefault="00E635E3" w:rsidP="008C08D5">
            <w:pPr>
              <w:pStyle w:val="Tabletext"/>
              <w:jc w:val="center"/>
              <w:cnfStyle w:val="000000100000" w:firstRow="0" w:lastRow="0" w:firstColumn="0" w:lastColumn="0" w:oddVBand="0" w:evenVBand="0" w:oddHBand="1" w:evenHBand="0" w:firstRowFirstColumn="0" w:firstRowLastColumn="0" w:lastRowFirstColumn="0" w:lastRowLastColumn="0"/>
            </w:pPr>
            <w:r w:rsidRPr="00966E03">
              <w:t>High</w:t>
            </w:r>
          </w:p>
        </w:tc>
      </w:tr>
      <w:tr w:rsidR="00E635E3" w:rsidRPr="00966E03" w14:paraId="6210E693" w14:textId="77777777" w:rsidTr="00E7436B">
        <w:trPr>
          <w:trHeight w:val="340"/>
        </w:trPr>
        <w:tc>
          <w:tcPr>
            <w:cnfStyle w:val="001000000000" w:firstRow="0" w:lastRow="0" w:firstColumn="1" w:lastColumn="0" w:oddVBand="0" w:evenVBand="0" w:oddHBand="0" w:evenHBand="0" w:firstRowFirstColumn="0" w:firstRowLastColumn="0" w:lastRowFirstColumn="0" w:lastRowLastColumn="0"/>
            <w:tcW w:w="2355" w:type="dxa"/>
            <w:shd w:val="clear" w:color="auto" w:fill="auto"/>
          </w:tcPr>
          <w:p w14:paraId="13478E05" w14:textId="77777777" w:rsidR="00E635E3" w:rsidRPr="00966E03" w:rsidRDefault="00E635E3" w:rsidP="00966E03">
            <w:pPr>
              <w:pStyle w:val="Tabletext"/>
            </w:pPr>
            <w:r w:rsidRPr="00966E03">
              <w:t>MODERATE</w:t>
            </w:r>
          </w:p>
          <w:p w14:paraId="56173F2B" w14:textId="15178076" w:rsidR="00E635E3" w:rsidRPr="00966E03" w:rsidRDefault="00E635E3" w:rsidP="00966E03">
            <w:pPr>
              <w:pStyle w:val="Tabletext"/>
            </w:pPr>
            <w:r w:rsidRPr="00966E03">
              <w:t>Over-consolidated sediments with &gt;20% clay</w:t>
            </w:r>
          </w:p>
        </w:tc>
        <w:tc>
          <w:tcPr>
            <w:tcW w:w="2463" w:type="dxa"/>
            <w:shd w:val="clear" w:color="auto" w:fill="auto"/>
            <w:vAlign w:val="center"/>
          </w:tcPr>
          <w:p w14:paraId="54DF3B46" w14:textId="70D643EE" w:rsidR="00E635E3" w:rsidRPr="00966E03" w:rsidRDefault="00E635E3" w:rsidP="00966E03">
            <w:pPr>
              <w:pStyle w:val="Tabletext"/>
              <w:jc w:val="center"/>
              <w:cnfStyle w:val="000000000000" w:firstRow="0" w:lastRow="0" w:firstColumn="0" w:lastColumn="0" w:oddVBand="0" w:evenVBand="0" w:oddHBand="0" w:evenHBand="0" w:firstRowFirstColumn="0" w:firstRowLastColumn="0" w:lastRowFirstColumn="0" w:lastRowLastColumn="0"/>
            </w:pPr>
            <w:r w:rsidRPr="00966E03">
              <w:t>Low</w:t>
            </w:r>
          </w:p>
        </w:tc>
        <w:tc>
          <w:tcPr>
            <w:tcW w:w="2464" w:type="dxa"/>
            <w:shd w:val="clear" w:color="auto" w:fill="auto"/>
            <w:vAlign w:val="center"/>
          </w:tcPr>
          <w:p w14:paraId="12F1C06D" w14:textId="66F9046F" w:rsidR="00E635E3" w:rsidRPr="00966E03" w:rsidRDefault="00E635E3" w:rsidP="008C08D5">
            <w:pPr>
              <w:pStyle w:val="Tabletext"/>
              <w:jc w:val="center"/>
              <w:cnfStyle w:val="000000000000" w:firstRow="0" w:lastRow="0" w:firstColumn="0" w:lastColumn="0" w:oddVBand="0" w:evenVBand="0" w:oddHBand="0" w:evenHBand="0" w:firstRowFirstColumn="0" w:firstRowLastColumn="0" w:lastRowFirstColumn="0" w:lastRowLastColumn="0"/>
            </w:pPr>
            <w:r w:rsidRPr="00966E03">
              <w:t>Moderate</w:t>
            </w:r>
          </w:p>
        </w:tc>
        <w:tc>
          <w:tcPr>
            <w:tcW w:w="2464" w:type="dxa"/>
            <w:shd w:val="clear" w:color="auto" w:fill="auto"/>
            <w:vAlign w:val="center"/>
          </w:tcPr>
          <w:p w14:paraId="5F6FE0D3" w14:textId="7A2C03A4" w:rsidR="00E635E3" w:rsidRPr="00966E03" w:rsidRDefault="00E635E3" w:rsidP="008C08D5">
            <w:pPr>
              <w:pStyle w:val="Tabletext"/>
              <w:jc w:val="center"/>
              <w:cnfStyle w:val="000000000000" w:firstRow="0" w:lastRow="0" w:firstColumn="0" w:lastColumn="0" w:oddVBand="0" w:evenVBand="0" w:oddHBand="0" w:evenHBand="0" w:firstRowFirstColumn="0" w:firstRowLastColumn="0" w:lastRowFirstColumn="0" w:lastRowLastColumn="0"/>
            </w:pPr>
            <w:r w:rsidRPr="00966E03">
              <w:t>Moderate</w:t>
            </w:r>
          </w:p>
        </w:tc>
      </w:tr>
      <w:tr w:rsidR="00E635E3" w:rsidRPr="00966E03" w14:paraId="3411A997" w14:textId="77777777" w:rsidTr="00E7436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55" w:type="dxa"/>
            <w:shd w:val="clear" w:color="auto" w:fill="auto"/>
          </w:tcPr>
          <w:p w14:paraId="3D6A9322" w14:textId="77777777" w:rsidR="00E635E3" w:rsidRPr="00966E03" w:rsidRDefault="00E635E3" w:rsidP="00966E03">
            <w:pPr>
              <w:pStyle w:val="Tabletext"/>
            </w:pPr>
            <w:r w:rsidRPr="00966E03">
              <w:t>LOW</w:t>
            </w:r>
          </w:p>
          <w:p w14:paraId="3C9B5140" w14:textId="41A7DA7A" w:rsidR="00E635E3" w:rsidRPr="00966E03" w:rsidRDefault="00E635E3" w:rsidP="00966E03">
            <w:pPr>
              <w:pStyle w:val="Tabletext"/>
            </w:pPr>
            <w:r w:rsidRPr="00966E03">
              <w:t xml:space="preserve">Over-consolidated </w:t>
            </w:r>
            <w:r w:rsidR="00966E03">
              <w:t>s</w:t>
            </w:r>
            <w:r w:rsidRPr="00966E03">
              <w:t>ediments with little clay</w:t>
            </w:r>
          </w:p>
        </w:tc>
        <w:tc>
          <w:tcPr>
            <w:tcW w:w="2463" w:type="dxa"/>
            <w:shd w:val="clear" w:color="auto" w:fill="auto"/>
            <w:vAlign w:val="center"/>
          </w:tcPr>
          <w:p w14:paraId="2D88CC2F" w14:textId="0594AB4F" w:rsidR="00E635E3" w:rsidRPr="00966E03" w:rsidRDefault="00E635E3" w:rsidP="00966E03">
            <w:pPr>
              <w:pStyle w:val="Tabletext"/>
              <w:jc w:val="center"/>
              <w:cnfStyle w:val="000000100000" w:firstRow="0" w:lastRow="0" w:firstColumn="0" w:lastColumn="0" w:oddVBand="0" w:evenVBand="0" w:oddHBand="1" w:evenHBand="0" w:firstRowFirstColumn="0" w:firstRowLastColumn="0" w:lastRowFirstColumn="0" w:lastRowLastColumn="0"/>
            </w:pPr>
            <w:r w:rsidRPr="00966E03">
              <w:t>Low</w:t>
            </w:r>
          </w:p>
        </w:tc>
        <w:tc>
          <w:tcPr>
            <w:tcW w:w="2464" w:type="dxa"/>
            <w:shd w:val="clear" w:color="auto" w:fill="auto"/>
            <w:vAlign w:val="center"/>
          </w:tcPr>
          <w:p w14:paraId="740DE8EF" w14:textId="337CAB93" w:rsidR="00E635E3" w:rsidRPr="00966E03" w:rsidRDefault="00E635E3" w:rsidP="008C08D5">
            <w:pPr>
              <w:pStyle w:val="Tabletext"/>
              <w:jc w:val="center"/>
              <w:cnfStyle w:val="000000100000" w:firstRow="0" w:lastRow="0" w:firstColumn="0" w:lastColumn="0" w:oddVBand="0" w:evenVBand="0" w:oddHBand="1" w:evenHBand="0" w:firstRowFirstColumn="0" w:firstRowLastColumn="0" w:lastRowFirstColumn="0" w:lastRowLastColumn="0"/>
            </w:pPr>
            <w:r w:rsidRPr="00966E03">
              <w:t>Low</w:t>
            </w:r>
          </w:p>
        </w:tc>
        <w:tc>
          <w:tcPr>
            <w:tcW w:w="2464" w:type="dxa"/>
            <w:shd w:val="clear" w:color="auto" w:fill="auto"/>
            <w:vAlign w:val="center"/>
          </w:tcPr>
          <w:p w14:paraId="54AE0C10" w14:textId="50CEF0E1" w:rsidR="00E635E3" w:rsidRPr="00966E03" w:rsidRDefault="00E635E3" w:rsidP="008C08D5">
            <w:pPr>
              <w:pStyle w:val="Tabletext"/>
              <w:jc w:val="center"/>
              <w:cnfStyle w:val="000000100000" w:firstRow="0" w:lastRow="0" w:firstColumn="0" w:lastColumn="0" w:oddVBand="0" w:evenVBand="0" w:oddHBand="1" w:evenHBand="0" w:firstRowFirstColumn="0" w:firstRowLastColumn="0" w:lastRowFirstColumn="0" w:lastRowLastColumn="0"/>
            </w:pPr>
            <w:r w:rsidRPr="00966E03">
              <w:t>Low</w:t>
            </w:r>
          </w:p>
        </w:tc>
      </w:tr>
    </w:tbl>
    <w:p w14:paraId="617A3FB0" w14:textId="77777777" w:rsidR="00F60E96" w:rsidRPr="00642A5D" w:rsidRDefault="00F60E96">
      <w:pPr>
        <w:rPr>
          <w:lang w:val="en-US" w:eastAsia="en-US"/>
        </w:rPr>
      </w:pPr>
    </w:p>
    <w:p w14:paraId="0A73FC46" w14:textId="2AC3D135" w:rsidR="00F60E96" w:rsidRPr="00642A5D" w:rsidRDefault="00F60E96" w:rsidP="002D44DF">
      <w:pPr>
        <w:pStyle w:val="Tableheading"/>
      </w:pPr>
      <w:bookmarkStart w:id="633" w:name="_Ref409770349"/>
      <w:bookmarkStart w:id="634" w:name="_Ref406594648"/>
      <w:bookmarkStart w:id="635" w:name="_Toc296770892"/>
      <w:r w:rsidRPr="00642A5D">
        <w:t xml:space="preserve">Table </w:t>
      </w:r>
      <w:r w:rsidR="007569CD" w:rsidRPr="00642A5D">
        <w:fldChar w:fldCharType="begin"/>
      </w:r>
      <w:r w:rsidRPr="00642A5D">
        <w:instrText xml:space="preserve"> SEQ Table \* ARABIC </w:instrText>
      </w:r>
      <w:r w:rsidR="007569CD" w:rsidRPr="00642A5D">
        <w:fldChar w:fldCharType="separate"/>
      </w:r>
      <w:r w:rsidR="00171A5E">
        <w:rPr>
          <w:noProof/>
        </w:rPr>
        <w:t>12</w:t>
      </w:r>
      <w:r w:rsidR="007569CD" w:rsidRPr="00642A5D">
        <w:fldChar w:fldCharType="end"/>
      </w:r>
      <w:bookmarkEnd w:id="633"/>
      <w:r w:rsidR="008B076F">
        <w:t>:</w:t>
      </w:r>
      <w:r w:rsidR="009A72C5">
        <w:t xml:space="preserve"> </w:t>
      </w:r>
      <w:r w:rsidR="00966E03">
        <w:t xml:space="preserve"> </w:t>
      </w:r>
      <w:r w:rsidRPr="00642A5D">
        <w:t xml:space="preserve">Proposed likelihood assessment criteria for subsidence as a result of onshore gas </w:t>
      </w:r>
      <w:bookmarkEnd w:id="634"/>
      <w:r w:rsidRPr="00642A5D">
        <w:t>development</w:t>
      </w:r>
      <w:r w:rsidR="008F369D">
        <w:t>.</w:t>
      </w:r>
      <w:bookmarkEnd w:id="635"/>
    </w:p>
    <w:tbl>
      <w:tblPr>
        <w:tblStyle w:val="GridTable4-Accent3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355"/>
        <w:gridCol w:w="2463"/>
        <w:gridCol w:w="2464"/>
        <w:gridCol w:w="2464"/>
      </w:tblGrid>
      <w:tr w:rsidR="00E635E3" w:rsidRPr="00966E03" w14:paraId="280D40C6" w14:textId="77777777" w:rsidTr="00E7436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55" w:type="dxa"/>
            <w:tcBorders>
              <w:top w:val="nil"/>
              <w:left w:val="none" w:sz="0" w:space="0" w:color="auto"/>
              <w:bottom w:val="none" w:sz="0" w:space="0" w:color="auto"/>
              <w:right w:val="single" w:sz="4" w:space="0" w:color="FFFFFF"/>
            </w:tcBorders>
            <w:shd w:val="clear" w:color="auto" w:fill="005A97"/>
          </w:tcPr>
          <w:p w14:paraId="568941B4" w14:textId="77777777" w:rsidR="00E635E3" w:rsidRPr="00966E03" w:rsidRDefault="00E635E3" w:rsidP="00966E03">
            <w:pPr>
              <w:pStyle w:val="TableHeaderrow"/>
              <w:rPr>
                <w:b/>
              </w:rPr>
            </w:pPr>
            <w:r w:rsidRPr="00966E03">
              <w:rPr>
                <w:b/>
              </w:rPr>
              <w:t>Water Resource (Asset) Group</w:t>
            </w:r>
          </w:p>
        </w:tc>
        <w:tc>
          <w:tcPr>
            <w:tcW w:w="2463" w:type="dxa"/>
            <w:tcBorders>
              <w:top w:val="nil"/>
              <w:left w:val="single" w:sz="4" w:space="0" w:color="FFFFFF"/>
              <w:bottom w:val="none" w:sz="0" w:space="0" w:color="auto"/>
              <w:right w:val="single" w:sz="4" w:space="0" w:color="FFFFFF"/>
            </w:tcBorders>
            <w:shd w:val="clear" w:color="auto" w:fill="005A97"/>
          </w:tcPr>
          <w:p w14:paraId="6AAA8668" w14:textId="77777777" w:rsidR="00E635E3" w:rsidRPr="00966E03" w:rsidRDefault="00E635E3" w:rsidP="00966E03">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966E03">
              <w:rPr>
                <w:b/>
              </w:rPr>
              <w:t>Low Consequence</w:t>
            </w:r>
          </w:p>
        </w:tc>
        <w:tc>
          <w:tcPr>
            <w:tcW w:w="2464" w:type="dxa"/>
            <w:tcBorders>
              <w:top w:val="nil"/>
              <w:left w:val="single" w:sz="4" w:space="0" w:color="FFFFFF"/>
              <w:bottom w:val="none" w:sz="0" w:space="0" w:color="auto"/>
              <w:right w:val="single" w:sz="4" w:space="0" w:color="FFFFFF"/>
            </w:tcBorders>
            <w:shd w:val="clear" w:color="auto" w:fill="005A97"/>
          </w:tcPr>
          <w:p w14:paraId="2AF332D4" w14:textId="77777777" w:rsidR="00E635E3" w:rsidRPr="00966E03" w:rsidRDefault="00E635E3" w:rsidP="00966E03">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966E03">
              <w:rPr>
                <w:b/>
              </w:rPr>
              <w:t>Moderate Consequence</w:t>
            </w:r>
          </w:p>
        </w:tc>
        <w:tc>
          <w:tcPr>
            <w:tcW w:w="2464" w:type="dxa"/>
            <w:tcBorders>
              <w:top w:val="nil"/>
              <w:left w:val="single" w:sz="4" w:space="0" w:color="FFFFFF"/>
              <w:bottom w:val="none" w:sz="0" w:space="0" w:color="auto"/>
              <w:right w:val="none" w:sz="0" w:space="0" w:color="auto"/>
            </w:tcBorders>
            <w:shd w:val="clear" w:color="auto" w:fill="005A97"/>
          </w:tcPr>
          <w:p w14:paraId="4EF1A9D5" w14:textId="77777777" w:rsidR="00E635E3" w:rsidRPr="00966E03" w:rsidRDefault="00E635E3" w:rsidP="00966E03">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966E03">
              <w:rPr>
                <w:b/>
              </w:rPr>
              <w:t>High Consequence</w:t>
            </w:r>
          </w:p>
        </w:tc>
      </w:tr>
      <w:tr w:rsidR="00E635E3" w:rsidRPr="00642A5D" w14:paraId="26D9D5B0" w14:textId="77777777" w:rsidTr="00E7436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55" w:type="dxa"/>
            <w:shd w:val="clear" w:color="auto" w:fill="auto"/>
          </w:tcPr>
          <w:p w14:paraId="1F7AB117" w14:textId="3186CD73" w:rsidR="00E635E3" w:rsidRPr="00642A5D" w:rsidRDefault="00E635E3" w:rsidP="00966E03">
            <w:pPr>
              <w:pStyle w:val="Tabletext"/>
            </w:pPr>
            <w:r w:rsidRPr="00642A5D">
              <w:t xml:space="preserve">Groundwater </w:t>
            </w:r>
            <w:r w:rsidR="00966E03">
              <w:t>u</w:t>
            </w:r>
            <w:r w:rsidRPr="00642A5D">
              <w:t>sers (</w:t>
            </w:r>
            <w:r w:rsidR="00966E03">
              <w:t>a</w:t>
            </w:r>
            <w:r w:rsidRPr="00642A5D">
              <w:t>quifers)</w:t>
            </w:r>
          </w:p>
        </w:tc>
        <w:tc>
          <w:tcPr>
            <w:tcW w:w="2463" w:type="dxa"/>
            <w:shd w:val="clear" w:color="auto" w:fill="auto"/>
          </w:tcPr>
          <w:p w14:paraId="40E88BEF" w14:textId="77777777" w:rsidR="00E635E3" w:rsidRPr="00642A5D" w:rsidRDefault="00E635E3" w:rsidP="00966E03">
            <w:pPr>
              <w:pStyle w:val="Tabletext"/>
              <w:cnfStyle w:val="000000100000" w:firstRow="0" w:lastRow="0" w:firstColumn="0" w:lastColumn="0" w:oddVBand="0" w:evenVBand="0" w:oddHBand="1" w:evenHBand="0" w:firstRowFirstColumn="0" w:firstRowLastColumn="0" w:lastRowFirstColumn="0" w:lastRowLastColumn="0"/>
            </w:pPr>
            <w:r w:rsidRPr="00642A5D">
              <w:t>Impact of subsidence is within annual variability in function and operating costs of current and future users.</w:t>
            </w:r>
          </w:p>
        </w:tc>
        <w:tc>
          <w:tcPr>
            <w:tcW w:w="2464" w:type="dxa"/>
            <w:shd w:val="clear" w:color="auto" w:fill="auto"/>
          </w:tcPr>
          <w:p w14:paraId="344D1BBA" w14:textId="77777777" w:rsidR="00E635E3" w:rsidRPr="00642A5D" w:rsidRDefault="00E635E3" w:rsidP="00966E03">
            <w:pPr>
              <w:pStyle w:val="Tabletext"/>
              <w:cnfStyle w:val="000000100000" w:firstRow="0" w:lastRow="0" w:firstColumn="0" w:lastColumn="0" w:oddVBand="0" w:evenVBand="0" w:oddHBand="1" w:evenHBand="0" w:firstRowFirstColumn="0" w:firstRowLastColumn="0" w:lastRowFirstColumn="0" w:lastRowLastColumn="0"/>
            </w:pPr>
            <w:r w:rsidRPr="00642A5D">
              <w:t>Without modification current pumping regime cannot meet water demand due to subsidence</w:t>
            </w:r>
          </w:p>
        </w:tc>
        <w:tc>
          <w:tcPr>
            <w:tcW w:w="2464" w:type="dxa"/>
            <w:shd w:val="clear" w:color="auto" w:fill="auto"/>
          </w:tcPr>
          <w:p w14:paraId="0D2D887D" w14:textId="77777777" w:rsidR="00E635E3" w:rsidRPr="00642A5D" w:rsidRDefault="00E635E3" w:rsidP="00966E03">
            <w:pPr>
              <w:pStyle w:val="Tabletext"/>
              <w:cnfStyle w:val="000000100000" w:firstRow="0" w:lastRow="0" w:firstColumn="0" w:lastColumn="0" w:oddVBand="0" w:evenVBand="0" w:oddHBand="1" w:evenHBand="0" w:firstRowFirstColumn="0" w:firstRowLastColumn="0" w:lastRowFirstColumn="0" w:lastRowLastColumn="0"/>
            </w:pPr>
            <w:r w:rsidRPr="00642A5D">
              <w:t>Aquifer, without modification of current pumping infrastructure such as deepening bores, cannot meet demand requirements as a result of subsidence.</w:t>
            </w:r>
          </w:p>
        </w:tc>
      </w:tr>
      <w:tr w:rsidR="00E635E3" w:rsidRPr="00642A5D" w14:paraId="79BC6AA7" w14:textId="77777777" w:rsidTr="00E7436B">
        <w:trPr>
          <w:trHeight w:val="340"/>
        </w:trPr>
        <w:tc>
          <w:tcPr>
            <w:cnfStyle w:val="001000000000" w:firstRow="0" w:lastRow="0" w:firstColumn="1" w:lastColumn="0" w:oddVBand="0" w:evenVBand="0" w:oddHBand="0" w:evenHBand="0" w:firstRowFirstColumn="0" w:firstRowLastColumn="0" w:lastRowFirstColumn="0" w:lastRowLastColumn="0"/>
            <w:tcW w:w="2355" w:type="dxa"/>
            <w:shd w:val="clear" w:color="auto" w:fill="auto"/>
          </w:tcPr>
          <w:p w14:paraId="0DE79636" w14:textId="6DDFAF4B" w:rsidR="00E635E3" w:rsidRPr="00642A5D" w:rsidRDefault="00E635E3" w:rsidP="00966E03">
            <w:pPr>
              <w:pStyle w:val="Tabletext"/>
            </w:pPr>
            <w:r w:rsidRPr="00642A5D">
              <w:t xml:space="preserve">Surface </w:t>
            </w:r>
            <w:r w:rsidR="00966E03">
              <w:t>w</w:t>
            </w:r>
            <w:r w:rsidRPr="00642A5D">
              <w:t xml:space="preserve">ater </w:t>
            </w:r>
            <w:r w:rsidR="00966E03">
              <w:t>u</w:t>
            </w:r>
            <w:r w:rsidRPr="00642A5D">
              <w:t>sers (</w:t>
            </w:r>
            <w:r w:rsidR="00966E03">
              <w:t>r</w:t>
            </w:r>
            <w:r w:rsidRPr="00642A5D">
              <w:t>ivers)</w:t>
            </w:r>
          </w:p>
        </w:tc>
        <w:tc>
          <w:tcPr>
            <w:tcW w:w="2463" w:type="dxa"/>
            <w:shd w:val="clear" w:color="auto" w:fill="auto"/>
          </w:tcPr>
          <w:p w14:paraId="087A3DDB" w14:textId="77777777" w:rsidR="00E635E3" w:rsidRPr="00642A5D" w:rsidRDefault="00E635E3" w:rsidP="00966E03">
            <w:pPr>
              <w:pStyle w:val="Tabletext"/>
              <w:cnfStyle w:val="000000000000" w:firstRow="0" w:lastRow="0" w:firstColumn="0" w:lastColumn="0" w:oddVBand="0" w:evenVBand="0" w:oddHBand="0" w:evenHBand="0" w:firstRowFirstColumn="0" w:firstRowLastColumn="0" w:lastRowFirstColumn="0" w:lastRowLastColumn="0"/>
            </w:pPr>
            <w:r w:rsidRPr="00642A5D">
              <w:t>Subsidence results in either no change or a material change in river flow, with no measurable impairment of users</w:t>
            </w:r>
            <w:r>
              <w:t>’</w:t>
            </w:r>
            <w:r w:rsidRPr="00642A5D">
              <w:t xml:space="preserve"> ability to access entitlement.</w:t>
            </w:r>
          </w:p>
        </w:tc>
        <w:tc>
          <w:tcPr>
            <w:tcW w:w="2464" w:type="dxa"/>
            <w:shd w:val="clear" w:color="auto" w:fill="auto"/>
          </w:tcPr>
          <w:p w14:paraId="54A3C2CA" w14:textId="77777777" w:rsidR="00E635E3" w:rsidRPr="00642A5D" w:rsidRDefault="00E635E3" w:rsidP="00966E03">
            <w:pPr>
              <w:pStyle w:val="Tabletext"/>
              <w:cnfStyle w:val="000000000000" w:firstRow="0" w:lastRow="0" w:firstColumn="0" w:lastColumn="0" w:oddVBand="0" w:evenVBand="0" w:oddHBand="0" w:evenHBand="0" w:firstRowFirstColumn="0" w:firstRowLastColumn="0" w:lastRowFirstColumn="0" w:lastRowLastColumn="0"/>
            </w:pPr>
            <w:r w:rsidRPr="00642A5D">
              <w:t>Subsidence results in a material change in river flow, with measurable impairment of users</w:t>
            </w:r>
            <w:r>
              <w:t>’</w:t>
            </w:r>
            <w:r w:rsidRPr="00642A5D">
              <w:t xml:space="preserve"> ability to access entitlement.</w:t>
            </w:r>
          </w:p>
        </w:tc>
        <w:tc>
          <w:tcPr>
            <w:tcW w:w="2464" w:type="dxa"/>
            <w:shd w:val="clear" w:color="auto" w:fill="auto"/>
          </w:tcPr>
          <w:p w14:paraId="29749D1F" w14:textId="77777777" w:rsidR="00E635E3" w:rsidRPr="00642A5D" w:rsidRDefault="00E635E3" w:rsidP="00966E03">
            <w:pPr>
              <w:pStyle w:val="Tabletext"/>
              <w:cnfStyle w:val="000000000000" w:firstRow="0" w:lastRow="0" w:firstColumn="0" w:lastColumn="0" w:oddVBand="0" w:evenVBand="0" w:oddHBand="0" w:evenHBand="0" w:firstRowFirstColumn="0" w:firstRowLastColumn="0" w:lastRowFirstColumn="0" w:lastRowLastColumn="0"/>
            </w:pPr>
            <w:r w:rsidRPr="00642A5D">
              <w:t>Subsidence results in a material change in river flow, with significant impairment of users</w:t>
            </w:r>
            <w:r>
              <w:t>’</w:t>
            </w:r>
            <w:r w:rsidRPr="00642A5D">
              <w:t xml:space="preserve"> ability to access entitlement.</w:t>
            </w:r>
          </w:p>
        </w:tc>
      </w:tr>
      <w:tr w:rsidR="00E635E3" w:rsidRPr="00642A5D" w14:paraId="7ED4A70B" w14:textId="77777777" w:rsidTr="00E7436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55" w:type="dxa"/>
            <w:shd w:val="clear" w:color="auto" w:fill="auto"/>
          </w:tcPr>
          <w:p w14:paraId="4C5471F1" w14:textId="3954D29F" w:rsidR="00E635E3" w:rsidRPr="00642A5D" w:rsidRDefault="00E635E3" w:rsidP="00966E03">
            <w:pPr>
              <w:pStyle w:val="Tabletext"/>
            </w:pPr>
            <w:r w:rsidRPr="00642A5D">
              <w:t xml:space="preserve">Surface water </w:t>
            </w:r>
            <w:r w:rsidR="00966E03">
              <w:t>e</w:t>
            </w:r>
            <w:r w:rsidRPr="00642A5D">
              <w:t>cosystems</w:t>
            </w:r>
          </w:p>
        </w:tc>
        <w:tc>
          <w:tcPr>
            <w:tcW w:w="2463" w:type="dxa"/>
            <w:shd w:val="clear" w:color="auto" w:fill="auto"/>
          </w:tcPr>
          <w:p w14:paraId="5EA40C55" w14:textId="77777777" w:rsidR="00E635E3" w:rsidRPr="00642A5D" w:rsidRDefault="00E635E3" w:rsidP="00966E03">
            <w:pPr>
              <w:pStyle w:val="Tabletext"/>
              <w:cnfStyle w:val="000000100000" w:firstRow="0" w:lastRow="0" w:firstColumn="0" w:lastColumn="0" w:oddVBand="0" w:evenVBand="0" w:oddHBand="1" w:evenHBand="0" w:firstRowFirstColumn="0" w:firstRowLastColumn="0" w:lastRowFirstColumn="0" w:lastRowLastColumn="0"/>
            </w:pPr>
            <w:r w:rsidRPr="00642A5D">
              <w:t>Subsidence results in a material change in ecosystem condition, with no measurable impairment of ecosystem function.</w:t>
            </w:r>
          </w:p>
        </w:tc>
        <w:tc>
          <w:tcPr>
            <w:tcW w:w="2464" w:type="dxa"/>
            <w:shd w:val="clear" w:color="auto" w:fill="auto"/>
          </w:tcPr>
          <w:p w14:paraId="5679F44A" w14:textId="77777777" w:rsidR="00E635E3" w:rsidRPr="00642A5D" w:rsidRDefault="00E635E3" w:rsidP="00966E03">
            <w:pPr>
              <w:pStyle w:val="Tabletext"/>
              <w:cnfStyle w:val="000000100000" w:firstRow="0" w:lastRow="0" w:firstColumn="0" w:lastColumn="0" w:oddVBand="0" w:evenVBand="0" w:oddHBand="1" w:evenHBand="0" w:firstRowFirstColumn="0" w:firstRowLastColumn="0" w:lastRowFirstColumn="0" w:lastRowLastColumn="0"/>
            </w:pPr>
            <w:r w:rsidRPr="00642A5D">
              <w:t>Subsidence results in material change in ecosystem condition, with measurable impairment of ecosystem function.</w:t>
            </w:r>
          </w:p>
        </w:tc>
        <w:tc>
          <w:tcPr>
            <w:tcW w:w="2464" w:type="dxa"/>
            <w:shd w:val="clear" w:color="auto" w:fill="auto"/>
          </w:tcPr>
          <w:p w14:paraId="1F9DABCD" w14:textId="77777777" w:rsidR="00E635E3" w:rsidRPr="00642A5D" w:rsidRDefault="00E635E3" w:rsidP="00966E03">
            <w:pPr>
              <w:pStyle w:val="Tabletext"/>
              <w:cnfStyle w:val="000000100000" w:firstRow="0" w:lastRow="0" w:firstColumn="0" w:lastColumn="0" w:oddVBand="0" w:evenVBand="0" w:oddHBand="1" w:evenHBand="0" w:firstRowFirstColumn="0" w:firstRowLastColumn="0" w:lastRowFirstColumn="0" w:lastRowLastColumn="0"/>
            </w:pPr>
            <w:r w:rsidRPr="00642A5D">
              <w:t>Subsidence results in material change in ecosystem condition, with significant impairment of ecosystem function.</w:t>
            </w:r>
          </w:p>
        </w:tc>
      </w:tr>
    </w:tbl>
    <w:p w14:paraId="65505993" w14:textId="77777777" w:rsidR="00E635E3" w:rsidRPr="00642A5D" w:rsidRDefault="00E635E3">
      <w:pPr>
        <w:rPr>
          <w:lang w:val="en-US" w:eastAsia="en-US"/>
        </w:rPr>
      </w:pPr>
    </w:p>
    <w:p w14:paraId="5F6E1DD7" w14:textId="3A181CFF" w:rsidR="00F60E96" w:rsidRPr="00642A5D" w:rsidRDefault="00F60E96">
      <w:pPr>
        <w:rPr>
          <w:lang w:val="en-US" w:eastAsia="en-US"/>
        </w:rPr>
      </w:pPr>
      <w:r w:rsidRPr="00642A5D">
        <w:rPr>
          <w:lang w:val="en-US" w:eastAsia="en-US"/>
        </w:rPr>
        <w:t>Considering the range of values for clay content and the potential range of drawdown that may result from gas exploration or development, the expected range of subsidence as a result is likely to be in keeping with that experienced from current licensed groundwater extraction. That is</w:t>
      </w:r>
      <w:r w:rsidR="0085050C">
        <w:rPr>
          <w:lang w:val="en-US" w:eastAsia="en-US"/>
        </w:rPr>
        <w:t>,</w:t>
      </w:r>
      <w:r w:rsidRPr="00642A5D">
        <w:rPr>
          <w:lang w:val="en-US" w:eastAsia="en-US"/>
        </w:rPr>
        <w:t xml:space="preserve"> land subsidence would be expected to be in the range of millimet</w:t>
      </w:r>
      <w:r w:rsidR="008C08D5">
        <w:rPr>
          <w:lang w:val="en-US" w:eastAsia="en-US"/>
        </w:rPr>
        <w:t>re</w:t>
      </w:r>
      <w:r w:rsidRPr="00642A5D">
        <w:rPr>
          <w:lang w:val="en-US" w:eastAsia="en-US"/>
        </w:rPr>
        <w:t>s to tens of millimet</w:t>
      </w:r>
      <w:r w:rsidR="008C08D5">
        <w:rPr>
          <w:lang w:val="en-US" w:eastAsia="en-US"/>
        </w:rPr>
        <w:t>re</w:t>
      </w:r>
      <w:r w:rsidRPr="00642A5D">
        <w:rPr>
          <w:lang w:val="en-US" w:eastAsia="en-US"/>
        </w:rPr>
        <w:t>s.</w:t>
      </w:r>
    </w:p>
    <w:p w14:paraId="1E7BA9EF" w14:textId="4A1D3BBA" w:rsidR="00F60E96" w:rsidRPr="00642A5D" w:rsidRDefault="00F60E96">
      <w:pPr>
        <w:rPr>
          <w:lang w:val="en-US" w:eastAsia="en-US"/>
        </w:rPr>
      </w:pPr>
      <w:r w:rsidRPr="00642A5D">
        <w:rPr>
          <w:lang w:val="en-US" w:eastAsia="en-US"/>
        </w:rPr>
        <w:t xml:space="preserve">Give the indicative consequence table and the sediment types in the Otway </w:t>
      </w:r>
      <w:r w:rsidR="008C08D5">
        <w:rPr>
          <w:lang w:val="en-US" w:eastAsia="en-US"/>
        </w:rPr>
        <w:t>region,</w:t>
      </w:r>
      <w:r w:rsidR="008C08D5" w:rsidRPr="00642A5D">
        <w:rPr>
          <w:lang w:val="en-US" w:eastAsia="en-US"/>
        </w:rPr>
        <w:t xml:space="preserve"> </w:t>
      </w:r>
      <w:r w:rsidRPr="00642A5D">
        <w:rPr>
          <w:lang w:val="en-US" w:eastAsia="en-US"/>
        </w:rPr>
        <w:t>there is a low risk of subsidence. Primarily this assessment results from the estimation of low drawdown as a result of gas exploration or development.</w:t>
      </w:r>
    </w:p>
    <w:p w14:paraId="0932EDB9" w14:textId="779B11FE" w:rsidR="00F60E96" w:rsidRPr="00642A5D" w:rsidRDefault="005707ED" w:rsidP="00FC4AD3">
      <w:pPr>
        <w:pStyle w:val="Head2xx"/>
      </w:pPr>
      <w:bookmarkStart w:id="636" w:name="_Toc420570307"/>
      <w:bookmarkStart w:id="637" w:name="_Toc420571503"/>
      <w:bookmarkStart w:id="638" w:name="_Toc420572141"/>
      <w:bookmarkStart w:id="639" w:name="_Toc296766999"/>
      <w:bookmarkStart w:id="640" w:name="_Toc422927923"/>
      <w:r>
        <w:t>6</w:t>
      </w:r>
      <w:r w:rsidR="00A65062">
        <w:t>.</w:t>
      </w:r>
      <w:r>
        <w:t>5</w:t>
      </w:r>
      <w:r>
        <w:tab/>
      </w:r>
      <w:r w:rsidR="00FC4AD3">
        <w:t>Summary</w:t>
      </w:r>
      <w:bookmarkEnd w:id="636"/>
      <w:bookmarkEnd w:id="637"/>
      <w:bookmarkEnd w:id="638"/>
      <w:bookmarkEnd w:id="639"/>
      <w:bookmarkEnd w:id="640"/>
    </w:p>
    <w:p w14:paraId="20B8FAE2" w14:textId="5F7F5A9C" w:rsidR="00A76DC9" w:rsidRPr="00642A5D" w:rsidRDefault="008C08D5">
      <w:pPr>
        <w:rPr>
          <w:lang w:val="en-US" w:eastAsia="en-US"/>
        </w:rPr>
      </w:pPr>
      <w:r>
        <w:rPr>
          <w:lang w:val="en-US" w:eastAsia="en-US"/>
        </w:rPr>
        <w:t xml:space="preserve">In </w:t>
      </w:r>
      <w:r w:rsidR="003E468A">
        <w:rPr>
          <w:lang w:val="en-US" w:eastAsia="en-US"/>
        </w:rPr>
        <w:t xml:space="preserve">the Otway region </w:t>
      </w:r>
      <w:r>
        <w:rPr>
          <w:lang w:val="en-US" w:eastAsia="en-US"/>
        </w:rPr>
        <w:t>the</w:t>
      </w:r>
      <w:r w:rsidR="00F60E96" w:rsidRPr="00642A5D">
        <w:rPr>
          <w:lang w:val="en-US" w:eastAsia="en-US"/>
        </w:rPr>
        <w:t xml:space="preserve"> risk of subsidence </w:t>
      </w:r>
      <w:r w:rsidR="003E468A">
        <w:rPr>
          <w:lang w:val="en-US" w:eastAsia="en-US"/>
        </w:rPr>
        <w:t xml:space="preserve">from </w:t>
      </w:r>
      <w:r w:rsidR="00F60E96" w:rsidRPr="00642A5D">
        <w:rPr>
          <w:lang w:val="en-US" w:eastAsia="en-US"/>
        </w:rPr>
        <w:t>onshore gas development</w:t>
      </w:r>
      <w:r>
        <w:rPr>
          <w:lang w:val="en-US" w:eastAsia="en-US"/>
        </w:rPr>
        <w:t xml:space="preserve"> is low</w:t>
      </w:r>
      <w:r w:rsidR="003E468A">
        <w:rPr>
          <w:lang w:val="en-US" w:eastAsia="en-US"/>
        </w:rPr>
        <w:t>.</w:t>
      </w:r>
    </w:p>
    <w:p w14:paraId="737D6E11" w14:textId="77777777" w:rsidR="00A76DC9" w:rsidRDefault="00A76DC9" w:rsidP="00A76DC9">
      <w:pPr>
        <w:pStyle w:val="Head1x"/>
      </w:pPr>
    </w:p>
    <w:p w14:paraId="799967CC" w14:textId="77777777" w:rsidR="008C08D5" w:rsidRPr="008C08D5" w:rsidRDefault="008C08D5" w:rsidP="00C150BC">
      <w:pPr>
        <w:sectPr w:rsidR="008C08D5" w:rsidRPr="008C08D5" w:rsidSect="00CF4178">
          <w:pgSz w:w="11906" w:h="16838" w:code="9"/>
          <w:pgMar w:top="2268" w:right="1134" w:bottom="1276" w:left="1134" w:header="567" w:footer="567" w:gutter="0"/>
          <w:cols w:space="708"/>
          <w:titlePg/>
          <w:docGrid w:linePitch="360"/>
        </w:sectPr>
      </w:pPr>
    </w:p>
    <w:p w14:paraId="59A40445" w14:textId="010E7958" w:rsidR="00A76DC9" w:rsidRPr="00642A5D" w:rsidRDefault="005707ED" w:rsidP="00721F8C">
      <w:pPr>
        <w:pStyle w:val="Head1x"/>
      </w:pPr>
      <w:bookmarkStart w:id="641" w:name="_Toc420570308"/>
      <w:bookmarkStart w:id="642" w:name="_Toc420571504"/>
      <w:bookmarkStart w:id="643" w:name="_Toc420572142"/>
      <w:bookmarkStart w:id="644" w:name="_Toc296767000"/>
      <w:bookmarkStart w:id="645" w:name="_Toc422927924"/>
      <w:r>
        <w:t>7</w:t>
      </w:r>
      <w:r>
        <w:tab/>
      </w:r>
      <w:r w:rsidR="00A76DC9" w:rsidRPr="00642A5D">
        <w:t>Conclusions</w:t>
      </w:r>
      <w:bookmarkEnd w:id="641"/>
      <w:bookmarkEnd w:id="642"/>
      <w:bookmarkEnd w:id="643"/>
      <w:bookmarkEnd w:id="644"/>
      <w:bookmarkEnd w:id="645"/>
    </w:p>
    <w:p w14:paraId="04449FE4" w14:textId="2351DFB7" w:rsidR="00A76DC9" w:rsidRPr="00642A5D" w:rsidRDefault="005707ED" w:rsidP="00DC509D">
      <w:pPr>
        <w:pStyle w:val="Head2xx"/>
      </w:pPr>
      <w:bookmarkStart w:id="646" w:name="_Toc420570309"/>
      <w:bookmarkStart w:id="647" w:name="_Toc420571505"/>
      <w:bookmarkStart w:id="648" w:name="_Toc420572143"/>
      <w:bookmarkStart w:id="649" w:name="_Toc296767001"/>
      <w:bookmarkStart w:id="650" w:name="_Toc422927925"/>
      <w:r>
        <w:t>7.1</w:t>
      </w:r>
      <w:r>
        <w:tab/>
      </w:r>
      <w:r w:rsidR="00A76DC9" w:rsidRPr="00642A5D">
        <w:t>Aquifer depressurisation</w:t>
      </w:r>
      <w:bookmarkEnd w:id="646"/>
      <w:bookmarkEnd w:id="647"/>
      <w:bookmarkEnd w:id="648"/>
      <w:bookmarkEnd w:id="649"/>
      <w:bookmarkEnd w:id="650"/>
    </w:p>
    <w:p w14:paraId="57B6929E" w14:textId="33C3ECE3" w:rsidR="00F16900" w:rsidRPr="00642A5D" w:rsidRDefault="00F16900">
      <w:pPr>
        <w:rPr>
          <w:lang w:val="en-US" w:eastAsia="en-US"/>
        </w:rPr>
      </w:pPr>
      <w:r w:rsidRPr="00642A5D">
        <w:rPr>
          <w:lang w:val="en-US" w:eastAsia="en-US"/>
        </w:rPr>
        <w:t xml:space="preserve">The </w:t>
      </w:r>
      <w:r w:rsidR="004119F4">
        <w:rPr>
          <w:lang w:val="en-US" w:eastAsia="en-US"/>
        </w:rPr>
        <w:t xml:space="preserve">potential impacts </w:t>
      </w:r>
      <w:r w:rsidRPr="00642A5D">
        <w:rPr>
          <w:lang w:val="en-US" w:eastAsia="en-US"/>
        </w:rPr>
        <w:t xml:space="preserve">associated with aquifer depressurisation were assessed using a </w:t>
      </w:r>
      <w:r w:rsidR="00AF5EC7" w:rsidRPr="00642A5D">
        <w:rPr>
          <w:lang w:val="en-US" w:eastAsia="en-US"/>
        </w:rPr>
        <w:t xml:space="preserve">block model </w:t>
      </w:r>
      <w:r w:rsidRPr="00642A5D">
        <w:rPr>
          <w:lang w:val="en-US" w:eastAsia="en-US"/>
        </w:rPr>
        <w:t xml:space="preserve">approach to </w:t>
      </w:r>
      <w:r w:rsidR="008C08D5">
        <w:rPr>
          <w:lang w:val="en-US" w:eastAsia="en-US"/>
        </w:rPr>
        <w:t xml:space="preserve">estimate </w:t>
      </w:r>
      <w:r w:rsidRPr="00642A5D">
        <w:rPr>
          <w:lang w:val="en-US" w:eastAsia="en-US"/>
        </w:rPr>
        <w:t>drawdown.</w:t>
      </w:r>
    </w:p>
    <w:p w14:paraId="65466376" w14:textId="0E3DC32D" w:rsidR="008C08D5" w:rsidRDefault="008C08D5">
      <w:pPr>
        <w:rPr>
          <w:lang w:val="en-US" w:eastAsia="en-US"/>
        </w:rPr>
      </w:pPr>
      <w:r>
        <w:rPr>
          <w:lang w:val="en-US" w:eastAsia="en-US"/>
        </w:rPr>
        <w:t>O</w:t>
      </w:r>
      <w:r w:rsidR="0040408C" w:rsidRPr="00642A5D">
        <w:rPr>
          <w:lang w:val="en-US" w:eastAsia="en-US"/>
        </w:rPr>
        <w:t xml:space="preserve">verall the </w:t>
      </w:r>
      <w:r w:rsidR="004119F4">
        <w:rPr>
          <w:lang w:val="en-US" w:eastAsia="en-US"/>
        </w:rPr>
        <w:t>potential impact</w:t>
      </w:r>
      <w:r w:rsidR="0040408C" w:rsidRPr="00642A5D">
        <w:rPr>
          <w:lang w:val="en-US" w:eastAsia="en-US"/>
        </w:rPr>
        <w:t xml:space="preserve"> </w:t>
      </w:r>
      <w:r>
        <w:rPr>
          <w:lang w:val="en-US" w:eastAsia="en-US"/>
        </w:rPr>
        <w:t>on</w:t>
      </w:r>
      <w:r w:rsidRPr="00642A5D">
        <w:rPr>
          <w:lang w:val="en-US" w:eastAsia="en-US"/>
        </w:rPr>
        <w:t xml:space="preserve"> </w:t>
      </w:r>
      <w:r w:rsidR="0040408C" w:rsidRPr="00642A5D">
        <w:rPr>
          <w:lang w:val="en-US" w:eastAsia="en-US"/>
        </w:rPr>
        <w:t>aquifers (confined and unconfined)</w:t>
      </w:r>
      <w:r>
        <w:rPr>
          <w:lang w:val="en-US" w:eastAsia="en-US"/>
        </w:rPr>
        <w:t>, surface water resources (including) users, and ecosystems</w:t>
      </w:r>
      <w:r w:rsidR="0040408C" w:rsidRPr="00642A5D">
        <w:rPr>
          <w:lang w:val="en-US" w:eastAsia="en-US"/>
        </w:rPr>
        <w:t xml:space="preserve"> from the development of all gas scenarios in the Otway region is low.</w:t>
      </w:r>
      <w:r w:rsidR="009A72C5">
        <w:rPr>
          <w:lang w:val="en-US" w:eastAsia="en-US"/>
        </w:rPr>
        <w:t xml:space="preserve"> </w:t>
      </w:r>
    </w:p>
    <w:p w14:paraId="1223985C" w14:textId="0BE22490" w:rsidR="0040408C" w:rsidRPr="00642A5D" w:rsidRDefault="0040408C">
      <w:pPr>
        <w:rPr>
          <w:lang w:val="en-US" w:eastAsia="en-US"/>
        </w:rPr>
      </w:pPr>
      <w:r w:rsidRPr="00642A5D">
        <w:rPr>
          <w:lang w:val="en-US" w:eastAsia="en-US"/>
        </w:rPr>
        <w:t xml:space="preserve">The </w:t>
      </w:r>
      <w:r w:rsidR="004119F4">
        <w:rPr>
          <w:lang w:val="en-US" w:eastAsia="en-US"/>
        </w:rPr>
        <w:t>potential impact</w:t>
      </w:r>
      <w:r w:rsidR="004119F4" w:rsidRPr="00642A5D">
        <w:rPr>
          <w:lang w:val="en-US" w:eastAsia="en-US"/>
        </w:rPr>
        <w:t xml:space="preserve"> </w:t>
      </w:r>
      <w:r w:rsidR="008C08D5">
        <w:rPr>
          <w:lang w:val="en-US" w:eastAsia="en-US"/>
        </w:rPr>
        <w:t>on</w:t>
      </w:r>
      <w:r w:rsidR="008C08D5" w:rsidRPr="00642A5D">
        <w:rPr>
          <w:lang w:val="en-US" w:eastAsia="en-US"/>
        </w:rPr>
        <w:t xml:space="preserve"> </w:t>
      </w:r>
      <w:r w:rsidRPr="00642A5D">
        <w:rPr>
          <w:lang w:val="en-US" w:eastAsia="en-US"/>
        </w:rPr>
        <w:t xml:space="preserve">groundwater users, surface water users and ecosystems from possible combined gas development in the Otway region is low. </w:t>
      </w:r>
    </w:p>
    <w:p w14:paraId="7A98B68B" w14:textId="13B9B6B0" w:rsidR="00F16900" w:rsidRPr="00642A5D" w:rsidRDefault="004119F4">
      <w:pPr>
        <w:rPr>
          <w:lang w:val="en-US" w:eastAsia="en-US"/>
        </w:rPr>
      </w:pPr>
      <w:r>
        <w:rPr>
          <w:lang w:val="en-US" w:eastAsia="en-US"/>
        </w:rPr>
        <w:t>T</w:t>
      </w:r>
      <w:r w:rsidR="00F16900" w:rsidRPr="00642A5D">
        <w:rPr>
          <w:lang w:val="en-US" w:eastAsia="en-US"/>
        </w:rPr>
        <w:t xml:space="preserve">he </w:t>
      </w:r>
      <w:r>
        <w:rPr>
          <w:lang w:val="en-US" w:eastAsia="en-US"/>
        </w:rPr>
        <w:t>potential impact</w:t>
      </w:r>
      <w:r w:rsidRPr="00642A5D">
        <w:rPr>
          <w:lang w:val="en-US" w:eastAsia="en-US"/>
        </w:rPr>
        <w:t xml:space="preserve"> </w:t>
      </w:r>
      <w:r w:rsidR="008C08D5">
        <w:rPr>
          <w:lang w:val="en-US" w:eastAsia="en-US"/>
        </w:rPr>
        <w:t>on</w:t>
      </w:r>
      <w:r w:rsidR="008C08D5" w:rsidRPr="00642A5D">
        <w:rPr>
          <w:lang w:val="en-US" w:eastAsia="en-US"/>
        </w:rPr>
        <w:t xml:space="preserve"> </w:t>
      </w:r>
      <w:r w:rsidR="00F16900" w:rsidRPr="00642A5D">
        <w:rPr>
          <w:lang w:val="en-US" w:eastAsia="en-US"/>
        </w:rPr>
        <w:t xml:space="preserve">surface water users </w:t>
      </w:r>
      <w:r w:rsidR="008C08D5">
        <w:rPr>
          <w:lang w:val="en-US" w:eastAsia="en-US"/>
        </w:rPr>
        <w:t>in</w:t>
      </w:r>
      <w:r w:rsidR="008C08D5" w:rsidRPr="00642A5D">
        <w:rPr>
          <w:lang w:val="en-US" w:eastAsia="en-US"/>
        </w:rPr>
        <w:t xml:space="preserve"> </w:t>
      </w:r>
      <w:r w:rsidR="008C08D5">
        <w:rPr>
          <w:lang w:val="en-US" w:eastAsia="en-US"/>
        </w:rPr>
        <w:t xml:space="preserve">all </w:t>
      </w:r>
      <w:r w:rsidR="00F16900" w:rsidRPr="00642A5D">
        <w:rPr>
          <w:lang w:val="en-US" w:eastAsia="en-US"/>
        </w:rPr>
        <w:t xml:space="preserve">gas development </w:t>
      </w:r>
      <w:r w:rsidR="008C08D5">
        <w:rPr>
          <w:lang w:val="en-US" w:eastAsia="en-US"/>
        </w:rPr>
        <w:t xml:space="preserve">scenarios </w:t>
      </w:r>
      <w:r w:rsidR="00F16900" w:rsidRPr="00642A5D">
        <w:rPr>
          <w:lang w:val="en-US" w:eastAsia="en-US"/>
        </w:rPr>
        <w:t xml:space="preserve">is low. In the conventional gas development scenario the </w:t>
      </w:r>
      <w:r>
        <w:rPr>
          <w:lang w:val="en-US" w:eastAsia="en-US"/>
        </w:rPr>
        <w:t>potential impact</w:t>
      </w:r>
      <w:r w:rsidRPr="00642A5D">
        <w:rPr>
          <w:lang w:val="en-US" w:eastAsia="en-US"/>
        </w:rPr>
        <w:t xml:space="preserve"> </w:t>
      </w:r>
      <w:r w:rsidR="00F16900" w:rsidRPr="00642A5D">
        <w:rPr>
          <w:lang w:val="en-US" w:eastAsia="en-US"/>
        </w:rPr>
        <w:t xml:space="preserve">is </w:t>
      </w:r>
      <w:r w:rsidR="00B05828" w:rsidRPr="00642A5D">
        <w:rPr>
          <w:lang w:val="en-US" w:eastAsia="en-US"/>
        </w:rPr>
        <w:t>low</w:t>
      </w:r>
      <w:r w:rsidR="00F16900" w:rsidRPr="00642A5D">
        <w:rPr>
          <w:lang w:val="en-US" w:eastAsia="en-US"/>
        </w:rPr>
        <w:t xml:space="preserve">. </w:t>
      </w:r>
    </w:p>
    <w:p w14:paraId="4F9FEA61" w14:textId="629CC3DC" w:rsidR="00F16900" w:rsidRPr="00642A5D" w:rsidRDefault="00F16900">
      <w:pPr>
        <w:rPr>
          <w:lang w:val="en-US" w:eastAsia="en-US"/>
        </w:rPr>
      </w:pPr>
      <w:r w:rsidRPr="00642A5D">
        <w:rPr>
          <w:lang w:val="en-US" w:eastAsia="en-US"/>
        </w:rPr>
        <w:t xml:space="preserve">The </w:t>
      </w:r>
      <w:r w:rsidR="008A3B64">
        <w:rPr>
          <w:lang w:val="en-US" w:eastAsia="en-US"/>
        </w:rPr>
        <w:t>potential impact</w:t>
      </w:r>
      <w:r w:rsidR="008A3B64" w:rsidRPr="00642A5D">
        <w:rPr>
          <w:lang w:val="en-US" w:eastAsia="en-US"/>
        </w:rPr>
        <w:t xml:space="preserve"> </w:t>
      </w:r>
      <w:r w:rsidRPr="00642A5D">
        <w:rPr>
          <w:lang w:val="en-US" w:eastAsia="en-US"/>
        </w:rPr>
        <w:t xml:space="preserve">of </w:t>
      </w:r>
      <w:r w:rsidR="00E946F2" w:rsidRPr="00867B51">
        <w:rPr>
          <w:lang w:val="en-US" w:eastAsia="en-US"/>
        </w:rPr>
        <w:t>ground</w:t>
      </w:r>
      <w:r w:rsidRPr="00867B51">
        <w:rPr>
          <w:lang w:val="en-US" w:eastAsia="en-US"/>
        </w:rPr>
        <w:t>water quality</w:t>
      </w:r>
      <w:r w:rsidRPr="00642A5D">
        <w:rPr>
          <w:lang w:val="en-US" w:eastAsia="en-US"/>
        </w:rPr>
        <w:t xml:space="preserve"> changes resulting from gas development is low</w:t>
      </w:r>
      <w:r w:rsidR="008C08D5">
        <w:rPr>
          <w:lang w:val="en-US" w:eastAsia="en-US"/>
        </w:rPr>
        <w:t xml:space="preserve"> because</w:t>
      </w:r>
      <w:r w:rsidRPr="00642A5D">
        <w:rPr>
          <w:lang w:val="en-US" w:eastAsia="en-US"/>
        </w:rPr>
        <w:t xml:space="preserve"> the groundwater pressure changes that are estimated to arise from the combined development are modest</w:t>
      </w:r>
      <w:r w:rsidR="008A3B64">
        <w:rPr>
          <w:lang w:val="en-US" w:eastAsia="en-US"/>
        </w:rPr>
        <w:t xml:space="preserve">. </w:t>
      </w:r>
      <w:r w:rsidRPr="00642A5D">
        <w:rPr>
          <w:lang w:val="en-US" w:eastAsia="en-US"/>
        </w:rPr>
        <w:t xml:space="preserve">There is no indication that elevated </w:t>
      </w:r>
      <w:r w:rsidR="008A3B64">
        <w:rPr>
          <w:lang w:val="en-US" w:eastAsia="en-US"/>
        </w:rPr>
        <w:t>potential impact</w:t>
      </w:r>
      <w:r w:rsidR="008A3B64" w:rsidRPr="00642A5D">
        <w:rPr>
          <w:lang w:val="en-US" w:eastAsia="en-US"/>
        </w:rPr>
        <w:t xml:space="preserve"> </w:t>
      </w:r>
      <w:r w:rsidRPr="00642A5D">
        <w:rPr>
          <w:lang w:val="en-US" w:eastAsia="en-US"/>
        </w:rPr>
        <w:t xml:space="preserve">of water quality changes will arise resulting from gas development above that </w:t>
      </w:r>
      <w:r w:rsidR="001D5761">
        <w:rPr>
          <w:lang w:val="en-US" w:eastAsia="en-US"/>
        </w:rPr>
        <w:t xml:space="preserve">which </w:t>
      </w:r>
      <w:r w:rsidRPr="00642A5D">
        <w:rPr>
          <w:lang w:val="en-US" w:eastAsia="en-US"/>
        </w:rPr>
        <w:t>currently exists from groundwater use.</w:t>
      </w:r>
    </w:p>
    <w:p w14:paraId="44EF7D0E" w14:textId="04DE22CD" w:rsidR="00AE379D" w:rsidRPr="00642A5D" w:rsidRDefault="008C08D5">
      <w:pPr>
        <w:rPr>
          <w:lang w:val="en-US" w:eastAsia="en-US"/>
        </w:rPr>
      </w:pPr>
      <w:r>
        <w:rPr>
          <w:lang w:val="en-US" w:eastAsia="en-US"/>
        </w:rPr>
        <w:t xml:space="preserve">The potential impact on water resources from </w:t>
      </w:r>
      <w:r w:rsidR="0040408C" w:rsidRPr="00642A5D">
        <w:rPr>
          <w:lang w:val="en-US" w:eastAsia="en-US"/>
        </w:rPr>
        <w:t xml:space="preserve">aquifer </w:t>
      </w:r>
      <w:r w:rsidR="00AF5EC7" w:rsidRPr="00642A5D">
        <w:rPr>
          <w:lang w:val="en-US" w:eastAsia="en-US"/>
        </w:rPr>
        <w:t xml:space="preserve">depressurisation </w:t>
      </w:r>
      <w:r>
        <w:rPr>
          <w:lang w:val="en-US" w:eastAsia="en-US"/>
        </w:rPr>
        <w:t>resulting from the</w:t>
      </w:r>
      <w:r w:rsidR="0040408C" w:rsidRPr="00642A5D">
        <w:rPr>
          <w:lang w:val="en-US" w:eastAsia="en-US"/>
        </w:rPr>
        <w:t xml:space="preserve"> </w:t>
      </w:r>
      <w:r w:rsidR="00AE379D" w:rsidRPr="00642A5D">
        <w:rPr>
          <w:lang w:val="en-US" w:eastAsia="en-US"/>
        </w:rPr>
        <w:t xml:space="preserve">development of any of the four identified gas scenarios in the Otway region </w:t>
      </w:r>
      <w:r>
        <w:rPr>
          <w:lang w:val="en-US" w:eastAsia="en-US"/>
        </w:rPr>
        <w:t>is low</w:t>
      </w:r>
      <w:r w:rsidR="00AE379D" w:rsidRPr="00642A5D">
        <w:rPr>
          <w:lang w:val="en-US" w:eastAsia="en-US"/>
        </w:rPr>
        <w:t>.</w:t>
      </w:r>
    </w:p>
    <w:p w14:paraId="329D588E" w14:textId="17003E0B" w:rsidR="00A76DC9" w:rsidRPr="00642A5D" w:rsidRDefault="005707ED" w:rsidP="00AE379D">
      <w:pPr>
        <w:pStyle w:val="Head2xx"/>
      </w:pPr>
      <w:bookmarkStart w:id="651" w:name="_Toc420570310"/>
      <w:bookmarkStart w:id="652" w:name="_Toc420571506"/>
      <w:bookmarkStart w:id="653" w:name="_Toc420572144"/>
      <w:bookmarkStart w:id="654" w:name="_Toc296767002"/>
      <w:bookmarkStart w:id="655" w:name="_Toc422927926"/>
      <w:r>
        <w:t>7.2</w:t>
      </w:r>
      <w:r>
        <w:tab/>
      </w:r>
      <w:r w:rsidR="008F369D">
        <w:t>Chemical</w:t>
      </w:r>
      <w:r w:rsidR="00EC685B">
        <w:t xml:space="preserve"> contamination</w:t>
      </w:r>
      <w:r w:rsidR="002A14FD">
        <w:t xml:space="preserve"> of groundwater</w:t>
      </w:r>
      <w:r w:rsidR="00EC685B">
        <w:t xml:space="preserve"> from </w:t>
      </w:r>
      <w:r w:rsidR="00EC685B" w:rsidRPr="00D13816">
        <w:t>h</w:t>
      </w:r>
      <w:r w:rsidR="00A76DC9" w:rsidRPr="007C766C">
        <w:t>ydraulic fracturing</w:t>
      </w:r>
      <w:r w:rsidR="00FE4E44">
        <w:t xml:space="preserve"> fluids</w:t>
      </w:r>
      <w:bookmarkEnd w:id="651"/>
      <w:bookmarkEnd w:id="652"/>
      <w:bookmarkEnd w:id="653"/>
      <w:bookmarkEnd w:id="654"/>
      <w:bookmarkEnd w:id="655"/>
    </w:p>
    <w:p w14:paraId="595B0A97" w14:textId="5963AE1D" w:rsidR="0086374E" w:rsidRPr="00642A5D" w:rsidRDefault="0086374E">
      <w:pPr>
        <w:rPr>
          <w:lang w:val="en-US" w:eastAsia="en-US"/>
        </w:rPr>
      </w:pPr>
      <w:r w:rsidRPr="00642A5D">
        <w:rPr>
          <w:lang w:val="en-US" w:eastAsia="en-US"/>
        </w:rPr>
        <w:t xml:space="preserve">The risks associated with </w:t>
      </w:r>
      <w:r w:rsidR="00EC685B">
        <w:rPr>
          <w:lang w:val="en-US" w:eastAsia="en-US"/>
        </w:rPr>
        <w:t xml:space="preserve">groundwater contamination from </w:t>
      </w:r>
      <w:r w:rsidRPr="00642A5D">
        <w:rPr>
          <w:lang w:val="en-US" w:eastAsia="en-US"/>
        </w:rPr>
        <w:t xml:space="preserve">hydraulic fracturing were assessed </w:t>
      </w:r>
      <w:r w:rsidR="008C08D5">
        <w:rPr>
          <w:lang w:val="en-US" w:eastAsia="en-US"/>
        </w:rPr>
        <w:t>using information in the</w:t>
      </w:r>
      <w:r w:rsidRPr="00642A5D">
        <w:rPr>
          <w:lang w:val="en-US" w:eastAsia="en-US"/>
        </w:rPr>
        <w:t xml:space="preserve"> available literature.</w:t>
      </w:r>
      <w:r w:rsidR="009A72C5">
        <w:rPr>
          <w:lang w:val="en-US" w:eastAsia="en-US"/>
        </w:rPr>
        <w:t xml:space="preserve"> </w:t>
      </w:r>
      <w:r w:rsidR="008C08D5">
        <w:rPr>
          <w:lang w:val="en-US" w:eastAsia="en-US"/>
        </w:rPr>
        <w:t>Any</w:t>
      </w:r>
      <w:r w:rsidR="008C08D5" w:rsidRPr="00642A5D">
        <w:rPr>
          <w:lang w:val="en-US" w:eastAsia="en-US"/>
        </w:rPr>
        <w:t xml:space="preserve"> </w:t>
      </w:r>
      <w:r w:rsidRPr="00642A5D">
        <w:rPr>
          <w:lang w:val="en-US" w:eastAsia="en-US"/>
        </w:rPr>
        <w:t xml:space="preserve">development of shale and tight gas in the </w:t>
      </w:r>
      <w:r w:rsidR="007C4916">
        <w:rPr>
          <w:lang w:val="en-US" w:eastAsia="en-US"/>
        </w:rPr>
        <w:t>Otway region</w:t>
      </w:r>
      <w:r w:rsidRPr="00642A5D">
        <w:rPr>
          <w:lang w:val="en-US" w:eastAsia="en-US"/>
        </w:rPr>
        <w:t xml:space="preserve"> is expected to require hydraulic fracturing in order to increase formation permeability and hence gas production. </w:t>
      </w:r>
      <w:r w:rsidR="0040408C" w:rsidRPr="00642A5D">
        <w:rPr>
          <w:lang w:val="en-US" w:eastAsia="en-US"/>
        </w:rPr>
        <w:t xml:space="preserve">The development of conventional gas in the </w:t>
      </w:r>
      <w:r w:rsidR="007C4916">
        <w:rPr>
          <w:lang w:val="en-US" w:eastAsia="en-US"/>
        </w:rPr>
        <w:t>Otway region</w:t>
      </w:r>
      <w:r w:rsidR="0040408C" w:rsidRPr="00642A5D">
        <w:rPr>
          <w:lang w:val="en-US" w:eastAsia="en-US"/>
        </w:rPr>
        <w:t xml:space="preserve"> </w:t>
      </w:r>
      <w:r w:rsidR="002D4544" w:rsidRPr="00642A5D">
        <w:rPr>
          <w:lang w:val="en-US" w:eastAsia="en-US"/>
        </w:rPr>
        <w:t>is unlikely</w:t>
      </w:r>
      <w:r w:rsidR="0040408C" w:rsidRPr="00642A5D">
        <w:rPr>
          <w:lang w:val="en-US" w:eastAsia="en-US"/>
        </w:rPr>
        <w:t xml:space="preserve"> to require hydraulic fracturing.</w:t>
      </w:r>
    </w:p>
    <w:p w14:paraId="14B215E1" w14:textId="661232CE" w:rsidR="0086374E" w:rsidRPr="00642A5D" w:rsidRDefault="0086374E">
      <w:pPr>
        <w:rPr>
          <w:lang w:val="en-US" w:eastAsia="en-US"/>
        </w:rPr>
      </w:pPr>
      <w:r w:rsidRPr="00642A5D">
        <w:rPr>
          <w:lang w:val="en-US" w:eastAsia="en-US"/>
        </w:rPr>
        <w:t>Maximum vertical fracture propagation distances are reported to be less than 100</w:t>
      </w:r>
      <w:r w:rsidR="0085050C">
        <w:rPr>
          <w:lang w:val="en-US" w:eastAsia="en-US"/>
        </w:rPr>
        <w:t xml:space="preserve"> </w:t>
      </w:r>
      <w:r w:rsidRPr="00642A5D">
        <w:rPr>
          <w:lang w:val="en-US" w:eastAsia="en-US"/>
        </w:rPr>
        <w:t xml:space="preserve">m based on North American data (Cook </w:t>
      </w:r>
      <w:r w:rsidR="0061023B" w:rsidRPr="0061023B">
        <w:rPr>
          <w:lang w:val="en-US" w:eastAsia="en-US"/>
        </w:rPr>
        <w:t>et al.</w:t>
      </w:r>
      <w:r w:rsidRPr="00642A5D">
        <w:rPr>
          <w:lang w:val="en-US" w:eastAsia="en-US"/>
        </w:rPr>
        <w:t xml:space="preserve">, 2013). Evidence for the stress regime in southern Australia would indicate that the fracture propagation would be much less than the American case and is likely to be </w:t>
      </w:r>
      <w:r w:rsidR="00022BA3" w:rsidRPr="00642A5D">
        <w:rPr>
          <w:lang w:val="en-US" w:eastAsia="en-US"/>
        </w:rPr>
        <w:t xml:space="preserve">up to </w:t>
      </w:r>
      <w:r w:rsidRPr="00642A5D">
        <w:rPr>
          <w:lang w:val="en-US" w:eastAsia="en-US"/>
        </w:rPr>
        <w:t xml:space="preserve">tens of </w:t>
      </w:r>
      <w:r w:rsidR="009E2A8B" w:rsidRPr="00642A5D">
        <w:rPr>
          <w:lang w:val="en-US" w:eastAsia="en-US"/>
        </w:rPr>
        <w:t>metres</w:t>
      </w:r>
      <w:r w:rsidRPr="00642A5D">
        <w:rPr>
          <w:lang w:val="en-US" w:eastAsia="en-US"/>
        </w:rPr>
        <w:t xml:space="preserve">. With respect to tight gas development, a vertical fracture of tens of </w:t>
      </w:r>
      <w:r w:rsidR="009E2A8B" w:rsidRPr="00642A5D">
        <w:rPr>
          <w:lang w:val="en-US" w:eastAsia="en-US"/>
        </w:rPr>
        <w:t>metres</w:t>
      </w:r>
      <w:r w:rsidRPr="00642A5D">
        <w:rPr>
          <w:lang w:val="en-US" w:eastAsia="en-US"/>
        </w:rPr>
        <w:t xml:space="preserve"> would still be </w:t>
      </w:r>
      <w:r w:rsidR="008C08D5">
        <w:rPr>
          <w:lang w:val="en-US" w:eastAsia="en-US"/>
        </w:rPr>
        <w:t xml:space="preserve">about </w:t>
      </w:r>
      <w:r w:rsidRPr="00642A5D">
        <w:rPr>
          <w:lang w:val="en-US" w:eastAsia="en-US"/>
        </w:rPr>
        <w:t xml:space="preserve">500 m from the nearest groundwater </w:t>
      </w:r>
      <w:r w:rsidR="00C6709E" w:rsidRPr="00642A5D">
        <w:rPr>
          <w:lang w:val="en-US" w:eastAsia="en-US"/>
        </w:rPr>
        <w:t xml:space="preserve">resource </w:t>
      </w:r>
      <w:r w:rsidRPr="00642A5D">
        <w:rPr>
          <w:lang w:val="en-US" w:eastAsia="en-US"/>
        </w:rPr>
        <w:t xml:space="preserve">in the Port Campbell Embayment. With respect to the development of shale gas, a vertical hydraulic fracture tens of </w:t>
      </w:r>
      <w:r w:rsidR="009E2A8B" w:rsidRPr="00642A5D">
        <w:rPr>
          <w:lang w:val="en-US" w:eastAsia="en-US"/>
        </w:rPr>
        <w:t>metres</w:t>
      </w:r>
      <w:r w:rsidRPr="00642A5D">
        <w:rPr>
          <w:lang w:val="en-US" w:eastAsia="en-US"/>
        </w:rPr>
        <w:t xml:space="preserve"> in length would still be </w:t>
      </w:r>
      <w:r w:rsidR="008C08D5">
        <w:rPr>
          <w:lang w:val="en-US" w:eastAsia="en-US"/>
        </w:rPr>
        <w:t>1400</w:t>
      </w:r>
      <w:r w:rsidRPr="00642A5D">
        <w:rPr>
          <w:lang w:val="en-US" w:eastAsia="en-US"/>
        </w:rPr>
        <w:t xml:space="preserve"> to 2</w:t>
      </w:r>
      <w:r w:rsidR="008C08D5">
        <w:rPr>
          <w:lang w:val="en-US" w:eastAsia="en-US"/>
        </w:rPr>
        <w:t>2900 m</w:t>
      </w:r>
      <w:r w:rsidRPr="00642A5D">
        <w:rPr>
          <w:lang w:val="en-US" w:eastAsia="en-US"/>
        </w:rPr>
        <w:t xml:space="preserve"> from the nearest aquifer. </w:t>
      </w:r>
    </w:p>
    <w:p w14:paraId="0EFE161C" w14:textId="44E5AF65" w:rsidR="0086374E" w:rsidRPr="00642A5D" w:rsidRDefault="0040408C">
      <w:pPr>
        <w:rPr>
          <w:lang w:val="en-US" w:eastAsia="en-US"/>
        </w:rPr>
      </w:pPr>
      <w:r w:rsidRPr="00642A5D">
        <w:rPr>
          <w:lang w:val="en-US" w:eastAsia="en-US"/>
        </w:rPr>
        <w:t>Within the defined coal</w:t>
      </w:r>
      <w:r w:rsidR="00314A61" w:rsidRPr="00642A5D">
        <w:rPr>
          <w:lang w:val="en-US" w:eastAsia="en-US"/>
        </w:rPr>
        <w:t xml:space="preserve"> seam gas prospective areas around</w:t>
      </w:r>
      <w:r w:rsidR="009A72C5">
        <w:rPr>
          <w:lang w:val="en-US" w:eastAsia="en-US"/>
        </w:rPr>
        <w:t xml:space="preserve"> </w:t>
      </w:r>
      <w:r w:rsidR="00314A61" w:rsidRPr="00642A5D">
        <w:rPr>
          <w:lang w:val="en-US" w:eastAsia="en-US"/>
        </w:rPr>
        <w:t>Lake Corangamite, Lake Colac and to the north east of Port Fairy (</w:t>
      </w:r>
      <w:r w:rsidR="007569CD" w:rsidRPr="00642A5D">
        <w:rPr>
          <w:lang w:val="en-US" w:eastAsia="en-US"/>
        </w:rPr>
        <w:fldChar w:fldCharType="begin"/>
      </w:r>
      <w:r w:rsidR="00314A61" w:rsidRPr="00642A5D">
        <w:rPr>
          <w:lang w:val="en-US" w:eastAsia="en-US"/>
        </w:rPr>
        <w:instrText xml:space="preserve"> REF _Ref403651806 \h </w:instrText>
      </w:r>
      <w:r w:rsidR="00642A5D">
        <w:rPr>
          <w:lang w:val="en-US" w:eastAsia="en-US"/>
        </w:rPr>
        <w:instrText xml:space="preserve"> \* MERGEFORMAT </w:instrText>
      </w:r>
      <w:r w:rsidR="007569CD" w:rsidRPr="00642A5D">
        <w:rPr>
          <w:lang w:val="en-US" w:eastAsia="en-US"/>
        </w:rPr>
      </w:r>
      <w:r w:rsidR="007569CD" w:rsidRPr="00642A5D">
        <w:rPr>
          <w:lang w:val="en-US" w:eastAsia="en-US"/>
        </w:rPr>
        <w:fldChar w:fldCharType="separate"/>
      </w:r>
      <w:r w:rsidR="00171A5E" w:rsidRPr="00171A5E">
        <w:rPr>
          <w:lang w:val="en-US" w:eastAsia="en-US"/>
        </w:rPr>
        <w:t>Figure 13</w:t>
      </w:r>
      <w:r w:rsidR="007569CD" w:rsidRPr="00642A5D">
        <w:rPr>
          <w:lang w:val="en-US" w:eastAsia="en-US"/>
        </w:rPr>
        <w:fldChar w:fldCharType="end"/>
      </w:r>
      <w:r w:rsidR="00314A61" w:rsidRPr="00642A5D">
        <w:rPr>
          <w:lang w:val="en-US" w:eastAsia="en-US"/>
        </w:rPr>
        <w:t>),</w:t>
      </w:r>
      <w:r w:rsidR="0086374E" w:rsidRPr="00642A5D">
        <w:rPr>
          <w:lang w:val="en-US" w:eastAsia="en-US"/>
        </w:rPr>
        <w:t xml:space="preserve"> the upper aquifers occur within the upper 100 m of the stratigrap</w:t>
      </w:r>
      <w:r w:rsidR="00314A61" w:rsidRPr="00642A5D">
        <w:rPr>
          <w:lang w:val="en-US" w:eastAsia="en-US"/>
        </w:rPr>
        <w:t>hic column (SRW, 2011). Hence, source formations</w:t>
      </w:r>
      <w:r w:rsidR="0086374E" w:rsidRPr="00642A5D">
        <w:rPr>
          <w:lang w:val="en-US" w:eastAsia="en-US"/>
        </w:rPr>
        <w:t xml:space="preserve"> at greater than </w:t>
      </w:r>
      <w:r w:rsidR="00D1776E">
        <w:rPr>
          <w:lang w:val="en-US" w:eastAsia="en-US"/>
        </w:rPr>
        <w:t>6</w:t>
      </w:r>
      <w:r w:rsidR="0086374E" w:rsidRPr="00642A5D">
        <w:rPr>
          <w:lang w:val="en-US" w:eastAsia="en-US"/>
        </w:rPr>
        <w:t xml:space="preserve">00 m depth will be separated by approximately </w:t>
      </w:r>
      <w:r w:rsidR="00D1776E">
        <w:rPr>
          <w:lang w:val="en-US" w:eastAsia="en-US"/>
        </w:rPr>
        <w:t>500 </w:t>
      </w:r>
      <w:r w:rsidR="0086374E" w:rsidRPr="00642A5D">
        <w:rPr>
          <w:lang w:val="en-US" w:eastAsia="en-US"/>
        </w:rPr>
        <w:t xml:space="preserve">m of variably distributed sandstones, mudstones, marls and limestones which constitute alternating layers of higher and lower permeability. Accordingly, it </w:t>
      </w:r>
      <w:r w:rsidR="007E6FA9">
        <w:rPr>
          <w:lang w:val="en-US" w:eastAsia="en-US"/>
        </w:rPr>
        <w:t>is</w:t>
      </w:r>
      <w:r w:rsidR="0086374E" w:rsidRPr="00642A5D">
        <w:rPr>
          <w:lang w:val="en-US" w:eastAsia="en-US"/>
        </w:rPr>
        <w:t xml:space="preserve"> unlikely that highly permeable pathways exist between </w:t>
      </w:r>
      <w:r w:rsidR="00314A61" w:rsidRPr="00642A5D">
        <w:rPr>
          <w:lang w:val="en-US" w:eastAsia="en-US"/>
        </w:rPr>
        <w:t>coal seam gas formations</w:t>
      </w:r>
      <w:r w:rsidR="0086374E" w:rsidRPr="00642A5D">
        <w:rPr>
          <w:lang w:val="en-US" w:eastAsia="en-US"/>
        </w:rPr>
        <w:t xml:space="preserve"> and upper aquifers in </w:t>
      </w:r>
      <w:r w:rsidR="00314A61" w:rsidRPr="00642A5D">
        <w:rPr>
          <w:lang w:val="en-US" w:eastAsia="en-US"/>
        </w:rPr>
        <w:t>these areas</w:t>
      </w:r>
      <w:r w:rsidR="008C08D5">
        <w:rPr>
          <w:lang w:val="en-US" w:eastAsia="en-US"/>
        </w:rPr>
        <w:t>,</w:t>
      </w:r>
      <w:r w:rsidR="0086374E" w:rsidRPr="00642A5D">
        <w:rPr>
          <w:lang w:val="en-US" w:eastAsia="en-US"/>
        </w:rPr>
        <w:t xml:space="preserve"> and </w:t>
      </w:r>
      <w:r w:rsidR="008C08D5">
        <w:rPr>
          <w:lang w:val="en-US" w:eastAsia="en-US"/>
        </w:rPr>
        <w:t>therefore</w:t>
      </w:r>
      <w:r w:rsidR="0086374E" w:rsidRPr="00642A5D">
        <w:rPr>
          <w:lang w:val="en-US" w:eastAsia="en-US"/>
        </w:rPr>
        <w:t xml:space="preserve"> the overall risk from hydraulic fracturing </w:t>
      </w:r>
      <w:r w:rsidR="002D4544" w:rsidRPr="00642A5D">
        <w:rPr>
          <w:lang w:val="en-US" w:eastAsia="en-US"/>
        </w:rPr>
        <w:t>is low</w:t>
      </w:r>
      <w:r w:rsidR="0086374E" w:rsidRPr="00642A5D">
        <w:rPr>
          <w:lang w:val="en-US" w:eastAsia="en-US"/>
        </w:rPr>
        <w:t>.</w:t>
      </w:r>
      <w:r w:rsidR="00C87ED1" w:rsidRPr="00642A5D">
        <w:rPr>
          <w:lang w:val="en-US" w:eastAsia="en-US"/>
        </w:rPr>
        <w:t xml:space="preserve"> </w:t>
      </w:r>
      <w:r w:rsidR="00AE379D" w:rsidRPr="00642A5D">
        <w:t>The separation between the source rocks and the lower aquifers is also several hundred metres and so the risk to lower aquifers from fracturing is also low.</w:t>
      </w:r>
    </w:p>
    <w:p w14:paraId="1498B850" w14:textId="77777777" w:rsidR="00E7436B" w:rsidRDefault="00E7436B">
      <w:pPr>
        <w:spacing w:after="200"/>
      </w:pPr>
      <w:r>
        <w:br w:type="page"/>
      </w:r>
    </w:p>
    <w:p w14:paraId="44A2DA95" w14:textId="542E7058" w:rsidR="0086374E" w:rsidRPr="00642A5D" w:rsidRDefault="00D1776E" w:rsidP="00A35B08">
      <w:pPr>
        <w:rPr>
          <w:rFonts w:cs="Arial"/>
          <w:b/>
          <w:bCs/>
          <w:sz w:val="26"/>
          <w:szCs w:val="26"/>
          <w:lang w:val="en-AU" w:eastAsia="en-US"/>
        </w:rPr>
      </w:pPr>
      <w:r w:rsidRPr="00642A5D">
        <w:t xml:space="preserve">For the remaining </w:t>
      </w:r>
      <w:r>
        <w:t xml:space="preserve">prospective </w:t>
      </w:r>
      <w:r w:rsidRPr="00642A5D">
        <w:t xml:space="preserve">coal seam gas </w:t>
      </w:r>
      <w:r>
        <w:t>areas</w:t>
      </w:r>
      <w:r w:rsidRPr="00642A5D">
        <w:t xml:space="preserve"> </w:t>
      </w:r>
      <w:r>
        <w:t xml:space="preserve">there is a minimum of approximately 300 m of low permeability </w:t>
      </w:r>
      <w:r w:rsidR="000C4305">
        <w:t>Eumeralla</w:t>
      </w:r>
      <w:r>
        <w:t xml:space="preserve"> </w:t>
      </w:r>
      <w:r w:rsidRPr="00642A5D">
        <w:t>Formation</w:t>
      </w:r>
      <w:r>
        <w:t xml:space="preserve"> between the top of the prospective coal seam gas resource (the Killara coal measures) and the lowermost aquifer</w:t>
      </w:r>
      <w:r w:rsidR="008573A4">
        <w:t xml:space="preserve">. </w:t>
      </w:r>
      <w:r>
        <w:t>I</w:t>
      </w:r>
      <w:r w:rsidRPr="00642A5D">
        <w:t xml:space="preserve">t </w:t>
      </w:r>
      <w:r>
        <w:t xml:space="preserve">is </w:t>
      </w:r>
      <w:r w:rsidRPr="00642A5D">
        <w:t xml:space="preserve">unlikely that highly permeable pathways of over </w:t>
      </w:r>
      <w:r>
        <w:t>3</w:t>
      </w:r>
      <w:r w:rsidRPr="00642A5D">
        <w:t>00 m would exist between</w:t>
      </w:r>
      <w:r>
        <w:t xml:space="preserve"> the prospective gas formations</w:t>
      </w:r>
      <w:r w:rsidRPr="00642A5D">
        <w:t xml:space="preserve"> and </w:t>
      </w:r>
      <w:r>
        <w:t>lowermost aquifer</w:t>
      </w:r>
      <w:r w:rsidRPr="00642A5D">
        <w:t xml:space="preserve"> in this setting and as such, the overall risk from hydraulic fracturing is low.</w:t>
      </w:r>
    </w:p>
    <w:p w14:paraId="36A858A0" w14:textId="7F58ECEB" w:rsidR="00A76DC9" w:rsidRPr="00642A5D" w:rsidRDefault="005707ED" w:rsidP="00DC509D">
      <w:pPr>
        <w:pStyle w:val="Head2xx"/>
      </w:pPr>
      <w:bookmarkStart w:id="656" w:name="_Toc420570311"/>
      <w:bookmarkStart w:id="657" w:name="_Toc420571507"/>
      <w:bookmarkStart w:id="658" w:name="_Toc420572145"/>
      <w:bookmarkStart w:id="659" w:name="_Toc296767003"/>
      <w:bookmarkStart w:id="660" w:name="_Toc422927927"/>
      <w:r>
        <w:t>7.3</w:t>
      </w:r>
      <w:r>
        <w:tab/>
      </w:r>
      <w:r w:rsidR="00A76DC9" w:rsidRPr="00642A5D">
        <w:t>Induced seismicity</w:t>
      </w:r>
      <w:bookmarkEnd w:id="656"/>
      <w:bookmarkEnd w:id="657"/>
      <w:bookmarkEnd w:id="658"/>
      <w:bookmarkEnd w:id="659"/>
      <w:bookmarkEnd w:id="660"/>
    </w:p>
    <w:p w14:paraId="735CCB70" w14:textId="17B42E37" w:rsidR="00F16900" w:rsidRPr="00642A5D" w:rsidRDefault="00F16900">
      <w:pPr>
        <w:rPr>
          <w:lang w:val="en-AU" w:eastAsia="en-US"/>
        </w:rPr>
      </w:pPr>
      <w:r w:rsidRPr="00642A5D">
        <w:rPr>
          <w:lang w:val="en-AU" w:eastAsia="en-US"/>
        </w:rPr>
        <w:t xml:space="preserve">The potential for hydraulic fracturing to trigger seismic events in the </w:t>
      </w:r>
      <w:r w:rsidR="007C4916">
        <w:rPr>
          <w:lang w:val="en-AU" w:eastAsia="en-US"/>
        </w:rPr>
        <w:t>Otway region</w:t>
      </w:r>
      <w:r w:rsidRPr="00642A5D">
        <w:rPr>
          <w:lang w:val="en-AU" w:eastAsia="en-US"/>
        </w:rPr>
        <w:t xml:space="preserve"> is related to </w:t>
      </w:r>
      <w:r w:rsidR="00C87ED1" w:rsidRPr="00642A5D">
        <w:rPr>
          <w:lang w:val="en-AU" w:eastAsia="en-US"/>
        </w:rPr>
        <w:t>most</w:t>
      </w:r>
      <w:r w:rsidRPr="00642A5D">
        <w:rPr>
          <w:lang w:val="en-AU" w:eastAsia="en-US"/>
        </w:rPr>
        <w:t xml:space="preserve"> development scenarios, including shale gas, tight gas and coal seam gas. In contrast, depressurisation resulting from fluid and gas extraction in the </w:t>
      </w:r>
      <w:r w:rsidR="007C4916">
        <w:rPr>
          <w:lang w:val="en-AU" w:eastAsia="en-US"/>
        </w:rPr>
        <w:t>Otway region</w:t>
      </w:r>
      <w:r w:rsidRPr="00642A5D">
        <w:rPr>
          <w:lang w:val="en-AU" w:eastAsia="en-US"/>
        </w:rPr>
        <w:t xml:space="preserve"> is primarily related to coal seam gas where water extraction may be required to induce desorption of gas from the coals. </w:t>
      </w:r>
    </w:p>
    <w:p w14:paraId="49F5754F" w14:textId="350A164E" w:rsidR="00F16900" w:rsidRPr="00642A5D" w:rsidRDefault="00F16900">
      <w:pPr>
        <w:rPr>
          <w:lang w:val="en-AU" w:eastAsia="en-US"/>
        </w:rPr>
      </w:pPr>
      <w:r w:rsidRPr="00642A5D">
        <w:rPr>
          <w:lang w:val="en-AU" w:eastAsia="en-US"/>
        </w:rPr>
        <w:t xml:space="preserve">Within the </w:t>
      </w:r>
      <w:r w:rsidR="007C4916">
        <w:rPr>
          <w:lang w:val="en-AU" w:eastAsia="en-US"/>
        </w:rPr>
        <w:t>Otway region</w:t>
      </w:r>
      <w:r w:rsidRPr="00642A5D">
        <w:rPr>
          <w:lang w:val="en-AU" w:eastAsia="en-US"/>
        </w:rPr>
        <w:t xml:space="preserve"> a number of fault systems are present which provide the potential for fault activation via depressurisation and hydraulic fracturing. However, the natural level of seismicity in the </w:t>
      </w:r>
      <w:r w:rsidR="007C4916">
        <w:rPr>
          <w:lang w:val="en-AU" w:eastAsia="en-US"/>
        </w:rPr>
        <w:t>Otway region</w:t>
      </w:r>
      <w:r w:rsidRPr="00642A5D">
        <w:rPr>
          <w:lang w:val="en-AU" w:eastAsia="en-US"/>
        </w:rPr>
        <w:t xml:space="preserve"> is relatively low. </w:t>
      </w:r>
    </w:p>
    <w:p w14:paraId="68A227A5" w14:textId="59C3E8FB" w:rsidR="00F16900" w:rsidRPr="00642A5D" w:rsidRDefault="00314A61">
      <w:pPr>
        <w:rPr>
          <w:lang w:val="en-AU" w:eastAsia="en-US"/>
        </w:rPr>
      </w:pPr>
      <w:r w:rsidRPr="00642A5D">
        <w:rPr>
          <w:lang w:val="en-AU" w:eastAsia="en-US"/>
        </w:rPr>
        <w:t>L</w:t>
      </w:r>
      <w:r w:rsidR="00F16900" w:rsidRPr="00642A5D">
        <w:rPr>
          <w:lang w:val="en-AU" w:eastAsia="en-US"/>
        </w:rPr>
        <w:t xml:space="preserve">ocal studies in the </w:t>
      </w:r>
      <w:r w:rsidR="007C4916">
        <w:rPr>
          <w:lang w:val="en-AU" w:eastAsia="en-US"/>
        </w:rPr>
        <w:t>Otway region</w:t>
      </w:r>
      <w:r w:rsidR="00F16900" w:rsidRPr="00642A5D">
        <w:rPr>
          <w:lang w:val="en-AU" w:eastAsia="en-US"/>
        </w:rPr>
        <w:t xml:space="preserve"> (Cook </w:t>
      </w:r>
      <w:r w:rsidR="0061023B" w:rsidRPr="0061023B">
        <w:rPr>
          <w:lang w:val="en-AU" w:eastAsia="en-US"/>
        </w:rPr>
        <w:t>et al.</w:t>
      </w:r>
      <w:r w:rsidR="00F16900" w:rsidRPr="00642A5D">
        <w:rPr>
          <w:lang w:val="en-AU" w:eastAsia="en-US"/>
        </w:rPr>
        <w:t>, 2014) found that there was no fault activity associated with the injection of 66</w:t>
      </w:r>
      <w:r w:rsidR="008C08D5">
        <w:rPr>
          <w:lang w:val="en-AU" w:eastAsia="en-US"/>
        </w:rPr>
        <w:t> </w:t>
      </w:r>
      <w:r w:rsidR="00F16900" w:rsidRPr="00642A5D">
        <w:rPr>
          <w:lang w:val="en-AU" w:eastAsia="en-US"/>
        </w:rPr>
        <w:t>000 tonnes of CO</w:t>
      </w:r>
      <w:r w:rsidR="00F16900" w:rsidRPr="00642A5D">
        <w:rPr>
          <w:vertAlign w:val="subscript"/>
          <w:lang w:val="en-AU" w:eastAsia="en-US"/>
        </w:rPr>
        <w:t>2</w:t>
      </w:r>
      <w:r w:rsidR="00F16900" w:rsidRPr="00642A5D">
        <w:rPr>
          <w:lang w:val="en-AU" w:eastAsia="en-US"/>
        </w:rPr>
        <w:t xml:space="preserve"> into the </w:t>
      </w:r>
      <w:r w:rsidR="003325FD" w:rsidRPr="00642A5D">
        <w:rPr>
          <w:lang w:val="en-AU" w:eastAsia="en-US"/>
        </w:rPr>
        <w:t xml:space="preserve">conventional gas-bearing formation </w:t>
      </w:r>
      <w:r w:rsidR="008C08D5">
        <w:rPr>
          <w:lang w:val="en-AU" w:eastAsia="en-US"/>
        </w:rPr>
        <w:t>(</w:t>
      </w:r>
      <w:r w:rsidR="003325FD" w:rsidRPr="00642A5D">
        <w:rPr>
          <w:lang w:val="en-AU" w:eastAsia="en-US"/>
        </w:rPr>
        <w:t xml:space="preserve">the </w:t>
      </w:r>
      <w:r w:rsidR="00F16900" w:rsidRPr="00642A5D">
        <w:rPr>
          <w:lang w:val="en-AU" w:eastAsia="en-US"/>
        </w:rPr>
        <w:t>Waarre Formation</w:t>
      </w:r>
      <w:r w:rsidR="008C08D5">
        <w:rPr>
          <w:lang w:val="en-AU" w:eastAsia="en-US"/>
        </w:rPr>
        <w:t>)</w:t>
      </w:r>
      <w:r w:rsidR="00F16900" w:rsidRPr="00642A5D">
        <w:rPr>
          <w:lang w:val="en-AU" w:eastAsia="en-US"/>
        </w:rPr>
        <w:t>. This suggests that the likelihood of inducing a seismic event via fluid and gas removal is low. As such, the overall risk posed by depressurisation is low to moderate.</w:t>
      </w:r>
    </w:p>
    <w:p w14:paraId="2FD7DDE1" w14:textId="4BCDB80E" w:rsidR="00A76DC9" w:rsidRPr="00642A5D" w:rsidRDefault="00F16900">
      <w:pPr>
        <w:rPr>
          <w:lang w:val="en-AU" w:eastAsia="en-US"/>
        </w:rPr>
      </w:pPr>
      <w:r w:rsidRPr="00642A5D">
        <w:rPr>
          <w:lang w:val="en-AU" w:eastAsia="en-US"/>
        </w:rPr>
        <w:t>During the process of hydraulic fracturing, it is almost certain that low magnitude (&lt;1.5</w:t>
      </w:r>
      <w:r w:rsidR="008C08D5">
        <w:rPr>
          <w:lang w:val="en-AU" w:eastAsia="en-US"/>
        </w:rPr>
        <w:t> </w:t>
      </w:r>
      <w:r w:rsidRPr="00642A5D">
        <w:rPr>
          <w:lang w:val="en-AU" w:eastAsia="en-US"/>
        </w:rPr>
        <w:t>M</w:t>
      </w:r>
      <w:r w:rsidRPr="00642A5D">
        <w:rPr>
          <w:vertAlign w:val="subscript"/>
          <w:lang w:val="en-AU" w:eastAsia="en-US"/>
        </w:rPr>
        <w:t>L</w:t>
      </w:r>
      <w:r w:rsidRPr="00642A5D">
        <w:rPr>
          <w:lang w:val="en-AU" w:eastAsia="en-US"/>
        </w:rPr>
        <w:t xml:space="preserve">) seismicity will be induced. However such events </w:t>
      </w:r>
      <w:r w:rsidR="00FD338C" w:rsidRPr="00642A5D">
        <w:rPr>
          <w:lang w:val="en-AU" w:eastAsia="en-US"/>
        </w:rPr>
        <w:t>will not</w:t>
      </w:r>
      <w:r w:rsidRPr="00642A5D">
        <w:rPr>
          <w:lang w:val="en-AU" w:eastAsia="en-US"/>
        </w:rPr>
        <w:t xml:space="preserve"> be felt by individuals and are of low consequence to people and structures. As such, the overall risk posed by such events is low. In contrast, the likelihood of hydraulic fracture induced seismic events large enough to be felt by an individual is highly remote. In a global context, of the tens of thousands of hydraulic fracture stimulations that have occurred, two reports of induced seismicity felt by an individual have been confirmed. Furthermore, the maximum magnitude of these events was 2.3 and 3.8</w:t>
      </w:r>
      <w:r w:rsidR="008C08D5">
        <w:rPr>
          <w:lang w:val="en-AU" w:eastAsia="en-US"/>
        </w:rPr>
        <w:t> </w:t>
      </w:r>
      <w:r w:rsidR="008C08D5" w:rsidRPr="00642A5D">
        <w:rPr>
          <w:lang w:val="en-AU" w:eastAsia="en-US"/>
        </w:rPr>
        <w:t>M</w:t>
      </w:r>
      <w:r w:rsidR="008C08D5" w:rsidRPr="00642A5D">
        <w:rPr>
          <w:vertAlign w:val="subscript"/>
          <w:lang w:val="en-AU" w:eastAsia="en-US"/>
        </w:rPr>
        <w:t>L</w:t>
      </w:r>
      <w:r w:rsidRPr="00642A5D">
        <w:rPr>
          <w:lang w:val="en-AU" w:eastAsia="en-US"/>
        </w:rPr>
        <w:t xml:space="preserve">. </w:t>
      </w:r>
      <w:r w:rsidR="008C08D5">
        <w:rPr>
          <w:lang w:val="en-AU" w:eastAsia="en-US"/>
        </w:rPr>
        <w:t>T</w:t>
      </w:r>
      <w:r w:rsidRPr="00642A5D">
        <w:rPr>
          <w:lang w:val="en-AU" w:eastAsia="en-US"/>
        </w:rPr>
        <w:t xml:space="preserve">he overall risk of inducing moderate to high seismic events by hydraulic fracturing in the </w:t>
      </w:r>
      <w:r w:rsidR="007C4916">
        <w:rPr>
          <w:lang w:val="en-AU" w:eastAsia="en-US"/>
        </w:rPr>
        <w:t>Otway region</w:t>
      </w:r>
      <w:r w:rsidRPr="00642A5D">
        <w:rPr>
          <w:lang w:val="en-AU" w:eastAsia="en-US"/>
        </w:rPr>
        <w:t xml:space="preserve"> is </w:t>
      </w:r>
      <w:r w:rsidR="008C08D5">
        <w:rPr>
          <w:lang w:val="en-AU" w:eastAsia="en-US"/>
        </w:rPr>
        <w:t xml:space="preserve">therefore assessed as </w:t>
      </w:r>
      <w:r w:rsidRPr="00642A5D">
        <w:rPr>
          <w:lang w:val="en-AU" w:eastAsia="en-US"/>
        </w:rPr>
        <w:t>low.</w:t>
      </w:r>
    </w:p>
    <w:p w14:paraId="0767BAA9" w14:textId="1185EF6B" w:rsidR="00AE379D" w:rsidRPr="00642A5D" w:rsidRDefault="005707ED" w:rsidP="00AE379D">
      <w:pPr>
        <w:pStyle w:val="Head2xx"/>
      </w:pPr>
      <w:bookmarkStart w:id="661" w:name="_Toc406764526"/>
      <w:bookmarkStart w:id="662" w:name="_Toc420570312"/>
      <w:bookmarkStart w:id="663" w:name="_Toc420571508"/>
      <w:bookmarkStart w:id="664" w:name="_Toc420572146"/>
      <w:bookmarkStart w:id="665" w:name="_Toc296767004"/>
      <w:bookmarkStart w:id="666" w:name="_Toc422927928"/>
      <w:r>
        <w:t>7.4</w:t>
      </w:r>
      <w:r>
        <w:tab/>
      </w:r>
      <w:r w:rsidR="00AE379D" w:rsidRPr="00642A5D">
        <w:t>Land subsidence</w:t>
      </w:r>
      <w:bookmarkEnd w:id="661"/>
      <w:bookmarkEnd w:id="662"/>
      <w:bookmarkEnd w:id="663"/>
      <w:bookmarkEnd w:id="664"/>
      <w:bookmarkEnd w:id="665"/>
      <w:bookmarkEnd w:id="666"/>
    </w:p>
    <w:p w14:paraId="3170A888" w14:textId="2507C9CD" w:rsidR="00AE379D" w:rsidRPr="00642A5D" w:rsidRDefault="00AE379D">
      <w:pPr>
        <w:rPr>
          <w:lang w:val="en-AU" w:eastAsia="en-US"/>
        </w:rPr>
      </w:pPr>
      <w:r w:rsidRPr="00642A5D">
        <w:rPr>
          <w:lang w:val="en-AU" w:eastAsia="en-US"/>
        </w:rPr>
        <w:t>Land subsidence is a geomechanical response to reduced stress in aquifers, which is bought about by groundwater pressure decline. The key factors that influence and control land subsidence are understood, but how these factors are present across the region varies. The key factors that affect the potential for land subsidence are</w:t>
      </w:r>
      <w:r w:rsidR="00BA7B8C">
        <w:rPr>
          <w:lang w:val="en-AU" w:eastAsia="en-US"/>
        </w:rPr>
        <w:t xml:space="preserve"> as follows.</w:t>
      </w:r>
      <w:r w:rsidR="009A72C5">
        <w:rPr>
          <w:lang w:val="en-AU" w:eastAsia="en-US"/>
        </w:rPr>
        <w:t xml:space="preserve"> </w:t>
      </w:r>
    </w:p>
    <w:p w14:paraId="47718974" w14:textId="15A783DD" w:rsidR="008C08D5" w:rsidRDefault="00AE379D" w:rsidP="00C150BC">
      <w:pPr>
        <w:pStyle w:val="Heading4"/>
        <w:rPr>
          <w:lang w:val="en-AU" w:eastAsia="en-US"/>
        </w:rPr>
      </w:pPr>
      <w:r w:rsidRPr="00642A5D">
        <w:rPr>
          <w:lang w:val="en-AU" w:eastAsia="en-US"/>
        </w:rPr>
        <w:t xml:space="preserve">Aquifer and </w:t>
      </w:r>
      <w:r w:rsidR="008C08D5">
        <w:rPr>
          <w:lang w:val="en-AU" w:eastAsia="en-US"/>
        </w:rPr>
        <w:t>a</w:t>
      </w:r>
      <w:r w:rsidRPr="00642A5D">
        <w:rPr>
          <w:lang w:val="en-AU" w:eastAsia="en-US"/>
        </w:rPr>
        <w:t xml:space="preserve">quitard </w:t>
      </w:r>
      <w:r w:rsidR="008C08D5">
        <w:rPr>
          <w:lang w:val="en-AU" w:eastAsia="en-US"/>
        </w:rPr>
        <w:t>c</w:t>
      </w:r>
      <w:r w:rsidRPr="00642A5D">
        <w:rPr>
          <w:lang w:val="en-AU" w:eastAsia="en-US"/>
        </w:rPr>
        <w:t>ompressi</w:t>
      </w:r>
      <w:r w:rsidR="008C08D5">
        <w:rPr>
          <w:lang w:val="en-AU" w:eastAsia="en-US"/>
        </w:rPr>
        <w:t>bi</w:t>
      </w:r>
      <w:r w:rsidRPr="00642A5D">
        <w:rPr>
          <w:lang w:val="en-AU" w:eastAsia="en-US"/>
        </w:rPr>
        <w:t>lity</w:t>
      </w:r>
    </w:p>
    <w:p w14:paraId="49FE39A7" w14:textId="567A6F47" w:rsidR="00AE379D" w:rsidRPr="00642A5D" w:rsidRDefault="00AE379D">
      <w:pPr>
        <w:rPr>
          <w:lang w:val="en-AU" w:eastAsia="en-US"/>
        </w:rPr>
      </w:pPr>
      <w:r w:rsidRPr="00642A5D">
        <w:rPr>
          <w:lang w:val="en-AU" w:eastAsia="en-US"/>
        </w:rPr>
        <w:t>Little is known of the actual sediment compressibility characteristics in the broader Otway region. From the Barwon Downs case study the Gellibrand Marl (which is the major regional aquitard) is over-consolidated and recompression ratio values are available from Laboratory testing. It can reasonably be assumed that these values can be taken to represent the Gellibrand Marl more widely.</w:t>
      </w:r>
      <w:r w:rsidR="009A72C5">
        <w:rPr>
          <w:lang w:val="en-AU" w:eastAsia="en-US"/>
        </w:rPr>
        <w:t xml:space="preserve"> </w:t>
      </w:r>
      <w:r w:rsidRPr="00642A5D">
        <w:rPr>
          <w:lang w:val="en-AU" w:eastAsia="en-US"/>
        </w:rPr>
        <w:t>It can be reasonably assumed that the bulk of the aquifer sequence below the Gellibrand Marl is over-consolidated. Uncertainty in the compressibility of sediments is a significant barrier to any quantitative assessment of subsidence. In the absence of any other more relevant values, the values adopted for Barwon Downs appear to be the best available.</w:t>
      </w:r>
    </w:p>
    <w:p w14:paraId="1D164B29" w14:textId="0DB3C178" w:rsidR="008C08D5" w:rsidRDefault="00AE379D" w:rsidP="00C150BC">
      <w:pPr>
        <w:pStyle w:val="Heading4"/>
        <w:rPr>
          <w:lang w:val="en-AU" w:eastAsia="en-US"/>
        </w:rPr>
      </w:pPr>
      <w:r w:rsidRPr="00642A5D">
        <w:rPr>
          <w:lang w:val="en-AU" w:eastAsia="en-US"/>
        </w:rPr>
        <w:t xml:space="preserve">Ratio of </w:t>
      </w:r>
      <w:r w:rsidR="008C08D5">
        <w:rPr>
          <w:lang w:val="en-AU" w:eastAsia="en-US"/>
        </w:rPr>
        <w:t>c</w:t>
      </w:r>
      <w:r w:rsidRPr="00642A5D">
        <w:rPr>
          <w:lang w:val="en-AU" w:eastAsia="en-US"/>
        </w:rPr>
        <w:t xml:space="preserve">lay to </w:t>
      </w:r>
      <w:r w:rsidR="008C08D5">
        <w:rPr>
          <w:lang w:val="en-AU" w:eastAsia="en-US"/>
        </w:rPr>
        <w:t>s</w:t>
      </w:r>
      <w:r w:rsidRPr="00642A5D">
        <w:rPr>
          <w:lang w:val="en-AU" w:eastAsia="en-US"/>
        </w:rPr>
        <w:t>and</w:t>
      </w:r>
    </w:p>
    <w:p w14:paraId="38F6AA1D" w14:textId="4411E10D" w:rsidR="00AE379D" w:rsidRPr="00642A5D" w:rsidRDefault="00AE379D">
      <w:pPr>
        <w:rPr>
          <w:lang w:val="en-AU" w:eastAsia="en-US"/>
        </w:rPr>
      </w:pPr>
      <w:r w:rsidRPr="00642A5D">
        <w:rPr>
          <w:lang w:val="en-AU" w:eastAsia="en-US"/>
        </w:rPr>
        <w:t xml:space="preserve">In the Otway region the stratigraphy is well defined for the Tertiary and earlier sediments. Stratigraphic profiles in the upper part of the sequence are reasonably well known. </w:t>
      </w:r>
    </w:p>
    <w:p w14:paraId="53E8260D" w14:textId="77777777" w:rsidR="00E7436B" w:rsidRDefault="00E7436B">
      <w:pPr>
        <w:spacing w:after="200"/>
        <w:rPr>
          <w:b/>
          <w:lang w:val="en-AU" w:eastAsia="en-US"/>
        </w:rPr>
      </w:pPr>
      <w:r>
        <w:rPr>
          <w:lang w:val="en-AU" w:eastAsia="en-US"/>
        </w:rPr>
        <w:br w:type="page"/>
      </w:r>
    </w:p>
    <w:p w14:paraId="7D063279" w14:textId="41E39C18" w:rsidR="008C08D5" w:rsidRDefault="00AE379D" w:rsidP="00C150BC">
      <w:pPr>
        <w:pStyle w:val="Heading4"/>
        <w:rPr>
          <w:lang w:val="en-AU" w:eastAsia="en-US"/>
        </w:rPr>
      </w:pPr>
      <w:r w:rsidRPr="00642A5D">
        <w:rPr>
          <w:lang w:val="en-AU" w:eastAsia="en-US"/>
        </w:rPr>
        <w:t xml:space="preserve">Timing of </w:t>
      </w:r>
      <w:r w:rsidR="008C08D5">
        <w:rPr>
          <w:lang w:val="en-AU" w:eastAsia="en-US"/>
        </w:rPr>
        <w:t>d</w:t>
      </w:r>
      <w:r w:rsidRPr="00642A5D">
        <w:rPr>
          <w:lang w:val="en-AU" w:eastAsia="en-US"/>
        </w:rPr>
        <w:t>rawdown</w:t>
      </w:r>
    </w:p>
    <w:p w14:paraId="69E8EA55" w14:textId="23E8E265" w:rsidR="00AE379D" w:rsidRPr="00642A5D" w:rsidRDefault="00AE379D">
      <w:pPr>
        <w:rPr>
          <w:lang w:val="en-AU" w:eastAsia="en-US"/>
        </w:rPr>
      </w:pPr>
      <w:r w:rsidRPr="00642A5D">
        <w:rPr>
          <w:lang w:val="en-AU" w:eastAsia="en-US"/>
        </w:rPr>
        <w:t>The time of drawdown and recovery is moderately well known from predictive tools. Estimates for onshore gas development are over 30 years and water level recovery in the aquifer sequence (as compared with the gas source rocks) is likely to be in the order of a decade or so. This parameter is reasonably well known, when compared with other parameters.</w:t>
      </w:r>
    </w:p>
    <w:p w14:paraId="2772A9E1" w14:textId="77777777" w:rsidR="00AE379D" w:rsidRPr="00642A5D" w:rsidRDefault="00AE379D" w:rsidP="00A35B08">
      <w:pPr>
        <w:rPr>
          <w:lang w:val="en-AU" w:eastAsia="en-US"/>
        </w:rPr>
      </w:pPr>
      <w:r w:rsidRPr="00642A5D">
        <w:rPr>
          <w:b/>
          <w:lang w:val="en-AU" w:eastAsia="en-US"/>
        </w:rPr>
        <w:t>Consolidation History</w:t>
      </w:r>
      <w:r w:rsidRPr="00642A5D">
        <w:rPr>
          <w:lang w:val="en-AU" w:eastAsia="en-US"/>
        </w:rPr>
        <w:t>: Prior consolidation and compaction history of sediments is important when predicting subsidence as sediments behave differently to the stress of water withdrawal depending on whether the stresses are greater than or less than the maximum pressure that has been previously applied to the sediments. Detailed predictions of subsidence in the Otway region are not possible as the pre-consolidation history is key to predicting the likely subsidence and yet there no known data from the broader sedimentary sequence in the Otway area. Assumptions as to the stress history of the sediments can be made, but these are assumptions with little data to support them. The single relevant observation is that the Barwon Downs area is responding in a way that is consistent with the sediments being over-consolidated with respect to the current day extraction stresses.</w:t>
      </w:r>
    </w:p>
    <w:p w14:paraId="74EBDEE6" w14:textId="77777777" w:rsidR="00AE379D" w:rsidRDefault="00AE379D">
      <w:pPr>
        <w:rPr>
          <w:lang w:val="en-AU" w:eastAsia="en-US"/>
        </w:rPr>
      </w:pPr>
      <w:r w:rsidRPr="00642A5D">
        <w:rPr>
          <w:lang w:val="en-AU" w:eastAsia="en-US"/>
        </w:rPr>
        <w:t xml:space="preserve">Based on the estimated low to moderate drawdown for combined gas development and groundwater pumping and extrapolating from the parameter data available for Barwon Downs the risk of land subsidence from combined gas development and groundwater pumping is generally low, with small areas of moderate risk located in areas of </w:t>
      </w:r>
      <w:r w:rsidR="00C6709E" w:rsidRPr="00642A5D">
        <w:rPr>
          <w:lang w:val="en-AU" w:eastAsia="en-US"/>
        </w:rPr>
        <w:t xml:space="preserve">(existing) </w:t>
      </w:r>
      <w:r w:rsidRPr="00642A5D">
        <w:rPr>
          <w:lang w:val="en-AU" w:eastAsia="en-US"/>
        </w:rPr>
        <w:t>heavy groundwater pumping.</w:t>
      </w:r>
    </w:p>
    <w:p w14:paraId="17D3064F" w14:textId="5A3E974A" w:rsidR="00C7773D" w:rsidRDefault="005707ED" w:rsidP="00C7773D">
      <w:pPr>
        <w:pStyle w:val="Head2xx"/>
      </w:pPr>
      <w:bookmarkStart w:id="667" w:name="_Toc418163848"/>
      <w:bookmarkStart w:id="668" w:name="_Toc420570313"/>
      <w:bookmarkStart w:id="669" w:name="_Toc420571509"/>
      <w:bookmarkStart w:id="670" w:name="_Toc420572147"/>
      <w:bookmarkStart w:id="671" w:name="_Toc296767005"/>
      <w:bookmarkStart w:id="672" w:name="_Toc422927929"/>
      <w:r>
        <w:t>7.5</w:t>
      </w:r>
      <w:r>
        <w:tab/>
      </w:r>
      <w:r w:rsidR="00C7773D">
        <w:t xml:space="preserve">Summary of </w:t>
      </w:r>
      <w:r w:rsidR="001C54D6">
        <w:t xml:space="preserve">potential </w:t>
      </w:r>
      <w:bookmarkEnd w:id="667"/>
      <w:r w:rsidR="001C54D6">
        <w:t>impacts</w:t>
      </w:r>
      <w:bookmarkEnd w:id="668"/>
      <w:bookmarkEnd w:id="669"/>
      <w:bookmarkEnd w:id="670"/>
      <w:bookmarkEnd w:id="671"/>
      <w:bookmarkEnd w:id="672"/>
    </w:p>
    <w:p w14:paraId="15A5B5C8" w14:textId="580EB15D" w:rsidR="00C7773D" w:rsidRDefault="008C08D5">
      <w:pPr>
        <w:rPr>
          <w:rFonts w:eastAsia="Calibri" w:cs="Arial"/>
          <w:lang w:val="en-AU" w:eastAsia="en-US"/>
        </w:rPr>
      </w:pPr>
      <w:r>
        <w:t xml:space="preserve">A </w:t>
      </w:r>
      <w:r w:rsidR="00C7773D">
        <w:t xml:space="preserve">summary of the potential impacts </w:t>
      </w:r>
      <w:r w:rsidR="00C7773D" w:rsidRPr="00880B07">
        <w:rPr>
          <w:rFonts w:eastAsia="Calibri" w:cs="Arial"/>
          <w:lang w:val="en-AU" w:eastAsia="en-US"/>
        </w:rPr>
        <w:t xml:space="preserve">for </w:t>
      </w:r>
      <w:r w:rsidR="00C7773D">
        <w:rPr>
          <w:rFonts w:eastAsia="Calibri" w:cs="Arial"/>
          <w:lang w:val="en-AU" w:eastAsia="en-US"/>
        </w:rPr>
        <w:t>aquifer depressurisation</w:t>
      </w:r>
      <w:r w:rsidR="00C7773D">
        <w:t xml:space="preserve"> from onshore natural gas development in the Otway region </w:t>
      </w:r>
      <w:r w:rsidR="00C7773D" w:rsidRPr="00AD2520">
        <w:t xml:space="preserve">is provided in </w:t>
      </w:r>
      <w:r w:rsidR="001D5761">
        <w:rPr>
          <w:rFonts w:eastAsia="Calibri" w:cs="Arial"/>
          <w:lang w:val="en-AU" w:eastAsia="en-US"/>
        </w:rPr>
        <w:fldChar w:fldCharType="begin"/>
      </w:r>
      <w:r w:rsidR="001D5761">
        <w:instrText xml:space="preserve"> REF _Ref418611267 \h </w:instrText>
      </w:r>
      <w:r w:rsidR="001D5761">
        <w:rPr>
          <w:rFonts w:eastAsia="Calibri" w:cs="Arial"/>
          <w:lang w:val="en-AU" w:eastAsia="en-US"/>
        </w:rPr>
      </w:r>
      <w:r w:rsidR="001D5761">
        <w:rPr>
          <w:rFonts w:eastAsia="Calibri" w:cs="Arial"/>
          <w:lang w:val="en-AU" w:eastAsia="en-US"/>
        </w:rPr>
        <w:fldChar w:fldCharType="separate"/>
      </w:r>
      <w:r w:rsidR="00171A5E" w:rsidRPr="00642A5D">
        <w:t xml:space="preserve">Table </w:t>
      </w:r>
      <w:r w:rsidR="00171A5E">
        <w:rPr>
          <w:noProof/>
        </w:rPr>
        <w:t>13</w:t>
      </w:r>
      <w:r w:rsidR="001D5761">
        <w:rPr>
          <w:rFonts w:eastAsia="Calibri" w:cs="Arial"/>
          <w:lang w:val="en-AU" w:eastAsia="en-US"/>
        </w:rPr>
        <w:fldChar w:fldCharType="end"/>
      </w:r>
      <w:r w:rsidR="00BA7B8C">
        <w:rPr>
          <w:rFonts w:eastAsia="Calibri" w:cs="Arial"/>
          <w:lang w:val="en-AU" w:eastAsia="en-US"/>
        </w:rPr>
        <w:t>.</w:t>
      </w:r>
    </w:p>
    <w:p w14:paraId="37FD1AD6" w14:textId="3FD08F49" w:rsidR="00C7773D" w:rsidRPr="00224838" w:rsidRDefault="00C7773D" w:rsidP="002D44DF">
      <w:pPr>
        <w:pStyle w:val="Tableheading"/>
      </w:pPr>
      <w:bookmarkStart w:id="673" w:name="_Ref418503981"/>
      <w:bookmarkStart w:id="674" w:name="_Ref418611267"/>
      <w:bookmarkStart w:id="675" w:name="_Toc296770893"/>
      <w:r w:rsidRPr="00642A5D">
        <w:t xml:space="preserve">Table </w:t>
      </w:r>
      <w:r w:rsidR="000D7126">
        <w:fldChar w:fldCharType="begin"/>
      </w:r>
      <w:r w:rsidR="000D7126">
        <w:instrText xml:space="preserve"> SEQ Table \* ARABIC </w:instrText>
      </w:r>
      <w:r w:rsidR="000D7126">
        <w:fldChar w:fldCharType="separate"/>
      </w:r>
      <w:r w:rsidR="00171A5E">
        <w:rPr>
          <w:noProof/>
        </w:rPr>
        <w:t>13</w:t>
      </w:r>
      <w:r w:rsidR="000D7126">
        <w:rPr>
          <w:noProof/>
        </w:rPr>
        <w:fldChar w:fldCharType="end"/>
      </w:r>
      <w:bookmarkEnd w:id="673"/>
      <w:bookmarkEnd w:id="674"/>
      <w:r w:rsidR="008B076F">
        <w:rPr>
          <w:noProof/>
        </w:rPr>
        <w:t>:</w:t>
      </w:r>
      <w:r w:rsidRPr="00224838">
        <w:t xml:space="preserve"> </w:t>
      </w:r>
      <w:r w:rsidR="008C08D5">
        <w:t xml:space="preserve"> </w:t>
      </w:r>
      <w:r w:rsidR="00D1776E">
        <w:t>P</w:t>
      </w:r>
      <w:r w:rsidRPr="00224838">
        <w:t xml:space="preserve">otential for impact due to aquifer depressurisation from onshore natural gas development in the </w:t>
      </w:r>
      <w:r>
        <w:t>Otway</w:t>
      </w:r>
      <w:r w:rsidRPr="00224838">
        <w:t xml:space="preserve"> region</w:t>
      </w:r>
      <w:r>
        <w:t>.</w:t>
      </w:r>
      <w:bookmarkEnd w:id="675"/>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EC6E6"/>
        <w:tblLook w:val="04A0" w:firstRow="1" w:lastRow="0" w:firstColumn="1" w:lastColumn="0" w:noHBand="0" w:noVBand="1"/>
      </w:tblPr>
      <w:tblGrid>
        <w:gridCol w:w="2235"/>
        <w:gridCol w:w="2457"/>
        <w:gridCol w:w="2457"/>
        <w:gridCol w:w="2457"/>
      </w:tblGrid>
      <w:tr w:rsidR="00C7773D" w:rsidRPr="00642A5D" w14:paraId="262AFB18" w14:textId="77777777" w:rsidTr="002C1788">
        <w:tc>
          <w:tcPr>
            <w:tcW w:w="2235" w:type="dxa"/>
            <w:vMerge w:val="restart"/>
            <w:tcBorders>
              <w:top w:val="nil"/>
              <w:left w:val="nil"/>
              <w:bottom w:val="single" w:sz="4" w:space="0" w:color="FFFFFF"/>
              <w:right w:val="single" w:sz="4" w:space="0" w:color="FFFFFF"/>
            </w:tcBorders>
            <w:shd w:val="clear" w:color="auto" w:fill="005A97"/>
            <w:vAlign w:val="center"/>
            <w:hideMark/>
          </w:tcPr>
          <w:p w14:paraId="03FB5485" w14:textId="46B71174" w:rsidR="00C7773D" w:rsidRPr="00642A5D" w:rsidRDefault="000A6EC5" w:rsidP="001309DA">
            <w:pPr>
              <w:pStyle w:val="TableHeaderrow"/>
              <w:rPr>
                <w:iCs/>
                <w:color w:val="AEC12D"/>
                <w:sz w:val="32"/>
                <w:szCs w:val="28"/>
              </w:rPr>
            </w:pPr>
            <w:r>
              <w:t>Natural gas type</w:t>
            </w:r>
          </w:p>
        </w:tc>
        <w:tc>
          <w:tcPr>
            <w:tcW w:w="7371" w:type="dxa"/>
            <w:gridSpan w:val="3"/>
            <w:tcBorders>
              <w:top w:val="nil"/>
              <w:left w:val="single" w:sz="4" w:space="0" w:color="FFFFFF"/>
              <w:bottom w:val="single" w:sz="4" w:space="0" w:color="FFFFFF"/>
              <w:right w:val="nil"/>
            </w:tcBorders>
            <w:shd w:val="clear" w:color="auto" w:fill="005A97"/>
            <w:vAlign w:val="center"/>
            <w:hideMark/>
          </w:tcPr>
          <w:p w14:paraId="5BE61E73" w14:textId="77777777" w:rsidR="00C7773D" w:rsidRPr="00224838" w:rsidRDefault="00C7773D" w:rsidP="001309DA">
            <w:pPr>
              <w:pStyle w:val="TableHeaderrow"/>
              <w:jc w:val="center"/>
              <w:rPr>
                <w:iCs/>
                <w:color w:val="AEC12D"/>
                <w:sz w:val="32"/>
                <w:szCs w:val="28"/>
              </w:rPr>
            </w:pPr>
            <w:r w:rsidRPr="00224838">
              <w:t>Aquifer depressurisation</w:t>
            </w:r>
          </w:p>
        </w:tc>
      </w:tr>
      <w:tr w:rsidR="008C08D5" w:rsidRPr="00642A5D" w14:paraId="6C8719EE" w14:textId="77777777" w:rsidTr="002C1788">
        <w:tc>
          <w:tcPr>
            <w:tcW w:w="2235" w:type="dxa"/>
            <w:vMerge/>
            <w:tcBorders>
              <w:top w:val="single" w:sz="4" w:space="0" w:color="FFFFFF"/>
              <w:left w:val="nil"/>
              <w:bottom w:val="single" w:sz="4" w:space="0" w:color="005A97"/>
              <w:right w:val="single" w:sz="4" w:space="0" w:color="FFFFFF"/>
            </w:tcBorders>
            <w:shd w:val="clear" w:color="auto" w:fill="005A97"/>
            <w:vAlign w:val="center"/>
            <w:hideMark/>
          </w:tcPr>
          <w:p w14:paraId="59EF8EF9" w14:textId="77777777" w:rsidR="00C7773D" w:rsidRPr="00642A5D" w:rsidRDefault="00C7773D" w:rsidP="00C150BC">
            <w:pPr>
              <w:pStyle w:val="TableHeaderrow"/>
            </w:pPr>
          </w:p>
        </w:tc>
        <w:tc>
          <w:tcPr>
            <w:tcW w:w="2457" w:type="dxa"/>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564CDCB1" w14:textId="782572B8" w:rsidR="00C7773D" w:rsidRPr="00C150BC" w:rsidRDefault="00C7773D" w:rsidP="00C150BC">
            <w:pPr>
              <w:pStyle w:val="TableHeaderrow"/>
              <w:rPr>
                <w:bCs w:val="0"/>
                <w:iCs/>
                <w:color w:val="AEC12D"/>
              </w:rPr>
            </w:pPr>
            <w:r w:rsidRPr="00C150BC">
              <w:t>Groundwater</w:t>
            </w:r>
          </w:p>
        </w:tc>
        <w:tc>
          <w:tcPr>
            <w:tcW w:w="2457" w:type="dxa"/>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5DBB6444" w14:textId="77777777" w:rsidR="00C7773D" w:rsidRPr="00C150BC" w:rsidRDefault="00C7773D" w:rsidP="00C150BC">
            <w:pPr>
              <w:pStyle w:val="TableHeaderrow"/>
              <w:rPr>
                <w:bCs w:val="0"/>
                <w:iCs/>
                <w:color w:val="AEC12D"/>
              </w:rPr>
            </w:pPr>
            <w:r w:rsidRPr="00C150BC">
              <w:t>Surface water</w:t>
            </w:r>
          </w:p>
        </w:tc>
        <w:tc>
          <w:tcPr>
            <w:tcW w:w="2457" w:type="dxa"/>
            <w:tcBorders>
              <w:top w:val="single" w:sz="4" w:space="0" w:color="FFFFFF"/>
              <w:left w:val="single" w:sz="4" w:space="0" w:color="FFFFFF"/>
              <w:bottom w:val="single" w:sz="4" w:space="0" w:color="005A97"/>
              <w:right w:val="nil"/>
            </w:tcBorders>
            <w:shd w:val="clear" w:color="auto" w:fill="005A97"/>
            <w:vAlign w:val="center"/>
            <w:hideMark/>
          </w:tcPr>
          <w:p w14:paraId="7902691B" w14:textId="4FAEE60B" w:rsidR="00C7773D" w:rsidRPr="00C150BC" w:rsidRDefault="00C7773D" w:rsidP="00C150BC">
            <w:pPr>
              <w:pStyle w:val="TableHeaderrow"/>
              <w:rPr>
                <w:bCs w:val="0"/>
                <w:iCs/>
                <w:color w:val="AEC12D"/>
              </w:rPr>
            </w:pPr>
            <w:r w:rsidRPr="00C150BC">
              <w:t>Ecosystems</w:t>
            </w:r>
          </w:p>
        </w:tc>
      </w:tr>
      <w:tr w:rsidR="008C08D5" w:rsidRPr="00642A5D" w14:paraId="2071312C" w14:textId="77777777" w:rsidTr="002C1788">
        <w:tc>
          <w:tcPr>
            <w:tcW w:w="2235" w:type="dxa"/>
            <w:tcBorders>
              <w:top w:val="single" w:sz="4" w:space="0" w:color="005A97"/>
              <w:left w:val="nil"/>
              <w:bottom w:val="single" w:sz="4" w:space="0" w:color="005A97"/>
              <w:right w:val="single" w:sz="4" w:space="0" w:color="005A97"/>
            </w:tcBorders>
            <w:shd w:val="clear" w:color="auto" w:fill="auto"/>
            <w:vAlign w:val="center"/>
            <w:hideMark/>
          </w:tcPr>
          <w:p w14:paraId="15FAB9AC" w14:textId="77777777" w:rsidR="00C7773D" w:rsidRPr="00642A5D" w:rsidRDefault="00C7773D" w:rsidP="008C08D5">
            <w:pPr>
              <w:rPr>
                <w:rFonts w:cs="Arial"/>
                <w:bCs/>
                <w:iCs/>
                <w:color w:val="AEC12D"/>
                <w:sz w:val="32"/>
                <w:szCs w:val="28"/>
                <w:lang w:val="en-AU"/>
              </w:rPr>
            </w:pPr>
            <w:r w:rsidRPr="00642A5D">
              <w:rPr>
                <w:rFonts w:cs="Arial"/>
                <w:b/>
                <w:bCs/>
                <w:color w:val="000000"/>
                <w:sz w:val="18"/>
                <w:szCs w:val="18"/>
                <w:lang w:val="en-AU"/>
              </w:rPr>
              <w:t>Shale</w:t>
            </w:r>
          </w:p>
        </w:tc>
        <w:tc>
          <w:tcPr>
            <w:tcW w:w="2457" w:type="dxa"/>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4EB1B8DA" w14:textId="0077E632"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c>
          <w:tcPr>
            <w:tcW w:w="2457" w:type="dxa"/>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130D53F9" w14:textId="780FA5CF"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c>
          <w:tcPr>
            <w:tcW w:w="2457" w:type="dxa"/>
            <w:tcBorders>
              <w:top w:val="single" w:sz="4" w:space="0" w:color="005A97"/>
              <w:left w:val="single" w:sz="4" w:space="0" w:color="005A97"/>
              <w:bottom w:val="single" w:sz="4" w:space="0" w:color="005A97"/>
              <w:right w:val="nil"/>
            </w:tcBorders>
            <w:shd w:val="clear" w:color="auto" w:fill="auto"/>
            <w:vAlign w:val="center"/>
            <w:hideMark/>
          </w:tcPr>
          <w:p w14:paraId="015B2398" w14:textId="57C53091"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r>
      <w:tr w:rsidR="008C08D5" w:rsidRPr="00642A5D" w14:paraId="3F196182" w14:textId="77777777" w:rsidTr="002C1788">
        <w:tc>
          <w:tcPr>
            <w:tcW w:w="2235" w:type="dxa"/>
            <w:tcBorders>
              <w:top w:val="single" w:sz="4" w:space="0" w:color="005A97"/>
              <w:left w:val="nil"/>
              <w:bottom w:val="single" w:sz="4" w:space="0" w:color="005A97"/>
              <w:right w:val="single" w:sz="4" w:space="0" w:color="005A97"/>
            </w:tcBorders>
            <w:shd w:val="clear" w:color="auto" w:fill="auto"/>
            <w:vAlign w:val="center"/>
            <w:hideMark/>
          </w:tcPr>
          <w:p w14:paraId="31782C3E" w14:textId="77777777" w:rsidR="00C7773D" w:rsidRPr="00642A5D" w:rsidRDefault="00C7773D" w:rsidP="008C08D5">
            <w:pPr>
              <w:rPr>
                <w:rFonts w:cs="Arial"/>
                <w:bCs/>
                <w:iCs/>
                <w:color w:val="AEC12D"/>
                <w:sz w:val="32"/>
                <w:szCs w:val="28"/>
                <w:lang w:val="en-AU"/>
              </w:rPr>
            </w:pPr>
            <w:r w:rsidRPr="00642A5D">
              <w:rPr>
                <w:rFonts w:cs="Arial"/>
                <w:b/>
                <w:bCs/>
                <w:color w:val="000000"/>
                <w:sz w:val="18"/>
                <w:szCs w:val="18"/>
                <w:lang w:val="en-AU"/>
              </w:rPr>
              <w:t>Tight</w:t>
            </w:r>
          </w:p>
        </w:tc>
        <w:tc>
          <w:tcPr>
            <w:tcW w:w="2457" w:type="dxa"/>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6A4621E5" w14:textId="29FCF420"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c>
          <w:tcPr>
            <w:tcW w:w="2457" w:type="dxa"/>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1F8F4ECF" w14:textId="77830566"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c>
          <w:tcPr>
            <w:tcW w:w="2457" w:type="dxa"/>
            <w:tcBorders>
              <w:top w:val="single" w:sz="4" w:space="0" w:color="005A97"/>
              <w:left w:val="single" w:sz="4" w:space="0" w:color="005A97"/>
              <w:bottom w:val="single" w:sz="4" w:space="0" w:color="005A97"/>
              <w:right w:val="nil"/>
            </w:tcBorders>
            <w:shd w:val="clear" w:color="auto" w:fill="auto"/>
            <w:vAlign w:val="center"/>
            <w:hideMark/>
          </w:tcPr>
          <w:p w14:paraId="57CF19B0" w14:textId="1718E3E8"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r>
      <w:tr w:rsidR="008C08D5" w:rsidRPr="00642A5D" w14:paraId="23C35DD9" w14:textId="77777777" w:rsidTr="002C1788">
        <w:tc>
          <w:tcPr>
            <w:tcW w:w="2235" w:type="dxa"/>
            <w:tcBorders>
              <w:top w:val="single" w:sz="4" w:space="0" w:color="005A97"/>
              <w:left w:val="nil"/>
              <w:bottom w:val="single" w:sz="4" w:space="0" w:color="005A97"/>
              <w:right w:val="single" w:sz="4" w:space="0" w:color="005A97"/>
            </w:tcBorders>
            <w:shd w:val="clear" w:color="auto" w:fill="auto"/>
            <w:vAlign w:val="center"/>
            <w:hideMark/>
          </w:tcPr>
          <w:p w14:paraId="4BBE99A2" w14:textId="608E1ADC" w:rsidR="00C7773D" w:rsidRPr="00642A5D" w:rsidRDefault="00C7773D" w:rsidP="008C08D5">
            <w:pPr>
              <w:rPr>
                <w:rFonts w:cs="Arial"/>
                <w:bCs/>
                <w:iCs/>
                <w:color w:val="AEC12D"/>
                <w:sz w:val="32"/>
                <w:szCs w:val="28"/>
                <w:lang w:val="en-AU"/>
              </w:rPr>
            </w:pPr>
            <w:r w:rsidRPr="00642A5D">
              <w:rPr>
                <w:rFonts w:cs="Arial"/>
                <w:b/>
                <w:bCs/>
                <w:color w:val="000000"/>
                <w:sz w:val="18"/>
                <w:szCs w:val="18"/>
                <w:lang w:val="en-AU"/>
              </w:rPr>
              <w:t xml:space="preserve">Coal </w:t>
            </w:r>
            <w:r w:rsidR="008C08D5">
              <w:rPr>
                <w:rFonts w:cs="Arial"/>
                <w:b/>
                <w:bCs/>
                <w:color w:val="000000"/>
                <w:sz w:val="18"/>
                <w:szCs w:val="18"/>
                <w:lang w:val="en-AU"/>
              </w:rPr>
              <w:t>s</w:t>
            </w:r>
            <w:r w:rsidRPr="00642A5D">
              <w:rPr>
                <w:rFonts w:cs="Arial"/>
                <w:b/>
                <w:bCs/>
                <w:color w:val="000000"/>
                <w:sz w:val="18"/>
                <w:szCs w:val="18"/>
                <w:lang w:val="en-AU"/>
              </w:rPr>
              <w:t xml:space="preserve">eam </w:t>
            </w:r>
            <w:r w:rsidR="008C08D5">
              <w:rPr>
                <w:rFonts w:cs="Arial"/>
                <w:b/>
                <w:bCs/>
                <w:color w:val="000000"/>
                <w:sz w:val="18"/>
                <w:szCs w:val="18"/>
                <w:lang w:val="en-AU"/>
              </w:rPr>
              <w:t>g</w:t>
            </w:r>
            <w:r w:rsidRPr="00642A5D">
              <w:rPr>
                <w:rFonts w:cs="Arial"/>
                <w:b/>
                <w:bCs/>
                <w:color w:val="000000"/>
                <w:sz w:val="18"/>
                <w:szCs w:val="18"/>
                <w:lang w:val="en-AU"/>
              </w:rPr>
              <w:t xml:space="preserve">as </w:t>
            </w:r>
          </w:p>
        </w:tc>
        <w:tc>
          <w:tcPr>
            <w:tcW w:w="2457" w:type="dxa"/>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6A18BAC9" w14:textId="464D519D"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c>
          <w:tcPr>
            <w:tcW w:w="2457" w:type="dxa"/>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51C2902D" w14:textId="018A6DAC"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c>
          <w:tcPr>
            <w:tcW w:w="2457" w:type="dxa"/>
            <w:tcBorders>
              <w:top w:val="single" w:sz="4" w:space="0" w:color="005A97"/>
              <w:left w:val="single" w:sz="4" w:space="0" w:color="005A97"/>
              <w:bottom w:val="single" w:sz="4" w:space="0" w:color="005A97"/>
              <w:right w:val="nil"/>
            </w:tcBorders>
            <w:shd w:val="clear" w:color="auto" w:fill="auto"/>
            <w:vAlign w:val="center"/>
            <w:hideMark/>
          </w:tcPr>
          <w:p w14:paraId="3022026A" w14:textId="59993B8B" w:rsidR="00C7773D" w:rsidRPr="00642A5D" w:rsidRDefault="00C7773D" w:rsidP="00C150BC">
            <w:pPr>
              <w:jc w:val="center"/>
              <w:rPr>
                <w:rFonts w:cs="Arial"/>
                <w:bCs/>
                <w:iCs/>
                <w:color w:val="AEC12D"/>
                <w:sz w:val="32"/>
                <w:szCs w:val="28"/>
                <w:lang w:val="en-AU"/>
              </w:rPr>
            </w:pPr>
            <w:r w:rsidRPr="00642A5D">
              <w:rPr>
                <w:rFonts w:cs="Arial"/>
                <w:color w:val="000000"/>
                <w:sz w:val="18"/>
                <w:szCs w:val="18"/>
                <w:lang w:val="en-AU"/>
              </w:rPr>
              <w:t>L</w:t>
            </w:r>
            <w:r w:rsidR="008C08D5">
              <w:rPr>
                <w:rFonts w:cs="Arial"/>
                <w:color w:val="000000"/>
                <w:sz w:val="18"/>
                <w:szCs w:val="18"/>
                <w:lang w:val="en-AU"/>
              </w:rPr>
              <w:t>ow</w:t>
            </w:r>
          </w:p>
        </w:tc>
      </w:tr>
      <w:tr w:rsidR="008C08D5" w:rsidRPr="00642A5D" w14:paraId="13186AFF" w14:textId="77777777" w:rsidTr="002C1788">
        <w:tc>
          <w:tcPr>
            <w:tcW w:w="2235" w:type="dxa"/>
            <w:tcBorders>
              <w:top w:val="single" w:sz="4" w:space="0" w:color="005A97"/>
              <w:left w:val="nil"/>
              <w:bottom w:val="single" w:sz="4" w:space="0" w:color="005A97"/>
              <w:right w:val="single" w:sz="4" w:space="0" w:color="005A97"/>
            </w:tcBorders>
            <w:shd w:val="clear" w:color="auto" w:fill="auto"/>
            <w:vAlign w:val="center"/>
            <w:hideMark/>
          </w:tcPr>
          <w:p w14:paraId="18F4104C" w14:textId="77777777" w:rsidR="00C7773D" w:rsidRPr="00642A5D" w:rsidRDefault="00C7773D" w:rsidP="008C08D5">
            <w:pPr>
              <w:rPr>
                <w:rFonts w:cs="Arial"/>
                <w:bCs/>
                <w:iCs/>
                <w:color w:val="AEC12D"/>
                <w:sz w:val="32"/>
                <w:szCs w:val="28"/>
                <w:lang w:val="en-AU"/>
              </w:rPr>
            </w:pPr>
            <w:r w:rsidRPr="002A14FD">
              <w:rPr>
                <w:rFonts w:cs="Arial"/>
                <w:b/>
                <w:bCs/>
                <w:color w:val="000000"/>
                <w:sz w:val="18"/>
                <w:szCs w:val="18"/>
                <w:lang w:val="en-AU"/>
              </w:rPr>
              <w:t>Conventional</w:t>
            </w:r>
          </w:p>
        </w:tc>
        <w:tc>
          <w:tcPr>
            <w:tcW w:w="2457" w:type="dxa"/>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6621EB81" w14:textId="55083C1D" w:rsidR="00C7773D" w:rsidRPr="00642A5D" w:rsidRDefault="00C7773D" w:rsidP="00C150BC">
            <w:pPr>
              <w:jc w:val="center"/>
              <w:rPr>
                <w:rFonts w:cs="Arial"/>
                <w:bCs/>
                <w:iCs/>
                <w:color w:val="AEC12D"/>
                <w:sz w:val="32"/>
                <w:szCs w:val="28"/>
                <w:lang w:val="en-AU"/>
              </w:rPr>
            </w:pPr>
            <w:r w:rsidRPr="00642A5D">
              <w:rPr>
                <w:lang w:val="en-AU"/>
              </w:rPr>
              <w:t>L</w:t>
            </w:r>
            <w:r w:rsidR="008C08D5">
              <w:rPr>
                <w:rFonts w:cs="Arial"/>
                <w:color w:val="000000"/>
                <w:sz w:val="18"/>
                <w:szCs w:val="18"/>
                <w:lang w:val="en-AU"/>
              </w:rPr>
              <w:t>ow</w:t>
            </w:r>
          </w:p>
        </w:tc>
        <w:tc>
          <w:tcPr>
            <w:tcW w:w="2457" w:type="dxa"/>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3E54A109" w14:textId="0DB155F6" w:rsidR="00C7773D" w:rsidRPr="00642A5D" w:rsidRDefault="00C7773D" w:rsidP="00C150BC">
            <w:pPr>
              <w:jc w:val="center"/>
              <w:rPr>
                <w:rFonts w:cs="Arial"/>
                <w:bCs/>
                <w:iCs/>
                <w:color w:val="AEC12D"/>
                <w:sz w:val="32"/>
                <w:szCs w:val="28"/>
                <w:lang w:val="en-AU"/>
              </w:rPr>
            </w:pPr>
            <w:r w:rsidRPr="00642A5D">
              <w:rPr>
                <w:lang w:val="en-AU"/>
              </w:rPr>
              <w:t>L</w:t>
            </w:r>
            <w:r w:rsidR="008C08D5">
              <w:rPr>
                <w:rFonts w:cs="Arial"/>
                <w:color w:val="000000"/>
                <w:sz w:val="18"/>
                <w:szCs w:val="18"/>
                <w:lang w:val="en-AU"/>
              </w:rPr>
              <w:t>ow</w:t>
            </w:r>
          </w:p>
        </w:tc>
        <w:tc>
          <w:tcPr>
            <w:tcW w:w="2457" w:type="dxa"/>
            <w:tcBorders>
              <w:top w:val="single" w:sz="4" w:space="0" w:color="005A97"/>
              <w:left w:val="single" w:sz="4" w:space="0" w:color="005A97"/>
              <w:bottom w:val="single" w:sz="4" w:space="0" w:color="005A97"/>
              <w:right w:val="nil"/>
            </w:tcBorders>
            <w:shd w:val="clear" w:color="auto" w:fill="auto"/>
            <w:vAlign w:val="center"/>
            <w:hideMark/>
          </w:tcPr>
          <w:p w14:paraId="4FB2A2B2" w14:textId="12B0006E" w:rsidR="00C7773D" w:rsidRPr="00642A5D" w:rsidRDefault="00C7773D" w:rsidP="00C150BC">
            <w:pPr>
              <w:jc w:val="center"/>
              <w:rPr>
                <w:rFonts w:cs="Arial"/>
                <w:bCs/>
                <w:iCs/>
                <w:color w:val="AEC12D"/>
                <w:sz w:val="32"/>
                <w:szCs w:val="28"/>
                <w:lang w:val="en-AU"/>
              </w:rPr>
            </w:pPr>
            <w:r w:rsidRPr="00642A5D">
              <w:rPr>
                <w:lang w:val="en-AU"/>
              </w:rPr>
              <w:t>L</w:t>
            </w:r>
            <w:r w:rsidR="008C08D5">
              <w:rPr>
                <w:rFonts w:cs="Arial"/>
                <w:color w:val="000000"/>
                <w:sz w:val="18"/>
                <w:szCs w:val="18"/>
                <w:lang w:val="en-AU"/>
              </w:rPr>
              <w:t>ow</w:t>
            </w:r>
          </w:p>
        </w:tc>
      </w:tr>
    </w:tbl>
    <w:p w14:paraId="0509D434" w14:textId="77777777" w:rsidR="008C08D5" w:rsidRDefault="008C08D5" w:rsidP="00E7436B">
      <w:pPr>
        <w:pStyle w:val="Notetext"/>
      </w:pPr>
    </w:p>
    <w:p w14:paraId="55D0B862" w14:textId="517FF1D6" w:rsidR="008F369D" w:rsidRDefault="008C08D5">
      <w:r>
        <w:t xml:space="preserve">A </w:t>
      </w:r>
      <w:r w:rsidR="00C7773D">
        <w:t>summary of the potential risks from</w:t>
      </w:r>
      <w:r w:rsidR="00C7773D" w:rsidRPr="00880B07">
        <w:rPr>
          <w:rFonts w:eastAsia="Calibri" w:cs="Arial"/>
          <w:lang w:val="en-AU" w:eastAsia="en-US"/>
        </w:rPr>
        <w:t xml:space="preserve"> </w:t>
      </w:r>
      <w:r w:rsidR="00D1776E">
        <w:rPr>
          <w:rFonts w:eastAsia="Calibri" w:cs="Arial"/>
          <w:lang w:val="en-AU" w:eastAsia="en-US"/>
        </w:rPr>
        <w:t>chemical</w:t>
      </w:r>
      <w:r w:rsidR="00C7773D">
        <w:rPr>
          <w:rFonts w:eastAsia="Calibri" w:cs="Arial"/>
          <w:lang w:val="en-AU" w:eastAsia="en-US"/>
        </w:rPr>
        <w:t xml:space="preserve"> contamination </w:t>
      </w:r>
      <w:r w:rsidR="00D1776E">
        <w:rPr>
          <w:rFonts w:eastAsia="Calibri" w:cs="Arial"/>
          <w:lang w:val="en-AU" w:eastAsia="en-US"/>
        </w:rPr>
        <w:t xml:space="preserve">of groundwater </w:t>
      </w:r>
      <w:r w:rsidR="00C7773D">
        <w:rPr>
          <w:rFonts w:eastAsia="Calibri" w:cs="Arial"/>
          <w:lang w:val="en-AU" w:eastAsia="en-US"/>
        </w:rPr>
        <w:t xml:space="preserve">due to </w:t>
      </w:r>
      <w:r w:rsidR="00C7773D" w:rsidRPr="000C24E5">
        <w:rPr>
          <w:rFonts w:eastAsia="Calibri" w:cs="Arial"/>
          <w:lang w:val="en-AU" w:eastAsia="en-US"/>
        </w:rPr>
        <w:t>hydraulic fracturing</w:t>
      </w:r>
      <w:r w:rsidR="00FE4E44">
        <w:rPr>
          <w:rFonts w:eastAsia="Calibri" w:cs="Arial"/>
          <w:lang w:val="en-AU" w:eastAsia="en-US"/>
        </w:rPr>
        <w:t xml:space="preserve"> fluids</w:t>
      </w:r>
      <w:r w:rsidR="00C7773D" w:rsidRPr="000C24E5">
        <w:rPr>
          <w:rFonts w:eastAsia="Calibri" w:cs="Arial"/>
          <w:lang w:val="en-AU" w:eastAsia="en-US"/>
        </w:rPr>
        <w:t>, induced seismicity and land subsidence</w:t>
      </w:r>
      <w:r w:rsidR="00C7773D">
        <w:t xml:space="preserve"> from onshore natural gas development in the Otway region </w:t>
      </w:r>
      <w:r w:rsidR="00C7773D" w:rsidRPr="00AD2520">
        <w:t>is provided in</w:t>
      </w:r>
      <w:r w:rsidR="00D1776E">
        <w:t xml:space="preserve"> </w:t>
      </w:r>
      <w:r w:rsidR="009A72C5">
        <w:t xml:space="preserve">Table </w:t>
      </w:r>
      <w:r>
        <w:t>14</w:t>
      </w:r>
      <w:r w:rsidR="009A72C5">
        <w:t>.</w:t>
      </w:r>
      <w:r w:rsidR="002C1788">
        <w:br/>
      </w:r>
    </w:p>
    <w:p w14:paraId="62F05C00" w14:textId="07EAB073" w:rsidR="00C7773D" w:rsidRPr="00642A5D" w:rsidRDefault="00C7773D" w:rsidP="002D44DF">
      <w:pPr>
        <w:pStyle w:val="Tableheading"/>
      </w:pPr>
      <w:bookmarkStart w:id="676" w:name="_Ref418504040"/>
      <w:bookmarkStart w:id="677" w:name="_Toc296770894"/>
      <w:r w:rsidRPr="00D13816">
        <w:t xml:space="preserve">Table </w:t>
      </w:r>
      <w:r w:rsidRPr="00D13816">
        <w:fldChar w:fldCharType="begin"/>
      </w:r>
      <w:r w:rsidRPr="007C766C">
        <w:instrText xml:space="preserve"> SEQ Table \* ARABIC </w:instrText>
      </w:r>
      <w:r w:rsidRPr="00D13816">
        <w:fldChar w:fldCharType="separate"/>
      </w:r>
      <w:r w:rsidR="00171A5E">
        <w:rPr>
          <w:noProof/>
        </w:rPr>
        <w:t>14</w:t>
      </w:r>
      <w:r w:rsidRPr="00D13816">
        <w:fldChar w:fldCharType="end"/>
      </w:r>
      <w:bookmarkEnd w:id="676"/>
      <w:r w:rsidR="008B076F">
        <w:t>:</w:t>
      </w:r>
      <w:r w:rsidRPr="007C766C">
        <w:t xml:space="preserve"> </w:t>
      </w:r>
      <w:r w:rsidR="008C08D5">
        <w:t xml:space="preserve"> </w:t>
      </w:r>
      <w:r w:rsidR="00D1776E">
        <w:t>P</w:t>
      </w:r>
      <w:r w:rsidRPr="007C766C">
        <w:t>otential risk</w:t>
      </w:r>
      <w:r w:rsidR="00D1776E">
        <w:t>s</w:t>
      </w:r>
      <w:r w:rsidRPr="007C766C">
        <w:t xml:space="preserve"> due </w:t>
      </w:r>
      <w:r w:rsidR="008F369D">
        <w:t xml:space="preserve">chemical contamination </w:t>
      </w:r>
      <w:r w:rsidR="00D1776E">
        <w:t xml:space="preserve">of groundwater </w:t>
      </w:r>
      <w:r w:rsidR="008F369D">
        <w:t xml:space="preserve">from </w:t>
      </w:r>
      <w:r w:rsidRPr="007C766C">
        <w:t>hydraulic fracturing</w:t>
      </w:r>
      <w:r w:rsidR="00FE4E44">
        <w:t xml:space="preserve"> fluids</w:t>
      </w:r>
      <w:r w:rsidRPr="007C766C">
        <w:t xml:space="preserve">, induced seismicity and land subsidence from onshore natural gas development in the </w:t>
      </w:r>
      <w:r w:rsidR="002C1788">
        <w:br/>
      </w:r>
      <w:r w:rsidRPr="007C766C">
        <w:t>Otway region</w:t>
      </w:r>
      <w:r w:rsidR="00637469">
        <w:t>.</w:t>
      </w:r>
      <w:bookmarkEnd w:id="677"/>
      <w:r w:rsidRPr="00224838">
        <w:t xml:space="preserve"> </w:t>
      </w:r>
    </w:p>
    <w:tbl>
      <w:tblPr>
        <w:tblW w:w="4891" w:type="pct"/>
        <w:tblInd w:w="108" w:type="dxa"/>
        <w:tblLayout w:type="fixed"/>
        <w:tblLook w:val="04A0" w:firstRow="1" w:lastRow="0" w:firstColumn="1" w:lastColumn="0" w:noHBand="0" w:noVBand="1"/>
      </w:tblPr>
      <w:tblGrid>
        <w:gridCol w:w="2268"/>
        <w:gridCol w:w="1511"/>
        <w:gridCol w:w="1511"/>
        <w:gridCol w:w="1513"/>
        <w:gridCol w:w="1419"/>
        <w:gridCol w:w="1417"/>
      </w:tblGrid>
      <w:tr w:rsidR="002C1788" w:rsidRPr="001309DA" w14:paraId="5830D139" w14:textId="77777777" w:rsidTr="002C1788">
        <w:tc>
          <w:tcPr>
            <w:tcW w:w="1176" w:type="pct"/>
            <w:vMerge w:val="restart"/>
            <w:tcBorders>
              <w:bottom w:val="single" w:sz="4" w:space="0" w:color="FFFFFF"/>
              <w:right w:val="single" w:sz="4" w:space="0" w:color="FFFFFF"/>
            </w:tcBorders>
            <w:shd w:val="clear" w:color="auto" w:fill="005A97"/>
            <w:vAlign w:val="center"/>
            <w:hideMark/>
          </w:tcPr>
          <w:p w14:paraId="3A065A25" w14:textId="7477DEB4" w:rsidR="00C7773D" w:rsidRPr="001309DA" w:rsidRDefault="000A6EC5" w:rsidP="001309DA">
            <w:pPr>
              <w:pStyle w:val="TableHeaderrow"/>
              <w:rPr>
                <w:iCs/>
                <w:color w:val="AEC12D"/>
              </w:rPr>
            </w:pPr>
            <w:r w:rsidRPr="001309DA">
              <w:t>Natural gas type</w:t>
            </w:r>
          </w:p>
        </w:tc>
        <w:tc>
          <w:tcPr>
            <w:tcW w:w="2352" w:type="pct"/>
            <w:gridSpan w:val="3"/>
            <w:tcBorders>
              <w:left w:val="single" w:sz="4" w:space="0" w:color="FFFFFF"/>
              <w:bottom w:val="single" w:sz="4" w:space="0" w:color="FFFFFF"/>
              <w:right w:val="single" w:sz="4" w:space="0" w:color="FFFFFF"/>
            </w:tcBorders>
            <w:shd w:val="clear" w:color="auto" w:fill="005A97"/>
            <w:vAlign w:val="center"/>
            <w:hideMark/>
          </w:tcPr>
          <w:p w14:paraId="20BD17BB" w14:textId="3FE5E89B" w:rsidR="00C7773D" w:rsidRPr="001309DA" w:rsidRDefault="008F369D" w:rsidP="001309DA">
            <w:pPr>
              <w:pStyle w:val="TableHeaderrow"/>
              <w:jc w:val="center"/>
              <w:rPr>
                <w:iCs/>
                <w:color w:val="AEC12D"/>
              </w:rPr>
            </w:pPr>
            <w:r w:rsidRPr="001309DA">
              <w:t xml:space="preserve">Chemical contamination </w:t>
            </w:r>
            <w:r w:rsidR="00D1776E" w:rsidRPr="001309DA">
              <w:t xml:space="preserve">of groundwater </w:t>
            </w:r>
            <w:r w:rsidRPr="001309DA">
              <w:t>from h</w:t>
            </w:r>
            <w:r w:rsidR="00C7773D" w:rsidRPr="001309DA">
              <w:t>ydraulic fracturing</w:t>
            </w:r>
            <w:r w:rsidRPr="001309DA">
              <w:t xml:space="preserve"> fluids</w:t>
            </w:r>
          </w:p>
        </w:tc>
        <w:tc>
          <w:tcPr>
            <w:tcW w:w="736" w:type="pct"/>
            <w:tcBorders>
              <w:left w:val="single" w:sz="4" w:space="0" w:color="FFFFFF"/>
              <w:bottom w:val="single" w:sz="4" w:space="0" w:color="FFFFFF"/>
              <w:right w:val="single" w:sz="4" w:space="0" w:color="FFFFFF"/>
            </w:tcBorders>
            <w:shd w:val="clear" w:color="auto" w:fill="005A97"/>
            <w:vAlign w:val="center"/>
            <w:hideMark/>
          </w:tcPr>
          <w:p w14:paraId="1144360E" w14:textId="6F04CAD1" w:rsidR="00C7773D" w:rsidRPr="001309DA" w:rsidRDefault="00C7773D" w:rsidP="001309DA">
            <w:pPr>
              <w:pStyle w:val="TableHeaderrow"/>
              <w:jc w:val="center"/>
              <w:rPr>
                <w:iCs/>
                <w:color w:val="AEC12D"/>
              </w:rPr>
            </w:pPr>
            <w:r w:rsidRPr="001309DA">
              <w:t>Induced seismicity</w:t>
            </w:r>
          </w:p>
        </w:tc>
        <w:tc>
          <w:tcPr>
            <w:tcW w:w="736" w:type="pct"/>
            <w:tcBorders>
              <w:left w:val="single" w:sz="4" w:space="0" w:color="FFFFFF"/>
              <w:bottom w:val="single" w:sz="4" w:space="0" w:color="FFFFFF"/>
            </w:tcBorders>
            <w:shd w:val="clear" w:color="auto" w:fill="005A97"/>
            <w:vAlign w:val="center"/>
            <w:hideMark/>
          </w:tcPr>
          <w:p w14:paraId="00DA77C1" w14:textId="77777777" w:rsidR="00C7773D" w:rsidRPr="001309DA" w:rsidRDefault="00C7773D" w:rsidP="001309DA">
            <w:pPr>
              <w:pStyle w:val="TableHeaderrow"/>
              <w:jc w:val="center"/>
              <w:rPr>
                <w:iCs/>
                <w:color w:val="AEC12D"/>
              </w:rPr>
            </w:pPr>
            <w:r w:rsidRPr="001309DA">
              <w:t>Land subsidence</w:t>
            </w:r>
          </w:p>
        </w:tc>
      </w:tr>
      <w:tr w:rsidR="002C1788" w:rsidRPr="001309DA" w14:paraId="425D422A" w14:textId="77777777" w:rsidTr="002C1788">
        <w:tc>
          <w:tcPr>
            <w:tcW w:w="1176" w:type="pct"/>
            <w:vMerge/>
            <w:tcBorders>
              <w:top w:val="single" w:sz="4" w:space="0" w:color="FFFFFF"/>
              <w:bottom w:val="single" w:sz="4" w:space="0" w:color="005A97"/>
              <w:right w:val="single" w:sz="4" w:space="0" w:color="FFFFFF"/>
            </w:tcBorders>
            <w:shd w:val="clear" w:color="auto" w:fill="005A97"/>
            <w:vAlign w:val="center"/>
            <w:hideMark/>
          </w:tcPr>
          <w:p w14:paraId="63D754B1" w14:textId="77777777" w:rsidR="00C7773D" w:rsidRPr="001309DA" w:rsidRDefault="00C7773D" w:rsidP="001309DA">
            <w:pPr>
              <w:pStyle w:val="TableHeaderrow"/>
            </w:pPr>
          </w:p>
        </w:tc>
        <w:tc>
          <w:tcPr>
            <w:tcW w:w="784" w:type="pct"/>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56D8FF90" w14:textId="665E7509" w:rsidR="00C7773D" w:rsidRPr="001309DA" w:rsidRDefault="00C7773D" w:rsidP="001309DA">
            <w:pPr>
              <w:pStyle w:val="TableHeaderrow"/>
              <w:jc w:val="center"/>
              <w:rPr>
                <w:iCs/>
                <w:color w:val="AEC12D"/>
              </w:rPr>
            </w:pPr>
            <w:r w:rsidRPr="001309DA">
              <w:t>Groundwater</w:t>
            </w:r>
          </w:p>
        </w:tc>
        <w:tc>
          <w:tcPr>
            <w:tcW w:w="784" w:type="pct"/>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5DD11B6A" w14:textId="77777777" w:rsidR="00C7773D" w:rsidRPr="001309DA" w:rsidRDefault="00C7773D" w:rsidP="001309DA">
            <w:pPr>
              <w:pStyle w:val="TableHeaderrow"/>
              <w:jc w:val="center"/>
              <w:rPr>
                <w:iCs/>
                <w:color w:val="AEC12D"/>
              </w:rPr>
            </w:pPr>
            <w:r w:rsidRPr="001309DA">
              <w:t>Surface water</w:t>
            </w:r>
          </w:p>
        </w:tc>
        <w:tc>
          <w:tcPr>
            <w:tcW w:w="785" w:type="pct"/>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3A15A51F" w14:textId="50BCCD95" w:rsidR="00C7773D" w:rsidRPr="001309DA" w:rsidRDefault="00C7773D" w:rsidP="001309DA">
            <w:pPr>
              <w:pStyle w:val="TableHeaderrow"/>
              <w:jc w:val="center"/>
              <w:rPr>
                <w:iCs/>
                <w:color w:val="AEC12D"/>
              </w:rPr>
            </w:pPr>
            <w:r w:rsidRPr="001309DA">
              <w:t>Ecosystems</w:t>
            </w:r>
          </w:p>
        </w:tc>
        <w:tc>
          <w:tcPr>
            <w:tcW w:w="736" w:type="pct"/>
            <w:tcBorders>
              <w:top w:val="single" w:sz="4" w:space="0" w:color="FFFFFF"/>
              <w:left w:val="single" w:sz="4" w:space="0" w:color="FFFFFF"/>
              <w:bottom w:val="single" w:sz="4" w:space="0" w:color="005A97"/>
              <w:right w:val="single" w:sz="4" w:space="0" w:color="FFFFFF"/>
            </w:tcBorders>
            <w:shd w:val="clear" w:color="auto" w:fill="005A97"/>
            <w:vAlign w:val="center"/>
            <w:hideMark/>
          </w:tcPr>
          <w:p w14:paraId="6B6C7A83" w14:textId="77777777" w:rsidR="00C7773D" w:rsidRPr="001309DA" w:rsidRDefault="00C7773D" w:rsidP="001309DA">
            <w:pPr>
              <w:pStyle w:val="TableHeaderrow"/>
              <w:jc w:val="center"/>
              <w:rPr>
                <w:iCs/>
                <w:color w:val="AEC12D"/>
              </w:rPr>
            </w:pPr>
            <w:r w:rsidRPr="001309DA">
              <w:t>All users</w:t>
            </w:r>
          </w:p>
        </w:tc>
        <w:tc>
          <w:tcPr>
            <w:tcW w:w="736" w:type="pct"/>
            <w:tcBorders>
              <w:top w:val="single" w:sz="4" w:space="0" w:color="FFFFFF"/>
              <w:left w:val="single" w:sz="4" w:space="0" w:color="FFFFFF"/>
              <w:bottom w:val="single" w:sz="4" w:space="0" w:color="005A97"/>
            </w:tcBorders>
            <w:shd w:val="clear" w:color="auto" w:fill="005A97"/>
            <w:vAlign w:val="center"/>
            <w:hideMark/>
          </w:tcPr>
          <w:p w14:paraId="3BA4F524" w14:textId="77777777" w:rsidR="00C7773D" w:rsidRPr="001309DA" w:rsidRDefault="00C7773D" w:rsidP="001309DA">
            <w:pPr>
              <w:pStyle w:val="TableHeaderrow"/>
              <w:jc w:val="center"/>
              <w:rPr>
                <w:iCs/>
                <w:color w:val="AEC12D"/>
              </w:rPr>
            </w:pPr>
            <w:r w:rsidRPr="001309DA">
              <w:t>All Users</w:t>
            </w:r>
          </w:p>
        </w:tc>
      </w:tr>
      <w:tr w:rsidR="002C1788" w:rsidRPr="00642A5D" w14:paraId="7D3ED4C7" w14:textId="77777777" w:rsidTr="002C1788">
        <w:tc>
          <w:tcPr>
            <w:tcW w:w="1176" w:type="pct"/>
            <w:tcBorders>
              <w:top w:val="single" w:sz="4" w:space="0" w:color="005A97"/>
              <w:bottom w:val="single" w:sz="4" w:space="0" w:color="005A97"/>
              <w:right w:val="single" w:sz="4" w:space="0" w:color="005A97"/>
            </w:tcBorders>
            <w:shd w:val="clear" w:color="auto" w:fill="auto"/>
            <w:vAlign w:val="center"/>
            <w:hideMark/>
          </w:tcPr>
          <w:p w14:paraId="0EC0282B" w14:textId="77777777" w:rsidR="00C7773D" w:rsidRPr="001309DA" w:rsidRDefault="00C7773D" w:rsidP="00C150BC">
            <w:pPr>
              <w:pStyle w:val="Tabletext"/>
              <w:rPr>
                <w:b/>
                <w:iCs/>
                <w:color w:val="AEC12D"/>
                <w:sz w:val="32"/>
                <w:szCs w:val="28"/>
              </w:rPr>
            </w:pPr>
            <w:r w:rsidRPr="001309DA">
              <w:rPr>
                <w:b/>
                <w:color w:val="000000"/>
              </w:rPr>
              <w:t>Shale</w:t>
            </w:r>
          </w:p>
        </w:tc>
        <w:tc>
          <w:tcPr>
            <w:tcW w:w="784"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7CD1A41A" w14:textId="55DC2EB3"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c>
          <w:tcPr>
            <w:tcW w:w="784"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11917947" w14:textId="38E880C6"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c>
          <w:tcPr>
            <w:tcW w:w="785"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14E647C7" w14:textId="7C14E368"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c>
          <w:tcPr>
            <w:tcW w:w="736"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615C4C7F" w14:textId="01876D2F"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c>
          <w:tcPr>
            <w:tcW w:w="736" w:type="pct"/>
            <w:tcBorders>
              <w:top w:val="single" w:sz="4" w:space="0" w:color="005A97"/>
              <w:left w:val="single" w:sz="4" w:space="0" w:color="005A97"/>
              <w:bottom w:val="single" w:sz="4" w:space="0" w:color="005A97"/>
            </w:tcBorders>
            <w:shd w:val="clear" w:color="auto" w:fill="auto"/>
            <w:vAlign w:val="center"/>
            <w:hideMark/>
          </w:tcPr>
          <w:p w14:paraId="2CEF8E9C" w14:textId="59AD8B39"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r>
      <w:tr w:rsidR="002C1788" w:rsidRPr="00642A5D" w14:paraId="4474500B" w14:textId="77777777" w:rsidTr="002C1788">
        <w:tc>
          <w:tcPr>
            <w:tcW w:w="1176" w:type="pct"/>
            <w:tcBorders>
              <w:top w:val="single" w:sz="4" w:space="0" w:color="005A97"/>
              <w:bottom w:val="single" w:sz="4" w:space="0" w:color="005A97"/>
              <w:right w:val="single" w:sz="4" w:space="0" w:color="005A97"/>
            </w:tcBorders>
            <w:shd w:val="clear" w:color="auto" w:fill="auto"/>
            <w:vAlign w:val="center"/>
            <w:hideMark/>
          </w:tcPr>
          <w:p w14:paraId="6E75DBE3" w14:textId="77777777" w:rsidR="00C7773D" w:rsidRPr="001309DA" w:rsidRDefault="00C7773D" w:rsidP="00C150BC">
            <w:pPr>
              <w:pStyle w:val="Tabletext"/>
              <w:rPr>
                <w:b/>
                <w:iCs/>
                <w:color w:val="AEC12D"/>
                <w:sz w:val="32"/>
                <w:szCs w:val="28"/>
              </w:rPr>
            </w:pPr>
            <w:r w:rsidRPr="001309DA">
              <w:rPr>
                <w:b/>
                <w:color w:val="000000"/>
              </w:rPr>
              <w:t>Tight</w:t>
            </w:r>
          </w:p>
        </w:tc>
        <w:tc>
          <w:tcPr>
            <w:tcW w:w="784"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3A818E93" w14:textId="38830D37"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c>
          <w:tcPr>
            <w:tcW w:w="784"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174761AA" w14:textId="2330F2C4"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c>
          <w:tcPr>
            <w:tcW w:w="785"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287A7C71" w14:textId="554B3E07"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c>
          <w:tcPr>
            <w:tcW w:w="736"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7E04D20A" w14:textId="1DCF2F09"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c>
          <w:tcPr>
            <w:tcW w:w="736" w:type="pct"/>
            <w:tcBorders>
              <w:top w:val="single" w:sz="4" w:space="0" w:color="005A97"/>
              <w:left w:val="single" w:sz="4" w:space="0" w:color="005A97"/>
              <w:bottom w:val="single" w:sz="4" w:space="0" w:color="005A97"/>
            </w:tcBorders>
            <w:shd w:val="clear" w:color="auto" w:fill="auto"/>
            <w:vAlign w:val="center"/>
            <w:hideMark/>
          </w:tcPr>
          <w:p w14:paraId="19FAC56B" w14:textId="306DDBE5" w:rsidR="00C7773D" w:rsidRPr="00642A5D" w:rsidRDefault="00C7773D" w:rsidP="00C150BC">
            <w:pPr>
              <w:pStyle w:val="Tabletext"/>
              <w:jc w:val="center"/>
              <w:rPr>
                <w:iCs/>
                <w:color w:val="AEC12D"/>
                <w:sz w:val="32"/>
                <w:szCs w:val="28"/>
              </w:rPr>
            </w:pPr>
            <w:r w:rsidRPr="00642A5D">
              <w:rPr>
                <w:color w:val="000000"/>
              </w:rPr>
              <w:t>L</w:t>
            </w:r>
            <w:r w:rsidR="001309DA">
              <w:rPr>
                <w:color w:val="000000"/>
              </w:rPr>
              <w:t>ow</w:t>
            </w:r>
          </w:p>
        </w:tc>
      </w:tr>
      <w:tr w:rsidR="002C1788" w:rsidRPr="00642A5D" w14:paraId="0E5C29FF" w14:textId="77777777" w:rsidTr="002C1788">
        <w:tc>
          <w:tcPr>
            <w:tcW w:w="1176" w:type="pct"/>
            <w:tcBorders>
              <w:top w:val="single" w:sz="4" w:space="0" w:color="005A97"/>
              <w:bottom w:val="single" w:sz="4" w:space="0" w:color="005A97"/>
              <w:right w:val="single" w:sz="4" w:space="0" w:color="005A97"/>
            </w:tcBorders>
            <w:shd w:val="clear" w:color="auto" w:fill="auto"/>
            <w:vAlign w:val="center"/>
          </w:tcPr>
          <w:p w14:paraId="2696E757" w14:textId="6D5F45AE" w:rsidR="00D1776E" w:rsidRPr="001309DA" w:rsidRDefault="00D1776E" w:rsidP="00C150BC">
            <w:pPr>
              <w:pStyle w:val="Tabletext"/>
              <w:rPr>
                <w:b/>
                <w:iCs/>
                <w:color w:val="AEC12D"/>
                <w:sz w:val="32"/>
                <w:szCs w:val="28"/>
              </w:rPr>
            </w:pPr>
            <w:r w:rsidRPr="001309DA">
              <w:rPr>
                <w:b/>
                <w:color w:val="000000"/>
              </w:rPr>
              <w:t xml:space="preserve">Coal </w:t>
            </w:r>
            <w:r w:rsidR="001309DA">
              <w:rPr>
                <w:b/>
                <w:color w:val="000000"/>
              </w:rPr>
              <w:t>s</w:t>
            </w:r>
            <w:r w:rsidRPr="001309DA">
              <w:rPr>
                <w:b/>
                <w:color w:val="000000"/>
              </w:rPr>
              <w:t xml:space="preserve">eam </w:t>
            </w:r>
            <w:r w:rsidR="001309DA">
              <w:rPr>
                <w:b/>
                <w:color w:val="000000"/>
              </w:rPr>
              <w:t>g</w:t>
            </w:r>
            <w:r w:rsidRPr="001309DA">
              <w:rPr>
                <w:b/>
                <w:color w:val="000000"/>
              </w:rPr>
              <w:t xml:space="preserve">as </w:t>
            </w:r>
          </w:p>
        </w:tc>
        <w:tc>
          <w:tcPr>
            <w:tcW w:w="784" w:type="pct"/>
            <w:tcBorders>
              <w:top w:val="single" w:sz="4" w:space="0" w:color="005A97"/>
              <w:left w:val="single" w:sz="4" w:space="0" w:color="005A97"/>
              <w:bottom w:val="single" w:sz="4" w:space="0" w:color="005A97"/>
              <w:right w:val="single" w:sz="4" w:space="0" w:color="005A97"/>
            </w:tcBorders>
            <w:shd w:val="clear" w:color="auto" w:fill="auto"/>
            <w:vAlign w:val="center"/>
          </w:tcPr>
          <w:p w14:paraId="0635C2D6" w14:textId="1A04ADB1" w:rsidR="00D1776E" w:rsidRPr="00642A5D" w:rsidRDefault="00D1776E" w:rsidP="00C150BC">
            <w:pPr>
              <w:pStyle w:val="Tabletext"/>
              <w:jc w:val="center"/>
              <w:rPr>
                <w:iCs/>
                <w:color w:val="AEC12D"/>
                <w:sz w:val="32"/>
                <w:szCs w:val="28"/>
              </w:rPr>
            </w:pPr>
            <w:r>
              <w:rPr>
                <w:color w:val="000000"/>
              </w:rPr>
              <w:t>L</w:t>
            </w:r>
            <w:r w:rsidR="001309DA">
              <w:rPr>
                <w:color w:val="000000"/>
              </w:rPr>
              <w:t>ow</w:t>
            </w:r>
          </w:p>
        </w:tc>
        <w:tc>
          <w:tcPr>
            <w:tcW w:w="784" w:type="pct"/>
            <w:tcBorders>
              <w:top w:val="single" w:sz="4" w:space="0" w:color="005A97"/>
              <w:left w:val="single" w:sz="4" w:space="0" w:color="005A97"/>
              <w:bottom w:val="single" w:sz="4" w:space="0" w:color="005A97"/>
              <w:right w:val="single" w:sz="4" w:space="0" w:color="005A97"/>
            </w:tcBorders>
            <w:shd w:val="clear" w:color="auto" w:fill="auto"/>
            <w:vAlign w:val="center"/>
          </w:tcPr>
          <w:p w14:paraId="57803121" w14:textId="78109B61" w:rsidR="00D1776E" w:rsidRPr="00642A5D" w:rsidRDefault="00D1776E" w:rsidP="00C150BC">
            <w:pPr>
              <w:pStyle w:val="Tabletext"/>
              <w:jc w:val="center"/>
              <w:rPr>
                <w:iCs/>
                <w:color w:val="AEC12D"/>
                <w:sz w:val="32"/>
                <w:szCs w:val="28"/>
              </w:rPr>
            </w:pPr>
            <w:r w:rsidRPr="00642A5D">
              <w:rPr>
                <w:color w:val="000000"/>
              </w:rPr>
              <w:t>L</w:t>
            </w:r>
            <w:r w:rsidR="001309DA">
              <w:rPr>
                <w:color w:val="000000"/>
              </w:rPr>
              <w:t>ow</w:t>
            </w:r>
          </w:p>
        </w:tc>
        <w:tc>
          <w:tcPr>
            <w:tcW w:w="785" w:type="pct"/>
            <w:tcBorders>
              <w:top w:val="single" w:sz="4" w:space="0" w:color="005A97"/>
              <w:left w:val="single" w:sz="4" w:space="0" w:color="005A97"/>
              <w:bottom w:val="single" w:sz="4" w:space="0" w:color="005A97"/>
              <w:right w:val="single" w:sz="4" w:space="0" w:color="005A97"/>
            </w:tcBorders>
            <w:shd w:val="clear" w:color="auto" w:fill="auto"/>
            <w:vAlign w:val="center"/>
          </w:tcPr>
          <w:p w14:paraId="6BE9B154" w14:textId="0F8FB198" w:rsidR="00D1776E" w:rsidRPr="00642A5D" w:rsidRDefault="00D1776E" w:rsidP="00C150BC">
            <w:pPr>
              <w:pStyle w:val="Tabletext"/>
              <w:jc w:val="center"/>
              <w:rPr>
                <w:iCs/>
                <w:color w:val="AEC12D"/>
                <w:sz w:val="32"/>
                <w:szCs w:val="28"/>
              </w:rPr>
            </w:pPr>
            <w:r w:rsidRPr="00642A5D">
              <w:rPr>
                <w:color w:val="000000"/>
              </w:rPr>
              <w:t>L</w:t>
            </w:r>
            <w:r w:rsidR="001309DA">
              <w:rPr>
                <w:color w:val="000000"/>
              </w:rPr>
              <w:t>ow</w:t>
            </w:r>
          </w:p>
        </w:tc>
        <w:tc>
          <w:tcPr>
            <w:tcW w:w="736" w:type="pct"/>
            <w:tcBorders>
              <w:top w:val="single" w:sz="4" w:space="0" w:color="005A97"/>
              <w:left w:val="single" w:sz="4" w:space="0" w:color="005A97"/>
              <w:bottom w:val="single" w:sz="4" w:space="0" w:color="005A97"/>
              <w:right w:val="single" w:sz="4" w:space="0" w:color="005A97"/>
            </w:tcBorders>
            <w:shd w:val="clear" w:color="auto" w:fill="auto"/>
            <w:vAlign w:val="center"/>
          </w:tcPr>
          <w:p w14:paraId="7F44C465" w14:textId="36ABE9C6" w:rsidR="00D1776E" w:rsidRPr="00642A5D" w:rsidRDefault="00D1776E" w:rsidP="00C150BC">
            <w:pPr>
              <w:pStyle w:val="Tabletext"/>
              <w:jc w:val="center"/>
              <w:rPr>
                <w:iCs/>
                <w:color w:val="AEC12D"/>
                <w:sz w:val="32"/>
                <w:szCs w:val="28"/>
              </w:rPr>
            </w:pPr>
            <w:r w:rsidRPr="00642A5D">
              <w:rPr>
                <w:color w:val="000000"/>
              </w:rPr>
              <w:t>L</w:t>
            </w:r>
            <w:r w:rsidR="001309DA">
              <w:rPr>
                <w:color w:val="000000"/>
              </w:rPr>
              <w:t>ow</w:t>
            </w:r>
          </w:p>
        </w:tc>
        <w:tc>
          <w:tcPr>
            <w:tcW w:w="736" w:type="pct"/>
            <w:tcBorders>
              <w:top w:val="single" w:sz="4" w:space="0" w:color="005A97"/>
              <w:left w:val="single" w:sz="4" w:space="0" w:color="005A97"/>
              <w:bottom w:val="single" w:sz="4" w:space="0" w:color="005A97"/>
            </w:tcBorders>
            <w:shd w:val="clear" w:color="auto" w:fill="auto"/>
            <w:vAlign w:val="center"/>
          </w:tcPr>
          <w:p w14:paraId="0C2F51A7" w14:textId="1C8CEAFC" w:rsidR="00D1776E" w:rsidRPr="00642A5D" w:rsidRDefault="00D1776E" w:rsidP="00C150BC">
            <w:pPr>
              <w:pStyle w:val="Tabletext"/>
              <w:jc w:val="center"/>
              <w:rPr>
                <w:iCs/>
                <w:color w:val="AEC12D"/>
                <w:sz w:val="32"/>
                <w:szCs w:val="28"/>
              </w:rPr>
            </w:pPr>
            <w:r w:rsidRPr="00642A5D">
              <w:rPr>
                <w:color w:val="000000"/>
              </w:rPr>
              <w:t>L</w:t>
            </w:r>
            <w:r w:rsidR="001309DA">
              <w:rPr>
                <w:color w:val="000000"/>
              </w:rPr>
              <w:t>ow</w:t>
            </w:r>
          </w:p>
        </w:tc>
      </w:tr>
      <w:tr w:rsidR="002C1788" w:rsidRPr="00642A5D" w14:paraId="5CF3E2CE" w14:textId="77777777" w:rsidTr="002C1788">
        <w:tc>
          <w:tcPr>
            <w:tcW w:w="1176" w:type="pct"/>
            <w:tcBorders>
              <w:top w:val="single" w:sz="4" w:space="0" w:color="005A97"/>
              <w:bottom w:val="single" w:sz="4" w:space="0" w:color="005A97"/>
              <w:right w:val="single" w:sz="4" w:space="0" w:color="005A97"/>
            </w:tcBorders>
            <w:shd w:val="clear" w:color="auto" w:fill="auto"/>
            <w:vAlign w:val="center"/>
            <w:hideMark/>
          </w:tcPr>
          <w:p w14:paraId="26096C16" w14:textId="77777777" w:rsidR="00D1776E" w:rsidRPr="00C150BC" w:rsidRDefault="00D1776E" w:rsidP="001309DA">
            <w:pPr>
              <w:pStyle w:val="Tabletext"/>
              <w:rPr>
                <w:b/>
                <w:iCs/>
                <w:color w:val="AEC12D"/>
                <w:sz w:val="32"/>
                <w:szCs w:val="28"/>
              </w:rPr>
            </w:pPr>
            <w:r w:rsidRPr="00C150BC">
              <w:rPr>
                <w:b/>
                <w:color w:val="000000"/>
              </w:rPr>
              <w:t>Conventional</w:t>
            </w:r>
          </w:p>
        </w:tc>
        <w:tc>
          <w:tcPr>
            <w:tcW w:w="784"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528443B6" w14:textId="6057B8B9" w:rsidR="00D1776E" w:rsidRPr="00642A5D" w:rsidRDefault="001309DA" w:rsidP="001309DA">
            <w:pPr>
              <w:pStyle w:val="Tabletext"/>
              <w:jc w:val="center"/>
              <w:rPr>
                <w:iCs/>
                <w:color w:val="AEC12D"/>
                <w:sz w:val="32"/>
                <w:szCs w:val="28"/>
              </w:rPr>
            </w:pPr>
            <w:r w:rsidRPr="00642A5D">
              <w:rPr>
                <w:color w:val="000000"/>
              </w:rPr>
              <w:t>n/a</w:t>
            </w:r>
          </w:p>
        </w:tc>
        <w:tc>
          <w:tcPr>
            <w:tcW w:w="784"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37266E0A" w14:textId="30D3A052" w:rsidR="00D1776E" w:rsidRPr="00642A5D" w:rsidRDefault="001309DA" w:rsidP="001309DA">
            <w:pPr>
              <w:pStyle w:val="Tabletext"/>
              <w:jc w:val="center"/>
              <w:rPr>
                <w:iCs/>
                <w:color w:val="AEC12D"/>
                <w:sz w:val="32"/>
                <w:szCs w:val="28"/>
              </w:rPr>
            </w:pPr>
            <w:r w:rsidRPr="00642A5D">
              <w:rPr>
                <w:color w:val="000000"/>
              </w:rPr>
              <w:t>n/a</w:t>
            </w:r>
          </w:p>
        </w:tc>
        <w:tc>
          <w:tcPr>
            <w:tcW w:w="785"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58585610" w14:textId="22903FDA" w:rsidR="00D1776E" w:rsidRPr="00642A5D" w:rsidRDefault="001309DA" w:rsidP="001309DA">
            <w:pPr>
              <w:pStyle w:val="Tabletext"/>
              <w:jc w:val="center"/>
              <w:rPr>
                <w:iCs/>
                <w:color w:val="AEC12D"/>
                <w:sz w:val="32"/>
                <w:szCs w:val="28"/>
              </w:rPr>
            </w:pPr>
            <w:r w:rsidRPr="00642A5D">
              <w:rPr>
                <w:color w:val="000000"/>
              </w:rPr>
              <w:t>n/a</w:t>
            </w:r>
          </w:p>
        </w:tc>
        <w:tc>
          <w:tcPr>
            <w:tcW w:w="736" w:type="pct"/>
            <w:tcBorders>
              <w:top w:val="single" w:sz="4" w:space="0" w:color="005A97"/>
              <w:left w:val="single" w:sz="4" w:space="0" w:color="005A97"/>
              <w:bottom w:val="single" w:sz="4" w:space="0" w:color="005A97"/>
              <w:right w:val="single" w:sz="4" w:space="0" w:color="005A97"/>
            </w:tcBorders>
            <w:shd w:val="clear" w:color="auto" w:fill="auto"/>
            <w:vAlign w:val="center"/>
            <w:hideMark/>
          </w:tcPr>
          <w:p w14:paraId="4FEA9B3F" w14:textId="7EDB9FB6" w:rsidR="00D1776E" w:rsidRPr="00642A5D" w:rsidRDefault="00D1776E" w:rsidP="001309DA">
            <w:pPr>
              <w:pStyle w:val="Tabletext"/>
              <w:jc w:val="center"/>
              <w:rPr>
                <w:iCs/>
                <w:color w:val="AEC12D"/>
                <w:sz w:val="32"/>
                <w:szCs w:val="28"/>
              </w:rPr>
            </w:pPr>
            <w:r w:rsidRPr="00642A5D">
              <w:rPr>
                <w:color w:val="000000"/>
              </w:rPr>
              <w:t>L</w:t>
            </w:r>
            <w:r w:rsidR="001309DA">
              <w:rPr>
                <w:color w:val="000000"/>
              </w:rPr>
              <w:t>ow</w:t>
            </w:r>
          </w:p>
        </w:tc>
        <w:tc>
          <w:tcPr>
            <w:tcW w:w="736" w:type="pct"/>
            <w:tcBorders>
              <w:top w:val="single" w:sz="4" w:space="0" w:color="005A97"/>
              <w:left w:val="single" w:sz="4" w:space="0" w:color="005A97"/>
              <w:bottom w:val="single" w:sz="4" w:space="0" w:color="005A97"/>
            </w:tcBorders>
            <w:shd w:val="clear" w:color="auto" w:fill="auto"/>
            <w:vAlign w:val="center"/>
            <w:hideMark/>
          </w:tcPr>
          <w:p w14:paraId="7652AE41" w14:textId="2E4307F3" w:rsidR="00D1776E" w:rsidRPr="00642A5D" w:rsidRDefault="00D1776E" w:rsidP="001309DA">
            <w:pPr>
              <w:pStyle w:val="Tabletext"/>
              <w:jc w:val="center"/>
              <w:rPr>
                <w:iCs/>
                <w:color w:val="AEC12D"/>
                <w:sz w:val="32"/>
                <w:szCs w:val="28"/>
              </w:rPr>
            </w:pPr>
            <w:r w:rsidRPr="00642A5D">
              <w:rPr>
                <w:color w:val="000000"/>
              </w:rPr>
              <w:t>L</w:t>
            </w:r>
            <w:r w:rsidR="001309DA">
              <w:rPr>
                <w:color w:val="000000"/>
              </w:rPr>
              <w:t>ow</w:t>
            </w:r>
          </w:p>
        </w:tc>
      </w:tr>
    </w:tbl>
    <w:p w14:paraId="7A717E3C" w14:textId="346D7237" w:rsidR="001309DA" w:rsidRDefault="001309DA" w:rsidP="002C1788">
      <w:pPr>
        <w:rPr>
          <w:lang w:val="en-AU" w:eastAsia="en-US"/>
        </w:rPr>
      </w:pPr>
      <w:bookmarkStart w:id="678" w:name="_Toc420570314"/>
      <w:bookmarkStart w:id="679" w:name="_Toc420571510"/>
      <w:bookmarkStart w:id="680" w:name="_Toc420572148"/>
    </w:p>
    <w:p w14:paraId="4A6B85EF" w14:textId="35A79E52" w:rsidR="00A76DC9" w:rsidRPr="00642A5D" w:rsidRDefault="005707ED" w:rsidP="00A76DC9">
      <w:pPr>
        <w:pStyle w:val="Head2xx"/>
      </w:pPr>
      <w:bookmarkStart w:id="681" w:name="_Toc296767006"/>
      <w:bookmarkStart w:id="682" w:name="_Toc422927930"/>
      <w:r>
        <w:t>7.6</w:t>
      </w:r>
      <w:r>
        <w:tab/>
      </w:r>
      <w:r w:rsidR="00A76DC9" w:rsidRPr="00642A5D">
        <w:t>Gaps and uncertainty</w:t>
      </w:r>
      <w:bookmarkEnd w:id="678"/>
      <w:bookmarkEnd w:id="679"/>
      <w:bookmarkEnd w:id="680"/>
      <w:bookmarkEnd w:id="681"/>
      <w:bookmarkEnd w:id="682"/>
    </w:p>
    <w:p w14:paraId="19FDEBDB" w14:textId="0B5B9E30" w:rsidR="007848B7" w:rsidRPr="00642A5D" w:rsidRDefault="007848B7">
      <w:pPr>
        <w:rPr>
          <w:lang w:val="en-AU" w:eastAsia="en-US"/>
        </w:rPr>
      </w:pPr>
      <w:r w:rsidRPr="00642A5D">
        <w:rPr>
          <w:lang w:val="en-AU" w:eastAsia="en-US"/>
        </w:rPr>
        <w:t xml:space="preserve">This assessment has identified a number of areas of data uncertainty and data gaps. Additional information in the following areas would enable the assessment to be improved. The framework that has been developed is </w:t>
      </w:r>
      <w:r w:rsidR="00A76D25">
        <w:rPr>
          <w:lang w:val="en-AU" w:eastAsia="en-US"/>
        </w:rPr>
        <w:t>v</w:t>
      </w:r>
      <w:r w:rsidRPr="00642A5D">
        <w:rPr>
          <w:lang w:val="en-AU" w:eastAsia="en-US"/>
        </w:rPr>
        <w:t>alid despite the uncertainties in the data, as with the provision of better data and evaluation the framework can be re-applied.</w:t>
      </w:r>
    </w:p>
    <w:p w14:paraId="3D4DF5B8" w14:textId="54D03C73" w:rsidR="005F1E17" w:rsidRPr="00642A5D" w:rsidRDefault="005F1E17">
      <w:pPr>
        <w:rPr>
          <w:lang w:val="en-AU" w:eastAsia="en-US"/>
        </w:rPr>
      </w:pPr>
      <w:r w:rsidRPr="00642A5D">
        <w:rPr>
          <w:lang w:val="en-AU" w:eastAsia="en-US"/>
        </w:rPr>
        <w:t xml:space="preserve">Throughout </w:t>
      </w:r>
      <w:r w:rsidR="00C6709E" w:rsidRPr="00642A5D">
        <w:rPr>
          <w:lang w:val="en-AU" w:eastAsia="en-US"/>
        </w:rPr>
        <w:t xml:space="preserve">this </w:t>
      </w:r>
      <w:r w:rsidRPr="00642A5D">
        <w:rPr>
          <w:lang w:val="en-AU" w:eastAsia="en-US"/>
        </w:rPr>
        <w:t xml:space="preserve">report areas of uncertainty have been </w:t>
      </w:r>
      <w:r w:rsidR="00C6709E" w:rsidRPr="00642A5D">
        <w:rPr>
          <w:lang w:val="en-AU" w:eastAsia="en-US"/>
        </w:rPr>
        <w:t xml:space="preserve">identified and </w:t>
      </w:r>
      <w:r w:rsidRPr="00642A5D">
        <w:rPr>
          <w:lang w:val="en-AU" w:eastAsia="en-US"/>
        </w:rPr>
        <w:t>discussed. The following areas are the key gaps priorit</w:t>
      </w:r>
      <w:r w:rsidR="00AE2655" w:rsidRPr="00642A5D">
        <w:rPr>
          <w:lang w:val="en-AU" w:eastAsia="en-US"/>
        </w:rPr>
        <w:t>ised</w:t>
      </w:r>
      <w:r w:rsidRPr="00642A5D">
        <w:rPr>
          <w:lang w:val="en-AU" w:eastAsia="en-US"/>
        </w:rPr>
        <w:t xml:space="preserve"> for further data gathering.</w:t>
      </w:r>
    </w:p>
    <w:p w14:paraId="72D8606B" w14:textId="154CC36F" w:rsidR="00C6709E" w:rsidRPr="00642A5D" w:rsidRDefault="00C6709E">
      <w:pPr>
        <w:rPr>
          <w:lang w:val="en-AU" w:eastAsia="en-US"/>
        </w:rPr>
      </w:pPr>
      <w:r w:rsidRPr="00642A5D">
        <w:rPr>
          <w:b/>
          <w:lang w:val="en-AU" w:eastAsia="en-US"/>
        </w:rPr>
        <w:t>Permeability of seal rocks</w:t>
      </w:r>
      <w:r w:rsidR="00485339">
        <w:rPr>
          <w:b/>
          <w:lang w:val="en-AU" w:eastAsia="en-US"/>
        </w:rPr>
        <w:t xml:space="preserve">: </w:t>
      </w:r>
      <w:r w:rsidRPr="00642A5D">
        <w:rPr>
          <w:lang w:val="en-AU" w:eastAsia="en-US"/>
        </w:rPr>
        <w:t xml:space="preserve">In the Otway region the seal rocks for the gas reservoirs are also the key aquitards that separate the reservoirs from the main aquifers. Relatively little is known of the hydraulic properties of the seal rocks as they relate to water movement. Collection of data on the hydraulic performance of the seal rocks </w:t>
      </w:r>
      <w:r w:rsidR="001D5761">
        <w:rPr>
          <w:lang w:val="en-AU" w:eastAsia="en-US"/>
        </w:rPr>
        <w:t xml:space="preserve">would </w:t>
      </w:r>
      <w:r w:rsidRPr="00642A5D">
        <w:rPr>
          <w:lang w:val="en-AU" w:eastAsia="en-US"/>
        </w:rPr>
        <w:t>improve the assessment</w:t>
      </w:r>
      <w:r w:rsidR="001D5761">
        <w:rPr>
          <w:lang w:val="en-AU" w:eastAsia="en-US"/>
        </w:rPr>
        <w:t xml:space="preserve"> of potential impacts and risks</w:t>
      </w:r>
      <w:r w:rsidRPr="00642A5D">
        <w:rPr>
          <w:lang w:val="en-AU" w:eastAsia="en-US"/>
        </w:rPr>
        <w:t xml:space="preserve">. In this study a relatively high degree of connection has been adopted and it is possible that less connection exists over much of the area, resulting in lower </w:t>
      </w:r>
      <w:r w:rsidR="001D5761">
        <w:rPr>
          <w:lang w:val="en-AU" w:eastAsia="en-US"/>
        </w:rPr>
        <w:t xml:space="preserve">potential impacts and </w:t>
      </w:r>
      <w:r w:rsidRPr="00642A5D">
        <w:rPr>
          <w:lang w:val="en-AU" w:eastAsia="en-US"/>
        </w:rPr>
        <w:t>risks.</w:t>
      </w:r>
    </w:p>
    <w:p w14:paraId="71F7DB22" w14:textId="4911CFDF" w:rsidR="008724E6" w:rsidRPr="00642A5D" w:rsidRDefault="001A2A20">
      <w:pPr>
        <w:rPr>
          <w:lang w:val="en-AU" w:eastAsia="en-US"/>
        </w:rPr>
      </w:pPr>
      <w:r w:rsidRPr="00642A5D">
        <w:rPr>
          <w:b/>
          <w:lang w:val="en-AU" w:eastAsia="en-US"/>
        </w:rPr>
        <w:t>Drawdown estimates:</w:t>
      </w:r>
      <w:r w:rsidRPr="00642A5D">
        <w:rPr>
          <w:lang w:val="en-AU" w:eastAsia="en-US"/>
        </w:rPr>
        <w:t xml:space="preserve"> The </w:t>
      </w:r>
      <w:r w:rsidR="009B2AC4">
        <w:rPr>
          <w:lang w:val="en-AU" w:eastAsia="en-US"/>
        </w:rPr>
        <w:t>impact</w:t>
      </w:r>
      <w:r w:rsidRPr="00642A5D">
        <w:rPr>
          <w:lang w:val="en-AU" w:eastAsia="en-US"/>
        </w:rPr>
        <w:t xml:space="preserve"> of gas development and groundwater use is fundamentally indicated by the drawdown response. For this assessment a </w:t>
      </w:r>
      <w:r w:rsidR="00C6709E" w:rsidRPr="00642A5D">
        <w:rPr>
          <w:lang w:val="en-AU" w:eastAsia="en-US"/>
        </w:rPr>
        <w:t xml:space="preserve">block model </w:t>
      </w:r>
      <w:r w:rsidRPr="00642A5D">
        <w:rPr>
          <w:lang w:val="en-AU" w:eastAsia="en-US"/>
        </w:rPr>
        <w:t xml:space="preserve">approach has been adopted that gives a regional and </w:t>
      </w:r>
      <w:r w:rsidR="00314A61" w:rsidRPr="00642A5D">
        <w:rPr>
          <w:lang w:val="en-AU" w:eastAsia="en-US"/>
        </w:rPr>
        <w:t>simplified</w:t>
      </w:r>
      <w:r w:rsidRPr="00642A5D">
        <w:rPr>
          <w:lang w:val="en-AU" w:eastAsia="en-US"/>
        </w:rPr>
        <w:t xml:space="preserve"> assessment of the likely drawdown. Whilst this assessment has indicated that the drawdown impacts are </w:t>
      </w:r>
      <w:r w:rsidR="00AE2655" w:rsidRPr="00642A5D">
        <w:rPr>
          <w:lang w:val="en-AU" w:eastAsia="en-US"/>
        </w:rPr>
        <w:t xml:space="preserve">relatively minor, the assessment could be </w:t>
      </w:r>
      <w:r w:rsidRPr="00642A5D">
        <w:rPr>
          <w:lang w:val="en-AU" w:eastAsia="en-US"/>
        </w:rPr>
        <w:t xml:space="preserve">improved if a better estimate of drawdown as a result of combined gas development and groundwater use was available. The assessment framework could readily be re-applied </w:t>
      </w:r>
      <w:r w:rsidR="00C6709E" w:rsidRPr="00642A5D">
        <w:rPr>
          <w:lang w:val="en-AU" w:eastAsia="en-US"/>
        </w:rPr>
        <w:t xml:space="preserve">when </w:t>
      </w:r>
      <w:r w:rsidRPr="00642A5D">
        <w:rPr>
          <w:lang w:val="en-AU" w:eastAsia="en-US"/>
        </w:rPr>
        <w:t xml:space="preserve">a more detailed assessment of the aquifer response </w:t>
      </w:r>
      <w:r w:rsidR="00C6709E" w:rsidRPr="00642A5D">
        <w:rPr>
          <w:lang w:val="en-AU" w:eastAsia="en-US"/>
        </w:rPr>
        <w:t xml:space="preserve">is </w:t>
      </w:r>
      <w:r w:rsidRPr="00642A5D">
        <w:rPr>
          <w:lang w:val="en-AU" w:eastAsia="en-US"/>
        </w:rPr>
        <w:t>available. In particular the current method does not allow for widespread lateral migration of drawdown away from the gas source. This is an area that could be improved.</w:t>
      </w:r>
    </w:p>
    <w:p w14:paraId="4C9EA7B4" w14:textId="03338D55" w:rsidR="007848B7" w:rsidRPr="00642A5D" w:rsidRDefault="007848B7">
      <w:pPr>
        <w:rPr>
          <w:lang w:val="en-AU" w:eastAsia="en-US"/>
        </w:rPr>
      </w:pPr>
      <w:r w:rsidRPr="00642A5D">
        <w:rPr>
          <w:b/>
          <w:lang w:val="en-AU" w:eastAsia="en-US"/>
        </w:rPr>
        <w:t>Definition of potential gas sources:</w:t>
      </w:r>
      <w:r w:rsidRPr="00642A5D">
        <w:rPr>
          <w:lang w:val="en-AU" w:eastAsia="en-US"/>
        </w:rPr>
        <w:t xml:space="preserve"> </w:t>
      </w:r>
      <w:r w:rsidR="003325FD" w:rsidRPr="00642A5D">
        <w:rPr>
          <w:lang w:val="en-AU" w:eastAsia="en-US"/>
        </w:rPr>
        <w:t xml:space="preserve">Although exploration for conventional gas resources in the </w:t>
      </w:r>
      <w:r w:rsidR="007C4916">
        <w:rPr>
          <w:lang w:val="en-AU" w:eastAsia="en-US"/>
        </w:rPr>
        <w:t>Otway region</w:t>
      </w:r>
      <w:r w:rsidR="003325FD" w:rsidRPr="00642A5D">
        <w:rPr>
          <w:lang w:val="en-AU" w:eastAsia="en-US"/>
        </w:rPr>
        <w:t xml:space="preserve"> has occurred over many decades, the search for unconventional resources is a relatively recent phenomenon</w:t>
      </w:r>
      <w:r w:rsidR="00E43415" w:rsidRPr="00642A5D">
        <w:rPr>
          <w:lang w:val="en-AU" w:eastAsia="en-US"/>
        </w:rPr>
        <w:t>. As such</w:t>
      </w:r>
      <w:r w:rsidR="003325FD" w:rsidRPr="00642A5D">
        <w:rPr>
          <w:lang w:val="en-AU" w:eastAsia="en-US"/>
        </w:rPr>
        <w:t xml:space="preserve"> the geological understanding associated with unconventional gas resources in the </w:t>
      </w:r>
      <w:r w:rsidR="007C4916">
        <w:rPr>
          <w:lang w:val="en-AU" w:eastAsia="en-US"/>
        </w:rPr>
        <w:t>Otway region</w:t>
      </w:r>
      <w:r w:rsidR="003325FD" w:rsidRPr="00642A5D">
        <w:rPr>
          <w:lang w:val="en-AU" w:eastAsia="en-US"/>
        </w:rPr>
        <w:t xml:space="preserve"> is immature. Although it is possible to make educated estimates about potential host gas-bearing formations and their extent, whether or not gas is present, and then present in economically recoverable volumes is unknown. </w:t>
      </w:r>
      <w:r w:rsidR="003F7A97" w:rsidRPr="00642A5D">
        <w:rPr>
          <w:lang w:val="en-AU" w:eastAsia="en-US"/>
        </w:rPr>
        <w:t xml:space="preserve">Given the small scale of the production of </w:t>
      </w:r>
      <w:r w:rsidR="008A23A0" w:rsidRPr="00642A5D">
        <w:rPr>
          <w:lang w:val="en-AU" w:eastAsia="en-US"/>
        </w:rPr>
        <w:t>conventional</w:t>
      </w:r>
      <w:r w:rsidR="003F7A97" w:rsidRPr="00642A5D">
        <w:rPr>
          <w:lang w:val="en-AU" w:eastAsia="en-US"/>
        </w:rPr>
        <w:t xml:space="preserve"> gas fields that occurred in the Port Campbell Embayment in the 1980s to 2000s, the gas development scenarios envisaged in this </w:t>
      </w:r>
      <w:r w:rsidR="009F6763" w:rsidRPr="00642A5D">
        <w:rPr>
          <w:lang w:val="en-AU" w:eastAsia="en-US"/>
        </w:rPr>
        <w:t>assessment</w:t>
      </w:r>
      <w:r w:rsidR="003F7A97" w:rsidRPr="00642A5D">
        <w:rPr>
          <w:lang w:val="en-AU" w:eastAsia="en-US"/>
        </w:rPr>
        <w:t xml:space="preserve"> are representative of development at</w:t>
      </w:r>
      <w:r w:rsidR="00E43415" w:rsidRPr="00642A5D">
        <w:rPr>
          <w:lang w:val="en-AU" w:eastAsia="en-US"/>
        </w:rPr>
        <w:t xml:space="preserve"> an expanded scale that may overestimate areal extent. </w:t>
      </w:r>
      <w:r w:rsidR="00D9172F" w:rsidRPr="00642A5D">
        <w:rPr>
          <w:lang w:val="en-AU" w:eastAsia="en-US"/>
        </w:rPr>
        <w:t>Better definition of the potential extent of development w</w:t>
      </w:r>
      <w:r w:rsidR="00E43415" w:rsidRPr="00642A5D">
        <w:rPr>
          <w:lang w:val="en-AU" w:eastAsia="en-US"/>
        </w:rPr>
        <w:t>ould</w:t>
      </w:r>
      <w:r w:rsidR="00D9172F" w:rsidRPr="00642A5D">
        <w:rPr>
          <w:lang w:val="en-AU" w:eastAsia="en-US"/>
        </w:rPr>
        <w:t xml:space="preserve"> improve the assessment of </w:t>
      </w:r>
      <w:r w:rsidR="001D5761">
        <w:rPr>
          <w:lang w:val="en-AU" w:eastAsia="en-US"/>
        </w:rPr>
        <w:t xml:space="preserve">potential impacts and </w:t>
      </w:r>
      <w:r w:rsidR="00D9172F" w:rsidRPr="00642A5D">
        <w:rPr>
          <w:lang w:val="en-AU" w:eastAsia="en-US"/>
        </w:rPr>
        <w:t>risk</w:t>
      </w:r>
      <w:r w:rsidR="001D5761">
        <w:rPr>
          <w:lang w:val="en-AU" w:eastAsia="en-US"/>
        </w:rPr>
        <w:t>s</w:t>
      </w:r>
      <w:r w:rsidR="00D9172F" w:rsidRPr="00642A5D">
        <w:rPr>
          <w:lang w:val="en-AU" w:eastAsia="en-US"/>
        </w:rPr>
        <w:t xml:space="preserve"> to water resources by more clearly identifying areas that </w:t>
      </w:r>
      <w:r w:rsidR="009F6763" w:rsidRPr="00642A5D">
        <w:rPr>
          <w:lang w:val="en-AU" w:eastAsia="en-US"/>
        </w:rPr>
        <w:t>have no potential for</w:t>
      </w:r>
      <w:r w:rsidR="00D9172F" w:rsidRPr="00642A5D">
        <w:rPr>
          <w:lang w:val="en-AU" w:eastAsia="en-US"/>
        </w:rPr>
        <w:t xml:space="preserve"> development.</w:t>
      </w:r>
    </w:p>
    <w:p w14:paraId="7D948412" w14:textId="69A7D969" w:rsidR="007848B7" w:rsidRPr="00642A5D" w:rsidRDefault="007848B7">
      <w:pPr>
        <w:rPr>
          <w:lang w:val="en-AU" w:eastAsia="en-US"/>
        </w:rPr>
      </w:pPr>
      <w:r w:rsidRPr="00642A5D">
        <w:rPr>
          <w:b/>
          <w:lang w:val="en-AU" w:eastAsia="en-US"/>
        </w:rPr>
        <w:t>Compaction and consolidation parameters</w:t>
      </w:r>
      <w:r w:rsidR="00D9172F" w:rsidRPr="00642A5D">
        <w:rPr>
          <w:b/>
          <w:lang w:val="en-AU" w:eastAsia="en-US"/>
        </w:rPr>
        <w:t>:</w:t>
      </w:r>
      <w:r w:rsidR="00D9172F" w:rsidRPr="00642A5D">
        <w:rPr>
          <w:lang w:val="en-AU" w:eastAsia="en-US"/>
        </w:rPr>
        <w:t xml:space="preserve"> The risk of land subsidence is evaluated based on parameters for compaction. These parameters are known at one location (Barwon Downs). Improved assessment of the risk of subsidence could be made if more data on the compaction of aquitards was available. In particular additional data on these factors for the Gellibrand Marl, across the region, would be a useful addition.</w:t>
      </w:r>
    </w:p>
    <w:p w14:paraId="459BA505" w14:textId="77777777" w:rsidR="00906E89" w:rsidRPr="00642A5D" w:rsidRDefault="007848B7" w:rsidP="00A35B08">
      <w:pPr>
        <w:rPr>
          <w:lang w:val="en-AU" w:eastAsia="en-US"/>
        </w:rPr>
      </w:pPr>
      <w:r w:rsidRPr="00642A5D">
        <w:rPr>
          <w:b/>
          <w:lang w:val="en-AU" w:eastAsia="en-US"/>
        </w:rPr>
        <w:t>Relationship between drawdown and river flow</w:t>
      </w:r>
      <w:r w:rsidRPr="00485339">
        <w:rPr>
          <w:b/>
          <w:lang w:val="en-AU" w:eastAsia="en-US"/>
        </w:rPr>
        <w:t>s</w:t>
      </w:r>
      <w:r w:rsidR="00906E89" w:rsidRPr="00485339">
        <w:rPr>
          <w:b/>
          <w:lang w:val="en-AU" w:eastAsia="en-US"/>
        </w:rPr>
        <w:t>:</w:t>
      </w:r>
      <w:r w:rsidR="00906E89" w:rsidRPr="00642A5D">
        <w:rPr>
          <w:lang w:val="en-AU" w:eastAsia="en-US"/>
        </w:rPr>
        <w:t xml:space="preserve"> </w:t>
      </w:r>
      <w:r w:rsidR="007524C9" w:rsidRPr="00642A5D">
        <w:t>For this assessment the impact on surface water users has been assessed by inferring impact from the existing depth to watertable and predicted drawdown.</w:t>
      </w:r>
      <w:r w:rsidR="00906E89" w:rsidRPr="00642A5D">
        <w:rPr>
          <w:lang w:val="en-AU" w:eastAsia="en-US"/>
        </w:rPr>
        <w:t xml:space="preserve"> To improve this, improve</w:t>
      </w:r>
      <w:r w:rsidR="003C3C17" w:rsidRPr="00642A5D">
        <w:rPr>
          <w:lang w:val="en-AU" w:eastAsia="en-US"/>
        </w:rPr>
        <w:t>d</w:t>
      </w:r>
      <w:r w:rsidR="00906E89" w:rsidRPr="00642A5D">
        <w:rPr>
          <w:lang w:val="en-AU" w:eastAsia="en-US"/>
        </w:rPr>
        <w:t xml:space="preserve"> descriptions of the relationship between drawdown and river flow could be developed. For example, if major river reaches were to have a drawdown sensitivity assigned to flow, then the drawdown estimates could be more readily assessed in terms of the impact on surface water availability. The current study infers that in all areas drawdown will lower surface water availability where the watertable is shallow. This may not be the case in all areas because of the nature of the surface water systems. Better description of the link between drawdown and surface water flow </w:t>
      </w:r>
      <w:r w:rsidR="00AE2655" w:rsidRPr="00642A5D">
        <w:rPr>
          <w:lang w:val="en-AU" w:eastAsia="en-US"/>
        </w:rPr>
        <w:t>c</w:t>
      </w:r>
      <w:r w:rsidR="00906E89" w:rsidRPr="00642A5D">
        <w:rPr>
          <w:lang w:val="en-AU" w:eastAsia="en-US"/>
        </w:rPr>
        <w:t xml:space="preserve">ould improve the assessment of </w:t>
      </w:r>
      <w:r w:rsidR="001D5761">
        <w:rPr>
          <w:lang w:val="en-AU" w:eastAsia="en-US"/>
        </w:rPr>
        <w:t>potential impacts</w:t>
      </w:r>
      <w:r w:rsidR="00906E89" w:rsidRPr="00642A5D">
        <w:rPr>
          <w:lang w:val="en-AU" w:eastAsia="en-US"/>
        </w:rPr>
        <w:t>, allowing it</w:t>
      </w:r>
      <w:r w:rsidR="0061171D" w:rsidRPr="00642A5D">
        <w:rPr>
          <w:lang w:val="en-AU" w:eastAsia="en-US"/>
        </w:rPr>
        <w:t xml:space="preserve"> to</w:t>
      </w:r>
      <w:r w:rsidR="00906E89" w:rsidRPr="00642A5D">
        <w:rPr>
          <w:lang w:val="en-AU" w:eastAsia="en-US"/>
        </w:rPr>
        <w:t xml:space="preserve"> be more targeted.</w:t>
      </w:r>
    </w:p>
    <w:p w14:paraId="14981229" w14:textId="77777777" w:rsidR="002C1788" w:rsidRDefault="002C1788">
      <w:pPr>
        <w:spacing w:after="200"/>
        <w:rPr>
          <w:b/>
          <w:lang w:val="en-AU" w:eastAsia="en-US"/>
        </w:rPr>
      </w:pPr>
      <w:r>
        <w:rPr>
          <w:b/>
          <w:lang w:val="en-AU" w:eastAsia="en-US"/>
        </w:rPr>
        <w:br w:type="page"/>
      </w:r>
    </w:p>
    <w:p w14:paraId="7F167BAB" w14:textId="65C368CB" w:rsidR="007848B7" w:rsidRPr="00642A5D" w:rsidRDefault="007848B7">
      <w:pPr>
        <w:rPr>
          <w:lang w:val="en-AU" w:eastAsia="en-US"/>
        </w:rPr>
      </w:pPr>
      <w:r w:rsidRPr="00642A5D">
        <w:rPr>
          <w:b/>
          <w:lang w:val="en-AU" w:eastAsia="en-US"/>
        </w:rPr>
        <w:t xml:space="preserve">Connection of ecosystems to </w:t>
      </w:r>
      <w:r w:rsidRPr="00485339">
        <w:rPr>
          <w:b/>
          <w:lang w:val="en-AU" w:eastAsia="en-US"/>
        </w:rPr>
        <w:t>groundwater</w:t>
      </w:r>
      <w:r w:rsidR="0061171D" w:rsidRPr="00485339">
        <w:rPr>
          <w:b/>
          <w:lang w:val="en-AU" w:eastAsia="en-US"/>
        </w:rPr>
        <w:t>:</w:t>
      </w:r>
      <w:r w:rsidR="0061171D" w:rsidRPr="00642A5D">
        <w:rPr>
          <w:lang w:val="en-AU" w:eastAsia="en-US"/>
        </w:rPr>
        <w:t xml:space="preserve"> The </w:t>
      </w:r>
      <w:r w:rsidR="001D5761">
        <w:rPr>
          <w:lang w:val="en-AU" w:eastAsia="en-US"/>
        </w:rPr>
        <w:t>potential impact</w:t>
      </w:r>
      <w:r w:rsidR="001D5761" w:rsidRPr="00642A5D">
        <w:rPr>
          <w:lang w:val="en-AU" w:eastAsia="en-US"/>
        </w:rPr>
        <w:t xml:space="preserve"> </w:t>
      </w:r>
      <w:r w:rsidR="0061171D" w:rsidRPr="00642A5D">
        <w:rPr>
          <w:lang w:val="en-AU" w:eastAsia="en-US"/>
        </w:rPr>
        <w:t xml:space="preserve">to surface water ecosystems has been inferred from the groundwater depth. This may or may not reflect the sensitivity and likelihood of impact in response to drawdown. The assessment could be improved if a better definition of the response to drawdown for different surface water ecosystems was available for the Otway. This </w:t>
      </w:r>
      <w:r w:rsidR="00AE2655" w:rsidRPr="00642A5D">
        <w:rPr>
          <w:lang w:val="en-AU" w:eastAsia="en-US"/>
        </w:rPr>
        <w:t>c</w:t>
      </w:r>
      <w:r w:rsidR="0061171D" w:rsidRPr="00642A5D">
        <w:rPr>
          <w:lang w:val="en-AU" w:eastAsia="en-US"/>
        </w:rPr>
        <w:t>ould enable a more targeted assessment to be made.</w:t>
      </w:r>
    </w:p>
    <w:p w14:paraId="1C933A92" w14:textId="5F82FA98" w:rsidR="007848B7" w:rsidRPr="00642A5D" w:rsidRDefault="00C87ED1">
      <w:pPr>
        <w:rPr>
          <w:lang w:val="en-AU" w:eastAsia="en-US"/>
        </w:rPr>
      </w:pPr>
      <w:r w:rsidRPr="00642A5D">
        <w:rPr>
          <w:lang w:val="en-AU" w:eastAsia="en-US"/>
        </w:rPr>
        <w:t>These data gaps and uncertainties do not alter the assessment method, which remains appropriate. It is expected that the assessment would not change as a result of updating the data as suggested above.</w:t>
      </w:r>
    </w:p>
    <w:p w14:paraId="573AB8CC" w14:textId="77777777" w:rsidR="007848B7" w:rsidRPr="00642A5D" w:rsidRDefault="007848B7">
      <w:pPr>
        <w:rPr>
          <w:lang w:val="en-AU" w:eastAsia="en-US"/>
        </w:rPr>
      </w:pPr>
    </w:p>
    <w:p w14:paraId="02D04813" w14:textId="77777777" w:rsidR="00A76DC9" w:rsidRPr="00642A5D" w:rsidRDefault="00A76DC9">
      <w:pPr>
        <w:rPr>
          <w:lang w:val="en-AU" w:eastAsia="en-US"/>
        </w:rPr>
      </w:pPr>
    </w:p>
    <w:p w14:paraId="0B69ABD7" w14:textId="77777777" w:rsidR="00A76DC9" w:rsidRPr="00642A5D" w:rsidRDefault="00A76DC9">
      <w:pPr>
        <w:rPr>
          <w:lang w:val="en-AU" w:eastAsia="en-US"/>
        </w:rPr>
        <w:sectPr w:rsidR="00A76DC9" w:rsidRPr="00642A5D" w:rsidSect="00CF4178">
          <w:pgSz w:w="11906" w:h="16838" w:code="9"/>
          <w:pgMar w:top="2268" w:right="1134" w:bottom="1276" w:left="1134" w:header="567" w:footer="567" w:gutter="0"/>
          <w:cols w:space="708"/>
          <w:titlePg/>
          <w:docGrid w:linePitch="360"/>
        </w:sectPr>
      </w:pPr>
    </w:p>
    <w:p w14:paraId="6FF20DA7" w14:textId="77777777" w:rsidR="00A5429C" w:rsidRPr="00642A5D" w:rsidRDefault="00E86EEC" w:rsidP="00A33B00">
      <w:pPr>
        <w:pStyle w:val="Head1x"/>
      </w:pPr>
      <w:bookmarkStart w:id="683" w:name="_Toc420570315"/>
      <w:bookmarkStart w:id="684" w:name="_Toc420571511"/>
      <w:bookmarkStart w:id="685" w:name="_Toc420572149"/>
      <w:bookmarkStart w:id="686" w:name="_Toc296767007"/>
      <w:bookmarkStart w:id="687" w:name="_Toc422927931"/>
      <w:r w:rsidRPr="00642A5D">
        <w:t>References</w:t>
      </w:r>
      <w:bookmarkEnd w:id="683"/>
      <w:bookmarkEnd w:id="684"/>
      <w:bookmarkEnd w:id="685"/>
      <w:bookmarkEnd w:id="686"/>
      <w:bookmarkEnd w:id="687"/>
    </w:p>
    <w:p w14:paraId="66440EA8" w14:textId="77777777" w:rsidR="004F4E80" w:rsidRPr="002C1788" w:rsidRDefault="004F4E80" w:rsidP="004F4E80">
      <w:pPr>
        <w:rPr>
          <w:sz w:val="18"/>
          <w:szCs w:val="18"/>
        </w:rPr>
      </w:pPr>
      <w:r w:rsidRPr="002C1788">
        <w:rPr>
          <w:sz w:val="18"/>
          <w:szCs w:val="18"/>
        </w:rPr>
        <w:t>AMERICAN PETROLEUM INSTITUTE – API, 2009. Hydraulic fracturing operations – well construction and integrity guidelines. API guidance document HF1, API Publishing Services, Washington USA.</w:t>
      </w:r>
    </w:p>
    <w:p w14:paraId="5BF32663" w14:textId="77777777" w:rsidR="004F4E80" w:rsidRPr="002C1788" w:rsidRDefault="004F4E80" w:rsidP="004F4E80">
      <w:pPr>
        <w:rPr>
          <w:sz w:val="18"/>
          <w:szCs w:val="18"/>
        </w:rPr>
      </w:pPr>
      <w:r w:rsidRPr="002C1788">
        <w:rPr>
          <w:sz w:val="18"/>
          <w:szCs w:val="18"/>
        </w:rPr>
        <w:t>ARTHUR, J. D., BOHM, B., &amp; LAYNE, M., 2008. Hydraulic fracturing considerations for natural gas wells of the Marcellus Shale. Presented at The Ground Water Protection Council 2008 Annual Forum, Cincinnati, OH., September 21-24.</w:t>
      </w:r>
    </w:p>
    <w:p w14:paraId="59B976CC" w14:textId="77777777" w:rsidR="001608D3" w:rsidRPr="002C1788" w:rsidRDefault="001608D3" w:rsidP="001608D3">
      <w:pPr>
        <w:rPr>
          <w:sz w:val="18"/>
          <w:szCs w:val="18"/>
        </w:rPr>
      </w:pPr>
      <w:r w:rsidRPr="002C1788">
        <w:rPr>
          <w:sz w:val="18"/>
          <w:szCs w:val="18"/>
        </w:rPr>
        <w:t xml:space="preserve">BARWON WATER (2013) Gerangamete groundwater management area Groundwater licence no: BEE032496 2012 - 2013 report. </w:t>
      </w:r>
    </w:p>
    <w:p w14:paraId="1E566315" w14:textId="77777777" w:rsidR="004F4E80" w:rsidRPr="002C1788" w:rsidRDefault="004F4E80" w:rsidP="004F4E80">
      <w:pPr>
        <w:rPr>
          <w:rFonts w:cs="Arial"/>
          <w:sz w:val="18"/>
          <w:szCs w:val="18"/>
        </w:rPr>
      </w:pPr>
      <w:r w:rsidRPr="002C1788">
        <w:rPr>
          <w:sz w:val="18"/>
          <w:szCs w:val="18"/>
        </w:rPr>
        <w:t>BC OIL AND GAS COMMISSION, 2012. Investigation of Observed Seismicity in the Horn River Basin. August 2012.</w:t>
      </w:r>
    </w:p>
    <w:p w14:paraId="7323CDB4" w14:textId="77777777" w:rsidR="004F4E80" w:rsidRPr="002C1788" w:rsidRDefault="004F4E80" w:rsidP="004F4E80">
      <w:pPr>
        <w:rPr>
          <w:rFonts w:cs="Arial"/>
          <w:sz w:val="18"/>
          <w:szCs w:val="18"/>
        </w:rPr>
      </w:pPr>
      <w:r w:rsidRPr="002C1788">
        <w:rPr>
          <w:rFonts w:cs="Arial"/>
          <w:sz w:val="18"/>
          <w:szCs w:val="18"/>
        </w:rPr>
        <w:t xml:space="preserve">BENNETTS, D., 2005. </w:t>
      </w:r>
      <w:r w:rsidRPr="002C1788">
        <w:rPr>
          <w:rFonts w:cs="Arial"/>
          <w:i/>
          <w:sz w:val="18"/>
          <w:szCs w:val="18"/>
        </w:rPr>
        <w:t>Hydrology, hydrogeology and hydrogeochemistry of groundwater flow systems within the Hamilton basalt plains, western Victoria, and their role in dryland salinisation.</w:t>
      </w:r>
      <w:r w:rsidRPr="002C1788">
        <w:rPr>
          <w:rFonts w:cs="Arial"/>
          <w:sz w:val="18"/>
          <w:szCs w:val="18"/>
        </w:rPr>
        <w:t xml:space="preserve"> Unpublished PhD Thesis. La Trobe University.</w:t>
      </w:r>
    </w:p>
    <w:p w14:paraId="3F97719F" w14:textId="77777777" w:rsidR="004F4E80" w:rsidRPr="002C1788" w:rsidRDefault="004F4E80" w:rsidP="004F4E80">
      <w:pPr>
        <w:rPr>
          <w:rFonts w:cs="Arial"/>
          <w:sz w:val="18"/>
          <w:szCs w:val="18"/>
        </w:rPr>
      </w:pPr>
      <w:r w:rsidRPr="002C1788">
        <w:rPr>
          <w:rFonts w:cs="Arial"/>
          <w:sz w:val="18"/>
          <w:szCs w:val="18"/>
        </w:rPr>
        <w:t xml:space="preserve">BIRCH W. D., 2003. </w:t>
      </w:r>
      <w:r w:rsidRPr="002C1788">
        <w:rPr>
          <w:rFonts w:cs="Arial"/>
          <w:i/>
          <w:sz w:val="18"/>
          <w:szCs w:val="18"/>
        </w:rPr>
        <w:t>Geology of Victoria</w:t>
      </w:r>
      <w:r w:rsidRPr="002C1788">
        <w:rPr>
          <w:rFonts w:cs="Arial"/>
          <w:sz w:val="18"/>
          <w:szCs w:val="18"/>
        </w:rPr>
        <w:t>. Geological Society of Australia special publication 23.</w:t>
      </w:r>
    </w:p>
    <w:p w14:paraId="2FEEA4B9" w14:textId="77777777" w:rsidR="004F4E80" w:rsidRPr="002C1788" w:rsidRDefault="004F4E80" w:rsidP="004F4E80">
      <w:pPr>
        <w:rPr>
          <w:rFonts w:cs="Arial"/>
          <w:sz w:val="18"/>
          <w:szCs w:val="18"/>
        </w:rPr>
      </w:pPr>
      <w:r w:rsidRPr="002C1788">
        <w:rPr>
          <w:rFonts w:cs="Arial"/>
          <w:sz w:val="18"/>
          <w:szCs w:val="18"/>
        </w:rPr>
        <w:t xml:space="preserve">BOULT, P. &amp; HIBBURT, J., 2002. </w:t>
      </w:r>
      <w:r w:rsidRPr="002C1788">
        <w:rPr>
          <w:rFonts w:cs="Arial"/>
          <w:i/>
          <w:sz w:val="18"/>
          <w:szCs w:val="18"/>
        </w:rPr>
        <w:t xml:space="preserve">The petroleum geology of South Australia. </w:t>
      </w:r>
      <w:r w:rsidRPr="002C1788">
        <w:rPr>
          <w:rFonts w:cs="Arial"/>
          <w:sz w:val="18"/>
          <w:szCs w:val="18"/>
        </w:rPr>
        <w:t>Vol. 1: Otway Basin. 2nd edn. South Australia. Department of Primary Industries and Resources. Petroleum Geology of South Australia Series, Vol. 1.</w:t>
      </w:r>
    </w:p>
    <w:p w14:paraId="71321D61" w14:textId="77777777" w:rsidR="004F4E80" w:rsidRPr="002C1788" w:rsidRDefault="004F4E80" w:rsidP="004F4E80">
      <w:pPr>
        <w:rPr>
          <w:rFonts w:cs="Arial"/>
          <w:sz w:val="18"/>
          <w:szCs w:val="18"/>
        </w:rPr>
      </w:pPr>
      <w:r w:rsidRPr="002C1788">
        <w:rPr>
          <w:sz w:val="18"/>
          <w:szCs w:val="18"/>
          <w:lang w:val="en-US"/>
        </w:rPr>
        <w:t>BOUWER, H., 1978</w:t>
      </w:r>
      <w:r w:rsidRPr="002C1788">
        <w:rPr>
          <w:i/>
          <w:sz w:val="18"/>
          <w:szCs w:val="18"/>
          <w:lang w:val="en-US"/>
        </w:rPr>
        <w:t>. Groundwater Hydrology</w:t>
      </w:r>
      <w:r w:rsidRPr="002C1788">
        <w:rPr>
          <w:sz w:val="18"/>
          <w:szCs w:val="18"/>
          <w:lang w:val="en-US"/>
        </w:rPr>
        <w:t>. ISBN 0-07-006715-5</w:t>
      </w:r>
    </w:p>
    <w:p w14:paraId="2A9DF9B7" w14:textId="77777777" w:rsidR="004F4E80" w:rsidRPr="002C1788" w:rsidRDefault="004F4E80" w:rsidP="004F4E80">
      <w:pPr>
        <w:rPr>
          <w:rFonts w:cs="Arial"/>
          <w:sz w:val="18"/>
          <w:szCs w:val="18"/>
        </w:rPr>
      </w:pPr>
      <w:r w:rsidRPr="002C1788">
        <w:rPr>
          <w:rFonts w:cs="Arial"/>
          <w:sz w:val="18"/>
          <w:szCs w:val="18"/>
        </w:rPr>
        <w:t xml:space="preserve">BUSH, A.L., 2009. </w:t>
      </w:r>
      <w:r w:rsidRPr="002C1788">
        <w:rPr>
          <w:rFonts w:cs="Arial"/>
          <w:i/>
          <w:sz w:val="18"/>
          <w:szCs w:val="18"/>
        </w:rPr>
        <w:t>Physical and chemical hydrogeology of the Otway Basin, southeast Australia</w:t>
      </w:r>
      <w:r w:rsidRPr="002C1788">
        <w:rPr>
          <w:rFonts w:cs="Arial"/>
          <w:sz w:val="18"/>
          <w:szCs w:val="18"/>
        </w:rPr>
        <w:t>. PhD Thesis, School of Earth Sciences, Faculty of Science, University of Melbourne.</w:t>
      </w:r>
    </w:p>
    <w:p w14:paraId="0981B57B" w14:textId="77777777" w:rsidR="004F4E80" w:rsidRPr="00917DBC" w:rsidRDefault="004F4E80" w:rsidP="004F4E80">
      <w:pPr>
        <w:rPr>
          <w:rFonts w:cs="Arial"/>
          <w:color w:val="444444"/>
          <w:sz w:val="18"/>
          <w:szCs w:val="18"/>
        </w:rPr>
      </w:pPr>
      <w:r w:rsidRPr="00917DBC">
        <w:rPr>
          <w:rFonts w:cs="Arial"/>
          <w:sz w:val="18"/>
          <w:szCs w:val="18"/>
        </w:rPr>
        <w:t xml:space="preserve">CAPP, 2012. The facts on natural gas fact sheet published as part of the upstream dialogue series </w:t>
      </w:r>
      <w:hyperlink r:id="rId72" w:history="1">
        <w:r w:rsidRPr="00917DBC">
          <w:rPr>
            <w:rStyle w:val="Hyperlink"/>
            <w:rFonts w:eastAsiaTheme="minorEastAsia" w:cs="Arial"/>
            <w:sz w:val="18"/>
            <w:szCs w:val="18"/>
          </w:rPr>
          <w:t>http://www.capp.ca/UpstreamDialogue/NaturalGas/Pages/default.aspx</w:t>
        </w:r>
      </w:hyperlink>
      <w:r w:rsidRPr="00917DBC">
        <w:rPr>
          <w:rFonts w:cs="Arial"/>
          <w:color w:val="444444"/>
          <w:sz w:val="18"/>
          <w:szCs w:val="18"/>
        </w:rPr>
        <w:t xml:space="preserve"> </w:t>
      </w:r>
    </w:p>
    <w:p w14:paraId="501BD48C" w14:textId="77777777" w:rsidR="004F4E80" w:rsidRPr="002C1788" w:rsidRDefault="004F4E80" w:rsidP="004F4E80">
      <w:pPr>
        <w:rPr>
          <w:rFonts w:cs="Arial"/>
          <w:sz w:val="18"/>
          <w:szCs w:val="18"/>
        </w:rPr>
      </w:pPr>
      <w:r w:rsidRPr="002C1788">
        <w:rPr>
          <w:rFonts w:cs="Arial"/>
          <w:sz w:val="18"/>
          <w:szCs w:val="18"/>
        </w:rPr>
        <w:t xml:space="preserve">CAMPIN, D., 2013. Environmental Regulation of Hydraulic Fracturing in Queensland, Society of Petroleum Engineers, Annual Technical Conference and Exhibition. </w:t>
      </w:r>
      <w:hyperlink r:id="rId73" w:history="1">
        <w:r w:rsidRPr="002C1788">
          <w:rPr>
            <w:rStyle w:val="Hyperlink"/>
            <w:rFonts w:eastAsiaTheme="minorEastAsia"/>
            <w:sz w:val="18"/>
            <w:szCs w:val="18"/>
          </w:rPr>
          <w:t>https://www.spe-qld.org/useruploads/files/spe_166146_for_6_march_2014.pdf</w:t>
        </w:r>
      </w:hyperlink>
      <w:r w:rsidRPr="002C1788">
        <w:rPr>
          <w:rFonts w:cs="Arial"/>
          <w:sz w:val="18"/>
          <w:szCs w:val="18"/>
        </w:rPr>
        <w:t xml:space="preserve"> </w:t>
      </w:r>
    </w:p>
    <w:p w14:paraId="56B5E6C9" w14:textId="6807B2E4" w:rsidR="004F4E80" w:rsidRPr="002C1788" w:rsidRDefault="004F4E80" w:rsidP="004F4E80">
      <w:pPr>
        <w:rPr>
          <w:sz w:val="18"/>
          <w:szCs w:val="18"/>
        </w:rPr>
      </w:pPr>
      <w:r w:rsidRPr="002C1788">
        <w:rPr>
          <w:rFonts w:cs="Arial"/>
          <w:sz w:val="18"/>
          <w:szCs w:val="18"/>
        </w:rPr>
        <w:t>CSIRO, 2011. A desktop study of the occurrence of Total Petroleum Hydrocarbon TPH and partially water-soluble organic compounds in Permian coals</w:t>
      </w:r>
      <w:r w:rsidRPr="002C1788">
        <w:rPr>
          <w:sz w:val="18"/>
          <w:szCs w:val="18"/>
        </w:rPr>
        <w:t xml:space="preserve"> and associated coal seam groundwater. A report for AGL Energy, Petroleum and Geothermal Research Portfolio</w:t>
      </w:r>
      <w:r w:rsidR="002D5472" w:rsidRPr="002C1788">
        <w:rPr>
          <w:sz w:val="18"/>
          <w:szCs w:val="18"/>
        </w:rPr>
        <w:t>.</w:t>
      </w:r>
      <w:r w:rsidRPr="002C1788">
        <w:rPr>
          <w:sz w:val="18"/>
          <w:szCs w:val="18"/>
        </w:rPr>
        <w:t xml:space="preserve"> Open File Report EP-13-09-11-11</w:t>
      </w:r>
      <w:r w:rsidR="002D5472" w:rsidRPr="002C1788">
        <w:rPr>
          <w:sz w:val="18"/>
          <w:szCs w:val="18"/>
        </w:rPr>
        <w:t xml:space="preserve">, </w:t>
      </w:r>
      <w:r w:rsidR="002D5472" w:rsidRPr="002C1788">
        <w:rPr>
          <w:rFonts w:cs="Arial"/>
          <w:sz w:val="18"/>
          <w:szCs w:val="18"/>
        </w:rPr>
        <w:t>Commonwealth Scientific and Industrial Research Organisation.</w:t>
      </w:r>
    </w:p>
    <w:p w14:paraId="1B638463" w14:textId="77777777" w:rsidR="004F4E80" w:rsidRPr="002C1788" w:rsidRDefault="004F4E80" w:rsidP="004F4E80">
      <w:pPr>
        <w:rPr>
          <w:rFonts w:cs="Arial"/>
          <w:sz w:val="18"/>
          <w:szCs w:val="18"/>
        </w:rPr>
      </w:pPr>
      <w:r w:rsidRPr="002C1788">
        <w:rPr>
          <w:rFonts w:cs="Arial"/>
          <w:sz w:val="18"/>
          <w:szCs w:val="18"/>
        </w:rPr>
        <w:t>COMMONWEALTH SCIENTIFIC RESEARCH INDUSTRIAL RESEARCH ORGANISATION – CSIRO, 2014. Hydraulic fracturing in coal seams. 4-00589. August 2014.</w:t>
      </w:r>
    </w:p>
    <w:p w14:paraId="53DA9BDC" w14:textId="0A66B1AB" w:rsidR="004F4E80" w:rsidRPr="002C1788" w:rsidRDefault="004F4E80" w:rsidP="004F4E80">
      <w:pPr>
        <w:rPr>
          <w:rFonts w:cs="Arial"/>
          <w:sz w:val="18"/>
          <w:szCs w:val="18"/>
        </w:rPr>
      </w:pPr>
      <w:r w:rsidRPr="002C1788">
        <w:rPr>
          <w:rFonts w:cs="Arial"/>
          <w:sz w:val="18"/>
          <w:szCs w:val="18"/>
        </w:rPr>
        <w:t>COOK, P.J. (</w:t>
      </w:r>
      <w:r w:rsidR="002D5472" w:rsidRPr="002C1788">
        <w:rPr>
          <w:rFonts w:cs="Arial"/>
          <w:sz w:val="18"/>
          <w:szCs w:val="18"/>
        </w:rPr>
        <w:t>ed.</w:t>
      </w:r>
      <w:r w:rsidRPr="002C1788">
        <w:rPr>
          <w:rFonts w:cs="Arial"/>
          <w:sz w:val="18"/>
          <w:szCs w:val="18"/>
        </w:rPr>
        <w:t xml:space="preserve">), 2014. </w:t>
      </w:r>
      <w:r w:rsidRPr="002C1788">
        <w:rPr>
          <w:rFonts w:cs="Arial"/>
          <w:i/>
          <w:sz w:val="18"/>
          <w:szCs w:val="18"/>
        </w:rPr>
        <w:t>Geologically Storing Carbon – Learning from the Otway Experience</w:t>
      </w:r>
      <w:r w:rsidRPr="002C1788">
        <w:rPr>
          <w:rFonts w:cs="Arial"/>
          <w:sz w:val="18"/>
          <w:szCs w:val="18"/>
        </w:rPr>
        <w:t>. CSIRO Publishing, Collingwood, Australia.</w:t>
      </w:r>
    </w:p>
    <w:p w14:paraId="049A3538" w14:textId="77777777" w:rsidR="004F4E80" w:rsidRPr="002C1788" w:rsidRDefault="004F4E80" w:rsidP="004F4E80">
      <w:pPr>
        <w:rPr>
          <w:sz w:val="18"/>
          <w:szCs w:val="18"/>
        </w:rPr>
      </w:pPr>
      <w:r w:rsidRPr="002C1788">
        <w:rPr>
          <w:sz w:val="18"/>
          <w:szCs w:val="18"/>
        </w:rPr>
        <w:t xml:space="preserve">COOK, P., BECK, V., BRERETON, D., CLARK, R., FISHER, B., KENTISH, S., TOOMEY, J. &amp; WILLIAMS, J., 2013. Engineering energy: unconventional gas production. Report for the Australian Council of Learned Academies, </w:t>
      </w:r>
      <w:hyperlink r:id="rId74" w:history="1">
        <w:r w:rsidRPr="002C1788">
          <w:rPr>
            <w:rStyle w:val="Hyperlink"/>
            <w:sz w:val="18"/>
            <w:szCs w:val="18"/>
          </w:rPr>
          <w:t>www.acola.org.au</w:t>
        </w:r>
      </w:hyperlink>
      <w:r w:rsidRPr="002C1788">
        <w:rPr>
          <w:sz w:val="18"/>
          <w:szCs w:val="18"/>
        </w:rPr>
        <w:t>.</w:t>
      </w:r>
    </w:p>
    <w:p w14:paraId="2AF86735" w14:textId="77777777" w:rsidR="004F4E80" w:rsidRPr="002C1788" w:rsidRDefault="004F4E80" w:rsidP="004F4E80">
      <w:pPr>
        <w:rPr>
          <w:sz w:val="18"/>
          <w:szCs w:val="18"/>
        </w:rPr>
      </w:pPr>
      <w:r w:rsidRPr="002C1788">
        <w:rPr>
          <w:sz w:val="18"/>
          <w:szCs w:val="18"/>
        </w:rPr>
        <w:t>DAY, S., DELL’AMICO, F. &amp; JAVANMARD TOUSI, H., 2014. Field Measurements of Fugitive Emissions from Equipment and Well Casings in Australian Coal Seam Gas Production Facilities. CSIRO, Australia.</w:t>
      </w:r>
    </w:p>
    <w:p w14:paraId="668B6536" w14:textId="59E5B192" w:rsidR="002D5472" w:rsidRPr="002C1788" w:rsidRDefault="002D5472" w:rsidP="002D5472">
      <w:pPr>
        <w:rPr>
          <w:sz w:val="18"/>
          <w:szCs w:val="18"/>
        </w:rPr>
      </w:pPr>
      <w:r w:rsidRPr="002C1788">
        <w:rPr>
          <w:sz w:val="18"/>
          <w:szCs w:val="18"/>
        </w:rPr>
        <w:t>DEEDI, 2011. Code of practice for constructing and abandoning coal seam gas wells in Queensland. Version 1. Department of Employment, Economic Development and Innovation, Queensland. November 2011.</w:t>
      </w:r>
    </w:p>
    <w:p w14:paraId="169C2922" w14:textId="3CF22F59" w:rsidR="004F4E80" w:rsidRPr="002C1788" w:rsidRDefault="004F4E80" w:rsidP="004F4E80">
      <w:pPr>
        <w:rPr>
          <w:sz w:val="18"/>
          <w:szCs w:val="18"/>
        </w:rPr>
      </w:pPr>
      <w:r w:rsidRPr="002C1788">
        <w:rPr>
          <w:sz w:val="18"/>
          <w:szCs w:val="18"/>
        </w:rPr>
        <w:t>DELWP 2015. Ministerial guidelines for groundwater licensing and the protection of groundwater dependent ecosystems.</w:t>
      </w:r>
      <w:r w:rsidR="00485339" w:rsidRPr="002C1788">
        <w:rPr>
          <w:sz w:val="18"/>
          <w:szCs w:val="18"/>
        </w:rPr>
        <w:t xml:space="preserve"> (unpublished technical note)</w:t>
      </w:r>
    </w:p>
    <w:p w14:paraId="37202B7C" w14:textId="3B2CC390" w:rsidR="001608D3" w:rsidRPr="002C1788" w:rsidRDefault="001608D3" w:rsidP="004F4E80">
      <w:pPr>
        <w:rPr>
          <w:sz w:val="18"/>
          <w:szCs w:val="18"/>
        </w:rPr>
      </w:pPr>
      <w:r w:rsidRPr="002C1788">
        <w:rPr>
          <w:sz w:val="18"/>
          <w:szCs w:val="18"/>
        </w:rPr>
        <w:t xml:space="preserve">DEPARTMENT OF SUSTAINABILITY AND ENVIRONMENT (2011) POLICY PAPER - Improving management of Victoria’s groundwater resources ISBN 978-1-74287-358-9 (online) </w:t>
      </w:r>
      <w:hyperlink r:id="rId75" w:history="1">
        <w:r w:rsidRPr="002C1788">
          <w:rPr>
            <w:rStyle w:val="Hyperlink"/>
            <w:sz w:val="18"/>
            <w:szCs w:val="18"/>
          </w:rPr>
          <w:t>http://www.depi.vic.gov.au/__data/assets/pdf_file/0005/188942/Improving-management-of-Victorias-groundwater-resoruces.pdf</w:t>
        </w:r>
      </w:hyperlink>
    </w:p>
    <w:p w14:paraId="400211AB" w14:textId="77777777" w:rsidR="002C1788" w:rsidRDefault="002C1788">
      <w:pPr>
        <w:spacing w:after="200"/>
        <w:rPr>
          <w:sz w:val="18"/>
          <w:szCs w:val="18"/>
        </w:rPr>
      </w:pPr>
      <w:r>
        <w:rPr>
          <w:sz w:val="18"/>
          <w:szCs w:val="18"/>
        </w:rPr>
        <w:br w:type="page"/>
      </w:r>
    </w:p>
    <w:p w14:paraId="38BD2EA2" w14:textId="0B93CBE7" w:rsidR="004F4E80" w:rsidRPr="002C1788" w:rsidRDefault="004F4E80" w:rsidP="004F4E80">
      <w:pPr>
        <w:rPr>
          <w:sz w:val="18"/>
          <w:szCs w:val="18"/>
        </w:rPr>
      </w:pPr>
      <w:r w:rsidRPr="002C1788">
        <w:rPr>
          <w:sz w:val="18"/>
          <w:szCs w:val="18"/>
        </w:rPr>
        <w:t xml:space="preserve">DEPI, 2014. Victorian Water Accounts 2012–2013 - A statement of Victorian water resources. </w:t>
      </w:r>
      <w:r w:rsidR="002D5472" w:rsidRPr="002C1788">
        <w:rPr>
          <w:sz w:val="18"/>
          <w:szCs w:val="18"/>
        </w:rPr>
        <w:t xml:space="preserve">Department of Environment and Primary Industries, Victoria. </w:t>
      </w:r>
      <w:r w:rsidRPr="002C1788">
        <w:rPr>
          <w:sz w:val="18"/>
          <w:szCs w:val="18"/>
        </w:rPr>
        <w:t xml:space="preserve">October 2014. </w:t>
      </w:r>
    </w:p>
    <w:p w14:paraId="4CB2D6FD" w14:textId="3B2D6F8D" w:rsidR="004F4E80" w:rsidRPr="002C1788" w:rsidRDefault="004F4E80" w:rsidP="004F4E80">
      <w:pPr>
        <w:rPr>
          <w:sz w:val="18"/>
          <w:szCs w:val="18"/>
        </w:rPr>
      </w:pPr>
      <w:r w:rsidRPr="002C1788">
        <w:rPr>
          <w:sz w:val="18"/>
          <w:szCs w:val="18"/>
        </w:rPr>
        <w:t xml:space="preserve">DTIRIS, 2012. Code of Practice for Coal Seam Gas - Well Integrity. September 2012. ISBN: 978 1 74256 328 2. </w:t>
      </w:r>
      <w:r w:rsidR="002D5472" w:rsidRPr="002C1788">
        <w:rPr>
          <w:sz w:val="18"/>
          <w:szCs w:val="18"/>
        </w:rPr>
        <w:t>Department of Trade and Investment, Regional Infrastructure and Services, Resources and Energy (http://</w:t>
      </w:r>
      <w:hyperlink r:id="rId76" w:history="1">
        <w:r w:rsidRPr="002C1788">
          <w:rPr>
            <w:rStyle w:val="Hyperlink"/>
            <w:rFonts w:eastAsiaTheme="minorEastAsia"/>
            <w:sz w:val="18"/>
            <w:szCs w:val="18"/>
          </w:rPr>
          <w:t>www.resources.nsw.gov.au</w:t>
        </w:r>
      </w:hyperlink>
      <w:r w:rsidR="002D5472" w:rsidRPr="002C1788">
        <w:rPr>
          <w:sz w:val="18"/>
          <w:szCs w:val="18"/>
        </w:rPr>
        <w:t>)</w:t>
      </w:r>
    </w:p>
    <w:p w14:paraId="03EE9576" w14:textId="77777777" w:rsidR="004F4E80" w:rsidRPr="002C1788" w:rsidRDefault="004F4E80" w:rsidP="004F4E80">
      <w:pPr>
        <w:rPr>
          <w:sz w:val="18"/>
          <w:szCs w:val="18"/>
        </w:rPr>
      </w:pPr>
      <w:r w:rsidRPr="002C1788">
        <w:rPr>
          <w:sz w:val="18"/>
          <w:szCs w:val="18"/>
        </w:rPr>
        <w:t>DIAMOND, W. &amp; OYLER, C., 1987. Effects of Stimulation Treatments on Coal beds and Surrounding Strata Evidence from Underground Observations. Bureau of Mines Report of Investigations, l987, RO 9083.</w:t>
      </w:r>
    </w:p>
    <w:p w14:paraId="72E87268" w14:textId="23731EC5" w:rsidR="004F4E80" w:rsidRPr="002C1788" w:rsidRDefault="004F4E80" w:rsidP="004F4E80">
      <w:pPr>
        <w:rPr>
          <w:sz w:val="18"/>
          <w:szCs w:val="18"/>
        </w:rPr>
      </w:pPr>
      <w:r w:rsidRPr="002C1788">
        <w:rPr>
          <w:sz w:val="18"/>
          <w:szCs w:val="18"/>
        </w:rPr>
        <w:t>DRESEL, P.E., ZYDOR, H., HEKMEIJER, P. &amp; ADELANA, M., 2012. Catchment Scale Impacts of Land Use in South-Western Victoria</w:t>
      </w:r>
      <w:r w:rsidR="002D5472" w:rsidRPr="002C1788">
        <w:rPr>
          <w:sz w:val="18"/>
          <w:szCs w:val="18"/>
        </w:rPr>
        <w:t>.</w:t>
      </w:r>
      <w:r w:rsidRPr="002C1788">
        <w:rPr>
          <w:sz w:val="18"/>
          <w:szCs w:val="18"/>
        </w:rPr>
        <w:t xml:space="preserve"> Department of Primary </w:t>
      </w:r>
      <w:r w:rsidR="00A65062" w:rsidRPr="002C1788">
        <w:rPr>
          <w:sz w:val="18"/>
          <w:szCs w:val="18"/>
        </w:rPr>
        <w:t>Industries, Victoria</w:t>
      </w:r>
      <w:r w:rsidRPr="002C1788">
        <w:rPr>
          <w:sz w:val="18"/>
          <w:szCs w:val="18"/>
        </w:rPr>
        <w:t>.</w:t>
      </w:r>
    </w:p>
    <w:p w14:paraId="5A79F5DE" w14:textId="3AE37E3E" w:rsidR="004F4E80" w:rsidRPr="002C1788" w:rsidRDefault="004F4E80" w:rsidP="004F4E80">
      <w:pPr>
        <w:rPr>
          <w:sz w:val="18"/>
          <w:szCs w:val="18"/>
        </w:rPr>
      </w:pPr>
      <w:r w:rsidRPr="002C1788">
        <w:rPr>
          <w:sz w:val="18"/>
          <w:szCs w:val="18"/>
        </w:rPr>
        <w:t>ECO LOGICAL AUSTRALIA</w:t>
      </w:r>
      <w:r w:rsidR="002D5472" w:rsidRPr="002C1788">
        <w:rPr>
          <w:sz w:val="18"/>
          <w:szCs w:val="18"/>
        </w:rPr>
        <w:t>,</w:t>
      </w:r>
      <w:r w:rsidRPr="002C1788">
        <w:rPr>
          <w:sz w:val="18"/>
          <w:szCs w:val="18"/>
        </w:rPr>
        <w:t xml:space="preserve"> 2011. Proposed Framework for Assessing the Cumulative Risk of Mining on Natural Resource Assets in the Namoi Catchment. Project 11COFNRM-0006 prepared for Namoi CMA. September 2011.</w:t>
      </w:r>
    </w:p>
    <w:p w14:paraId="13DA29AE" w14:textId="77777777" w:rsidR="004F4E80" w:rsidRPr="002C1788" w:rsidRDefault="004F4E80" w:rsidP="004F4E80">
      <w:pPr>
        <w:rPr>
          <w:rFonts w:cs="Arial"/>
          <w:sz w:val="18"/>
          <w:szCs w:val="18"/>
        </w:rPr>
      </w:pPr>
      <w:r w:rsidRPr="002C1788">
        <w:rPr>
          <w:sz w:val="18"/>
          <w:szCs w:val="18"/>
        </w:rPr>
        <w:t xml:space="preserve">ELLSWORTH, W., 2013. Injection induced earthquakes. </w:t>
      </w:r>
      <w:r w:rsidRPr="002C1788">
        <w:rPr>
          <w:i/>
          <w:sz w:val="18"/>
          <w:szCs w:val="18"/>
        </w:rPr>
        <w:t>Science</w:t>
      </w:r>
      <w:r w:rsidRPr="002C1788">
        <w:rPr>
          <w:sz w:val="18"/>
          <w:szCs w:val="18"/>
        </w:rPr>
        <w:t xml:space="preserve"> 341(6142). DOI: 10.1126/science.1225942</w:t>
      </w:r>
    </w:p>
    <w:p w14:paraId="337DBE7F" w14:textId="5208BEDF" w:rsidR="004F4E80" w:rsidRPr="002C1788" w:rsidRDefault="004F4E80" w:rsidP="004F4E80">
      <w:pPr>
        <w:rPr>
          <w:rFonts w:cs="Arial"/>
          <w:sz w:val="18"/>
          <w:szCs w:val="18"/>
        </w:rPr>
      </w:pPr>
      <w:r w:rsidRPr="002C1788">
        <w:rPr>
          <w:rFonts w:cs="Arial"/>
          <w:sz w:val="18"/>
          <w:szCs w:val="18"/>
        </w:rPr>
        <w:t xml:space="preserve">EPA, 2003. </w:t>
      </w:r>
      <w:r w:rsidRPr="002C1788">
        <w:rPr>
          <w:rFonts w:cs="Arial"/>
          <w:i/>
          <w:sz w:val="18"/>
          <w:szCs w:val="18"/>
        </w:rPr>
        <w:t>Drinking Water Advisory: Consumer Acceptability Advice and Health Effects Analysis on Sodium.</w:t>
      </w:r>
      <w:r w:rsidRPr="002C1788">
        <w:rPr>
          <w:rFonts w:cs="Arial"/>
          <w:sz w:val="18"/>
          <w:szCs w:val="18"/>
        </w:rPr>
        <w:t xml:space="preserve"> Prepared for: U.S. Environmental Protection Agency Office of Water 4304T Health and Ecological Criteria Division Washington, DC 20460. Available at: </w:t>
      </w:r>
      <w:hyperlink r:id="rId77" w:history="1">
        <w:r w:rsidRPr="002C1788">
          <w:rPr>
            <w:rStyle w:val="Hyperlink"/>
            <w:rFonts w:eastAsiaTheme="minorEastAsia" w:cs="Arial"/>
            <w:sz w:val="18"/>
            <w:szCs w:val="18"/>
          </w:rPr>
          <w:t>www.epa.gov/safewater/ccl/pdf/sodium.pdf EPA 822-R-03-006 February 2003</w:t>
        </w:r>
      </w:hyperlink>
      <w:r w:rsidR="002D5472" w:rsidRPr="002C1788">
        <w:rPr>
          <w:rStyle w:val="Hyperlink"/>
          <w:rFonts w:eastAsiaTheme="minorEastAsia" w:cs="Arial"/>
          <w:sz w:val="18"/>
          <w:szCs w:val="18"/>
        </w:rPr>
        <w:t>.</w:t>
      </w:r>
    </w:p>
    <w:p w14:paraId="7A01D025" w14:textId="463274BC" w:rsidR="004F4E80" w:rsidRPr="002C1788" w:rsidRDefault="004F4E80" w:rsidP="004F4E80">
      <w:pPr>
        <w:rPr>
          <w:sz w:val="18"/>
          <w:szCs w:val="18"/>
        </w:rPr>
      </w:pPr>
      <w:r w:rsidRPr="002C1788">
        <w:rPr>
          <w:sz w:val="18"/>
          <w:szCs w:val="18"/>
        </w:rPr>
        <w:t xml:space="preserve">FISHER, K. &amp; WARPINSKI, N., 2011. Hydraulic fracture-height growth: real data. Society of Petroleum Engineers – </w:t>
      </w:r>
      <w:r w:rsidR="002C1788">
        <w:rPr>
          <w:sz w:val="18"/>
          <w:szCs w:val="18"/>
        </w:rPr>
        <w:br/>
      </w:r>
      <w:r w:rsidRPr="002C1788">
        <w:rPr>
          <w:sz w:val="18"/>
          <w:szCs w:val="18"/>
        </w:rPr>
        <w:t>SPE 145949.</w:t>
      </w:r>
    </w:p>
    <w:p w14:paraId="329B1C9E" w14:textId="77777777" w:rsidR="004F4E80" w:rsidRPr="002C1788" w:rsidRDefault="004F4E80" w:rsidP="004F4E80">
      <w:pPr>
        <w:rPr>
          <w:rFonts w:cs="Arial"/>
          <w:sz w:val="18"/>
          <w:szCs w:val="18"/>
        </w:rPr>
      </w:pPr>
      <w:r w:rsidRPr="002C1788">
        <w:rPr>
          <w:sz w:val="18"/>
          <w:szCs w:val="18"/>
        </w:rPr>
        <w:t xml:space="preserve">FLEWELLING, S.A, TYMCHAK, M.P. &amp; WARPINSKI, N., 2013. Hydraulic fracture height limits and fault interactions in tight oil and gas formations. </w:t>
      </w:r>
      <w:r w:rsidRPr="002C1788">
        <w:rPr>
          <w:i/>
          <w:sz w:val="18"/>
          <w:szCs w:val="18"/>
        </w:rPr>
        <w:t>Geophysical Research Letters</w:t>
      </w:r>
      <w:r w:rsidRPr="002C1788">
        <w:rPr>
          <w:sz w:val="18"/>
          <w:szCs w:val="18"/>
        </w:rPr>
        <w:t xml:space="preserve"> 40 pp. 3602–3606.</w:t>
      </w:r>
    </w:p>
    <w:p w14:paraId="03A5B8F0" w14:textId="77777777" w:rsidR="004F4E80" w:rsidRPr="002C1788" w:rsidRDefault="004F4E80" w:rsidP="004F4E80">
      <w:pPr>
        <w:rPr>
          <w:sz w:val="18"/>
          <w:szCs w:val="18"/>
        </w:rPr>
      </w:pPr>
      <w:r w:rsidRPr="002C1788">
        <w:rPr>
          <w:sz w:val="18"/>
          <w:szCs w:val="18"/>
        </w:rPr>
        <w:t>FROGTECH, 2013. Geological Risks of Shale Gas in Australia. Project code: AAS801, January 2013.</w:t>
      </w:r>
    </w:p>
    <w:p w14:paraId="720E02E6" w14:textId="77777777" w:rsidR="001608D3" w:rsidRPr="002C1788" w:rsidRDefault="001608D3" w:rsidP="001608D3">
      <w:pPr>
        <w:rPr>
          <w:sz w:val="18"/>
          <w:szCs w:val="18"/>
        </w:rPr>
      </w:pPr>
      <w:r w:rsidRPr="002C1788">
        <w:rPr>
          <w:sz w:val="18"/>
          <w:szCs w:val="18"/>
        </w:rPr>
        <w:t>GANDOSSI, L (2013) An overview of hydraulic fracturing and other formation stimulation technologies for shale gas production Report EUR 26347 EN European Commission Joint Research Centre Institute for Energy and Transport ISBN 978-92-79-34729-0 (pdf)</w:t>
      </w:r>
    </w:p>
    <w:p w14:paraId="6E603333" w14:textId="1BC30BCC" w:rsidR="004F4E80" w:rsidRPr="002C1788" w:rsidRDefault="004F4E80" w:rsidP="004F4E80">
      <w:pPr>
        <w:rPr>
          <w:rFonts w:cs="Arial"/>
          <w:sz w:val="18"/>
          <w:szCs w:val="18"/>
        </w:rPr>
      </w:pPr>
      <w:r w:rsidRPr="002C1788">
        <w:rPr>
          <w:sz w:val="18"/>
          <w:szCs w:val="18"/>
        </w:rPr>
        <w:t xml:space="preserve">GEOSCIENCE AUSTRALIA, 2014. Geoscience Australia Earthquakes. Available at: </w:t>
      </w:r>
      <w:hyperlink r:id="rId78" w:history="1">
        <w:r w:rsidRPr="002C1788">
          <w:rPr>
            <w:rStyle w:val="Hyperlink"/>
            <w:sz w:val="18"/>
            <w:szCs w:val="18"/>
          </w:rPr>
          <w:t>http://www.ga.gov.au/earthquakes/</w:t>
        </w:r>
      </w:hyperlink>
      <w:r w:rsidRPr="002C1788">
        <w:rPr>
          <w:sz w:val="18"/>
          <w:szCs w:val="18"/>
        </w:rPr>
        <w:t>. Last access December 2014.</w:t>
      </w:r>
    </w:p>
    <w:p w14:paraId="7B991E8A" w14:textId="77777777" w:rsidR="004F4E80" w:rsidRPr="002C1788" w:rsidRDefault="004F4E80" w:rsidP="004F4E80">
      <w:pPr>
        <w:rPr>
          <w:rFonts w:cs="Arial"/>
          <w:sz w:val="18"/>
          <w:szCs w:val="18"/>
        </w:rPr>
      </w:pPr>
      <w:r w:rsidRPr="002C1788">
        <w:rPr>
          <w:rFonts w:cs="Arial"/>
          <w:sz w:val="18"/>
          <w:szCs w:val="18"/>
        </w:rPr>
        <w:t xml:space="preserve">GHD, 2012. </w:t>
      </w:r>
      <w:r w:rsidRPr="002C1788">
        <w:rPr>
          <w:rFonts w:cs="Arial"/>
          <w:i/>
          <w:sz w:val="18"/>
          <w:szCs w:val="18"/>
        </w:rPr>
        <w:t>Report on the Development of State-wide 3D Aquifer Surfaces</w:t>
      </w:r>
      <w:r w:rsidRPr="002C1788">
        <w:rPr>
          <w:rFonts w:cs="Arial"/>
          <w:sz w:val="18"/>
          <w:szCs w:val="18"/>
        </w:rPr>
        <w:t>. Prepared for the DSE, May 2012.</w:t>
      </w:r>
    </w:p>
    <w:p w14:paraId="3C358D71" w14:textId="77777777" w:rsidR="004F4E80" w:rsidRPr="002C1788" w:rsidRDefault="004F4E80" w:rsidP="004F4E80">
      <w:pPr>
        <w:rPr>
          <w:rFonts w:cs="Arial"/>
          <w:sz w:val="18"/>
          <w:szCs w:val="18"/>
        </w:rPr>
      </w:pPr>
      <w:r w:rsidRPr="002C1788">
        <w:rPr>
          <w:rFonts w:cs="Arial"/>
          <w:sz w:val="18"/>
          <w:szCs w:val="18"/>
        </w:rPr>
        <w:t xml:space="preserve">GHD, 2014a. </w:t>
      </w:r>
      <w:r w:rsidRPr="002C1788">
        <w:rPr>
          <w:rFonts w:cs="Arial"/>
          <w:i/>
          <w:sz w:val="18"/>
          <w:szCs w:val="18"/>
        </w:rPr>
        <w:t>Groundwater assessment – baseflow dependant rivers</w:t>
      </w:r>
      <w:r w:rsidRPr="002C1788">
        <w:rPr>
          <w:rFonts w:cs="Arial"/>
          <w:sz w:val="18"/>
          <w:szCs w:val="18"/>
        </w:rPr>
        <w:t>. Prepared for the Department of Environment and Primary Industries, May 2014.</w:t>
      </w:r>
    </w:p>
    <w:p w14:paraId="6D8004E2" w14:textId="77777777" w:rsidR="004F4E80" w:rsidRPr="002C1788" w:rsidRDefault="004F4E80" w:rsidP="004F4E80">
      <w:pPr>
        <w:rPr>
          <w:rFonts w:cs="Arial"/>
          <w:sz w:val="18"/>
          <w:szCs w:val="18"/>
        </w:rPr>
      </w:pPr>
      <w:r w:rsidRPr="002C1788">
        <w:rPr>
          <w:rFonts w:cs="Arial"/>
          <w:sz w:val="18"/>
          <w:szCs w:val="18"/>
        </w:rPr>
        <w:t xml:space="preserve">GHD, 2014b. </w:t>
      </w:r>
      <w:r w:rsidRPr="002C1788">
        <w:rPr>
          <w:rFonts w:cs="Arial"/>
          <w:i/>
          <w:sz w:val="18"/>
          <w:szCs w:val="18"/>
        </w:rPr>
        <w:t>Water Asset Identification Project, State Report</w:t>
      </w:r>
      <w:r w:rsidRPr="002C1788">
        <w:rPr>
          <w:rFonts w:cs="Arial"/>
          <w:sz w:val="18"/>
          <w:szCs w:val="18"/>
        </w:rPr>
        <w:t>. Prepared for the West Gippsland Catchment Management Authority, May 2014.</w:t>
      </w:r>
    </w:p>
    <w:p w14:paraId="4ABBCB00" w14:textId="1701AB02" w:rsidR="00C54663" w:rsidRPr="002C1788" w:rsidRDefault="00C54663" w:rsidP="00C54663">
      <w:pPr>
        <w:rPr>
          <w:sz w:val="18"/>
          <w:szCs w:val="18"/>
        </w:rPr>
      </w:pPr>
      <w:r w:rsidRPr="002C1788">
        <w:rPr>
          <w:sz w:val="18"/>
          <w:szCs w:val="18"/>
        </w:rPr>
        <w:t xml:space="preserve">GOLDER ASSOCIATES, 2010. Coal Seam Hydraulic Fracturing Fluid Environmental Risk Assessment. Response to the Coordinator – General Requirements for Coal Seam Gas Operations in the Surat and Bowen Basins, Queensland </w:t>
      </w:r>
      <w:hyperlink r:id="rId79" w:history="1">
        <w:r w:rsidRPr="002C1788">
          <w:rPr>
            <w:rFonts w:cs="Arial"/>
            <w:sz w:val="18"/>
            <w:szCs w:val="18"/>
          </w:rPr>
          <w:t>http://www.santos.com/library/Roma_Shallow_Gas_East_EMP_AppD.pdf</w:t>
        </w:r>
      </w:hyperlink>
      <w:r w:rsidRPr="002C1788">
        <w:rPr>
          <w:sz w:val="18"/>
          <w:szCs w:val="18"/>
        </w:rPr>
        <w:t xml:space="preserve"> </w:t>
      </w:r>
    </w:p>
    <w:p w14:paraId="68D7E8AA" w14:textId="45BE142D" w:rsidR="004F4E80" w:rsidRPr="002C1788" w:rsidRDefault="004F4E80" w:rsidP="004F4E80">
      <w:pPr>
        <w:rPr>
          <w:sz w:val="18"/>
          <w:szCs w:val="18"/>
        </w:rPr>
      </w:pPr>
      <w:r w:rsidRPr="002C1788">
        <w:rPr>
          <w:sz w:val="18"/>
          <w:szCs w:val="18"/>
        </w:rPr>
        <w:t>GOLDIE DIVKO, L. M., 2015. A review of natural gas prospectivity: Otway Region. Department of Economic Development, Jobs, Resources and Transport, Victoria.</w:t>
      </w:r>
    </w:p>
    <w:p w14:paraId="472A885C" w14:textId="2BFBCB7E" w:rsidR="004F4E80" w:rsidRPr="002C1788" w:rsidRDefault="004F4E80" w:rsidP="004F4E80">
      <w:pPr>
        <w:rPr>
          <w:sz w:val="18"/>
          <w:szCs w:val="18"/>
        </w:rPr>
      </w:pPr>
      <w:r w:rsidRPr="002C1788">
        <w:rPr>
          <w:sz w:val="18"/>
          <w:szCs w:val="18"/>
        </w:rPr>
        <w:t xml:space="preserve">GOLDIE DIVKO, L.M., O'BRIEN, G.W., HARRISON, M.L. &amp; HAMILTON, P.J., 2010. Evaluation of the regional top seal in the Gippsland Basin: Implications for geological carbon capture and storage and hydrocarbon prospectivity. </w:t>
      </w:r>
      <w:r w:rsidRPr="002C1788">
        <w:rPr>
          <w:i/>
          <w:sz w:val="18"/>
          <w:szCs w:val="18"/>
        </w:rPr>
        <w:t>APPEA Journal</w:t>
      </w:r>
      <w:r w:rsidRPr="002C1788">
        <w:rPr>
          <w:sz w:val="18"/>
          <w:szCs w:val="18"/>
        </w:rPr>
        <w:t xml:space="preserve"> 2010 (50th anniversary issue), pp. 463-486.</w:t>
      </w:r>
    </w:p>
    <w:p w14:paraId="7AC71060" w14:textId="77777777" w:rsidR="004F4E80" w:rsidRPr="002C1788" w:rsidRDefault="004F4E80" w:rsidP="004F4E80">
      <w:pPr>
        <w:rPr>
          <w:sz w:val="18"/>
          <w:szCs w:val="18"/>
        </w:rPr>
      </w:pPr>
      <w:r w:rsidRPr="002C1788">
        <w:rPr>
          <w:sz w:val="18"/>
          <w:szCs w:val="18"/>
        </w:rPr>
        <w:t xml:space="preserve">GRASSO, J., 1992. Mechanics of seismic instabilities induced by the recovery of hydrocarbons. </w:t>
      </w:r>
      <w:r w:rsidRPr="002C1788">
        <w:rPr>
          <w:i/>
          <w:sz w:val="18"/>
          <w:szCs w:val="18"/>
        </w:rPr>
        <w:t>Pure and Applied Geophysics</w:t>
      </w:r>
      <w:r w:rsidRPr="002C1788">
        <w:rPr>
          <w:sz w:val="18"/>
          <w:szCs w:val="18"/>
        </w:rPr>
        <w:t>, 139, pp. 507-534.</w:t>
      </w:r>
    </w:p>
    <w:p w14:paraId="41CC39BF" w14:textId="77777777" w:rsidR="004F4E80" w:rsidRPr="002C1788" w:rsidRDefault="004F4E80" w:rsidP="004F4E80">
      <w:pPr>
        <w:rPr>
          <w:sz w:val="18"/>
          <w:szCs w:val="18"/>
        </w:rPr>
      </w:pPr>
      <w:r w:rsidRPr="002C1788">
        <w:rPr>
          <w:sz w:val="18"/>
          <w:szCs w:val="18"/>
        </w:rPr>
        <w:t xml:space="preserve">GREEN, C., STYLES, P. &amp; BAPTIE, B., 2012. Preese hall shale gas fracturing review &amp; recommendations for induced seismic mitigation. British Geological Survey. </w:t>
      </w:r>
    </w:p>
    <w:p w14:paraId="52D02C6D" w14:textId="5F697FCD" w:rsidR="004F4E80" w:rsidRPr="002C1788" w:rsidRDefault="004F4E80" w:rsidP="004F4E80">
      <w:pPr>
        <w:rPr>
          <w:sz w:val="18"/>
          <w:szCs w:val="18"/>
        </w:rPr>
      </w:pPr>
      <w:r w:rsidRPr="002C1788">
        <w:rPr>
          <w:sz w:val="18"/>
          <w:szCs w:val="18"/>
        </w:rPr>
        <w:t xml:space="preserve">HANKS, T. &amp; KANAMORI, H., 1979. A moment of magnitude scale. </w:t>
      </w:r>
      <w:r w:rsidRPr="002C1788">
        <w:rPr>
          <w:i/>
          <w:sz w:val="18"/>
          <w:szCs w:val="18"/>
        </w:rPr>
        <w:t>Journal of Geophysical Research: Solid Earth</w:t>
      </w:r>
      <w:r w:rsidRPr="002C1788">
        <w:rPr>
          <w:sz w:val="18"/>
          <w:szCs w:val="18"/>
        </w:rPr>
        <w:t xml:space="preserve"> 87, pp. 2348-2350. DOI: 10.1029/JB084iB05p02348</w:t>
      </w:r>
    </w:p>
    <w:p w14:paraId="17453BD9" w14:textId="77777777" w:rsidR="004F4E80" w:rsidRPr="002C1788" w:rsidRDefault="004F4E80" w:rsidP="004F4E80">
      <w:pPr>
        <w:rPr>
          <w:sz w:val="18"/>
          <w:szCs w:val="18"/>
          <w:lang w:val="en-US"/>
        </w:rPr>
      </w:pPr>
      <w:r w:rsidRPr="002C1788">
        <w:rPr>
          <w:sz w:val="18"/>
          <w:szCs w:val="18"/>
          <w:lang w:val="en-US"/>
        </w:rPr>
        <w:t>HELM D.C., 1984. Latrobe Valley Subsidence Predictions, the Modelling of Time-Dependent Ground Movement due to Groundwater Withdrawal Unpublished Report to Fuel Department and Design and Engineering Department of the State Electricity Commission, March 1984.</w:t>
      </w:r>
    </w:p>
    <w:p w14:paraId="24960551" w14:textId="77777777" w:rsidR="002C1788" w:rsidRDefault="002C1788">
      <w:pPr>
        <w:spacing w:after="200"/>
        <w:rPr>
          <w:sz w:val="18"/>
          <w:szCs w:val="18"/>
        </w:rPr>
      </w:pPr>
      <w:r>
        <w:rPr>
          <w:sz w:val="18"/>
          <w:szCs w:val="18"/>
        </w:rPr>
        <w:br w:type="page"/>
      </w:r>
    </w:p>
    <w:p w14:paraId="5615BD09" w14:textId="2A6CA22B" w:rsidR="004F4E80" w:rsidRPr="002C1788" w:rsidRDefault="004F4E80" w:rsidP="004F4E80">
      <w:pPr>
        <w:rPr>
          <w:rFonts w:cs="Arial"/>
          <w:sz w:val="18"/>
          <w:szCs w:val="18"/>
        </w:rPr>
      </w:pPr>
      <w:r w:rsidRPr="002C1788">
        <w:rPr>
          <w:sz w:val="18"/>
          <w:szCs w:val="18"/>
        </w:rPr>
        <w:t>HOLLAND, A., 2011. Examination of Possibly Induced Seismicity from Hydraulic Fracturing in the Eola Field, Garvin Country, Oklahoma. Oklahoma geological Survey, open file report OF1-2011.</w:t>
      </w:r>
    </w:p>
    <w:p w14:paraId="340F3132" w14:textId="117F0A0F" w:rsidR="004F4E80" w:rsidRPr="002C1788" w:rsidRDefault="004F4E80" w:rsidP="004F4E80">
      <w:pPr>
        <w:rPr>
          <w:rFonts w:cs="Arial"/>
          <w:sz w:val="18"/>
          <w:szCs w:val="18"/>
        </w:rPr>
      </w:pPr>
      <w:r w:rsidRPr="002C1788">
        <w:rPr>
          <w:sz w:val="18"/>
          <w:szCs w:val="18"/>
        </w:rPr>
        <w:t>IESC, 2014</w:t>
      </w:r>
      <w:r w:rsidR="00352324" w:rsidRPr="002C1788">
        <w:rPr>
          <w:sz w:val="18"/>
          <w:szCs w:val="18"/>
        </w:rPr>
        <w:t>a</w:t>
      </w:r>
      <w:r w:rsidRPr="002C1788">
        <w:rPr>
          <w:sz w:val="18"/>
          <w:szCs w:val="18"/>
        </w:rPr>
        <w:t xml:space="preserve">. Hydraulic fracturing ‘fraccing’ techniques, including reporting requirements and governance arrangements.  Independent Expert Scientific Committee on Coal Seam Gas and Large Coal Mining Development. </w:t>
      </w:r>
    </w:p>
    <w:p w14:paraId="42D86A97" w14:textId="77777777" w:rsidR="00352324" w:rsidRPr="002C1788" w:rsidRDefault="00352324" w:rsidP="00352324">
      <w:pPr>
        <w:rPr>
          <w:sz w:val="18"/>
          <w:szCs w:val="18"/>
        </w:rPr>
      </w:pPr>
      <w:r w:rsidRPr="002C1788">
        <w:rPr>
          <w:sz w:val="18"/>
          <w:szCs w:val="18"/>
        </w:rPr>
        <w:t xml:space="preserve">IESC, 2014b. Aquifer connectivity within the Great Artesian Basin, and the Surat, Bowen and Galilee Basins background report. Independent Expert Scientific Committee on Coal Seam Gas and Large Coal Mining Development. </w:t>
      </w:r>
    </w:p>
    <w:p w14:paraId="45DF12F2" w14:textId="77777777" w:rsidR="004F4E80" w:rsidRPr="002C1788" w:rsidRDefault="004F4E80" w:rsidP="004F4E80">
      <w:pPr>
        <w:rPr>
          <w:rFonts w:cs="Arial"/>
          <w:sz w:val="18"/>
          <w:szCs w:val="18"/>
        </w:rPr>
      </w:pPr>
      <w:r w:rsidRPr="002C1788">
        <w:rPr>
          <w:rFonts w:cs="Arial"/>
          <w:sz w:val="18"/>
          <w:szCs w:val="18"/>
        </w:rPr>
        <w:t>JACOBS, 2014a. Barwon Downs Monitoring Program-Field Investigations Report: Draft A. October, 2014 VW07575.</w:t>
      </w:r>
    </w:p>
    <w:p w14:paraId="19E6A835" w14:textId="77777777" w:rsidR="004F4E80" w:rsidRPr="002C1788" w:rsidRDefault="004F4E80" w:rsidP="004F4E80">
      <w:pPr>
        <w:rPr>
          <w:rFonts w:cs="Arial"/>
          <w:sz w:val="18"/>
          <w:szCs w:val="18"/>
        </w:rPr>
      </w:pPr>
      <w:r w:rsidRPr="002C1788">
        <w:rPr>
          <w:rFonts w:cs="Arial"/>
          <w:sz w:val="18"/>
          <w:szCs w:val="18"/>
        </w:rPr>
        <w:t>JACOBS, 2014b. Risk assessment framework – water resources, method report, report for Department of State Development Business and Innovation, December 2014</w:t>
      </w:r>
    </w:p>
    <w:p w14:paraId="40CFA802" w14:textId="77777777" w:rsidR="004F4E80" w:rsidRPr="002C1788" w:rsidRDefault="004F4E80" w:rsidP="004F4E80">
      <w:pPr>
        <w:rPr>
          <w:sz w:val="18"/>
          <w:szCs w:val="18"/>
        </w:rPr>
      </w:pPr>
      <w:r w:rsidRPr="002C1788">
        <w:rPr>
          <w:sz w:val="18"/>
          <w:szCs w:val="18"/>
        </w:rPr>
        <w:t xml:space="preserve">KIM, W., 2013. Induced seismicity associated with fluid injection into a deep well in Youngstown, Ohio. </w:t>
      </w:r>
      <w:r w:rsidRPr="002C1788">
        <w:rPr>
          <w:i/>
          <w:sz w:val="18"/>
          <w:szCs w:val="18"/>
        </w:rPr>
        <w:t>Journal of geophysical research: solid earth</w:t>
      </w:r>
      <w:r w:rsidRPr="002C1788">
        <w:rPr>
          <w:sz w:val="18"/>
          <w:szCs w:val="18"/>
        </w:rPr>
        <w:t xml:space="preserve"> 118, pp. 1-13, DOI:10.1002/jgrb.50247, 2013.</w:t>
      </w:r>
    </w:p>
    <w:p w14:paraId="796D3BC0" w14:textId="77777777" w:rsidR="004F4E80" w:rsidRPr="002C1788" w:rsidRDefault="004F4E80" w:rsidP="004F4E80">
      <w:pPr>
        <w:rPr>
          <w:sz w:val="18"/>
          <w:szCs w:val="18"/>
        </w:rPr>
      </w:pPr>
      <w:r w:rsidRPr="002C1788">
        <w:rPr>
          <w:sz w:val="18"/>
          <w:szCs w:val="18"/>
        </w:rPr>
        <w:t>KING, G., 2012. Hydraulic Fracturing 101: What Every Representative, Environmentalist, Regulator, Reporter, Investor, University Researcher, Neighbour and Engineer Should Know About Estimating Frac Risk and Improving Frac Performance in Unconventional Gas and Oil Wells. Society of Petroleum Engineers.</w:t>
      </w:r>
    </w:p>
    <w:p w14:paraId="3789DE08" w14:textId="77777777" w:rsidR="004F4E80" w:rsidRPr="002C1788" w:rsidRDefault="004F4E80" w:rsidP="004F4E80">
      <w:pPr>
        <w:rPr>
          <w:sz w:val="18"/>
          <w:szCs w:val="18"/>
        </w:rPr>
      </w:pPr>
      <w:r w:rsidRPr="002C1788">
        <w:rPr>
          <w:sz w:val="18"/>
          <w:szCs w:val="18"/>
        </w:rPr>
        <w:t xml:space="preserve">KISSINGER, A., HELMIG, R., EBIGBO, A., CLASS, H., LANGE, T., SAUTER, M., HEITFELD, M., KLÜNKER, J. &amp; WIEBKE, J., 2013. Hydraulic fracturing in unconventional gas reservoirs: risks in the geological system, Part 2. </w:t>
      </w:r>
      <w:r w:rsidRPr="002C1788">
        <w:rPr>
          <w:i/>
          <w:sz w:val="18"/>
          <w:szCs w:val="18"/>
        </w:rPr>
        <w:t>Environmental Earth Sciences</w:t>
      </w:r>
      <w:r w:rsidRPr="002C1788">
        <w:rPr>
          <w:sz w:val="18"/>
          <w:szCs w:val="18"/>
        </w:rPr>
        <w:t xml:space="preserve"> </w:t>
      </w:r>
      <w:r w:rsidRPr="002C1788">
        <w:rPr>
          <w:b/>
          <w:sz w:val="18"/>
          <w:szCs w:val="18"/>
        </w:rPr>
        <w:t>70</w:t>
      </w:r>
      <w:r w:rsidRPr="002C1788">
        <w:rPr>
          <w:sz w:val="18"/>
          <w:szCs w:val="18"/>
        </w:rPr>
        <w:t>, pp. 3855-3873.</w:t>
      </w:r>
    </w:p>
    <w:p w14:paraId="3F17A735" w14:textId="77777777" w:rsidR="004F4E80" w:rsidRPr="002C1788" w:rsidRDefault="004F4E80" w:rsidP="004F4E80">
      <w:pPr>
        <w:rPr>
          <w:sz w:val="18"/>
          <w:szCs w:val="18"/>
        </w:rPr>
      </w:pPr>
      <w:r w:rsidRPr="002C1788">
        <w:rPr>
          <w:sz w:val="18"/>
          <w:szCs w:val="18"/>
        </w:rPr>
        <w:t xml:space="preserve">LANGE, T., SAUTER, M., HEITFELD, M., SCHETELIG, K., JAHNKE, W., KISSINGER, A., HELMIG, R., EBIGBO, A. &amp; CLASS, H., 2013. Hydraulic fracturing in unconventional gas reservoirs: risks in the geological system, part 1. </w:t>
      </w:r>
      <w:r w:rsidRPr="002C1788">
        <w:rPr>
          <w:i/>
          <w:sz w:val="18"/>
          <w:szCs w:val="18"/>
        </w:rPr>
        <w:t>Environmental Earth Sciences</w:t>
      </w:r>
      <w:r w:rsidRPr="002C1788">
        <w:rPr>
          <w:sz w:val="18"/>
          <w:szCs w:val="18"/>
        </w:rPr>
        <w:t>, 70, pp. 3839-3853.</w:t>
      </w:r>
    </w:p>
    <w:p w14:paraId="73B04FEF" w14:textId="18B52C63" w:rsidR="004F4E80" w:rsidRPr="002C1788" w:rsidRDefault="004F4E80" w:rsidP="004F4E80">
      <w:pPr>
        <w:rPr>
          <w:rFonts w:cs="Arial"/>
          <w:sz w:val="18"/>
          <w:szCs w:val="18"/>
        </w:rPr>
      </w:pPr>
      <w:r w:rsidRPr="002C1788">
        <w:rPr>
          <w:rFonts w:cs="Arial"/>
          <w:sz w:val="18"/>
          <w:szCs w:val="18"/>
        </w:rPr>
        <w:t xml:space="preserve">LEONARD, J.G., 2003. Groundwater, In: Birch, W.D., (Editor), Geology of Victoria, Geological Society of Australia. </w:t>
      </w:r>
      <w:r w:rsidR="002C1788">
        <w:rPr>
          <w:rFonts w:cs="Arial"/>
          <w:sz w:val="18"/>
          <w:szCs w:val="18"/>
        </w:rPr>
        <w:br/>
      </w:r>
      <w:r w:rsidRPr="002C1788">
        <w:rPr>
          <w:rFonts w:cs="Arial"/>
          <w:sz w:val="18"/>
          <w:szCs w:val="18"/>
        </w:rPr>
        <w:t>pp. 521-531.</w:t>
      </w:r>
    </w:p>
    <w:p w14:paraId="4DF76EAC" w14:textId="3FF443F4" w:rsidR="004F4E80" w:rsidRPr="002C1788" w:rsidRDefault="004F4E80" w:rsidP="004F4E80">
      <w:pPr>
        <w:rPr>
          <w:sz w:val="18"/>
          <w:szCs w:val="18"/>
        </w:rPr>
      </w:pPr>
      <w:r w:rsidRPr="002C1788">
        <w:rPr>
          <w:sz w:val="18"/>
          <w:szCs w:val="18"/>
        </w:rPr>
        <w:t xml:space="preserve">MCCUE, K., MUSSON, R., &amp; GIBSON, G., 2013. A comparison of the seismicity of the UK and south eastern Australia. Australian earthquake engineering society, available at: </w:t>
      </w:r>
      <w:hyperlink r:id="rId80" w:history="1">
        <w:r w:rsidR="002C1788" w:rsidRPr="001B52D8">
          <w:rPr>
            <w:rStyle w:val="Hyperlink"/>
            <w:sz w:val="18"/>
            <w:szCs w:val="18"/>
          </w:rPr>
          <w:t>http://www.aees.org.au/wp-content/uploads/2013/11/37-</w:t>
        </w:r>
        <w:r w:rsidR="002C1788" w:rsidRPr="001B52D8">
          <w:rPr>
            <w:rStyle w:val="Hyperlink"/>
            <w:sz w:val="18"/>
            <w:szCs w:val="18"/>
          </w:rPr>
          <w:br/>
          <w:t>McCue-Kevin.pdf</w:t>
        </w:r>
      </w:hyperlink>
    </w:p>
    <w:p w14:paraId="285D9739" w14:textId="77777777" w:rsidR="004F4E80" w:rsidRPr="002C1788" w:rsidRDefault="004F4E80" w:rsidP="004F4E80">
      <w:pPr>
        <w:rPr>
          <w:sz w:val="18"/>
          <w:szCs w:val="18"/>
        </w:rPr>
      </w:pPr>
      <w:r w:rsidRPr="002C1788">
        <w:rPr>
          <w:sz w:val="18"/>
          <w:szCs w:val="18"/>
        </w:rPr>
        <w:t>MCGARR, A., 1991. On a possible connection between three major earthquakes in California and oil production. Bulletin of the Seismological Society of America 813, pp. 948-970.</w:t>
      </w:r>
    </w:p>
    <w:p w14:paraId="297F3E46" w14:textId="77777777" w:rsidR="004F4E80" w:rsidRPr="002C1788" w:rsidRDefault="004F4E80" w:rsidP="004F4E80">
      <w:pPr>
        <w:rPr>
          <w:rFonts w:cs="Arial"/>
          <w:sz w:val="18"/>
          <w:szCs w:val="18"/>
        </w:rPr>
      </w:pPr>
      <w:r w:rsidRPr="002C1788">
        <w:rPr>
          <w:rFonts w:cs="Arial"/>
          <w:sz w:val="18"/>
          <w:szCs w:val="18"/>
        </w:rPr>
        <w:t xml:space="preserve">MEHIN, L. &amp; LINK, A., 1995. </w:t>
      </w:r>
      <w:r w:rsidRPr="002C1788">
        <w:rPr>
          <w:rFonts w:cs="Arial"/>
          <w:i/>
          <w:sz w:val="18"/>
          <w:szCs w:val="18"/>
        </w:rPr>
        <w:t>Source rock distribution, richness, and maturity of the onshore Otway Basin, Victoria</w:t>
      </w:r>
      <w:r w:rsidRPr="002C1788">
        <w:rPr>
          <w:rFonts w:cs="Arial"/>
          <w:sz w:val="18"/>
          <w:szCs w:val="18"/>
        </w:rPr>
        <w:t>. PESA News October-November, p.B17.</w:t>
      </w:r>
    </w:p>
    <w:p w14:paraId="1184D1BC" w14:textId="77777777" w:rsidR="004F4E80" w:rsidRPr="002C1788" w:rsidRDefault="004F4E80" w:rsidP="004F4E80">
      <w:pPr>
        <w:rPr>
          <w:sz w:val="18"/>
          <w:szCs w:val="18"/>
        </w:rPr>
      </w:pPr>
      <w:r w:rsidRPr="002C1788">
        <w:rPr>
          <w:sz w:val="18"/>
          <w:szCs w:val="18"/>
        </w:rPr>
        <w:t>MIDDELMANN, M. (Editor), 2007. Natural Hazards in Australia. Identifying Risk Analysis Requirements. Geoscience Australia, Canberra.</w:t>
      </w:r>
    </w:p>
    <w:p w14:paraId="2F6EC5A8" w14:textId="18DFBF3C" w:rsidR="004F4E80" w:rsidRPr="002C1788" w:rsidRDefault="004F4E80" w:rsidP="004F4E80">
      <w:pPr>
        <w:rPr>
          <w:sz w:val="18"/>
          <w:szCs w:val="18"/>
        </w:rPr>
      </w:pPr>
      <w:r w:rsidRPr="002C1788">
        <w:rPr>
          <w:sz w:val="18"/>
          <w:szCs w:val="18"/>
        </w:rPr>
        <w:t xml:space="preserve">MYERS, T., 2012. Potential contaminant pathways from hydraulically fractured shale to aquifers. </w:t>
      </w:r>
      <w:r w:rsidRPr="002C1788">
        <w:rPr>
          <w:i/>
          <w:sz w:val="18"/>
          <w:szCs w:val="18"/>
        </w:rPr>
        <w:t>Groundwater</w:t>
      </w:r>
      <w:r w:rsidRPr="002C1788">
        <w:rPr>
          <w:sz w:val="18"/>
          <w:szCs w:val="18"/>
        </w:rPr>
        <w:t xml:space="preserve"> 50(6), </w:t>
      </w:r>
      <w:r w:rsidR="002C1788">
        <w:rPr>
          <w:sz w:val="18"/>
          <w:szCs w:val="18"/>
        </w:rPr>
        <w:br/>
      </w:r>
      <w:r w:rsidRPr="002C1788">
        <w:rPr>
          <w:sz w:val="18"/>
          <w:szCs w:val="18"/>
        </w:rPr>
        <w:t>pp. 872-882.</w:t>
      </w:r>
    </w:p>
    <w:p w14:paraId="47A185E3" w14:textId="33A958D1" w:rsidR="004F4E80" w:rsidRPr="002C1788" w:rsidRDefault="004F4E80" w:rsidP="004F4E80">
      <w:pPr>
        <w:rPr>
          <w:sz w:val="18"/>
          <w:szCs w:val="18"/>
        </w:rPr>
      </w:pPr>
      <w:r w:rsidRPr="002C1788">
        <w:rPr>
          <w:sz w:val="18"/>
          <w:szCs w:val="18"/>
        </w:rPr>
        <w:t>NAS</w:t>
      </w:r>
      <w:r w:rsidR="002D5472" w:rsidRPr="002C1788">
        <w:rPr>
          <w:sz w:val="18"/>
          <w:szCs w:val="18"/>
        </w:rPr>
        <w:t xml:space="preserve"> (NATIONAL ACADEMY OF SCIENCES)</w:t>
      </w:r>
      <w:r w:rsidRPr="002C1788">
        <w:rPr>
          <w:sz w:val="18"/>
          <w:szCs w:val="18"/>
        </w:rPr>
        <w:t xml:space="preserve">, 2013. Induced Seismicity Potential in Energy Technologies. National </w:t>
      </w:r>
      <w:r w:rsidR="002D5472" w:rsidRPr="002C1788">
        <w:rPr>
          <w:sz w:val="18"/>
          <w:szCs w:val="18"/>
        </w:rPr>
        <w:t xml:space="preserve">Academies Press, </w:t>
      </w:r>
      <w:r w:rsidRPr="002C1788">
        <w:rPr>
          <w:sz w:val="18"/>
          <w:szCs w:val="18"/>
        </w:rPr>
        <w:t>Washington DC</w:t>
      </w:r>
      <w:r w:rsidR="002D5472" w:rsidRPr="002C1788">
        <w:rPr>
          <w:sz w:val="18"/>
          <w:szCs w:val="18"/>
        </w:rPr>
        <w:t>, USA.</w:t>
      </w:r>
    </w:p>
    <w:p w14:paraId="1A9A36B9" w14:textId="77777777" w:rsidR="004F4E80" w:rsidRPr="002C1788" w:rsidRDefault="004F4E80" w:rsidP="004F4E80">
      <w:pPr>
        <w:rPr>
          <w:sz w:val="18"/>
          <w:szCs w:val="18"/>
        </w:rPr>
      </w:pPr>
      <w:r w:rsidRPr="002C1788">
        <w:rPr>
          <w:sz w:val="18"/>
          <w:szCs w:val="18"/>
        </w:rPr>
        <w:t xml:space="preserve">NELSON, E., HILLIS, R., MILDREN, S., 2006. Stress partitioning and wellbore failure in the West Tuna Area, Gippsland Basin. </w:t>
      </w:r>
      <w:r w:rsidRPr="002C1788">
        <w:rPr>
          <w:i/>
          <w:sz w:val="18"/>
          <w:szCs w:val="18"/>
        </w:rPr>
        <w:t>Exploration Geophysics</w:t>
      </w:r>
      <w:r w:rsidRPr="002C1788">
        <w:rPr>
          <w:sz w:val="18"/>
          <w:szCs w:val="18"/>
        </w:rPr>
        <w:t xml:space="preserve"> 37, pp. 215–221.</w:t>
      </w:r>
    </w:p>
    <w:p w14:paraId="043D3A4C" w14:textId="77777777" w:rsidR="004F4E80" w:rsidRPr="002C1788" w:rsidRDefault="004F4E80" w:rsidP="004F4E80">
      <w:pPr>
        <w:rPr>
          <w:sz w:val="18"/>
          <w:szCs w:val="18"/>
          <w:lang w:val="en-AU" w:eastAsia="en-US"/>
        </w:rPr>
      </w:pPr>
      <w:r w:rsidRPr="002C1788">
        <w:rPr>
          <w:sz w:val="18"/>
          <w:szCs w:val="18"/>
          <w:lang w:val="en-AU" w:eastAsia="en-US"/>
        </w:rPr>
        <w:t>NWC, 2012. Atlas of groundwater dependent ecosystems, Task 5 report: identifying and mapping GDEs, report from Sinclair Knight Merz to the National Water Commission, July 2012.</w:t>
      </w:r>
    </w:p>
    <w:p w14:paraId="3BF21C33" w14:textId="5AB8213C" w:rsidR="004F4E80" w:rsidRPr="002C1788" w:rsidRDefault="004F4E80" w:rsidP="004F4E80">
      <w:pPr>
        <w:rPr>
          <w:sz w:val="18"/>
          <w:szCs w:val="18"/>
          <w:lang w:val="en-AU" w:eastAsia="en-US"/>
        </w:rPr>
      </w:pPr>
      <w:r w:rsidRPr="002C1788">
        <w:rPr>
          <w:sz w:val="18"/>
          <w:szCs w:val="18"/>
          <w:lang w:val="en-AU" w:eastAsia="en-US"/>
        </w:rPr>
        <w:t xml:space="preserve">NWC, 2011. Australian Groundwater Dependent Ecosystems toolbox, Waterlines reports no. 69 and 70, </w:t>
      </w:r>
      <w:r w:rsidR="002C1788">
        <w:rPr>
          <w:sz w:val="18"/>
          <w:szCs w:val="18"/>
          <w:lang w:val="en-AU" w:eastAsia="en-US"/>
        </w:rPr>
        <w:br/>
      </w:r>
      <w:r w:rsidRPr="002C1788">
        <w:rPr>
          <w:sz w:val="18"/>
          <w:szCs w:val="18"/>
          <w:lang w:val="en-AU" w:eastAsia="en-US"/>
        </w:rPr>
        <w:t>December 2011.</w:t>
      </w:r>
    </w:p>
    <w:p w14:paraId="3BAF7B1B" w14:textId="427B166F" w:rsidR="002D5472" w:rsidRPr="002C1788" w:rsidRDefault="002D5472" w:rsidP="002D5472">
      <w:pPr>
        <w:rPr>
          <w:sz w:val="18"/>
          <w:szCs w:val="18"/>
        </w:rPr>
      </w:pPr>
      <w:r w:rsidRPr="002C1788">
        <w:rPr>
          <w:sz w:val="18"/>
          <w:szCs w:val="18"/>
        </w:rPr>
        <w:t>NZPCE, 2012. Evaluating the environmental impacts of fracking in New Zealand: An interim report, November 2012. New Zealand Parliamentary Commissioner for the Environment, Wellington.</w:t>
      </w:r>
    </w:p>
    <w:p w14:paraId="523098E8" w14:textId="3BBFBFEB" w:rsidR="004F4E80" w:rsidRPr="002C1788" w:rsidRDefault="004F4E80" w:rsidP="004F4E80">
      <w:pPr>
        <w:rPr>
          <w:rFonts w:cs="Arial"/>
          <w:sz w:val="18"/>
          <w:szCs w:val="18"/>
        </w:rPr>
      </w:pPr>
      <w:r w:rsidRPr="002C1788">
        <w:rPr>
          <w:rFonts w:cs="Arial"/>
          <w:sz w:val="18"/>
          <w:szCs w:val="18"/>
        </w:rPr>
        <w:t xml:space="preserve">O’BRIEN, G., BOREHAM, C., THOMAS, H. &amp; TINGATE, P., 2009. </w:t>
      </w:r>
      <w:r w:rsidRPr="002C1788">
        <w:rPr>
          <w:rFonts w:cs="Arial"/>
          <w:i/>
          <w:sz w:val="18"/>
          <w:szCs w:val="18"/>
        </w:rPr>
        <w:t>Understanding the critical success factors determining prospectivity - Otway Basin, Victoria.</w:t>
      </w:r>
      <w:r w:rsidRPr="002C1788">
        <w:rPr>
          <w:rFonts w:cs="Arial"/>
          <w:sz w:val="18"/>
          <w:szCs w:val="18"/>
        </w:rPr>
        <w:t xml:space="preserve"> Australian Petroleum Production &amp; Exploration Association, </w:t>
      </w:r>
      <w:r w:rsidR="002C1788">
        <w:rPr>
          <w:rFonts w:cs="Arial"/>
          <w:sz w:val="18"/>
          <w:szCs w:val="18"/>
        </w:rPr>
        <w:br/>
      </w:r>
      <w:r w:rsidRPr="002C1788">
        <w:rPr>
          <w:rFonts w:cs="Arial"/>
          <w:sz w:val="18"/>
          <w:szCs w:val="18"/>
        </w:rPr>
        <w:t>pp. 129-170.</w:t>
      </w:r>
    </w:p>
    <w:p w14:paraId="5E6AA16D" w14:textId="77777777" w:rsidR="002C1788" w:rsidRDefault="002C1788">
      <w:pPr>
        <w:spacing w:after="200"/>
        <w:rPr>
          <w:sz w:val="18"/>
          <w:szCs w:val="18"/>
        </w:rPr>
      </w:pPr>
      <w:r>
        <w:rPr>
          <w:sz w:val="18"/>
          <w:szCs w:val="18"/>
        </w:rPr>
        <w:br w:type="page"/>
      </w:r>
    </w:p>
    <w:p w14:paraId="2D66E7F4" w14:textId="64DFDCBA" w:rsidR="004F4E80" w:rsidRPr="002C1788" w:rsidRDefault="004F4E80" w:rsidP="004F4E80">
      <w:pPr>
        <w:rPr>
          <w:sz w:val="18"/>
          <w:szCs w:val="18"/>
        </w:rPr>
      </w:pPr>
      <w:r w:rsidRPr="002C1788">
        <w:rPr>
          <w:sz w:val="18"/>
          <w:szCs w:val="18"/>
        </w:rPr>
        <w:t xml:space="preserve">OSBORN, S.G., VENGOSH, A., WARNER, N.R. &amp; JACKSON, R.B., 2011. Methane contamination of drinking water accompanying gas-well drilling and hydraulic fracturing. </w:t>
      </w:r>
      <w:r w:rsidRPr="002C1788">
        <w:rPr>
          <w:i/>
          <w:sz w:val="18"/>
          <w:szCs w:val="18"/>
        </w:rPr>
        <w:t>Proceedings of the National Academy of Sciences</w:t>
      </w:r>
      <w:r w:rsidRPr="002C1788">
        <w:rPr>
          <w:sz w:val="18"/>
          <w:szCs w:val="18"/>
        </w:rPr>
        <w:t xml:space="preserve"> 108(20), </w:t>
      </w:r>
      <w:r w:rsidR="002C1788">
        <w:rPr>
          <w:sz w:val="18"/>
          <w:szCs w:val="18"/>
        </w:rPr>
        <w:br/>
      </w:r>
      <w:r w:rsidRPr="002C1788">
        <w:rPr>
          <w:sz w:val="18"/>
          <w:szCs w:val="18"/>
        </w:rPr>
        <w:t>pp. 8172-8176.</w:t>
      </w:r>
    </w:p>
    <w:p w14:paraId="5FDD5627" w14:textId="77777777" w:rsidR="004F4E80" w:rsidRPr="002C1788" w:rsidRDefault="004F4E80" w:rsidP="004F4E80">
      <w:pPr>
        <w:rPr>
          <w:sz w:val="18"/>
          <w:szCs w:val="18"/>
        </w:rPr>
      </w:pPr>
      <w:r w:rsidRPr="002C1788">
        <w:rPr>
          <w:sz w:val="18"/>
          <w:szCs w:val="18"/>
        </w:rPr>
        <w:t xml:space="preserve">PENNY, G.S., CONWAY, M.W. &amp; WELLINGTON, L., 1985. Control and modelling of fluid leak-off during hydraulic fracturing. </w:t>
      </w:r>
      <w:r w:rsidRPr="002C1788">
        <w:rPr>
          <w:i/>
          <w:sz w:val="18"/>
          <w:szCs w:val="18"/>
        </w:rPr>
        <w:t>Journal of Petroleum Technology</w:t>
      </w:r>
      <w:r w:rsidRPr="002C1788">
        <w:rPr>
          <w:sz w:val="18"/>
          <w:szCs w:val="18"/>
        </w:rPr>
        <w:t>, 37(6), pp. 1071-1081.</w:t>
      </w:r>
    </w:p>
    <w:p w14:paraId="2D172DC0" w14:textId="4248E793" w:rsidR="00D246E0" w:rsidRPr="002C1788" w:rsidRDefault="00D246E0" w:rsidP="00D246E0">
      <w:pPr>
        <w:rPr>
          <w:sz w:val="18"/>
          <w:szCs w:val="18"/>
        </w:rPr>
      </w:pPr>
      <w:r w:rsidRPr="002C1788">
        <w:rPr>
          <w:sz w:val="18"/>
          <w:szCs w:val="18"/>
          <w:lang w:val="en-US" w:eastAsia="en-US"/>
        </w:rPr>
        <w:t xml:space="preserve">Poland, F. (ed.), 1984. </w:t>
      </w:r>
      <w:r w:rsidRPr="002C1788">
        <w:rPr>
          <w:i/>
          <w:sz w:val="18"/>
          <w:szCs w:val="18"/>
          <w:lang w:val="en-US" w:eastAsia="en-US"/>
        </w:rPr>
        <w:t>Guidebook to studies of land subsidence due to ground-water withdrawal</w:t>
      </w:r>
      <w:r w:rsidRPr="002C1788">
        <w:rPr>
          <w:sz w:val="18"/>
          <w:szCs w:val="18"/>
          <w:lang w:val="en-US" w:eastAsia="en-US"/>
        </w:rPr>
        <w:t xml:space="preserve">. Prepared for the International Hydrological Programme, Working Group 8.4 </w:t>
      </w:r>
      <w:r w:rsidRPr="002C1788">
        <w:rPr>
          <w:sz w:val="18"/>
          <w:szCs w:val="18"/>
        </w:rPr>
        <w:t xml:space="preserve">USGS, 2014. Earthquake Facts and Statistics, National Earthquake Information Centre. Available at </w:t>
      </w:r>
      <w:r w:rsidRPr="002C1788">
        <w:rPr>
          <w:rFonts w:eastAsiaTheme="minorEastAsia"/>
          <w:sz w:val="18"/>
          <w:szCs w:val="18"/>
        </w:rPr>
        <w:t xml:space="preserve">http://earthquake.usgs.gov/earthquakes/eqarchives/year/eqstats.php. </w:t>
      </w:r>
      <w:r w:rsidRPr="002C1788">
        <w:rPr>
          <w:sz w:val="18"/>
          <w:szCs w:val="18"/>
        </w:rPr>
        <w:t xml:space="preserve">United States Geological Survey. </w:t>
      </w:r>
      <w:r w:rsidRPr="002C1788">
        <w:rPr>
          <w:rFonts w:eastAsiaTheme="minorEastAsia"/>
          <w:sz w:val="18"/>
          <w:szCs w:val="18"/>
        </w:rPr>
        <w:t>Last accessed 12/12/2014</w:t>
      </w:r>
      <w:r w:rsidRPr="002C1788">
        <w:rPr>
          <w:sz w:val="18"/>
          <w:szCs w:val="18"/>
        </w:rPr>
        <w:t>.</w:t>
      </w:r>
    </w:p>
    <w:p w14:paraId="441ABE8D" w14:textId="77777777" w:rsidR="001608D3" w:rsidRPr="002C1788" w:rsidRDefault="001608D3" w:rsidP="001608D3">
      <w:pPr>
        <w:rPr>
          <w:sz w:val="18"/>
          <w:szCs w:val="18"/>
        </w:rPr>
      </w:pPr>
      <w:r w:rsidRPr="002C1788">
        <w:rPr>
          <w:sz w:val="18"/>
          <w:szCs w:val="18"/>
        </w:rPr>
        <w:t xml:space="preserve">QGC (2009) QCLNG Environmental Impact Statement (EIS), published online http://www.qgc.com.au/environment/environmental-impact-management/qclng-environmental-impact-statement-(eis).aspx </w:t>
      </w:r>
    </w:p>
    <w:p w14:paraId="493F0031" w14:textId="01E8BD09" w:rsidR="004F4E80" w:rsidRPr="002C1788" w:rsidRDefault="004F4E80" w:rsidP="004F4E80">
      <w:pPr>
        <w:rPr>
          <w:rFonts w:cs="Arial"/>
          <w:sz w:val="18"/>
          <w:szCs w:val="18"/>
        </w:rPr>
      </w:pPr>
      <w:r w:rsidRPr="002C1788">
        <w:rPr>
          <w:sz w:val="18"/>
          <w:szCs w:val="18"/>
        </w:rPr>
        <w:t>QGC, 2012. Approval conditions 49 to 52: Stage 2 Coal Seam Gas Water Monitoring and Management Plan, 2nd revision to 23 April 2012 Submission, 7 December, 2012</w:t>
      </w:r>
      <w:r w:rsidR="00D246E0" w:rsidRPr="002C1788">
        <w:rPr>
          <w:sz w:val="18"/>
          <w:szCs w:val="18"/>
        </w:rPr>
        <w:t>. Queensland Gas Commission, Brisbane.</w:t>
      </w:r>
    </w:p>
    <w:p w14:paraId="10F73278" w14:textId="58A8BDE9" w:rsidR="004F4E80" w:rsidRPr="002C1788" w:rsidRDefault="004F4E80" w:rsidP="004F4E80">
      <w:pPr>
        <w:rPr>
          <w:sz w:val="18"/>
          <w:szCs w:val="18"/>
        </w:rPr>
      </w:pPr>
      <w:r w:rsidRPr="002C1788">
        <w:rPr>
          <w:sz w:val="18"/>
          <w:szCs w:val="18"/>
        </w:rPr>
        <w:t>QGC, 2013. Approval Conditions 49 to 64: Stage 3 Coal Seam Gas Water Monitoring and Management Plan.</w:t>
      </w:r>
      <w:r w:rsidR="00D246E0" w:rsidRPr="002C1788">
        <w:rPr>
          <w:sz w:val="18"/>
          <w:szCs w:val="18"/>
        </w:rPr>
        <w:t xml:space="preserve"> Queensland Gas Commission, Brisbane.</w:t>
      </w:r>
    </w:p>
    <w:p w14:paraId="7657D0D3" w14:textId="77777777" w:rsidR="004F4E80" w:rsidRPr="002C1788" w:rsidRDefault="004F4E80" w:rsidP="004F4E80">
      <w:pPr>
        <w:rPr>
          <w:rFonts w:cs="Arial"/>
          <w:sz w:val="18"/>
          <w:szCs w:val="18"/>
        </w:rPr>
      </w:pPr>
      <w:r w:rsidRPr="002C1788">
        <w:rPr>
          <w:rFonts w:cs="Arial"/>
          <w:sz w:val="18"/>
          <w:szCs w:val="18"/>
        </w:rPr>
        <w:t>REYNOLD, M. A., 1971</w:t>
      </w:r>
      <w:r w:rsidRPr="002C1788">
        <w:rPr>
          <w:rFonts w:cs="Arial"/>
          <w:i/>
          <w:sz w:val="18"/>
          <w:szCs w:val="18"/>
        </w:rPr>
        <w:t>. A review of the Otway Basin: BMR</w:t>
      </w:r>
      <w:r w:rsidRPr="002C1788">
        <w:rPr>
          <w:rFonts w:cs="Arial"/>
          <w:sz w:val="18"/>
          <w:szCs w:val="18"/>
        </w:rPr>
        <w:t>, Report 134.</w:t>
      </w:r>
    </w:p>
    <w:p w14:paraId="21F32770" w14:textId="77777777" w:rsidR="004F4E80" w:rsidRPr="002C1788" w:rsidRDefault="004F4E80" w:rsidP="004F4E80">
      <w:pPr>
        <w:rPr>
          <w:sz w:val="18"/>
          <w:szCs w:val="18"/>
        </w:rPr>
      </w:pPr>
      <w:r w:rsidRPr="002C1788">
        <w:rPr>
          <w:sz w:val="18"/>
          <w:szCs w:val="18"/>
        </w:rPr>
        <w:t xml:space="preserve">RICHTER, C., 1935. An instrumental earthquake magnitude scale. </w:t>
      </w:r>
      <w:r w:rsidRPr="002C1788">
        <w:rPr>
          <w:i/>
          <w:sz w:val="18"/>
          <w:szCs w:val="18"/>
        </w:rPr>
        <w:t>Bulletin of the Seismological Society of America</w:t>
      </w:r>
      <w:r w:rsidRPr="002C1788">
        <w:rPr>
          <w:sz w:val="18"/>
          <w:szCs w:val="18"/>
        </w:rPr>
        <w:t xml:space="preserve"> 25(1), pp. 1-32.</w:t>
      </w:r>
    </w:p>
    <w:p w14:paraId="083CC60A" w14:textId="77777777" w:rsidR="004F4E80" w:rsidRPr="002C1788" w:rsidRDefault="004F4E80" w:rsidP="004F4E80">
      <w:pPr>
        <w:rPr>
          <w:sz w:val="18"/>
          <w:szCs w:val="18"/>
          <w:lang w:val="en-US"/>
        </w:rPr>
      </w:pPr>
      <w:r w:rsidRPr="002C1788">
        <w:rPr>
          <w:sz w:val="18"/>
          <w:szCs w:val="18"/>
          <w:lang w:val="en-US"/>
        </w:rPr>
        <w:t>RURAL WATER COMMISSION, 1986. Subsidence estimates for Groundwater Development at Barwon Downs, Kawarren and Gellibrand, unpublished report.</w:t>
      </w:r>
    </w:p>
    <w:p w14:paraId="1E8612A6" w14:textId="77777777" w:rsidR="004F4E80" w:rsidRPr="002C1788" w:rsidRDefault="004F4E80" w:rsidP="004F4E80">
      <w:pPr>
        <w:rPr>
          <w:sz w:val="18"/>
          <w:szCs w:val="18"/>
          <w:lang w:val="en-US"/>
        </w:rPr>
      </w:pPr>
      <w:r w:rsidRPr="002C1788">
        <w:rPr>
          <w:sz w:val="18"/>
          <w:szCs w:val="18"/>
          <w:lang w:val="en-US"/>
        </w:rPr>
        <w:t>RURAL WATER COMMISSION, 1987. Supplementary Note on Subsidence Estimates to Barwon Downs, Kawarren and Gellibrand Unpublished file note.</w:t>
      </w:r>
    </w:p>
    <w:p w14:paraId="706462F5" w14:textId="77777777" w:rsidR="004F4E80" w:rsidRPr="002C1788" w:rsidRDefault="004F4E80" w:rsidP="004F4E80">
      <w:pPr>
        <w:rPr>
          <w:sz w:val="18"/>
          <w:szCs w:val="18"/>
        </w:rPr>
      </w:pPr>
      <w:r w:rsidRPr="002C1788">
        <w:rPr>
          <w:sz w:val="18"/>
          <w:szCs w:val="18"/>
        </w:rPr>
        <w:t>SKM, 2001. Barwon Downs Groundwater Flow and Subsidence Modelling Project, Report on the Groundwater Flow Model, Draft D, report for Barwon Water, May 2001 WC01476</w:t>
      </w:r>
    </w:p>
    <w:p w14:paraId="56354A03" w14:textId="77777777" w:rsidR="004F4E80" w:rsidRPr="002C1788" w:rsidRDefault="004F4E80" w:rsidP="004F4E80">
      <w:pPr>
        <w:rPr>
          <w:sz w:val="18"/>
          <w:szCs w:val="18"/>
        </w:rPr>
      </w:pPr>
      <w:r w:rsidRPr="002C1788">
        <w:rPr>
          <w:sz w:val="18"/>
          <w:szCs w:val="18"/>
        </w:rPr>
        <w:t>SKM, 2010. Lower Tertiary Aquifer Groundwater Resource Appraisal. September, 2010 VW04827.</w:t>
      </w:r>
    </w:p>
    <w:p w14:paraId="55653C6A" w14:textId="77777777" w:rsidR="004F4E80" w:rsidRPr="002C1788" w:rsidRDefault="004F4E80" w:rsidP="004F4E80">
      <w:pPr>
        <w:rPr>
          <w:rFonts w:cs="Arial"/>
          <w:sz w:val="18"/>
          <w:szCs w:val="18"/>
        </w:rPr>
      </w:pPr>
      <w:r w:rsidRPr="002C1788">
        <w:rPr>
          <w:rFonts w:cs="Arial"/>
          <w:sz w:val="18"/>
          <w:szCs w:val="18"/>
        </w:rPr>
        <w:t xml:space="preserve">SKM, 2011. </w:t>
      </w:r>
      <w:r w:rsidRPr="002C1788">
        <w:rPr>
          <w:rFonts w:cs="Arial"/>
          <w:i/>
          <w:sz w:val="18"/>
          <w:szCs w:val="18"/>
        </w:rPr>
        <w:t>SA-Vic Border Zone groundwater investigation – Interaction between TLA and TSCA – Analysis of Pumping Tests in Victoria.</w:t>
      </w:r>
      <w:r w:rsidRPr="002C1788">
        <w:rPr>
          <w:rFonts w:cs="Arial"/>
          <w:sz w:val="18"/>
          <w:szCs w:val="18"/>
        </w:rPr>
        <w:t xml:space="preserve"> Aug, 2011 VW05800.</w:t>
      </w:r>
    </w:p>
    <w:p w14:paraId="27CB9ADB" w14:textId="77777777" w:rsidR="004F4E80" w:rsidRPr="002C1788" w:rsidRDefault="004F4E80" w:rsidP="004F4E80">
      <w:pPr>
        <w:rPr>
          <w:sz w:val="18"/>
          <w:szCs w:val="18"/>
        </w:rPr>
      </w:pPr>
      <w:r w:rsidRPr="002C1788">
        <w:rPr>
          <w:sz w:val="18"/>
          <w:szCs w:val="18"/>
        </w:rPr>
        <w:t>SKM, 2012. A Leading Practice Framework for Coal Seam Gas Development in Australia. Advisory report for the Department of Resources, Energy and Tourism.</w:t>
      </w:r>
    </w:p>
    <w:p w14:paraId="4900900F" w14:textId="052AC0F6" w:rsidR="004F4E80" w:rsidRPr="002C1788" w:rsidRDefault="004F4E80" w:rsidP="004F4E80">
      <w:pPr>
        <w:rPr>
          <w:sz w:val="18"/>
          <w:szCs w:val="18"/>
        </w:rPr>
      </w:pPr>
      <w:r w:rsidRPr="002C1788">
        <w:rPr>
          <w:sz w:val="18"/>
          <w:szCs w:val="18"/>
        </w:rPr>
        <w:t xml:space="preserve">SKM </w:t>
      </w:r>
      <w:r w:rsidR="00D246E0" w:rsidRPr="002C1788">
        <w:rPr>
          <w:sz w:val="18"/>
          <w:szCs w:val="18"/>
        </w:rPr>
        <w:t>&amp;</w:t>
      </w:r>
      <w:r w:rsidRPr="002C1788">
        <w:rPr>
          <w:sz w:val="18"/>
          <w:szCs w:val="18"/>
        </w:rPr>
        <w:t xml:space="preserve"> GHD, 2009</w:t>
      </w:r>
      <w:r w:rsidRPr="002C1788">
        <w:rPr>
          <w:i/>
          <w:sz w:val="18"/>
          <w:szCs w:val="18"/>
        </w:rPr>
        <w:t>. Hydrogeological mapping of southern Victoria</w:t>
      </w:r>
      <w:r w:rsidRPr="002C1788">
        <w:rPr>
          <w:sz w:val="18"/>
          <w:szCs w:val="18"/>
        </w:rPr>
        <w:t>. July, 2009 VW04237.</w:t>
      </w:r>
    </w:p>
    <w:p w14:paraId="5BA8CF6C" w14:textId="25E525E2" w:rsidR="004F4E80" w:rsidRPr="002C1788" w:rsidRDefault="004F4E80" w:rsidP="004F4E80">
      <w:pPr>
        <w:rPr>
          <w:rStyle w:val="Hyperlink"/>
          <w:rFonts w:eastAsiaTheme="minorEastAsia"/>
          <w:sz w:val="18"/>
          <w:szCs w:val="18"/>
        </w:rPr>
      </w:pPr>
      <w:r w:rsidRPr="002C1788">
        <w:rPr>
          <w:sz w:val="18"/>
          <w:szCs w:val="18"/>
        </w:rPr>
        <w:t xml:space="preserve">SRW, 2013. South West Victoria Groundwater Atlas. </w:t>
      </w:r>
      <w:r w:rsidR="00C54663" w:rsidRPr="002C1788">
        <w:rPr>
          <w:sz w:val="18"/>
          <w:szCs w:val="18"/>
        </w:rPr>
        <w:t xml:space="preserve">(Southern Rural Water). </w:t>
      </w:r>
      <w:hyperlink r:id="rId81" w:history="1">
        <w:r w:rsidRPr="002C1788">
          <w:rPr>
            <w:rStyle w:val="Hyperlink"/>
            <w:rFonts w:eastAsiaTheme="minorEastAsia"/>
            <w:sz w:val="18"/>
            <w:szCs w:val="18"/>
          </w:rPr>
          <w:t>http://www.srw.com.au/page/page.asp?page_Id=687</w:t>
        </w:r>
      </w:hyperlink>
      <w:r w:rsidR="00C54663" w:rsidRPr="002C1788">
        <w:rPr>
          <w:rStyle w:val="Hyperlink"/>
          <w:rFonts w:eastAsiaTheme="minorEastAsia"/>
          <w:sz w:val="18"/>
          <w:szCs w:val="18"/>
        </w:rPr>
        <w:t xml:space="preserve"> (</w:t>
      </w:r>
      <w:r w:rsidR="00C54663" w:rsidRPr="002C1788">
        <w:rPr>
          <w:sz w:val="18"/>
          <w:szCs w:val="18"/>
        </w:rPr>
        <w:t xml:space="preserve">accessed April 2013). </w:t>
      </w:r>
    </w:p>
    <w:p w14:paraId="780EB585" w14:textId="123FEA3A" w:rsidR="00D246E0" w:rsidRPr="002C1788" w:rsidRDefault="00D246E0" w:rsidP="00D246E0">
      <w:pPr>
        <w:rPr>
          <w:rFonts w:cs="Arial"/>
          <w:sz w:val="18"/>
          <w:szCs w:val="18"/>
        </w:rPr>
      </w:pPr>
      <w:r w:rsidRPr="002C1788">
        <w:rPr>
          <w:sz w:val="18"/>
          <w:szCs w:val="18"/>
        </w:rPr>
        <w:t>SRC, 2014. Earthquakes in Australia. Seismology Research Centre (</w:t>
      </w:r>
      <w:hyperlink r:id="rId82" w:history="1">
        <w:r w:rsidRPr="002C1788">
          <w:rPr>
            <w:rStyle w:val="Hyperlink"/>
            <w:sz w:val="18"/>
            <w:szCs w:val="18"/>
          </w:rPr>
          <w:t>http://www.src.com.au/</w:t>
        </w:r>
      </w:hyperlink>
      <w:r w:rsidRPr="002C1788">
        <w:rPr>
          <w:rStyle w:val="Hyperlink"/>
          <w:sz w:val="18"/>
          <w:szCs w:val="18"/>
        </w:rPr>
        <w:t>).</w:t>
      </w:r>
    </w:p>
    <w:p w14:paraId="762A3A7F" w14:textId="39097CA7" w:rsidR="004F4E80" w:rsidRPr="002C1788" w:rsidRDefault="004F4E80" w:rsidP="004F4E80">
      <w:pPr>
        <w:rPr>
          <w:rStyle w:val="Hyperlink"/>
          <w:rFonts w:eastAsiaTheme="minorEastAsia"/>
          <w:sz w:val="18"/>
          <w:szCs w:val="18"/>
        </w:rPr>
      </w:pPr>
      <w:r w:rsidRPr="002C1788">
        <w:rPr>
          <w:sz w:val="18"/>
          <w:szCs w:val="18"/>
        </w:rPr>
        <w:t xml:space="preserve">SCER, 2013. The National Harmonised Regulatory Framework for Natural Gas from Coal Seams. </w:t>
      </w:r>
      <w:r w:rsidR="00D246E0" w:rsidRPr="002C1788">
        <w:rPr>
          <w:sz w:val="18"/>
          <w:szCs w:val="18"/>
        </w:rPr>
        <w:t xml:space="preserve">Standing Council for Energy Resources. </w:t>
      </w:r>
      <w:hyperlink r:id="rId83" w:history="1">
        <w:r w:rsidRPr="002C1788">
          <w:rPr>
            <w:rStyle w:val="Hyperlink"/>
            <w:rFonts w:eastAsiaTheme="minorEastAsia"/>
            <w:sz w:val="18"/>
            <w:szCs w:val="18"/>
          </w:rPr>
          <w:t>http://scer.govspace.gov.au/files/2013/06/National-Harmonised-Regulatory-Framework-for-Natural-Gas-from-Coal-Seams.pdf</w:t>
        </w:r>
      </w:hyperlink>
      <w:r w:rsidR="00C54663" w:rsidRPr="002C1788">
        <w:rPr>
          <w:sz w:val="18"/>
          <w:szCs w:val="18"/>
        </w:rPr>
        <w:t xml:space="preserve"> (accessed 20 May 2015).</w:t>
      </w:r>
    </w:p>
    <w:p w14:paraId="6038982E" w14:textId="77777777" w:rsidR="001608D3" w:rsidRPr="002C1788" w:rsidRDefault="001608D3" w:rsidP="001608D3">
      <w:pPr>
        <w:rPr>
          <w:sz w:val="18"/>
          <w:szCs w:val="18"/>
        </w:rPr>
      </w:pPr>
      <w:r w:rsidRPr="002C1788">
        <w:rPr>
          <w:sz w:val="18"/>
          <w:szCs w:val="18"/>
        </w:rPr>
        <w:t xml:space="preserve">SOUTHERN RURAL WATER (2011) South West Victoria Groundwater Atlas, </w:t>
      </w:r>
    </w:p>
    <w:p w14:paraId="7632FF8A" w14:textId="77777777" w:rsidR="001608D3" w:rsidRPr="002C1788" w:rsidRDefault="001608D3" w:rsidP="001608D3">
      <w:pPr>
        <w:rPr>
          <w:sz w:val="18"/>
          <w:szCs w:val="18"/>
        </w:rPr>
      </w:pPr>
      <w:r w:rsidRPr="002C1788">
        <w:rPr>
          <w:sz w:val="18"/>
          <w:szCs w:val="18"/>
        </w:rPr>
        <w:t>ISBN 978-0-9758420-5-8</w:t>
      </w:r>
    </w:p>
    <w:p w14:paraId="0CA74718" w14:textId="77777777" w:rsidR="001608D3" w:rsidRPr="002C1788" w:rsidRDefault="001608D3" w:rsidP="001608D3">
      <w:pPr>
        <w:rPr>
          <w:sz w:val="18"/>
          <w:szCs w:val="18"/>
        </w:rPr>
      </w:pPr>
      <w:r w:rsidRPr="002C1788">
        <w:rPr>
          <w:sz w:val="18"/>
          <w:szCs w:val="18"/>
        </w:rPr>
        <w:t>SYDNEY CATCHMENT AUTHORITY (UNDATED) Principles for Managing Mining and Coal Seam Gas Impacts http://www.sca.nsw.gov.au/__data/assets/pdf_file/0017/40850/SCA-Mining-Principles.PDF (online file created 2013)</w:t>
      </w:r>
    </w:p>
    <w:p w14:paraId="4D13194A" w14:textId="1242180E" w:rsidR="004F4E80" w:rsidRPr="002C1788" w:rsidRDefault="004F4E80" w:rsidP="004F4E80">
      <w:pPr>
        <w:rPr>
          <w:sz w:val="18"/>
          <w:szCs w:val="18"/>
          <w:lang w:val="en-AU" w:eastAsia="en-US"/>
        </w:rPr>
      </w:pPr>
      <w:r w:rsidRPr="002C1788">
        <w:rPr>
          <w:sz w:val="18"/>
          <w:szCs w:val="18"/>
        </w:rPr>
        <w:t>R</w:t>
      </w:r>
      <w:r w:rsidR="005B51A1" w:rsidRPr="002C1788">
        <w:rPr>
          <w:sz w:val="18"/>
          <w:szCs w:val="18"/>
        </w:rPr>
        <w:t>OYAL SOCIETY &amp; ROYAL ACADEMY OF ENGINEERING (UK)</w:t>
      </w:r>
      <w:r w:rsidRPr="002C1788">
        <w:rPr>
          <w:sz w:val="18"/>
          <w:szCs w:val="18"/>
        </w:rPr>
        <w:t>, 2012. Shale gas extraction in the UK: a review of hydraulic fracturing. London: The Royal Society and the Royal Academy of Engineering.</w:t>
      </w:r>
    </w:p>
    <w:p w14:paraId="70BE0F29" w14:textId="77777777" w:rsidR="004F4E80" w:rsidRPr="002C1788" w:rsidRDefault="004F4E80" w:rsidP="004F4E80">
      <w:pPr>
        <w:rPr>
          <w:sz w:val="18"/>
          <w:szCs w:val="18"/>
          <w:lang w:val="en-AU"/>
        </w:rPr>
      </w:pPr>
      <w:r w:rsidRPr="002C1788">
        <w:rPr>
          <w:sz w:val="18"/>
          <w:szCs w:val="18"/>
          <w:lang w:val="en-US" w:eastAsia="en-US"/>
        </w:rPr>
        <w:t>UNDERSCHULTZ, J., BAILEY, W., FREIJ-AYOUB, R. &amp; OTTO, C., 2006. Falling Water Levels in the Latrobe Aquifer, Gippsland Basin. Offshore Aquifer Update, Onshore Fault Seal Analysis and Preliminary Numerical Simulation of Coastal Subsidence Risk. CSIRO Wealth from Oceans, CSIRO Petroleum Open Report June 2006</w:t>
      </w:r>
    </w:p>
    <w:p w14:paraId="23E0840C" w14:textId="77777777" w:rsidR="002C1788" w:rsidRDefault="002C1788">
      <w:pPr>
        <w:spacing w:after="200"/>
        <w:rPr>
          <w:sz w:val="18"/>
          <w:szCs w:val="18"/>
        </w:rPr>
      </w:pPr>
      <w:r>
        <w:rPr>
          <w:sz w:val="18"/>
          <w:szCs w:val="18"/>
        </w:rPr>
        <w:br w:type="page"/>
      </w:r>
    </w:p>
    <w:p w14:paraId="016659C4" w14:textId="7B23B4EB" w:rsidR="004F4E80" w:rsidRPr="002C1788" w:rsidRDefault="004F4E80" w:rsidP="004F4E80">
      <w:pPr>
        <w:rPr>
          <w:sz w:val="18"/>
          <w:szCs w:val="18"/>
        </w:rPr>
      </w:pPr>
      <w:r w:rsidRPr="002C1788">
        <w:rPr>
          <w:sz w:val="18"/>
          <w:szCs w:val="18"/>
        </w:rPr>
        <w:t xml:space="preserve">USEPA, 2004. Evaluation of Impacts to Underground Sources of Drinking Water by Hydraulic Fracturing of Coalbed Methane Reservoirs. Report number EPA 816-R-04-003. </w:t>
      </w:r>
      <w:r w:rsidR="005205F7" w:rsidRPr="002C1788">
        <w:rPr>
          <w:sz w:val="18"/>
          <w:szCs w:val="18"/>
        </w:rPr>
        <w:t xml:space="preserve">United States Geological Survey. </w:t>
      </w:r>
      <w:r w:rsidRPr="002C1788">
        <w:rPr>
          <w:sz w:val="18"/>
          <w:szCs w:val="18"/>
        </w:rPr>
        <w:t>June 2004.</w:t>
      </w:r>
    </w:p>
    <w:p w14:paraId="4E8E6A3A" w14:textId="1F6B0F35" w:rsidR="004F4E80" w:rsidRPr="002C1788" w:rsidRDefault="004F4E80" w:rsidP="004F4E80">
      <w:pPr>
        <w:rPr>
          <w:sz w:val="18"/>
          <w:szCs w:val="18"/>
        </w:rPr>
      </w:pPr>
      <w:r w:rsidRPr="002C1788">
        <w:rPr>
          <w:sz w:val="18"/>
          <w:szCs w:val="18"/>
        </w:rPr>
        <w:t>USEPA, 2011. Plan to study the potential impacts of hydraulic fracturing on drinking water resources. Report number EPA/600/R-11/1. 22 November 2011</w:t>
      </w:r>
      <w:r w:rsidR="005205F7" w:rsidRPr="002C1788">
        <w:rPr>
          <w:sz w:val="18"/>
          <w:szCs w:val="18"/>
        </w:rPr>
        <w:t>. United States Geological Survey. (</w:t>
      </w:r>
      <w:r w:rsidRPr="002C1788">
        <w:rPr>
          <w:sz w:val="18"/>
          <w:szCs w:val="18"/>
        </w:rPr>
        <w:t>www.epa.gov/research</w:t>
      </w:r>
      <w:r w:rsidR="005205F7" w:rsidRPr="002C1788">
        <w:rPr>
          <w:sz w:val="18"/>
          <w:szCs w:val="18"/>
        </w:rPr>
        <w:t>)</w:t>
      </w:r>
      <w:r w:rsidRPr="002C1788">
        <w:rPr>
          <w:sz w:val="18"/>
          <w:szCs w:val="18"/>
        </w:rPr>
        <w:t>.</w:t>
      </w:r>
    </w:p>
    <w:p w14:paraId="488E0B7D" w14:textId="72B4BE2D" w:rsidR="004F4E80" w:rsidRPr="002C1788" w:rsidRDefault="004F4E80" w:rsidP="004F4E80">
      <w:pPr>
        <w:rPr>
          <w:sz w:val="18"/>
          <w:szCs w:val="18"/>
        </w:rPr>
      </w:pPr>
      <w:r w:rsidRPr="002C1788">
        <w:rPr>
          <w:sz w:val="18"/>
          <w:szCs w:val="18"/>
        </w:rPr>
        <w:t>USEPA, 2012. Plan to study the potential impacts of hydraulic fracturing on drinking water resources: status update. Report number EPA 601/R-12/011, December 2012</w:t>
      </w:r>
      <w:r w:rsidR="005205F7" w:rsidRPr="002C1788">
        <w:rPr>
          <w:sz w:val="18"/>
          <w:szCs w:val="18"/>
        </w:rPr>
        <w:t>. United States Geological Survey</w:t>
      </w:r>
      <w:r w:rsidRPr="002C1788">
        <w:rPr>
          <w:sz w:val="18"/>
          <w:szCs w:val="18"/>
        </w:rPr>
        <w:t xml:space="preserve"> </w:t>
      </w:r>
      <w:r w:rsidR="005205F7" w:rsidRPr="002C1788">
        <w:rPr>
          <w:sz w:val="18"/>
          <w:szCs w:val="18"/>
        </w:rPr>
        <w:t>(</w:t>
      </w:r>
      <w:r w:rsidRPr="002C1788">
        <w:rPr>
          <w:sz w:val="18"/>
          <w:szCs w:val="18"/>
        </w:rPr>
        <w:t>available at www.epa.gov/hfstudy</w:t>
      </w:r>
      <w:r w:rsidR="005205F7" w:rsidRPr="002C1788">
        <w:rPr>
          <w:sz w:val="18"/>
          <w:szCs w:val="18"/>
        </w:rPr>
        <w:t>).</w:t>
      </w:r>
    </w:p>
    <w:p w14:paraId="0C5B863E" w14:textId="395F3789" w:rsidR="004F4E80" w:rsidRPr="002C1788" w:rsidRDefault="004F4E80" w:rsidP="004F4E80">
      <w:pPr>
        <w:rPr>
          <w:sz w:val="18"/>
          <w:szCs w:val="18"/>
        </w:rPr>
      </w:pPr>
      <w:r w:rsidRPr="002C1788">
        <w:rPr>
          <w:sz w:val="18"/>
          <w:szCs w:val="18"/>
        </w:rPr>
        <w:t>VAN EIJS, R.M.H.E., MULDERS, F.M.M., NEPVEU, M., KENTER, C.J. &amp; SCHEFFERS, B.C., 2006. Correlation between hydrocarbon reservoir properties and induced seismicity in the Netherlands. Engineering Geology 84</w:t>
      </w:r>
      <w:r w:rsidR="00D246E0" w:rsidRPr="002C1788">
        <w:rPr>
          <w:sz w:val="18"/>
          <w:szCs w:val="18"/>
        </w:rPr>
        <w:t xml:space="preserve">, pp. </w:t>
      </w:r>
      <w:r w:rsidRPr="002C1788">
        <w:rPr>
          <w:sz w:val="18"/>
          <w:szCs w:val="18"/>
        </w:rPr>
        <w:t>99-111.</w:t>
      </w:r>
    </w:p>
    <w:p w14:paraId="2E39A51B" w14:textId="77777777" w:rsidR="004F4E80" w:rsidRPr="002C1788" w:rsidRDefault="004F4E80" w:rsidP="004F4E80">
      <w:pPr>
        <w:rPr>
          <w:sz w:val="18"/>
          <w:szCs w:val="18"/>
        </w:rPr>
      </w:pPr>
      <w:r w:rsidRPr="002C1788">
        <w:rPr>
          <w:sz w:val="18"/>
          <w:szCs w:val="18"/>
        </w:rPr>
        <w:t>WALKER, G. &amp; MALLANTS, D., 2014. Methodologies for Investigating Gas in Water Bores and Links to Coal Seam Gas Development. CSIRO, Australia.</w:t>
      </w:r>
    </w:p>
    <w:p w14:paraId="1CCC8E0C" w14:textId="6139E26C" w:rsidR="005C3BF8" w:rsidRDefault="005C3BF8">
      <w:pPr>
        <w:rPr>
          <w:lang w:val="en-AU"/>
        </w:rPr>
      </w:pPr>
    </w:p>
    <w:p w14:paraId="2D76D97B" w14:textId="43820399" w:rsidR="005C3BF8" w:rsidRDefault="005C3BF8">
      <w:pPr>
        <w:rPr>
          <w:lang w:val="en-AU"/>
        </w:rPr>
      </w:pPr>
      <w:r>
        <w:rPr>
          <w:lang w:val="en-AU"/>
        </w:rPr>
        <w:br w:type="page"/>
      </w:r>
    </w:p>
    <w:p w14:paraId="411E1AD4" w14:textId="4E94B04B" w:rsidR="009B3448" w:rsidRPr="009B3448" w:rsidRDefault="00A35B08" w:rsidP="009D4EAF">
      <w:pPr>
        <w:pStyle w:val="Head1x"/>
      </w:pPr>
      <w:bookmarkStart w:id="688" w:name="_Toc419895446"/>
      <w:bookmarkStart w:id="689" w:name="_Toc296767008"/>
      <w:bookmarkStart w:id="690" w:name="_Toc422927932"/>
      <w:r>
        <w:t>Appendix A:</w:t>
      </w:r>
      <w:r>
        <w:br/>
      </w:r>
      <w:r w:rsidR="009B3448">
        <w:t>Literature review on risk assessment frameworks for onshore gas</w:t>
      </w:r>
      <w:bookmarkEnd w:id="688"/>
      <w:bookmarkEnd w:id="689"/>
      <w:bookmarkEnd w:id="690"/>
    </w:p>
    <w:p w14:paraId="599F201B" w14:textId="1AF0BFFB" w:rsidR="009D4EAF" w:rsidRDefault="00D91C19" w:rsidP="00331966">
      <w:pPr>
        <w:pStyle w:val="TOC1"/>
        <w:rPr>
          <w:rFonts w:asciiTheme="minorHAnsi" w:eastAsiaTheme="minorEastAsia" w:hAnsiTheme="minorHAnsi" w:cstheme="minorBidi"/>
          <w:color w:val="auto"/>
          <w:sz w:val="24"/>
          <w:szCs w:val="24"/>
          <w:lang w:val="en-AU" w:eastAsia="ja-JP"/>
        </w:rPr>
      </w:pPr>
      <w:r>
        <w:t xml:space="preserve">Appendix </w:t>
      </w:r>
      <w:r w:rsidR="009D4EAF">
        <w:fldChar w:fldCharType="begin"/>
      </w:r>
      <w:r w:rsidR="009D4EAF">
        <w:instrText xml:space="preserve"> TOC \t "Head 2 app,1,Head 3 app,3" </w:instrText>
      </w:r>
      <w:r w:rsidR="009D4EAF">
        <w:fldChar w:fldCharType="separate"/>
      </w:r>
      <w:r w:rsidR="009D4EAF">
        <w:t xml:space="preserve">A1 </w:t>
      </w:r>
      <w:r>
        <w:rPr>
          <w:rFonts w:asciiTheme="minorHAnsi" w:eastAsiaTheme="minorEastAsia" w:hAnsiTheme="minorHAnsi" w:cstheme="minorBidi"/>
          <w:color w:val="auto"/>
          <w:sz w:val="24"/>
          <w:szCs w:val="24"/>
          <w:lang w:val="en-AU" w:eastAsia="ja-JP"/>
        </w:rPr>
        <w:t xml:space="preserve"> </w:t>
      </w:r>
      <w:r w:rsidR="009D4EAF">
        <w:t>Introduction</w:t>
      </w:r>
      <w:r w:rsidR="009D4EAF">
        <w:tab/>
      </w:r>
      <w:r w:rsidR="009D4EAF">
        <w:fldChar w:fldCharType="begin"/>
      </w:r>
      <w:r w:rsidR="009D4EAF">
        <w:instrText xml:space="preserve"> PAGEREF _Toc296767292 \h </w:instrText>
      </w:r>
      <w:r w:rsidR="009D4EAF">
        <w:fldChar w:fldCharType="separate"/>
      </w:r>
      <w:r w:rsidR="00171A5E">
        <w:t>99</w:t>
      </w:r>
      <w:r w:rsidR="009D4EAF">
        <w:fldChar w:fldCharType="end"/>
      </w:r>
    </w:p>
    <w:p w14:paraId="489F8BF1" w14:textId="2101CEC9" w:rsidR="009D4EAF" w:rsidRDefault="009D4EAF" w:rsidP="006844CA">
      <w:pPr>
        <w:pStyle w:val="TOC2"/>
        <w:spacing w:after="60"/>
        <w:rPr>
          <w:rFonts w:asciiTheme="minorHAnsi" w:hAnsiTheme="minorHAnsi" w:cstheme="minorBidi"/>
          <w:sz w:val="24"/>
          <w:szCs w:val="24"/>
          <w:lang w:eastAsia="ja-JP"/>
        </w:rPr>
      </w:pPr>
      <w:r>
        <w:t>A1.1</w:t>
      </w:r>
      <w:r>
        <w:rPr>
          <w:rFonts w:asciiTheme="minorHAnsi" w:hAnsiTheme="minorHAnsi" w:cstheme="minorBidi"/>
          <w:sz w:val="24"/>
          <w:szCs w:val="24"/>
          <w:lang w:eastAsia="ja-JP"/>
        </w:rPr>
        <w:tab/>
      </w:r>
      <w:r>
        <w:t>Background</w:t>
      </w:r>
      <w:r>
        <w:tab/>
      </w:r>
      <w:r>
        <w:fldChar w:fldCharType="begin"/>
      </w:r>
      <w:r>
        <w:instrText xml:space="preserve"> PAGEREF _Toc296767293 \h </w:instrText>
      </w:r>
      <w:r>
        <w:fldChar w:fldCharType="separate"/>
      </w:r>
      <w:r w:rsidR="00171A5E">
        <w:t>99</w:t>
      </w:r>
      <w:r>
        <w:fldChar w:fldCharType="end"/>
      </w:r>
    </w:p>
    <w:p w14:paraId="2BC8781D" w14:textId="5D66BD40" w:rsidR="009D4EAF" w:rsidRDefault="009D4EAF" w:rsidP="006844CA">
      <w:pPr>
        <w:pStyle w:val="TOC2"/>
        <w:spacing w:after="60"/>
        <w:rPr>
          <w:rFonts w:asciiTheme="minorHAnsi" w:hAnsiTheme="minorHAnsi" w:cstheme="minorBidi"/>
          <w:sz w:val="24"/>
          <w:szCs w:val="24"/>
          <w:lang w:eastAsia="ja-JP"/>
        </w:rPr>
      </w:pPr>
      <w:r>
        <w:t>A1.2</w:t>
      </w:r>
      <w:r>
        <w:rPr>
          <w:rFonts w:asciiTheme="minorHAnsi" w:hAnsiTheme="minorHAnsi" w:cstheme="minorBidi"/>
          <w:sz w:val="24"/>
          <w:szCs w:val="24"/>
          <w:lang w:eastAsia="ja-JP"/>
        </w:rPr>
        <w:tab/>
      </w:r>
      <w:r>
        <w:t>Purpose of the literature review</w:t>
      </w:r>
      <w:r>
        <w:tab/>
      </w:r>
      <w:r>
        <w:fldChar w:fldCharType="begin"/>
      </w:r>
      <w:r>
        <w:instrText xml:space="preserve"> PAGEREF _Toc296767294 \h </w:instrText>
      </w:r>
      <w:r>
        <w:fldChar w:fldCharType="separate"/>
      </w:r>
      <w:r w:rsidR="00171A5E">
        <w:t>99</w:t>
      </w:r>
      <w:r>
        <w:fldChar w:fldCharType="end"/>
      </w:r>
    </w:p>
    <w:p w14:paraId="44B4C907" w14:textId="49771DFC" w:rsidR="009D4EAF" w:rsidRDefault="009D4EAF" w:rsidP="006844CA">
      <w:pPr>
        <w:pStyle w:val="TOC2"/>
        <w:spacing w:after="60"/>
        <w:rPr>
          <w:rFonts w:asciiTheme="minorHAnsi" w:hAnsiTheme="minorHAnsi" w:cstheme="minorBidi"/>
          <w:sz w:val="24"/>
          <w:szCs w:val="24"/>
          <w:lang w:eastAsia="ja-JP"/>
        </w:rPr>
      </w:pPr>
      <w:r>
        <w:t>A1.3</w:t>
      </w:r>
      <w:r>
        <w:rPr>
          <w:rFonts w:asciiTheme="minorHAnsi" w:hAnsiTheme="minorHAnsi" w:cstheme="minorBidi"/>
          <w:sz w:val="24"/>
          <w:szCs w:val="24"/>
          <w:lang w:eastAsia="ja-JP"/>
        </w:rPr>
        <w:tab/>
      </w:r>
      <w:r>
        <w:t>Literature review research objectives</w:t>
      </w:r>
      <w:r>
        <w:tab/>
      </w:r>
      <w:r>
        <w:fldChar w:fldCharType="begin"/>
      </w:r>
      <w:r>
        <w:instrText xml:space="preserve"> PAGEREF _Toc296767295 \h </w:instrText>
      </w:r>
      <w:r>
        <w:fldChar w:fldCharType="separate"/>
      </w:r>
      <w:r w:rsidR="00171A5E">
        <w:t>100</w:t>
      </w:r>
      <w:r>
        <w:fldChar w:fldCharType="end"/>
      </w:r>
    </w:p>
    <w:p w14:paraId="6690D8DF" w14:textId="79C62F4D" w:rsidR="009D4EAF" w:rsidRDefault="009D4EAF" w:rsidP="006844CA">
      <w:pPr>
        <w:pStyle w:val="TOC2"/>
        <w:spacing w:after="60"/>
        <w:rPr>
          <w:rFonts w:asciiTheme="minorHAnsi" w:hAnsiTheme="minorHAnsi" w:cstheme="minorBidi"/>
          <w:sz w:val="24"/>
          <w:szCs w:val="24"/>
          <w:lang w:eastAsia="ja-JP"/>
        </w:rPr>
      </w:pPr>
      <w:r>
        <w:t>A1.4</w:t>
      </w:r>
      <w:r>
        <w:rPr>
          <w:rFonts w:asciiTheme="minorHAnsi" w:hAnsiTheme="minorHAnsi" w:cstheme="minorBidi"/>
          <w:sz w:val="24"/>
          <w:szCs w:val="24"/>
          <w:lang w:eastAsia="ja-JP"/>
        </w:rPr>
        <w:tab/>
      </w:r>
      <w:r>
        <w:t>Scope of risk assessment framework</w:t>
      </w:r>
      <w:r>
        <w:tab/>
      </w:r>
      <w:r>
        <w:fldChar w:fldCharType="begin"/>
      </w:r>
      <w:r>
        <w:instrText xml:space="preserve"> PAGEREF _Toc296767296 \h </w:instrText>
      </w:r>
      <w:r>
        <w:fldChar w:fldCharType="separate"/>
      </w:r>
      <w:r w:rsidR="00171A5E">
        <w:t>101</w:t>
      </w:r>
      <w:r>
        <w:fldChar w:fldCharType="end"/>
      </w:r>
    </w:p>
    <w:p w14:paraId="5DDCE037" w14:textId="4311863F" w:rsidR="009D4EAF" w:rsidRDefault="009D4EAF" w:rsidP="006844CA">
      <w:pPr>
        <w:pStyle w:val="TOC2"/>
        <w:spacing w:after="60"/>
        <w:rPr>
          <w:rFonts w:asciiTheme="minorHAnsi" w:hAnsiTheme="minorHAnsi" w:cstheme="minorBidi"/>
          <w:sz w:val="24"/>
          <w:szCs w:val="24"/>
          <w:lang w:eastAsia="ja-JP"/>
        </w:rPr>
      </w:pPr>
      <w:r>
        <w:t>A1.5</w:t>
      </w:r>
      <w:r>
        <w:rPr>
          <w:rFonts w:asciiTheme="minorHAnsi" w:hAnsiTheme="minorHAnsi" w:cstheme="minorBidi"/>
          <w:sz w:val="24"/>
          <w:szCs w:val="24"/>
          <w:lang w:eastAsia="ja-JP"/>
        </w:rPr>
        <w:tab/>
      </w:r>
      <w:r>
        <w:t>Approach to the literature review</w:t>
      </w:r>
      <w:r>
        <w:tab/>
      </w:r>
      <w:r>
        <w:fldChar w:fldCharType="begin"/>
      </w:r>
      <w:r>
        <w:instrText xml:space="preserve"> PAGEREF _Toc296767297 \h </w:instrText>
      </w:r>
      <w:r>
        <w:fldChar w:fldCharType="separate"/>
      </w:r>
      <w:r w:rsidR="00171A5E">
        <w:t>101</w:t>
      </w:r>
      <w:r>
        <w:fldChar w:fldCharType="end"/>
      </w:r>
    </w:p>
    <w:p w14:paraId="7D928BD2" w14:textId="125800AC" w:rsidR="009D4EAF" w:rsidRDefault="009D4EAF" w:rsidP="006844CA">
      <w:pPr>
        <w:pStyle w:val="TOC2"/>
        <w:spacing w:after="60"/>
        <w:rPr>
          <w:rFonts w:asciiTheme="minorHAnsi" w:hAnsiTheme="minorHAnsi" w:cstheme="minorBidi"/>
          <w:sz w:val="24"/>
          <w:szCs w:val="24"/>
          <w:lang w:eastAsia="ja-JP"/>
        </w:rPr>
      </w:pPr>
      <w:r>
        <w:t>A1.6</w:t>
      </w:r>
      <w:r>
        <w:rPr>
          <w:rFonts w:asciiTheme="minorHAnsi" w:hAnsiTheme="minorHAnsi" w:cstheme="minorBidi"/>
          <w:sz w:val="24"/>
          <w:szCs w:val="24"/>
          <w:lang w:eastAsia="ja-JP"/>
        </w:rPr>
        <w:tab/>
      </w:r>
      <w:r>
        <w:t>Structure</w:t>
      </w:r>
      <w:r>
        <w:tab/>
      </w:r>
      <w:r>
        <w:fldChar w:fldCharType="begin"/>
      </w:r>
      <w:r>
        <w:instrText xml:space="preserve"> PAGEREF _Toc296767298 \h </w:instrText>
      </w:r>
      <w:r>
        <w:fldChar w:fldCharType="separate"/>
      </w:r>
      <w:r w:rsidR="00171A5E">
        <w:t>102</w:t>
      </w:r>
      <w:r>
        <w:fldChar w:fldCharType="end"/>
      </w:r>
    </w:p>
    <w:p w14:paraId="7A0B026D" w14:textId="551E7B88" w:rsidR="009D4EAF" w:rsidRDefault="009D4EAF" w:rsidP="006844CA">
      <w:pPr>
        <w:pStyle w:val="TOC2"/>
        <w:spacing w:after="60"/>
        <w:rPr>
          <w:rFonts w:asciiTheme="minorHAnsi" w:hAnsiTheme="minorHAnsi" w:cstheme="minorBidi"/>
          <w:sz w:val="24"/>
          <w:szCs w:val="24"/>
          <w:lang w:eastAsia="ja-JP"/>
        </w:rPr>
      </w:pPr>
      <w:r>
        <w:t>A1.7</w:t>
      </w:r>
      <w:r>
        <w:rPr>
          <w:rFonts w:asciiTheme="minorHAnsi" w:hAnsiTheme="minorHAnsi" w:cstheme="minorBidi"/>
          <w:sz w:val="24"/>
          <w:szCs w:val="24"/>
          <w:lang w:eastAsia="ja-JP"/>
        </w:rPr>
        <w:tab/>
      </w:r>
      <w:r>
        <w:t>Summary of references</w:t>
      </w:r>
      <w:r>
        <w:tab/>
      </w:r>
      <w:r>
        <w:fldChar w:fldCharType="begin"/>
      </w:r>
      <w:r>
        <w:instrText xml:space="preserve"> PAGEREF _Toc296767299 \h </w:instrText>
      </w:r>
      <w:r>
        <w:fldChar w:fldCharType="separate"/>
      </w:r>
      <w:r w:rsidR="00171A5E">
        <w:t>102</w:t>
      </w:r>
      <w:r>
        <w:fldChar w:fldCharType="end"/>
      </w:r>
    </w:p>
    <w:p w14:paraId="13691BA4" w14:textId="0D760154" w:rsidR="009D4EAF" w:rsidRDefault="00D91C19" w:rsidP="00331966">
      <w:pPr>
        <w:pStyle w:val="TOC1"/>
        <w:rPr>
          <w:rFonts w:asciiTheme="minorHAnsi" w:eastAsiaTheme="minorEastAsia" w:hAnsiTheme="minorHAnsi" w:cstheme="minorBidi"/>
          <w:color w:val="auto"/>
          <w:sz w:val="24"/>
          <w:szCs w:val="24"/>
          <w:lang w:val="en-AU" w:eastAsia="ja-JP"/>
        </w:rPr>
      </w:pPr>
      <w:r>
        <w:t xml:space="preserve">Appendix </w:t>
      </w:r>
      <w:r w:rsidR="009D4EAF">
        <w:t>A2</w:t>
      </w:r>
      <w:r>
        <w:rPr>
          <w:rFonts w:asciiTheme="minorHAnsi" w:eastAsiaTheme="minorEastAsia" w:hAnsiTheme="minorHAnsi" w:cstheme="minorBidi"/>
          <w:color w:val="auto"/>
          <w:sz w:val="24"/>
          <w:szCs w:val="24"/>
          <w:lang w:val="en-AU" w:eastAsia="ja-JP"/>
        </w:rPr>
        <w:t xml:space="preserve">  </w:t>
      </w:r>
      <w:r w:rsidR="009D4EAF">
        <w:t>Key findings</w:t>
      </w:r>
      <w:r w:rsidR="009D4EAF">
        <w:tab/>
      </w:r>
      <w:r w:rsidR="009D4EAF">
        <w:fldChar w:fldCharType="begin"/>
      </w:r>
      <w:r w:rsidR="009D4EAF">
        <w:instrText xml:space="preserve"> PAGEREF _Toc296767300 \h </w:instrText>
      </w:r>
      <w:r w:rsidR="009D4EAF">
        <w:fldChar w:fldCharType="separate"/>
      </w:r>
      <w:r w:rsidR="00171A5E">
        <w:t>103</w:t>
      </w:r>
      <w:r w:rsidR="009D4EAF">
        <w:fldChar w:fldCharType="end"/>
      </w:r>
    </w:p>
    <w:p w14:paraId="425628C9" w14:textId="031D9CBB" w:rsidR="009D4EAF" w:rsidRDefault="009D4EAF" w:rsidP="006844CA">
      <w:pPr>
        <w:pStyle w:val="TOC2"/>
        <w:spacing w:after="60"/>
        <w:rPr>
          <w:rFonts w:asciiTheme="minorHAnsi" w:hAnsiTheme="minorHAnsi" w:cstheme="minorBidi"/>
          <w:sz w:val="24"/>
          <w:szCs w:val="24"/>
          <w:lang w:eastAsia="ja-JP"/>
        </w:rPr>
      </w:pPr>
      <w:r>
        <w:t>A2.1</w:t>
      </w:r>
      <w:r>
        <w:rPr>
          <w:rFonts w:asciiTheme="minorHAnsi" w:hAnsiTheme="minorHAnsi" w:cstheme="minorBidi"/>
          <w:sz w:val="24"/>
          <w:szCs w:val="24"/>
          <w:lang w:eastAsia="ja-JP"/>
        </w:rPr>
        <w:tab/>
      </w:r>
      <w:r>
        <w:t>Risk and uncertainty</w:t>
      </w:r>
      <w:r>
        <w:tab/>
      </w:r>
      <w:r>
        <w:fldChar w:fldCharType="begin"/>
      </w:r>
      <w:r>
        <w:instrText xml:space="preserve"> PAGEREF _Toc296767301 \h </w:instrText>
      </w:r>
      <w:r>
        <w:fldChar w:fldCharType="separate"/>
      </w:r>
      <w:r w:rsidR="00171A5E">
        <w:t>103</w:t>
      </w:r>
      <w:r>
        <w:fldChar w:fldCharType="end"/>
      </w:r>
    </w:p>
    <w:p w14:paraId="7E67886C" w14:textId="221261AA" w:rsidR="009D4EAF" w:rsidRDefault="009D4EAF" w:rsidP="006844CA">
      <w:pPr>
        <w:pStyle w:val="TOC2"/>
        <w:spacing w:after="60"/>
        <w:rPr>
          <w:rFonts w:asciiTheme="minorHAnsi" w:hAnsiTheme="minorHAnsi" w:cstheme="minorBidi"/>
          <w:sz w:val="24"/>
          <w:szCs w:val="24"/>
          <w:lang w:eastAsia="ja-JP"/>
        </w:rPr>
      </w:pPr>
      <w:r>
        <w:t>A2.4</w:t>
      </w:r>
      <w:r>
        <w:rPr>
          <w:rFonts w:asciiTheme="minorHAnsi" w:hAnsiTheme="minorHAnsi" w:cstheme="minorBidi"/>
          <w:sz w:val="24"/>
          <w:szCs w:val="24"/>
          <w:lang w:eastAsia="ja-JP"/>
        </w:rPr>
        <w:tab/>
      </w:r>
      <w:r>
        <w:t>Pathways</w:t>
      </w:r>
      <w:r>
        <w:tab/>
      </w:r>
      <w:r>
        <w:fldChar w:fldCharType="begin"/>
      </w:r>
      <w:r>
        <w:instrText xml:space="preserve"> PAGEREF _Toc296767302 \h </w:instrText>
      </w:r>
      <w:r>
        <w:fldChar w:fldCharType="separate"/>
      </w:r>
      <w:r w:rsidR="00171A5E">
        <w:t>108</w:t>
      </w:r>
      <w:r>
        <w:fldChar w:fldCharType="end"/>
      </w:r>
    </w:p>
    <w:p w14:paraId="64E99C88" w14:textId="36398549" w:rsidR="009D4EAF" w:rsidRDefault="009D4EAF" w:rsidP="006844CA">
      <w:pPr>
        <w:pStyle w:val="TOC2"/>
        <w:spacing w:after="60"/>
        <w:rPr>
          <w:rFonts w:asciiTheme="minorHAnsi" w:hAnsiTheme="minorHAnsi" w:cstheme="minorBidi"/>
          <w:sz w:val="24"/>
          <w:szCs w:val="24"/>
          <w:lang w:eastAsia="ja-JP"/>
        </w:rPr>
      </w:pPr>
      <w:r>
        <w:t>A2.5</w:t>
      </w:r>
      <w:r>
        <w:rPr>
          <w:rFonts w:asciiTheme="minorHAnsi" w:hAnsiTheme="minorHAnsi" w:cstheme="minorBidi"/>
          <w:sz w:val="24"/>
          <w:szCs w:val="24"/>
          <w:lang w:eastAsia="ja-JP"/>
        </w:rPr>
        <w:tab/>
      </w:r>
      <w:r>
        <w:t>Thresholds</w:t>
      </w:r>
      <w:r>
        <w:tab/>
      </w:r>
      <w:r>
        <w:fldChar w:fldCharType="begin"/>
      </w:r>
      <w:r>
        <w:instrText xml:space="preserve"> PAGEREF _Toc296767303 \h </w:instrText>
      </w:r>
      <w:r>
        <w:fldChar w:fldCharType="separate"/>
      </w:r>
      <w:r w:rsidR="00171A5E">
        <w:t>111</w:t>
      </w:r>
      <w:r>
        <w:fldChar w:fldCharType="end"/>
      </w:r>
    </w:p>
    <w:p w14:paraId="7126ECA3" w14:textId="57BB19C9" w:rsidR="009D4EAF" w:rsidRDefault="009D4EAF" w:rsidP="006844CA">
      <w:pPr>
        <w:pStyle w:val="TOC2"/>
        <w:spacing w:after="60"/>
        <w:rPr>
          <w:rFonts w:asciiTheme="minorHAnsi" w:hAnsiTheme="minorHAnsi" w:cstheme="minorBidi"/>
          <w:sz w:val="24"/>
          <w:szCs w:val="24"/>
          <w:lang w:eastAsia="ja-JP"/>
        </w:rPr>
      </w:pPr>
      <w:r>
        <w:t>A2.6</w:t>
      </w:r>
      <w:r>
        <w:rPr>
          <w:rFonts w:asciiTheme="minorHAnsi" w:hAnsiTheme="minorHAnsi" w:cstheme="minorBidi"/>
          <w:sz w:val="24"/>
          <w:szCs w:val="24"/>
          <w:lang w:eastAsia="ja-JP"/>
        </w:rPr>
        <w:tab/>
      </w:r>
      <w:r>
        <w:t>Standard controls</w:t>
      </w:r>
      <w:r>
        <w:tab/>
      </w:r>
      <w:r>
        <w:fldChar w:fldCharType="begin"/>
      </w:r>
      <w:r>
        <w:instrText xml:space="preserve"> PAGEREF _Toc296767304 \h </w:instrText>
      </w:r>
      <w:r>
        <w:fldChar w:fldCharType="separate"/>
      </w:r>
      <w:r w:rsidR="00171A5E">
        <w:t>112</w:t>
      </w:r>
      <w:r>
        <w:fldChar w:fldCharType="end"/>
      </w:r>
    </w:p>
    <w:p w14:paraId="7D51243E" w14:textId="3FD90CCF" w:rsidR="009D4EAF" w:rsidRDefault="009D4EAF" w:rsidP="006844CA">
      <w:pPr>
        <w:pStyle w:val="TOC2"/>
        <w:spacing w:after="60"/>
        <w:rPr>
          <w:rFonts w:asciiTheme="minorHAnsi" w:hAnsiTheme="minorHAnsi" w:cstheme="minorBidi"/>
          <w:sz w:val="24"/>
          <w:szCs w:val="24"/>
          <w:lang w:eastAsia="ja-JP"/>
        </w:rPr>
      </w:pPr>
      <w:r>
        <w:t>A2.7</w:t>
      </w:r>
      <w:r>
        <w:rPr>
          <w:rFonts w:asciiTheme="minorHAnsi" w:hAnsiTheme="minorHAnsi" w:cstheme="minorBidi"/>
          <w:sz w:val="24"/>
          <w:szCs w:val="24"/>
          <w:lang w:eastAsia="ja-JP"/>
        </w:rPr>
        <w:tab/>
      </w:r>
      <w:r>
        <w:t>Consequence</w:t>
      </w:r>
      <w:r>
        <w:tab/>
      </w:r>
      <w:r>
        <w:fldChar w:fldCharType="begin"/>
      </w:r>
      <w:r>
        <w:instrText xml:space="preserve"> PAGEREF _Toc296767305 \h </w:instrText>
      </w:r>
      <w:r>
        <w:fldChar w:fldCharType="separate"/>
      </w:r>
      <w:r w:rsidR="00171A5E">
        <w:t>115</w:t>
      </w:r>
      <w:r>
        <w:fldChar w:fldCharType="end"/>
      </w:r>
    </w:p>
    <w:p w14:paraId="2CE8689E" w14:textId="04CD4469" w:rsidR="009D4EAF" w:rsidRDefault="009D4EAF" w:rsidP="006844CA">
      <w:pPr>
        <w:pStyle w:val="TOC2"/>
        <w:spacing w:after="60"/>
        <w:rPr>
          <w:rFonts w:asciiTheme="minorHAnsi" w:hAnsiTheme="minorHAnsi" w:cstheme="minorBidi"/>
          <w:sz w:val="24"/>
          <w:szCs w:val="24"/>
          <w:lang w:eastAsia="ja-JP"/>
        </w:rPr>
      </w:pPr>
      <w:r>
        <w:t>A2.8</w:t>
      </w:r>
      <w:r>
        <w:rPr>
          <w:rFonts w:asciiTheme="minorHAnsi" w:hAnsiTheme="minorHAnsi" w:cstheme="minorBidi"/>
          <w:sz w:val="24"/>
          <w:szCs w:val="24"/>
          <w:lang w:eastAsia="ja-JP"/>
        </w:rPr>
        <w:tab/>
      </w:r>
      <w:r>
        <w:t>Likelihood</w:t>
      </w:r>
      <w:r>
        <w:tab/>
      </w:r>
      <w:r>
        <w:fldChar w:fldCharType="begin"/>
      </w:r>
      <w:r>
        <w:instrText xml:space="preserve"> PAGEREF _Toc296767306 \h </w:instrText>
      </w:r>
      <w:r>
        <w:fldChar w:fldCharType="separate"/>
      </w:r>
      <w:r w:rsidR="00171A5E">
        <w:t>118</w:t>
      </w:r>
      <w:r>
        <w:fldChar w:fldCharType="end"/>
      </w:r>
    </w:p>
    <w:p w14:paraId="6B02463E" w14:textId="51C61023" w:rsidR="009D4EAF" w:rsidRDefault="009D4EAF" w:rsidP="006844CA">
      <w:pPr>
        <w:pStyle w:val="TOC2"/>
        <w:spacing w:after="60"/>
        <w:rPr>
          <w:rFonts w:asciiTheme="minorHAnsi" w:hAnsiTheme="minorHAnsi" w:cstheme="minorBidi"/>
          <w:sz w:val="24"/>
          <w:szCs w:val="24"/>
          <w:lang w:eastAsia="ja-JP"/>
        </w:rPr>
      </w:pPr>
      <w:r>
        <w:t>A2.9</w:t>
      </w:r>
      <w:r>
        <w:rPr>
          <w:rFonts w:asciiTheme="minorHAnsi" w:hAnsiTheme="minorHAnsi" w:cstheme="minorBidi"/>
          <w:sz w:val="24"/>
          <w:szCs w:val="24"/>
          <w:lang w:eastAsia="ja-JP"/>
        </w:rPr>
        <w:tab/>
      </w:r>
      <w:r>
        <w:t>Risk rating</w:t>
      </w:r>
      <w:r>
        <w:tab/>
      </w:r>
      <w:r>
        <w:fldChar w:fldCharType="begin"/>
      </w:r>
      <w:r>
        <w:instrText xml:space="preserve"> PAGEREF _Toc296767307 \h </w:instrText>
      </w:r>
      <w:r>
        <w:fldChar w:fldCharType="separate"/>
      </w:r>
      <w:r w:rsidR="00171A5E">
        <w:t>120</w:t>
      </w:r>
      <w:r>
        <w:fldChar w:fldCharType="end"/>
      </w:r>
    </w:p>
    <w:p w14:paraId="514DB85A" w14:textId="3665FE0F" w:rsidR="009D4EAF" w:rsidRDefault="009D4EAF" w:rsidP="006844CA">
      <w:pPr>
        <w:pStyle w:val="TOC2"/>
        <w:spacing w:after="60"/>
        <w:rPr>
          <w:rFonts w:asciiTheme="minorHAnsi" w:hAnsiTheme="minorHAnsi" w:cstheme="minorBidi"/>
          <w:sz w:val="24"/>
          <w:szCs w:val="24"/>
          <w:lang w:eastAsia="ja-JP"/>
        </w:rPr>
      </w:pPr>
      <w:r>
        <w:t>A2.10</w:t>
      </w:r>
      <w:r>
        <w:rPr>
          <w:rFonts w:asciiTheme="minorHAnsi" w:hAnsiTheme="minorHAnsi" w:cstheme="minorBidi"/>
          <w:sz w:val="24"/>
          <w:szCs w:val="24"/>
          <w:lang w:eastAsia="ja-JP"/>
        </w:rPr>
        <w:tab/>
      </w:r>
      <w:r>
        <w:t>Presentation of risk assessment findings</w:t>
      </w:r>
      <w:r>
        <w:tab/>
      </w:r>
      <w:r>
        <w:fldChar w:fldCharType="begin"/>
      </w:r>
      <w:r>
        <w:instrText xml:space="preserve"> PAGEREF _Toc296767308 \h </w:instrText>
      </w:r>
      <w:r>
        <w:fldChar w:fldCharType="separate"/>
      </w:r>
      <w:r w:rsidR="00171A5E">
        <w:t>122</w:t>
      </w:r>
      <w:r>
        <w:fldChar w:fldCharType="end"/>
      </w:r>
    </w:p>
    <w:p w14:paraId="2DA62A0A" w14:textId="01D05C25" w:rsidR="009D4EAF" w:rsidRDefault="00D91C19" w:rsidP="00331966">
      <w:pPr>
        <w:pStyle w:val="TOC1"/>
        <w:rPr>
          <w:rFonts w:asciiTheme="minorHAnsi" w:eastAsiaTheme="minorEastAsia" w:hAnsiTheme="minorHAnsi" w:cstheme="minorBidi"/>
          <w:color w:val="auto"/>
          <w:sz w:val="24"/>
          <w:szCs w:val="24"/>
          <w:lang w:val="en-AU" w:eastAsia="ja-JP"/>
        </w:rPr>
      </w:pPr>
      <w:r>
        <w:t xml:space="preserve">Appendix </w:t>
      </w:r>
      <w:r w:rsidR="009D4EAF" w:rsidRPr="009D4EAF">
        <w:t>A3</w:t>
      </w:r>
      <w:r>
        <w:rPr>
          <w:rFonts w:asciiTheme="minorHAnsi" w:eastAsiaTheme="minorEastAsia" w:hAnsiTheme="minorHAnsi" w:cstheme="minorBidi"/>
          <w:color w:val="auto"/>
          <w:sz w:val="24"/>
          <w:szCs w:val="24"/>
          <w:lang w:val="en-AU" w:eastAsia="ja-JP"/>
        </w:rPr>
        <w:t xml:space="preserve">  </w:t>
      </w:r>
      <w:r w:rsidR="009D4EAF" w:rsidRPr="009D4EAF">
        <w:t>Implications for the design of a QQRA</w:t>
      </w:r>
      <w:r w:rsidR="009D4EAF" w:rsidRPr="009D4EAF">
        <w:tab/>
      </w:r>
      <w:r w:rsidR="009D4EAF" w:rsidRPr="009D4EAF">
        <w:fldChar w:fldCharType="begin"/>
      </w:r>
      <w:r w:rsidR="009D4EAF" w:rsidRPr="009D4EAF">
        <w:instrText xml:space="preserve"> PAGEREF _Toc296767309 \h </w:instrText>
      </w:r>
      <w:r w:rsidR="009D4EAF" w:rsidRPr="009D4EAF">
        <w:fldChar w:fldCharType="separate"/>
      </w:r>
      <w:r w:rsidR="00171A5E">
        <w:t>126</w:t>
      </w:r>
      <w:r w:rsidR="009D4EAF" w:rsidRPr="009D4EAF">
        <w:fldChar w:fldCharType="end"/>
      </w:r>
    </w:p>
    <w:p w14:paraId="5AA79733" w14:textId="316BB0FD" w:rsidR="009D4EAF" w:rsidRDefault="009D4EAF" w:rsidP="006844CA">
      <w:pPr>
        <w:pStyle w:val="TOC2"/>
        <w:spacing w:after="60"/>
        <w:rPr>
          <w:rFonts w:asciiTheme="minorHAnsi" w:hAnsiTheme="minorHAnsi" w:cstheme="minorBidi"/>
          <w:sz w:val="24"/>
          <w:szCs w:val="24"/>
          <w:lang w:eastAsia="ja-JP"/>
        </w:rPr>
      </w:pPr>
      <w:r>
        <w:t>A3.1</w:t>
      </w:r>
      <w:r>
        <w:rPr>
          <w:rFonts w:asciiTheme="minorHAnsi" w:hAnsiTheme="minorHAnsi" w:cstheme="minorBidi"/>
          <w:sz w:val="24"/>
          <w:szCs w:val="24"/>
          <w:lang w:eastAsia="ja-JP"/>
        </w:rPr>
        <w:tab/>
      </w:r>
      <w:r>
        <w:t>Common elements</w:t>
      </w:r>
      <w:r>
        <w:tab/>
      </w:r>
      <w:r>
        <w:fldChar w:fldCharType="begin"/>
      </w:r>
      <w:r>
        <w:instrText xml:space="preserve"> PAGEREF _Toc296767310 \h </w:instrText>
      </w:r>
      <w:r>
        <w:fldChar w:fldCharType="separate"/>
      </w:r>
      <w:r w:rsidR="00171A5E">
        <w:t>126</w:t>
      </w:r>
      <w:r>
        <w:fldChar w:fldCharType="end"/>
      </w:r>
    </w:p>
    <w:p w14:paraId="6A606A00" w14:textId="0B71A093" w:rsidR="009D4EAF" w:rsidRDefault="009D4EAF" w:rsidP="006844CA">
      <w:pPr>
        <w:pStyle w:val="TOC2"/>
        <w:spacing w:after="60"/>
        <w:rPr>
          <w:rFonts w:asciiTheme="minorHAnsi" w:hAnsiTheme="minorHAnsi" w:cstheme="minorBidi"/>
          <w:sz w:val="24"/>
          <w:szCs w:val="24"/>
          <w:lang w:eastAsia="ja-JP"/>
        </w:rPr>
      </w:pPr>
      <w:r>
        <w:t>A3.2</w:t>
      </w:r>
      <w:r>
        <w:rPr>
          <w:rFonts w:asciiTheme="minorHAnsi" w:hAnsiTheme="minorHAnsi" w:cstheme="minorBidi"/>
          <w:sz w:val="24"/>
          <w:szCs w:val="24"/>
          <w:lang w:eastAsia="ja-JP"/>
        </w:rPr>
        <w:tab/>
      </w:r>
      <w:r>
        <w:t>Key differences</w:t>
      </w:r>
      <w:r>
        <w:tab/>
      </w:r>
      <w:r>
        <w:fldChar w:fldCharType="begin"/>
      </w:r>
      <w:r>
        <w:instrText xml:space="preserve"> PAGEREF _Toc296767311 \h </w:instrText>
      </w:r>
      <w:r>
        <w:fldChar w:fldCharType="separate"/>
      </w:r>
      <w:r w:rsidR="00171A5E">
        <w:t>127</w:t>
      </w:r>
      <w:r>
        <w:fldChar w:fldCharType="end"/>
      </w:r>
    </w:p>
    <w:p w14:paraId="0FCF601D" w14:textId="2129D689" w:rsidR="009D4EAF" w:rsidRDefault="009D4EAF" w:rsidP="006844CA">
      <w:pPr>
        <w:pStyle w:val="TOC2"/>
        <w:spacing w:after="60"/>
        <w:rPr>
          <w:rFonts w:asciiTheme="minorHAnsi" w:hAnsiTheme="minorHAnsi" w:cstheme="minorBidi"/>
          <w:sz w:val="24"/>
          <w:szCs w:val="24"/>
          <w:lang w:eastAsia="ja-JP"/>
        </w:rPr>
      </w:pPr>
      <w:r>
        <w:t>A3.3</w:t>
      </w:r>
      <w:r>
        <w:rPr>
          <w:rFonts w:asciiTheme="minorHAnsi" w:hAnsiTheme="minorHAnsi" w:cstheme="minorBidi"/>
          <w:sz w:val="24"/>
          <w:szCs w:val="24"/>
          <w:lang w:eastAsia="ja-JP"/>
        </w:rPr>
        <w:tab/>
      </w:r>
      <w:r>
        <w:t>Key conclusions</w:t>
      </w:r>
      <w:r>
        <w:tab/>
      </w:r>
      <w:r>
        <w:fldChar w:fldCharType="begin"/>
      </w:r>
      <w:r>
        <w:instrText xml:space="preserve"> PAGEREF _Toc296767312 \h </w:instrText>
      </w:r>
      <w:r>
        <w:fldChar w:fldCharType="separate"/>
      </w:r>
      <w:r w:rsidR="00171A5E">
        <w:t>127</w:t>
      </w:r>
      <w:r>
        <w:fldChar w:fldCharType="end"/>
      </w:r>
    </w:p>
    <w:p w14:paraId="21A6F168" w14:textId="5D1802E9" w:rsidR="009D4EAF" w:rsidRDefault="009D4EAF" w:rsidP="00331966">
      <w:pPr>
        <w:pStyle w:val="TOC1"/>
        <w:rPr>
          <w:rFonts w:asciiTheme="minorHAnsi" w:eastAsiaTheme="minorEastAsia" w:hAnsiTheme="minorHAnsi" w:cstheme="minorBidi"/>
          <w:color w:val="auto"/>
          <w:sz w:val="24"/>
          <w:szCs w:val="24"/>
          <w:lang w:val="en-AU" w:eastAsia="ja-JP"/>
        </w:rPr>
      </w:pPr>
      <w:r>
        <w:t>Appendix AA</w:t>
      </w:r>
      <w:r w:rsidR="00D91C19">
        <w:t>:</w:t>
      </w:r>
      <w:r w:rsidR="00D91C19">
        <w:rPr>
          <w:rFonts w:asciiTheme="minorHAnsi" w:eastAsiaTheme="minorEastAsia" w:hAnsiTheme="minorHAnsi" w:cstheme="minorBidi"/>
          <w:color w:val="auto"/>
          <w:sz w:val="24"/>
          <w:szCs w:val="24"/>
          <w:lang w:val="en-AU" w:eastAsia="ja-JP"/>
        </w:rPr>
        <w:t xml:space="preserve"> </w:t>
      </w:r>
      <w:r>
        <w:t>Matters out of scope for the literature review</w:t>
      </w:r>
      <w:r>
        <w:tab/>
      </w:r>
      <w:r>
        <w:fldChar w:fldCharType="begin"/>
      </w:r>
      <w:r>
        <w:instrText xml:space="preserve"> PAGEREF _Toc296767313 \h </w:instrText>
      </w:r>
      <w:r>
        <w:fldChar w:fldCharType="separate"/>
      </w:r>
      <w:r w:rsidR="00171A5E">
        <w:t>129</w:t>
      </w:r>
      <w:r>
        <w:fldChar w:fldCharType="end"/>
      </w:r>
    </w:p>
    <w:p w14:paraId="1C87F774" w14:textId="7D3486DF" w:rsidR="009D4EAF" w:rsidRDefault="009D4EAF" w:rsidP="00331966">
      <w:pPr>
        <w:pStyle w:val="TOC1"/>
        <w:rPr>
          <w:rFonts w:asciiTheme="minorHAnsi" w:eastAsiaTheme="minorEastAsia" w:hAnsiTheme="minorHAnsi" w:cstheme="minorBidi"/>
          <w:color w:val="auto"/>
          <w:sz w:val="24"/>
          <w:szCs w:val="24"/>
          <w:lang w:val="en-AU" w:eastAsia="ja-JP"/>
        </w:rPr>
      </w:pPr>
      <w:r>
        <w:t>Appendix AB: Sources consulted</w:t>
      </w:r>
      <w:r>
        <w:tab/>
      </w:r>
      <w:r>
        <w:fldChar w:fldCharType="begin"/>
      </w:r>
      <w:r>
        <w:instrText xml:space="preserve"> PAGEREF _Toc296767314 \h </w:instrText>
      </w:r>
      <w:r>
        <w:fldChar w:fldCharType="separate"/>
      </w:r>
      <w:r w:rsidR="00171A5E">
        <w:t>130</w:t>
      </w:r>
      <w:r>
        <w:fldChar w:fldCharType="end"/>
      </w:r>
    </w:p>
    <w:p w14:paraId="272CDA5C" w14:textId="63271E3B" w:rsidR="009D4EAF" w:rsidRDefault="009D4EAF" w:rsidP="00331966">
      <w:pPr>
        <w:pStyle w:val="TOC1"/>
        <w:rPr>
          <w:rFonts w:asciiTheme="minorHAnsi" w:eastAsiaTheme="minorEastAsia" w:hAnsiTheme="minorHAnsi" w:cstheme="minorBidi"/>
          <w:color w:val="auto"/>
          <w:sz w:val="24"/>
          <w:szCs w:val="24"/>
          <w:lang w:val="en-AU" w:eastAsia="ja-JP"/>
        </w:rPr>
      </w:pPr>
      <w:r>
        <w:t>Appendix AC: Features of unconventional onshore gas resources</w:t>
      </w:r>
      <w:r>
        <w:tab/>
      </w:r>
      <w:r>
        <w:fldChar w:fldCharType="begin"/>
      </w:r>
      <w:r>
        <w:instrText xml:space="preserve"> PAGEREF _Toc296767315 \h </w:instrText>
      </w:r>
      <w:r>
        <w:fldChar w:fldCharType="separate"/>
      </w:r>
      <w:r w:rsidR="00171A5E">
        <w:t>137</w:t>
      </w:r>
      <w:r>
        <w:fldChar w:fldCharType="end"/>
      </w:r>
    </w:p>
    <w:p w14:paraId="7EC1BE41" w14:textId="6EBFBBFC" w:rsidR="009D4EAF" w:rsidRDefault="009D4EAF" w:rsidP="00331966">
      <w:pPr>
        <w:pStyle w:val="TOC1"/>
        <w:rPr>
          <w:rFonts w:asciiTheme="minorHAnsi" w:eastAsiaTheme="minorEastAsia" w:hAnsiTheme="minorHAnsi" w:cstheme="minorBidi"/>
          <w:color w:val="auto"/>
          <w:sz w:val="24"/>
          <w:szCs w:val="24"/>
          <w:lang w:val="en-AU" w:eastAsia="ja-JP"/>
        </w:rPr>
      </w:pPr>
      <w:r>
        <w:t>Appendix AD: Modelling pathways</w:t>
      </w:r>
      <w:r>
        <w:tab/>
      </w:r>
      <w:r>
        <w:fldChar w:fldCharType="begin"/>
      </w:r>
      <w:r>
        <w:instrText xml:space="preserve"> PAGEREF _Toc296767316 \h </w:instrText>
      </w:r>
      <w:r>
        <w:fldChar w:fldCharType="separate"/>
      </w:r>
      <w:r w:rsidR="00171A5E">
        <w:t>139</w:t>
      </w:r>
      <w:r>
        <w:fldChar w:fldCharType="end"/>
      </w:r>
    </w:p>
    <w:p w14:paraId="69ACC4B6" w14:textId="4C9BAABB" w:rsidR="009D4EAF" w:rsidRDefault="009D4EAF" w:rsidP="00331966">
      <w:pPr>
        <w:pStyle w:val="TOC1"/>
        <w:rPr>
          <w:rFonts w:asciiTheme="minorHAnsi" w:eastAsiaTheme="minorEastAsia" w:hAnsiTheme="minorHAnsi" w:cstheme="minorBidi"/>
          <w:color w:val="auto"/>
          <w:sz w:val="24"/>
          <w:szCs w:val="24"/>
          <w:lang w:val="en-AU" w:eastAsia="ja-JP"/>
        </w:rPr>
      </w:pPr>
      <w:r>
        <w:t>Appendix AE: Methodologies used to assess groundwater vulnerability</w:t>
      </w:r>
      <w:r>
        <w:tab/>
      </w:r>
      <w:r>
        <w:fldChar w:fldCharType="begin"/>
      </w:r>
      <w:r>
        <w:instrText xml:space="preserve"> PAGEREF _Toc296767317 \h </w:instrText>
      </w:r>
      <w:r>
        <w:fldChar w:fldCharType="separate"/>
      </w:r>
      <w:r w:rsidR="00171A5E">
        <w:t>146</w:t>
      </w:r>
      <w:r>
        <w:fldChar w:fldCharType="end"/>
      </w:r>
    </w:p>
    <w:p w14:paraId="2403791F" w14:textId="0AF1AF43" w:rsidR="009D4EAF" w:rsidRDefault="009D4EAF" w:rsidP="00331966">
      <w:pPr>
        <w:pStyle w:val="TOC1"/>
        <w:rPr>
          <w:rFonts w:asciiTheme="minorHAnsi" w:eastAsiaTheme="minorEastAsia" w:hAnsiTheme="minorHAnsi" w:cstheme="minorBidi"/>
          <w:color w:val="auto"/>
          <w:sz w:val="24"/>
          <w:szCs w:val="24"/>
          <w:lang w:val="en-AU" w:eastAsia="ja-JP"/>
        </w:rPr>
      </w:pPr>
      <w:r>
        <w:t>Appendix AF: Controls</w:t>
      </w:r>
      <w:r>
        <w:tab/>
      </w:r>
      <w:r>
        <w:fldChar w:fldCharType="begin"/>
      </w:r>
      <w:r>
        <w:instrText xml:space="preserve"> PAGEREF _Toc296767318 \h </w:instrText>
      </w:r>
      <w:r>
        <w:fldChar w:fldCharType="separate"/>
      </w:r>
      <w:r w:rsidR="00171A5E">
        <w:t>149</w:t>
      </w:r>
      <w:r>
        <w:fldChar w:fldCharType="end"/>
      </w:r>
    </w:p>
    <w:p w14:paraId="344A6F88" w14:textId="74DD6352" w:rsidR="009D4EAF" w:rsidRDefault="009D4EAF" w:rsidP="00331966">
      <w:pPr>
        <w:pStyle w:val="TOC1"/>
        <w:rPr>
          <w:rFonts w:asciiTheme="minorHAnsi" w:eastAsiaTheme="minorEastAsia" w:hAnsiTheme="minorHAnsi" w:cstheme="minorBidi"/>
          <w:color w:val="auto"/>
          <w:sz w:val="24"/>
          <w:szCs w:val="24"/>
          <w:lang w:val="en-AU" w:eastAsia="ja-JP"/>
        </w:rPr>
      </w:pPr>
      <w:r>
        <w:t>Appendix AG: Consequence</w:t>
      </w:r>
      <w:r>
        <w:tab/>
      </w:r>
      <w:r>
        <w:fldChar w:fldCharType="begin"/>
      </w:r>
      <w:r>
        <w:instrText xml:space="preserve"> PAGEREF _Toc296767319 \h </w:instrText>
      </w:r>
      <w:r>
        <w:fldChar w:fldCharType="separate"/>
      </w:r>
      <w:r w:rsidR="00171A5E">
        <w:t>152</w:t>
      </w:r>
      <w:r>
        <w:fldChar w:fldCharType="end"/>
      </w:r>
    </w:p>
    <w:p w14:paraId="3AF80624" w14:textId="7AA2C11D" w:rsidR="009B3448" w:rsidRDefault="009D4EAF" w:rsidP="009D4EAF">
      <w:pPr>
        <w:spacing w:line="240" w:lineRule="auto"/>
      </w:pPr>
      <w:r>
        <w:fldChar w:fldCharType="end"/>
      </w:r>
    </w:p>
    <w:p w14:paraId="45B44D21" w14:textId="77777777" w:rsidR="009D4EAF" w:rsidRPr="009B3448" w:rsidRDefault="009D4EAF" w:rsidP="009D4EAF">
      <w:pPr>
        <w:sectPr w:rsidR="009D4EAF" w:rsidRPr="009B3448" w:rsidSect="00CF4178">
          <w:headerReference w:type="default" r:id="rId84"/>
          <w:headerReference w:type="first" r:id="rId85"/>
          <w:footerReference w:type="first" r:id="rId86"/>
          <w:pgSz w:w="11906" w:h="16838" w:code="9"/>
          <w:pgMar w:top="2268" w:right="1134" w:bottom="1276" w:left="1134" w:header="567" w:footer="567" w:gutter="0"/>
          <w:cols w:space="708"/>
          <w:docGrid w:linePitch="360"/>
        </w:sectPr>
      </w:pPr>
    </w:p>
    <w:p w14:paraId="30CBE1E9" w14:textId="7837AC41" w:rsidR="0081053C" w:rsidRDefault="00D91C19" w:rsidP="00C150BC">
      <w:pPr>
        <w:pStyle w:val="Head2app"/>
      </w:pPr>
      <w:bookmarkStart w:id="694" w:name="_Toc420500914"/>
      <w:bookmarkStart w:id="695" w:name="_Toc420511169"/>
      <w:bookmarkStart w:id="696" w:name="_Toc420572490"/>
      <w:bookmarkStart w:id="697" w:name="_Toc420572645"/>
      <w:bookmarkStart w:id="698" w:name="_Toc420573079"/>
      <w:bookmarkStart w:id="699" w:name="_Toc296599071"/>
      <w:bookmarkStart w:id="700" w:name="_Toc296767292"/>
      <w:bookmarkStart w:id="701" w:name="_Toc296770433"/>
      <w:bookmarkStart w:id="702" w:name="_Toc423018257"/>
      <w:r>
        <w:t xml:space="preserve">Appendix A1 </w:t>
      </w:r>
      <w:r>
        <w:tab/>
      </w:r>
      <w:r w:rsidR="0081053C">
        <w:t>Introduction</w:t>
      </w:r>
      <w:bookmarkEnd w:id="694"/>
      <w:bookmarkEnd w:id="695"/>
      <w:bookmarkEnd w:id="696"/>
      <w:bookmarkEnd w:id="697"/>
      <w:bookmarkEnd w:id="698"/>
      <w:bookmarkEnd w:id="699"/>
      <w:bookmarkEnd w:id="700"/>
      <w:bookmarkEnd w:id="701"/>
      <w:bookmarkEnd w:id="702"/>
      <w:r w:rsidR="0081053C">
        <w:t xml:space="preserve"> </w:t>
      </w:r>
    </w:p>
    <w:p w14:paraId="18A66E4E" w14:textId="77777777" w:rsidR="0081053C" w:rsidRDefault="0081053C" w:rsidP="00C150BC">
      <w:pPr>
        <w:pStyle w:val="Head3app"/>
      </w:pPr>
      <w:bookmarkStart w:id="703" w:name="_Toc420500915"/>
      <w:bookmarkStart w:id="704" w:name="_Toc420511170"/>
      <w:bookmarkStart w:id="705" w:name="_Toc420572491"/>
      <w:bookmarkStart w:id="706" w:name="_Toc420572646"/>
      <w:bookmarkStart w:id="707" w:name="_Toc420573080"/>
      <w:bookmarkStart w:id="708" w:name="_Toc296599072"/>
      <w:bookmarkStart w:id="709" w:name="_Toc296767293"/>
      <w:bookmarkStart w:id="710" w:name="_Toc296770434"/>
      <w:bookmarkStart w:id="711" w:name="_Toc423018258"/>
      <w:r>
        <w:t>A1.1</w:t>
      </w:r>
      <w:r>
        <w:tab/>
        <w:t>Background</w:t>
      </w:r>
      <w:bookmarkEnd w:id="703"/>
      <w:bookmarkEnd w:id="704"/>
      <w:bookmarkEnd w:id="705"/>
      <w:bookmarkEnd w:id="706"/>
      <w:bookmarkEnd w:id="707"/>
      <w:bookmarkEnd w:id="708"/>
      <w:bookmarkEnd w:id="709"/>
      <w:bookmarkEnd w:id="710"/>
      <w:bookmarkEnd w:id="711"/>
    </w:p>
    <w:p w14:paraId="43E264D4" w14:textId="77777777" w:rsidR="0081053C" w:rsidRDefault="0081053C" w:rsidP="0081053C">
      <w:r>
        <w:t>Onshore natural gas resources can be broadly classified as conventional and unconventional. Conventional gas refers to gas trapped in multiple, relatively small, porous zone in various rock formations, like sandstone (</w:t>
      </w:r>
      <w:r w:rsidRPr="00E92DC4">
        <w:t>CAPP, 2012</w:t>
      </w:r>
      <w:r>
        <w:t xml:space="preserve">). Conventional gas exists as free gas which has migrated away from its source rock and is trapped in a reserve by an impermeable layer. Conventional gas is significantly easier and more cost effective to extract and has been used in Australia since the mid-1960s (APH, 2008). </w:t>
      </w:r>
    </w:p>
    <w:p w14:paraId="5F42DF39" w14:textId="77777777" w:rsidR="0081053C" w:rsidRDefault="0081053C" w:rsidP="0081053C">
      <w:r>
        <w:t xml:space="preserve">In comparison, unconventional gas remains in-situ in the formation in which it was produced and is held there by hydrostatic pressure. To release the gas, water is pumped from the aquifer to lower the pressure and release the gas (desorb). As water pressure is reduced, gas flow increases and water flow rates decrease over a period of a few months depending on the hydrogeological conditions. In some cases the permeability of the formation is too low to allow the gas to flow, and hydraulic fracturing may be used to increase the permeability. Unconventional gas is typically more difficult and costly to extract and larger volumes of groundwater is also produced (co-produced water) and needs to be managed. Technological advances in horizontal drilling and hydraulic fracturing have made unconventional gas supplies more commercially viable. </w:t>
      </w:r>
    </w:p>
    <w:p w14:paraId="237A6F1E" w14:textId="77777777" w:rsidR="0081053C" w:rsidRPr="000A2DDF" w:rsidRDefault="0081053C" w:rsidP="0081053C">
      <w:r w:rsidRPr="000A2DDF">
        <w:t>There are three main types of unconventional gas:</w:t>
      </w:r>
    </w:p>
    <w:p w14:paraId="2B058A79" w14:textId="77777777" w:rsidR="0081053C" w:rsidRPr="000A2DDF" w:rsidRDefault="0081053C" w:rsidP="00C150BC">
      <w:pPr>
        <w:pStyle w:val="bulletlist0"/>
      </w:pPr>
      <w:r>
        <w:t>•</w:t>
      </w:r>
      <w:r>
        <w:tab/>
      </w:r>
      <w:r w:rsidRPr="000A2DDF">
        <w:t>Coal seam gas (</w:t>
      </w:r>
      <w:r>
        <w:t>coal seam gas</w:t>
      </w:r>
      <w:r w:rsidRPr="000A2DDF">
        <w:t>), also known as coalbed methane (CBM), is natural gas found in coal seams. Coal seam gas is typically the shallowest unconventional gas found between 300 m to 1,000 m depth.</w:t>
      </w:r>
    </w:p>
    <w:p w14:paraId="0E9DFCC2" w14:textId="02A0763C" w:rsidR="0081053C" w:rsidRPr="000A2DDF" w:rsidRDefault="0081053C" w:rsidP="00C150BC">
      <w:pPr>
        <w:pStyle w:val="bulletlist0"/>
      </w:pPr>
      <w:r>
        <w:t>•</w:t>
      </w:r>
      <w:r>
        <w:tab/>
      </w:r>
      <w:r w:rsidRPr="000A2DDF">
        <w:t>Tight gas is found in sandstone, sands and carbonate that have a very low permeability and are generally deeper than coal seam gas reserves at depths ranging between 1200 m and 3000 m</w:t>
      </w:r>
      <w:r>
        <w:t xml:space="preserve">. </w:t>
      </w:r>
      <w:r w:rsidRPr="000A2DDF">
        <w:t>The gas is extracted from the formation which has a low permeability and is required to be hydraulically fractured to increase the permeability to release the gas</w:t>
      </w:r>
      <w:r>
        <w:t xml:space="preserve">. </w:t>
      </w:r>
    </w:p>
    <w:p w14:paraId="5DF645D0" w14:textId="3AA14A62" w:rsidR="0081053C" w:rsidRDefault="0081053C" w:rsidP="00C150BC">
      <w:pPr>
        <w:pStyle w:val="bulletlist0"/>
      </w:pPr>
      <w:r>
        <w:t>•</w:t>
      </w:r>
      <w:r>
        <w:tab/>
      </w:r>
      <w:r w:rsidRPr="000A2DDF">
        <w:t>Shale gas is found deeper again (2500 to 4000 m) in the fine grained sedimentary rock called shale (APPEA, 2013)</w:t>
      </w:r>
      <w:r>
        <w:t xml:space="preserve">. </w:t>
      </w:r>
      <w:r w:rsidRPr="000A2DDF">
        <w:t>Hydraulic fracturing</w:t>
      </w:r>
      <w:r>
        <w:t xml:space="preserve"> is also required to increase the permeability to release the gas.</w:t>
      </w:r>
    </w:p>
    <w:p w14:paraId="4BE12443" w14:textId="77777777" w:rsidR="0081053C" w:rsidRDefault="0081053C" w:rsidP="0081053C">
      <w:r>
        <w:t xml:space="preserve">Figure A1 shows a conceptual diagram which illustrates the differences between gas sources. Conventional gas sources are shown in red, and unconventional gas sources exist in the shale and coal seams. </w:t>
      </w:r>
    </w:p>
    <w:p w14:paraId="1739072B" w14:textId="1B99FF0E" w:rsidR="0081053C" w:rsidRDefault="0081053C" w:rsidP="0081053C">
      <w:r w:rsidRPr="005F0541">
        <w:t>Unconventional</w:t>
      </w:r>
      <w:r>
        <w:t xml:space="preserve"> gas resources in Australia are at an early stage of maturity (</w:t>
      </w:r>
      <w:r w:rsidRPr="007D6B08">
        <w:t>Geoscience Australia and BREE,</w:t>
      </w:r>
      <w:r>
        <w:t xml:space="preserve"> 2012). Coal seam gas has been commercially produced in Australia since 1996 (Ross, 2013). </w:t>
      </w:r>
      <w:r w:rsidR="00D92300">
        <w:br/>
      </w:r>
      <w:r>
        <w:t>Some tight gas has been commercially produced but the first shale gas is now starting to be produced in South Australia.</w:t>
      </w:r>
    </w:p>
    <w:p w14:paraId="1FA6CD22" w14:textId="58AF56D6" w:rsidR="0081053C" w:rsidRDefault="0081053C" w:rsidP="00C150BC">
      <w:pPr>
        <w:pStyle w:val="Head3app"/>
      </w:pPr>
      <w:bookmarkStart w:id="712" w:name="_Toc420500916"/>
      <w:bookmarkStart w:id="713" w:name="_Toc420511171"/>
      <w:bookmarkStart w:id="714" w:name="_Toc420572492"/>
      <w:bookmarkStart w:id="715" w:name="_Toc420572647"/>
      <w:bookmarkStart w:id="716" w:name="_Toc420573081"/>
      <w:bookmarkStart w:id="717" w:name="_Toc296599073"/>
      <w:bookmarkStart w:id="718" w:name="_Toc296767294"/>
      <w:bookmarkStart w:id="719" w:name="_Toc296770435"/>
      <w:bookmarkStart w:id="720" w:name="_Toc423018259"/>
      <w:r>
        <w:t>A1.2</w:t>
      </w:r>
      <w:r>
        <w:tab/>
        <w:t>Purpose of the literature review</w:t>
      </w:r>
      <w:bookmarkEnd w:id="712"/>
      <w:bookmarkEnd w:id="713"/>
      <w:bookmarkEnd w:id="714"/>
      <w:bookmarkEnd w:id="715"/>
      <w:bookmarkEnd w:id="716"/>
      <w:bookmarkEnd w:id="717"/>
      <w:bookmarkEnd w:id="718"/>
      <w:bookmarkEnd w:id="719"/>
      <w:bookmarkEnd w:id="720"/>
    </w:p>
    <w:p w14:paraId="5D185503" w14:textId="38114534" w:rsidR="0081053C" w:rsidRDefault="0081053C" w:rsidP="0081053C">
      <w:r>
        <w:t>The literature review is to provide a theoretical and practical basis for the design, development and application of the</w:t>
      </w:r>
      <w:r w:rsidRPr="009F04EC">
        <w:t xml:space="preserve"> </w:t>
      </w:r>
      <w:r>
        <w:t>Qualitative and Quantitative Risk Assessment (QQRA) Framework. The focus of the literature review has been guided by the scope of the QQRA which is designed to assess the risk of onshore gas development, including conventional, coal seam gas, tight and shale, to water resources</w:t>
      </w:r>
      <w:r w:rsidRPr="009F04EC">
        <w:t xml:space="preserve"> </w:t>
      </w:r>
      <w:r>
        <w:t xml:space="preserve">in the Gippsland and Otway Basins. Potential risks excluded from the scope of the QQRA is outlined in </w:t>
      </w:r>
      <w:r w:rsidR="00C35056">
        <w:br/>
      </w:r>
      <w:r>
        <w:t>Appendix AA.</w:t>
      </w:r>
    </w:p>
    <w:p w14:paraId="09822EC2" w14:textId="59A32349" w:rsidR="0081053C" w:rsidRDefault="0081053C" w:rsidP="0081053C">
      <w:r>
        <w:t>Conventional gas is held in place by an overlying very low permeability layer which significantly reduces the potential interaction with groundwater resources. In contrast, unconventional gas and coal seam gas. Coal seam gas in particular, may pose a greater risk to water resources as in some cases, significant volumes of groundwater (or coproduced water) are also extracted. Coal seam gas is the shallowest unconventional gas type and therefore may be the closest to the groundwater resources. Consequently in terms of risk assessment frameworks, much of the literature is focussed on unconventional gas development, and coal seam gas in particular. In addition to this, Australia has been focussed on managing impacts associated with coal seam gas development in the last 5 to 10 years, with limited information available in Australia on tight and shale gas development. More information on tight and shale gas is found internationally in particular northern America. As a result, this literature primarily draws on the experience of risk assessment frameworks relating to coal seam gas, however the results are applicable to all onshore gas sources.</w:t>
      </w:r>
    </w:p>
    <w:p w14:paraId="624873B5" w14:textId="77777777" w:rsidR="0081053C" w:rsidRDefault="0081053C" w:rsidP="00C35056">
      <w:pPr>
        <w:jc w:val="center"/>
      </w:pPr>
      <w:r>
        <w:rPr>
          <w:noProof/>
          <w:lang w:val="en-AU"/>
        </w:rPr>
        <w:drawing>
          <wp:inline distT="0" distB="0" distL="0" distR="0" wp14:anchorId="257BBB4D" wp14:editId="4BD42572">
            <wp:extent cx="5067113" cy="3400425"/>
            <wp:effectExtent l="0" t="0" r="635" b="0"/>
            <wp:docPr id="2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5075553" cy="3406089"/>
                    </a:xfrm>
                    <a:prstGeom prst="rect">
                      <a:avLst/>
                    </a:prstGeom>
                    <a:noFill/>
                    <a:ln>
                      <a:noFill/>
                    </a:ln>
                  </pic:spPr>
                </pic:pic>
              </a:graphicData>
            </a:graphic>
          </wp:inline>
        </w:drawing>
      </w:r>
    </w:p>
    <w:p w14:paraId="108BDF8B" w14:textId="77777777" w:rsidR="0081053C" w:rsidRDefault="0081053C" w:rsidP="00A53AE8">
      <w:pPr>
        <w:pStyle w:val="Figuretitle"/>
      </w:pPr>
      <w:bookmarkStart w:id="721" w:name="_Ref406754574"/>
      <w:bookmarkStart w:id="722" w:name="_Toc419969421"/>
      <w:bookmarkStart w:id="723" w:name="_Toc420577001"/>
      <w:r w:rsidRPr="0079787D">
        <w:t>Figur</w:t>
      </w:r>
      <w:bookmarkEnd w:id="721"/>
      <w:r>
        <w:t xml:space="preserve">e A1: </w:t>
      </w:r>
      <w:r w:rsidRPr="0079787D">
        <w:t xml:space="preserve"> Conceptual diagram illustrating the differences between gas sources</w:t>
      </w:r>
      <w:r>
        <w:t>.</w:t>
      </w:r>
      <w:r w:rsidRPr="0079787D">
        <w:t xml:space="preserve"> (</w:t>
      </w:r>
      <w:r>
        <w:t xml:space="preserve">Source: </w:t>
      </w:r>
      <w:r w:rsidRPr="0079787D">
        <w:t>CAPP, 2012</w:t>
      </w:r>
      <w:r>
        <w:t>.</w:t>
      </w:r>
      <w:r w:rsidRPr="0079787D">
        <w:t>)</w:t>
      </w:r>
      <w:bookmarkEnd w:id="722"/>
      <w:bookmarkEnd w:id="723"/>
    </w:p>
    <w:p w14:paraId="610B837A" w14:textId="77777777" w:rsidR="0081053C" w:rsidRDefault="0081053C" w:rsidP="00C150BC"/>
    <w:p w14:paraId="06C42251" w14:textId="628D95AA" w:rsidR="0081053C" w:rsidRDefault="0081053C" w:rsidP="00C150BC">
      <w:pPr>
        <w:pStyle w:val="Head3app"/>
      </w:pPr>
      <w:bookmarkStart w:id="724" w:name="_Toc420500917"/>
      <w:bookmarkStart w:id="725" w:name="_Toc420511172"/>
      <w:bookmarkStart w:id="726" w:name="_Toc420572493"/>
      <w:bookmarkStart w:id="727" w:name="_Toc420572648"/>
      <w:bookmarkStart w:id="728" w:name="_Toc420573082"/>
      <w:bookmarkStart w:id="729" w:name="_Toc296599074"/>
      <w:bookmarkStart w:id="730" w:name="_Toc296767295"/>
      <w:bookmarkStart w:id="731" w:name="_Toc296770436"/>
      <w:bookmarkStart w:id="732" w:name="_Toc423018260"/>
      <w:r>
        <w:t>A1.3</w:t>
      </w:r>
      <w:r>
        <w:tab/>
        <w:t>Literature review research objectives</w:t>
      </w:r>
      <w:bookmarkEnd w:id="724"/>
      <w:bookmarkEnd w:id="725"/>
      <w:bookmarkEnd w:id="726"/>
      <w:bookmarkEnd w:id="727"/>
      <w:bookmarkEnd w:id="728"/>
      <w:bookmarkEnd w:id="729"/>
      <w:bookmarkEnd w:id="730"/>
      <w:bookmarkEnd w:id="731"/>
      <w:bookmarkEnd w:id="732"/>
    </w:p>
    <w:p w14:paraId="2D652630" w14:textId="6CB3750B" w:rsidR="0081053C" w:rsidRDefault="0081053C" w:rsidP="0081053C">
      <w:r>
        <w:t>The literature review set out to answer the following questions:</w:t>
      </w:r>
    </w:p>
    <w:p w14:paraId="156656E2" w14:textId="3B9E227A" w:rsidR="0081053C" w:rsidRDefault="0081053C" w:rsidP="00C150BC">
      <w:pPr>
        <w:pStyle w:val="ListParagraph"/>
        <w:numPr>
          <w:ilvl w:val="0"/>
          <w:numId w:val="26"/>
        </w:numPr>
        <w:ind w:left="360"/>
      </w:pPr>
      <w:r>
        <w:t>Is there an off-shelf, proven and widely accepted complete risk assessment methodology that can be adopted largely as is or with minor customisations to meet the purpose of QQRA?</w:t>
      </w:r>
    </w:p>
    <w:p w14:paraId="6B25DE85" w14:textId="72251AD2" w:rsidR="0081053C" w:rsidRDefault="0081053C" w:rsidP="00C150BC">
      <w:pPr>
        <w:pStyle w:val="ListParagraph"/>
        <w:numPr>
          <w:ilvl w:val="0"/>
          <w:numId w:val="26"/>
        </w:numPr>
        <w:ind w:left="360"/>
      </w:pPr>
      <w:r>
        <w:t xml:space="preserve">What are the key features and components of a risk assessment methodology used to identify and assess the potential risks to water resources within an ‘area/zone’ based on hypothetical onshore natural development scenarios? </w:t>
      </w:r>
    </w:p>
    <w:p w14:paraId="0DDC28CC" w14:textId="1482D418" w:rsidR="0081053C" w:rsidRDefault="0081053C" w:rsidP="00C150BC">
      <w:pPr>
        <w:pStyle w:val="ListParagraph"/>
        <w:numPr>
          <w:ilvl w:val="0"/>
          <w:numId w:val="26"/>
        </w:numPr>
        <w:ind w:left="360"/>
      </w:pPr>
      <w:r>
        <w:t>Are the features and components of a risk assessment methodology used to assess an application from a Proponent for approval to undertake development applicable/transferable to assessing potential risks of hypothetical development at a broader scale?</w:t>
      </w:r>
    </w:p>
    <w:p w14:paraId="27A27A81" w14:textId="7A0F530A" w:rsidR="0081053C" w:rsidRDefault="0081053C" w:rsidP="00C150BC">
      <w:pPr>
        <w:pStyle w:val="ListParagraph"/>
        <w:numPr>
          <w:ilvl w:val="0"/>
          <w:numId w:val="26"/>
        </w:numPr>
        <w:ind w:left="360"/>
      </w:pPr>
      <w:r>
        <w:t>What specific considerations and criteria have been used to identify, assess and rate potential risks for a hypothetical versus proposed development play?</w:t>
      </w:r>
    </w:p>
    <w:p w14:paraId="1F4275B1" w14:textId="77777777" w:rsidR="0081053C" w:rsidRDefault="0081053C" w:rsidP="0081053C">
      <w:pPr>
        <w:pStyle w:val="ListParagraph"/>
        <w:numPr>
          <w:ilvl w:val="0"/>
          <w:numId w:val="26"/>
        </w:numPr>
        <w:ind w:left="360"/>
      </w:pPr>
      <w:r>
        <w:t>Are there any specific consequence and likelihood considerations or criteria unique to a specific type of gas (shale, tight, coal seam or conventional)?</w:t>
      </w:r>
    </w:p>
    <w:p w14:paraId="53A9BE13" w14:textId="77777777" w:rsidR="0081053C" w:rsidRDefault="0081053C" w:rsidP="0081053C">
      <w:pPr>
        <w:rPr>
          <w:lang w:val="en-AU"/>
        </w:rPr>
      </w:pPr>
      <w:r>
        <w:t>The literature review has not examined nor reported on the potential or actual impacts of onshore natural gas development on water resources. The QQRA will not assess cumulative impacts; it will assess the impact of an individual development in different locations within an area of interest. The QQRA could eventually be amended to include cumulative impacts.</w:t>
      </w:r>
    </w:p>
    <w:p w14:paraId="3FF0F93E" w14:textId="77777777" w:rsidR="00D92300" w:rsidRDefault="00D92300">
      <w:pPr>
        <w:spacing w:after="200"/>
        <w:rPr>
          <w:rFonts w:cs="Arial"/>
          <w:b/>
          <w:bCs/>
          <w:sz w:val="26"/>
          <w:szCs w:val="26"/>
        </w:rPr>
      </w:pPr>
      <w:bookmarkStart w:id="733" w:name="_Toc420500918"/>
      <w:bookmarkStart w:id="734" w:name="_Toc420511173"/>
      <w:bookmarkStart w:id="735" w:name="_Toc420572494"/>
      <w:bookmarkStart w:id="736" w:name="_Toc420572649"/>
      <w:bookmarkStart w:id="737" w:name="_Toc420573083"/>
      <w:bookmarkStart w:id="738" w:name="_Toc296599075"/>
      <w:bookmarkStart w:id="739" w:name="_Toc296767296"/>
      <w:bookmarkStart w:id="740" w:name="_Toc296770437"/>
      <w:bookmarkStart w:id="741" w:name="_Toc423018261"/>
      <w:r>
        <w:br w:type="page"/>
      </w:r>
    </w:p>
    <w:p w14:paraId="31EDB047" w14:textId="7DDA6F69" w:rsidR="0081053C" w:rsidRDefault="0081053C" w:rsidP="00C150BC">
      <w:pPr>
        <w:pStyle w:val="Head3app"/>
      </w:pPr>
      <w:r>
        <w:t>A1.4</w:t>
      </w:r>
      <w:r>
        <w:tab/>
        <w:t>Scope of risk assessment framework</w:t>
      </w:r>
      <w:bookmarkEnd w:id="733"/>
      <w:bookmarkEnd w:id="734"/>
      <w:bookmarkEnd w:id="735"/>
      <w:bookmarkEnd w:id="736"/>
      <w:bookmarkEnd w:id="737"/>
      <w:bookmarkEnd w:id="738"/>
      <w:bookmarkEnd w:id="739"/>
      <w:bookmarkEnd w:id="740"/>
      <w:bookmarkEnd w:id="741"/>
    </w:p>
    <w:p w14:paraId="06905150" w14:textId="77777777" w:rsidR="0081053C" w:rsidRDefault="0081053C" w:rsidP="0081053C">
      <w:r>
        <w:t>The literature review separates findings regarding what risk assessment techniques and approaches have been used to inform Government policy decisions as distinct from an assessment of an onshore natural gas licence (work program) or work plan application. Overall the literature review found regulators in many jurisdictions are seeking to enhance their understanding of risks and define conditions or areas where onshore gas developments may or may not be assesse</w:t>
      </w:r>
      <w:r w:rsidRPr="008A74AF">
        <w:t>d</w:t>
      </w:r>
      <w:r w:rsidDel="0095138B">
        <w:t xml:space="preserve"> </w:t>
      </w:r>
      <w:r>
        <w:t xml:space="preserve">d. </w:t>
      </w:r>
    </w:p>
    <w:p w14:paraId="698C2268" w14:textId="77777777" w:rsidR="0081053C" w:rsidRPr="00747401" w:rsidRDefault="0081053C" w:rsidP="0081053C">
      <w:r>
        <w:t xml:space="preserve">The </w:t>
      </w:r>
      <w:r w:rsidRPr="00747401">
        <w:t>literature review considered frameworks and guidance available for each stage of a risk assessment process including:</w:t>
      </w:r>
    </w:p>
    <w:p w14:paraId="4010E066" w14:textId="77777777" w:rsidR="0081053C" w:rsidRPr="00747401" w:rsidRDefault="0081053C" w:rsidP="00C150BC">
      <w:pPr>
        <w:pStyle w:val="bulletlist0"/>
      </w:pPr>
      <w:r>
        <w:t>•</w:t>
      </w:r>
      <w:r>
        <w:tab/>
      </w:r>
      <w:r w:rsidRPr="00747401">
        <w:t>Sensitive receptors – the review considers how vulnerable regional water-related assets in the area of the development might be identified and what tools may be used.</w:t>
      </w:r>
    </w:p>
    <w:p w14:paraId="627D831E" w14:textId="77777777" w:rsidR="0081053C" w:rsidRPr="00747401" w:rsidRDefault="0081053C" w:rsidP="00C150BC">
      <w:pPr>
        <w:pStyle w:val="bulletlist0"/>
      </w:pPr>
      <w:r>
        <w:t>•</w:t>
      </w:r>
      <w:r>
        <w:tab/>
      </w:r>
      <w:r w:rsidRPr="00747401">
        <w:t xml:space="preserve">Hazards – the review focuses on how risk frameworks have framed and approached the issue of assessing potential impacts from unconventional gas development on sensitive receptors. </w:t>
      </w:r>
    </w:p>
    <w:p w14:paraId="041BFC7B" w14:textId="77777777" w:rsidR="0081053C" w:rsidRDefault="0081053C" w:rsidP="00C150BC">
      <w:pPr>
        <w:pStyle w:val="bulletlist0"/>
      </w:pPr>
      <w:r>
        <w:t>•</w:t>
      </w:r>
      <w:r>
        <w:tab/>
      </w:r>
      <w:r w:rsidRPr="00747401">
        <w:t>Pathways – the review considers how complex cause-effect relationships has been conceptualised and what if any differences are</w:t>
      </w:r>
      <w:r>
        <w:t xml:space="preserve"> evident in approaches to assessments for different onshore gas types (tight, shale, coal seam gas). </w:t>
      </w:r>
    </w:p>
    <w:p w14:paraId="40B1A159" w14:textId="77777777" w:rsidR="0081053C" w:rsidRPr="00747401" w:rsidRDefault="0081053C" w:rsidP="00C150BC">
      <w:pPr>
        <w:pStyle w:val="bulletlist0"/>
      </w:pPr>
      <w:r>
        <w:t>•</w:t>
      </w:r>
      <w:r>
        <w:tab/>
      </w:r>
      <w:r w:rsidRPr="00747401">
        <w:t>Thresholds – the review is concerned to evaluate what criteria have been developed to provide guidance on assessing/rating the buffering capacity and resilience of groundwater resources and water-dependent assets</w:t>
      </w:r>
      <w:r>
        <w:t xml:space="preserve">. </w:t>
      </w:r>
    </w:p>
    <w:p w14:paraId="7987A2AE" w14:textId="77777777" w:rsidR="0081053C" w:rsidRPr="00747401" w:rsidRDefault="0081053C" w:rsidP="00C150BC">
      <w:pPr>
        <w:pStyle w:val="bulletlist0"/>
      </w:pPr>
      <w:r>
        <w:t>•</w:t>
      </w:r>
      <w:r>
        <w:tab/>
      </w:r>
      <w:r w:rsidRPr="00747401">
        <w:t>Standard Controls – the review focuses on what measures are commonly used to avoid or minimise risk.</w:t>
      </w:r>
    </w:p>
    <w:p w14:paraId="6378D4C3" w14:textId="77777777" w:rsidR="0081053C" w:rsidRPr="00747401" w:rsidRDefault="0081053C" w:rsidP="00C150BC">
      <w:pPr>
        <w:pStyle w:val="bulletlist0"/>
      </w:pPr>
      <w:r>
        <w:t>•</w:t>
      </w:r>
      <w:r>
        <w:tab/>
      </w:r>
      <w:r w:rsidRPr="00747401">
        <w:t>Consequence – the review summarises how risk assessments have approached estimating the level of impact on a water resource.</w:t>
      </w:r>
    </w:p>
    <w:p w14:paraId="2D8717E1" w14:textId="77777777" w:rsidR="0081053C" w:rsidRPr="00747401" w:rsidRDefault="0081053C" w:rsidP="00C150BC">
      <w:pPr>
        <w:pStyle w:val="bulletlist0"/>
      </w:pPr>
      <w:r>
        <w:t>•</w:t>
      </w:r>
      <w:r>
        <w:tab/>
      </w:r>
      <w:r w:rsidRPr="00747401">
        <w:t>Likelihood – the review examines how probability of impact has been assessed.</w:t>
      </w:r>
    </w:p>
    <w:p w14:paraId="32ABE0D1" w14:textId="77777777" w:rsidR="0081053C" w:rsidRDefault="0081053C" w:rsidP="00C150BC">
      <w:pPr>
        <w:pStyle w:val="bulletlist0"/>
      </w:pPr>
      <w:r>
        <w:t>•</w:t>
      </w:r>
      <w:r>
        <w:tab/>
      </w:r>
      <w:r w:rsidRPr="00747401">
        <w:t>Risk Rating – what approaches</w:t>
      </w:r>
      <w:r>
        <w:t xml:space="preserve"> are used to assess ‘retained risk’ after standard controls have been applied and what criteria exist to determine the implication the retained risk.</w:t>
      </w:r>
      <w:r>
        <w:br/>
      </w:r>
    </w:p>
    <w:p w14:paraId="06DC6FBF" w14:textId="27D125FB" w:rsidR="0081053C" w:rsidRDefault="0081053C" w:rsidP="00C150BC">
      <w:pPr>
        <w:pStyle w:val="Head3app"/>
      </w:pPr>
      <w:bookmarkStart w:id="742" w:name="_Toc420500919"/>
      <w:bookmarkStart w:id="743" w:name="_Toc420511174"/>
      <w:bookmarkStart w:id="744" w:name="_Toc420572495"/>
      <w:bookmarkStart w:id="745" w:name="_Toc420572650"/>
      <w:bookmarkStart w:id="746" w:name="_Toc420573084"/>
      <w:bookmarkStart w:id="747" w:name="_Toc296599076"/>
      <w:bookmarkStart w:id="748" w:name="_Toc296767297"/>
      <w:bookmarkStart w:id="749" w:name="_Toc296770438"/>
      <w:bookmarkStart w:id="750" w:name="_Toc423018262"/>
      <w:r>
        <w:t>A1.5</w:t>
      </w:r>
      <w:r>
        <w:tab/>
        <w:t>Approach to the literature review</w:t>
      </w:r>
      <w:bookmarkEnd w:id="742"/>
      <w:bookmarkEnd w:id="743"/>
      <w:bookmarkEnd w:id="744"/>
      <w:bookmarkEnd w:id="745"/>
      <w:bookmarkEnd w:id="746"/>
      <w:bookmarkEnd w:id="747"/>
      <w:bookmarkEnd w:id="748"/>
      <w:bookmarkEnd w:id="749"/>
      <w:bookmarkEnd w:id="750"/>
    </w:p>
    <w:p w14:paraId="51B7A03E" w14:textId="77777777" w:rsidR="0081053C" w:rsidRPr="00747401" w:rsidRDefault="0081053C" w:rsidP="0081053C">
      <w:r w:rsidRPr="00747401">
        <w:t>The methodology used to complete the Literature Review involved identifying literature on the basis of:</w:t>
      </w:r>
    </w:p>
    <w:p w14:paraId="0C8B4AA9" w14:textId="77777777" w:rsidR="0081053C" w:rsidRPr="00747401" w:rsidRDefault="0081053C" w:rsidP="00C150BC">
      <w:pPr>
        <w:pStyle w:val="bulletlist0"/>
      </w:pPr>
      <w:r>
        <w:t>•</w:t>
      </w:r>
      <w:r>
        <w:tab/>
      </w:r>
      <w:r w:rsidRPr="00747401">
        <w:t xml:space="preserve">Resource focus: to the extent possible, preference was given to risk assessment techniques specifically addressing onshore natural gas developments (coal seam gas, tight, shale and conventional). Offshore oil and gas and offshore extractive and mining activities which impact on groundwater were also assessed for completeness. </w:t>
      </w:r>
    </w:p>
    <w:p w14:paraId="56BBEA98" w14:textId="77777777" w:rsidR="0081053C" w:rsidRPr="00747401" w:rsidRDefault="0081053C" w:rsidP="00C150BC">
      <w:pPr>
        <w:pStyle w:val="bulletlist0"/>
      </w:pPr>
      <w:r>
        <w:t>•</w:t>
      </w:r>
      <w:r>
        <w:tab/>
      </w:r>
      <w:r w:rsidRPr="00747401">
        <w:t>Jurisdictions: the literature review assessed</w:t>
      </w:r>
      <w:r w:rsidRPr="00747401" w:rsidDel="0095138B">
        <w:t xml:space="preserve"> </w:t>
      </w:r>
      <w:r w:rsidRPr="00747401">
        <w:t xml:space="preserve">risk assessment techniques developed in a number of jurisdictions, including England, Germany, United States, Canada and Australia. </w:t>
      </w:r>
    </w:p>
    <w:p w14:paraId="0223A1B7" w14:textId="1A96A128" w:rsidR="0081053C" w:rsidRPr="00747401" w:rsidRDefault="0081053C" w:rsidP="00C150BC">
      <w:pPr>
        <w:pStyle w:val="bulletlist0"/>
      </w:pPr>
      <w:r>
        <w:t>•</w:t>
      </w:r>
      <w:r>
        <w:tab/>
      </w:r>
      <w:r w:rsidRPr="00747401">
        <w:t xml:space="preserve">Provenance/authorship: the literature review assessed (in order of standing): </w:t>
      </w:r>
    </w:p>
    <w:p w14:paraId="2BFF8A73" w14:textId="77777777" w:rsidR="0081053C" w:rsidRPr="00747401" w:rsidRDefault="0081053C" w:rsidP="00C150BC">
      <w:pPr>
        <w:pStyle w:val="bulletlist0"/>
        <w:ind w:left="567"/>
      </w:pPr>
      <w:r>
        <w:t>–</w:t>
      </w:r>
      <w:r>
        <w:tab/>
      </w:r>
      <w:r w:rsidRPr="00747401">
        <w:t>peer-reviewed literature published in academic journals</w:t>
      </w:r>
    </w:p>
    <w:p w14:paraId="056F34A0" w14:textId="77777777" w:rsidR="0081053C" w:rsidRPr="00747401" w:rsidRDefault="0081053C" w:rsidP="00C150BC">
      <w:pPr>
        <w:pStyle w:val="bulletlist0"/>
        <w:ind w:left="567"/>
      </w:pPr>
      <w:r>
        <w:t>–</w:t>
      </w:r>
      <w:r>
        <w:tab/>
      </w:r>
      <w:r w:rsidRPr="00747401">
        <w:t xml:space="preserve">government policies or guidelines for conducting risk assessments (either mandated by law or recommended) </w:t>
      </w:r>
    </w:p>
    <w:p w14:paraId="16429640" w14:textId="77777777" w:rsidR="0081053C" w:rsidRDefault="0081053C" w:rsidP="00C150BC">
      <w:pPr>
        <w:pStyle w:val="bulletlist0"/>
        <w:ind w:left="567"/>
      </w:pPr>
      <w:r>
        <w:t>–</w:t>
      </w:r>
      <w:r>
        <w:tab/>
        <w:t xml:space="preserve">literature including reports and papers produced by scientific agencies, Government agencies or peak industry bodies and </w:t>
      </w:r>
    </w:p>
    <w:p w14:paraId="138ACA9A" w14:textId="1DAAC449" w:rsidR="0081053C" w:rsidRPr="00DA3C3D" w:rsidRDefault="0081053C" w:rsidP="00C150BC">
      <w:pPr>
        <w:pStyle w:val="bulletlist0"/>
        <w:ind w:left="567"/>
      </w:pPr>
      <w:r>
        <w:t>–</w:t>
      </w:r>
      <w:r>
        <w:tab/>
        <w:t>publicly available risk assessment techniques used by private-sector proponents.</w:t>
      </w:r>
    </w:p>
    <w:p w14:paraId="432D10D9" w14:textId="77777777" w:rsidR="00C35056" w:rsidRDefault="00C35056">
      <w:pPr>
        <w:spacing w:after="200"/>
        <w:rPr>
          <w:rFonts w:cs="Arial"/>
          <w:b/>
          <w:bCs/>
          <w:sz w:val="26"/>
          <w:szCs w:val="26"/>
        </w:rPr>
      </w:pPr>
      <w:bookmarkStart w:id="751" w:name="_Toc420500920"/>
      <w:bookmarkStart w:id="752" w:name="_Toc420511175"/>
      <w:bookmarkStart w:id="753" w:name="_Toc420572496"/>
      <w:bookmarkStart w:id="754" w:name="_Toc420572651"/>
      <w:bookmarkStart w:id="755" w:name="_Toc420573085"/>
      <w:bookmarkStart w:id="756" w:name="_Toc296599077"/>
      <w:bookmarkStart w:id="757" w:name="_Toc296767298"/>
      <w:bookmarkStart w:id="758" w:name="_Toc296770439"/>
      <w:r>
        <w:br w:type="page"/>
      </w:r>
    </w:p>
    <w:p w14:paraId="4E8B3602" w14:textId="0998BA3B" w:rsidR="0081053C" w:rsidRDefault="0081053C" w:rsidP="00C150BC">
      <w:pPr>
        <w:pStyle w:val="Head3app"/>
      </w:pPr>
      <w:bookmarkStart w:id="759" w:name="_Toc423018263"/>
      <w:r>
        <w:t>A1.6</w:t>
      </w:r>
      <w:r>
        <w:tab/>
        <w:t>Structure</w:t>
      </w:r>
      <w:bookmarkEnd w:id="751"/>
      <w:bookmarkEnd w:id="752"/>
      <w:bookmarkEnd w:id="753"/>
      <w:bookmarkEnd w:id="754"/>
      <w:bookmarkEnd w:id="755"/>
      <w:bookmarkEnd w:id="756"/>
      <w:bookmarkEnd w:id="757"/>
      <w:bookmarkEnd w:id="758"/>
      <w:bookmarkEnd w:id="759"/>
    </w:p>
    <w:p w14:paraId="4DA3D02E" w14:textId="77777777" w:rsidR="0081053C" w:rsidRDefault="0081053C" w:rsidP="00C150BC">
      <w:pPr>
        <w:pStyle w:val="bulletlist0"/>
      </w:pPr>
      <w:r>
        <w:t>The structure of the literature review is as follows:</w:t>
      </w:r>
    </w:p>
    <w:p w14:paraId="20764C4E" w14:textId="77777777" w:rsidR="0081053C" w:rsidRPr="009874B9" w:rsidRDefault="0081053C" w:rsidP="00C150BC">
      <w:r>
        <w:t>Chapter</w:t>
      </w:r>
      <w:r w:rsidRPr="009874B9">
        <w:t xml:space="preserve"> 1 – Introduction – </w:t>
      </w:r>
      <w:r>
        <w:t xml:space="preserve">background, </w:t>
      </w:r>
      <w:r w:rsidRPr="009874B9">
        <w:t>purpose, key research questions, methodology and references</w:t>
      </w:r>
    </w:p>
    <w:p w14:paraId="755A0CC5" w14:textId="77777777" w:rsidR="0081053C" w:rsidRPr="009874B9" w:rsidRDefault="0081053C" w:rsidP="00C150BC">
      <w:r>
        <w:t>Chapter</w:t>
      </w:r>
      <w:r w:rsidRPr="009874B9">
        <w:t xml:space="preserve"> 2 – Key Findings – organised by risk assessment phases of identify hazards, identify sensitive receptors, identify and assess pathway between hazard and sensitive receptors, set a threshold for acceptable impact on sensitive receptor(s), apply standard controls to ensure impact is within acceptable limits, assess the potential consequence and likelihood of risk occurring with standard controls in place and rate the retained risk</w:t>
      </w:r>
      <w:r>
        <w:t xml:space="preserve">. </w:t>
      </w:r>
      <w:r w:rsidRPr="009874B9">
        <w:t>For each phase of the risk assessment, literature relevant to “</w:t>
      </w:r>
      <w:r>
        <w:t>policy specific</w:t>
      </w:r>
      <w:r w:rsidRPr="009874B9">
        <w:t>” and “project specific” risk assessments has been analysed</w:t>
      </w:r>
      <w:r>
        <w:t xml:space="preserve">. </w:t>
      </w:r>
    </w:p>
    <w:p w14:paraId="1AA8E9DD" w14:textId="77777777" w:rsidR="0081053C" w:rsidRPr="009874B9" w:rsidRDefault="0081053C" w:rsidP="00C150BC">
      <w:r w:rsidRPr="009874B9">
        <w:t>Section 3 – Key Implications for QQRA design, development and application – answers each of the key research questions by drawing on the key findings and outlines the key QQRA design and development implications</w:t>
      </w:r>
    </w:p>
    <w:p w14:paraId="5D208658" w14:textId="77777777" w:rsidR="0081053C" w:rsidRPr="009874B9" w:rsidRDefault="0081053C" w:rsidP="00C150BC">
      <w:r w:rsidRPr="009874B9">
        <w:t>Appendices</w:t>
      </w:r>
      <w:r>
        <w:t>:</w:t>
      </w:r>
    </w:p>
    <w:p w14:paraId="43CECD9D" w14:textId="4F8902FF" w:rsidR="0081053C" w:rsidRPr="009874B9" w:rsidRDefault="0081053C" w:rsidP="00C150BC">
      <w:pPr>
        <w:tabs>
          <w:tab w:val="left" w:pos="284"/>
        </w:tabs>
      </w:pPr>
      <w:r>
        <w:tab/>
        <w:t>AA</w:t>
      </w:r>
      <w:r w:rsidRPr="009874B9">
        <w:t xml:space="preserve"> – </w:t>
      </w:r>
      <w:r>
        <w:t>Matters out of scope from t</w:t>
      </w:r>
      <w:r w:rsidRPr="009874B9">
        <w:t>he</w:t>
      </w:r>
      <w:r>
        <w:t xml:space="preserve"> risk assessment &amp; literature r</w:t>
      </w:r>
      <w:r w:rsidRPr="009874B9">
        <w:t>eview</w:t>
      </w:r>
    </w:p>
    <w:p w14:paraId="6FB2CC3C" w14:textId="5644DA96" w:rsidR="0081053C" w:rsidRPr="009874B9" w:rsidRDefault="0081053C" w:rsidP="00C150BC">
      <w:pPr>
        <w:tabs>
          <w:tab w:val="left" w:pos="284"/>
        </w:tabs>
      </w:pPr>
      <w:r>
        <w:tab/>
        <w:t>AB</w:t>
      </w:r>
      <w:r w:rsidRPr="009874B9">
        <w:t xml:space="preserve"> – List of references</w:t>
      </w:r>
      <w:r>
        <w:t xml:space="preserve"> &amp; sources consulted for the literature r</w:t>
      </w:r>
      <w:r w:rsidRPr="009874B9">
        <w:t>eview</w:t>
      </w:r>
    </w:p>
    <w:p w14:paraId="39520F96" w14:textId="2A828030" w:rsidR="0081053C" w:rsidRPr="009874B9" w:rsidRDefault="0081053C" w:rsidP="00C150BC">
      <w:pPr>
        <w:tabs>
          <w:tab w:val="left" w:pos="284"/>
        </w:tabs>
      </w:pPr>
      <w:r>
        <w:tab/>
        <w:t>AC</w:t>
      </w:r>
      <w:r w:rsidRPr="009874B9">
        <w:t xml:space="preserve"> – Features of </w:t>
      </w:r>
      <w:r>
        <w:t>onshore g</w:t>
      </w:r>
      <w:r w:rsidRPr="009874B9">
        <w:t>as</w:t>
      </w:r>
      <w:r>
        <w:t xml:space="preserve"> resources</w:t>
      </w:r>
    </w:p>
    <w:p w14:paraId="1C2CB5A7" w14:textId="6B7C8727" w:rsidR="0081053C" w:rsidRPr="009874B9" w:rsidRDefault="0081053C" w:rsidP="00C150BC">
      <w:pPr>
        <w:tabs>
          <w:tab w:val="left" w:pos="284"/>
        </w:tabs>
      </w:pPr>
      <w:r>
        <w:tab/>
        <w:t>AD – Modelling p</w:t>
      </w:r>
      <w:r w:rsidRPr="009874B9">
        <w:t>athways</w:t>
      </w:r>
    </w:p>
    <w:p w14:paraId="7A417812" w14:textId="494992B5" w:rsidR="0081053C" w:rsidRPr="009874B9" w:rsidRDefault="0081053C" w:rsidP="00C150BC">
      <w:pPr>
        <w:tabs>
          <w:tab w:val="left" w:pos="284"/>
        </w:tabs>
      </w:pPr>
      <w:r>
        <w:tab/>
        <w:t>AE</w:t>
      </w:r>
      <w:r w:rsidRPr="009874B9">
        <w:t xml:space="preserve"> </w:t>
      </w:r>
      <w:r>
        <w:t>–</w:t>
      </w:r>
      <w:r w:rsidRPr="009874B9">
        <w:t xml:space="preserve"> Methodologies used to assess </w:t>
      </w:r>
      <w:r>
        <w:t>groundwater v</w:t>
      </w:r>
      <w:r w:rsidRPr="009874B9">
        <w:t xml:space="preserve">ulnerability </w:t>
      </w:r>
    </w:p>
    <w:p w14:paraId="3CA8316B" w14:textId="268E10B5" w:rsidR="0081053C" w:rsidRDefault="0081053C" w:rsidP="00C150BC">
      <w:pPr>
        <w:tabs>
          <w:tab w:val="left" w:pos="284"/>
        </w:tabs>
      </w:pPr>
      <w:r>
        <w:tab/>
        <w:t>AF</w:t>
      </w:r>
      <w:r w:rsidRPr="009874B9">
        <w:t xml:space="preserve"> – Controls</w:t>
      </w:r>
    </w:p>
    <w:p w14:paraId="1B7C987C" w14:textId="7C86FA15" w:rsidR="0081053C" w:rsidRPr="00DA3C3D" w:rsidRDefault="0081053C" w:rsidP="00C150BC">
      <w:pPr>
        <w:tabs>
          <w:tab w:val="left" w:pos="284"/>
        </w:tabs>
      </w:pPr>
      <w:r>
        <w:tab/>
        <w:t>AG</w:t>
      </w:r>
      <w:r w:rsidRPr="009874B9">
        <w:t xml:space="preserve"> – Consequence</w:t>
      </w:r>
      <w:r>
        <w:t>.</w:t>
      </w:r>
    </w:p>
    <w:p w14:paraId="15F292E2" w14:textId="6134E10D" w:rsidR="0081053C" w:rsidRDefault="0081053C" w:rsidP="00C150BC">
      <w:pPr>
        <w:pStyle w:val="Head3app"/>
      </w:pPr>
      <w:bookmarkStart w:id="760" w:name="_Toc420500921"/>
      <w:bookmarkStart w:id="761" w:name="_Toc420511176"/>
      <w:bookmarkStart w:id="762" w:name="_Toc420572497"/>
      <w:bookmarkStart w:id="763" w:name="_Toc420572652"/>
      <w:bookmarkStart w:id="764" w:name="_Toc420573086"/>
      <w:bookmarkStart w:id="765" w:name="_Toc296599078"/>
      <w:bookmarkStart w:id="766" w:name="_Toc296767299"/>
      <w:bookmarkStart w:id="767" w:name="_Toc296770440"/>
      <w:bookmarkStart w:id="768" w:name="_Toc423018264"/>
      <w:r>
        <w:t>A1.7</w:t>
      </w:r>
      <w:r>
        <w:tab/>
        <w:t>Summary of references</w:t>
      </w:r>
      <w:bookmarkEnd w:id="760"/>
      <w:bookmarkEnd w:id="761"/>
      <w:bookmarkEnd w:id="762"/>
      <w:bookmarkEnd w:id="763"/>
      <w:bookmarkEnd w:id="764"/>
      <w:bookmarkEnd w:id="765"/>
      <w:bookmarkEnd w:id="766"/>
      <w:bookmarkEnd w:id="767"/>
      <w:bookmarkEnd w:id="768"/>
    </w:p>
    <w:p w14:paraId="55A08D06" w14:textId="2509D9B5" w:rsidR="009B3448" w:rsidRPr="009B3448" w:rsidRDefault="0081053C">
      <w:pPr>
        <w:rPr>
          <w:lang w:val="en-AU"/>
        </w:rPr>
      </w:pPr>
      <w:r>
        <w:t xml:space="preserve">The full list of 115 sources consulted is </w:t>
      </w:r>
      <w:r w:rsidRPr="00115BF8">
        <w:t xml:space="preserve">provided in </w:t>
      </w:r>
      <w:r w:rsidRPr="00115BF8">
        <w:fldChar w:fldCharType="begin"/>
      </w:r>
      <w:r w:rsidRPr="00115BF8">
        <w:instrText xml:space="preserve"> REF _Ref406753847 \r \h </w:instrText>
      </w:r>
      <w:r>
        <w:instrText xml:space="preserve"> \* MERGEFORMAT </w:instrText>
      </w:r>
      <w:r w:rsidRPr="00115BF8">
        <w:fldChar w:fldCharType="separate"/>
      </w:r>
      <w:r w:rsidR="00171A5E">
        <w:t>Appendix A</w:t>
      </w:r>
      <w:r w:rsidRPr="00115BF8">
        <w:fldChar w:fldCharType="end"/>
      </w:r>
      <w:r w:rsidRPr="00115BF8">
        <w:t>.</w:t>
      </w:r>
      <w:r>
        <w:t xml:space="preserve"> Of these sources, 19 were deemed to provide direct and relevant material to the key literature review research questions. </w:t>
      </w:r>
    </w:p>
    <w:p w14:paraId="0B4F095B" w14:textId="77777777" w:rsidR="009B3448" w:rsidRDefault="009B3448" w:rsidP="00C35056">
      <w:pPr>
        <w:rPr>
          <w:lang w:val="en-US" w:eastAsia="en-US"/>
        </w:rPr>
      </w:pPr>
    </w:p>
    <w:p w14:paraId="5A46B7C7" w14:textId="77777777" w:rsidR="0081053C" w:rsidRPr="009B3448" w:rsidRDefault="0081053C" w:rsidP="00C35056">
      <w:pPr>
        <w:rPr>
          <w:lang w:val="en-US" w:eastAsia="en-US"/>
        </w:rPr>
        <w:sectPr w:rsidR="0081053C" w:rsidRPr="009B3448" w:rsidSect="00463E9A">
          <w:pgSz w:w="11906" w:h="16838" w:code="9"/>
          <w:pgMar w:top="2268" w:right="1134" w:bottom="1276" w:left="1134" w:header="567" w:footer="567" w:gutter="0"/>
          <w:cols w:space="708"/>
          <w:docGrid w:linePitch="360"/>
        </w:sectPr>
      </w:pPr>
    </w:p>
    <w:p w14:paraId="6897FE22" w14:textId="50C75FFF" w:rsidR="0081053C" w:rsidRPr="00DE7D9E" w:rsidRDefault="00D91C19" w:rsidP="00C150BC">
      <w:pPr>
        <w:pStyle w:val="Head2app"/>
      </w:pPr>
      <w:bookmarkStart w:id="769" w:name="_Toc420500922"/>
      <w:bookmarkStart w:id="770" w:name="_Toc420511177"/>
      <w:bookmarkStart w:id="771" w:name="_Toc420572498"/>
      <w:bookmarkStart w:id="772" w:name="_Toc420572653"/>
      <w:bookmarkStart w:id="773" w:name="_Toc420573087"/>
      <w:bookmarkStart w:id="774" w:name="_Toc296599079"/>
      <w:bookmarkStart w:id="775" w:name="_Toc296767300"/>
      <w:bookmarkStart w:id="776" w:name="_Toc296770441"/>
      <w:bookmarkStart w:id="777" w:name="_Toc423018265"/>
      <w:r>
        <w:t xml:space="preserve">Appendix </w:t>
      </w:r>
      <w:r w:rsidR="0081053C">
        <w:t>A2</w:t>
      </w:r>
      <w:r w:rsidR="0081053C">
        <w:tab/>
      </w:r>
      <w:r w:rsidR="0081053C" w:rsidRPr="00DE7D9E">
        <w:t>Key findings</w:t>
      </w:r>
      <w:bookmarkEnd w:id="769"/>
      <w:bookmarkEnd w:id="770"/>
      <w:bookmarkEnd w:id="771"/>
      <w:bookmarkEnd w:id="772"/>
      <w:bookmarkEnd w:id="773"/>
      <w:bookmarkEnd w:id="774"/>
      <w:bookmarkEnd w:id="775"/>
      <w:bookmarkEnd w:id="776"/>
      <w:bookmarkEnd w:id="777"/>
    </w:p>
    <w:p w14:paraId="29FD4262" w14:textId="77777777" w:rsidR="0081053C" w:rsidRDefault="0081053C" w:rsidP="0081053C">
      <w:r>
        <w:t>Key findings have been discussed in terms of risks assessments to inform either government policy or a project scale risk assessment. The key findings for each of the following phases of risk assessment are discussed in the following sections:</w:t>
      </w:r>
    </w:p>
    <w:p w14:paraId="73E86FE2" w14:textId="77777777" w:rsidR="0081053C" w:rsidRDefault="0081053C" w:rsidP="00C150BC">
      <w:pPr>
        <w:pStyle w:val="bulletlist0"/>
      </w:pPr>
      <w:r>
        <w:t>•</w:t>
      </w:r>
      <w:r>
        <w:tab/>
        <w:t>risk and uncertainty</w:t>
      </w:r>
    </w:p>
    <w:p w14:paraId="3719197A" w14:textId="77777777" w:rsidR="0081053C" w:rsidRDefault="0081053C" w:rsidP="00C150BC">
      <w:pPr>
        <w:pStyle w:val="bulletlist0"/>
      </w:pPr>
      <w:r>
        <w:t>•</w:t>
      </w:r>
      <w:r>
        <w:tab/>
        <w:t>hazards</w:t>
      </w:r>
    </w:p>
    <w:p w14:paraId="58F33835" w14:textId="77777777" w:rsidR="0081053C" w:rsidRDefault="0081053C" w:rsidP="00C150BC">
      <w:pPr>
        <w:pStyle w:val="bulletlist0"/>
      </w:pPr>
      <w:r>
        <w:t>•</w:t>
      </w:r>
      <w:r>
        <w:tab/>
        <w:t>sensitive receptors</w:t>
      </w:r>
    </w:p>
    <w:p w14:paraId="05C02FC2" w14:textId="77777777" w:rsidR="0081053C" w:rsidRDefault="0081053C" w:rsidP="00C150BC">
      <w:pPr>
        <w:pStyle w:val="bulletlist0"/>
      </w:pPr>
      <w:r>
        <w:t>•</w:t>
      </w:r>
      <w:r>
        <w:tab/>
        <w:t>pathways</w:t>
      </w:r>
    </w:p>
    <w:p w14:paraId="38F4EB89" w14:textId="77777777" w:rsidR="0081053C" w:rsidRDefault="0081053C" w:rsidP="00C150BC">
      <w:pPr>
        <w:pStyle w:val="bulletlist0"/>
      </w:pPr>
      <w:r>
        <w:t>•</w:t>
      </w:r>
      <w:r>
        <w:tab/>
        <w:t>thresholds</w:t>
      </w:r>
    </w:p>
    <w:p w14:paraId="26FCBA3E" w14:textId="77777777" w:rsidR="0081053C" w:rsidRDefault="0081053C" w:rsidP="00C150BC">
      <w:pPr>
        <w:pStyle w:val="bulletlist0"/>
      </w:pPr>
      <w:r>
        <w:t>•</w:t>
      </w:r>
      <w:r>
        <w:tab/>
        <w:t>standard controls</w:t>
      </w:r>
    </w:p>
    <w:p w14:paraId="48819D56" w14:textId="77777777" w:rsidR="0081053C" w:rsidRDefault="0081053C" w:rsidP="00C150BC">
      <w:pPr>
        <w:pStyle w:val="bulletlist0"/>
      </w:pPr>
      <w:r>
        <w:t>•</w:t>
      </w:r>
      <w:r>
        <w:tab/>
        <w:t>consequence</w:t>
      </w:r>
    </w:p>
    <w:p w14:paraId="2F7DCAA7" w14:textId="77777777" w:rsidR="0081053C" w:rsidRDefault="0081053C" w:rsidP="00C150BC">
      <w:pPr>
        <w:pStyle w:val="bulletlist0"/>
      </w:pPr>
      <w:r>
        <w:t>•</w:t>
      </w:r>
      <w:r>
        <w:tab/>
        <w:t>likelihood</w:t>
      </w:r>
    </w:p>
    <w:p w14:paraId="07D43D6A" w14:textId="0BBAA46A" w:rsidR="0081053C" w:rsidRPr="00DA3C3D" w:rsidRDefault="0081053C" w:rsidP="00C150BC">
      <w:pPr>
        <w:pStyle w:val="bulletlist0"/>
      </w:pPr>
      <w:r>
        <w:t>•</w:t>
      </w:r>
      <w:r>
        <w:tab/>
        <w:t>risk rating.</w:t>
      </w:r>
    </w:p>
    <w:p w14:paraId="5A7000A9" w14:textId="124223C5" w:rsidR="0081053C" w:rsidRDefault="0081053C" w:rsidP="00C150BC">
      <w:pPr>
        <w:pStyle w:val="Head3app"/>
      </w:pPr>
      <w:bookmarkStart w:id="778" w:name="_Toc420500923"/>
      <w:bookmarkStart w:id="779" w:name="_Toc420511178"/>
      <w:bookmarkStart w:id="780" w:name="_Toc420572499"/>
      <w:bookmarkStart w:id="781" w:name="_Toc420572654"/>
      <w:bookmarkStart w:id="782" w:name="_Toc420573088"/>
      <w:bookmarkStart w:id="783" w:name="_Toc296599080"/>
      <w:bookmarkStart w:id="784" w:name="_Toc296767301"/>
      <w:bookmarkStart w:id="785" w:name="_Toc296770442"/>
      <w:bookmarkStart w:id="786" w:name="_Toc423018266"/>
      <w:r>
        <w:t>A2.1</w:t>
      </w:r>
      <w:r>
        <w:tab/>
        <w:t>Risk and uncertainty</w:t>
      </w:r>
      <w:bookmarkEnd w:id="778"/>
      <w:bookmarkEnd w:id="779"/>
      <w:bookmarkEnd w:id="780"/>
      <w:bookmarkEnd w:id="781"/>
      <w:bookmarkEnd w:id="782"/>
      <w:bookmarkEnd w:id="783"/>
      <w:bookmarkEnd w:id="784"/>
      <w:bookmarkEnd w:id="785"/>
      <w:bookmarkEnd w:id="786"/>
    </w:p>
    <w:p w14:paraId="15D6425E" w14:textId="77777777" w:rsidR="0081053C" w:rsidRDefault="0081053C" w:rsidP="0081053C">
      <w:r>
        <w:t>A consistent finding arising from the literature review is that understanding of hydrogeological pathways is still evolving and groundwater models need to be refined as more monitoring data becomes available. Most of the literature reviewed, such as Moran and Vink (2010), emphasises that ongoing monitoring of water levels and other characteristics should be compared with modelled predictions to progressively refine models and present the best available representation of risk. The</w:t>
      </w:r>
      <w:r w:rsidRPr="00B3594E">
        <w:rPr>
          <w:rFonts w:cs="Arial"/>
        </w:rPr>
        <w:t xml:space="preserve"> Independent Expert Scientific Committee</w:t>
      </w:r>
      <w:r>
        <w:t xml:space="preserve"> (2014) proposes several quantitative approaches to assess uncertainty in risk determination for coal seam gas development, including: </w:t>
      </w:r>
    </w:p>
    <w:p w14:paraId="57BCC3FF" w14:textId="0E62E4F5" w:rsidR="0081053C" w:rsidRDefault="0081053C" w:rsidP="00C150BC">
      <w:pPr>
        <w:pStyle w:val="bulletlist0"/>
      </w:pPr>
      <w:r>
        <w:t>•</w:t>
      </w:r>
      <w:r>
        <w:tab/>
        <w:t>Bayesian methods for calculating model structural uncertainties.</w:t>
      </w:r>
    </w:p>
    <w:p w14:paraId="7FB80226" w14:textId="77777777" w:rsidR="0081053C" w:rsidRPr="00AE7803" w:rsidRDefault="0081053C" w:rsidP="00C150BC">
      <w:pPr>
        <w:pStyle w:val="bulletlist0"/>
      </w:pPr>
      <w:r>
        <w:t>•</w:t>
      </w:r>
      <w:r>
        <w:tab/>
        <w:t>Stochastic modelling; which may be used to addresses likely inaccuracies in relation to uncertainties around estimated water flow rates and solute transport. It generates multiple hydrogeological scenarios which are run concurrently in a Monte Carlo framework. Statistical analysis is conducted on each result (Cook, 2003).</w:t>
      </w:r>
    </w:p>
    <w:p w14:paraId="513756F4" w14:textId="77777777" w:rsidR="0081053C" w:rsidRDefault="0081053C" w:rsidP="00C150BC">
      <w:pPr>
        <w:pStyle w:val="bulletlist0"/>
      </w:pPr>
      <w:r>
        <w:t>•</w:t>
      </w:r>
      <w:r>
        <w:tab/>
        <w:t xml:space="preserve">Random domain decomposition. </w:t>
      </w:r>
      <w:r>
        <w:rPr>
          <w:rFonts w:cs="Arial"/>
        </w:rPr>
        <w:t>For example,</w:t>
      </w:r>
      <w:r w:rsidRPr="001A7CB6">
        <w:rPr>
          <w:rFonts w:cs="Arial"/>
        </w:rPr>
        <w:t xml:space="preserve"> Guadagnini et al (2003) focuse</w:t>
      </w:r>
      <w:r>
        <w:rPr>
          <w:rFonts w:cs="Arial"/>
        </w:rPr>
        <w:t>d</w:t>
      </w:r>
      <w:r w:rsidRPr="001A7CB6">
        <w:rPr>
          <w:rFonts w:cs="Arial"/>
        </w:rPr>
        <w:t xml:space="preserve"> on analysing two dimensional flow in a system where </w:t>
      </w:r>
      <w:r w:rsidRPr="00B410FE">
        <w:t>hydraulic properties and spatial distribution are known statistically but are otherwise uncertain.</w:t>
      </w:r>
    </w:p>
    <w:p w14:paraId="530F9EE3" w14:textId="77777777" w:rsidR="0081053C" w:rsidRDefault="0081053C" w:rsidP="00C150BC">
      <w:pPr>
        <w:pStyle w:val="bulletlist0"/>
      </w:pPr>
      <w:r>
        <w:t>•</w:t>
      </w:r>
      <w:r>
        <w:tab/>
        <w:t>The transition probability approach which considers relative frequency of transitions from one state to another in a system consisting of multiple states (Elfeki et al, 1997:67).</w:t>
      </w:r>
    </w:p>
    <w:p w14:paraId="194F58E9" w14:textId="77777777" w:rsidR="0081053C" w:rsidRDefault="0081053C" w:rsidP="00C150BC">
      <w:pPr>
        <w:pStyle w:val="bulletlist0"/>
      </w:pPr>
      <w:r>
        <w:t>•</w:t>
      </w:r>
      <w:r>
        <w:tab/>
        <w:t xml:space="preserve">Decision theory to assist with risk management. </w:t>
      </w:r>
    </w:p>
    <w:p w14:paraId="1412B272" w14:textId="77777777" w:rsidR="0081053C" w:rsidRPr="00115BF8" w:rsidRDefault="0081053C" w:rsidP="0081053C">
      <w:r>
        <w:t xml:space="preserve">The simplifying assumptions underlying groundwater models are highlighted by the IESC (2014) and should be considered in both project and strategic level risk assessments. It provides a valuable summary of use of MODFLOW and FEFLOW groundwater models for project risk assessments in the United States and Australia. It shows there are limitations in how sources and pathways are conceptualised, even if most projects do seek to consider how uncertainty is assessed in each risk assessment. The report provides an evaluation of strengths and drawbacks of different types of modelling techniques (analytical, regional groundwater impact assessment, axisymmetric and </w:t>
      </w:r>
      <w:r w:rsidRPr="00115BF8">
        <w:t xml:space="preserve">reservoir assessments) in capturing potential impacts and groundwater processes. Full details are provided in </w:t>
      </w:r>
      <w:r>
        <w:t>Appendix D</w:t>
      </w:r>
      <w:r w:rsidRPr="00115BF8">
        <w:t>.</w:t>
      </w:r>
    </w:p>
    <w:p w14:paraId="2C54840D" w14:textId="77777777" w:rsidR="0081053C" w:rsidRDefault="0081053C" w:rsidP="0081053C">
      <w:r w:rsidRPr="00115BF8">
        <w:t>The temporal component to risk analysis is a key uncertainty factor. Potential changes to groundwater quality/quantity may take years to decades to develop depending</w:t>
      </w:r>
      <w:r w:rsidRPr="00AE686D">
        <w:t xml:space="preserve"> on a variety of factors, including the proximity of an aquifer to </w:t>
      </w:r>
      <w:r>
        <w:t>a</w:t>
      </w:r>
      <w:r w:rsidRPr="00AE686D">
        <w:t xml:space="preserve"> coal seam reservoir. Impacts may also persist for prolonged periods</w:t>
      </w:r>
      <w:r>
        <w:t xml:space="preserve"> after potentially hazardous operations have ceased.</w:t>
      </w:r>
    </w:p>
    <w:p w14:paraId="75129912" w14:textId="270728B7" w:rsidR="0081053C" w:rsidRDefault="0081053C" w:rsidP="0081053C">
      <w:r>
        <w:t xml:space="preserve">It is commonly agreed that the limitations and assumptions underpinning risk assessments should be subject to sensitivity analysis. For example, the Queensland Department Natural Resources &amp; Mines Healthy Headwaters coal seam gas study (Worley Parsons, 2013) recommended that a sensitivity </w:t>
      </w:r>
      <w:r w:rsidRPr="00C4021F">
        <w:t>analysis</w:t>
      </w:r>
      <w:r w:rsidRPr="009874B9">
        <w:t xml:space="preserve"> </w:t>
      </w:r>
      <w:r>
        <w:t>be undertaken on the ranking and weighting criteria adopted by the pa</w:t>
      </w:r>
      <w:r w:rsidR="00463E9A">
        <w:t xml:space="preserve">nel of experts. In relation to </w:t>
      </w:r>
      <w:r>
        <w:t>coal seam gas water production, uncertainty could also be presented visually by means of an attribute layer to show the limits of current understanding around pathways, for instance in terms of interactions between Condamine Alluvium and the Walloon Coal Measures in the Surat and southern Bowen Basins, Queensland.</w:t>
      </w:r>
    </w:p>
    <w:p w14:paraId="65872EB7" w14:textId="02F63AD0" w:rsidR="0081053C" w:rsidRDefault="0081053C" w:rsidP="00C150BC">
      <w:pPr>
        <w:pStyle w:val="Head3xxx"/>
      </w:pPr>
      <w:bookmarkStart w:id="787" w:name="_Toc420500924"/>
      <w:bookmarkStart w:id="788" w:name="_Toc420511179"/>
      <w:bookmarkStart w:id="789" w:name="_Toc420572500"/>
      <w:bookmarkStart w:id="790" w:name="_Toc420572655"/>
      <w:bookmarkStart w:id="791" w:name="_Toc420573089"/>
      <w:bookmarkStart w:id="792" w:name="_Toc296767009"/>
      <w:r>
        <w:t>A2.2</w:t>
      </w:r>
      <w:r>
        <w:tab/>
        <w:t>Hazards</w:t>
      </w:r>
      <w:bookmarkEnd w:id="787"/>
      <w:bookmarkEnd w:id="788"/>
      <w:bookmarkEnd w:id="789"/>
      <w:bookmarkEnd w:id="790"/>
      <w:bookmarkEnd w:id="791"/>
      <w:bookmarkEnd w:id="792"/>
    </w:p>
    <w:p w14:paraId="0E1800F8" w14:textId="77777777" w:rsidR="0081053C" w:rsidRDefault="0081053C" w:rsidP="0081053C">
      <w:r w:rsidRPr="00655962">
        <w:t>A hazard is a source</w:t>
      </w:r>
      <w:r w:rsidRPr="002D3837">
        <w:t xml:space="preserve"> of potential harm or a situation with a potential to cause loss (negative consequence).</w:t>
      </w:r>
      <w:r>
        <w:t xml:space="preserve"> Hazard identification is first stage of any risk assessment process and should be used to inform preliminary investigations of potential impacts from onshore natural gas.</w:t>
      </w:r>
    </w:p>
    <w:p w14:paraId="49E9DF71" w14:textId="5E9725CE" w:rsidR="0081053C" w:rsidRDefault="0081053C" w:rsidP="00C150BC">
      <w:pPr>
        <w:pStyle w:val="Heading4"/>
      </w:pPr>
      <w:bookmarkStart w:id="793" w:name="_Toc420572656"/>
      <w:r>
        <w:t>Risk assessment to inform government policy</w:t>
      </w:r>
      <w:bookmarkEnd w:id="793"/>
    </w:p>
    <w:p w14:paraId="2C2DD87B" w14:textId="77777777" w:rsidR="0081053C" w:rsidRDefault="0081053C" w:rsidP="0081053C">
      <w:r>
        <w:t xml:space="preserve">The literature review did not identify any particular techniques for hazard identification at a policy level different to those techniques used to identify hazards for project risk assessments, which are outlined in section </w:t>
      </w:r>
      <w:r>
        <w:rPr>
          <w:highlight w:val="yellow"/>
        </w:rPr>
        <w:fldChar w:fldCharType="begin"/>
      </w:r>
      <w:r>
        <w:instrText xml:space="preserve"> REF _Ref406753898 \r \h </w:instrText>
      </w:r>
      <w:r>
        <w:rPr>
          <w:highlight w:val="yellow"/>
        </w:rPr>
      </w:r>
      <w:r>
        <w:rPr>
          <w:highlight w:val="yellow"/>
        </w:rPr>
        <w:fldChar w:fldCharType="separate"/>
      </w:r>
      <w:r w:rsidR="00171A5E">
        <w:t>0</w:t>
      </w:r>
      <w:r>
        <w:rPr>
          <w:highlight w:val="yellow"/>
        </w:rPr>
        <w:fldChar w:fldCharType="end"/>
      </w:r>
      <w:r>
        <w:t xml:space="preserve"> below.</w:t>
      </w:r>
    </w:p>
    <w:p w14:paraId="75D6A5C5" w14:textId="720A0D54" w:rsidR="0081053C" w:rsidRDefault="0081053C" w:rsidP="00C150BC">
      <w:pPr>
        <w:pStyle w:val="Heading4"/>
      </w:pPr>
      <w:bookmarkStart w:id="794" w:name="_Ref406753898"/>
      <w:bookmarkStart w:id="795" w:name="_Toc420572657"/>
      <w:r>
        <w:t>Risk assessment to inform project scale developments</w:t>
      </w:r>
      <w:bookmarkEnd w:id="794"/>
      <w:bookmarkEnd w:id="795"/>
    </w:p>
    <w:p w14:paraId="46A27485" w14:textId="77777777" w:rsidR="0081053C" w:rsidRDefault="0081053C" w:rsidP="0081053C">
      <w:r>
        <w:t xml:space="preserve">In their paper prepared as part of </w:t>
      </w:r>
      <w:r w:rsidRPr="00655962">
        <w:t>the independent review of coal seam gas activities in NSW, Anderson et al (2013) group hazards on the basis of their contamination potential or contribution to depleting water resource aquifers and surface waters. Contamination issues are further disaggregated</w:t>
      </w:r>
      <w:r>
        <w:t xml:space="preserve"> into </w:t>
      </w:r>
      <w:r w:rsidRPr="00C4021F">
        <w:rPr>
          <w:i/>
        </w:rPr>
        <w:t>operational hazards</w:t>
      </w:r>
      <w:r>
        <w:t xml:space="preserve"> (e.g. extraction) and those associated with changes in </w:t>
      </w:r>
      <w:r w:rsidRPr="00C4021F">
        <w:rPr>
          <w:i/>
        </w:rPr>
        <w:t>hydrogeological environments</w:t>
      </w:r>
      <w:r>
        <w:t>. Potential consequences of depletion are impacts on Groundwater Dependent Ecosystems (GDEs) from movement of groundwater towards the depressurised coal seam gas formation. Seepage may also occur from surface water assets to depleted watertable aquifers.</w:t>
      </w:r>
    </w:p>
    <w:p w14:paraId="615CF931" w14:textId="77777777" w:rsidR="0081053C" w:rsidRPr="003A575E" w:rsidRDefault="0081053C" w:rsidP="0081053C">
      <w:r w:rsidRPr="003A575E">
        <w:t>Specific coal seam gas activities that may present hazards are provided in the methodology for conducting Bioregional Assessments by Barrett et al</w:t>
      </w:r>
      <w:r w:rsidRPr="003A575E">
        <w:rPr>
          <w:rStyle w:val="FootnoteReference"/>
          <w:rFonts w:eastAsiaTheme="majorEastAsia"/>
        </w:rPr>
        <w:footnoteReference w:id="2"/>
      </w:r>
      <w:r w:rsidRPr="003A575E">
        <w:t xml:space="preserve"> (2013) including depressurisation and dewatering of coal seams; potential regulated and unregulated discharge of stored worked water on mine sites; and fate of coal seam gas permeate and brine derived from treatments of associated water. The size and extent of a zone of depressurisation is influenced by a variety of factors including the size of the seam, its storage capacity, the pumping rate, initial pressure, recharge rates, geology and the flow of water through the seam.</w:t>
      </w:r>
    </w:p>
    <w:p w14:paraId="46D0B5B3" w14:textId="77777777" w:rsidR="0081053C" w:rsidRPr="003A575E" w:rsidRDefault="0081053C" w:rsidP="0081053C">
      <w:r w:rsidRPr="003A575E">
        <w:t xml:space="preserve">Most sources consulted list potential hazards based on the activity source (specific actions taken in the course of onshore gas development). Wilson et al (2014) identify discharges to surface water, evaporation ponds, groundwater dewatering and extraction, hydraulic fracturing, in-situ gasification, managed aquifer recharge, overburden management, surface water diversion and capture and well drilling as potential hazards. </w:t>
      </w:r>
    </w:p>
    <w:p w14:paraId="339DBA06" w14:textId="06AE4EE6" w:rsidR="0081053C" w:rsidRPr="003A575E" w:rsidRDefault="0081053C" w:rsidP="0081053C">
      <w:r w:rsidRPr="003A575E">
        <w:t>Identifying the potential direct and indirect effects on characteristics of groundwater resources is alternative approach used by IESC (2013) which provides a greater level of detail on the range of possible hazard scenarios</w:t>
      </w:r>
      <w:r>
        <w:t>;</w:t>
      </w:r>
      <w:r w:rsidRPr="003A575E">
        <w:t xml:space="preserve"> for example:  </w:t>
      </w:r>
    </w:p>
    <w:p w14:paraId="44F656D0" w14:textId="77777777" w:rsidR="0081053C" w:rsidRPr="003A575E" w:rsidRDefault="0081053C" w:rsidP="00C150BC">
      <w:pPr>
        <w:pStyle w:val="bulletlist0"/>
      </w:pPr>
      <w:r>
        <w:t>•</w:t>
      </w:r>
      <w:r>
        <w:tab/>
      </w:r>
      <w:r w:rsidRPr="003A575E">
        <w:t>Direct impacts are changes to physical/chemical characteristics of groundwater/surface water as a result of dewatering processes, and include loss of pressure in an aquifer, changes in groundwater chemistry from change in hydraulic relationship and changes in aquifer hydraulic properties such as porosity due to pressure reduction</w:t>
      </w:r>
    </w:p>
    <w:p w14:paraId="396D5336" w14:textId="77777777" w:rsidR="0081053C" w:rsidRPr="003A575E" w:rsidRDefault="0081053C" w:rsidP="00C150BC">
      <w:pPr>
        <w:pStyle w:val="bulletlist0"/>
      </w:pPr>
      <w:r>
        <w:t>•</w:t>
      </w:r>
      <w:r>
        <w:tab/>
      </w:r>
      <w:r w:rsidRPr="003A575E">
        <w:t>Indirect impacts to receptors occur through a pathway of cause and effect, such as the direct impact loss of pressure head in an aquifer has on dewatering on a gaining or losing stream; drying of agricultural wells or natural springs and the salinisation of freshwater aquifers from depressurisation of coal seams.</w:t>
      </w:r>
    </w:p>
    <w:p w14:paraId="321E1CCE" w14:textId="77777777" w:rsidR="0081053C" w:rsidRDefault="0081053C" w:rsidP="0081053C">
      <w:r w:rsidRPr="003A575E">
        <w:t>Arrow Energy (Coffey Environments, 2012) used the same framework of direct/indirect</w:t>
      </w:r>
      <w:r>
        <w:t xml:space="preserve"> impacts as IESC to assess the potential impacts of the depressurisation of Walloon Coal Measures. However they conceptualise it somewhat differently. Impacts of depressurisation of aquifers to Walloon Coal Measures through the removal of gas and water is classified as a direct impacts whereas indirect impacts are potential consequences on aquifers above and below the measures. Groundwater drawdown resulting in a reduction in the supply to existing or future users and groundwater dependent ecosystems reliant on the Walloon Coal Measures is thus a direct impact. In contrast, groundwater flux and drawdown in adjacent aquifers causing water quality and supply impacts to existing and future users and groundwater dependent ecosystems, changes in inter-aquifer flows or subsidence are indirect impacts. </w:t>
      </w:r>
    </w:p>
    <w:p w14:paraId="4843CAAD" w14:textId="77777777" w:rsidR="0081053C" w:rsidRDefault="0081053C" w:rsidP="0081053C">
      <w:r>
        <w:t xml:space="preserve">Hazards from other unconventional gas resources may vary as certain key characteristics (depth, permeability, groundwater take and need for hydraulic fracturing) are different for shale, tight and coal seam gas. A summary of these is provided in </w:t>
      </w:r>
      <w:r w:rsidRPr="00530F01">
        <w:t>Appendix C. For instance, local hydrogeological characteristics between and within shale reserves will influence the volumes of water withdrawals required.</w:t>
      </w:r>
      <w:r>
        <w:t xml:space="preserve"> </w:t>
      </w:r>
    </w:p>
    <w:p w14:paraId="379849A6" w14:textId="77777777" w:rsidR="0081053C" w:rsidRDefault="0081053C" w:rsidP="0081053C">
      <w:r>
        <w:t>A conceptual approach to hazard identification is provided by NOPSEMA (2012) which gives an overview of the benefits and drawbacks of different hazard identification techniques; including HAZOP, historical records</w:t>
      </w:r>
      <w:r w:rsidRPr="000E6F52">
        <w:t>, Failure Modes, Effects and Criticality Analysis (FMECA) and Failure Modes and Effects Analysis (FMEA)</w:t>
      </w:r>
      <w:r>
        <w:t xml:space="preserve"> as well as</w:t>
      </w:r>
      <w:r w:rsidRPr="000E6F52">
        <w:t xml:space="preserve"> Fault Tree and Event Tree Analysis</w:t>
      </w:r>
      <w:r>
        <w:t xml:space="preserve"> in the context of assessing risks from </w:t>
      </w:r>
      <w:r w:rsidRPr="003D21D0">
        <w:t>o</w:t>
      </w:r>
      <w:r>
        <w:t>ffshore oil and gas exploration and development.</w:t>
      </w:r>
    </w:p>
    <w:p w14:paraId="684E24C4" w14:textId="77777777" w:rsidR="0081053C" w:rsidRDefault="0081053C" w:rsidP="0081053C">
      <w:r>
        <w:t>These hazard identification techniques are applied to determine what could result in equipment or procedure failure (e.g. well drilling, well casing etc.) and therefore resulting in uncontrolled releases of dangerous additives.</w:t>
      </w:r>
    </w:p>
    <w:p w14:paraId="7FC06E1F" w14:textId="681578F0" w:rsidR="0081053C" w:rsidRDefault="0081053C" w:rsidP="00C150BC">
      <w:pPr>
        <w:pStyle w:val="Head3xxx"/>
      </w:pPr>
      <w:bookmarkStart w:id="796" w:name="_Toc420500925"/>
      <w:bookmarkStart w:id="797" w:name="_Toc420511180"/>
      <w:bookmarkStart w:id="798" w:name="_Toc420572501"/>
      <w:bookmarkStart w:id="799" w:name="_Toc420572658"/>
      <w:bookmarkStart w:id="800" w:name="_Toc420573090"/>
      <w:bookmarkStart w:id="801" w:name="_Toc296767010"/>
      <w:r>
        <w:t>A2.3</w:t>
      </w:r>
      <w:r>
        <w:tab/>
        <w:t>Sensitive receptors</w:t>
      </w:r>
      <w:bookmarkEnd w:id="796"/>
      <w:bookmarkEnd w:id="797"/>
      <w:bookmarkEnd w:id="798"/>
      <w:bookmarkEnd w:id="799"/>
      <w:bookmarkEnd w:id="800"/>
      <w:bookmarkEnd w:id="801"/>
    </w:p>
    <w:p w14:paraId="144D84FD" w14:textId="77777777" w:rsidR="0081053C" w:rsidRDefault="0081053C" w:rsidP="0081053C">
      <w:r>
        <w:t>Sensitive receptors are entities (members of the public, environmental values, water resources, third party infrastructure etc.) that could potentially be exposed to adverse impacts resulting from a hazard. This Literature Review is solely focused on water resources (aquifers, rivers, springs, wetlands and lakes).</w:t>
      </w:r>
    </w:p>
    <w:p w14:paraId="7CF39CC6" w14:textId="563D17F6" w:rsidR="0081053C" w:rsidRDefault="0081053C" w:rsidP="00C150BC">
      <w:pPr>
        <w:pStyle w:val="Heading4"/>
      </w:pPr>
      <w:bookmarkStart w:id="802" w:name="_Toc420572659"/>
      <w:r>
        <w:t>Risk assessments to inform government policy</w:t>
      </w:r>
      <w:bookmarkEnd w:id="802"/>
    </w:p>
    <w:p w14:paraId="28D240FB" w14:textId="77777777" w:rsidR="0081053C" w:rsidRDefault="0081053C" w:rsidP="0081053C">
      <w:r w:rsidRPr="00350DED">
        <w:t xml:space="preserve">The </w:t>
      </w:r>
      <w:r>
        <w:t>Literature Review found no clear differences between the types of water resource assets included in a risk assessment used to inform policy decisions and a risk assessment used to assess and determine a licence/work plan application. Techniques to identify sensitive receptors are relevant to both types of assessment.</w:t>
      </w:r>
    </w:p>
    <w:p w14:paraId="2513AA23" w14:textId="34520F84" w:rsidR="0081053C" w:rsidRDefault="0081053C" w:rsidP="00C150BC">
      <w:pPr>
        <w:pStyle w:val="Heading4"/>
      </w:pPr>
      <w:bookmarkStart w:id="803" w:name="_Toc420572660"/>
      <w:r>
        <w:t>Risk assessment to inform project-scale developments</w:t>
      </w:r>
      <w:bookmarkEnd w:id="803"/>
    </w:p>
    <w:p w14:paraId="7E72C918" w14:textId="77777777" w:rsidR="0081053C" w:rsidRPr="003A575E" w:rsidRDefault="0081053C" w:rsidP="0081053C">
      <w:r>
        <w:t xml:space="preserve">The literature review found two ways by which water resources are commonly </w:t>
      </w:r>
      <w:r w:rsidRPr="003A575E">
        <w:t>identified: the sensitivity of the resource to potential impacts and the value of the water asset.</w:t>
      </w:r>
    </w:p>
    <w:p w14:paraId="14998965" w14:textId="399A637E" w:rsidR="0081053C" w:rsidRDefault="0081053C" w:rsidP="0081053C">
      <w:r>
        <w:t xml:space="preserve">Most jurisdictions approach classification of water assets by considering both sensitivity and value. For instance NSW’s Aquifer Interference Policy has numeric quality and quantity criteria which must be achieved to be a highly-productive resources. This binary categorisation is further disaggregated according to source characteristics (alluvial, fractured rock etc.) which provides a measure of sensitivity. Victoria’s State Environmental Protection Policy (SEPP) for both Groundwater and Surface Waters similarly establishes minimum water quality thresholds for different Beneficial Uses, thereby incorporating a measure of value </w:t>
      </w:r>
      <w:r w:rsidR="00D571D5">
        <w:br/>
      </w:r>
      <w:r>
        <w:t xml:space="preserve">and sensitivity. The New York Department of Environment SGEIS evidences that it considers aquifer vulnerability on a combination of value and sensitivity-based criteria, although less detail is provided around specific values. </w:t>
      </w:r>
    </w:p>
    <w:p w14:paraId="2726AC6C" w14:textId="77777777" w:rsidR="00C35056" w:rsidRDefault="00C35056">
      <w:pPr>
        <w:spacing w:after="200"/>
      </w:pPr>
      <w:r>
        <w:br w:type="page"/>
      </w:r>
    </w:p>
    <w:p w14:paraId="61389BEA" w14:textId="32EC1D24" w:rsidR="0081053C" w:rsidRDefault="0081053C" w:rsidP="0081053C">
      <w:r>
        <w:t xml:space="preserve">However, risk assessments for specific projects will usually go a step further and consider secondary impacts arising as a consequence of changes in quantity/quality of water (first-order impacts) e.g. to ecosystems, local communities and cultural values, existing or potential land uses and their economic implications including agriculture, tourism and recreation. The extent of investigation is likely to be at least partly determined by any relevant impact assessment pathway or applicable environmental regulations. </w:t>
      </w:r>
    </w:p>
    <w:p w14:paraId="53C25100" w14:textId="77777777" w:rsidR="0081053C" w:rsidRDefault="0081053C" w:rsidP="0081053C">
      <w:r>
        <w:t xml:space="preserve">At a policy and project level, identification of sensitive receptors in relation to potential risks associated with onshore gas developments should consider the physical characteristics that determine </w:t>
      </w:r>
      <w:r w:rsidRPr="00A9492A">
        <w:t>sensitivity and value of the resource</w:t>
      </w:r>
      <w:r>
        <w:t xml:space="preserve"> in terms of both the cultural and the ecological services they provide. </w:t>
      </w:r>
    </w:p>
    <w:p w14:paraId="60AA438A" w14:textId="77777777" w:rsidR="0081053C" w:rsidRDefault="0081053C" w:rsidP="0081053C">
      <w:r>
        <w:t>Queensland Department of Resources and Mines Healthy Headwaters study (2012) states that aquifers can be both receptors and pathways for potential impacts. The Guidelines for Groundwater Protection in Australia (1995) list potential attributes and techniques to underpin a classification of aquifer vulnerability as a receptor. Aquifer value is measured qualitatively based on its:</w:t>
      </w:r>
    </w:p>
    <w:p w14:paraId="7EEDFD77" w14:textId="77777777" w:rsidR="0081053C" w:rsidRPr="00C4021F" w:rsidRDefault="0081053C" w:rsidP="00C150BC">
      <w:pPr>
        <w:pStyle w:val="bulletlist0"/>
      </w:pPr>
      <w:r>
        <w:t>•</w:t>
      </w:r>
      <w:r>
        <w:tab/>
        <w:t>d</w:t>
      </w:r>
      <w:r w:rsidRPr="00C4021F">
        <w:t>esignated beneficial use</w:t>
      </w:r>
    </w:p>
    <w:p w14:paraId="0B21B37F" w14:textId="77777777" w:rsidR="0081053C" w:rsidRPr="000D5567" w:rsidRDefault="0081053C" w:rsidP="00C150BC">
      <w:pPr>
        <w:pStyle w:val="bulletlist0"/>
      </w:pPr>
      <w:r>
        <w:t>•</w:t>
      </w:r>
      <w:r>
        <w:tab/>
        <w:t>w</w:t>
      </w:r>
      <w:r w:rsidRPr="00C4021F">
        <w:t>ater quality</w:t>
      </w:r>
      <w:r w:rsidRPr="000D5567">
        <w:t xml:space="preserve"> (usually in terms of Total Dissolved Solids)</w:t>
      </w:r>
    </w:p>
    <w:p w14:paraId="26EFCCF4" w14:textId="77777777" w:rsidR="0081053C" w:rsidRPr="00C4021F" w:rsidRDefault="0081053C" w:rsidP="00C150BC">
      <w:pPr>
        <w:pStyle w:val="bulletlist0"/>
      </w:pPr>
      <w:r>
        <w:t>•</w:t>
      </w:r>
      <w:r>
        <w:tab/>
        <w:t>s</w:t>
      </w:r>
      <w:r w:rsidRPr="00C4021F">
        <w:t>ocial value</w:t>
      </w:r>
    </w:p>
    <w:p w14:paraId="589680DC" w14:textId="77777777" w:rsidR="0081053C" w:rsidRPr="00C4021F" w:rsidRDefault="0081053C" w:rsidP="00C150BC">
      <w:pPr>
        <w:pStyle w:val="bulletlist0"/>
      </w:pPr>
      <w:r>
        <w:t>•</w:t>
      </w:r>
      <w:r>
        <w:tab/>
        <w:t>e</w:t>
      </w:r>
      <w:r w:rsidRPr="00C4021F">
        <w:t>conomic value</w:t>
      </w:r>
    </w:p>
    <w:p w14:paraId="20DA580F" w14:textId="77777777" w:rsidR="0081053C" w:rsidRPr="00C4021F" w:rsidRDefault="0081053C" w:rsidP="00C150BC">
      <w:pPr>
        <w:pStyle w:val="bulletlist0"/>
      </w:pPr>
      <w:r>
        <w:t>•</w:t>
      </w:r>
      <w:r>
        <w:tab/>
        <w:t>e</w:t>
      </w:r>
      <w:r w:rsidRPr="00C4021F">
        <w:t>cosystem values</w:t>
      </w:r>
    </w:p>
    <w:p w14:paraId="7370ECA5" w14:textId="77777777" w:rsidR="0081053C" w:rsidRPr="000D5567" w:rsidRDefault="0081053C" w:rsidP="00C150BC">
      <w:pPr>
        <w:pStyle w:val="bulletlist0"/>
      </w:pPr>
      <w:r>
        <w:t>•</w:t>
      </w:r>
      <w:r>
        <w:tab/>
        <w:t>v</w:t>
      </w:r>
      <w:r w:rsidRPr="00C4021F">
        <w:t>ulnerability to contamination</w:t>
      </w:r>
    </w:p>
    <w:p w14:paraId="4E3374CB" w14:textId="77777777" w:rsidR="0081053C" w:rsidRPr="00C4021F" w:rsidRDefault="0081053C" w:rsidP="00C150BC">
      <w:pPr>
        <w:pStyle w:val="bulletlist0"/>
      </w:pPr>
      <w:r>
        <w:t>•</w:t>
      </w:r>
      <w:r>
        <w:tab/>
        <w:t>c</w:t>
      </w:r>
      <w:r w:rsidRPr="00C4021F">
        <w:t>urrent and planned land tenure and use</w:t>
      </w:r>
    </w:p>
    <w:p w14:paraId="27147D85" w14:textId="77777777" w:rsidR="0081053C" w:rsidRPr="00C4021F" w:rsidRDefault="0081053C" w:rsidP="00C150BC">
      <w:pPr>
        <w:pStyle w:val="bulletlist0"/>
      </w:pPr>
      <w:r>
        <w:t>•</w:t>
      </w:r>
      <w:r>
        <w:tab/>
        <w:t>a</w:t>
      </w:r>
      <w:r w:rsidRPr="00C4021F">
        <w:t>vailability of alternative sources</w:t>
      </w:r>
    </w:p>
    <w:p w14:paraId="58200EC3" w14:textId="77777777" w:rsidR="0081053C" w:rsidRPr="000D5567" w:rsidRDefault="0081053C" w:rsidP="00C150BC">
      <w:pPr>
        <w:pStyle w:val="bulletlist0"/>
      </w:pPr>
      <w:r>
        <w:t>•</w:t>
      </w:r>
      <w:r>
        <w:tab/>
        <w:t>c</w:t>
      </w:r>
      <w:r w:rsidRPr="00C4021F">
        <w:t>urrent extent of contamination</w:t>
      </w:r>
      <w:r w:rsidRPr="000D5567">
        <w:t xml:space="preserve"> </w:t>
      </w:r>
    </w:p>
    <w:p w14:paraId="60E33890" w14:textId="77777777" w:rsidR="0081053C" w:rsidRPr="000D5567" w:rsidRDefault="0081053C" w:rsidP="00C150BC">
      <w:pPr>
        <w:pStyle w:val="bulletlist0"/>
      </w:pPr>
      <w:r>
        <w:t>•</w:t>
      </w:r>
      <w:r>
        <w:tab/>
        <w:t>p</w:t>
      </w:r>
      <w:r w:rsidRPr="00C4021F">
        <w:t>otential for successful clean-up</w:t>
      </w:r>
    </w:p>
    <w:p w14:paraId="07FDD178" w14:textId="77777777" w:rsidR="0081053C" w:rsidRPr="000D5567" w:rsidRDefault="0081053C" w:rsidP="00C150BC">
      <w:pPr>
        <w:pStyle w:val="bulletlist0"/>
      </w:pPr>
      <w:r>
        <w:t>•</w:t>
      </w:r>
      <w:r>
        <w:tab/>
        <w:t>h</w:t>
      </w:r>
      <w:r w:rsidRPr="00C4021F">
        <w:t>ydraulic relationship</w:t>
      </w:r>
      <w:r w:rsidRPr="000D5567">
        <w:t xml:space="preserve"> with other resources (surface and groundwater).</w:t>
      </w:r>
    </w:p>
    <w:p w14:paraId="2F59A450" w14:textId="77777777" w:rsidR="0081053C" w:rsidRDefault="0081053C" w:rsidP="0081053C">
      <w:r>
        <w:t>NYSDEC consider the inherent susceptibility of the aquifers on the basis of:</w:t>
      </w:r>
    </w:p>
    <w:p w14:paraId="1D0161FD" w14:textId="77777777" w:rsidR="0081053C" w:rsidRDefault="0081053C" w:rsidP="00C150BC">
      <w:pPr>
        <w:pStyle w:val="bulletlist0"/>
      </w:pPr>
      <w:r>
        <w:t>•</w:t>
      </w:r>
      <w:r>
        <w:tab/>
        <w:t>groundwater productivity</w:t>
      </w:r>
    </w:p>
    <w:p w14:paraId="5918E0FA" w14:textId="77777777" w:rsidR="0081053C" w:rsidRDefault="0081053C" w:rsidP="00C150BC">
      <w:pPr>
        <w:pStyle w:val="bulletlist0"/>
      </w:pPr>
      <w:r>
        <w:t>•</w:t>
      </w:r>
      <w:r>
        <w:tab/>
        <w:t>aquifer vulnerability</w:t>
      </w:r>
    </w:p>
    <w:p w14:paraId="2A7BCE42" w14:textId="77777777" w:rsidR="0081053C" w:rsidRDefault="0081053C" w:rsidP="00C150BC">
      <w:pPr>
        <w:pStyle w:val="bulletlist0"/>
      </w:pPr>
      <w:r>
        <w:t>•</w:t>
      </w:r>
      <w:r>
        <w:tab/>
        <w:t>natural</w:t>
      </w:r>
      <w:r w:rsidRPr="00A9268A">
        <w:t xml:space="preserve"> water quality</w:t>
      </w:r>
    </w:p>
    <w:p w14:paraId="6AA481FB" w14:textId="77777777" w:rsidR="0081053C" w:rsidRDefault="0081053C" w:rsidP="00C150BC">
      <w:pPr>
        <w:pStyle w:val="bulletlist0"/>
      </w:pPr>
      <w:r>
        <w:t>•</w:t>
      </w:r>
      <w:r>
        <w:tab/>
        <w:t>whether the aquifer is confined or unconfined</w:t>
      </w:r>
    </w:p>
    <w:p w14:paraId="441B6961" w14:textId="77777777" w:rsidR="0081053C" w:rsidRDefault="0081053C" w:rsidP="00C150BC">
      <w:pPr>
        <w:pStyle w:val="bulletlist0"/>
      </w:pPr>
      <w:r>
        <w:t>•</w:t>
      </w:r>
      <w:r>
        <w:tab/>
        <w:t xml:space="preserve">whether the aquifer is contained in bedrock or unconsolidated material. </w:t>
      </w:r>
    </w:p>
    <w:p w14:paraId="6AA676FE" w14:textId="77777777" w:rsidR="0081053C" w:rsidRDefault="0081053C" w:rsidP="0081053C">
      <w:r>
        <w:t>This draws on pre-existing NYSDEC (1990) criteria that distinguished ‘principal aquifers’ from primary water supply aquifers’ based on aquifer area, thickness of saturated deposits and maximum obtainable well yields (actual or estimated)</w:t>
      </w:r>
      <w:r>
        <w:rPr>
          <w:rStyle w:val="FootnoteReference"/>
          <w:rFonts w:eastAsiaTheme="majorEastAsia"/>
        </w:rPr>
        <w:footnoteReference w:id="3"/>
      </w:r>
      <w:r>
        <w:t xml:space="preserve">. </w:t>
      </w:r>
    </w:p>
    <w:p w14:paraId="0F2FD66D" w14:textId="4A511FCC" w:rsidR="0081053C" w:rsidRPr="00ED3E36" w:rsidRDefault="0081053C" w:rsidP="0081053C">
      <w:r>
        <w:t xml:space="preserve">The </w:t>
      </w:r>
      <w:r w:rsidRPr="003A575E">
        <w:t xml:space="preserve">New South Wales Aquifer Interference Policy (2012) appears to place greater emphasis on value to distinguish between “highly productive” and “less productive” groundwater resources. This is on the basis of specific water quality and quantity standards </w:t>
      </w:r>
      <w:r>
        <w:t>—</w:t>
      </w:r>
      <w:r w:rsidRPr="003A575E">
        <w:t xml:space="preserve"> highly productive resources have less than 1500 mg/L </w:t>
      </w:r>
      <w:r>
        <w:t>t</w:t>
      </w:r>
      <w:r w:rsidRPr="003A575E">
        <w:t xml:space="preserve">otal </w:t>
      </w:r>
      <w:r>
        <w:t>d</w:t>
      </w:r>
      <w:r w:rsidRPr="003A575E">
        <w:t xml:space="preserve">issolved </w:t>
      </w:r>
      <w:r>
        <w:t>s</w:t>
      </w:r>
      <w:r w:rsidRPr="003A575E">
        <w:t>olids (TDS) content and yield water at a rate in excess of 5 L/s</w:t>
      </w:r>
      <w:r>
        <w:t xml:space="preserve">. </w:t>
      </w:r>
      <w:r w:rsidRPr="003A575E">
        <w:t>Wa</w:t>
      </w:r>
      <w:r>
        <w:t>ter quality, pressure and water</w:t>
      </w:r>
      <w:r w:rsidRPr="003A575E">
        <w:t>table criteria for highly productive groundwater resources are then tailored to different aquifer types (e.g. alluvial, porous, and fractured).</w:t>
      </w:r>
    </w:p>
    <w:p w14:paraId="3941D982" w14:textId="4C281E08" w:rsidR="0081053C" w:rsidRPr="003A575E" w:rsidRDefault="0081053C" w:rsidP="0081053C">
      <w:r w:rsidRPr="003A575E">
        <w:t xml:space="preserve">Guidance issued by NSW Office of Water (2014) for prospective mining and petroleum extraction activities, may also be relevant to identifying receptors to groundwater impacts from onshore natural gas developments. They outline that </w:t>
      </w:r>
      <w:r>
        <w:t>‘</w:t>
      </w:r>
      <w:r w:rsidRPr="003A575E">
        <w:t>proponents must identify sensitive receptors, which can include groundwater users, groundwater dependent ecosystems (GDEs), culturally significant sites (CSS), connected groundwater and surface water sources</w:t>
      </w:r>
      <w:r>
        <w:t>’</w:t>
      </w:r>
      <w:r w:rsidRPr="003A575E">
        <w:t>. These can be defined as the ecological, economic or cultural characteristics of the bioregion</w:t>
      </w:r>
      <w:r>
        <w:t xml:space="preserve">. </w:t>
      </w:r>
      <w:r w:rsidRPr="003A575E">
        <w:t>They can be assigned a defined value, and used (either directly or indirectly) to assess impact on water quantity or quality</w:t>
      </w:r>
      <w:r>
        <w:t xml:space="preserve">. </w:t>
      </w:r>
    </w:p>
    <w:p w14:paraId="2E4215C3" w14:textId="77777777" w:rsidR="0081053C" w:rsidRPr="003A575E" w:rsidRDefault="0081053C" w:rsidP="0081053C">
      <w:r w:rsidRPr="003A575E">
        <w:t xml:space="preserve">The Bureau of Meteorology’s Atlas of Groundwater Dependent Ecosystems identifies potential subsurface and surface expression of groundwater, and can help inform identification of sensitive receptors. The available information can be used as a starting point to study cause and affect pathways. </w:t>
      </w:r>
    </w:p>
    <w:p w14:paraId="3849A2E5" w14:textId="77777777" w:rsidR="0081053C" w:rsidRPr="003A575E" w:rsidRDefault="0081053C" w:rsidP="0081053C">
      <w:r w:rsidRPr="003A575E">
        <w:t>The New South Wales Office of Water (2012a) also classifies groundwater dependent ecosystems according to whether they are considered:</w:t>
      </w:r>
    </w:p>
    <w:p w14:paraId="7BFB08D9" w14:textId="77777777" w:rsidR="0081053C" w:rsidRPr="003A575E" w:rsidRDefault="0081053C" w:rsidP="00C150BC">
      <w:pPr>
        <w:pStyle w:val="bulletlist0"/>
      </w:pPr>
      <w:r>
        <w:t>•</w:t>
      </w:r>
      <w:r>
        <w:tab/>
      </w:r>
      <w:r w:rsidRPr="003A575E">
        <w:t>sub-surface dependent (karst and caves, subsurface phreatic aquifer ecosystems, baseflow streams) or</w:t>
      </w:r>
    </w:p>
    <w:p w14:paraId="688F6EFB" w14:textId="77777777" w:rsidR="0081053C" w:rsidRDefault="0081053C" w:rsidP="00C150BC">
      <w:pPr>
        <w:pStyle w:val="bulletlist0"/>
      </w:pPr>
      <w:r>
        <w:t>•</w:t>
      </w:r>
      <w:r>
        <w:tab/>
      </w:r>
      <w:r w:rsidRPr="003A575E">
        <w:t>surface-dependent (groundwater dependent wetlands; baseflow streams; estuarine and near shore marine ecosystems and phreatophytes or groundwater</w:t>
      </w:r>
      <w:r>
        <w:t xml:space="preserve"> dependent terrestrial ecosystems). </w:t>
      </w:r>
    </w:p>
    <w:p w14:paraId="61A180A7" w14:textId="77777777" w:rsidR="0081053C" w:rsidRDefault="0081053C" w:rsidP="0081053C">
      <w:r>
        <w:t>The NSW Office of Water collaborated with the</w:t>
      </w:r>
      <w:r w:rsidRPr="006E7766">
        <w:t xml:space="preserve"> NSW D</w:t>
      </w:r>
      <w:r>
        <w:t>ivision of Resources and Energy to develop the NSW Gas Plan. The Gas Plan was released in November 2014 and is</w:t>
      </w:r>
      <w:r w:rsidRPr="006E7766">
        <w:t xml:space="preserve"> framework to identify</w:t>
      </w:r>
      <w:r>
        <w:t>,</w:t>
      </w:r>
      <w:r w:rsidRPr="006E7766">
        <w:t xml:space="preserve"> study and protect groundwater in NSW</w:t>
      </w:r>
      <w:r>
        <w:t xml:space="preserve">, which will initially focus </w:t>
      </w:r>
      <w:r w:rsidRPr="006E7766">
        <w:t xml:space="preserve">on basins that </w:t>
      </w:r>
      <w:r>
        <w:t xml:space="preserve">present the greatest </w:t>
      </w:r>
      <w:r w:rsidRPr="006E7766">
        <w:t xml:space="preserve">potential for development to </w:t>
      </w:r>
      <w:r>
        <w:t xml:space="preserve">large-scale coal mining and onshore </w:t>
      </w:r>
      <w:r w:rsidRPr="006E7766">
        <w:t>gas industry</w:t>
      </w:r>
      <w:r>
        <w:t xml:space="preserve"> (NSW Government, 2014). </w:t>
      </w:r>
    </w:p>
    <w:p w14:paraId="0BD16EF9" w14:textId="77777777" w:rsidR="0081053C" w:rsidRDefault="0081053C" w:rsidP="0081053C">
      <w:r>
        <w:t xml:space="preserve">Spatial and temporal </w:t>
      </w:r>
      <w:r w:rsidRPr="0091049A">
        <w:t xml:space="preserve">information </w:t>
      </w:r>
      <w:r>
        <w:t xml:space="preserve">is </w:t>
      </w:r>
      <w:r w:rsidRPr="0091049A">
        <w:t xml:space="preserve">required about a receptor to determine potential impacts from </w:t>
      </w:r>
      <w:r>
        <w:t xml:space="preserve">natural onshore </w:t>
      </w:r>
      <w:r w:rsidRPr="0091049A">
        <w:t xml:space="preserve">gas </w:t>
      </w:r>
      <w:r>
        <w:t>developments</w:t>
      </w:r>
      <w:r w:rsidRPr="0091049A">
        <w:t xml:space="preserve"> (DOE, 2013).</w:t>
      </w:r>
      <w:r>
        <w:t xml:space="preserve"> Santos commissioned several studies in the Surat and Bowen basins in Queensland illustrating how impacts can vary both spatially and temporally (Golder Associates, 2009; Arrow Energy, 2012). Their findings predicted impacts on groundwater drawdown could extend for decades, even hundreds of years after operations cease. Arrow Energy (2012) considers the magnitude of potential impacts in terms of severity, duration and geographical extent, highlighting that impacts vary on the basis of distance from zone of depressurisation and the individual groundwater system. </w:t>
      </w:r>
    </w:p>
    <w:p w14:paraId="7C9AF3EF" w14:textId="77777777" w:rsidR="0081053C" w:rsidRDefault="0081053C" w:rsidP="0081053C">
      <w:r>
        <w:t>In assessing groundwater dependent ecosystems, the Queensland Department of Resources and Mines Healthy Headwaters study (2012) determined flow-path lengths was a key factor in explaining why recharge springs have greater resilience to potential coal seam gas water extraction impacts than discharge springs.</w:t>
      </w:r>
    </w:p>
    <w:p w14:paraId="5F8D21D7" w14:textId="77777777" w:rsidR="0081053C" w:rsidRDefault="0081053C" w:rsidP="0081053C">
      <w:r>
        <w:t>The IRGC (2013)</w:t>
      </w:r>
      <w:r>
        <w:rPr>
          <w:rStyle w:val="FootnoteReference"/>
          <w:rFonts w:eastAsiaTheme="majorEastAsia"/>
        </w:rPr>
        <w:footnoteReference w:id="4"/>
      </w:r>
      <w:r>
        <w:t xml:space="preserve"> advises that baseline assessments or preliminary studies are required to identify receptors, and determine what an acceptable level of impact is. It considers that preliminary studies should focus on:</w:t>
      </w:r>
    </w:p>
    <w:p w14:paraId="4458256C" w14:textId="77777777" w:rsidR="0081053C" w:rsidRPr="00C4021F" w:rsidRDefault="0081053C" w:rsidP="00C150BC">
      <w:pPr>
        <w:pStyle w:val="bulletlist0"/>
      </w:pPr>
      <w:r>
        <w:t>•</w:t>
      </w:r>
      <w:r>
        <w:tab/>
        <w:t>g</w:t>
      </w:r>
      <w:r w:rsidRPr="00C4021F">
        <w:t>roundwater quality and quantity</w:t>
      </w:r>
    </w:p>
    <w:p w14:paraId="04A084CB" w14:textId="77777777" w:rsidR="0081053C" w:rsidRPr="00C4021F" w:rsidRDefault="0081053C" w:rsidP="00C150BC">
      <w:pPr>
        <w:pStyle w:val="bulletlist0"/>
      </w:pPr>
      <w:r>
        <w:t>•</w:t>
      </w:r>
      <w:r>
        <w:tab/>
        <w:t>e</w:t>
      </w:r>
      <w:r w:rsidRPr="00C4021F">
        <w:t>xisting pollution levels and sources</w:t>
      </w:r>
    </w:p>
    <w:p w14:paraId="1D130A15" w14:textId="77777777" w:rsidR="0081053C" w:rsidRPr="00C91760" w:rsidRDefault="0081053C" w:rsidP="00C150BC">
      <w:pPr>
        <w:pStyle w:val="bulletlist0"/>
      </w:pPr>
      <w:r>
        <w:t>•</w:t>
      </w:r>
      <w:r>
        <w:tab/>
        <w:t>f</w:t>
      </w:r>
      <w:r w:rsidRPr="00C4021F">
        <w:t>low and contaminant transport and biogeochemical interactions</w:t>
      </w:r>
      <w:r w:rsidRPr="00C91760">
        <w:t xml:space="preserve">. </w:t>
      </w:r>
    </w:p>
    <w:p w14:paraId="7E769327" w14:textId="77777777" w:rsidR="0081053C" w:rsidRDefault="0081053C" w:rsidP="0081053C">
      <w:r>
        <w:t xml:space="preserve">Combined these will determine the vulnerability of groundwater to contamination from onshore gas development activities. </w:t>
      </w:r>
    </w:p>
    <w:p w14:paraId="25F842F8" w14:textId="5340BD92" w:rsidR="0081053C" w:rsidRPr="00115BF8" w:rsidRDefault="0081053C" w:rsidP="0081053C">
      <w:r>
        <w:t xml:space="preserve">The US state of Connecticut has a four-tier groundwater classification system. The system uses water usage arrangements rather than discharge criteria </w:t>
      </w:r>
      <w:r w:rsidRPr="004529BF">
        <w:t>to determine the value and sensitivity of an aquifer resource</w:t>
      </w:r>
      <w:r>
        <w:t xml:space="preserve">. The system details the designated usage, </w:t>
      </w:r>
      <w:r w:rsidRPr="00115BF8">
        <w:t>relevant discharges that may be permitted and water quality criteria that must be achieved. These are set out in</w:t>
      </w:r>
      <w:r>
        <w:t xml:space="preserve"> Table AE3.</w:t>
      </w:r>
    </w:p>
    <w:p w14:paraId="5D433583" w14:textId="77777777" w:rsidR="00C35056" w:rsidRDefault="00C35056">
      <w:pPr>
        <w:spacing w:after="200"/>
        <w:rPr>
          <w:rFonts w:cs="Arial"/>
          <w:b/>
          <w:bCs/>
          <w:sz w:val="26"/>
          <w:szCs w:val="26"/>
        </w:rPr>
      </w:pPr>
      <w:bookmarkStart w:id="804" w:name="_Toc420500926"/>
      <w:bookmarkStart w:id="805" w:name="_Toc420511181"/>
      <w:bookmarkStart w:id="806" w:name="_Toc420572502"/>
      <w:bookmarkStart w:id="807" w:name="_Toc420572661"/>
      <w:bookmarkStart w:id="808" w:name="_Toc420573091"/>
      <w:bookmarkStart w:id="809" w:name="_Toc296599081"/>
      <w:bookmarkStart w:id="810" w:name="_Toc296767302"/>
      <w:bookmarkStart w:id="811" w:name="_Toc296770443"/>
      <w:r>
        <w:br w:type="page"/>
      </w:r>
    </w:p>
    <w:p w14:paraId="351503A7" w14:textId="11B16382" w:rsidR="00E57CC4" w:rsidRPr="00115BF8" w:rsidRDefault="00E57CC4" w:rsidP="00C150BC">
      <w:pPr>
        <w:pStyle w:val="Head3app"/>
      </w:pPr>
      <w:bookmarkStart w:id="812" w:name="_Toc423018267"/>
      <w:r>
        <w:t>A2.4</w:t>
      </w:r>
      <w:r>
        <w:tab/>
      </w:r>
      <w:r w:rsidRPr="00115BF8">
        <w:t>Pathways</w:t>
      </w:r>
      <w:bookmarkEnd w:id="804"/>
      <w:bookmarkEnd w:id="805"/>
      <w:bookmarkEnd w:id="806"/>
      <w:bookmarkEnd w:id="807"/>
      <w:bookmarkEnd w:id="808"/>
      <w:bookmarkEnd w:id="809"/>
      <w:bookmarkEnd w:id="810"/>
      <w:bookmarkEnd w:id="811"/>
      <w:bookmarkEnd w:id="812"/>
    </w:p>
    <w:p w14:paraId="0239FB68" w14:textId="77777777" w:rsidR="00E57CC4" w:rsidRDefault="00E57CC4" w:rsidP="00E57CC4">
      <w:r>
        <w:t xml:space="preserve">A risk assessment should identify causal pathways through </w:t>
      </w:r>
      <w:r w:rsidRPr="009E744A">
        <w:t>which a harmful event could lead to an adverse outcome (impact) for a receptor</w:t>
      </w:r>
      <w:r>
        <w:t>.</w:t>
      </w:r>
      <w:r w:rsidRPr="009E744A">
        <w:t xml:space="preserve"> </w:t>
      </w:r>
    </w:p>
    <w:p w14:paraId="056E812D" w14:textId="77777777" w:rsidR="00E57CC4" w:rsidRDefault="00E57CC4" w:rsidP="00E57CC4">
      <w:r>
        <w:t>The IESC (2013) bioregional assessment methodology highlights the role of pathways in linking cause and effect, by distinguishing between activities that give rise to direct effects as opposed to indirect and cumulative impacts.</w:t>
      </w:r>
    </w:p>
    <w:p w14:paraId="7B5E5E42" w14:textId="7FB925C2" w:rsidR="00E57CC4" w:rsidRDefault="00E57CC4" w:rsidP="00C150BC">
      <w:pPr>
        <w:pStyle w:val="Heading4"/>
      </w:pPr>
      <w:bookmarkStart w:id="813" w:name="_Toc420572662"/>
      <w:r>
        <w:t>Risk assessment to inform government policy</w:t>
      </w:r>
      <w:bookmarkEnd w:id="813"/>
    </w:p>
    <w:p w14:paraId="6E5302AD" w14:textId="77777777" w:rsidR="00E57CC4" w:rsidRDefault="00E57CC4" w:rsidP="00E57CC4">
      <w:r>
        <w:t xml:space="preserve">No significant differences were identified between types of data required for pathway characterisation at a project and policy level. Data requirements for informing identification of pathways for policy and project risk assessments may be partially met by the Bioregional Assessments which are currently underway in Queensland, </w:t>
      </w:r>
      <w:r w:rsidRPr="008A1BFB">
        <w:t>N</w:t>
      </w:r>
      <w:r>
        <w:t xml:space="preserve">ew South Wales and Victoria. </w:t>
      </w:r>
    </w:p>
    <w:p w14:paraId="019A8962" w14:textId="77777777" w:rsidR="00E57CC4" w:rsidRDefault="00E57CC4" w:rsidP="00E57CC4">
      <w:r w:rsidRPr="004529BF">
        <w:t xml:space="preserve">Internationally, </w:t>
      </w:r>
      <w:r w:rsidRPr="00E15DFB">
        <w:t xml:space="preserve">the province of Alberta (Canada) </w:t>
      </w:r>
      <w:r w:rsidRPr="00F52AFE">
        <w:t xml:space="preserve">targets </w:t>
      </w:r>
      <w:r w:rsidRPr="000E5F21">
        <w:t xml:space="preserve">its </w:t>
      </w:r>
      <w:r w:rsidRPr="007A26B7">
        <w:t>regulatory framework to assess the specific risks of a proposed development</w:t>
      </w:r>
      <w:r>
        <w:t xml:space="preserve">. </w:t>
      </w:r>
      <w:r w:rsidRPr="007A26B7">
        <w:t>The Energy Resources Conservation Board conducts an initial strategic risk assessment of a proposed development on the basis of the known or estimated oil or gas accumulation and geographic, geologic and temporal properties that exist at the development site (e.g. source rock, migration pathways, timing, trapping mechanism and hydrocarbon type). The strategic risk assessment is used to profile the proposed development as being potentially low, medium or high risk and therefore what assessment</w:t>
      </w:r>
      <w:r>
        <w:t xml:space="preserve"> standard should be met by the p</w:t>
      </w:r>
      <w:r w:rsidRPr="007A26B7">
        <w:t>roponent in preparing their licence application (ERCB, n</w:t>
      </w:r>
      <w:r w:rsidRPr="00006C46">
        <w:t>d).</w:t>
      </w:r>
    </w:p>
    <w:p w14:paraId="209522AF" w14:textId="77777777" w:rsidR="00E57CC4" w:rsidRDefault="00E57CC4" w:rsidP="00E57CC4">
      <w:r>
        <w:t>In Germany, on the basis of modelling of fluid flow dynamics and pathways in key basins, Ewen et al (2012) recommend that a statutory land-use framework be established, informing areas where fracking will and will not be permitted. A panel of experts used a strategic environmental risk assessment to recommend the following areas where fracking or deep-injection disposal would not be permitted. For example:</w:t>
      </w:r>
    </w:p>
    <w:p w14:paraId="14606241" w14:textId="77777777" w:rsidR="00E57CC4" w:rsidRDefault="00E57CC4" w:rsidP="00C150BC">
      <w:pPr>
        <w:pStyle w:val="bulletlist0"/>
      </w:pPr>
      <w:r>
        <w:t>•</w:t>
      </w:r>
      <w:r>
        <w:tab/>
        <w:t>Zone I and II drinking water protection areas</w:t>
      </w:r>
    </w:p>
    <w:p w14:paraId="50A60BF3" w14:textId="77777777" w:rsidR="00E57CC4" w:rsidRDefault="00E57CC4" w:rsidP="00C150BC">
      <w:pPr>
        <w:pStyle w:val="bulletlist0"/>
      </w:pPr>
      <w:r>
        <w:t>•</w:t>
      </w:r>
      <w:r>
        <w:tab/>
        <w:t>thermal spring conservation areas</w:t>
      </w:r>
    </w:p>
    <w:p w14:paraId="0D25518B" w14:textId="77777777" w:rsidR="00E57CC4" w:rsidRDefault="00E57CC4" w:rsidP="00C150BC">
      <w:pPr>
        <w:pStyle w:val="bulletlist0"/>
      </w:pPr>
      <w:r>
        <w:t>•</w:t>
      </w:r>
      <w:r>
        <w:tab/>
        <w:t xml:space="preserve">areas exhibiting pressurised artesian/confined deep groundwater as well as continuous transparent pathways (marked by </w:t>
      </w:r>
      <w:r w:rsidRPr="00EA4DE4">
        <w:t>porous faults</w:t>
      </w:r>
      <w:r>
        <w:t xml:space="preserve"> or having a history of disturbance) </w:t>
      </w:r>
    </w:p>
    <w:p w14:paraId="6BB5FEA3" w14:textId="77777777" w:rsidR="00E57CC4" w:rsidRDefault="00E57CC4" w:rsidP="00C150BC">
      <w:pPr>
        <w:pStyle w:val="bulletlist0"/>
      </w:pPr>
      <w:r>
        <w:t>•</w:t>
      </w:r>
      <w:r>
        <w:tab/>
        <w:t>areas characterised by critical underground tectonic stress/upheavals.</w:t>
      </w:r>
    </w:p>
    <w:p w14:paraId="3FF69572" w14:textId="77777777" w:rsidR="00E57CC4" w:rsidRDefault="00E57CC4" w:rsidP="00E57CC4">
      <w:r>
        <w:t xml:space="preserve">The methodology used to undertake the strategic environmental risk assessment has not been made publicly available. </w:t>
      </w:r>
    </w:p>
    <w:p w14:paraId="71D01558" w14:textId="77777777" w:rsidR="00E57CC4" w:rsidRDefault="00E57CC4" w:rsidP="00E57CC4">
      <w:r>
        <w:t xml:space="preserve">The </w:t>
      </w:r>
      <w:r w:rsidRPr="00A11BA1">
        <w:t xml:space="preserve">New York State Department of Environmental Conservation </w:t>
      </w:r>
      <w:r>
        <w:t>(NYSDEC, 2011)</w:t>
      </w:r>
      <w:r>
        <w:rPr>
          <w:rStyle w:val="FootnoteReference"/>
          <w:rFonts w:eastAsiaTheme="majorEastAsia"/>
        </w:rPr>
        <w:footnoteReference w:id="5"/>
      </w:r>
      <w:r>
        <w:t xml:space="preserve"> use the source-pathway-receptor model in their assessment of potential impacts to drinking water from higher risk/high-volume hydraulic fracturing in the large and sensitive Marcellus Shale. The NYSDEC Draft </w:t>
      </w:r>
      <w:r w:rsidRPr="0092137A">
        <w:t xml:space="preserve">Supplemental Generic Environmental Impact Statement </w:t>
      </w:r>
      <w:r>
        <w:t xml:space="preserve">or SGEIS  (2009) reports that hydraulic fracturing </w:t>
      </w:r>
      <w:r w:rsidRPr="00655962">
        <w:t>does not pres</w:t>
      </w:r>
      <w:r>
        <w:t xml:space="preserve">ent a ‘reasonably foreseeable’  risk of significant adverse impacts to potential freshwater aquifers from migration of fracturing fluids out of the target fracture formation, where the following conditions exist: </w:t>
      </w:r>
    </w:p>
    <w:p w14:paraId="56CFD67D" w14:textId="77777777" w:rsidR="00E57CC4" w:rsidRPr="00760FBC" w:rsidRDefault="00E57CC4" w:rsidP="00C150BC">
      <w:pPr>
        <w:pStyle w:val="bulletlist0"/>
      </w:pPr>
      <w:r>
        <w:t>•</w:t>
      </w:r>
      <w:r>
        <w:tab/>
        <w:t>m</w:t>
      </w:r>
      <w:r w:rsidRPr="00760FBC">
        <w:t xml:space="preserve">aximum depth to the bottom of a </w:t>
      </w:r>
      <w:r>
        <w:t>potential aquifer ≤ 305 m</w:t>
      </w:r>
    </w:p>
    <w:p w14:paraId="7E646D9F" w14:textId="77777777" w:rsidR="00E57CC4" w:rsidRPr="00760FBC" w:rsidRDefault="00E57CC4" w:rsidP="00C150BC">
      <w:pPr>
        <w:pStyle w:val="bulletlist0"/>
      </w:pPr>
      <w:r>
        <w:t>•</w:t>
      </w:r>
      <w:r>
        <w:tab/>
        <w:t>m</w:t>
      </w:r>
      <w:r w:rsidRPr="00760FBC">
        <w:t>inimum depth of the tar</w:t>
      </w:r>
      <w:r>
        <w:t>get fracture zone ≥ 610 m</w:t>
      </w:r>
    </w:p>
    <w:p w14:paraId="6DCE6266" w14:textId="7CEA8A7E" w:rsidR="00E57CC4" w:rsidRPr="00760FBC" w:rsidRDefault="00E57CC4" w:rsidP="00C150BC">
      <w:pPr>
        <w:pStyle w:val="bulletlist0"/>
      </w:pPr>
      <w:r>
        <w:t>•</w:t>
      </w:r>
      <w:r>
        <w:tab/>
        <w:t>a</w:t>
      </w:r>
      <w:r w:rsidRPr="00760FBC">
        <w:t>verage hydraulic conductivity of intervening strata ≤ 1 x 10</w:t>
      </w:r>
      <w:r>
        <w:rPr>
          <w:vertAlign w:val="superscript"/>
        </w:rPr>
        <w:t>–</w:t>
      </w:r>
      <w:r w:rsidRPr="001A2CDA">
        <w:rPr>
          <w:vertAlign w:val="superscript"/>
        </w:rPr>
        <w:t>5</w:t>
      </w:r>
      <w:r>
        <w:t xml:space="preserve"> cm/sec</w:t>
      </w:r>
    </w:p>
    <w:p w14:paraId="21A1C3CA" w14:textId="77777777" w:rsidR="00E57CC4" w:rsidRDefault="00E57CC4" w:rsidP="00C150BC">
      <w:pPr>
        <w:pStyle w:val="bulletlist0"/>
      </w:pPr>
      <w:r>
        <w:t>•</w:t>
      </w:r>
      <w:r>
        <w:tab/>
        <w:t>a</w:t>
      </w:r>
      <w:r w:rsidRPr="00760FBC">
        <w:t>verage porosity of intervening strata ≥ 10%.</w:t>
      </w:r>
    </w:p>
    <w:p w14:paraId="55E0E30A" w14:textId="77777777" w:rsidR="00E57CC4" w:rsidRDefault="00E57CC4" w:rsidP="00E57CC4">
      <w:r>
        <w:t xml:space="preserve">The United States Environment Protection Authority identifies that man-made </w:t>
      </w:r>
      <w:r w:rsidRPr="00091CA6">
        <w:t>sub-surface disturbances (drinking water wells, exploratory wells, production wells, abandoned wells (plugged and unplugged), injection</w:t>
      </w:r>
      <w:r>
        <w:t xml:space="preserve"> wells, and underground mines) </w:t>
      </w:r>
      <w:r w:rsidRPr="00091CA6">
        <w:t xml:space="preserve">may </w:t>
      </w:r>
      <w:r>
        <w:t xml:space="preserve">also act </w:t>
      </w:r>
      <w:r w:rsidRPr="00091CA6">
        <w:t>as conduits for contaminants</w:t>
      </w:r>
      <w:r>
        <w:t xml:space="preserve">. For shale gas the </w:t>
      </w:r>
      <w:r w:rsidRPr="006271B5">
        <w:t>distance to drinking water reserves and the geochemical and transport processes occurring</w:t>
      </w:r>
      <w:r>
        <w:t xml:space="preserve"> in intermediary strata are key determinants of level of risk of fluid leak off to those assets.</w:t>
      </w:r>
    </w:p>
    <w:p w14:paraId="2F72DB7D" w14:textId="4CD0101D" w:rsidR="00E57CC4" w:rsidRDefault="00E57CC4" w:rsidP="00E57CC4">
      <w:r>
        <w:t xml:space="preserve">The Namoi Catchment study (Eco Logical Australia, 2012) considers that all types of resource extraction (coal seam gas, open cut and long-wall mining) are likely to have some level of impact on groundwater drawdown. The study established qualitative criteria for each asset such as depth to groundwater, connectivity, status, major recharge area, groundwater dependent ecosystem potential. The criteria were used to assign a score on a scale of 0–3. These were then combined and averaged to give final sensitivity values, from very high (&gt; 1.5), high, moderate, low and very low (&lt; 0.50). </w:t>
      </w:r>
    </w:p>
    <w:p w14:paraId="645B109E" w14:textId="77777777" w:rsidR="00E57CC4" w:rsidRDefault="00E57CC4" w:rsidP="00E57CC4">
      <w:r>
        <w:t>The study found sensitive areas tend to be characterised by shallow watertable, areas that were isolated from surface flow (thereby increasing the importance of groundwater) and groundwater recharge areas.</w:t>
      </w:r>
    </w:p>
    <w:p w14:paraId="14995ECF" w14:textId="77777777" w:rsidR="00E57CC4" w:rsidRDefault="00E57CC4" w:rsidP="00E57CC4">
      <w:r>
        <w:t>The Queensland Department of Environment &amp; Heritage Protection (nd) suggest the likelihood of impacts (i.e. pathways) arising on groundwater assets will be influenced by:</w:t>
      </w:r>
    </w:p>
    <w:p w14:paraId="5AD6E3C5" w14:textId="77777777" w:rsidR="00E57CC4" w:rsidRDefault="00E57CC4" w:rsidP="00C150BC">
      <w:pPr>
        <w:pStyle w:val="bulletlist0"/>
      </w:pPr>
      <w:r>
        <w:t>•</w:t>
      </w:r>
      <w:r>
        <w:tab/>
        <w:t>the level of development</w:t>
      </w:r>
    </w:p>
    <w:p w14:paraId="00ECDBBB" w14:textId="77777777" w:rsidR="00E57CC4" w:rsidRDefault="00E57CC4" w:rsidP="00C150BC">
      <w:pPr>
        <w:pStyle w:val="bulletlist0"/>
      </w:pPr>
      <w:r>
        <w:t>•</w:t>
      </w:r>
      <w:r>
        <w:tab/>
        <w:t>the drawdown in the source aquifer of individual springs</w:t>
      </w:r>
    </w:p>
    <w:p w14:paraId="19B63C46" w14:textId="77777777" w:rsidR="00E57CC4" w:rsidRDefault="00E57CC4" w:rsidP="00C150BC">
      <w:pPr>
        <w:pStyle w:val="bulletlist0"/>
      </w:pPr>
      <w:r>
        <w:t>•</w:t>
      </w:r>
      <w:r>
        <w:tab/>
        <w:t>the degree of aquifer connectivity</w:t>
      </w:r>
    </w:p>
    <w:p w14:paraId="7F330AC4" w14:textId="77777777" w:rsidR="00E57CC4" w:rsidRDefault="00E57CC4" w:rsidP="00C150BC">
      <w:pPr>
        <w:pStyle w:val="bulletlist0"/>
      </w:pPr>
      <w:r>
        <w:t>•</w:t>
      </w:r>
      <w:r>
        <w:tab/>
        <w:t>the potentiometric surface at individual springs.</w:t>
      </w:r>
    </w:p>
    <w:p w14:paraId="6430F587" w14:textId="77777777" w:rsidR="00E57CC4" w:rsidRDefault="00E57CC4" w:rsidP="00E57CC4">
      <w:r>
        <w:t xml:space="preserve">Queensland Department of Natural Resources and Mines (2013) state aquifers are pathways for impacts. The study in the Surat and Bowen Basins in Queensland examined how hydrogeological properties (e.g. storativity, and transmissivity) influences the aquifer’s intrinsic vulnerability. Worley Parsons (2013) identify that flow of water in a groundwater system (aquifers and aquitards) is determined by two processes: </w:t>
      </w:r>
      <w:r w:rsidRPr="006271B5">
        <w:t>hydraulic conductivity and hydraulic diffusivity. Hydraulic diffusivity determines</w:t>
      </w:r>
      <w:r>
        <w:t xml:space="preserve"> the rate the pressure effects travels through the overlying aquifers, and laterally along the aquifer/coal seam.</w:t>
      </w:r>
    </w:p>
    <w:p w14:paraId="45482910" w14:textId="77777777" w:rsidR="00E57CC4" w:rsidRPr="003A575E" w:rsidRDefault="00E57CC4" w:rsidP="00E57CC4">
      <w:r w:rsidRPr="003A575E">
        <w:t xml:space="preserve">Frogtech (2009) identify two groups of specific pathway assessment factors: </w:t>
      </w:r>
    </w:p>
    <w:p w14:paraId="7C5C2FAA" w14:textId="65070A9D" w:rsidR="00E57CC4" w:rsidRPr="003A575E" w:rsidRDefault="00E57CC4" w:rsidP="00C150BC">
      <w:pPr>
        <w:pStyle w:val="bulletlist0"/>
      </w:pPr>
      <w:r>
        <w:t>•</w:t>
      </w:r>
      <w:r>
        <w:tab/>
      </w:r>
      <w:r w:rsidRPr="003A575E">
        <w:t xml:space="preserve">Inter-aquifer connectivity </w:t>
      </w:r>
      <w:r>
        <w:t>—</w:t>
      </w:r>
      <w:r w:rsidRPr="003A575E">
        <w:t xml:space="preserve"> faults, fractures, and over- and under-lying gas shales (sources). Moran and Vink (2010) emphasise these must be accounted for in the models, or at least signalled as areas of concern.</w:t>
      </w:r>
    </w:p>
    <w:p w14:paraId="779D7953" w14:textId="77777777" w:rsidR="00E57CC4" w:rsidRDefault="00E57CC4" w:rsidP="00C150BC">
      <w:pPr>
        <w:pStyle w:val="bulletlist0"/>
      </w:pPr>
      <w:r>
        <w:t>•</w:t>
      </w:r>
      <w:r>
        <w:tab/>
      </w:r>
      <w:r w:rsidRPr="003A575E">
        <w:t>Risk assessments should consider</w:t>
      </w:r>
      <w:r>
        <w:t xml:space="preserve"> the h</w:t>
      </w:r>
      <w:r w:rsidRPr="00B56359">
        <w:t>ydrogeological conditions of permeability, porosity and groundwater quality and flow direction</w:t>
      </w:r>
      <w:r>
        <w:t xml:space="preserve">. DOE (2013) also identify that </w:t>
      </w:r>
      <w:r w:rsidRPr="00B56359">
        <w:t>aquifer pressure</w:t>
      </w:r>
      <w:r>
        <w:t xml:space="preserve"> and </w:t>
      </w:r>
      <w:r w:rsidRPr="00B56359">
        <w:t>pressure relationships between aquifers</w:t>
      </w:r>
      <w:r>
        <w:t>; watertable</w:t>
      </w:r>
      <w:r w:rsidRPr="00B56359">
        <w:t xml:space="preserve"> and potentiometric surface levels</w:t>
      </w:r>
      <w:r>
        <w:t xml:space="preserve">; </w:t>
      </w:r>
      <w:r w:rsidRPr="00B56359">
        <w:t>groundwater-surface interactions</w:t>
      </w:r>
      <w:r>
        <w:t xml:space="preserve"> may warrant consideration.</w:t>
      </w:r>
    </w:p>
    <w:p w14:paraId="6F446CFF" w14:textId="5CF7CA38" w:rsidR="00E57CC4" w:rsidRDefault="00E57CC4" w:rsidP="00C150BC">
      <w:pPr>
        <w:pStyle w:val="Heading4"/>
      </w:pPr>
      <w:bookmarkStart w:id="814" w:name="_Toc420572663"/>
      <w:r>
        <w:t>Risk assessment to inform project scale developments</w:t>
      </w:r>
      <w:bookmarkEnd w:id="814"/>
    </w:p>
    <w:p w14:paraId="2F16589E" w14:textId="77777777" w:rsidR="00E57CC4" w:rsidRPr="003A575E" w:rsidRDefault="00E57CC4" w:rsidP="00E57CC4">
      <w:r>
        <w:t xml:space="preserve">The Australian Office of Water (2014) outlines two types of monitoring to be undertaken by proponents in </w:t>
      </w:r>
      <w:r w:rsidRPr="003A575E">
        <w:t>relation to understanding potential pathways and water-related risks from other onshore extractive industries (petroleum and mining)</w:t>
      </w:r>
      <w:r>
        <w:t xml:space="preserve">. </w:t>
      </w:r>
      <w:r w:rsidRPr="003A575E">
        <w:t>They are:</w:t>
      </w:r>
    </w:p>
    <w:p w14:paraId="0752611F" w14:textId="77777777" w:rsidR="00E57CC4" w:rsidRPr="003A575E" w:rsidRDefault="00E57CC4" w:rsidP="00E57CC4">
      <w:r w:rsidRPr="003A575E">
        <w:t xml:space="preserve">Aquifer testing to understand hydraulic features and interaction with other aquifers and surface assets. This can minimise the need to ‘calibrate’ models and improves reliability of results and may include: pumping drawdown and recovery tests, slug tests, packer tests and laboratory core testing. Testing over longer periods through pump tests can help to elicit pathways to overlying surface water and alluvial systems, in parallel with a study of surface water chemistry. </w:t>
      </w:r>
    </w:p>
    <w:p w14:paraId="7E648CD1" w14:textId="77777777" w:rsidR="00E57CC4" w:rsidRPr="003A575E" w:rsidRDefault="00E57CC4" w:rsidP="00E57CC4">
      <w:r w:rsidRPr="003A575E">
        <w:t>Hydrogeochemical analysis (e.g. environmental isotopes) can be sampled to improve understanding of aquifer recharge and discharge processes, aquifer interconnectivity, groundwater-surface water interaction and groundwater dependent ecosystems, as well as specific consideration given to groundwater dependent ecosystem monitoring</w:t>
      </w:r>
    </w:p>
    <w:p w14:paraId="6F4AA485" w14:textId="77777777" w:rsidR="00D92300" w:rsidRDefault="00D92300">
      <w:pPr>
        <w:spacing w:after="200"/>
      </w:pPr>
      <w:r>
        <w:br w:type="page"/>
      </w:r>
    </w:p>
    <w:p w14:paraId="727B34B8" w14:textId="1FB14902" w:rsidR="00E57CC4" w:rsidRPr="003A575E" w:rsidRDefault="00E57CC4" w:rsidP="00E57CC4">
      <w:r w:rsidRPr="003A575E">
        <w:t>Proponents are directed to estimate the likely water take from an aquifer or connected water surface over the duration of the project. The following guidance is also taken from the Office of Water and provides an indication of what conceptual models should consider:</w:t>
      </w:r>
    </w:p>
    <w:p w14:paraId="7BA26E5A" w14:textId="2915BDC8" w:rsidR="00E57CC4" w:rsidRPr="00086B0D" w:rsidRDefault="00E57CC4" w:rsidP="00C150BC">
      <w:pPr>
        <w:pStyle w:val="bulletlist0"/>
      </w:pPr>
      <w:r>
        <w:t>•</w:t>
      </w:r>
      <w:r>
        <w:tab/>
      </w:r>
      <w:r w:rsidRPr="003A575E">
        <w:t>the location, timing, volume and method</w:t>
      </w:r>
      <w:r w:rsidRPr="00086B0D">
        <w:t xml:space="preserve"> of take and use of water (and the prospective future take and use of water) by the proponent and other users of water sharing the resource</w:t>
      </w:r>
    </w:p>
    <w:p w14:paraId="2170681C" w14:textId="421E69AA" w:rsidR="00E57CC4" w:rsidRPr="00086B0D" w:rsidRDefault="00E57CC4" w:rsidP="00C150BC">
      <w:pPr>
        <w:pStyle w:val="bulletlist0"/>
      </w:pPr>
      <w:r>
        <w:t>•</w:t>
      </w:r>
      <w:r>
        <w:tab/>
        <w:t>t</w:t>
      </w:r>
      <w:r w:rsidRPr="00086B0D">
        <w:t>he potential to base the conceptualisation on existing geological models presumably developed for the resource investigation phase</w:t>
      </w:r>
    </w:p>
    <w:p w14:paraId="7056C5EC" w14:textId="23C86797" w:rsidR="00E57CC4" w:rsidRPr="00086B0D" w:rsidRDefault="00E57CC4" w:rsidP="00C150BC">
      <w:pPr>
        <w:pStyle w:val="bulletlist0"/>
      </w:pPr>
      <w:r>
        <w:t>•</w:t>
      </w:r>
      <w:r>
        <w:tab/>
        <w:t>d</w:t>
      </w:r>
      <w:r w:rsidRPr="00086B0D">
        <w:t>etailed cross sections or three-dimensional block diagrams showing stratigraphy, major aquifers, aquitards, flow paths and groundwater levels</w:t>
      </w:r>
    </w:p>
    <w:p w14:paraId="4BF3E113" w14:textId="5A3AD49C" w:rsidR="00E57CC4" w:rsidRPr="00086B0D" w:rsidRDefault="00E57CC4" w:rsidP="00C150BC">
      <w:pPr>
        <w:pStyle w:val="bulletlist0"/>
      </w:pPr>
      <w:r>
        <w:t>•</w:t>
      </w:r>
      <w:r>
        <w:tab/>
        <w:t>g</w:t>
      </w:r>
      <w:r w:rsidRPr="00086B0D">
        <w:t>roundwater level contour maps</w:t>
      </w:r>
    </w:p>
    <w:p w14:paraId="660E76EF" w14:textId="1DFB4CD3" w:rsidR="00E57CC4" w:rsidRPr="00086B0D" w:rsidRDefault="00E57CC4" w:rsidP="00C150BC">
      <w:pPr>
        <w:pStyle w:val="bulletlist0"/>
      </w:pPr>
      <w:r>
        <w:t>•</w:t>
      </w:r>
      <w:r>
        <w:tab/>
        <w:t>t</w:t>
      </w:r>
      <w:r w:rsidRPr="00086B0D">
        <w:t>ime-series groundwater level and stream gauge data</w:t>
      </w:r>
    </w:p>
    <w:p w14:paraId="53F59147" w14:textId="4CBF008F" w:rsidR="00E57CC4" w:rsidRPr="00086B0D" w:rsidRDefault="00E57CC4" w:rsidP="00C150BC">
      <w:pPr>
        <w:pStyle w:val="bulletlist0"/>
      </w:pPr>
      <w:r>
        <w:t>•</w:t>
      </w:r>
      <w:r>
        <w:tab/>
        <w:t>g</w:t>
      </w:r>
      <w:r w:rsidRPr="00086B0D">
        <w:t>roundwater and surface water quality data</w:t>
      </w:r>
    </w:p>
    <w:p w14:paraId="0ED3448F" w14:textId="568559D8" w:rsidR="00E57CC4" w:rsidRPr="00086B0D" w:rsidRDefault="00E57CC4" w:rsidP="00C150BC">
      <w:pPr>
        <w:pStyle w:val="bulletlist0"/>
      </w:pPr>
      <w:r>
        <w:t>•</w:t>
      </w:r>
      <w:r>
        <w:tab/>
        <w:t>a</w:t>
      </w:r>
      <w:r w:rsidRPr="00086B0D">
        <w:t>quifer characteristics including porosity, hydraulic conductivity, storativity and transmissivity</w:t>
      </w:r>
    </w:p>
    <w:p w14:paraId="59F9EDC7" w14:textId="54D4A2E3" w:rsidR="00E57CC4" w:rsidRPr="00086B0D" w:rsidRDefault="00E57CC4" w:rsidP="00C150BC">
      <w:pPr>
        <w:pStyle w:val="bulletlist0"/>
      </w:pPr>
      <w:r>
        <w:t>•</w:t>
      </w:r>
      <w:r>
        <w:tab/>
        <w:t>g</w:t>
      </w:r>
      <w:r w:rsidRPr="00086B0D">
        <w:t>roundwater age, residence time, recharge and discharge processes</w:t>
      </w:r>
    </w:p>
    <w:p w14:paraId="6423BE3D" w14:textId="77777777" w:rsidR="00E57CC4" w:rsidRPr="00086B0D" w:rsidRDefault="00E57CC4" w:rsidP="00C150BC">
      <w:pPr>
        <w:pStyle w:val="bulletlist0"/>
      </w:pPr>
      <w:r>
        <w:t>•</w:t>
      </w:r>
      <w:r>
        <w:tab/>
        <w:t>t</w:t>
      </w:r>
      <w:r w:rsidRPr="00086B0D">
        <w:t>opographic and geomorphic information including stream locations and bed elevations.</w:t>
      </w:r>
    </w:p>
    <w:p w14:paraId="7B8460A0" w14:textId="72E7A9EB" w:rsidR="00E57CC4" w:rsidRDefault="00E57CC4" w:rsidP="00E57CC4">
      <w:r>
        <w:t xml:space="preserve">Approaches to assess source -pathways - receptor vary considerably according to Daly and Warren (1998). Daly and Warren note there is considerable variability in models in terms of the number of vulnerability categories that are identified and the scale of spatial representation that is used (from less than 1:10 000 to in excess of 1:500 000). </w:t>
      </w:r>
    </w:p>
    <w:p w14:paraId="207BD29D" w14:textId="150B9F57" w:rsidR="00E57CC4" w:rsidRPr="003A575E" w:rsidRDefault="00E57CC4" w:rsidP="00E57CC4">
      <w:r w:rsidRPr="003A575E">
        <w:t>Studies may seek to model pathways for a range of hazards or concentrate on individual potential impacts, such as contamination. Myers (2012) conceptualise potential natural pathways and necessary conditions for water contamination from shale gas developments and proposes several potential transport scenarios based on hydrogeological conditions in the Marcellus shale. He tests potential impacts (transport times under different conditions and the time taken for the system to revert to steady-state) by varying scenarios according to whether there are individual or multiple gas developments, and whether or not there is in-situ fractures and potential connectivity. He notes limited data availability constrains the application of certain modelling tools, concluding that mapping of subsurface faults and establishing deep and shallow monitoring wells are two key requirements prior to significant resource development occurring (further details about the study are provided in</w:t>
      </w:r>
      <w:r w:rsidR="002D5472">
        <w:t xml:space="preserve"> Appendix AD</w:t>
      </w:r>
      <w:r w:rsidRPr="003A575E">
        <w:t>).</w:t>
      </w:r>
    </w:p>
    <w:p w14:paraId="494B8782" w14:textId="77777777" w:rsidR="00E57CC4" w:rsidRPr="003A575E" w:rsidRDefault="00E57CC4" w:rsidP="00E57CC4">
      <w:r w:rsidRPr="003A575E">
        <w:t xml:space="preserve">The benefits and limitations of a number of commonly used groundwater solute transport models to understand potential pathways is provided Worley Parsons for the Queensland Department of Natural Resources &amp; Mines (2013) in the context of coal seam gas in the Surat and Southern Bowen Basins. A fuller assessment of the components they consider and approaches used to classify risk to water resources are outlined in </w:t>
      </w:r>
      <w:r w:rsidRPr="003A575E">
        <w:fldChar w:fldCharType="begin"/>
      </w:r>
      <w:r w:rsidRPr="003A575E">
        <w:instrText xml:space="preserve"> REF _Ref406753948 \r \h  \* MERGEFORMAT </w:instrText>
      </w:r>
      <w:r w:rsidRPr="003A575E">
        <w:fldChar w:fldCharType="separate"/>
      </w:r>
      <w:r w:rsidR="00171A5E">
        <w:t>0</w:t>
      </w:r>
      <w:r w:rsidRPr="003A575E">
        <w:fldChar w:fldCharType="end"/>
      </w:r>
      <w:r>
        <w:t xml:space="preserve">. </w:t>
      </w:r>
      <w:r w:rsidRPr="003A575E">
        <w:t>Two drawbacks that are identified about groundwater solute transport models are:</w:t>
      </w:r>
    </w:p>
    <w:p w14:paraId="719A6216" w14:textId="77777777" w:rsidR="00E57CC4" w:rsidRPr="003A575E" w:rsidRDefault="00E57CC4" w:rsidP="00C150BC">
      <w:pPr>
        <w:pStyle w:val="bulletlist0"/>
      </w:pPr>
      <w:r>
        <w:t>•</w:t>
      </w:r>
      <w:r>
        <w:tab/>
      </w:r>
      <w:r w:rsidRPr="003A575E">
        <w:t xml:space="preserve">They all focus on risk of contamination to water sources where an impact is occurring at the surface and may travel horizontally or vertically through the system, whereas in coal seam gas production  hazards can arise at considerable depths below the surface, and spread outwards from the source with the potential to eventually manifest themselves as impacts to groundwater resources. </w:t>
      </w:r>
    </w:p>
    <w:p w14:paraId="4AB1DA5B" w14:textId="77777777" w:rsidR="00E57CC4" w:rsidRPr="003A575E" w:rsidRDefault="00E57CC4" w:rsidP="00C150BC">
      <w:pPr>
        <w:pStyle w:val="bulletlist0"/>
      </w:pPr>
      <w:r>
        <w:tab/>
      </w:r>
      <w:r w:rsidRPr="003A575E">
        <w:t xml:space="preserve">Most are static (or point-in time) and typically do not fully factor in groundwater process or geological/hydrological pathways. </w:t>
      </w:r>
    </w:p>
    <w:p w14:paraId="2412B259" w14:textId="77777777" w:rsidR="00E57CC4" w:rsidRDefault="00E57CC4" w:rsidP="00E57CC4">
      <w:r w:rsidRPr="003A575E">
        <w:t>The alternative hybrid technique put forward in the study (the ‘Groundwater model and multi criteria analysis methodology) was established by consensus between a technical reference group of experts. It combines overlay methods used in multi-criteria analysis (similar to the methodologies above) with process-based (quantitative) information drawn directly from groundwater modelling conducted by Queensland Water Commission</w:t>
      </w:r>
      <w:r>
        <w:t xml:space="preserve">. </w:t>
      </w:r>
      <w:r w:rsidRPr="003A575E">
        <w:t>Source, pathway and receptor attributes are selected for</w:t>
      </w:r>
      <w:r>
        <w:t xml:space="preserve"> </w:t>
      </w:r>
      <w:r w:rsidRPr="00AE4986">
        <w:t>the specific basin study area</w:t>
      </w:r>
      <w:r>
        <w:t xml:space="preserve"> in terms of risks to</w:t>
      </w:r>
      <w:r w:rsidRPr="00AE4986">
        <w:t xml:space="preserve"> groundwater systems, </w:t>
      </w:r>
      <w:r>
        <w:t xml:space="preserve">and then </w:t>
      </w:r>
      <w:r w:rsidRPr="00AE4986">
        <w:t>overla</w:t>
      </w:r>
      <w:r>
        <w:t>id</w:t>
      </w:r>
      <w:r w:rsidRPr="00AE4986">
        <w:t xml:space="preserve"> by different vulnerability and consequence measure</w:t>
      </w:r>
      <w:r>
        <w:t>s. These</w:t>
      </w:r>
      <w:r w:rsidRPr="00AE4986">
        <w:t xml:space="preserve"> are ranked according to asset properties and weighed to inform </w:t>
      </w:r>
      <w:r>
        <w:t xml:space="preserve">the </w:t>
      </w:r>
      <w:r w:rsidRPr="00AE4986">
        <w:t>relative importance to overall calculation.</w:t>
      </w:r>
    </w:p>
    <w:p w14:paraId="7C28631B" w14:textId="79EC7A15" w:rsidR="005244F9" w:rsidRDefault="005244F9" w:rsidP="00C150BC">
      <w:pPr>
        <w:pStyle w:val="Head3app"/>
      </w:pPr>
      <w:bookmarkStart w:id="815" w:name="_Toc420500927"/>
      <w:bookmarkStart w:id="816" w:name="_Toc420511182"/>
      <w:bookmarkStart w:id="817" w:name="_Toc420572503"/>
      <w:bookmarkStart w:id="818" w:name="_Toc420572664"/>
      <w:bookmarkStart w:id="819" w:name="_Toc420573092"/>
      <w:bookmarkStart w:id="820" w:name="_Toc296599082"/>
      <w:bookmarkStart w:id="821" w:name="_Toc296767303"/>
      <w:bookmarkStart w:id="822" w:name="_Toc296770444"/>
      <w:bookmarkStart w:id="823" w:name="_Toc423018268"/>
      <w:r>
        <w:t>A2.5</w:t>
      </w:r>
      <w:r>
        <w:tab/>
        <w:t>Thresholds</w:t>
      </w:r>
      <w:bookmarkEnd w:id="815"/>
      <w:bookmarkEnd w:id="816"/>
      <w:bookmarkEnd w:id="817"/>
      <w:bookmarkEnd w:id="818"/>
      <w:bookmarkEnd w:id="819"/>
      <w:bookmarkEnd w:id="820"/>
      <w:bookmarkEnd w:id="821"/>
      <w:bookmarkEnd w:id="822"/>
      <w:bookmarkEnd w:id="823"/>
    </w:p>
    <w:p w14:paraId="346EEA49" w14:textId="77777777" w:rsidR="005244F9" w:rsidRDefault="005244F9" w:rsidP="005244F9">
      <w:r>
        <w:t xml:space="preserve">To understand the significance of a predicted or observed impact, thresholds are required to be defined. For this section specific quantifiable criteria and the rationale for their use were sought wherever possible. The measures used to set level of unacceptable impact tend to be changes in water quantity/quality or deviation from an accepted norm (taking into account natural factors such as seasonal variability). There does not appear to be a difference in the thresholds used for project and policy risk assessments. </w:t>
      </w:r>
    </w:p>
    <w:p w14:paraId="1E1EC684" w14:textId="77777777" w:rsidR="005244F9" w:rsidRDefault="005244F9" w:rsidP="005244F9">
      <w:r>
        <w:t xml:space="preserve">A common recommendation across government reports and within the academic literature is that more rigorous catchment-level risk assessment frameworks are required to inform future onshore gas development, and that key to this is the sharing of information between proponents and regulators. </w:t>
      </w:r>
    </w:p>
    <w:p w14:paraId="1DB2812F" w14:textId="77777777" w:rsidR="005244F9" w:rsidRPr="006271B5" w:rsidRDefault="005244F9" w:rsidP="005244F9">
      <w:r w:rsidRPr="006271B5">
        <w:t xml:space="preserve">In Queensland’s Department of Environment and Heritage Protection, the Department administers quantitative thresholds for protection of water assets under the </w:t>
      </w:r>
      <w:r w:rsidRPr="006271B5">
        <w:rPr>
          <w:i/>
        </w:rPr>
        <w:t>Water Act 2000</w:t>
      </w:r>
      <w:r>
        <w:rPr>
          <w:i/>
        </w:rPr>
        <w:t xml:space="preserve">. </w:t>
      </w:r>
      <w:r w:rsidRPr="006271B5">
        <w:t>Specific quantitative thresholds are set for coal seam gas project-related water declines in bores and reduced aquifer levels feeding natural springs. They are:</w:t>
      </w:r>
    </w:p>
    <w:p w14:paraId="6412A9A2" w14:textId="77777777" w:rsidR="005244F9" w:rsidRPr="006271B5" w:rsidRDefault="005244F9" w:rsidP="00C150BC">
      <w:pPr>
        <w:pStyle w:val="bulletlist0"/>
      </w:pPr>
      <w:r>
        <w:t>•</w:t>
      </w:r>
      <w:r>
        <w:tab/>
      </w:r>
      <w:r w:rsidRPr="006271B5">
        <w:t>If the projected decline from a bore exceeds the minimum threshold of a 5m reduction in water level for consolidated aquifers (e.g. sandstone) or a 2m reduction in water level for unconsolidated aquifers (i.e. shallow alluvial aquifers), then further investigation is required</w:t>
      </w:r>
      <w:r>
        <w:t xml:space="preserve">. </w:t>
      </w:r>
      <w:r w:rsidRPr="006271B5">
        <w:t>If coal seam gas activities are determined to be responsible, then the Proponent is responsible for ‘making good’ the impact.</w:t>
      </w:r>
    </w:p>
    <w:p w14:paraId="3B02A995" w14:textId="77777777" w:rsidR="005244F9" w:rsidRPr="006271B5" w:rsidRDefault="005244F9" w:rsidP="00C150BC">
      <w:pPr>
        <w:pStyle w:val="bulletlist0"/>
      </w:pPr>
      <w:r>
        <w:tab/>
      </w:r>
      <w:r w:rsidRPr="006271B5">
        <w:t>For springs, a spring impact management strategy is required to determine potentially affected springs, investigate risks and develop a management strategy to address these if the water level in the aquifer is expected to decline by more than the spring trigger threshold of 0.2 metres in the source aquifer (unless otherwise defined) at the location of the spring (EHP, n</w:t>
      </w:r>
      <w:r>
        <w:t>.</w:t>
      </w:r>
      <w:r w:rsidRPr="006271B5">
        <w:t>d</w:t>
      </w:r>
      <w:r>
        <w:t>.</w:t>
      </w:r>
      <w:r w:rsidRPr="006271B5">
        <w:t>)</w:t>
      </w:r>
      <w:r>
        <w:t>.</w:t>
      </w:r>
      <w:r w:rsidRPr="006271B5">
        <w:t xml:space="preserve">  </w:t>
      </w:r>
    </w:p>
    <w:p w14:paraId="70308B06" w14:textId="77777777" w:rsidR="005244F9" w:rsidRDefault="005244F9" w:rsidP="005244F9">
      <w:r w:rsidRPr="006271B5">
        <w:t xml:space="preserve">The </w:t>
      </w:r>
      <w:r w:rsidRPr="006271B5">
        <w:rPr>
          <w:i/>
        </w:rPr>
        <w:t>New South Wales Aquifer Interference Policy</w:t>
      </w:r>
      <w:r w:rsidRPr="006271B5">
        <w:t xml:space="preserve"> (2012) establishes quantitative thresholds for </w:t>
      </w:r>
      <w:r>
        <w:t>watertable</w:t>
      </w:r>
      <w:r w:rsidRPr="006271B5">
        <w:t xml:space="preserve"> and groundwater pressure, drawdown and groundwater and surface water quality changes in relation to highly productive and less productive groundwater sources. The thresholds have due regard to the geology of the water source (e.g. alluvial, coastal sands, porous rock, fractured</w:t>
      </w:r>
      <w:r>
        <w:t xml:space="preserve"> rock). Refer to Appendix AF for tables listing these.</w:t>
      </w:r>
    </w:p>
    <w:p w14:paraId="1152537A" w14:textId="77777777" w:rsidR="005244F9" w:rsidRDefault="005244F9" w:rsidP="005244F9">
      <w:r>
        <w:t>The Australian Council of Learned Academies Shale Gas report</w:t>
      </w:r>
      <w:r>
        <w:rPr>
          <w:rStyle w:val="FootnoteReference"/>
          <w:rFonts w:eastAsiaTheme="majorEastAsia"/>
        </w:rPr>
        <w:footnoteReference w:id="6"/>
      </w:r>
      <w:r>
        <w:t xml:space="preserve"> (2012) suggests thresholds for cumulative impacts at a catchment scale could be the use of groundwater extraction for shale gas as a proportion of total groundwater extraction and the proportion of shale gas water that contributes to surface water flow to nationally important wetlands. </w:t>
      </w:r>
    </w:p>
    <w:p w14:paraId="1E59312F" w14:textId="77777777" w:rsidR="005244F9" w:rsidRPr="006271B5" w:rsidRDefault="005244F9" w:rsidP="005244F9">
      <w:r>
        <w:t xml:space="preserve">The National Water Quality Management Strategy has published Guidelines for Drinking Water and </w:t>
      </w:r>
      <w:r w:rsidRPr="00FB6ADA">
        <w:t>Fresh and Marine Water Quality</w:t>
      </w:r>
      <w:r>
        <w:t xml:space="preserve"> in Australia. </w:t>
      </w:r>
      <w:r w:rsidRPr="006271B5">
        <w:t xml:space="preserve">These guidelines may be used for both project and policy risk assessments. The guidelines define several beneficial use or environmental values categories:  aquatic ecosystems, drinking water; cultural and spiritual values; primary industries (including agriculture and general water uses, stock drinking water, aquaculture); recreation and aesthetics and industrial water. All of these, except industry and cultural/spiritual values have water quality guidelines based on numerical concentration limit or a narrative statement recommended to ensure the designated use is protected. </w:t>
      </w:r>
    </w:p>
    <w:p w14:paraId="5EC0A4F3" w14:textId="77777777" w:rsidR="005244F9" w:rsidRPr="00926E58" w:rsidRDefault="005244F9" w:rsidP="005244F9">
      <w:r w:rsidRPr="006271B5">
        <w:t>In Victoria groundwater protection legislation defines groundwater categories according to beneficial use and water quality criteria (SEPP, 1997). The concentration of Total Dissolved Solids</w:t>
      </w:r>
      <w:r w:rsidRPr="00926E58">
        <w:t xml:space="preserve"> (an indicator of salinity measured in mg/L) is used. Further information</w:t>
      </w:r>
      <w:r>
        <w:t xml:space="preserve"> on beneficial uses and values</w:t>
      </w:r>
      <w:r w:rsidRPr="00926E58">
        <w:t xml:space="preserve"> is </w:t>
      </w:r>
      <w:r>
        <w:t>provided</w:t>
      </w:r>
      <w:r w:rsidRPr="00926E58">
        <w:t xml:space="preserve"> in Appendix </w:t>
      </w:r>
      <w:r>
        <w:t xml:space="preserve">F. </w:t>
      </w:r>
    </w:p>
    <w:p w14:paraId="510CF10D" w14:textId="2B9E2B6D" w:rsidR="009B3448" w:rsidRPr="009B3448" w:rsidRDefault="005F6419">
      <w:r w:rsidRPr="005F6419">
        <w:t>Exceedance</w:t>
      </w:r>
      <w:r w:rsidR="009B3448" w:rsidRPr="005F6419">
        <w:t xml:space="preserve"> of</w:t>
      </w:r>
      <w:r w:rsidR="009B3448" w:rsidRPr="009B3448">
        <w:t xml:space="preserve"> environmental values set out in the </w:t>
      </w:r>
      <w:r w:rsidR="009B3448" w:rsidRPr="009B3448">
        <w:rPr>
          <w:i/>
        </w:rPr>
        <w:t>Water Quality Guidelines</w:t>
      </w:r>
      <w:r w:rsidR="009B3448" w:rsidRPr="009B3448">
        <w:t xml:space="preserve"> (2000) indicate potential for impact can be categorised as ‘slightly to moderately disturbed’; ‘highly disturbed ecosystems’ and ‘high conservation/ecological value ecosystems’. </w:t>
      </w:r>
      <w:r w:rsidR="009B3448" w:rsidRPr="009B3448">
        <w:rPr>
          <w:i/>
        </w:rPr>
        <w:t>Water Quality Guidelines</w:t>
      </w:r>
      <w:r w:rsidR="009B3448" w:rsidRPr="009B3448">
        <w:t xml:space="preserve"> (2000) also recommend biological indicators should be used to complement the use of chemical indicators. </w:t>
      </w:r>
    </w:p>
    <w:p w14:paraId="381E4B24" w14:textId="77777777" w:rsidR="005244F9" w:rsidRPr="006271B5" w:rsidRDefault="005244F9" w:rsidP="005244F9">
      <w:r w:rsidRPr="006271B5">
        <w:t>Guidance is available to help determine:</w:t>
      </w:r>
    </w:p>
    <w:p w14:paraId="7D357FF0" w14:textId="77777777" w:rsidR="005244F9" w:rsidRPr="006271B5" w:rsidRDefault="005244F9" w:rsidP="00C150BC">
      <w:pPr>
        <w:pStyle w:val="bulletlist0"/>
      </w:pPr>
      <w:r>
        <w:t>•</w:t>
      </w:r>
      <w:r>
        <w:tab/>
      </w:r>
      <w:r w:rsidRPr="006271B5">
        <w:t>acceptable level of change against relative condition categories of the ecosystem</w:t>
      </w:r>
    </w:p>
    <w:p w14:paraId="087A0E8E" w14:textId="77777777" w:rsidR="005244F9" w:rsidRPr="006271B5" w:rsidRDefault="005244F9" w:rsidP="00C150BC">
      <w:pPr>
        <w:pStyle w:val="bulletlist0"/>
      </w:pPr>
      <w:r>
        <w:tab/>
      </w:r>
      <w:r w:rsidRPr="006271B5">
        <w:t>applicability of different biotic taxa as indicators of aquatic ecosystem health (e.g. physical and chemical stress such as nutrients, dissolved oxygen, salinity, temperature, pH, optical properties and environmental flows).</w:t>
      </w:r>
    </w:p>
    <w:p w14:paraId="4D8D1482" w14:textId="77777777" w:rsidR="005244F9" w:rsidRPr="006271B5" w:rsidRDefault="005244F9" w:rsidP="005244F9">
      <w:r w:rsidRPr="006271B5">
        <w:t>Default trigger values are provided if locally-derived thresholds cannot be determined. The Commonwealth Department of Environment (2013) states that where no local/regional quality objectives exist, thresholds should be set in accordance with guidelines under National Water Quality Management Strategy and in consultation with the local water authority.</w:t>
      </w:r>
    </w:p>
    <w:p w14:paraId="38589E89" w14:textId="77777777" w:rsidR="005244F9" w:rsidRPr="006271B5" w:rsidRDefault="005244F9" w:rsidP="005244F9">
      <w:r w:rsidRPr="006271B5">
        <w:t>The Guidelines provide information on good-practice for conducting toxicology studies</w:t>
      </w:r>
      <w:r>
        <w:t xml:space="preserve">. </w:t>
      </w:r>
      <w:r w:rsidRPr="006271B5">
        <w:t xml:space="preserve">Guidance is provided about factors affecting individual element toxicity and the level of confidence that can be derived depending on data used. </w:t>
      </w:r>
    </w:p>
    <w:p w14:paraId="3AC6C968" w14:textId="77777777" w:rsidR="005244F9" w:rsidRPr="006271B5" w:rsidRDefault="005244F9" w:rsidP="005244F9">
      <w:r w:rsidRPr="006271B5">
        <w:t>Setting triggers for further assessment is one of the recommendations in relation to risk from chemical constituents of fracking fluids by Ewen et al (2012)</w:t>
      </w:r>
      <w:r w:rsidRPr="006271B5">
        <w:rPr>
          <w:rStyle w:val="FootnoteReference"/>
          <w:rFonts w:eastAsiaTheme="majorEastAsia"/>
        </w:rPr>
        <w:footnoteReference w:id="7"/>
      </w:r>
      <w:r w:rsidRPr="006271B5">
        <w:t>. Under the proposed system, a substance can be identified as hazardous by one of three forms of assessment:</w:t>
      </w:r>
    </w:p>
    <w:p w14:paraId="77297A3D" w14:textId="77777777" w:rsidR="005244F9" w:rsidRPr="006271B5" w:rsidRDefault="005244F9" w:rsidP="005244F9">
      <w:r w:rsidRPr="006271B5">
        <w:t>Classification by the European Union’s Regulation on Classification, Labelling and Packaging of Substances and Mixtures</w:t>
      </w:r>
    </w:p>
    <w:p w14:paraId="0D435FBD" w14:textId="77777777" w:rsidR="005244F9" w:rsidRDefault="005244F9" w:rsidP="005244F9">
      <w:r>
        <w:t>Failure to meet Germany’s drinking water regulation requirements (limit of 0.1</w:t>
      </w:r>
      <w:r w:rsidRPr="004A4D4D">
        <w:t xml:space="preserve"> µg/l</w:t>
      </w:r>
      <w:r>
        <w:t xml:space="preserve"> of organic biocides)</w:t>
      </w:r>
    </w:p>
    <w:p w14:paraId="6CBC8696" w14:textId="77777777" w:rsidR="005244F9" w:rsidRDefault="005244F9" w:rsidP="005244F9">
      <w:r>
        <w:t>Determine the hazard quotient which represents the ratio of potential exposure to the substance and the level at which no negative consequences are anticipated. If the hazard quotient value is greater than 1, adverse health effects are possible.</w:t>
      </w:r>
    </w:p>
    <w:p w14:paraId="4C4F691B" w14:textId="2DBE871C" w:rsidR="005244F9" w:rsidRDefault="005244F9" w:rsidP="00C150BC">
      <w:pPr>
        <w:pStyle w:val="Head3app"/>
      </w:pPr>
      <w:bookmarkStart w:id="824" w:name="_Toc420500928"/>
      <w:bookmarkStart w:id="825" w:name="_Toc420511183"/>
      <w:bookmarkStart w:id="826" w:name="_Toc420572504"/>
      <w:bookmarkStart w:id="827" w:name="_Toc420572665"/>
      <w:bookmarkStart w:id="828" w:name="_Toc420573093"/>
      <w:bookmarkStart w:id="829" w:name="_Toc296599083"/>
      <w:bookmarkStart w:id="830" w:name="_Toc296767304"/>
      <w:bookmarkStart w:id="831" w:name="_Toc296770445"/>
      <w:bookmarkStart w:id="832" w:name="_Toc423018269"/>
      <w:r>
        <w:t>A2.6</w:t>
      </w:r>
      <w:r>
        <w:tab/>
        <w:t>Standard controls</w:t>
      </w:r>
      <w:bookmarkEnd w:id="824"/>
      <w:bookmarkEnd w:id="825"/>
      <w:bookmarkEnd w:id="826"/>
      <w:bookmarkEnd w:id="827"/>
      <w:bookmarkEnd w:id="828"/>
      <w:bookmarkEnd w:id="829"/>
      <w:bookmarkEnd w:id="830"/>
      <w:bookmarkEnd w:id="831"/>
      <w:bookmarkEnd w:id="832"/>
    </w:p>
    <w:p w14:paraId="1D801F2E" w14:textId="77777777" w:rsidR="005244F9" w:rsidRDefault="005244F9" w:rsidP="005244F9">
      <w:r>
        <w:t>Risk controls are the part of</w:t>
      </w:r>
      <w:r w:rsidRPr="002C45DF">
        <w:t xml:space="preserve"> </w:t>
      </w:r>
      <w:r>
        <w:t xml:space="preserve">risk </w:t>
      </w:r>
      <w:r w:rsidRPr="002C45DF">
        <w:t>management that involves the provision of policies, standards and procedures</w:t>
      </w:r>
      <w:r>
        <w:t xml:space="preserve"> that describe measures, techniques and practices</w:t>
      </w:r>
      <w:r w:rsidRPr="002C45DF">
        <w:t xml:space="preserve"> to eliminate, avoid or minimise adverse </w:t>
      </w:r>
      <w:r>
        <w:t xml:space="preserve">risks. </w:t>
      </w:r>
      <w:r w:rsidRPr="00F930DC">
        <w:t xml:space="preserve">A standard control is a standard accepted </w:t>
      </w:r>
      <w:r>
        <w:t>onshore natural gas</w:t>
      </w:r>
      <w:r w:rsidRPr="00F930DC">
        <w:t xml:space="preserve"> industry practice for addressing a potential impact on a sensitive receptor. Industry recognised and endorsed procedures, guidelines and methodologies may exist for a standard control</w:t>
      </w:r>
      <w:r>
        <w:t xml:space="preserve">. </w:t>
      </w:r>
    </w:p>
    <w:p w14:paraId="5738F08A" w14:textId="77777777" w:rsidR="005244F9" w:rsidRPr="00343E15" w:rsidRDefault="005244F9" w:rsidP="005244F9">
      <w:r>
        <w:t>The literature r</w:t>
      </w:r>
      <w:r w:rsidRPr="00343E15">
        <w:t xml:space="preserve">eview found no distinct difference between the types of </w:t>
      </w:r>
      <w:r>
        <w:t>standard controls applied in a risk assessment to inform government policy and</w:t>
      </w:r>
      <w:r w:rsidRPr="00343E15">
        <w:t xml:space="preserve"> a risk assessment used to assess licence/work plan application.</w:t>
      </w:r>
    </w:p>
    <w:p w14:paraId="3E70CD40" w14:textId="77777777" w:rsidR="005244F9" w:rsidRDefault="005244F9" w:rsidP="005244F9">
      <w:r>
        <w:t>There are many different types of standard controls that are adopted. The literature reviewed shows many jurisdictions are seeking to regulate aspects of onshore natural gas development activities through existing permitting regimes, and setting triggers under which proponents must conduct further monitoring and management (CRS, 2014)</w:t>
      </w:r>
      <w:r>
        <w:rPr>
          <w:rStyle w:val="FootnoteReference"/>
          <w:rFonts w:eastAsiaTheme="majorEastAsia"/>
        </w:rPr>
        <w:footnoteReference w:id="8"/>
      </w:r>
      <w:r>
        <w:t xml:space="preserve">. </w:t>
      </w:r>
    </w:p>
    <w:p w14:paraId="087EF867" w14:textId="77777777" w:rsidR="005244F9" w:rsidRDefault="005244F9" w:rsidP="005244F9">
      <w:r w:rsidRPr="00006C46">
        <w:t>For the purpose of this discussion standard controls have been broadly categorised as operational controls, land use planning controls, and monitoring controls and are discussed below</w:t>
      </w:r>
      <w:r>
        <w:t>.</w:t>
      </w:r>
    </w:p>
    <w:p w14:paraId="2BB85222" w14:textId="77777777" w:rsidR="00C35056" w:rsidRDefault="00C35056">
      <w:pPr>
        <w:spacing w:after="200"/>
        <w:rPr>
          <w:b/>
        </w:rPr>
      </w:pPr>
      <w:bookmarkStart w:id="833" w:name="_Toc420572666"/>
      <w:r>
        <w:br w:type="page"/>
      </w:r>
    </w:p>
    <w:p w14:paraId="25ED1DAE" w14:textId="7668C0C6" w:rsidR="005244F9" w:rsidRDefault="005244F9" w:rsidP="00C150BC">
      <w:pPr>
        <w:pStyle w:val="Heading4"/>
      </w:pPr>
      <w:r>
        <w:t>Operational controls</w:t>
      </w:r>
      <w:bookmarkEnd w:id="833"/>
    </w:p>
    <w:p w14:paraId="14985CE1" w14:textId="77777777" w:rsidR="005244F9" w:rsidRPr="004B07C5" w:rsidRDefault="005244F9" w:rsidP="005244F9">
      <w:r>
        <w:t xml:space="preserve">Several sources consulted provide an overview of the legislative </w:t>
      </w:r>
      <w:r w:rsidRPr="004B07C5">
        <w:t>measures to minimise risk associated with onshore natural gas developments in the U</w:t>
      </w:r>
      <w:r>
        <w:t xml:space="preserve">nited </w:t>
      </w:r>
      <w:r w:rsidRPr="004B07C5">
        <w:t>S</w:t>
      </w:r>
      <w:r>
        <w:t>tates</w:t>
      </w:r>
      <w:r w:rsidRPr="004B07C5">
        <w:t>, Europe and Australia</w:t>
      </w:r>
      <w:r>
        <w:t xml:space="preserve">. </w:t>
      </w:r>
      <w:r w:rsidRPr="004B07C5">
        <w:t xml:space="preserve">For example Anderson et al (2013) classify the options available to minimise or offset impacts from onshore natural gas into strategic land use planning, codes of practice, managed aquifer recharge, ‘make-good’ arrangements, security bonds, improved technologies and research methods, groundwater remediation. </w:t>
      </w:r>
    </w:p>
    <w:p w14:paraId="342FCDD9" w14:textId="77777777" w:rsidR="005244F9" w:rsidRPr="004B07C5" w:rsidRDefault="005244F9" w:rsidP="005244F9">
      <w:r w:rsidRPr="004B07C5">
        <w:t xml:space="preserve">Well integrity, wastewater management and regulating chemical compounds used in hydraulic fracturing are the onshore natural gas hazards commonly targeted by mandatory regulation or best practice guidance for proposed projects that could impact on water resources across the UK, US and Australia. </w:t>
      </w:r>
    </w:p>
    <w:p w14:paraId="28F8DAD2" w14:textId="77777777" w:rsidR="005244F9" w:rsidRDefault="005244F9" w:rsidP="005244F9">
      <w:r w:rsidRPr="004B07C5">
        <w:t>In the United Kingdom, the Environment Agency (2011) requires any activity that proposes discharges to groundwater to produce management options such as enhancing the engineering measures or tightening operational and aftercare controls. The UK Onshore Operators Group (UKOOG) has produced Shale Gas Well Guidelines which sets out what proponents must comply with under various regulations and permitting systems. This includes legislation relating to well construction and design (to be informed by assessment of geological conditions), well control equipment, availability of competent personnel and the</w:t>
      </w:r>
      <w:r>
        <w:t xml:space="preserve"> proponent making provision for independent well examinations.</w:t>
      </w:r>
    </w:p>
    <w:p w14:paraId="6DEF6DB9" w14:textId="1CEED0C4" w:rsidR="005244F9" w:rsidRDefault="005244F9" w:rsidP="005244F9">
      <w:r>
        <w:t xml:space="preserve">In the United States, Worldwatch (2010) finds many state regulators often require compliance against standards set by the American Petroleum Institute (API, 2009) or other organizations which develop and update standards on recommended practice for oil and gas exploration and production activities. These include the API’s </w:t>
      </w:r>
      <w:r w:rsidRPr="00C150BC">
        <w:rPr>
          <w:i/>
        </w:rPr>
        <w:t>Hydraulic Fracturing Operations — Well Construction and Integrity Guidelines (HF1)</w:t>
      </w:r>
      <w:r>
        <w:t xml:space="preserve">, </w:t>
      </w:r>
      <w:r w:rsidRPr="00C150BC">
        <w:rPr>
          <w:i/>
        </w:rPr>
        <w:t>Water Management Associated with Hydraulic Fracturing (HF2)</w:t>
      </w:r>
      <w:r w:rsidRPr="00757E87">
        <w:t>,</w:t>
      </w:r>
      <w:r>
        <w:t xml:space="preserve"> and </w:t>
      </w:r>
      <w:r w:rsidRPr="00C150BC">
        <w:rPr>
          <w:i/>
        </w:rPr>
        <w:t>Practices for Mitigating Surface Impacts Associated with Hydraulic Fracturing (HF3)</w:t>
      </w:r>
      <w:r>
        <w:t>.</w:t>
      </w:r>
    </w:p>
    <w:p w14:paraId="15513E55" w14:textId="77777777" w:rsidR="005244F9" w:rsidRDefault="005244F9" w:rsidP="005244F9">
      <w:r>
        <w:t xml:space="preserve">The Commonwealth Government’s National Harmonised Framework for Coal Seam Gas (2012) has produced a list of 18 leading practices which can help to reduce risks associated with well integrity, hydraulic fracturing, chemical use and water management in coal seam gas operations. Further detail on these is provided in </w:t>
      </w:r>
      <w:r w:rsidRPr="00AE4986">
        <w:t>Appendix</w:t>
      </w:r>
      <w:r>
        <w:t xml:space="preserve"> F</w:t>
      </w:r>
      <w:r w:rsidRPr="00150270">
        <w:t>.</w:t>
      </w:r>
    </w:p>
    <w:p w14:paraId="68D0FA8C" w14:textId="77777777" w:rsidR="005244F9" w:rsidRPr="00DE2AC2" w:rsidRDefault="005244F9" w:rsidP="005244F9">
      <w:r>
        <w:t>The Queensland Department of Environment &amp; Heritage Protection</w:t>
      </w:r>
      <w:r>
        <w:rPr>
          <w:rStyle w:val="FootnoteReference"/>
          <w:rFonts w:eastAsiaTheme="majorEastAsia"/>
        </w:rPr>
        <w:footnoteReference w:id="9"/>
      </w:r>
      <w:r>
        <w:t xml:space="preserve"> requires applicants to develop management criteria to ensure quantity and quality of co-produced water at critical control points:  injection to aquifers, storage of produced water, transmission through pipelines, treatment of coal seam gas water and water quality acceptance criteria, beneficial use and management of produced waste. Queensland also has a </w:t>
      </w:r>
      <w:r w:rsidRPr="00DE2AC2">
        <w:t>Code of Practice for Constructing and Abandoning Coal Seam Gas Wells</w:t>
      </w:r>
      <w:r>
        <w:t xml:space="preserve"> (DEEDI, 2011)</w:t>
      </w:r>
      <w:r w:rsidRPr="00DE2AC2">
        <w:t>.</w:t>
      </w:r>
    </w:p>
    <w:p w14:paraId="3428CB7D" w14:textId="77777777" w:rsidR="005244F9" w:rsidRPr="004B07C5" w:rsidRDefault="005244F9" w:rsidP="005244F9">
      <w:r w:rsidRPr="008A1BFB">
        <w:t>N</w:t>
      </w:r>
      <w:r>
        <w:t>ew South Wales Trade &amp; Investment (2012)</w:t>
      </w:r>
      <w:r>
        <w:rPr>
          <w:rStyle w:val="FootnoteReference"/>
          <w:rFonts w:eastAsiaTheme="majorEastAsia"/>
        </w:rPr>
        <w:footnoteReference w:id="10"/>
      </w:r>
      <w:r>
        <w:t xml:space="preserve"> references good industry practice and relevant standards and specifications to be </w:t>
      </w:r>
      <w:r w:rsidRPr="004B07C5">
        <w:t xml:space="preserve">complied with, in respect of human and technological-based controls. Well integrity is the focus of one of two New South Wales Division of Resources and Energy Codes of Practice for coal seam gas, along with guidance to proponents on hydraulic fracturing. Coal seam gas titleholders are required to comply with both NSW Codes to assure coal seam gas activities are compliant with the </w:t>
      </w:r>
      <w:r w:rsidRPr="004B07C5">
        <w:rPr>
          <w:i/>
        </w:rPr>
        <w:t>Petroleum (Onshore) Act 1991</w:t>
      </w:r>
      <w:r w:rsidRPr="004B07C5">
        <w:t>.</w:t>
      </w:r>
    </w:p>
    <w:p w14:paraId="1C135334" w14:textId="77777777" w:rsidR="005244F9" w:rsidRPr="004B07C5" w:rsidRDefault="005244F9" w:rsidP="005244F9">
      <w:r w:rsidRPr="004B07C5">
        <w:t>AEA provide suggested or existing technology-based controls in United States jurisdictions relating to permanent well abandonment (minimum depth of cement for plugging), storage of waste-water and extent of production casing. The rationale used to determine these specific values is not provided.</w:t>
      </w:r>
    </w:p>
    <w:p w14:paraId="2F630583" w14:textId="77777777" w:rsidR="00C35056" w:rsidRDefault="00C35056">
      <w:pPr>
        <w:spacing w:after="200"/>
      </w:pPr>
      <w:r>
        <w:br w:type="page"/>
      </w:r>
    </w:p>
    <w:p w14:paraId="3A1B28A8" w14:textId="5933B2E6" w:rsidR="005244F9" w:rsidRPr="004B07C5" w:rsidRDefault="005244F9" w:rsidP="005244F9">
      <w:r w:rsidRPr="004B07C5">
        <w:t>DNV (2013) provides guidance to proponents around preventative risk management practices for shale gas development and operations. For instance, in order to avoid possible groundwater contamination from induced fractures, the operator should estimate:</w:t>
      </w:r>
    </w:p>
    <w:p w14:paraId="3EF37E03" w14:textId="77777777" w:rsidR="005244F9" w:rsidRPr="004B07C5" w:rsidRDefault="005244F9" w:rsidP="00C150BC">
      <w:pPr>
        <w:pStyle w:val="bulletlist0"/>
      </w:pPr>
      <w:r>
        <w:t>•</w:t>
      </w:r>
      <w:r>
        <w:tab/>
      </w:r>
      <w:r w:rsidRPr="004B07C5">
        <w:t>the minimum required vertical separation between the deepest groundwater formation boundary and the shallowest edge of induced fracture</w:t>
      </w:r>
    </w:p>
    <w:p w14:paraId="1E360FC9" w14:textId="77777777" w:rsidR="005244F9" w:rsidRPr="004B07C5" w:rsidRDefault="005244F9" w:rsidP="00C150BC">
      <w:pPr>
        <w:pStyle w:val="bulletlist0"/>
      </w:pPr>
      <w:r>
        <w:t>•</w:t>
      </w:r>
      <w:r>
        <w:tab/>
      </w:r>
      <w:r w:rsidRPr="004B07C5">
        <w:t>the minimum required distance between the wellbore above the prospective shale gas formation and the nearest edge of an induced fracture</w:t>
      </w:r>
    </w:p>
    <w:p w14:paraId="1B084B91" w14:textId="77777777" w:rsidR="005244F9" w:rsidRDefault="005244F9" w:rsidP="00C150BC">
      <w:pPr>
        <w:pStyle w:val="bulletlist0"/>
      </w:pPr>
      <w:r>
        <w:t>•</w:t>
      </w:r>
      <w:r>
        <w:tab/>
        <w:t>the minimum required distance between the outermost edge of an induced fracture and any nearby wellbore</w:t>
      </w:r>
    </w:p>
    <w:p w14:paraId="2847C056" w14:textId="77777777" w:rsidR="005244F9" w:rsidRDefault="005244F9" w:rsidP="00C150BC">
      <w:pPr>
        <w:pStyle w:val="bulletlist0"/>
      </w:pPr>
      <w:r>
        <w:t>•</w:t>
      </w:r>
      <w:r>
        <w:tab/>
        <w:t>the minimum required distance between any identified pre-existing faults or fractures to the nearest edge of an induced fracture.</w:t>
      </w:r>
    </w:p>
    <w:p w14:paraId="63AA61BB" w14:textId="77777777" w:rsidR="005244F9" w:rsidRDefault="005244F9" w:rsidP="005244F9">
      <w:r>
        <w:t>Risk management is often conceived as a hierarchy, with emphasis on minimising opportunity for hazards to arise (e.g. through timing or spacing of certain activities), providing mitigation appropriate to the hazard profile, and offsetting any remaining impacts. A common tool to minimise manageable risks is through operation-based regulations or referring proponents to best-practice codes or guidelines. These are to be regularly reviewed on the basis of the “As Low as Reasonably Practical” principle. Offshore oil and gas regulations are consistent with this regulatory approach.</w:t>
      </w:r>
    </w:p>
    <w:p w14:paraId="1A742F82" w14:textId="711568E5" w:rsidR="005244F9" w:rsidRDefault="005244F9" w:rsidP="00C150BC">
      <w:pPr>
        <w:pStyle w:val="Heading4"/>
      </w:pPr>
      <w:bookmarkStart w:id="834" w:name="_Toc420572667"/>
      <w:r>
        <w:t>Land use planning controls</w:t>
      </w:r>
      <w:bookmarkEnd w:id="834"/>
    </w:p>
    <w:p w14:paraId="764F4944" w14:textId="77777777" w:rsidR="005244F9" w:rsidRDefault="005244F9" w:rsidP="005244F9">
      <w:r>
        <w:t xml:space="preserve">The National </w:t>
      </w:r>
      <w:r w:rsidRPr="00F64A24">
        <w:t xml:space="preserve">Conference of State Legislatures </w:t>
      </w:r>
      <w:r>
        <w:t>(2012) provides a broad overview of state-based legislative measures to minimise risk of impact to water quality across the United State</w:t>
      </w:r>
      <w:r>
        <w:rPr>
          <w:rStyle w:val="FootnoteReference"/>
          <w:rFonts w:eastAsiaTheme="majorEastAsia"/>
        </w:rPr>
        <w:footnoteReference w:id="11"/>
      </w:r>
      <w:r>
        <w:t>. These include setbacks or location restrictions to create buffers between drilling and public drinking water resources. Specific distances and criteria are not specified.</w:t>
      </w:r>
    </w:p>
    <w:p w14:paraId="5ABABB00" w14:textId="77777777" w:rsidR="005244F9" w:rsidRDefault="005244F9" w:rsidP="005244F9">
      <w:r>
        <w:t xml:space="preserve">The New York Department of Environment and Conservation has banned unconventional gas development in the New York City and Syracuse watersheds (with suitable buffer areas), public water supplies, primary aquifers </w:t>
      </w:r>
      <w:r w:rsidRPr="00BD2558">
        <w:t>and certain state lands. Further controls (e.g. restrictions and setbacks) are recommended to restrict development in areas close to public water supplies, principal aquifers and other sensitive assets. Details are provided in Table AE1</w:t>
      </w:r>
      <w:r>
        <w:t xml:space="preserve">. </w:t>
      </w:r>
    </w:p>
    <w:p w14:paraId="48A4CE3C" w14:textId="77777777" w:rsidR="005244F9" w:rsidRPr="003A575E" w:rsidRDefault="005244F9" w:rsidP="005244F9">
      <w:r>
        <w:t xml:space="preserve">New South Wales similarly defined coal seam gas exclusion zones as part of their Strategic Regional Land Use Policy late last year focused on existing residential areas, which were updated earlier this year in </w:t>
      </w:r>
      <w:r w:rsidRPr="003A575E">
        <w:t>relation to future growth areas and key industry clusters</w:t>
      </w:r>
      <w:r>
        <w:t xml:space="preserve">. </w:t>
      </w:r>
      <w:r w:rsidRPr="003A575E">
        <w:t>In New South Wales coal seam gas development proposals on strategic agricultural land need to be assessed by a gateway panel before they are lodged. Gateway assessments are conducted by an independent panel of scientific experts and provide an additional level of scrutiny of a proposal’s land and water impacts, including consideration of potential effects of the proposal on aquifers against the Aquifer Interference Policy.</w:t>
      </w:r>
    </w:p>
    <w:p w14:paraId="7588A877" w14:textId="77777777" w:rsidR="005244F9" w:rsidRPr="003A575E" w:rsidRDefault="005244F9" w:rsidP="005244F9">
      <w:r w:rsidRPr="003A575E">
        <w:t>Examples of specific buffer zone distances from private wells, surface watercourse, and drinking water supplies that are proposed or recommended by authorities and natural resource management agencies in the United States are summarised by a report prepared for the for the European Commission by AEA (2012). Also collated by the AEA is the minimum depth or minimum separation between strata required for hydraulic fracturing to take place. These measures are recommended or mandated across different States, however the rationale used to determine these specific values was not provided.</w:t>
      </w:r>
    </w:p>
    <w:p w14:paraId="4EA2576A" w14:textId="77777777" w:rsidR="00C35056" w:rsidRDefault="00C35056">
      <w:pPr>
        <w:spacing w:after="200"/>
        <w:rPr>
          <w:b/>
        </w:rPr>
      </w:pPr>
      <w:bookmarkStart w:id="835" w:name="_Toc420572668"/>
      <w:r>
        <w:br w:type="page"/>
      </w:r>
    </w:p>
    <w:p w14:paraId="16B3C0D0" w14:textId="04D731E8" w:rsidR="005244F9" w:rsidRDefault="005244F9" w:rsidP="00C150BC">
      <w:pPr>
        <w:pStyle w:val="Heading4"/>
      </w:pPr>
      <w:r>
        <w:t>Monitoring controls</w:t>
      </w:r>
      <w:bookmarkEnd w:id="835"/>
    </w:p>
    <w:p w14:paraId="08F8AE7A" w14:textId="2F5D35B3" w:rsidR="005244F9" w:rsidRDefault="005244F9" w:rsidP="005244F9">
      <w:r>
        <w:t>T</w:t>
      </w:r>
      <w:r w:rsidRPr="00427BDA">
        <w:t>he</w:t>
      </w:r>
      <w:r>
        <w:t xml:space="preserve"> Queensland</w:t>
      </w:r>
      <w:r w:rsidRPr="00427BDA">
        <w:t xml:space="preserve"> </w:t>
      </w:r>
      <w:r w:rsidRPr="00C4021F">
        <w:rPr>
          <w:i/>
        </w:rPr>
        <w:t>Water and Other Legislation Amendment Bill 2011</w:t>
      </w:r>
      <w:r>
        <w:t xml:space="preserve"> makes a range of changes to the </w:t>
      </w:r>
      <w:r w:rsidRPr="00C4021F">
        <w:rPr>
          <w:i/>
        </w:rPr>
        <w:t>Water Act 2000</w:t>
      </w:r>
      <w:r>
        <w:t xml:space="preserve">. </w:t>
      </w:r>
      <w:r w:rsidRPr="00427BDA">
        <w:t xml:space="preserve">In addition to an obligation on </w:t>
      </w:r>
      <w:r>
        <w:t>coal seam gas</w:t>
      </w:r>
      <w:r w:rsidRPr="00427BDA">
        <w:t xml:space="preserve"> companies to enter into formal arrangement with landholders to </w:t>
      </w:r>
      <w:r>
        <w:t>‘</w:t>
      </w:r>
      <w:r w:rsidRPr="00427BDA">
        <w:t>make good</w:t>
      </w:r>
      <w:r>
        <w:t>’</w:t>
      </w:r>
      <w:r w:rsidRPr="00427BDA">
        <w:t xml:space="preserve"> any impairment on landholder’s bores prior to these impacts actually occurring, </w:t>
      </w:r>
      <w:r>
        <w:t xml:space="preserve">it also mandates </w:t>
      </w:r>
      <w:r w:rsidRPr="00427BDA">
        <w:t xml:space="preserve">the </w:t>
      </w:r>
      <w:r>
        <w:t>“</w:t>
      </w:r>
      <w:r w:rsidRPr="00427BDA">
        <w:t>production of underground water impact</w:t>
      </w:r>
      <w:r>
        <w:t>”</w:t>
      </w:r>
      <w:r w:rsidRPr="00427BDA">
        <w:t xml:space="preserve"> reports at no more than three year</w:t>
      </w:r>
      <w:r>
        <w:t>ly</w:t>
      </w:r>
      <w:r w:rsidRPr="00427BDA">
        <w:t xml:space="preserve"> intervals. This is firmly based on adaptive management, as proponents are required to review monitoring results, produce predicted water level impacts using progressively updated groundwater flow models, write up a spring impact management strategy, and </w:t>
      </w:r>
      <w:r>
        <w:t xml:space="preserve">provide </w:t>
      </w:r>
      <w:r w:rsidRPr="00427BDA">
        <w:t xml:space="preserve">an updated water monitoring strategy. </w:t>
      </w:r>
    </w:p>
    <w:p w14:paraId="474A39AA" w14:textId="77777777" w:rsidR="005244F9" w:rsidRDefault="005244F9" w:rsidP="005244F9">
      <w:r>
        <w:t>Well integrity inspections are another feature of the United Kingdom regulatory framework designed to minimise risks and ensure construction is in accordance with s</w:t>
      </w:r>
      <w:r w:rsidRPr="006F4A7C">
        <w:t>tandards</w:t>
      </w:r>
      <w:r>
        <w:t xml:space="preserve"> (HSE, nd).</w:t>
      </w:r>
    </w:p>
    <w:p w14:paraId="63D81AF6" w14:textId="77777777" w:rsidR="005244F9" w:rsidRDefault="005244F9" w:rsidP="00C150BC">
      <w:pPr>
        <w:pStyle w:val="Head3app"/>
      </w:pPr>
      <w:bookmarkStart w:id="836" w:name="_Toc420500929"/>
      <w:bookmarkStart w:id="837" w:name="_Toc420511184"/>
      <w:bookmarkStart w:id="838" w:name="_Toc420572505"/>
      <w:bookmarkStart w:id="839" w:name="_Toc420572669"/>
      <w:bookmarkStart w:id="840" w:name="_Toc420573094"/>
      <w:bookmarkStart w:id="841" w:name="_Toc296599084"/>
      <w:bookmarkStart w:id="842" w:name="_Toc296767305"/>
      <w:bookmarkStart w:id="843" w:name="_Toc296770446"/>
      <w:bookmarkStart w:id="844" w:name="_Toc423018270"/>
      <w:r>
        <w:t>A2.7</w:t>
      </w:r>
      <w:r>
        <w:tab/>
        <w:t>Consequence</w:t>
      </w:r>
      <w:bookmarkEnd w:id="836"/>
      <w:bookmarkEnd w:id="837"/>
      <w:bookmarkEnd w:id="838"/>
      <w:bookmarkEnd w:id="839"/>
      <w:bookmarkEnd w:id="840"/>
      <w:bookmarkEnd w:id="841"/>
      <w:bookmarkEnd w:id="842"/>
      <w:bookmarkEnd w:id="843"/>
      <w:bookmarkEnd w:id="844"/>
    </w:p>
    <w:p w14:paraId="748F33B1" w14:textId="77777777" w:rsidR="005244F9" w:rsidRDefault="005244F9" w:rsidP="005244F9">
      <w:r>
        <w:t>The potential consequence (adverse impact) of the risk identified occurring with standard controls in place should be assessed. Consequence (adverse) can typically range from critical through to negligible. The criteria used to determine potential impact can often be subjective and contentious.</w:t>
      </w:r>
    </w:p>
    <w:p w14:paraId="34BF15D2" w14:textId="25E1E3FA" w:rsidR="005244F9" w:rsidRDefault="005244F9" w:rsidP="00C150BC">
      <w:pPr>
        <w:pStyle w:val="Heading4"/>
      </w:pPr>
      <w:bookmarkStart w:id="845" w:name="_Toc420572670"/>
      <w:r>
        <w:t>Risk assessment to inform government policy</w:t>
      </w:r>
      <w:bookmarkEnd w:id="845"/>
    </w:p>
    <w:p w14:paraId="21B4F155" w14:textId="77777777" w:rsidR="005244F9" w:rsidRPr="00115BF8" w:rsidRDefault="005244F9" w:rsidP="005244F9">
      <w:r>
        <w:t xml:space="preserve">The Commonwealth of Australian Government’s National Partnership Agreement defines qualitatively what significant direct and indirect impacts on water assets and water-dependent would be. Some of these – ecological impacts, coastal </w:t>
      </w:r>
      <w:r w:rsidRPr="00115BF8">
        <w:t xml:space="preserve">and inland processes, heavy metal accumulation and water availability – are outside the scope of the risk assessment framework. The pertinent impacts are provided below and the full list is available in </w:t>
      </w:r>
      <w:r w:rsidRPr="00115BF8">
        <w:fldChar w:fldCharType="begin"/>
      </w:r>
      <w:r w:rsidRPr="00115BF8">
        <w:instrText xml:space="preserve"> REF _Ref406753980 \r \h </w:instrText>
      </w:r>
      <w:r>
        <w:instrText xml:space="preserve"> \* MERGEFORMAT </w:instrText>
      </w:r>
      <w:r w:rsidRPr="00115BF8">
        <w:fldChar w:fldCharType="separate"/>
      </w:r>
      <w:r w:rsidR="00171A5E">
        <w:t>0</w:t>
      </w:r>
      <w:r w:rsidRPr="00115BF8">
        <w:fldChar w:fldCharType="end"/>
      </w:r>
      <w:r w:rsidRPr="00115BF8">
        <w:t>:</w:t>
      </w:r>
    </w:p>
    <w:p w14:paraId="359B0DC4" w14:textId="77777777" w:rsidR="005244F9" w:rsidRPr="008C7B73" w:rsidRDefault="005244F9" w:rsidP="00C150BC">
      <w:pPr>
        <w:pStyle w:val="bulletlist0"/>
      </w:pPr>
      <w:r>
        <w:t>•</w:t>
      </w:r>
      <w:r>
        <w:tab/>
        <w:t>r</w:t>
      </w:r>
      <w:r w:rsidRPr="00115BF8">
        <w:t>esult in substantial change in</w:t>
      </w:r>
      <w:r w:rsidRPr="008C7B73">
        <w:t xml:space="preserve"> the quantity, quality or flow regimes of surface water or groundwater</w:t>
      </w:r>
    </w:p>
    <w:p w14:paraId="186BE169" w14:textId="77777777" w:rsidR="005244F9" w:rsidRPr="008C7B73" w:rsidRDefault="005244F9" w:rsidP="00C150BC">
      <w:pPr>
        <w:pStyle w:val="bulletlist0"/>
      </w:pPr>
      <w:r>
        <w:t>•</w:t>
      </w:r>
      <w:r>
        <w:tab/>
        <w:t>s</w:t>
      </w:r>
      <w:r w:rsidRPr="008C7B73">
        <w:t xml:space="preserve">ubstantially alter groundwater pressure and/or </w:t>
      </w:r>
      <w:r>
        <w:t>watertable</w:t>
      </w:r>
      <w:r w:rsidRPr="008C7B73">
        <w:t xml:space="preserve"> levels</w:t>
      </w:r>
    </w:p>
    <w:p w14:paraId="7DB33E60" w14:textId="77777777" w:rsidR="005244F9" w:rsidRDefault="005244F9" w:rsidP="005244F9">
      <w:r>
        <w:t>The literature review did not identify any unique consequence -rating criteria applied to determine consequences used to specifically inform a government policy decision. The IESC (2014) provides consequence tables which vary in complexity depending on whether consequence (and likelihoods) can be defined in quantitative or qualitative terms.</w:t>
      </w:r>
    </w:p>
    <w:p w14:paraId="0D8DF2C8" w14:textId="53289C9C" w:rsidR="005244F9" w:rsidRDefault="005244F9" w:rsidP="00C150BC">
      <w:pPr>
        <w:pStyle w:val="Heading4"/>
      </w:pPr>
      <w:bookmarkStart w:id="846" w:name="_Toc420572671"/>
      <w:r>
        <w:t>Risk assessment to inform project scale development</w:t>
      </w:r>
      <w:bookmarkEnd w:id="846"/>
    </w:p>
    <w:p w14:paraId="19A7A3C6" w14:textId="77777777" w:rsidR="005244F9" w:rsidRDefault="005244F9" w:rsidP="005244F9">
      <w:r>
        <w:t xml:space="preserve">The significance of the impact on a receptor depends on the </w:t>
      </w:r>
      <w:r w:rsidRPr="00BA7A66">
        <w:rPr>
          <w:iCs/>
        </w:rPr>
        <w:t>sensitivity</w:t>
      </w:r>
      <w:r>
        <w:rPr>
          <w:i/>
          <w:iCs/>
        </w:rPr>
        <w:t xml:space="preserve"> </w:t>
      </w:r>
      <w:r>
        <w:t xml:space="preserve">to the impact as well as the </w:t>
      </w:r>
      <w:r w:rsidRPr="00BA7A66">
        <w:rPr>
          <w:iCs/>
        </w:rPr>
        <w:t>value</w:t>
      </w:r>
      <w:r>
        <w:rPr>
          <w:i/>
          <w:iCs/>
        </w:rPr>
        <w:t xml:space="preserve"> </w:t>
      </w:r>
      <w:r>
        <w:t>of the receptor.</w:t>
      </w:r>
    </w:p>
    <w:p w14:paraId="4F42907C" w14:textId="77777777" w:rsidR="005244F9" w:rsidRPr="003A575E" w:rsidRDefault="005244F9" w:rsidP="005244F9">
      <w:r>
        <w:t xml:space="preserve">The </w:t>
      </w:r>
      <w:r w:rsidRPr="003A575E">
        <w:t>Department of Environment (2013)</w:t>
      </w:r>
      <w:r w:rsidRPr="003A575E">
        <w:rPr>
          <w:rStyle w:val="FootnoteReference"/>
          <w:rFonts w:eastAsiaTheme="majorEastAsia"/>
        </w:rPr>
        <w:footnoteReference w:id="12"/>
      </w:r>
      <w:r w:rsidRPr="003A575E">
        <w:t xml:space="preserve">  provides general guidance to proponents on what level of impact may be deemed significant in terms of the hydrological characteristics of water resources. These are: </w:t>
      </w:r>
    </w:p>
    <w:p w14:paraId="47ADCFAB" w14:textId="77777777" w:rsidR="005244F9" w:rsidRPr="003A575E" w:rsidRDefault="005244F9" w:rsidP="00C150BC">
      <w:pPr>
        <w:pStyle w:val="bulletlist0"/>
      </w:pPr>
      <w:r>
        <w:t>•</w:t>
      </w:r>
      <w:r>
        <w:tab/>
      </w:r>
      <w:r w:rsidRPr="003A575E">
        <w:t>changes in water quantity.</w:t>
      </w:r>
    </w:p>
    <w:p w14:paraId="7204BF2A" w14:textId="77777777" w:rsidR="005244F9" w:rsidRPr="003A575E" w:rsidRDefault="005244F9" w:rsidP="00C150BC">
      <w:pPr>
        <w:pStyle w:val="bulletlist0"/>
      </w:pPr>
      <w:r>
        <w:t>•</w:t>
      </w:r>
      <w:r>
        <w:tab/>
      </w:r>
      <w:r w:rsidRPr="003A575E">
        <w:t>modified integrity of hydrological or hydrogeological connections (including substantial structural damage e.g. large scale subsidence)</w:t>
      </w:r>
    </w:p>
    <w:p w14:paraId="3B26AB9D" w14:textId="77777777" w:rsidR="005244F9" w:rsidRPr="003A575E" w:rsidRDefault="005244F9" w:rsidP="00C150BC">
      <w:pPr>
        <w:pStyle w:val="bulletlist0"/>
      </w:pPr>
      <w:r>
        <w:t>•</w:t>
      </w:r>
      <w:r>
        <w:tab/>
      </w:r>
      <w:r w:rsidRPr="003A575E">
        <w:t>altered area or extent of a water resource at a sufficient scale/intensity to significantly reduce current or future use for third party users.</w:t>
      </w:r>
    </w:p>
    <w:p w14:paraId="55927B87" w14:textId="57296A5F" w:rsidR="005244F9" w:rsidRPr="003A575E" w:rsidRDefault="005244F9" w:rsidP="005244F9">
      <w:r w:rsidRPr="003A575E">
        <w:t>In New South Wales, most waterways are protected on the basis of being ‘slightly to moderately disturbed ecosystems’ and thus a significant impact is likely if the expected change in water quality exceeds this level, as contained in relevant local or regional water quality objectives. These objectives are typically the 80% to 95% ecosystem protection values listed in the Australian Water Quality Guidelines</w:t>
      </w:r>
      <w:r>
        <w:t xml:space="preserve"> (</w:t>
      </w:r>
      <w:r w:rsidRPr="002C3CA3">
        <w:t>ARMCANZ</w:t>
      </w:r>
      <w:r w:rsidR="00D92300">
        <w:t xml:space="preserve"> and </w:t>
      </w:r>
      <w:r w:rsidRPr="002C3CA3">
        <w:t xml:space="preserve">ANZECC </w:t>
      </w:r>
      <w:r>
        <w:t>2000)</w:t>
      </w:r>
      <w:r w:rsidRPr="003A575E">
        <w:t xml:space="preserve">. Waterways which flow through relatively undisturbed national parks, World Heritage Areas or Ramsar-listed Wetlands(Matters of National Environmental Significance) benefit from more stringent thresholds and are deemed of ‘high conservation value’. </w:t>
      </w:r>
    </w:p>
    <w:p w14:paraId="20484451" w14:textId="400E8E86" w:rsidR="009B3448" w:rsidRPr="009B3448" w:rsidRDefault="009B3448">
      <w:r w:rsidRPr="009B3448">
        <w:t>The Aquifer Interference Policy sets out the minimum levels (level 1) of groundwater protection a proposed development must achieve for specific groundwater sources</w:t>
      </w:r>
      <w:r w:rsidR="008573A4">
        <w:t xml:space="preserve">. </w:t>
      </w:r>
      <w:r w:rsidRPr="009B3448">
        <w:t xml:space="preserve">The level of protection will differ depending on whether the asset is a ‘highly productive’ or ‘less productive’ groundwater sources. Indicative minimum impact considerations for </w:t>
      </w:r>
      <w:r w:rsidRPr="009B3448">
        <w:rPr>
          <w:i/>
        </w:rPr>
        <w:t>alluvial water sources</w:t>
      </w:r>
      <w:r w:rsidRPr="009B3448">
        <w:t xml:space="preserve"> are provided </w:t>
      </w:r>
      <w:r w:rsidRPr="005F6419">
        <w:t xml:space="preserve">below </w:t>
      </w:r>
      <w:r w:rsidR="005244F9" w:rsidRPr="005F6419">
        <w:t>(see Appendix AG for full details</w:t>
      </w:r>
      <w:r w:rsidR="005244F9">
        <w:t>)</w:t>
      </w:r>
      <w:r w:rsidRPr="009B3448">
        <w:t>:</w:t>
      </w:r>
    </w:p>
    <w:p w14:paraId="6749EBC3" w14:textId="77777777" w:rsidR="005244F9" w:rsidRDefault="005244F9" w:rsidP="00C150BC">
      <w:pPr>
        <w:pStyle w:val="bulletlist0"/>
      </w:pPr>
      <w:r>
        <w:t>•</w:t>
      </w:r>
      <w:r>
        <w:tab/>
        <w:t>v</w:t>
      </w:r>
      <w:r w:rsidRPr="00115BF8">
        <w:t xml:space="preserve">ariation from </w:t>
      </w:r>
      <w:r>
        <w:t>watertable levels within 40m of high priority groundwater dependent ecosystems or high priority culturally significant sites</w:t>
      </w:r>
    </w:p>
    <w:p w14:paraId="19E68B3B" w14:textId="77777777" w:rsidR="005244F9" w:rsidRDefault="005244F9" w:rsidP="00C150BC">
      <w:pPr>
        <w:pStyle w:val="bulletlist0"/>
      </w:pPr>
      <w:r>
        <w:t>•</w:t>
      </w:r>
      <w:r>
        <w:tab/>
        <w:t>pressure head declines of not more than 40% of post-water sharing plan levels</w:t>
      </w:r>
    </w:p>
    <w:p w14:paraId="3C7825C8" w14:textId="77777777" w:rsidR="005244F9" w:rsidRPr="003A575E" w:rsidRDefault="005244F9" w:rsidP="00C150BC">
      <w:pPr>
        <w:pStyle w:val="bulletlist0"/>
      </w:pPr>
      <w:r>
        <w:t>•</w:t>
      </w:r>
      <w:r>
        <w:tab/>
      </w:r>
      <w:r w:rsidRPr="003A575E">
        <w:t xml:space="preserve">changes in groundwater quality should not reduce beneficial use beyond 40m of the activity </w:t>
      </w:r>
    </w:p>
    <w:p w14:paraId="684E5134" w14:textId="77777777" w:rsidR="005244F9" w:rsidRPr="003A575E" w:rsidRDefault="005244F9" w:rsidP="00C150BC">
      <w:pPr>
        <w:pStyle w:val="bulletlist0"/>
      </w:pPr>
      <w:r>
        <w:t>•</w:t>
      </w:r>
      <w:r>
        <w:tab/>
      </w:r>
      <w:r w:rsidRPr="003A575E">
        <w:t>not contribute to more than 1% increase in salinity in highly-connected surface water at closest point to the activity.</w:t>
      </w:r>
    </w:p>
    <w:p w14:paraId="1F8E3925" w14:textId="77777777" w:rsidR="005244F9" w:rsidRPr="003A575E" w:rsidRDefault="005244F9" w:rsidP="005244F9">
      <w:r w:rsidRPr="003A575E">
        <w:t xml:space="preserve">DMITRE (2013) provide guidance on criteria used to assess level of environmental impact from under </w:t>
      </w:r>
      <w:r w:rsidRPr="003A575E">
        <w:rPr>
          <w:i/>
        </w:rPr>
        <w:t>Petroleum and Geothermal Energy Act 2000</w:t>
      </w:r>
      <w:r w:rsidRPr="003A575E">
        <w:t xml:space="preserve">. The framework is based around the concepts of manageability and predictability of a given impact:  </w:t>
      </w:r>
    </w:p>
    <w:p w14:paraId="2E330095" w14:textId="77777777" w:rsidR="005244F9" w:rsidRDefault="005244F9" w:rsidP="00C150BC">
      <w:pPr>
        <w:pStyle w:val="bulletlist0"/>
      </w:pPr>
      <w:r>
        <w:t>•</w:t>
      </w:r>
      <w:r>
        <w:tab/>
      </w:r>
      <w:r w:rsidRPr="003A575E">
        <w:t xml:space="preserve">The </w:t>
      </w:r>
      <w:r w:rsidRPr="003A575E">
        <w:rPr>
          <w:i/>
        </w:rPr>
        <w:t>predictability</w:t>
      </w:r>
      <w:r w:rsidRPr="003A575E">
        <w:t xml:space="preserve"> criterion</w:t>
      </w:r>
      <w:r>
        <w:t xml:space="preserve"> is a function of </w:t>
      </w:r>
      <w:r w:rsidRPr="00C4021F">
        <w:t>size, scope, duration, likelihood/frequency and stakeholder concerns</w:t>
      </w:r>
      <w:r>
        <w:t xml:space="preserve"> associated with potential impacts. </w:t>
      </w:r>
    </w:p>
    <w:p w14:paraId="75AA1A2F" w14:textId="77777777" w:rsidR="005244F9" w:rsidRPr="003A575E" w:rsidRDefault="005244F9" w:rsidP="00C150BC">
      <w:pPr>
        <w:pStyle w:val="bulletlist0"/>
      </w:pPr>
      <w:r>
        <w:t>•</w:t>
      </w:r>
      <w:r>
        <w:tab/>
        <w:t xml:space="preserve">The </w:t>
      </w:r>
      <w:r>
        <w:rPr>
          <w:i/>
        </w:rPr>
        <w:t>m</w:t>
      </w:r>
      <w:r w:rsidRPr="008A1123">
        <w:rPr>
          <w:i/>
        </w:rPr>
        <w:t xml:space="preserve">anageability </w:t>
      </w:r>
      <w:r>
        <w:t xml:space="preserve">criterion is based on the assumption of the event occurring, and is a consideration of the extent to which consequences can be avoided or minimised in terms of size, scope and duration. It too considers likelihood/frequency of the event occurring and stakeholder concerns, but additionally requires consideration and </w:t>
      </w:r>
      <w:r w:rsidRPr="003A575E">
        <w:t xml:space="preserve">estimation of the potential for cumulative impacts. </w:t>
      </w:r>
    </w:p>
    <w:p w14:paraId="19BB76E9" w14:textId="77777777" w:rsidR="005244F9" w:rsidRDefault="005244F9" w:rsidP="005244F9">
      <w:r>
        <w:t xml:space="preserve">The level of confidence in each of these criteria, as rated on a scale of 1 to 5, are the two decisive determinants in the environmental significance matrix (see Figure A2 below). </w:t>
      </w:r>
    </w:p>
    <w:p w14:paraId="47CD899B" w14:textId="77777777" w:rsidR="005244F9" w:rsidRDefault="005244F9" w:rsidP="00C35056">
      <w:pPr>
        <w:pStyle w:val="figurereturn"/>
      </w:pPr>
      <w:r>
        <w:drawing>
          <wp:inline distT="0" distB="0" distL="0" distR="0" wp14:anchorId="2A715889" wp14:editId="4205B5B2">
            <wp:extent cx="5678887" cy="28644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a:ext>
                      </a:extLst>
                    </a:blip>
                    <a:stretch>
                      <a:fillRect/>
                    </a:stretch>
                  </pic:blipFill>
                  <pic:spPr>
                    <a:xfrm>
                      <a:off x="0" y="0"/>
                      <a:ext cx="5719017" cy="2884740"/>
                    </a:xfrm>
                    <a:prstGeom prst="rect">
                      <a:avLst/>
                    </a:prstGeom>
                  </pic:spPr>
                </pic:pic>
              </a:graphicData>
            </a:graphic>
          </wp:inline>
        </w:drawing>
      </w:r>
    </w:p>
    <w:p w14:paraId="4998CC69" w14:textId="580CF62B" w:rsidR="009B3448" w:rsidRPr="009B3448" w:rsidRDefault="005244F9" w:rsidP="00A53AE8">
      <w:pPr>
        <w:pStyle w:val="Figuretitle"/>
      </w:pPr>
      <w:bookmarkStart w:id="847" w:name="_Ref406754652"/>
      <w:bookmarkStart w:id="848" w:name="_Toc419969422"/>
      <w:bookmarkStart w:id="849" w:name="_Toc420577002"/>
      <w:r>
        <w:t>Figure</w:t>
      </w:r>
      <w:bookmarkEnd w:id="847"/>
      <w:r>
        <w:t xml:space="preserve"> A2:  Matrix</w:t>
      </w:r>
      <w:r w:rsidRPr="000B4213">
        <w:t xml:space="preserve"> </w:t>
      </w:r>
      <w:r>
        <w:t>to determine level of environmental significance (DMITRE, 2013)</w:t>
      </w:r>
      <w:bookmarkEnd w:id="848"/>
      <w:bookmarkEnd w:id="849"/>
      <w:r>
        <w:t>.</w:t>
      </w:r>
      <w:r>
        <w:br/>
      </w:r>
    </w:p>
    <w:p w14:paraId="439CA18C" w14:textId="77777777" w:rsidR="005244F9" w:rsidRDefault="005244F9" w:rsidP="005244F9">
      <w:r>
        <w:t>The circumstances outlined below determine the significance scores that should be applied:</w:t>
      </w:r>
    </w:p>
    <w:p w14:paraId="6AEE4509" w14:textId="77777777" w:rsidR="005244F9" w:rsidRDefault="005244F9" w:rsidP="00C150BC">
      <w:pPr>
        <w:pStyle w:val="bulletlist0"/>
      </w:pPr>
      <w:r>
        <w:t>•</w:t>
      </w:r>
      <w:r>
        <w:tab/>
        <w:t xml:space="preserve">1 – where potential adverse consequences can be completely avoided, there are no adverse consequences or low likelihood of an event (which would lead to adverse effects) occurring. </w:t>
      </w:r>
    </w:p>
    <w:p w14:paraId="51DB478E" w14:textId="77777777" w:rsidR="005244F9" w:rsidRDefault="005244F9" w:rsidP="00C150BC">
      <w:pPr>
        <w:pStyle w:val="bulletlist0"/>
      </w:pPr>
      <w:r>
        <w:t>•</w:t>
      </w:r>
      <w:r>
        <w:tab/>
        <w:t xml:space="preserve">2 – where potentially adverse consequences cannot be entirely avoided, or likelihood of being realised is not low but these can be managed to occur only in the near term. </w:t>
      </w:r>
    </w:p>
    <w:p w14:paraId="6454F1F8" w14:textId="044CC63D" w:rsidR="005244F9" w:rsidRDefault="005244F9" w:rsidP="00C150BC">
      <w:pPr>
        <w:pStyle w:val="bulletlist0"/>
      </w:pPr>
      <w:r>
        <w:t>•</w:t>
      </w:r>
      <w:r>
        <w:tab/>
        <w:t xml:space="preserve">3, 4 – if impacts are expected to occur over a longer period, but they can be confined to a relatively small area in relation to surrounding environment, then a significance score of 3 can be given. If this is not the case a level of 4 should be applied. A score of 4 should also be given if impacts considered to be level 1 or 2 can have cumulative impacts with other existing activities. </w:t>
      </w:r>
    </w:p>
    <w:p w14:paraId="29D399B3" w14:textId="77777777" w:rsidR="005244F9" w:rsidRDefault="005244F9" w:rsidP="00C150BC">
      <w:pPr>
        <w:pStyle w:val="bulletlist0"/>
      </w:pPr>
      <w:r>
        <w:t>•</w:t>
      </w:r>
      <w:r>
        <w:tab/>
        <w:t xml:space="preserve">5 – where consequences are potentially catastrophic with respect to scale or irreversibility or major concerns are raised by other stakeholders. </w:t>
      </w:r>
    </w:p>
    <w:p w14:paraId="35BC435E" w14:textId="77777777" w:rsidR="005244F9" w:rsidRDefault="005244F9" w:rsidP="005244F9">
      <w:r w:rsidRPr="00DA4C84">
        <w:t xml:space="preserve">The Queensland Water Commission (2012) underground water impact report for the Surat and Bowen basins, </w:t>
      </w:r>
      <w:r w:rsidRPr="00C603F8">
        <w:t>assessed and ranked risks to springs on a level of 1 to 5. The level is determined on the basis of likelihood of reduced water flows,</w:t>
      </w:r>
      <w:r w:rsidRPr="00F35925">
        <w:t xml:space="preserve"> and on the resulting impact to spring values should this eventuate. </w:t>
      </w:r>
      <w:r w:rsidRPr="00DA4C84">
        <w:t>For each spring vent, a risk level between 1 (lower) and 5 (higher) were assigned on the basis of the likelihood of there being reductions in the flow of water and likely consequences on spring values if a reduction in flow was to arise</w:t>
      </w:r>
      <w:r>
        <w:t xml:space="preserve">. </w:t>
      </w:r>
    </w:p>
    <w:p w14:paraId="127130BD" w14:textId="77777777" w:rsidR="005244F9" w:rsidRPr="003A575E" w:rsidRDefault="005244F9" w:rsidP="005244F9">
      <w:r>
        <w:t xml:space="preserve">The </w:t>
      </w:r>
      <w:r w:rsidRPr="003A575E">
        <w:t>Queensland Water Commission study (2012) used two criteria to assess consequence of impacts to springs. The two criteria were:</w:t>
      </w:r>
    </w:p>
    <w:p w14:paraId="1B676FFF" w14:textId="105DB3E2" w:rsidR="005244F9" w:rsidRPr="003A575E" w:rsidRDefault="005244F9" w:rsidP="00C150BC">
      <w:pPr>
        <w:pStyle w:val="bulletlist0"/>
      </w:pPr>
      <w:r>
        <w:t>•</w:t>
      </w:r>
      <w:r>
        <w:tab/>
        <w:t>c</w:t>
      </w:r>
      <w:r w:rsidRPr="003A575E">
        <w:t>onservation value – the updated conservation ranking for each spring informed by the spring survey</w:t>
      </w:r>
    </w:p>
    <w:p w14:paraId="6A4038FD" w14:textId="75CA8E89" w:rsidR="005244F9" w:rsidRPr="003A575E" w:rsidRDefault="005244F9" w:rsidP="00C150BC">
      <w:pPr>
        <w:pStyle w:val="bulletlist0"/>
      </w:pPr>
      <w:r>
        <w:t>•</w:t>
      </w:r>
      <w:r>
        <w:tab/>
        <w:t>p</w:t>
      </w:r>
      <w:r w:rsidRPr="003A575E">
        <w:t xml:space="preserve">roximity of the spring to the recharge area of the spring’s source aquifer, as an indicator of the ecosystem’s resilience to changes in terms of availability of water to the spring. </w:t>
      </w:r>
    </w:p>
    <w:p w14:paraId="3CD73A52" w14:textId="77777777" w:rsidR="005244F9" w:rsidRDefault="005244F9" w:rsidP="005244F9">
      <w:r w:rsidRPr="003A575E">
        <w:t>Cultural heritage values were not assessed in the study. The study</w:t>
      </w:r>
      <w:r w:rsidRPr="003A575E">
        <w:rPr>
          <w:rStyle w:val="FootnoteReference"/>
          <w:rFonts w:eastAsiaTheme="majorEastAsia"/>
        </w:rPr>
        <w:t xml:space="preserve"> </w:t>
      </w:r>
      <w:r w:rsidRPr="003A575E">
        <w:t>did also not explicitly consider all factors that could influence groundwater drawdown propagation such as faults and wellbore pathways, and focussed entirely on springs and did not consider the potential sensitivity of the aquifers and groundwater</w:t>
      </w:r>
      <w:r w:rsidRPr="001A2CDA">
        <w:t xml:space="preserve"> users</w:t>
      </w:r>
      <w:r>
        <w:rPr>
          <w:rStyle w:val="FootnoteReference"/>
          <w:rFonts w:eastAsiaTheme="majorEastAsia"/>
        </w:rPr>
        <w:footnoteReference w:id="13"/>
      </w:r>
      <w:r>
        <w:t>.</w:t>
      </w:r>
    </w:p>
    <w:p w14:paraId="27E531A9" w14:textId="77777777" w:rsidR="005244F9" w:rsidRDefault="005244F9" w:rsidP="005244F9">
      <w:pPr>
        <w:pStyle w:val="Heading4"/>
        <w:ind w:left="864" w:hanging="864"/>
      </w:pPr>
      <w:r>
        <w:t>Techniques to determine consequence</w:t>
      </w:r>
    </w:p>
    <w:p w14:paraId="1EAEDA04" w14:textId="77777777" w:rsidR="005244F9" w:rsidRPr="003A575E" w:rsidRDefault="005244F9" w:rsidP="005244F9">
      <w:r>
        <w:t>NSW DPI Office of Water (2012b)</w:t>
      </w:r>
      <w:r w:rsidRPr="00100390">
        <w:rPr>
          <w:i/>
        </w:rPr>
        <w:t xml:space="preserve"> Risk assessment guidelines for groundwater dependent ecosystems</w:t>
      </w:r>
      <w:r>
        <w:rPr>
          <w:i/>
        </w:rPr>
        <w:t xml:space="preserve"> </w:t>
      </w:r>
      <w:r>
        <w:t xml:space="preserve">provides a process to identify, evaluate and assess the consequence of impacts to groundwater dependent ecosystems which explicitly recognises the inherent interconnectedness of groundwater and surface water assets – the </w:t>
      </w:r>
      <w:r w:rsidRPr="003A575E">
        <w:t>process is summarised in Appendix G.</w:t>
      </w:r>
    </w:p>
    <w:p w14:paraId="34EE9914" w14:textId="77777777" w:rsidR="005244F9" w:rsidRPr="003A575E" w:rsidRDefault="005244F9" w:rsidP="005244F9">
      <w:r w:rsidRPr="003A575E">
        <w:t>Multiple attributes are used to inform the consequence of impacts to four key aquifer assets. These are water quantity, water quality, aquifer integrity and biological integrity assets. High, medium and low impacts to water quantity and quality are determined in accordance with:</w:t>
      </w:r>
    </w:p>
    <w:p w14:paraId="40737500" w14:textId="76CB08C4" w:rsidR="005244F9" w:rsidRPr="003A575E" w:rsidRDefault="005244F9" w:rsidP="00247CBE">
      <w:pPr>
        <w:numPr>
          <w:ilvl w:val="0"/>
          <w:numId w:val="2"/>
        </w:numPr>
        <w:tabs>
          <w:tab w:val="clear" w:pos="1260"/>
          <w:tab w:val="num" w:pos="426"/>
        </w:tabs>
        <w:ind w:left="426" w:hanging="426"/>
      </w:pPr>
      <w:r w:rsidRPr="003A575E">
        <w:t>Water quantity</w:t>
      </w:r>
    </w:p>
    <w:p w14:paraId="285C4796" w14:textId="5D8EAD6F" w:rsidR="005244F9" w:rsidRPr="003A575E" w:rsidRDefault="005244F9" w:rsidP="00247CBE">
      <w:pPr>
        <w:ind w:left="709" w:hanging="283"/>
      </w:pPr>
      <w:r>
        <w:t>–</w:t>
      </w:r>
      <w:r>
        <w:tab/>
      </w:r>
      <w:r w:rsidRPr="003A575E">
        <w:t>Reduction or fluctuation in groundwater levels or piezometric pressure beyond seasonal variation, leading to loss of or alteration to habitat type. If permanent, high impact; if temporary, medium impact. No change to aquifer water levels or pressure is a low impact.</w:t>
      </w:r>
    </w:p>
    <w:p w14:paraId="7732FD03" w14:textId="0B4A5DC5" w:rsidR="005244F9" w:rsidRPr="003A575E" w:rsidRDefault="005244F9" w:rsidP="00247CBE">
      <w:pPr>
        <w:ind w:left="709" w:hanging="283"/>
      </w:pPr>
      <w:r>
        <w:t>–</w:t>
      </w:r>
      <w:r>
        <w:tab/>
      </w:r>
      <w:r w:rsidRPr="003A575E">
        <w:t>Reversal of base flow conditions – if permanent, high impact; if temporary reversal exceeding seasonal variation, medium impact. No change in direction of flow is a low impact.</w:t>
      </w:r>
    </w:p>
    <w:p w14:paraId="7A214CC7" w14:textId="661C2FBA" w:rsidR="005244F9" w:rsidRPr="003A575E" w:rsidRDefault="005244F9" w:rsidP="00247CBE">
      <w:pPr>
        <w:numPr>
          <w:ilvl w:val="0"/>
          <w:numId w:val="2"/>
        </w:numPr>
        <w:tabs>
          <w:tab w:val="clear" w:pos="1260"/>
          <w:tab w:val="num" w:pos="426"/>
        </w:tabs>
        <w:ind w:left="426" w:hanging="426"/>
      </w:pPr>
      <w:r w:rsidRPr="003A575E">
        <w:t>Water quality</w:t>
      </w:r>
    </w:p>
    <w:p w14:paraId="6A8B75B0" w14:textId="66FBA145" w:rsidR="005244F9" w:rsidRPr="003A575E" w:rsidRDefault="005244F9" w:rsidP="00C150BC">
      <w:pPr>
        <w:ind w:left="709" w:hanging="283"/>
      </w:pPr>
      <w:r>
        <w:t>–</w:t>
      </w:r>
      <w:r>
        <w:tab/>
      </w:r>
      <w:r w:rsidRPr="003A575E">
        <w:t>Change in chemical conditions (e.g. in pH, DO, nutrients, temperature and/ or turbidity), if permanent, high impact. If temporary, medium impact. If negligible (&lt;5%) it is a low impact</w:t>
      </w:r>
    </w:p>
    <w:p w14:paraId="032EC379" w14:textId="4F516BA5" w:rsidR="005244F9" w:rsidRPr="003A575E" w:rsidRDefault="005244F9" w:rsidP="00C150BC">
      <w:pPr>
        <w:ind w:left="709" w:hanging="283"/>
      </w:pPr>
      <w:r>
        <w:t>–</w:t>
      </w:r>
      <w:r>
        <w:tab/>
      </w:r>
      <w:r w:rsidRPr="003A575E">
        <w:t>Permanent change in location or gradient of salt/freshwater interface</w:t>
      </w:r>
    </w:p>
    <w:p w14:paraId="340DA6F7" w14:textId="561640B0" w:rsidR="005244F9" w:rsidRPr="003A575E" w:rsidRDefault="005244F9" w:rsidP="00C150BC">
      <w:pPr>
        <w:ind w:left="709" w:hanging="283"/>
      </w:pPr>
      <w:r>
        <w:t>–</w:t>
      </w:r>
      <w:r>
        <w:tab/>
      </w:r>
      <w:r w:rsidRPr="003A575E">
        <w:t>Reduction in water quality for identified trigger parameters– if beyond designated Beneficial Use category it is high impact; if within designated BU category medium impact. Negligible change for identified triggers is low impact (&lt;5%)</w:t>
      </w:r>
    </w:p>
    <w:p w14:paraId="0ACB1971" w14:textId="625FDB65" w:rsidR="005244F9" w:rsidRDefault="005244F9" w:rsidP="00247CBE">
      <w:pPr>
        <w:numPr>
          <w:ilvl w:val="0"/>
          <w:numId w:val="2"/>
        </w:numPr>
        <w:tabs>
          <w:tab w:val="clear" w:pos="1260"/>
          <w:tab w:val="num" w:pos="426"/>
        </w:tabs>
        <w:ind w:left="426" w:hanging="426"/>
      </w:pPr>
      <w:r w:rsidRPr="003A575E">
        <w:t>Aquifer integrity</w:t>
      </w:r>
      <w:r>
        <w:t xml:space="preserve"> – </w:t>
      </w:r>
      <w:r w:rsidRPr="003A575E">
        <w:t>If permanent destruction of aquifer</w:t>
      </w:r>
      <w:r>
        <w:t xml:space="preserve"> matrix through major fracturing of bedrock, stream bed leading to dewatering of groundwater dependent ecosystems, then a high impact is determined. Moderate impacts are temporary adjustment to aquifer matrix, with minor fracturing leading to partial dewatering of groundwater dependent ecosystems. Low impacts must register no change in geologic structure from the activity.</w:t>
      </w:r>
    </w:p>
    <w:p w14:paraId="2C9BC803" w14:textId="6051DB5F" w:rsidR="005244F9" w:rsidRDefault="00247CBE" w:rsidP="00247CBE">
      <w:pPr>
        <w:numPr>
          <w:ilvl w:val="0"/>
          <w:numId w:val="2"/>
        </w:numPr>
        <w:tabs>
          <w:tab w:val="clear" w:pos="1260"/>
          <w:tab w:val="num" w:pos="426"/>
        </w:tabs>
        <w:ind w:left="426" w:hanging="426"/>
      </w:pPr>
      <w:r>
        <w:t>Biological integrity</w:t>
      </w:r>
    </w:p>
    <w:p w14:paraId="6F54EB43" w14:textId="12708FF4" w:rsidR="005244F9" w:rsidRDefault="00247CBE" w:rsidP="00C150BC">
      <w:pPr>
        <w:ind w:left="709" w:hanging="283"/>
      </w:pPr>
      <w:r>
        <w:t>–</w:t>
      </w:r>
      <w:r w:rsidR="005244F9">
        <w:tab/>
        <w:t>&gt; 10% reduction in number of native species within groundwater dependent communities is a high impact. 5–10% is a moderate impact and no reduction is a low impact</w:t>
      </w:r>
    </w:p>
    <w:p w14:paraId="27D250D1" w14:textId="034F4A74" w:rsidR="005244F9" w:rsidRDefault="00247CBE" w:rsidP="00C150BC">
      <w:pPr>
        <w:ind w:left="709" w:hanging="283"/>
      </w:pPr>
      <w:r>
        <w:t>–</w:t>
      </w:r>
      <w:r w:rsidR="005244F9">
        <w:tab/>
        <w:t xml:space="preserve">&gt;10% change to species composition is high impact, 5–10% is moderate impact, and no change is a low impact. </w:t>
      </w:r>
    </w:p>
    <w:p w14:paraId="4A7335EC" w14:textId="14824367" w:rsidR="005244F9" w:rsidRDefault="00247CBE" w:rsidP="00C150BC">
      <w:pPr>
        <w:ind w:left="709" w:hanging="283"/>
      </w:pPr>
      <w:r>
        <w:t>–</w:t>
      </w:r>
      <w:r w:rsidR="005244F9">
        <w:tab/>
        <w:t>Risk of increasing the presence of exotic species is high if large populations of one or more species are recorded, moderate if species in small numbers are noted and low risk if no exotic species exist</w:t>
      </w:r>
    </w:p>
    <w:p w14:paraId="40E869F6" w14:textId="13E7EA35" w:rsidR="005244F9" w:rsidRPr="003A575E" w:rsidRDefault="00247CBE" w:rsidP="00C150BC">
      <w:pPr>
        <w:ind w:left="709" w:hanging="283"/>
      </w:pPr>
      <w:r>
        <w:t>–</w:t>
      </w:r>
      <w:r w:rsidR="005244F9">
        <w:tab/>
        <w:t xml:space="preserve">Risk of removing or altering groundwater dependent ecosystem subtype habitat is high if there is &gt;20% </w:t>
      </w:r>
      <w:r w:rsidR="005244F9" w:rsidRPr="003A575E">
        <w:t>loss or change to habitat area, moderate if there is 10</w:t>
      </w:r>
      <w:r w:rsidR="005244F9">
        <w:t>–</w:t>
      </w:r>
      <w:r w:rsidR="005244F9" w:rsidRPr="003A575E">
        <w:t xml:space="preserve">20% change and low if there is no removal or alteration of habitat. </w:t>
      </w:r>
    </w:p>
    <w:p w14:paraId="2F35EA4B" w14:textId="726BAA80" w:rsidR="005244F9" w:rsidRPr="003A575E" w:rsidRDefault="005244F9" w:rsidP="005244F9">
      <w:r w:rsidRPr="003A575E">
        <w:t xml:space="preserve">If proponents provide </w:t>
      </w:r>
      <w:r>
        <w:t>‘</w:t>
      </w:r>
      <w:r w:rsidRPr="003A575E">
        <w:t>unknown</w:t>
      </w:r>
      <w:r>
        <w:t>’</w:t>
      </w:r>
      <w:r w:rsidRPr="003A575E">
        <w:t xml:space="preserve"> against more than half of these considerations, then the risk is high until evidence can be shown to prove otherwise. </w:t>
      </w:r>
    </w:p>
    <w:p w14:paraId="426A169D" w14:textId="77777777" w:rsidR="005244F9" w:rsidRPr="003A575E" w:rsidRDefault="005244F9" w:rsidP="005244F9">
      <w:r w:rsidRPr="003A575E">
        <w:t xml:space="preserve">Current measures to manage impacts to Groundwater Dependent Ecosystems largely fall under </w:t>
      </w:r>
      <w:r w:rsidRPr="003A575E">
        <w:rPr>
          <w:i/>
        </w:rPr>
        <w:t>Water Management Act 2000</w:t>
      </w:r>
      <w:r w:rsidRPr="003A575E">
        <w:t>, which provides for monitoring of impacts against change in groundwater extraction relative to extraction limit, change in climate-adjusted water levels, change in ecological condition of the aquifers and dependent ecosystems and change in water quality.</w:t>
      </w:r>
    </w:p>
    <w:p w14:paraId="7AF256EE" w14:textId="137CB50A" w:rsidR="005244F9" w:rsidRPr="003A575E" w:rsidRDefault="005244F9" w:rsidP="005244F9">
      <w:r w:rsidRPr="003A575E">
        <w:t>The Water Quality Guidelines (</w:t>
      </w:r>
      <w:r w:rsidRPr="002C3CA3">
        <w:t>ARMCANZ</w:t>
      </w:r>
      <w:r>
        <w:t xml:space="preserve"> and </w:t>
      </w:r>
      <w:r w:rsidRPr="002C3CA3">
        <w:t>ANZECC</w:t>
      </w:r>
      <w:r>
        <w:t xml:space="preserve"> </w:t>
      </w:r>
      <w:r w:rsidRPr="003A575E">
        <w:t>2000) provide guidance on performance indicators and trigger values for impacts to aquatic ecosystems in terms of physical/chemical stress. For some water quality indicators, the Water Quality Guidelines (</w:t>
      </w:r>
      <w:r w:rsidRPr="002C3CA3">
        <w:t>ARMCANZ</w:t>
      </w:r>
      <w:r>
        <w:t xml:space="preserve"> and </w:t>
      </w:r>
      <w:r w:rsidRPr="002C3CA3">
        <w:t xml:space="preserve">ANZECC </w:t>
      </w:r>
      <w:r w:rsidRPr="003A575E">
        <w:t xml:space="preserve">2000) indicate there is a need to establish reference condition against which to measure impacts, which may be derived from on-site historic data or spatial data from reference/proximate sites. </w:t>
      </w:r>
    </w:p>
    <w:p w14:paraId="3DFDD6C1" w14:textId="2BBA4F6B" w:rsidR="005244F9" w:rsidRDefault="005244F9" w:rsidP="005244F9">
      <w:r>
        <w:t xml:space="preserve">The Royal </w:t>
      </w:r>
      <w:r w:rsidR="007E52AB">
        <w:t xml:space="preserve">Society &amp; Royal </w:t>
      </w:r>
      <w:r>
        <w:t>Academy of Engineering</w:t>
      </w:r>
      <w:r w:rsidR="007E52AB">
        <w:t xml:space="preserve"> (UK)</w:t>
      </w:r>
      <w:r>
        <w:t xml:space="preserve"> (2012) recommends that all shale gas operations be subject to an Environmental Risk Assessment, which provides better opportunity to prioritise and manage risks more proportionately than Environmental Impact Assessments, which do not consider event likelihood. ERAs should assess risks across the entire lifecycle of shale gas extraction to include waste disposal and well abandonment. However, no further specific information however was given about the form of risk assessment that should be undertaken.</w:t>
      </w:r>
    </w:p>
    <w:p w14:paraId="2D12AF1C" w14:textId="77777777" w:rsidR="005244F9" w:rsidRDefault="005244F9" w:rsidP="00C150BC">
      <w:pPr>
        <w:pStyle w:val="Head3app"/>
      </w:pPr>
      <w:bookmarkStart w:id="850" w:name="_Toc420500930"/>
      <w:bookmarkStart w:id="851" w:name="_Toc420511185"/>
      <w:bookmarkStart w:id="852" w:name="_Toc420572506"/>
      <w:bookmarkStart w:id="853" w:name="_Toc420572672"/>
      <w:bookmarkStart w:id="854" w:name="_Toc420573095"/>
      <w:bookmarkStart w:id="855" w:name="_Toc296599085"/>
      <w:bookmarkStart w:id="856" w:name="_Toc296767306"/>
      <w:bookmarkStart w:id="857" w:name="_Toc296770447"/>
      <w:bookmarkStart w:id="858" w:name="_Toc423018271"/>
      <w:r>
        <w:t>A2.8</w:t>
      </w:r>
      <w:r>
        <w:tab/>
        <w:t>Likelihood</w:t>
      </w:r>
      <w:bookmarkEnd w:id="850"/>
      <w:bookmarkEnd w:id="851"/>
      <w:bookmarkEnd w:id="852"/>
      <w:bookmarkEnd w:id="853"/>
      <w:bookmarkEnd w:id="854"/>
      <w:bookmarkEnd w:id="855"/>
      <w:bookmarkEnd w:id="856"/>
      <w:bookmarkEnd w:id="857"/>
      <w:bookmarkEnd w:id="858"/>
    </w:p>
    <w:p w14:paraId="40D47FEA" w14:textId="77777777" w:rsidR="005244F9" w:rsidRDefault="005244F9" w:rsidP="005244F9">
      <w:r>
        <w:t xml:space="preserve">The next step in a standard risk assessment process is to evaluate qualitatively or quantitatively the probability of a hazardous event occurring. </w:t>
      </w:r>
      <w:r w:rsidRPr="005F54AA">
        <w:t>The likelihood of the consequence is typically based on the frequency of the sensitive receptor being exposed to the risk.</w:t>
      </w:r>
    </w:p>
    <w:p w14:paraId="333C1D6F" w14:textId="655BA046" w:rsidR="005244F9" w:rsidRDefault="005244F9" w:rsidP="00C150BC">
      <w:pPr>
        <w:pStyle w:val="Heading4"/>
      </w:pPr>
      <w:bookmarkStart w:id="859" w:name="_Toc420572673"/>
      <w:r>
        <w:t>Risk assessment to inform government policy</w:t>
      </w:r>
      <w:bookmarkEnd w:id="859"/>
    </w:p>
    <w:p w14:paraId="2441F49B" w14:textId="77777777" w:rsidR="005244F9" w:rsidRDefault="005244F9" w:rsidP="005244F9">
      <w:r>
        <w:t>The literature review did not identify any different techniques or criteria used to assess likelihood in the context of a risk assessment to inform government policy than those that are commonly used for project risk assessments.</w:t>
      </w:r>
    </w:p>
    <w:p w14:paraId="6C7F286C" w14:textId="77777777" w:rsidR="00C35056" w:rsidRDefault="00C35056">
      <w:pPr>
        <w:spacing w:after="200"/>
        <w:rPr>
          <w:b/>
        </w:rPr>
      </w:pPr>
      <w:bookmarkStart w:id="860" w:name="_Toc420572674"/>
      <w:r>
        <w:br w:type="page"/>
      </w:r>
    </w:p>
    <w:p w14:paraId="1151AA84" w14:textId="70183A3D" w:rsidR="005244F9" w:rsidRDefault="005244F9" w:rsidP="00C150BC">
      <w:pPr>
        <w:pStyle w:val="Heading4"/>
      </w:pPr>
      <w:r>
        <w:t>Risk assessment to inform project-scale developments</w:t>
      </w:r>
      <w:bookmarkEnd w:id="860"/>
    </w:p>
    <w:p w14:paraId="05073305" w14:textId="77777777" w:rsidR="005244F9" w:rsidRPr="003A575E" w:rsidRDefault="005244F9" w:rsidP="005244F9">
      <w:r w:rsidRPr="003A575E">
        <w:t>Gormley et al (2011)</w:t>
      </w:r>
      <w:r w:rsidRPr="003A575E">
        <w:rPr>
          <w:rStyle w:val="FootnoteReference"/>
          <w:rFonts w:eastAsiaTheme="majorEastAsia"/>
        </w:rPr>
        <w:footnoteReference w:id="14"/>
      </w:r>
      <w:r w:rsidRPr="003A575E">
        <w:t xml:space="preserve"> suggest conceptualising likelihood in terms of three factors which should be addressed in risk assessments at a project level: the probability of an initiating event occurring, the probability of exposure to the hazard and probability of receptors being affected by the hazard (resilience/vulnerability)</w:t>
      </w:r>
      <w:r>
        <w:t xml:space="preserve">. </w:t>
      </w:r>
      <w:r w:rsidRPr="003A575E">
        <w:t>These may be assessed together or separately.</w:t>
      </w:r>
    </w:p>
    <w:p w14:paraId="003CE89D" w14:textId="77777777" w:rsidR="005244F9" w:rsidRPr="003A575E" w:rsidRDefault="005244F9" w:rsidP="005244F9">
      <w:r w:rsidRPr="003A575E">
        <w:t>The Queensland Water Commission (2012) use three equally weighed criteria to assess likelihood. They involve use of predicted water pressure impacts in aquifers made using the regional groundwater flow model, the proximity of a spring to development areas, and the stratigraphic separation of a spring’s source aquifer from the prospective resource formations.</w:t>
      </w:r>
    </w:p>
    <w:p w14:paraId="3BB47F70" w14:textId="77777777" w:rsidR="005244F9" w:rsidRDefault="005244F9" w:rsidP="005244F9">
      <w:r>
        <w:t>One technique for conceptualising likelihood and significance of impact is in relation to the worst case scenario. In terms of</w:t>
      </w:r>
      <w:r w:rsidRPr="00860ADF">
        <w:t xml:space="preserve"> probability bounds analysis, a</w:t>
      </w:r>
      <w:r>
        <w:t xml:space="preserve"> qualitative description of a worst case scenario for coal seam gas groundwater pumping is provided by Anderson et al (2013), and would involve: </w:t>
      </w:r>
    </w:p>
    <w:p w14:paraId="1689D292" w14:textId="77777777" w:rsidR="005244F9" w:rsidRDefault="005244F9" w:rsidP="00C150BC">
      <w:pPr>
        <w:pStyle w:val="bulletlist0"/>
      </w:pPr>
      <w:r>
        <w:t>•</w:t>
      </w:r>
      <w:r>
        <w:tab/>
        <w:t>loss of the same volume of beneficial groundwater from an overlying aquifer as a result of enhanced flow along any geological pathways and/or leakage through pores and transmissive fractures or faults</w:t>
      </w:r>
    </w:p>
    <w:p w14:paraId="405FD599" w14:textId="77777777" w:rsidR="005244F9" w:rsidRDefault="005244F9" w:rsidP="00C150BC">
      <w:pPr>
        <w:pStyle w:val="bulletlist0"/>
      </w:pPr>
      <w:r>
        <w:t>•</w:t>
      </w:r>
      <w:r>
        <w:tab/>
        <w:t>leakage along/through coal seam gas well casing if perfect seal was not achieved, the well casing materials shrink or well construction materials break/become permeable with time</w:t>
      </w:r>
    </w:p>
    <w:p w14:paraId="37922F04" w14:textId="77777777" w:rsidR="005244F9" w:rsidRDefault="005244F9" w:rsidP="00C150BC">
      <w:pPr>
        <w:pStyle w:val="bulletlist0"/>
      </w:pPr>
      <w:r>
        <w:t>•</w:t>
      </w:r>
      <w:r>
        <w:tab/>
        <w:t>changes in groundwater chemistry and beneficial use due to mixing from different aquifers and aquitards</w:t>
      </w:r>
    </w:p>
    <w:p w14:paraId="7E227D86" w14:textId="77777777" w:rsidR="005244F9" w:rsidRDefault="005244F9" w:rsidP="00C150BC">
      <w:pPr>
        <w:pStyle w:val="bulletlist0"/>
      </w:pPr>
      <w:r>
        <w:t>•</w:t>
      </w:r>
      <w:r>
        <w:tab/>
        <w:t>deterioration of groundwater quality in beneficial aquifer to the point at which quality no longer meets requirements of groundwater users/beneficial use category as set out by authorities</w:t>
      </w:r>
    </w:p>
    <w:p w14:paraId="0C366C0D" w14:textId="77777777" w:rsidR="005244F9" w:rsidRDefault="005244F9" w:rsidP="00C150BC">
      <w:pPr>
        <w:pStyle w:val="bulletlist0"/>
      </w:pPr>
      <w:r>
        <w:t>•</w:t>
      </w:r>
      <w:r>
        <w:tab/>
        <w:t xml:space="preserve">depletion of groundwater in the beneficial aquifer to a level/pressure preventing other users/uses from accessing groundwater entitlement for its intended purposes. </w:t>
      </w:r>
    </w:p>
    <w:p w14:paraId="1EDBF7A1" w14:textId="040F8B9C" w:rsidR="005244F9" w:rsidRDefault="005244F9" w:rsidP="005244F9">
      <w:r>
        <w:t xml:space="preserve">Historical trends and data may be used to assess event likelihood. For instance, Gross et al. (2013) reviewed data on groundwater spills from storage and production facilities at active wells, finding relatively low likelihood of spills occurring. Whilst the crude oil compounds (benzene, toluene, ethylbenzene and xylene) exceeded national drinking water standards in 18-90% of recorded instances, subsequent measures were successful in remediating impacts in 87% of cases. </w:t>
      </w:r>
    </w:p>
    <w:p w14:paraId="77B7AB35" w14:textId="77777777" w:rsidR="005244F9" w:rsidRPr="003A575E" w:rsidRDefault="005244F9" w:rsidP="005244F9">
      <w:r>
        <w:t>Riha and Rahm (2010) distinguish between gas drilling impacts that are</w:t>
      </w:r>
      <w:r w:rsidRPr="009031C1">
        <w:rPr>
          <w:i/>
        </w:rPr>
        <w:t xml:space="preserve"> deterministic</w:t>
      </w:r>
      <w:r>
        <w:t xml:space="preserve">, events that are certain to occur and a direct function of extent and pace of development and </w:t>
      </w:r>
      <w:r w:rsidRPr="009031C1">
        <w:rPr>
          <w:i/>
        </w:rPr>
        <w:t>probabilistic,</w:t>
      </w:r>
      <w:r>
        <w:t xml:space="preserve"> which may occur but whose occurrence and </w:t>
      </w:r>
      <w:r w:rsidRPr="003A575E">
        <w:t xml:space="preserve">consequence is spatially and temporally unclear. Deterministic events can be foreseen, planned for and regulated, whereas probabilistic events must be inferred from historical data. </w:t>
      </w:r>
    </w:p>
    <w:p w14:paraId="5C301AA5" w14:textId="77777777" w:rsidR="005244F9" w:rsidRPr="003A575E" w:rsidRDefault="005244F9" w:rsidP="005244F9">
      <w:r w:rsidRPr="003A575E">
        <w:t>There are several approaches to estimating likelihood that generate semi-quantitative estimates of frequency of potential impacts being realised. In relation to project-level risk assessments for the offshore oil and gas industry, ABS (2000) propose the use of event tree analysis (modelling possible outcomes of an event against the end state), which may be particularly useful where multiple controls are in place to minimise risk. Fault-tree analysis is also suggested as a means of modelling complex interactions to determine how relationships between technological failure, external events and human error can interact. Finally, human</w:t>
      </w:r>
      <w:r w:rsidRPr="00AE4986">
        <w:rPr>
          <w:b/>
        </w:rPr>
        <w:t xml:space="preserve"> </w:t>
      </w:r>
      <w:r w:rsidRPr="003A575E">
        <w:t xml:space="preserve">reliability analysis can be used to identify areas of potential human error, and re-evaluate high risks according to impact that an individual could have in completing the scenario. </w:t>
      </w:r>
    </w:p>
    <w:p w14:paraId="3C7B18AA" w14:textId="74B69065" w:rsidR="005244F9" w:rsidRDefault="005244F9" w:rsidP="005244F9">
      <w:r w:rsidRPr="003A575E">
        <w:t>In the absence of historical records and given complexity of interactions between human, hydrological and geological components, the approach used by Rozell and Reaven (2012) may be the most useful. They apply probability bounds analysis (best and worst case scenarios) to investigate likelihood of possible water pollution in the Marcellus Shale by assessing contamination risk and epistemic uncertainty associated with five pathways: transportation spills, well casing leaks, leaks through fractured rock, drilling site surface discharge, and wastewater disposal.</w:t>
      </w:r>
    </w:p>
    <w:p w14:paraId="72D22394" w14:textId="77777777" w:rsidR="00247CBE" w:rsidRDefault="00247CBE" w:rsidP="00C150BC">
      <w:pPr>
        <w:pStyle w:val="Head3app"/>
      </w:pPr>
      <w:bookmarkStart w:id="861" w:name="_Toc420500931"/>
      <w:bookmarkStart w:id="862" w:name="_Toc420511186"/>
      <w:bookmarkStart w:id="863" w:name="_Toc420572507"/>
      <w:bookmarkStart w:id="864" w:name="_Toc420572675"/>
      <w:bookmarkStart w:id="865" w:name="_Toc420573096"/>
      <w:bookmarkStart w:id="866" w:name="_Toc296599086"/>
      <w:bookmarkStart w:id="867" w:name="_Toc296767307"/>
      <w:bookmarkStart w:id="868" w:name="_Toc296770448"/>
      <w:bookmarkStart w:id="869" w:name="_Toc423018272"/>
      <w:r>
        <w:t>A2.9</w:t>
      </w:r>
      <w:r>
        <w:tab/>
        <w:t>Risk rating</w:t>
      </w:r>
      <w:bookmarkEnd w:id="861"/>
      <w:bookmarkEnd w:id="862"/>
      <w:bookmarkEnd w:id="863"/>
      <w:bookmarkEnd w:id="864"/>
      <w:bookmarkEnd w:id="865"/>
      <w:bookmarkEnd w:id="866"/>
      <w:bookmarkEnd w:id="867"/>
      <w:bookmarkEnd w:id="868"/>
      <w:bookmarkEnd w:id="869"/>
    </w:p>
    <w:p w14:paraId="02ABD670" w14:textId="77777777" w:rsidR="00247CBE" w:rsidRDefault="00247CBE" w:rsidP="00247CBE">
      <w:r>
        <w:t>Risk estimation is the final step in a risk assessment, and is determined from the</w:t>
      </w:r>
      <w:r w:rsidRPr="00F00BB8">
        <w:t xml:space="preserve"> likelihood and consequences of an adverse outcome</w:t>
      </w:r>
      <w:r>
        <w:t xml:space="preserve"> (with due regard to</w:t>
      </w:r>
      <w:r w:rsidRPr="00F00BB8">
        <w:t xml:space="preserve"> uncertainty</w:t>
      </w:r>
      <w:r>
        <w:t>) should the impact be realised. Retained risk assesses the residual impact after standard controls have been implemented.</w:t>
      </w:r>
    </w:p>
    <w:p w14:paraId="154E28EF" w14:textId="1ACE731F" w:rsidR="00247CBE" w:rsidRDefault="00247CBE" w:rsidP="00C35056">
      <w:pPr>
        <w:pStyle w:val="Heading4"/>
      </w:pPr>
      <w:bookmarkStart w:id="870" w:name="_Toc420572676"/>
      <w:r>
        <w:t>Risk assessment to inform government policy</w:t>
      </w:r>
      <w:bookmarkEnd w:id="870"/>
    </w:p>
    <w:p w14:paraId="72850CAD" w14:textId="77777777" w:rsidR="00247CBE" w:rsidRPr="00C150BC" w:rsidRDefault="00247CBE" w:rsidP="00C35056">
      <w:pPr>
        <w:pStyle w:val="Heading4"/>
        <w:spacing w:before="0"/>
        <w:ind w:left="864" w:hanging="864"/>
        <w:rPr>
          <w:b w:val="0"/>
          <w:i/>
        </w:rPr>
      </w:pPr>
      <w:r w:rsidRPr="00C150BC">
        <w:rPr>
          <w:b w:val="0"/>
          <w:i/>
        </w:rPr>
        <w:t>Risk rating: considerations</w:t>
      </w:r>
    </w:p>
    <w:p w14:paraId="75442DFF" w14:textId="77777777" w:rsidR="00247CBE" w:rsidRPr="003A575E" w:rsidRDefault="00247CBE" w:rsidP="00247CBE">
      <w:r w:rsidRPr="003A575E">
        <w:t xml:space="preserve">For the purpose of producing bioregional assessments, IESC (2014) states risk matrices and consequence tables, which may be quantitative, semi-quantitative or qualitative depending on the degree of confidence regarding likelihood and potential impacts, should consider residual impacts on the basis of likelihood of event occurrence, impact uncertainties and information from risk registers. </w:t>
      </w:r>
    </w:p>
    <w:p w14:paraId="53A5983B" w14:textId="77777777" w:rsidR="00247CBE" w:rsidRDefault="00247CBE" w:rsidP="00247CBE">
      <w:r w:rsidRPr="003A575E">
        <w:t>Risk registers are one component of the proposed centralised Risk Management and Prediction Tool for extractive industries recommended by the NSW Chief Scientist and Engineer (2014). It would also feature a database of event histories, and previous trigger action response plans, which in addition to improving review of proposed developments for government, would help to improve the ability to predict risk likelihoods and consequences of potential impacts in risk assessments</w:t>
      </w:r>
      <w:r>
        <w:t>.</w:t>
      </w:r>
    </w:p>
    <w:p w14:paraId="12CDEE5F" w14:textId="77777777" w:rsidR="00247CBE" w:rsidRPr="00C150BC" w:rsidRDefault="00247CBE" w:rsidP="00247CBE">
      <w:pPr>
        <w:pStyle w:val="Heading4"/>
        <w:ind w:left="864" w:hanging="864"/>
        <w:rPr>
          <w:b w:val="0"/>
          <w:i/>
        </w:rPr>
      </w:pPr>
      <w:r w:rsidRPr="00C150BC">
        <w:rPr>
          <w:b w:val="0"/>
          <w:i/>
        </w:rPr>
        <w:t>Criteria and techniques</w:t>
      </w:r>
    </w:p>
    <w:p w14:paraId="52A78366" w14:textId="7D232C79" w:rsidR="00247CBE" w:rsidRPr="003A575E" w:rsidRDefault="00247CBE" w:rsidP="00247CBE">
      <w:r>
        <w:t xml:space="preserve">The literature review identified a couple of techniques to assist with a strategic planning risk assessment risk rating approach.  </w:t>
      </w:r>
      <w:r w:rsidRPr="003A575E">
        <w:t xml:space="preserve">The Namoi Cumulative Risk Assessment Tool (NCRAT, Ecological Australia 2012) is a spatial tool which was developed for Namoi CMA to assess cumulative risk from mining and coal seam gas on ten natural resource assets at the strategic landscape scale. It focuses on relative risk from different development scenarios (e.g. risk level between site A and B) as opposed to absolute risk at the project level, which would need to be informed by more specific site-relevant data. </w:t>
      </w:r>
    </w:p>
    <w:p w14:paraId="7F68C7C1" w14:textId="77777777" w:rsidR="00247CBE" w:rsidRPr="003A575E" w:rsidRDefault="00247CBE" w:rsidP="00247CBE">
      <w:r w:rsidRPr="003A575E">
        <w:t>Sensitivity classes (very low, low, moderate, high and very high) were developed using thresholds identified by Namoi Catchment Action Plan. These set out immediate impacts and input layers required and developed rules for assigning scores. For instance, three forms of spatial data underlie representation of groundwater quality: coal resource potential (which indicates development feasibility), distribution of alluvial aquifers</w:t>
      </w:r>
      <w:r>
        <w:t xml:space="preserve"> (risk </w:t>
      </w:r>
      <w:r w:rsidRPr="003A575E">
        <w:t xml:space="preserve">will be greater where alluvial aquifers are above coal beds) and density of agricultural bores (to proxy for water demand by agriculture). </w:t>
      </w:r>
    </w:p>
    <w:p w14:paraId="71C42B66" w14:textId="77777777" w:rsidR="00247CBE" w:rsidRPr="003A575E" w:rsidRDefault="00247CBE" w:rsidP="00247CBE">
      <w:r w:rsidRPr="003A575E">
        <w:t>Sensitivity to groundwater drawdown was determined on the basis of 4 components: coal and gas potential, distribution of major groundwater aquifers in the catchment (and associated data regarding status – recovering, stable or declining - and groundwater connectivity -connected, transition, disconnected); groundwater depth data and groundwater dependent ecosystem potential.</w:t>
      </w:r>
    </w:p>
    <w:p w14:paraId="0DC1E4AA" w14:textId="77777777" w:rsidR="00247CBE" w:rsidRPr="003A575E" w:rsidRDefault="00247CBE" w:rsidP="00247CBE">
      <w:r w:rsidRPr="003A575E">
        <w:t>Risk rating matrices were then developed for each type of impact – an example of which is provided in Section 2.10. The cumulative risk framework produced provides an indication of the relative risk of a scenario to the underlying asset, although it is noted that risk tables are not final and may be modified as improved data comes to hand.</w:t>
      </w:r>
    </w:p>
    <w:p w14:paraId="626E03EE" w14:textId="3C6E91B6" w:rsidR="00247CBE" w:rsidRPr="003A575E" w:rsidRDefault="00247CBE" w:rsidP="00247CBE">
      <w:r w:rsidRPr="003A575E">
        <w:t xml:space="preserve">Another approach to assessing vulnerability of water assets to hydrological change is provided by Wilson </w:t>
      </w:r>
      <w:r w:rsidRPr="003A575E">
        <w:rPr>
          <w:i/>
        </w:rPr>
        <w:t>et al</w:t>
      </w:r>
      <w:r w:rsidRPr="003A575E">
        <w:t xml:space="preserve"> (2014) who apply the pressure-stressor-response model</w:t>
      </w:r>
      <w:r w:rsidRPr="003A575E">
        <w:rPr>
          <w:rStyle w:val="FootnoteReference"/>
          <w:rFonts w:eastAsiaTheme="majorEastAsia"/>
        </w:rPr>
        <w:footnoteReference w:id="15"/>
      </w:r>
      <w:r w:rsidRPr="003A575E">
        <w:t xml:space="preserve"> in the South Australian context. Rather than seek to identify impacts to individual assets, they develop classes based on their hydrology and potential for hydrological change. The component attributes used by Wilson </w:t>
      </w:r>
      <w:r w:rsidRPr="003A575E">
        <w:rPr>
          <w:i/>
        </w:rPr>
        <w:t xml:space="preserve">et al </w:t>
      </w:r>
      <w:r w:rsidRPr="003A575E">
        <w:t xml:space="preserve">are water source (which can be combination of surface and groundwater) and water regime (prevailing mode of flow in terms of magnitude, duration, frequency, seasonality). </w:t>
      </w:r>
    </w:p>
    <w:p w14:paraId="3199A7D0" w14:textId="2F6BED82" w:rsidR="00247CBE" w:rsidRPr="003A575E" w:rsidRDefault="00247CBE" w:rsidP="00247CBE">
      <w:r w:rsidRPr="003A575E">
        <w:fldChar w:fldCharType="begin"/>
      </w:r>
      <w:r w:rsidRPr="003A575E">
        <w:instrText xml:space="preserve"> REF _Ref406754712 \h  \* MERGEFORMAT </w:instrText>
      </w:r>
      <w:r w:rsidRPr="003A575E">
        <w:fldChar w:fldCharType="separate"/>
      </w:r>
      <w:r w:rsidR="00171A5E">
        <w:t xml:space="preserve">Table </w:t>
      </w:r>
      <w:r w:rsidR="00171A5E">
        <w:rPr>
          <w:noProof/>
        </w:rPr>
        <w:t>A1:</w:t>
      </w:r>
      <w:r w:rsidR="00171A5E">
        <w:t xml:space="preserve"> Qualitative impact</w:t>
      </w:r>
      <w:r w:rsidR="00171A5E" w:rsidRPr="000B4213">
        <w:t xml:space="preserve"> </w:t>
      </w:r>
      <w:r w:rsidR="00171A5E">
        <w:t>categories for impacts to water resource asset classes. (Source: Wilson et al, 2014.)</w:t>
      </w:r>
      <w:r w:rsidRPr="003A575E">
        <w:fldChar w:fldCharType="end"/>
      </w:r>
      <w:r w:rsidRPr="003A575E">
        <w:t xml:space="preserve"> shows they developed qualitative impact categories on a scale of ‘negligible’, ‘low’, ‘moderate’ and ‘high’ for hydrological integrity, asset resilience and time to recovery of system criteria. These were rated for each combination of asset class, activity and effect. Unknown and not applicable impact ratings were also identified.</w:t>
      </w:r>
    </w:p>
    <w:p w14:paraId="6EC7B50B" w14:textId="4DD23FD1" w:rsidR="00247CBE" w:rsidRDefault="00247CBE" w:rsidP="002D44DF">
      <w:pPr>
        <w:pStyle w:val="Tableheading"/>
      </w:pPr>
      <w:bookmarkStart w:id="871" w:name="_Ref406754712"/>
      <w:r>
        <w:t>Table A1</w:t>
      </w:r>
      <w:r>
        <w:rPr>
          <w:noProof/>
        </w:rPr>
        <w:t>:</w:t>
      </w:r>
      <w:r>
        <w:t xml:space="preserve"> Qualitative impact</w:t>
      </w:r>
      <w:r w:rsidRPr="000B4213">
        <w:t xml:space="preserve"> </w:t>
      </w:r>
      <w:r>
        <w:t>categories for impacts to water resource asset classes. (Source: Wilson et al, 2014.)</w:t>
      </w:r>
      <w:bookmarkEnd w:id="871"/>
    </w:p>
    <w:tbl>
      <w:tblPr>
        <w:tblW w:w="0" w:type="auto"/>
        <w:tblInd w:w="108" w:type="dxa"/>
        <w:tblBorders>
          <w:bottom w:val="single" w:sz="4" w:space="0" w:color="005A97"/>
          <w:insideH w:val="single" w:sz="4" w:space="0" w:color="005A97"/>
          <w:insideV w:val="single" w:sz="4" w:space="0" w:color="005A97"/>
        </w:tblBorders>
        <w:tblLook w:val="0620" w:firstRow="1" w:lastRow="0" w:firstColumn="0" w:lastColumn="0" w:noHBand="1" w:noVBand="1"/>
      </w:tblPr>
      <w:tblGrid>
        <w:gridCol w:w="1985"/>
        <w:gridCol w:w="2268"/>
        <w:gridCol w:w="3368"/>
        <w:gridCol w:w="2125"/>
      </w:tblGrid>
      <w:tr w:rsidR="00247CBE" w:rsidRPr="005C538A" w14:paraId="15D28674" w14:textId="77777777" w:rsidTr="00C35056">
        <w:tc>
          <w:tcPr>
            <w:tcW w:w="1985" w:type="dxa"/>
            <w:tcBorders>
              <w:top w:val="nil"/>
              <w:right w:val="single" w:sz="4" w:space="0" w:color="FFFFFF"/>
            </w:tcBorders>
            <w:shd w:val="clear" w:color="auto" w:fill="005A97"/>
          </w:tcPr>
          <w:p w14:paraId="7E796911" w14:textId="77777777" w:rsidR="00247CBE" w:rsidRPr="005C538A" w:rsidRDefault="00247CBE" w:rsidP="00C35056">
            <w:pPr>
              <w:pStyle w:val="TableHeaderrow"/>
            </w:pPr>
            <w:r w:rsidRPr="005C538A">
              <w:t xml:space="preserve">Qualitative </w:t>
            </w:r>
            <w:r>
              <w:t>impact c</w:t>
            </w:r>
            <w:r w:rsidRPr="005C538A">
              <w:t>ategories</w:t>
            </w:r>
          </w:p>
        </w:tc>
        <w:tc>
          <w:tcPr>
            <w:tcW w:w="2268" w:type="dxa"/>
            <w:tcBorders>
              <w:top w:val="nil"/>
              <w:left w:val="single" w:sz="4" w:space="0" w:color="FFFFFF"/>
              <w:right w:val="single" w:sz="4" w:space="0" w:color="FFFFFF"/>
            </w:tcBorders>
            <w:shd w:val="clear" w:color="auto" w:fill="005A97"/>
          </w:tcPr>
          <w:p w14:paraId="12C0BDF8" w14:textId="77777777" w:rsidR="00247CBE" w:rsidRPr="005C538A" w:rsidRDefault="00247CBE" w:rsidP="00C35056">
            <w:pPr>
              <w:pStyle w:val="TableHeaderrow"/>
            </w:pPr>
            <w:r w:rsidRPr="005C538A">
              <w:t>Changes to hydrological integrity</w:t>
            </w:r>
          </w:p>
        </w:tc>
        <w:tc>
          <w:tcPr>
            <w:tcW w:w="3368" w:type="dxa"/>
            <w:tcBorders>
              <w:top w:val="nil"/>
              <w:left w:val="single" w:sz="4" w:space="0" w:color="FFFFFF"/>
              <w:right w:val="single" w:sz="4" w:space="0" w:color="FFFFFF"/>
            </w:tcBorders>
            <w:shd w:val="clear" w:color="auto" w:fill="005A97"/>
          </w:tcPr>
          <w:p w14:paraId="07449243" w14:textId="77777777" w:rsidR="00247CBE" w:rsidRPr="005C538A" w:rsidRDefault="00247CBE" w:rsidP="00C35056">
            <w:pPr>
              <w:pStyle w:val="TableHeaderrow"/>
            </w:pPr>
            <w:r w:rsidRPr="005C538A">
              <w:t>Resilience</w:t>
            </w:r>
          </w:p>
        </w:tc>
        <w:tc>
          <w:tcPr>
            <w:tcW w:w="0" w:type="auto"/>
            <w:tcBorders>
              <w:top w:val="nil"/>
              <w:left w:val="single" w:sz="4" w:space="0" w:color="FFFFFF"/>
            </w:tcBorders>
            <w:shd w:val="clear" w:color="auto" w:fill="005A97"/>
          </w:tcPr>
          <w:p w14:paraId="6CABCC89" w14:textId="77777777" w:rsidR="00247CBE" w:rsidRPr="005C538A" w:rsidRDefault="00247CBE" w:rsidP="00C35056">
            <w:pPr>
              <w:pStyle w:val="TableHeaderrow"/>
            </w:pPr>
            <w:r>
              <w:t>Time to r</w:t>
            </w:r>
            <w:r w:rsidRPr="005C538A">
              <w:t>ecovery</w:t>
            </w:r>
          </w:p>
        </w:tc>
      </w:tr>
      <w:tr w:rsidR="00247CBE" w:rsidRPr="001D6CBB" w14:paraId="07475CA2" w14:textId="77777777" w:rsidTr="00C35056">
        <w:tc>
          <w:tcPr>
            <w:tcW w:w="1985" w:type="dxa"/>
          </w:tcPr>
          <w:p w14:paraId="487CCC28" w14:textId="77777777" w:rsidR="00247CBE" w:rsidRPr="006D0B5D" w:rsidRDefault="00247CBE" w:rsidP="00E35DD3">
            <w:pPr>
              <w:pStyle w:val="Tabletext"/>
              <w:ind w:left="0"/>
            </w:pPr>
            <w:r w:rsidRPr="006D0B5D">
              <w:t>High</w:t>
            </w:r>
          </w:p>
        </w:tc>
        <w:tc>
          <w:tcPr>
            <w:tcW w:w="2268" w:type="dxa"/>
          </w:tcPr>
          <w:p w14:paraId="76B10753" w14:textId="77777777" w:rsidR="00247CBE" w:rsidRPr="0082647E" w:rsidRDefault="00247CBE" w:rsidP="00E35DD3">
            <w:pPr>
              <w:pStyle w:val="Tabletext"/>
              <w:ind w:left="0"/>
            </w:pPr>
            <w:r w:rsidRPr="0082647E">
              <w:t>Change in ‘state’ (i.e. different asset class)</w:t>
            </w:r>
          </w:p>
        </w:tc>
        <w:tc>
          <w:tcPr>
            <w:tcW w:w="3368" w:type="dxa"/>
          </w:tcPr>
          <w:p w14:paraId="0072F178" w14:textId="77777777" w:rsidR="00247CBE" w:rsidRPr="0082647E" w:rsidRDefault="00247CBE" w:rsidP="00E35DD3">
            <w:pPr>
              <w:pStyle w:val="Tabletext"/>
              <w:ind w:left="0"/>
            </w:pPr>
            <w:r w:rsidRPr="0082647E">
              <w:t xml:space="preserve">No return or transition back to previous hydrology or asset class </w:t>
            </w:r>
          </w:p>
        </w:tc>
        <w:tc>
          <w:tcPr>
            <w:tcW w:w="0" w:type="auto"/>
          </w:tcPr>
          <w:p w14:paraId="54A634E0" w14:textId="77777777" w:rsidR="00247CBE" w:rsidRPr="0082647E" w:rsidRDefault="00247CBE" w:rsidP="00E35DD3">
            <w:pPr>
              <w:pStyle w:val="Tabletext"/>
              <w:ind w:left="0"/>
            </w:pPr>
            <w:r w:rsidRPr="0082647E">
              <w:t>Permanent or non-permanent change</w:t>
            </w:r>
          </w:p>
        </w:tc>
      </w:tr>
      <w:tr w:rsidR="00247CBE" w:rsidRPr="001D6CBB" w14:paraId="5C902EA1" w14:textId="77777777" w:rsidTr="00C35056">
        <w:tc>
          <w:tcPr>
            <w:tcW w:w="1985" w:type="dxa"/>
          </w:tcPr>
          <w:p w14:paraId="57B956F7" w14:textId="77777777" w:rsidR="00247CBE" w:rsidRPr="0082647E" w:rsidRDefault="00247CBE" w:rsidP="00E35DD3">
            <w:pPr>
              <w:pStyle w:val="Tabletext"/>
              <w:ind w:left="0"/>
            </w:pPr>
            <w:r w:rsidRPr="0082647E">
              <w:t>Moderate</w:t>
            </w:r>
          </w:p>
        </w:tc>
        <w:tc>
          <w:tcPr>
            <w:tcW w:w="2268" w:type="dxa"/>
          </w:tcPr>
          <w:p w14:paraId="7C4A30B2" w14:textId="77777777" w:rsidR="00247CBE" w:rsidRPr="0082647E" w:rsidRDefault="00247CBE" w:rsidP="00E35DD3">
            <w:pPr>
              <w:pStyle w:val="Tabletext"/>
              <w:ind w:left="0"/>
            </w:pPr>
            <w:r w:rsidRPr="0082647E">
              <w:t>Change to hydrology</w:t>
            </w:r>
          </w:p>
        </w:tc>
        <w:tc>
          <w:tcPr>
            <w:tcW w:w="3368" w:type="dxa"/>
          </w:tcPr>
          <w:p w14:paraId="453B1D3E" w14:textId="77777777" w:rsidR="00247CBE" w:rsidRPr="0082647E" w:rsidRDefault="00247CBE" w:rsidP="00E35DD3">
            <w:pPr>
              <w:pStyle w:val="Tabletext"/>
              <w:ind w:left="0"/>
            </w:pPr>
            <w:r w:rsidRPr="0082647E">
              <w:t>No return or transition back to previous hydrology</w:t>
            </w:r>
          </w:p>
        </w:tc>
        <w:tc>
          <w:tcPr>
            <w:tcW w:w="0" w:type="auto"/>
          </w:tcPr>
          <w:p w14:paraId="07DDA1AD" w14:textId="77777777" w:rsidR="00247CBE" w:rsidRPr="0082647E" w:rsidRDefault="00247CBE" w:rsidP="00E35DD3">
            <w:pPr>
              <w:pStyle w:val="Tabletext"/>
              <w:ind w:left="0"/>
            </w:pPr>
            <w:r w:rsidRPr="0082647E">
              <w:t>Permanent change</w:t>
            </w:r>
          </w:p>
        </w:tc>
      </w:tr>
      <w:tr w:rsidR="00247CBE" w:rsidRPr="001D6CBB" w14:paraId="3A006E3C" w14:textId="77777777" w:rsidTr="00C35056">
        <w:tc>
          <w:tcPr>
            <w:tcW w:w="1985" w:type="dxa"/>
          </w:tcPr>
          <w:p w14:paraId="2259CCF4" w14:textId="77777777" w:rsidR="00247CBE" w:rsidRPr="0082647E" w:rsidRDefault="00247CBE" w:rsidP="00E35DD3">
            <w:pPr>
              <w:pStyle w:val="Tabletext"/>
              <w:ind w:left="0"/>
            </w:pPr>
            <w:r w:rsidRPr="0082647E">
              <w:t>Low</w:t>
            </w:r>
          </w:p>
        </w:tc>
        <w:tc>
          <w:tcPr>
            <w:tcW w:w="2268" w:type="dxa"/>
          </w:tcPr>
          <w:p w14:paraId="6A1866C8" w14:textId="77777777" w:rsidR="00247CBE" w:rsidRPr="0082647E" w:rsidRDefault="00247CBE" w:rsidP="00E35DD3">
            <w:pPr>
              <w:pStyle w:val="Tabletext"/>
              <w:ind w:left="0"/>
            </w:pPr>
            <w:r w:rsidRPr="0082647E">
              <w:t>Change to hydrology</w:t>
            </w:r>
          </w:p>
        </w:tc>
        <w:tc>
          <w:tcPr>
            <w:tcW w:w="3368" w:type="dxa"/>
          </w:tcPr>
          <w:p w14:paraId="452C050F" w14:textId="77777777" w:rsidR="00247CBE" w:rsidRPr="0082647E" w:rsidRDefault="00247CBE" w:rsidP="00E35DD3">
            <w:pPr>
              <w:pStyle w:val="Tabletext"/>
              <w:ind w:left="0"/>
            </w:pPr>
            <w:r w:rsidRPr="0082647E">
              <w:t>Return to expected/previous hydrology</w:t>
            </w:r>
          </w:p>
        </w:tc>
        <w:tc>
          <w:tcPr>
            <w:tcW w:w="0" w:type="auto"/>
          </w:tcPr>
          <w:p w14:paraId="44CAFAB3" w14:textId="77777777" w:rsidR="00247CBE" w:rsidRPr="0082647E" w:rsidRDefault="00247CBE" w:rsidP="00E35DD3">
            <w:pPr>
              <w:pStyle w:val="Tabletext"/>
              <w:ind w:left="0"/>
            </w:pPr>
            <w:r w:rsidRPr="0082647E">
              <w:t>Rapid</w:t>
            </w:r>
          </w:p>
        </w:tc>
      </w:tr>
      <w:tr w:rsidR="00247CBE" w:rsidRPr="001D6CBB" w14:paraId="3D326B60" w14:textId="77777777" w:rsidTr="00C35056">
        <w:tc>
          <w:tcPr>
            <w:tcW w:w="1985" w:type="dxa"/>
          </w:tcPr>
          <w:p w14:paraId="3D91B908" w14:textId="77777777" w:rsidR="00247CBE" w:rsidRPr="0082647E" w:rsidRDefault="00247CBE" w:rsidP="00E35DD3">
            <w:pPr>
              <w:pStyle w:val="Tabletext"/>
              <w:ind w:left="0"/>
            </w:pPr>
            <w:r w:rsidRPr="0082647E">
              <w:t xml:space="preserve">Negligible </w:t>
            </w:r>
          </w:p>
        </w:tc>
        <w:tc>
          <w:tcPr>
            <w:tcW w:w="2268" w:type="dxa"/>
          </w:tcPr>
          <w:p w14:paraId="1A743B74" w14:textId="77777777" w:rsidR="00247CBE" w:rsidRPr="0082647E" w:rsidRDefault="00247CBE" w:rsidP="00E35DD3">
            <w:pPr>
              <w:pStyle w:val="Tabletext"/>
              <w:ind w:left="0"/>
            </w:pPr>
            <w:r w:rsidRPr="0082647E">
              <w:t xml:space="preserve">No change to hydrology </w:t>
            </w:r>
          </w:p>
        </w:tc>
        <w:tc>
          <w:tcPr>
            <w:tcW w:w="3368" w:type="dxa"/>
          </w:tcPr>
          <w:p w14:paraId="781998EB" w14:textId="77777777" w:rsidR="00247CBE" w:rsidRPr="0082647E" w:rsidRDefault="00247CBE" w:rsidP="00E35DD3">
            <w:pPr>
              <w:pStyle w:val="Tabletext"/>
              <w:ind w:left="0"/>
            </w:pPr>
            <w:r w:rsidRPr="0082647E">
              <w:t>Return to expected/previous hydrology</w:t>
            </w:r>
          </w:p>
        </w:tc>
        <w:tc>
          <w:tcPr>
            <w:tcW w:w="0" w:type="auto"/>
          </w:tcPr>
          <w:p w14:paraId="090C7007" w14:textId="77777777" w:rsidR="00247CBE" w:rsidRPr="0082647E" w:rsidRDefault="00247CBE" w:rsidP="00E35DD3">
            <w:pPr>
              <w:pStyle w:val="Tabletext"/>
              <w:ind w:left="0"/>
            </w:pPr>
            <w:r w:rsidRPr="0082647E">
              <w:t>Not relevant</w:t>
            </w:r>
          </w:p>
        </w:tc>
      </w:tr>
      <w:tr w:rsidR="00247CBE" w:rsidRPr="001D6CBB" w14:paraId="6EF3216F" w14:textId="77777777" w:rsidTr="00C35056">
        <w:tc>
          <w:tcPr>
            <w:tcW w:w="1985" w:type="dxa"/>
          </w:tcPr>
          <w:p w14:paraId="524E0981" w14:textId="77777777" w:rsidR="00247CBE" w:rsidRPr="0082647E" w:rsidRDefault="00247CBE" w:rsidP="00E35DD3">
            <w:pPr>
              <w:pStyle w:val="Tabletext"/>
              <w:ind w:left="0"/>
            </w:pPr>
            <w:r w:rsidRPr="0082647E">
              <w:t>N/A</w:t>
            </w:r>
          </w:p>
        </w:tc>
        <w:tc>
          <w:tcPr>
            <w:tcW w:w="2268" w:type="dxa"/>
          </w:tcPr>
          <w:p w14:paraId="16CF8C95" w14:textId="77777777" w:rsidR="00247CBE" w:rsidRPr="0082647E" w:rsidRDefault="00247CBE" w:rsidP="00E35DD3">
            <w:pPr>
              <w:pStyle w:val="Tabletext"/>
              <w:ind w:left="0"/>
            </w:pPr>
            <w:r w:rsidRPr="0082647E">
              <w:t>Not relevant</w:t>
            </w:r>
          </w:p>
        </w:tc>
        <w:tc>
          <w:tcPr>
            <w:tcW w:w="3368" w:type="dxa"/>
          </w:tcPr>
          <w:p w14:paraId="3350E721" w14:textId="77777777" w:rsidR="00247CBE" w:rsidRPr="0082647E" w:rsidRDefault="00247CBE" w:rsidP="00E35DD3">
            <w:pPr>
              <w:pStyle w:val="Tabletext"/>
              <w:ind w:left="0"/>
            </w:pPr>
            <w:r w:rsidRPr="0082647E">
              <w:t>Not relevant</w:t>
            </w:r>
          </w:p>
        </w:tc>
        <w:tc>
          <w:tcPr>
            <w:tcW w:w="0" w:type="auto"/>
          </w:tcPr>
          <w:p w14:paraId="41BF9CE7" w14:textId="77777777" w:rsidR="00247CBE" w:rsidRPr="0082647E" w:rsidRDefault="00247CBE" w:rsidP="00E35DD3">
            <w:pPr>
              <w:pStyle w:val="Tabletext"/>
              <w:ind w:left="0"/>
            </w:pPr>
            <w:r w:rsidRPr="0082647E">
              <w:t>Not relevant</w:t>
            </w:r>
          </w:p>
        </w:tc>
      </w:tr>
      <w:tr w:rsidR="00247CBE" w:rsidRPr="001D6CBB" w14:paraId="73A3ECED" w14:textId="77777777" w:rsidTr="00C35056">
        <w:tc>
          <w:tcPr>
            <w:tcW w:w="1985" w:type="dxa"/>
          </w:tcPr>
          <w:p w14:paraId="00567F29" w14:textId="77777777" w:rsidR="00247CBE" w:rsidRPr="0082647E" w:rsidRDefault="00247CBE" w:rsidP="00E35DD3">
            <w:pPr>
              <w:pStyle w:val="Tabletext"/>
              <w:ind w:left="0"/>
            </w:pPr>
            <w:r w:rsidRPr="0082647E">
              <w:t>Unknown</w:t>
            </w:r>
          </w:p>
        </w:tc>
        <w:tc>
          <w:tcPr>
            <w:tcW w:w="2268" w:type="dxa"/>
          </w:tcPr>
          <w:p w14:paraId="115907A9" w14:textId="77777777" w:rsidR="00247CBE" w:rsidRPr="0082647E" w:rsidRDefault="00247CBE" w:rsidP="00E35DD3">
            <w:pPr>
              <w:pStyle w:val="Tabletext"/>
              <w:ind w:left="0"/>
            </w:pPr>
            <w:r w:rsidRPr="0082647E">
              <w:t>Unknown</w:t>
            </w:r>
          </w:p>
        </w:tc>
        <w:tc>
          <w:tcPr>
            <w:tcW w:w="3368" w:type="dxa"/>
          </w:tcPr>
          <w:p w14:paraId="1F87A7FA" w14:textId="77777777" w:rsidR="00247CBE" w:rsidRPr="0082647E" w:rsidRDefault="00247CBE" w:rsidP="00E35DD3">
            <w:pPr>
              <w:pStyle w:val="Tabletext"/>
              <w:ind w:left="0"/>
            </w:pPr>
            <w:r w:rsidRPr="0082647E">
              <w:t>Unknown</w:t>
            </w:r>
          </w:p>
        </w:tc>
        <w:tc>
          <w:tcPr>
            <w:tcW w:w="0" w:type="auto"/>
          </w:tcPr>
          <w:p w14:paraId="3243F1E7" w14:textId="77777777" w:rsidR="00247CBE" w:rsidRPr="0082647E" w:rsidRDefault="00247CBE" w:rsidP="00E35DD3">
            <w:pPr>
              <w:pStyle w:val="Tabletext"/>
              <w:ind w:left="0"/>
            </w:pPr>
            <w:r w:rsidRPr="0082647E">
              <w:t>Unknown</w:t>
            </w:r>
          </w:p>
        </w:tc>
      </w:tr>
    </w:tbl>
    <w:p w14:paraId="72C54145" w14:textId="77777777" w:rsidR="00247CBE" w:rsidRDefault="00247CBE" w:rsidP="00247CBE"/>
    <w:p w14:paraId="1465F9F7" w14:textId="77777777" w:rsidR="00247CBE" w:rsidRPr="003A575E" w:rsidRDefault="00247CBE" w:rsidP="00247CBE">
      <w:r w:rsidRPr="003A575E">
        <w:t>These impact ratings describe the potential change in hydrological characteristics of an asset caused by an activity and were assigned through a collaborative expert elicitation process combining knowledge from surface water hydrology, ecology of water dependent ecosystems and hydrogeology.</w:t>
      </w:r>
    </w:p>
    <w:p w14:paraId="273342FC" w14:textId="77777777" w:rsidR="00247CBE" w:rsidRDefault="00247CBE" w:rsidP="00247CBE">
      <w:r w:rsidRPr="003A575E">
        <w:t>Considered alone, it does not represent a true risk assessment framework as it does not assess likelihood of coal seam gas and coal mining activities, values attached to water assets, acceptability or tolerability of vulnerabilities. However, it provides a starting point for considering potential scenarios of hydrological impacts based on a general asset type and coal seam gas or large coal mine activity, without factoring in local circumstances affecting vulnerability, such as asset</w:t>
      </w:r>
      <w:r>
        <w:t>-specific features or risk control measures that may already be in existence.</w:t>
      </w:r>
    </w:p>
    <w:p w14:paraId="749D979C" w14:textId="54975665" w:rsidR="00247CBE" w:rsidRDefault="00247CBE" w:rsidP="00C150BC">
      <w:pPr>
        <w:pStyle w:val="Heading4"/>
      </w:pPr>
      <w:bookmarkStart w:id="872" w:name="_Toc420572677"/>
      <w:r>
        <w:t>Risk assessment to inform project-scale developments</w:t>
      </w:r>
      <w:bookmarkEnd w:id="872"/>
    </w:p>
    <w:p w14:paraId="5CCE223F" w14:textId="77777777" w:rsidR="00247CBE" w:rsidRPr="00C150BC" w:rsidRDefault="00247CBE" w:rsidP="00C35056">
      <w:pPr>
        <w:pStyle w:val="Heading4"/>
        <w:spacing w:before="0"/>
        <w:ind w:left="864" w:hanging="864"/>
        <w:rPr>
          <w:b w:val="0"/>
          <w:i/>
        </w:rPr>
      </w:pPr>
      <w:r w:rsidRPr="00C150BC">
        <w:rPr>
          <w:b w:val="0"/>
          <w:i/>
        </w:rPr>
        <w:t>Risk rating criteria</w:t>
      </w:r>
    </w:p>
    <w:p w14:paraId="6B04BE59" w14:textId="6CF58EB4" w:rsidR="00247CBE" w:rsidRPr="00AE4986" w:rsidRDefault="00247CBE" w:rsidP="00247CBE">
      <w:pPr>
        <w:rPr>
          <w:b/>
        </w:rPr>
      </w:pPr>
      <w:r>
        <w:t xml:space="preserve">The number of criteria comprising a risk assessment rating varies from study to study but impacts are usually represented using a 3 by 3 or 5 by 5 risk rating matrix. </w:t>
      </w:r>
    </w:p>
    <w:p w14:paraId="30075904" w14:textId="77777777" w:rsidR="00247CBE" w:rsidRDefault="00247CBE" w:rsidP="00247CBE">
      <w:r>
        <w:t xml:space="preserve">Moran and Vink (2010) assign processes of water recharge, discharge and redistribution from coal seam gas activities a rating of ‘no significant changes', 'minor changes' 'intermediate' and 'significant changes/local risk' based on impacts to surface and groundwater assets. Flows between components of the system were categorised into ‘significant’, ‘intermediate’ and ‘minor’ changes. </w:t>
      </w:r>
    </w:p>
    <w:p w14:paraId="24EEAB86" w14:textId="77777777" w:rsidR="00247CBE" w:rsidRPr="003A575E" w:rsidRDefault="00247CBE" w:rsidP="00247CBE">
      <w:r w:rsidRPr="003A575E">
        <w:t xml:space="preserve">The Alberta Ministry of Environment and Sustainable Resource Development, in Canada has developed a 3 stage, three tier risk rating tool which helps Proponents determine the level of analysis/investigation required for a licence application for oilfield injection activities (ERSD, 2006) </w:t>
      </w:r>
      <w:r>
        <w:t xml:space="preserve">. </w:t>
      </w:r>
      <w:r w:rsidRPr="003A575E">
        <w:t>The three tiers, with increasingly stringent requirements for investigation are qualitatively described as:</w:t>
      </w:r>
    </w:p>
    <w:p w14:paraId="7336E894" w14:textId="77777777" w:rsidR="00247CBE" w:rsidRPr="003A575E" w:rsidRDefault="00247CBE" w:rsidP="00247CBE">
      <w:r w:rsidRPr="003A575E">
        <w:t xml:space="preserve">Step 1 involves determining whether the project will likely have a minor, moderate or major consequence based on numeric and qualitative criteria for safe, secure drinking water supply (water supply effects up to x km, negligible, local or community supply constraints); healthy aquatic ecosystems (measurability of effect, in -stream flow needs, existence of cumulative effects) and reliable water supplies for a sustainable economy (degree of development pressure, competition for supply). </w:t>
      </w:r>
    </w:p>
    <w:p w14:paraId="1C8558C0" w14:textId="77777777" w:rsidR="00247CBE" w:rsidRPr="003A575E" w:rsidRDefault="00247CBE" w:rsidP="00247CBE">
      <w:r w:rsidRPr="003A575E">
        <w:t xml:space="preserve">Step 2 involves rating of likelihood against probability criteria which are: ‘remote’ (practically impossible, occurrence of 1 in 100 years or less) ‘unlikely’ (conceivable but very unusual, occurrence is 1-10 in 100 years) or ‘likely’ (would happen often, more than 10 occurrences in 100 years). </w:t>
      </w:r>
    </w:p>
    <w:p w14:paraId="42AA6F47" w14:textId="77777777" w:rsidR="00247CBE" w:rsidRPr="003A575E" w:rsidRDefault="00247CBE" w:rsidP="00247CBE">
      <w:r w:rsidRPr="003A575E">
        <w:t>Step 3 provides the risk matrix for self-assessment of retained risk and guidance on information that must be provided and measured   Proponents complete a water allocation licence application for one of three tiers, based on project scale</w:t>
      </w:r>
      <w:r w:rsidRPr="003A575E">
        <w:rPr>
          <w:rStyle w:val="FootnoteReference"/>
          <w:rFonts w:eastAsiaTheme="majorEastAsia"/>
        </w:rPr>
        <w:footnoteReference w:id="16"/>
      </w:r>
      <w:r w:rsidRPr="003A575E">
        <w:t xml:space="preserve">. Each tier specifies management aims and what data must be collected and the measures taken to conserve and prevent excessive water use. </w:t>
      </w:r>
    </w:p>
    <w:p w14:paraId="1F7BD31B" w14:textId="77777777" w:rsidR="00247CBE" w:rsidRDefault="00247CBE" w:rsidP="00247CBE">
      <w:r>
        <w:t xml:space="preserve">Water-short areas are determined on the basis of low natural runoff potential (‘exceptionally dry’ being less than 5mm of runoff, and ‘potentially water short’ 5-10mm of runoff), and existing human use and administrative restrictions (3 categories are identified: water-short, which are closed to most new applications). </w:t>
      </w:r>
    </w:p>
    <w:p w14:paraId="6C5E8441" w14:textId="77777777" w:rsidR="00247CBE" w:rsidRDefault="00247CBE" w:rsidP="00247CBE">
      <w:r>
        <w:t xml:space="preserve">The report for ACOLA (2013) creates risk tables for each potential impact to ecological systems from shale gas development, assuming best practice measures are used to minimise spills, leaks and incidents and mitigate indirect impacts. In relation to surface water abstraction or drawdown of sub-surface water, it concludes there is a moderate risk of impacts to aquatic ecology based on the combined likelihood of impact occurring and consequences should this impact arise. Uncertainties are qualitatively captured on a scale of ‘high’, ‘medium’, ‘low’ based on ‘reliability’ of event </w:t>
      </w:r>
      <w:r w:rsidRPr="00115BF8">
        <w:t xml:space="preserve">likelihood and impact consequence. A description to support the rating is provided where needed. Refer to </w:t>
      </w:r>
      <w:r w:rsidRPr="00115BF8">
        <w:fldChar w:fldCharType="begin"/>
      </w:r>
      <w:r w:rsidRPr="00115BF8">
        <w:instrText xml:space="preserve"> REF _Ref406754014 \r \h </w:instrText>
      </w:r>
      <w:r>
        <w:instrText xml:space="preserve"> \* MERGEFORMAT </w:instrText>
      </w:r>
      <w:r w:rsidRPr="00115BF8">
        <w:fldChar w:fldCharType="separate"/>
      </w:r>
      <w:r w:rsidR="00171A5E">
        <w:t>0</w:t>
      </w:r>
      <w:r w:rsidRPr="00115BF8">
        <w:fldChar w:fldCharType="end"/>
      </w:r>
      <w:r w:rsidRPr="00115BF8">
        <w:t xml:space="preserve"> for the risk</w:t>
      </w:r>
      <w:r>
        <w:t xml:space="preserve"> tables.</w:t>
      </w:r>
    </w:p>
    <w:p w14:paraId="5E689FA1" w14:textId="237078BE" w:rsidR="00247CBE" w:rsidRDefault="00247CBE" w:rsidP="00C150BC">
      <w:pPr>
        <w:pStyle w:val="Head3app"/>
      </w:pPr>
      <w:bookmarkStart w:id="873" w:name="_Toc420500932"/>
      <w:bookmarkStart w:id="874" w:name="_Toc420511187"/>
      <w:bookmarkStart w:id="875" w:name="_Toc420572508"/>
      <w:bookmarkStart w:id="876" w:name="_Toc420572678"/>
      <w:bookmarkStart w:id="877" w:name="_Toc420573097"/>
      <w:bookmarkStart w:id="878" w:name="_Toc296599087"/>
      <w:bookmarkStart w:id="879" w:name="_Toc296767308"/>
      <w:bookmarkStart w:id="880" w:name="_Toc296770449"/>
      <w:bookmarkStart w:id="881" w:name="_Toc423018273"/>
      <w:r>
        <w:t>A2.10</w:t>
      </w:r>
      <w:r>
        <w:tab/>
        <w:t>Presentation of risk assessment findings</w:t>
      </w:r>
      <w:bookmarkEnd w:id="873"/>
      <w:bookmarkEnd w:id="874"/>
      <w:bookmarkEnd w:id="875"/>
      <w:bookmarkEnd w:id="876"/>
      <w:bookmarkEnd w:id="877"/>
      <w:bookmarkEnd w:id="878"/>
      <w:bookmarkEnd w:id="879"/>
      <w:bookmarkEnd w:id="880"/>
      <w:bookmarkEnd w:id="881"/>
    </w:p>
    <w:p w14:paraId="6EC0D4ED" w14:textId="7BBC5A90" w:rsidR="00247CBE" w:rsidRDefault="00247CBE" w:rsidP="00C150BC">
      <w:pPr>
        <w:pStyle w:val="Heading4"/>
      </w:pPr>
      <w:bookmarkStart w:id="882" w:name="_Toc420572679"/>
      <w:r>
        <w:t>Risk assessment to inform government policy</w:t>
      </w:r>
      <w:bookmarkEnd w:id="882"/>
    </w:p>
    <w:p w14:paraId="76B58872" w14:textId="5A836359" w:rsidR="00247CBE" w:rsidRDefault="00247CBE" w:rsidP="00247CBE">
      <w:r>
        <w:rPr>
          <w:noProof/>
        </w:rPr>
        <w:t>Multiple</w:t>
      </w:r>
      <w:r>
        <w:t xml:space="preserve"> sensitivity layers were developed for the Namoi Catchment Management Authority by Eco Logical Australia (2012) to inform a cumulative risk assessment of different mining scenarios on ten types of natural resource assets found in the catchment. </w:t>
      </w:r>
      <w:r>
        <w:fldChar w:fldCharType="begin"/>
      </w:r>
      <w:r>
        <w:instrText xml:space="preserve"> REF _Ref406754846 \h  \* MERGEFORMAT </w:instrText>
      </w:r>
      <w:r>
        <w:fldChar w:fldCharType="separate"/>
      </w:r>
      <w:r w:rsidR="00171A5E">
        <w:t>Table</w:t>
      </w:r>
      <w:r>
        <w:fldChar w:fldCharType="end"/>
      </w:r>
      <w:r w:rsidR="005F6419">
        <w:t xml:space="preserve"> A2</w:t>
      </w:r>
      <w:r>
        <w:t xml:space="preserve"> shows the relative risks posed by coal seam gas, open-cut mining and long wall mining to groundwater drawdown and quality at different locations in the Namoi catchment. </w:t>
      </w:r>
    </w:p>
    <w:p w14:paraId="2D408376" w14:textId="77777777" w:rsidR="00247CBE" w:rsidRDefault="00247CBE" w:rsidP="00247CBE">
      <w:r>
        <w:t xml:space="preserve">Owing to the study’s scope which assessed risks to both terrestrial and aquatic ecosystems, the risk assessment is focused on the potential footprint of mining (area requiring clearing) relative to catchment area. </w:t>
      </w:r>
    </w:p>
    <w:p w14:paraId="1F001E0F" w14:textId="725F1A52" w:rsidR="00247CBE" w:rsidRDefault="00247CBE" w:rsidP="002D44DF">
      <w:pPr>
        <w:pStyle w:val="Tableheading"/>
      </w:pPr>
      <w:bookmarkStart w:id="883" w:name="_Ref406754846"/>
      <w:r>
        <w:t>Table</w:t>
      </w:r>
      <w:bookmarkEnd w:id="883"/>
      <w:r>
        <w:t xml:space="preserve"> A2: Risk</w:t>
      </w:r>
      <w:r w:rsidRPr="000B4213">
        <w:t xml:space="preserve"> </w:t>
      </w:r>
      <w:r>
        <w:t>matrix showing sensitivity of water assets at different scales of coal seam gas, Long-Wall Mining and Open-Cut Mining Development. (Source: Eco Logical Australia, 2012.)</w:t>
      </w:r>
    </w:p>
    <w:p w14:paraId="7B53F964" w14:textId="15FF2D42" w:rsidR="00247CBE" w:rsidRDefault="00247CBE" w:rsidP="00C35056">
      <w:pPr>
        <w:pStyle w:val="Tableheading"/>
        <w:jc w:val="center"/>
        <w:rPr>
          <w:noProof/>
        </w:rPr>
      </w:pPr>
      <w:r>
        <w:rPr>
          <w:noProof/>
          <w:lang w:val="en-AU"/>
        </w:rPr>
        <w:drawing>
          <wp:inline distT="0" distB="0" distL="0" distR="0" wp14:anchorId="5F935DAC" wp14:editId="2A976C2F">
            <wp:extent cx="5509260" cy="1284934"/>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515444" cy="1286376"/>
                    </a:xfrm>
                    <a:prstGeom prst="rect">
                      <a:avLst/>
                    </a:prstGeom>
                  </pic:spPr>
                </pic:pic>
              </a:graphicData>
            </a:graphic>
          </wp:inline>
        </w:drawing>
      </w:r>
    </w:p>
    <w:p w14:paraId="258A68FD" w14:textId="77777777" w:rsidR="00247CBE" w:rsidRDefault="00247CBE" w:rsidP="00247CBE">
      <w:pPr>
        <w:rPr>
          <w:noProof/>
        </w:rPr>
      </w:pPr>
      <w:r>
        <w:rPr>
          <w:noProof/>
        </w:rPr>
        <w:t>As shown in Figure A3 the relative risk water assets from different development scenarios is</w:t>
      </w:r>
      <w:r w:rsidRPr="009441C0">
        <w:t xml:space="preserve"> </w:t>
      </w:r>
      <w:r>
        <w:t>assessed</w:t>
      </w:r>
      <w:r w:rsidDel="009441C0">
        <w:rPr>
          <w:noProof/>
        </w:rPr>
        <w:t xml:space="preserve"> </w:t>
      </w:r>
      <w:r>
        <w:rPr>
          <w:noProof/>
        </w:rPr>
        <w:t xml:space="preserve">to be greatest from large-scale </w:t>
      </w:r>
      <w:r>
        <w:t>coal seam gas</w:t>
      </w:r>
      <w:r>
        <w:rPr>
          <w:noProof/>
        </w:rPr>
        <w:t xml:space="preserve"> development owing to the proximity to groundwater resources and the volume of co-produced water generated. Similar conclusions were drawn for sensitivity of groundwater quality to </w:t>
      </w:r>
      <w:r>
        <w:t>coal seam gas</w:t>
      </w:r>
      <w:r>
        <w:rPr>
          <w:noProof/>
        </w:rPr>
        <w:t xml:space="preserve"> development, as shown in the top right diagram of Figure A3, due to the fact that </w:t>
      </w:r>
      <w:r>
        <w:t>coal seam gas</w:t>
      </w:r>
      <w:r>
        <w:rPr>
          <w:noProof/>
        </w:rPr>
        <w:t xml:space="preserve"> has a relatively greater concentration of wells and holding ponds than open-cut or long-wall mining. This finding is relevant to considering relative risks from onshore unconventional gas to conventional gas development, which typically will involve gas extraction from a single rather than multiple wells. </w:t>
      </w:r>
    </w:p>
    <w:p w14:paraId="431A77CA" w14:textId="77777777" w:rsidR="00247CBE" w:rsidRDefault="00247CBE" w:rsidP="00C35056">
      <w:pPr>
        <w:pStyle w:val="figurereturn"/>
      </w:pPr>
      <w:r>
        <w:drawing>
          <wp:inline distT="0" distB="0" distL="0" distR="0" wp14:anchorId="2AB35308" wp14:editId="0E1E0A4A">
            <wp:extent cx="5806440" cy="3856355"/>
            <wp:effectExtent l="0" t="0" r="381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806440" cy="3856355"/>
                    </a:xfrm>
                    <a:prstGeom prst="rect">
                      <a:avLst/>
                    </a:prstGeom>
                    <a:noFill/>
                    <a:ln>
                      <a:noFill/>
                    </a:ln>
                  </pic:spPr>
                </pic:pic>
              </a:graphicData>
            </a:graphic>
          </wp:inline>
        </w:drawing>
      </w:r>
    </w:p>
    <w:p w14:paraId="69724ED5" w14:textId="04C8620E" w:rsidR="00247CBE" w:rsidRDefault="00247CBE" w:rsidP="00A53AE8">
      <w:pPr>
        <w:pStyle w:val="Figuretitle"/>
      </w:pPr>
      <w:bookmarkStart w:id="884" w:name="_Ref406754895"/>
      <w:bookmarkStart w:id="885" w:name="_Toc419969423"/>
      <w:bookmarkStart w:id="886" w:name="_Toc420577003"/>
      <w:r>
        <w:t>Figure</w:t>
      </w:r>
      <w:bookmarkEnd w:id="884"/>
      <w:r>
        <w:t xml:space="preserve"> A3: Sensitivity</w:t>
      </w:r>
      <w:r w:rsidRPr="00266C8F">
        <w:t xml:space="preserve"> </w:t>
      </w:r>
      <w:r>
        <w:t>to Groundwater Drawdown under Coal Seam Gas, Open Cut Mining and Long Wall Mining Development. (Source: Eco Logical Australia, 2012.)</w:t>
      </w:r>
      <w:bookmarkEnd w:id="885"/>
      <w:bookmarkEnd w:id="886"/>
    </w:p>
    <w:p w14:paraId="00F19940" w14:textId="77777777" w:rsidR="00247CBE" w:rsidRPr="00266C8F" w:rsidRDefault="00247CBE" w:rsidP="00247CBE">
      <w:r>
        <w:t xml:space="preserve">In Western Maryland, the Marcellus Shale Safe Drilling Initiative was designed to inform policymakers and regulators to determine whether and under what circumstances gas production can proceed without </w:t>
      </w:r>
      <w:r w:rsidRPr="00266C8F">
        <w:t xml:space="preserve">presenting unacceptable health and safety and environmental risks. </w:t>
      </w:r>
    </w:p>
    <w:p w14:paraId="4F90E7E4" w14:textId="77777777" w:rsidR="00247CBE" w:rsidRDefault="00247CBE" w:rsidP="00247CBE">
      <w:r w:rsidRPr="003A575E">
        <w:t>A qualitative risk assessment for unconventional gas well development was conducted by technical teams who reviewed available literature and identified potential risks across well lifecycle from site identification to abandonment/reclamation. Risks were assigned to categories</w:t>
      </w:r>
      <w:r w:rsidRPr="00266C8F">
        <w:t>, two relevant to this literature review being “potential impacts to surface and ground waters” and “water withdrawal”.</w:t>
      </w:r>
    </w:p>
    <w:p w14:paraId="051D0627" w14:textId="22C80615" w:rsidR="00247CBE" w:rsidRDefault="00247CBE" w:rsidP="00247CBE">
      <w:r w:rsidRPr="00266C8F">
        <w:t xml:space="preserve">The risk assessment was based on two development scenarios: 25% extraction and 75% extraction levels of available natural gas resource. </w:t>
      </w:r>
      <w:r>
        <w:t xml:space="preserve">Table A3 below shows the assumptions underlying these scenarios. </w:t>
      </w:r>
      <w:r w:rsidR="00C35056">
        <w:br/>
      </w:r>
    </w:p>
    <w:p w14:paraId="4581A976" w14:textId="7F33E779" w:rsidR="00247CBE" w:rsidRDefault="00247CBE" w:rsidP="002D44DF">
      <w:pPr>
        <w:pStyle w:val="Tableheading"/>
      </w:pPr>
      <w:bookmarkStart w:id="887" w:name="_Ref406754976"/>
      <w:r>
        <w:t>Table</w:t>
      </w:r>
      <w:bookmarkEnd w:id="887"/>
      <w:r>
        <w:t xml:space="preserve"> A3: Development</w:t>
      </w:r>
      <w:r w:rsidRPr="00266C8F">
        <w:t xml:space="preserve"> </w:t>
      </w:r>
      <w:r>
        <w:t>scenario assumptions. (Source: Maryland Department of Environment, 2014.)</w:t>
      </w:r>
    </w:p>
    <w:p w14:paraId="1A4EDC8D" w14:textId="77777777" w:rsidR="00247CBE" w:rsidRDefault="00247CBE" w:rsidP="00C35056">
      <w:pPr>
        <w:jc w:val="center"/>
      </w:pPr>
      <w:r>
        <w:rPr>
          <w:noProof/>
          <w:lang w:val="en-AU"/>
        </w:rPr>
        <w:drawing>
          <wp:inline distT="0" distB="0" distL="0" distR="0" wp14:anchorId="5B198F56" wp14:editId="09BABF08">
            <wp:extent cx="3647440" cy="1163605"/>
            <wp:effectExtent l="0" t="0" r="0" b="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3654353" cy="1165810"/>
                    </a:xfrm>
                    <a:prstGeom prst="rect">
                      <a:avLst/>
                    </a:prstGeom>
                    <a:ln>
                      <a:noFill/>
                    </a:ln>
                    <a:extLst>
                      <a:ext uri="{53640926-AAD7-44D8-BBD7-CCE9431645EC}">
                        <a14:shadowObscured xmlns:a14="http://schemas.microsoft.com/office/drawing/2010/main"/>
                      </a:ext>
                    </a:extLst>
                  </pic:spPr>
                </pic:pic>
              </a:graphicData>
            </a:graphic>
          </wp:inline>
        </w:drawing>
      </w:r>
    </w:p>
    <w:p w14:paraId="5E6FC80A" w14:textId="7D874656" w:rsidR="00247CBE" w:rsidRDefault="00247CBE" w:rsidP="00247CBE">
      <w:r>
        <w:t xml:space="preserve">Risk impacts included direct and indirect impacts to human, community, ecological and recreation receivers. The likelihood (low, medium or high) and consequence (minor, moderate or serious) evaluated and combined to inform an assessment of a low, moderate or high risk rating for each risk </w:t>
      </w:r>
      <w:r w:rsidRPr="005F6419">
        <w:t xml:space="preserve">(see </w:t>
      </w:r>
      <w:r w:rsidRPr="005F6419">
        <w:fldChar w:fldCharType="begin"/>
      </w:r>
      <w:r w:rsidRPr="005F6419">
        <w:instrText xml:space="preserve"> REF _Ref406755029 \h </w:instrText>
      </w:r>
      <w:r w:rsidR="005F6419">
        <w:instrText xml:space="preserve"> \* MERGEFORMAT </w:instrText>
      </w:r>
      <w:r w:rsidRPr="005F6419">
        <w:fldChar w:fldCharType="separate"/>
      </w:r>
      <w:r w:rsidR="00171A5E">
        <w:t>Table</w:t>
      </w:r>
      <w:r w:rsidRPr="005F6419">
        <w:fldChar w:fldCharType="end"/>
      </w:r>
      <w:r w:rsidRPr="005F6419">
        <w:t xml:space="preserve"> A4).</w:t>
      </w:r>
    </w:p>
    <w:p w14:paraId="015A1808" w14:textId="77777777" w:rsidR="00247CBE" w:rsidRDefault="00247CBE" w:rsidP="00247CBE"/>
    <w:p w14:paraId="785889B3" w14:textId="0306053E" w:rsidR="00247CBE" w:rsidRDefault="00247CBE" w:rsidP="002D44DF">
      <w:pPr>
        <w:pStyle w:val="Tableheading"/>
      </w:pPr>
      <w:bookmarkStart w:id="888" w:name="_Ref406755029"/>
      <w:r>
        <w:t>Table</w:t>
      </w:r>
      <w:bookmarkEnd w:id="888"/>
      <w:r>
        <w:t xml:space="preserve"> A4: Risk</w:t>
      </w:r>
      <w:r w:rsidRPr="00266C8F">
        <w:t xml:space="preserve"> </w:t>
      </w:r>
      <w:r>
        <w:t>ranking matrix. (</w:t>
      </w:r>
      <w:r w:rsidR="00C35056">
        <w:t>S</w:t>
      </w:r>
      <w:r>
        <w:t>ource: Maryland Department of Environment, 2014.)</w:t>
      </w:r>
    </w:p>
    <w:p w14:paraId="77A78AF7" w14:textId="77777777" w:rsidR="00247CBE" w:rsidRDefault="00247CBE" w:rsidP="00C35056">
      <w:pPr>
        <w:jc w:val="center"/>
      </w:pPr>
      <w:r>
        <w:rPr>
          <w:noProof/>
          <w:lang w:val="en-AU"/>
        </w:rPr>
        <w:drawing>
          <wp:inline distT="0" distB="0" distL="0" distR="0" wp14:anchorId="5DF911D5" wp14:editId="334E3B9F">
            <wp:extent cx="4785360" cy="1668780"/>
            <wp:effectExtent l="0" t="0" r="0" b="7620"/>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785360" cy="1668780"/>
                    </a:xfrm>
                    <a:prstGeom prst="rect">
                      <a:avLst/>
                    </a:prstGeom>
                  </pic:spPr>
                </pic:pic>
              </a:graphicData>
            </a:graphic>
          </wp:inline>
        </w:drawing>
      </w:r>
    </w:p>
    <w:p w14:paraId="718B2388" w14:textId="77777777" w:rsidR="00247CBE" w:rsidRDefault="00247CBE" w:rsidP="00247CBE">
      <w:r>
        <w:t xml:space="preserve">The risk assessment assigns a rating to each risk category by phase of well development (e.g. water withdrawal for drilling, water withdrawal for hydraulic fracturing), based on assumptions around the scale of development and ability of current regulatory framework to manage development. </w:t>
      </w:r>
    </w:p>
    <w:p w14:paraId="01DF17B7" w14:textId="77777777" w:rsidR="00247CBE" w:rsidRDefault="00247CBE" w:rsidP="00247CBE">
      <w:r>
        <w:t xml:space="preserve">However, it is not geographically-focused i.e. does not seek to evaluate risks under different hydrogeological conditions or to specific groundwater assets. </w:t>
      </w:r>
    </w:p>
    <w:p w14:paraId="669D6BF8" w14:textId="7F75D23C" w:rsidR="00247CBE" w:rsidRDefault="00247CBE" w:rsidP="00247CBE">
      <w:r>
        <w:t xml:space="preserve">In Alberta, the Ministry of Environment and Sustainable Resource Development (ERSD) uses a qualitative </w:t>
      </w:r>
      <w:r>
        <w:br/>
        <w:t>3 by 3 risk matrix (Table A5) as the basis for its guidelines around information which must be provided to support a Licence Application for oilfield injection. It instructs proponents to plot qualitative impacts (on a scale of minor, moderate and major) and probability ratings (remote, unlikely, likely) to determine the Tier level and corresponding technical, economic and net environmental effects which proponents must be characterised for the project.</w:t>
      </w:r>
    </w:p>
    <w:p w14:paraId="4043F48B" w14:textId="77777777" w:rsidR="00247CBE" w:rsidRDefault="00247CBE" w:rsidP="00247CBE"/>
    <w:p w14:paraId="0A09551C" w14:textId="742A2FA8" w:rsidR="00247CBE" w:rsidRDefault="00247CBE" w:rsidP="002D44DF">
      <w:pPr>
        <w:pStyle w:val="Tableheading"/>
      </w:pPr>
      <w:bookmarkStart w:id="889" w:name="_Ref406755091"/>
      <w:r>
        <w:t>Table</w:t>
      </w:r>
      <w:bookmarkEnd w:id="889"/>
      <w:r>
        <w:t xml:space="preserve"> A5: Risk-based tier selection: determining the appropriate Tier Level. (Source: ERSD, 2006.)</w:t>
      </w:r>
    </w:p>
    <w:p w14:paraId="2312DA22" w14:textId="77777777" w:rsidR="00247CBE" w:rsidRDefault="00247CBE" w:rsidP="00C35056">
      <w:pPr>
        <w:jc w:val="center"/>
      </w:pPr>
      <w:r>
        <w:rPr>
          <w:noProof/>
          <w:lang w:val="en-AU"/>
        </w:rPr>
        <w:drawing>
          <wp:inline distT="0" distB="0" distL="0" distR="0" wp14:anchorId="799815AB" wp14:editId="5B5212EF">
            <wp:extent cx="5581650" cy="1628775"/>
            <wp:effectExtent l="0" t="0" r="0" b="9525"/>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5579403" cy="1628119"/>
                    </a:xfrm>
                    <a:prstGeom prst="rect">
                      <a:avLst/>
                    </a:prstGeom>
                    <a:ln>
                      <a:noFill/>
                    </a:ln>
                    <a:extLst>
                      <a:ext uri="{53640926-AAD7-44D8-BBD7-CCE9431645EC}">
                        <a14:shadowObscured xmlns:a14="http://schemas.microsoft.com/office/drawing/2010/main"/>
                      </a:ext>
                    </a:extLst>
                  </pic:spPr>
                </pic:pic>
              </a:graphicData>
            </a:graphic>
          </wp:inline>
        </w:drawing>
      </w:r>
    </w:p>
    <w:p w14:paraId="2546FE5B" w14:textId="77777777" w:rsidR="00247CBE" w:rsidRDefault="00247CBE" w:rsidP="00247CBE">
      <w:r>
        <w:fldChar w:fldCharType="begin"/>
      </w:r>
      <w:r>
        <w:instrText xml:space="preserve"> REF _Ref406755091 \h  \* MERGEFORMAT </w:instrText>
      </w:r>
      <w:r>
        <w:fldChar w:fldCharType="separate"/>
      </w:r>
      <w:r w:rsidR="00171A5E">
        <w:rPr>
          <w:noProof/>
        </w:rPr>
        <w:t>Table</w:t>
      </w:r>
      <w:r>
        <w:fldChar w:fldCharType="end"/>
      </w:r>
      <w:r>
        <w:t xml:space="preserve"> A6 and </w:t>
      </w:r>
      <w:r>
        <w:fldChar w:fldCharType="begin"/>
      </w:r>
      <w:r>
        <w:instrText xml:space="preserve"> REF _Ref406755159 \h  \* MERGEFORMAT </w:instrText>
      </w:r>
      <w:r>
        <w:fldChar w:fldCharType="separate"/>
      </w:r>
      <w:r w:rsidR="00171A5E">
        <w:t>Table</w:t>
      </w:r>
      <w:r>
        <w:fldChar w:fldCharType="end"/>
      </w:r>
      <w:r>
        <w:t xml:space="preserve"> A6 provide high-level guidance to determine probability and impact and inform the selection of the appropriate tier level.</w:t>
      </w:r>
    </w:p>
    <w:p w14:paraId="2F989EC9" w14:textId="1903D3F2" w:rsidR="00247CBE" w:rsidRDefault="00247CBE" w:rsidP="002D44DF">
      <w:pPr>
        <w:pStyle w:val="Tableheading"/>
      </w:pPr>
      <w:bookmarkStart w:id="890" w:name="_Ref406755159"/>
      <w:r>
        <w:t>Table</w:t>
      </w:r>
      <w:bookmarkEnd w:id="890"/>
      <w:r>
        <w:t xml:space="preserve"> A6:  Risk-based</w:t>
      </w:r>
      <w:r w:rsidRPr="00266C8F">
        <w:t xml:space="preserve"> </w:t>
      </w:r>
      <w:r>
        <w:t>tier selection: scale of impact against ‘Water for Life’ goals.</w:t>
      </w:r>
      <w:r w:rsidRPr="00E01525">
        <w:t xml:space="preserve"> </w:t>
      </w:r>
      <w:r w:rsidR="00C35056">
        <w:br/>
      </w:r>
      <w:r>
        <w:t>(Source ERSD, 2006.)</w:t>
      </w:r>
    </w:p>
    <w:p w14:paraId="0D104191" w14:textId="68A1D07C" w:rsidR="00247CBE" w:rsidRDefault="00247CBE" w:rsidP="00C35056">
      <w:pPr>
        <w:jc w:val="center"/>
      </w:pPr>
      <w:r>
        <w:rPr>
          <w:noProof/>
          <w:lang w:val="en-AU"/>
        </w:rPr>
        <w:drawing>
          <wp:inline distT="0" distB="0" distL="0" distR="0" wp14:anchorId="1B4FC6FE" wp14:editId="76AD424C">
            <wp:extent cx="6060435" cy="4762500"/>
            <wp:effectExtent l="0" t="0" r="0" b="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076968" cy="4775492"/>
                    </a:xfrm>
                    <a:prstGeom prst="rect">
                      <a:avLst/>
                    </a:prstGeom>
                  </pic:spPr>
                </pic:pic>
              </a:graphicData>
            </a:graphic>
          </wp:inline>
        </w:drawing>
      </w:r>
      <w:r w:rsidR="00C35056">
        <w:br/>
      </w:r>
    </w:p>
    <w:p w14:paraId="43B00229" w14:textId="4A448590" w:rsidR="00247CBE" w:rsidRDefault="00247CBE" w:rsidP="002D44DF">
      <w:pPr>
        <w:pStyle w:val="Tableheading"/>
      </w:pPr>
      <w:r>
        <w:t>Table A7: Risk-based tier selection: determining probability of impacts. (Source: ERSD, 2006.)</w:t>
      </w:r>
    </w:p>
    <w:p w14:paraId="524FB85C" w14:textId="77777777" w:rsidR="00247CBE" w:rsidRDefault="00247CBE" w:rsidP="00C35056">
      <w:pPr>
        <w:jc w:val="center"/>
      </w:pPr>
      <w:r>
        <w:rPr>
          <w:noProof/>
          <w:lang w:val="en-AU"/>
        </w:rPr>
        <w:drawing>
          <wp:inline distT="0" distB="0" distL="0" distR="0" wp14:anchorId="1911A542" wp14:editId="47176C48">
            <wp:extent cx="5353049" cy="1630330"/>
            <wp:effectExtent l="0" t="0" r="63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5371476" cy="1635942"/>
                    </a:xfrm>
                    <a:prstGeom prst="rect">
                      <a:avLst/>
                    </a:prstGeom>
                    <a:ln>
                      <a:noFill/>
                    </a:ln>
                    <a:extLst>
                      <a:ext uri="{53640926-AAD7-44D8-BBD7-CCE9431645EC}">
                        <a14:shadowObscured xmlns:a14="http://schemas.microsoft.com/office/drawing/2010/main"/>
                      </a:ext>
                    </a:extLst>
                  </pic:spPr>
                </pic:pic>
              </a:graphicData>
            </a:graphic>
          </wp:inline>
        </w:drawing>
      </w:r>
    </w:p>
    <w:p w14:paraId="052A7521" w14:textId="41C4BD94" w:rsidR="00D951F9" w:rsidRDefault="00247CBE" w:rsidP="00C150BC">
      <w:pPr>
        <w:pStyle w:val="Head2app"/>
      </w:pPr>
      <w:r>
        <w:br w:type="page"/>
      </w:r>
      <w:bookmarkStart w:id="891" w:name="_Toc420572509"/>
      <w:bookmarkStart w:id="892" w:name="_Toc420572680"/>
      <w:bookmarkStart w:id="893" w:name="_Toc420573098"/>
      <w:bookmarkStart w:id="894" w:name="_Toc296599088"/>
      <w:bookmarkStart w:id="895" w:name="_Toc296767309"/>
      <w:bookmarkStart w:id="896" w:name="_Toc296770450"/>
      <w:bookmarkStart w:id="897" w:name="_Toc423018274"/>
      <w:r w:rsidR="00D91C19">
        <w:t xml:space="preserve">Appendix </w:t>
      </w:r>
      <w:r w:rsidR="00D951F9">
        <w:t>A3</w:t>
      </w:r>
      <w:r w:rsidR="00D951F9">
        <w:tab/>
        <w:t xml:space="preserve">Implications for the design of </w:t>
      </w:r>
      <w:r w:rsidR="00D951F9" w:rsidRPr="005F6419">
        <w:t>a QQRA</w:t>
      </w:r>
      <w:bookmarkEnd w:id="891"/>
      <w:bookmarkEnd w:id="892"/>
      <w:bookmarkEnd w:id="893"/>
      <w:bookmarkEnd w:id="894"/>
      <w:bookmarkEnd w:id="895"/>
      <w:bookmarkEnd w:id="896"/>
      <w:bookmarkEnd w:id="897"/>
    </w:p>
    <w:p w14:paraId="48DC2C62" w14:textId="33A9AF8F" w:rsidR="00D951F9" w:rsidRDefault="00D951F9" w:rsidP="00D951F9">
      <w:r>
        <w:t xml:space="preserve">There is no fit-for-purpose risk assessment methodology that is suited to analysing risks at a policy-making/strategic land use level to water resources from unconventional onshore gas developments. </w:t>
      </w:r>
    </w:p>
    <w:p w14:paraId="419F8AB0" w14:textId="77777777" w:rsidR="00D951F9" w:rsidRDefault="00D951F9" w:rsidP="00D951F9">
      <w:r>
        <w:t xml:space="preserve">Many jurisdictions use their existing regulation frameworks to manage risks from onshore gas development including water supply requirements, discharges to environment and well integrity. </w:t>
      </w:r>
    </w:p>
    <w:p w14:paraId="209848AC" w14:textId="77777777" w:rsidR="00D951F9" w:rsidRDefault="00D951F9" w:rsidP="00D951F9">
      <w:r>
        <w:t xml:space="preserve">Land use planning around onshore gas appears to be based on a precautionary approach to risk, given there is still considerable uncertainty around precise pathways for cause and effect. As pathways are highly site specific it is difficult to generalise likelihood of impacts across larger areas. Consequently, several regulators at both state and national level have delineated exclusion zones around pre-existing determinations of sensitive assets. For instance, New South Wales share the New York State Department of Environmental Conservation’s concern regarding protecting drinking water from principal and primary aquifers. However there are a number of studies and research programs to improve understanding and frameworks to manage impacts associated with onshore gas development e.g. Bioregional Assessments, Cumulative Management Areas (Queensland). </w:t>
      </w:r>
    </w:p>
    <w:p w14:paraId="0D28B3F2" w14:textId="77777777" w:rsidR="00D951F9" w:rsidRDefault="00D951F9" w:rsidP="00D951F9">
      <w:r>
        <w:t>Components of project risk assessments are often transferable to assessing risk at a strategic level. This is particularly the case when considering the scale of unconventional gas developments in comparison to traditional conventional gas. Conventional gas typically involves relatively few wells, whereas unconventional gas, in particular coal seam gas involves many wells, sometimes 1,000s of wells over large areas. This blurs the distinction between project and regional scale assessments. In light of this, through the National Harmonised Framework the Federal Government requires that proponents assess cumulative impacts from other gas developments and/or different existing/potential land uses.</w:t>
      </w:r>
    </w:p>
    <w:p w14:paraId="6D8C0D00" w14:textId="77777777" w:rsidR="00D951F9" w:rsidRDefault="00D951F9" w:rsidP="00D951F9">
      <w:r>
        <w:t>Common elements and differences between the two scales of risk assessments are discussed below.</w:t>
      </w:r>
    </w:p>
    <w:p w14:paraId="20939F7B" w14:textId="0FC0BDCB" w:rsidR="00D951F9" w:rsidRDefault="00D951F9" w:rsidP="00C150BC">
      <w:pPr>
        <w:pStyle w:val="Head3app"/>
      </w:pPr>
      <w:bookmarkStart w:id="898" w:name="_Toc420500934"/>
      <w:bookmarkStart w:id="899" w:name="_Toc420511189"/>
      <w:bookmarkStart w:id="900" w:name="_Toc420572510"/>
      <w:bookmarkStart w:id="901" w:name="_Toc420572681"/>
      <w:bookmarkStart w:id="902" w:name="_Toc420573099"/>
      <w:bookmarkStart w:id="903" w:name="_Toc296599089"/>
      <w:bookmarkStart w:id="904" w:name="_Toc296767310"/>
      <w:bookmarkStart w:id="905" w:name="_Toc296770451"/>
      <w:bookmarkStart w:id="906" w:name="_Toc423018275"/>
      <w:r>
        <w:t>A3.1</w:t>
      </w:r>
      <w:r>
        <w:tab/>
        <w:t>Common elements</w:t>
      </w:r>
      <w:bookmarkEnd w:id="898"/>
      <w:bookmarkEnd w:id="899"/>
      <w:bookmarkEnd w:id="900"/>
      <w:bookmarkEnd w:id="901"/>
      <w:bookmarkEnd w:id="902"/>
      <w:bookmarkEnd w:id="903"/>
      <w:bookmarkEnd w:id="904"/>
      <w:bookmarkEnd w:id="905"/>
      <w:bookmarkEnd w:id="906"/>
    </w:p>
    <w:p w14:paraId="5A59FD23" w14:textId="77777777" w:rsidR="00D951F9" w:rsidRPr="003A575E" w:rsidRDefault="00D951F9" w:rsidP="00D951F9">
      <w:r w:rsidRPr="003A575E">
        <w:t xml:space="preserve">Common to all risk assessment methodologies at either a project or hypothetical level is the characterisation of the existing hydrogeological conceptual model and establishing a baseline from which to assess potential impacts and identifying sensitive receptors (water resources and water-dependent assets). There is scope to integrate data from asset registers/natural resource management authorities (IESC, 2013). </w:t>
      </w:r>
    </w:p>
    <w:p w14:paraId="4950FE2F" w14:textId="77777777" w:rsidR="00D951F9" w:rsidRPr="003A575E" w:rsidRDefault="00D951F9" w:rsidP="00D951F9">
      <w:r w:rsidRPr="003A575E">
        <w:t>Whilst numerical modelling is typically carried out for project level risk assessments, lack of sufficient data at a regional level to support strategic planning risk assessments means conceptual models and qualitative or semi-quantitative criteria are often adopted until better information becomes available. The exception to this is Queensland, where the Office of Groundwater Impact Assessment has commissioned numerical modelling of the cumulative management areas to understand predicted impacts across the region to inform government policy.</w:t>
      </w:r>
    </w:p>
    <w:p w14:paraId="43341C14" w14:textId="77777777" w:rsidR="00D951F9" w:rsidRDefault="00D951F9" w:rsidP="00D951F9">
      <w:r>
        <w:t xml:space="preserve">Another common element is the principle of hazard identification (i.e. the source-pathway-receptor). However hazard identification at a strategic planning scale will invariably have to make assumptions around onshore gas development in order to infer potential impacts (e.g. location, extent). This introduces an added dimension of uncertainty which needs to be factored into risk ratings or made clear in the limitations and assumptions section of a report. </w:t>
      </w:r>
    </w:p>
    <w:p w14:paraId="4125FE49" w14:textId="77777777" w:rsidR="00D951F9" w:rsidRDefault="00D951F9" w:rsidP="00D951F9">
      <w:r>
        <w:t xml:space="preserve">In terms of understanding potential hydrogeological pathways, at both the project scale and the regional scale they are often described conceptually as there is rarely sufficient information to identify to describe them more in more detail and specifically. </w:t>
      </w:r>
    </w:p>
    <w:p w14:paraId="40CDF99C" w14:textId="77777777" w:rsidR="00C35056" w:rsidRDefault="00C35056">
      <w:pPr>
        <w:spacing w:after="200"/>
      </w:pPr>
      <w:r>
        <w:br w:type="page"/>
      </w:r>
    </w:p>
    <w:p w14:paraId="69991A3F" w14:textId="6E9E0FB8" w:rsidR="00D951F9" w:rsidRDefault="00D951F9" w:rsidP="00D951F9">
      <w:r>
        <w:t xml:space="preserve">Thresholds for significant impact are similar between project-based and strategic land-use planning risk assessments, and will depend on whether individual or cumulative impacts are being factored into consequence ratings. </w:t>
      </w:r>
    </w:p>
    <w:p w14:paraId="3190DA06" w14:textId="77777777" w:rsidR="00D951F9" w:rsidRDefault="00D951F9" w:rsidP="00D951F9">
      <w:r>
        <w:t>The criteria used to identify water resources and water-dependent assets – typically value and sensitivity - are relevant to risk assessments for both actual and hypothetical developments. Arguably there has been greater focus on assessing sensitivity than value. At a strategic planning level, the scale and number of receptors involved means it may be necessary to group receptors into ‘asset classes’ according to common characteristics and pathways through which they could experience adverse impacts.</w:t>
      </w:r>
    </w:p>
    <w:p w14:paraId="1D08EAAE" w14:textId="703DDB1A" w:rsidR="00D951F9" w:rsidRDefault="00D951F9" w:rsidP="00C150BC">
      <w:pPr>
        <w:pStyle w:val="Head3app"/>
      </w:pPr>
      <w:bookmarkStart w:id="907" w:name="_Toc420500935"/>
      <w:bookmarkStart w:id="908" w:name="_Toc420511190"/>
      <w:bookmarkStart w:id="909" w:name="_Toc420572511"/>
      <w:bookmarkStart w:id="910" w:name="_Toc420572682"/>
      <w:bookmarkStart w:id="911" w:name="_Toc420573100"/>
      <w:bookmarkStart w:id="912" w:name="_Toc296599090"/>
      <w:bookmarkStart w:id="913" w:name="_Toc296767311"/>
      <w:bookmarkStart w:id="914" w:name="_Toc296770452"/>
      <w:bookmarkStart w:id="915" w:name="_Toc423018276"/>
      <w:r>
        <w:t>A3.2</w:t>
      </w:r>
      <w:r>
        <w:tab/>
        <w:t>Key differences</w:t>
      </w:r>
      <w:bookmarkEnd w:id="907"/>
      <w:bookmarkEnd w:id="908"/>
      <w:bookmarkEnd w:id="909"/>
      <w:bookmarkEnd w:id="910"/>
      <w:bookmarkEnd w:id="911"/>
      <w:bookmarkEnd w:id="912"/>
      <w:bookmarkEnd w:id="913"/>
      <w:bookmarkEnd w:id="914"/>
      <w:bookmarkEnd w:id="915"/>
    </w:p>
    <w:p w14:paraId="7A1FC829" w14:textId="77777777" w:rsidR="00D951F9" w:rsidRDefault="00D951F9" w:rsidP="00D951F9">
      <w:r>
        <w:t xml:space="preserve">There are a couple of differences between project scale and strategic planning scale such as the project scale risk assessment will be required to consider potential impacts on a broader range of assets (terrestrial ecosystems, local communities etc.) as required under existing regulatory frameworks. </w:t>
      </w:r>
    </w:p>
    <w:p w14:paraId="304EBA84" w14:textId="77777777" w:rsidR="00D951F9" w:rsidRDefault="00D951F9" w:rsidP="00D951F9">
      <w:r>
        <w:t xml:space="preserve">Also assessment of likelihood differs between hypothetical onshore gas development and actual proposed activity-based risk assessments. Likelihood at strategic planning level relates to the understanding of direct and indirect impacts between source and receptor. Likelihood for particular development would consider this, but also take into account project-specific considerations (control standards used, confidence around numerical modelling, expected development lifespan, current state of development) </w:t>
      </w:r>
    </w:p>
    <w:p w14:paraId="575629E7" w14:textId="77777777" w:rsidR="00D951F9" w:rsidRDefault="00D951F9" w:rsidP="00D951F9">
      <w:r>
        <w:t xml:space="preserve">In terms of risk identification considerations, hazards will vary according to the type of gas; the key risk for coal seam gas development relates more to depressurisation although hydraulic fracturing can be an issue in some cases. For developments targeting tight and shale gas the risks will primarily relate to potential impacts from hydraulic fracturing. </w:t>
      </w:r>
    </w:p>
    <w:p w14:paraId="1F92557E" w14:textId="77777777" w:rsidR="00D951F9" w:rsidRDefault="00D951F9" w:rsidP="00D951F9">
      <w:r>
        <w:t xml:space="preserve">Strategic level risk assessments will have to give due regard to key differences in typical characteristics of different gas types (notably depth and permeability of overlying layers) and this will determine pathways by which potential impacts on water assets are realised. However, this is just one side of the equation and the characteristics of sensitive assets (confined/unconfined aquifers, perennial/ephemeral streams) will also have to be taken into consideration to determine likelihood of potential impacts being realised. </w:t>
      </w:r>
    </w:p>
    <w:p w14:paraId="4BE67CB1" w14:textId="77777777" w:rsidR="00D951F9" w:rsidRDefault="00D951F9" w:rsidP="00D951F9">
      <w:r>
        <w:t xml:space="preserve">Thresholds could be alike between tight, shale and coal seam gas if they are outcome-focused, i.e. linked to changes in the quantity/quality of the water asset assessed, rather than the level or type of activity. </w:t>
      </w:r>
    </w:p>
    <w:p w14:paraId="644A7BCC" w14:textId="77777777" w:rsidR="00D951F9" w:rsidRDefault="00D951F9" w:rsidP="00D951F9">
      <w:r>
        <w:t>Risk rating is based on likelihood and consequence. As described above, pathways will determine likelihood of impacts at a strategic land use planning level so criteria used may differ between gas resources. However consequence is linked to potential for significant adverse effect on the receptor and criteria used is based on the threshold level of impact, which is common to the different types of gas that are targeted.</w:t>
      </w:r>
    </w:p>
    <w:p w14:paraId="187C37B9" w14:textId="100B63CB" w:rsidR="00D951F9" w:rsidRDefault="00D951F9" w:rsidP="00C150BC">
      <w:pPr>
        <w:pStyle w:val="Head3app"/>
      </w:pPr>
      <w:bookmarkStart w:id="916" w:name="_Toc420500936"/>
      <w:bookmarkStart w:id="917" w:name="_Toc420511191"/>
      <w:bookmarkStart w:id="918" w:name="_Toc420572512"/>
      <w:bookmarkStart w:id="919" w:name="_Toc420572683"/>
      <w:bookmarkStart w:id="920" w:name="_Toc420573101"/>
      <w:bookmarkStart w:id="921" w:name="_Toc296599091"/>
      <w:bookmarkStart w:id="922" w:name="_Toc296767312"/>
      <w:bookmarkStart w:id="923" w:name="_Toc296770453"/>
      <w:bookmarkStart w:id="924" w:name="_Toc423018277"/>
      <w:r>
        <w:t>A3.3</w:t>
      </w:r>
      <w:r>
        <w:tab/>
        <w:t>Key conclusions</w:t>
      </w:r>
      <w:bookmarkEnd w:id="916"/>
      <w:bookmarkEnd w:id="917"/>
      <w:bookmarkEnd w:id="918"/>
      <w:bookmarkEnd w:id="919"/>
      <w:bookmarkEnd w:id="920"/>
      <w:bookmarkEnd w:id="921"/>
      <w:bookmarkEnd w:id="922"/>
      <w:bookmarkEnd w:id="923"/>
      <w:bookmarkEnd w:id="924"/>
    </w:p>
    <w:p w14:paraId="70727C49" w14:textId="77777777" w:rsidR="00D951F9" w:rsidRDefault="00D951F9" w:rsidP="00D951F9">
      <w:r>
        <w:t xml:space="preserve">Individual jurisdictions are managing risks associated with onshore gas development differently as indicated by the following examples. </w:t>
      </w:r>
    </w:p>
    <w:p w14:paraId="7316F2AE" w14:textId="77777777" w:rsidR="00D951F9" w:rsidRDefault="00D951F9" w:rsidP="00D951F9">
      <w:r w:rsidRPr="00125FB3">
        <w:t>ERCB in Alberta (Canada) has developed generic risk profiles (geographic, geologic, temporal properties such as source rock, migration pathways, timing, trapping mechanisms and hydrocarbon type) and standard resource plays to inform if proposed development is likely t</w:t>
      </w:r>
      <w:r>
        <w:t>o be a low, medium or high risk.</w:t>
      </w:r>
    </w:p>
    <w:p w14:paraId="5268E848" w14:textId="77777777" w:rsidR="00D951F9" w:rsidRDefault="00D951F9" w:rsidP="00D951F9">
      <w:r>
        <w:t>Queensland have used a regional numerical model to predict impacts within the defined Cumulative Impact Area. Even though threshold criteria have been defined, these are being challenged as further technical work is undertaken.</w:t>
      </w:r>
    </w:p>
    <w:p w14:paraId="1DA401BA" w14:textId="77777777" w:rsidR="00D951F9" w:rsidRDefault="00D951F9" w:rsidP="00D951F9">
      <w:r>
        <w:t>NSW has recently released the NSW Gas Plan which outlines the key actions already implemented such as the Strategic Regional Land Use Policy, the Aquifer Interference Policy and codes of practice for well integrity and hydraulic fracturing. The majority of other actions outlined in the plan are directed and reducing the number of exploration licences and ensuring the community benefits from gas development.</w:t>
      </w:r>
    </w:p>
    <w:p w14:paraId="37E301CE" w14:textId="77777777" w:rsidR="00D951F9" w:rsidRDefault="00D951F9" w:rsidP="00D951F9">
      <w:r>
        <w:t>South Australia released a Roadmap for Unconventional Gas Projects in South Australia in late 2012. Five working groups were established in 2013, one is focused on pooling together water use forecasts for basin wide modelling in Cooper-Eromanga basin as an initial step towards life-cycle catchment planning (DMITRE, 2014). Groundwater assessment projects have also been conducted in Arckaringa and Pedirka basins (Wohling et al, 2013), owing to significant potential for large-scale mining or coal-seam gas development, the findings will be to inform further resource characterisation and testing.</w:t>
      </w:r>
    </w:p>
    <w:p w14:paraId="1AC90F62" w14:textId="38EDA193" w:rsidR="00D951F9" w:rsidRDefault="00D951F9" w:rsidP="00D951F9">
      <w:r>
        <w:t xml:space="preserve">Western Australia, the EPA is assessing hydraulic fracturing for shale and tight gas projects on a case-by-case basis as for petroleum and mining to date. Government agencies will in parallel periodically review and refine the regulatory framework, for instance the Department of Mines and Petroleum is revising regulations for well design and operation and the Department of Water is reviewing current water legislation </w:t>
      </w:r>
      <w:r w:rsidR="00C35056">
        <w:br/>
      </w:r>
      <w:r>
        <w:t>(DMP, 2014).</w:t>
      </w:r>
    </w:p>
    <w:p w14:paraId="2E5FEA62" w14:textId="0F5C5E52" w:rsidR="00D951F9" w:rsidRDefault="00D951F9" w:rsidP="00D951F9">
      <w:r>
        <w:t xml:space="preserve">In terms of approaches to risk assessments, the key conclusions from the literature review are </w:t>
      </w:r>
      <w:r w:rsidR="00C35056">
        <w:br/>
      </w:r>
      <w:r>
        <w:t>outlined below:</w:t>
      </w:r>
    </w:p>
    <w:p w14:paraId="30AF8BE4" w14:textId="77777777" w:rsidR="00D951F9" w:rsidRPr="003A575E" w:rsidRDefault="00D951F9" w:rsidP="00C150BC">
      <w:pPr>
        <w:pStyle w:val="bulletlist0"/>
      </w:pPr>
      <w:r>
        <w:t>•</w:t>
      </w:r>
      <w:r>
        <w:tab/>
      </w:r>
      <w:r w:rsidRPr="003A575E">
        <w:t>The literature review found many jurisdictions are seeking to enhance understanding of risks and define under what conditions or in what areas onshore gas developments may be considered.</w:t>
      </w:r>
    </w:p>
    <w:p w14:paraId="59967EF2" w14:textId="20001314" w:rsidR="00D951F9" w:rsidRPr="003A575E" w:rsidRDefault="00D951F9" w:rsidP="00C150BC">
      <w:pPr>
        <w:pStyle w:val="bulletlist0"/>
      </w:pPr>
      <w:r>
        <w:t>•</w:t>
      </w:r>
      <w:r>
        <w:tab/>
      </w:r>
      <w:r w:rsidRPr="003A575E">
        <w:t xml:space="preserve">5 </w:t>
      </w:r>
      <w:r>
        <w:sym w:font="Symbol" w:char="F0B4"/>
      </w:r>
      <w:r w:rsidRPr="003A575E">
        <w:t xml:space="preserve"> 5 consequence and likelihood criteria and risk rating scales require detailed data and/or extensive quantitative/numerical modelling and project specific risk assessments which treat consequence (direct, indirect, financial and non-financial etc) and likelihood (probability, historical instances of failure) differently  (DMITRE, 2013)</w:t>
      </w:r>
    </w:p>
    <w:p w14:paraId="7D90F0F0" w14:textId="77777777" w:rsidR="00D951F9" w:rsidRPr="003A575E" w:rsidRDefault="00D951F9" w:rsidP="00C150BC">
      <w:pPr>
        <w:pStyle w:val="bulletlist0"/>
      </w:pPr>
      <w:r>
        <w:t>•</w:t>
      </w:r>
      <w:r>
        <w:tab/>
      </w:r>
      <w:r w:rsidRPr="003A575E">
        <w:t>Two most common ways by which water resources are commonly identified are the v</w:t>
      </w:r>
      <w:r w:rsidRPr="003A575E">
        <w:rPr>
          <w:bCs/>
        </w:rPr>
        <w:t xml:space="preserve">ulnerability/sensitivity of the resource </w:t>
      </w:r>
      <w:r w:rsidRPr="003A575E">
        <w:t xml:space="preserve">(physical characteristics) to potential impacts and the </w:t>
      </w:r>
      <w:r w:rsidRPr="003A575E">
        <w:rPr>
          <w:bCs/>
        </w:rPr>
        <w:t>value of the water asset</w:t>
      </w:r>
      <w:r w:rsidRPr="003A575E">
        <w:t>.</w:t>
      </w:r>
    </w:p>
    <w:p w14:paraId="3C781E06" w14:textId="77777777" w:rsidR="00D951F9" w:rsidRDefault="00D951F9" w:rsidP="00D951F9">
      <w:r w:rsidRPr="00125FB3">
        <w:t xml:space="preserve">Risk assessments used to answer/inform strategic planning and policy questions typically involve cumulative impacts </w:t>
      </w:r>
      <w:r>
        <w:t xml:space="preserve">and the most similar approach to this project is the Namoi CMA </w:t>
      </w:r>
      <w:r w:rsidRPr="00125FB3">
        <w:t>(Eco Logical Australia 2012)</w:t>
      </w:r>
      <w:r>
        <w:t>. Key components of the approach in the Namoi catchment are:</w:t>
      </w:r>
    </w:p>
    <w:p w14:paraId="6724A950" w14:textId="77777777" w:rsidR="00D951F9" w:rsidRPr="00125FB3" w:rsidRDefault="00D951F9" w:rsidP="00C150BC">
      <w:pPr>
        <w:pStyle w:val="bulletlist0"/>
      </w:pPr>
      <w:r>
        <w:t>•</w:t>
      </w:r>
      <w:r>
        <w:tab/>
        <w:t>s</w:t>
      </w:r>
      <w:r w:rsidRPr="00125FB3">
        <w:t xml:space="preserve">patial tool to assess cumulative risk from mining and </w:t>
      </w:r>
      <w:r>
        <w:t>coal seam gas</w:t>
      </w:r>
      <w:r w:rsidRPr="00125FB3">
        <w:t xml:space="preserve"> on ten natural resource assets at strategic landscape scale.</w:t>
      </w:r>
    </w:p>
    <w:p w14:paraId="048059CD" w14:textId="77777777" w:rsidR="00D951F9" w:rsidRPr="00125FB3" w:rsidRDefault="00D951F9" w:rsidP="00C150BC">
      <w:pPr>
        <w:pStyle w:val="bulletlist0"/>
      </w:pPr>
      <w:r>
        <w:t>•</w:t>
      </w:r>
      <w:r>
        <w:tab/>
        <w:t>f</w:t>
      </w:r>
      <w:r w:rsidRPr="00125FB3">
        <w:t>ocuses on relative risk between site A and B, not absolute risk</w:t>
      </w:r>
    </w:p>
    <w:p w14:paraId="4B01CAFD" w14:textId="77777777" w:rsidR="00D951F9" w:rsidRPr="00125FB3" w:rsidRDefault="00D951F9" w:rsidP="00C150BC">
      <w:pPr>
        <w:pStyle w:val="bulletlist0"/>
      </w:pPr>
      <w:r>
        <w:t>•</w:t>
      </w:r>
      <w:r>
        <w:tab/>
        <w:t>f</w:t>
      </w:r>
      <w:r w:rsidRPr="00125FB3">
        <w:t>ive classes o</w:t>
      </w:r>
      <w:r>
        <w:t>f sensitivity (VL, L, M, H, VH)</w:t>
      </w:r>
    </w:p>
    <w:p w14:paraId="1ED52A9F" w14:textId="77777777" w:rsidR="00D951F9" w:rsidRPr="00125FB3" w:rsidRDefault="00D951F9" w:rsidP="00C150BC">
      <w:pPr>
        <w:pStyle w:val="bulletlist0"/>
      </w:pPr>
      <w:r>
        <w:t>•</w:t>
      </w:r>
      <w:r>
        <w:tab/>
        <w:t>s</w:t>
      </w:r>
      <w:r w:rsidRPr="00125FB3">
        <w:t>ensitivity was determined by:</w:t>
      </w:r>
    </w:p>
    <w:p w14:paraId="72D0E003" w14:textId="77777777" w:rsidR="00D951F9" w:rsidRDefault="00D951F9" w:rsidP="00C150BC">
      <w:pPr>
        <w:pStyle w:val="bulletlist0"/>
        <w:ind w:left="567"/>
      </w:pPr>
      <w:r>
        <w:t>–</w:t>
      </w:r>
      <w:r>
        <w:tab/>
      </w:r>
      <w:r w:rsidRPr="00125FB3">
        <w:t>coal and gas potential</w:t>
      </w:r>
    </w:p>
    <w:p w14:paraId="522ED384" w14:textId="77777777" w:rsidR="00D951F9" w:rsidRDefault="00D951F9" w:rsidP="00C150BC">
      <w:pPr>
        <w:pStyle w:val="bulletlist0"/>
        <w:ind w:left="567"/>
      </w:pPr>
      <w:r>
        <w:t>–</w:t>
      </w:r>
      <w:r>
        <w:tab/>
      </w:r>
      <w:r w:rsidRPr="00125FB3">
        <w:t>distributions of major groundwater aquifers in catchment and connectivity</w:t>
      </w:r>
    </w:p>
    <w:p w14:paraId="697555AD" w14:textId="77777777" w:rsidR="00D951F9" w:rsidRDefault="00D951F9" w:rsidP="00C150BC">
      <w:pPr>
        <w:pStyle w:val="bulletlist0"/>
        <w:ind w:left="567"/>
      </w:pPr>
      <w:r>
        <w:t>–</w:t>
      </w:r>
      <w:r>
        <w:tab/>
      </w:r>
      <w:r w:rsidRPr="00125FB3">
        <w:t>groundwater level data</w:t>
      </w:r>
    </w:p>
    <w:p w14:paraId="5564CF2C" w14:textId="77777777" w:rsidR="00D951F9" w:rsidRDefault="00D951F9" w:rsidP="00C150BC">
      <w:pPr>
        <w:pStyle w:val="bulletlist0"/>
        <w:ind w:left="567"/>
      </w:pPr>
      <w:r>
        <w:t>–</w:t>
      </w:r>
      <w:r>
        <w:tab/>
        <w:t>groundwater dependent ecosystems</w:t>
      </w:r>
      <w:r w:rsidRPr="00125FB3">
        <w:t xml:space="preserve"> potential</w:t>
      </w:r>
    </w:p>
    <w:p w14:paraId="176CB875" w14:textId="77777777" w:rsidR="00D951F9" w:rsidRPr="00125FB3" w:rsidRDefault="00D951F9" w:rsidP="00C150BC">
      <w:pPr>
        <w:pStyle w:val="bulletlist0"/>
        <w:ind w:left="567"/>
      </w:pPr>
      <w:r>
        <w:t>–</w:t>
      </w:r>
      <w:r>
        <w:tab/>
      </w:r>
      <w:r w:rsidRPr="00125FB3">
        <w:t>qualitative risk matrices developed for each aquifer</w:t>
      </w:r>
      <w:r>
        <w:t>.</w:t>
      </w:r>
    </w:p>
    <w:p w14:paraId="40ED2271" w14:textId="77777777" w:rsidR="00D951F9" w:rsidRDefault="00D951F9" w:rsidP="00D951F9">
      <w:r>
        <w:t>The proposed approach for the QQRA has not been implemented at a regional scale anywhere in the world where all the components of the risk assessment framework (consequence, likelihood and hence risk) can be assessed qualitatively and semi-quantitatively using existing information and eventually quantitatively as more accurate information becomes available.</w:t>
      </w:r>
    </w:p>
    <w:p w14:paraId="5CCFB9CC" w14:textId="77777777" w:rsidR="009B3448" w:rsidRPr="009B3448" w:rsidRDefault="009B3448" w:rsidP="00A35B08"/>
    <w:p w14:paraId="28179C61" w14:textId="77777777" w:rsidR="009B3448" w:rsidRPr="009B3448" w:rsidRDefault="009B3448">
      <w:pPr>
        <w:sectPr w:rsidR="009B3448" w:rsidRPr="009B3448" w:rsidSect="00CF4178">
          <w:pgSz w:w="11906" w:h="16838" w:code="9"/>
          <w:pgMar w:top="2268" w:right="1134" w:bottom="1276" w:left="1134" w:header="567" w:footer="567" w:gutter="0"/>
          <w:cols w:space="708"/>
          <w:titlePg/>
          <w:docGrid w:linePitch="360"/>
        </w:sectPr>
      </w:pPr>
    </w:p>
    <w:p w14:paraId="08D9F3D6" w14:textId="77777777" w:rsidR="00D4090D" w:rsidRPr="00006227" w:rsidRDefault="00D4090D" w:rsidP="00D4090D">
      <w:pPr>
        <w:pStyle w:val="Head2app"/>
      </w:pPr>
      <w:bookmarkStart w:id="925" w:name="_Toc420500938"/>
      <w:bookmarkStart w:id="926" w:name="_Toc420511193"/>
      <w:bookmarkStart w:id="927" w:name="_Toc420572514"/>
      <w:bookmarkStart w:id="928" w:name="_Toc420572685"/>
      <w:bookmarkStart w:id="929" w:name="_Toc420573103"/>
      <w:bookmarkStart w:id="930" w:name="_Toc296599092"/>
      <w:bookmarkStart w:id="931" w:name="_Toc296767313"/>
      <w:bookmarkStart w:id="932" w:name="_Toc296770454"/>
      <w:bookmarkStart w:id="933" w:name="_Toc423018278"/>
      <w:r>
        <w:t>Appendix AA</w:t>
      </w:r>
      <w:r>
        <w:tab/>
      </w:r>
      <w:r w:rsidRPr="00006227">
        <w:t>Matters out of scope for the literature review</w:t>
      </w:r>
      <w:bookmarkEnd w:id="925"/>
      <w:bookmarkEnd w:id="926"/>
      <w:bookmarkEnd w:id="927"/>
      <w:bookmarkEnd w:id="928"/>
      <w:bookmarkEnd w:id="929"/>
      <w:bookmarkEnd w:id="930"/>
      <w:bookmarkEnd w:id="931"/>
      <w:bookmarkEnd w:id="932"/>
      <w:bookmarkEnd w:id="933"/>
    </w:p>
    <w:p w14:paraId="2C6C2133" w14:textId="77777777" w:rsidR="00D4090D" w:rsidRDefault="00D4090D" w:rsidP="00D4090D">
      <w:r>
        <w:t xml:space="preserve">The literature review has been guided by the scope of the QQRA, as such the following hazards, receptors and impacts identified in Figure AA1 below have not been the primary focus for analysis. </w:t>
      </w:r>
    </w:p>
    <w:p w14:paraId="4B426DCE" w14:textId="3DE89FD0" w:rsidR="00D4090D" w:rsidRDefault="00D4090D" w:rsidP="00D4090D"/>
    <w:p w14:paraId="4E7B4E3A" w14:textId="77777777" w:rsidR="00D4090D" w:rsidRDefault="00D4090D" w:rsidP="00C35056">
      <w:pPr>
        <w:jc w:val="center"/>
      </w:pPr>
      <w:r w:rsidRPr="00EE5D51">
        <w:rPr>
          <w:noProof/>
          <w:lang w:val="en-AU"/>
        </w:rPr>
        <w:drawing>
          <wp:inline distT="0" distB="0" distL="0" distR="0" wp14:anchorId="53E4F270" wp14:editId="6699B073">
            <wp:extent cx="4961494" cy="5343525"/>
            <wp:effectExtent l="0" t="0" r="0" b="0"/>
            <wp:docPr id="20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4958168" cy="5339943"/>
                    </a:xfrm>
                    <a:prstGeom prst="rect">
                      <a:avLst/>
                    </a:prstGeom>
                    <a:noFill/>
                    <a:ln>
                      <a:noFill/>
                    </a:ln>
                    <a:effectLst/>
                    <a:extLst/>
                  </pic:spPr>
                </pic:pic>
              </a:graphicData>
            </a:graphic>
          </wp:inline>
        </w:drawing>
      </w:r>
    </w:p>
    <w:p w14:paraId="6B74F177" w14:textId="77777777" w:rsidR="00D4090D" w:rsidRDefault="00D4090D" w:rsidP="00A53AE8">
      <w:pPr>
        <w:pStyle w:val="Figuretitle"/>
      </w:pPr>
      <w:bookmarkStart w:id="934" w:name="_Ref406750414"/>
      <w:bookmarkStart w:id="935" w:name="_Toc419969424"/>
      <w:bookmarkStart w:id="936" w:name="_Toc420577004"/>
      <w:r w:rsidRPr="009038E7">
        <w:t xml:space="preserve">Figure </w:t>
      </w:r>
      <w:bookmarkEnd w:id="934"/>
      <w:r>
        <w:t>AA1</w:t>
      </w:r>
      <w:r w:rsidRPr="009038E7">
        <w:t xml:space="preserve">: </w:t>
      </w:r>
      <w:r>
        <w:t xml:space="preserve">Hazards, receptors and impacts outside the scope of the proposed Qualitative and </w:t>
      </w:r>
      <w:r>
        <w:br/>
        <w:t>Quantitative Risk Assessment (QQRA) Framework.</w:t>
      </w:r>
      <w:bookmarkEnd w:id="935"/>
      <w:bookmarkEnd w:id="936"/>
    </w:p>
    <w:p w14:paraId="00605FBD" w14:textId="77777777" w:rsidR="00D4090D" w:rsidRDefault="00D4090D" w:rsidP="00D4090D">
      <w:pPr>
        <w:pStyle w:val="Heading2"/>
        <w:numPr>
          <w:ilvl w:val="0"/>
          <w:numId w:val="32"/>
        </w:numPr>
        <w:ind w:left="357" w:hanging="357"/>
        <w:rPr>
          <w:rFonts w:cs="Times New Roman"/>
          <w:bCs w:val="0"/>
          <w:i/>
          <w:iCs w:val="0"/>
          <w:color w:val="auto"/>
          <w:sz w:val="18"/>
          <w:szCs w:val="18"/>
        </w:rPr>
      </w:pPr>
      <w:bookmarkStart w:id="937" w:name="_Ref406753834"/>
      <w:bookmarkStart w:id="938" w:name="_Ref406753847"/>
      <w:r>
        <w:rPr>
          <w:rFonts w:cs="Times New Roman"/>
          <w:bCs w:val="0"/>
          <w:i/>
          <w:iCs w:val="0"/>
          <w:color w:val="auto"/>
          <w:sz w:val="18"/>
          <w:szCs w:val="18"/>
        </w:rPr>
        <w:br w:type="page"/>
      </w:r>
    </w:p>
    <w:p w14:paraId="641AC4D5" w14:textId="7A000A32" w:rsidR="00D4090D" w:rsidRPr="00FC1699" w:rsidRDefault="00D4090D" w:rsidP="00C150BC">
      <w:pPr>
        <w:pStyle w:val="Head2app"/>
      </w:pPr>
      <w:bookmarkStart w:id="939" w:name="_Toc420500939"/>
      <w:bookmarkStart w:id="940" w:name="_Toc420511194"/>
      <w:bookmarkStart w:id="941" w:name="_Toc420572515"/>
      <w:bookmarkStart w:id="942" w:name="_Toc420572686"/>
      <w:bookmarkStart w:id="943" w:name="_Toc420573104"/>
      <w:bookmarkStart w:id="944" w:name="_Toc296599093"/>
      <w:bookmarkStart w:id="945" w:name="_Toc296767314"/>
      <w:bookmarkStart w:id="946" w:name="_Toc296770455"/>
      <w:bookmarkStart w:id="947" w:name="_Toc423018279"/>
      <w:r>
        <w:t>Appendix AB</w:t>
      </w:r>
      <w:r w:rsidR="009D4C4C">
        <w:t xml:space="preserve">: </w:t>
      </w:r>
      <w:r>
        <w:t>Sources consulted</w:t>
      </w:r>
      <w:bookmarkEnd w:id="937"/>
      <w:bookmarkEnd w:id="938"/>
      <w:bookmarkEnd w:id="939"/>
      <w:bookmarkEnd w:id="940"/>
      <w:bookmarkEnd w:id="941"/>
      <w:bookmarkEnd w:id="942"/>
      <w:bookmarkEnd w:id="943"/>
      <w:bookmarkEnd w:id="944"/>
      <w:bookmarkEnd w:id="945"/>
      <w:bookmarkEnd w:id="946"/>
      <w:bookmarkEnd w:id="947"/>
      <w:r>
        <w:t xml:space="preserve"> </w:t>
      </w:r>
    </w:p>
    <w:p w14:paraId="71FE10BC" w14:textId="773E4A7E" w:rsidR="00D4090D" w:rsidRPr="00C35056" w:rsidRDefault="00D4090D" w:rsidP="00D4090D">
      <w:pPr>
        <w:rPr>
          <w:sz w:val="18"/>
          <w:szCs w:val="18"/>
        </w:rPr>
      </w:pPr>
      <w:r w:rsidRPr="00C35056">
        <w:rPr>
          <w:sz w:val="18"/>
          <w:szCs w:val="18"/>
        </w:rPr>
        <w:t>A. GUADAGNINI, L. GUADAGNINI, D. M. TARTAKOVSKY AND C. L. WINTER,</w:t>
      </w:r>
      <w:r w:rsidR="00D91C19" w:rsidRPr="00C35056">
        <w:rPr>
          <w:sz w:val="18"/>
          <w:szCs w:val="18"/>
        </w:rPr>
        <w:t xml:space="preserve"> 2003.</w:t>
      </w:r>
      <w:r w:rsidRPr="00C35056">
        <w:rPr>
          <w:sz w:val="18"/>
          <w:szCs w:val="18"/>
        </w:rPr>
        <w:t xml:space="preserve"> "Random domain decomposition for flow in heterogeneous stratified aquifers", Stoch. Environ. Res. Risk Assess., vol. 17, no. 6, pp. 394-407, 2003</w:t>
      </w:r>
    </w:p>
    <w:p w14:paraId="3AD4E665" w14:textId="77777777" w:rsidR="00D4090D" w:rsidRPr="00C35056" w:rsidRDefault="00D4090D" w:rsidP="00D4090D">
      <w:pPr>
        <w:rPr>
          <w:sz w:val="18"/>
          <w:szCs w:val="18"/>
        </w:rPr>
      </w:pPr>
      <w:r w:rsidRPr="00C35056">
        <w:rPr>
          <w:sz w:val="18"/>
          <w:szCs w:val="18"/>
        </w:rPr>
        <w:t>A.M.M. ELFEKI, G.J.M. UFFINK, F.B.J. BARENDS (1997) Groundwater Contaminant Transport: Impact of heterogenous characterization: a new view on dispersion</w:t>
      </w:r>
    </w:p>
    <w:p w14:paraId="14979253" w14:textId="77777777" w:rsidR="00D4090D" w:rsidRPr="00C35056" w:rsidRDefault="00D4090D" w:rsidP="00D4090D">
      <w:pPr>
        <w:rPr>
          <w:sz w:val="18"/>
          <w:szCs w:val="18"/>
        </w:rPr>
      </w:pPr>
      <w:r w:rsidRPr="00C35056">
        <w:rPr>
          <w:sz w:val="18"/>
          <w:szCs w:val="18"/>
        </w:rPr>
        <w:t xml:space="preserve">ACCENTURE (2013) Water and Shale Gas Development: Leveraging the US experience in new shale developments, </w:t>
      </w:r>
      <w:hyperlink r:id="rId97" w:history="1">
        <w:r w:rsidRPr="00C35056">
          <w:rPr>
            <w:sz w:val="18"/>
            <w:szCs w:val="18"/>
          </w:rPr>
          <w:t>http://www.accenture.com/SiteCollectionDocuments/PDF/Accenture-Water-And-Shale-Gas-Development.pdf</w:t>
        </w:r>
      </w:hyperlink>
    </w:p>
    <w:p w14:paraId="15D547A2" w14:textId="77777777" w:rsidR="00D4090D" w:rsidRPr="00C35056" w:rsidRDefault="00D4090D" w:rsidP="00D4090D">
      <w:pPr>
        <w:rPr>
          <w:sz w:val="18"/>
          <w:szCs w:val="18"/>
        </w:rPr>
      </w:pPr>
      <w:r w:rsidRPr="00C35056">
        <w:rPr>
          <w:sz w:val="18"/>
          <w:szCs w:val="18"/>
        </w:rPr>
        <w:t xml:space="preserve">ADBDULLAHI, U.S. (2009) Evaluation of Models for Assessing Groundwater Vulnerability to Pollution in Nigeria, </w:t>
      </w:r>
      <w:r w:rsidRPr="00C35056">
        <w:rPr>
          <w:i/>
          <w:sz w:val="18"/>
          <w:szCs w:val="18"/>
        </w:rPr>
        <w:t>Bayero Journal of Pure and Applied Sciences</w:t>
      </w:r>
      <w:r w:rsidRPr="00C35056">
        <w:rPr>
          <w:sz w:val="18"/>
          <w:szCs w:val="18"/>
        </w:rPr>
        <w:t>, 2(2): 138 - 142</w:t>
      </w:r>
    </w:p>
    <w:p w14:paraId="3229BE49" w14:textId="05CDD0D2" w:rsidR="00D4090D" w:rsidRPr="00C35056" w:rsidRDefault="00D4090D" w:rsidP="00D4090D">
      <w:pPr>
        <w:rPr>
          <w:sz w:val="18"/>
          <w:szCs w:val="18"/>
        </w:rPr>
      </w:pPr>
      <w:r w:rsidRPr="00C35056">
        <w:rPr>
          <w:sz w:val="18"/>
          <w:szCs w:val="18"/>
        </w:rPr>
        <w:t>AEA (2014 )</w:t>
      </w:r>
      <w:r w:rsidR="00BE3DE2">
        <w:rPr>
          <w:sz w:val="18"/>
          <w:szCs w:val="18"/>
        </w:rPr>
        <w:t xml:space="preserve"> </w:t>
      </w:r>
      <w:r w:rsidRPr="00C35056">
        <w:rPr>
          <w:sz w:val="18"/>
          <w:szCs w:val="18"/>
        </w:rPr>
        <w:t xml:space="preserve">Shale gas risk assessment for Maryland, </w:t>
      </w:r>
      <w:hyperlink r:id="rId98" w:history="1">
        <w:r w:rsidRPr="00C35056">
          <w:rPr>
            <w:sz w:val="18"/>
            <w:szCs w:val="18"/>
          </w:rPr>
          <w:t>http://chesapeakeclimate.org/wp/wp-content/uploads/2014/02/Shale-gas-risk-assessment-for-Maryland_Feb2014.pdf</w:t>
        </w:r>
      </w:hyperlink>
      <w:r w:rsidRPr="00C35056">
        <w:rPr>
          <w:sz w:val="18"/>
          <w:szCs w:val="18"/>
        </w:rPr>
        <w:t xml:space="preserve"> Report for Chesapeake Climate Action Network and Citizen Shale</w:t>
      </w:r>
    </w:p>
    <w:p w14:paraId="0675C559" w14:textId="77777777" w:rsidR="00D4090D" w:rsidRPr="00C35056" w:rsidRDefault="00D4090D" w:rsidP="00D4090D">
      <w:pPr>
        <w:rPr>
          <w:sz w:val="18"/>
          <w:szCs w:val="18"/>
        </w:rPr>
      </w:pPr>
      <w:r w:rsidRPr="00C35056">
        <w:rPr>
          <w:sz w:val="18"/>
          <w:szCs w:val="18"/>
        </w:rPr>
        <w:t xml:space="preserve">AEA TECHNOLOGY (2012) Support to the identification of potential risks for the environment and human health arising from hydrocarbons operations involving hydraulic fracturing in Europe. Report prepared for the for the European Commission </w:t>
      </w:r>
      <w:hyperlink r:id="rId99" w:history="1">
        <w:r w:rsidRPr="00C35056">
          <w:rPr>
            <w:rFonts w:cs="Arial"/>
            <w:sz w:val="18"/>
            <w:szCs w:val="18"/>
          </w:rPr>
          <w:t>http://ec.europa.eu/environment/integration/energy/pdf/fracking%20study.pdf</w:t>
        </w:r>
      </w:hyperlink>
      <w:r w:rsidRPr="00C35056">
        <w:rPr>
          <w:sz w:val="18"/>
          <w:szCs w:val="18"/>
        </w:rPr>
        <w:t xml:space="preserve"> </w:t>
      </w:r>
    </w:p>
    <w:p w14:paraId="6F209E1A" w14:textId="2D16C8E3" w:rsidR="00D4090D" w:rsidRPr="00C35056" w:rsidRDefault="00D4090D" w:rsidP="00D4090D">
      <w:pPr>
        <w:rPr>
          <w:rFonts w:cs="Arial"/>
          <w:sz w:val="18"/>
          <w:szCs w:val="18"/>
        </w:rPr>
      </w:pPr>
      <w:r w:rsidRPr="00C35056">
        <w:rPr>
          <w:rFonts w:cs="Arial"/>
          <w:sz w:val="18"/>
          <w:szCs w:val="18"/>
        </w:rPr>
        <w:t xml:space="preserve">ALBERTA </w:t>
      </w:r>
      <w:r w:rsidRPr="00C35056">
        <w:rPr>
          <w:sz w:val="18"/>
          <w:szCs w:val="18"/>
        </w:rPr>
        <w:t xml:space="preserve">MINISTRY OF ENVIRONMENT AND SUSTAINABLE RESOURCE DEVELOPMENT - ERSD </w:t>
      </w:r>
      <w:r w:rsidRPr="00C35056">
        <w:rPr>
          <w:rFonts w:cs="Arial"/>
          <w:sz w:val="18"/>
          <w:szCs w:val="18"/>
        </w:rPr>
        <w:t xml:space="preserve">(2006) Water Conservation </w:t>
      </w:r>
      <w:r w:rsidR="00D571D5">
        <w:rPr>
          <w:rFonts w:cs="Arial"/>
          <w:sz w:val="18"/>
          <w:szCs w:val="18"/>
        </w:rPr>
        <w:t>a</w:t>
      </w:r>
      <w:r w:rsidRPr="00C35056">
        <w:rPr>
          <w:rFonts w:cs="Arial"/>
          <w:sz w:val="18"/>
          <w:szCs w:val="18"/>
        </w:rPr>
        <w:t xml:space="preserve">nd Allocation Guideline for Oilfield Injection </w:t>
      </w:r>
      <w:r w:rsidRPr="00C35056">
        <w:rPr>
          <w:rFonts w:cs="Arial"/>
          <w:sz w:val="18"/>
          <w:szCs w:val="18"/>
        </w:rPr>
        <w:br/>
      </w:r>
      <w:hyperlink r:id="rId100" w:history="1">
        <w:r w:rsidRPr="00C35056">
          <w:rPr>
            <w:rFonts w:cs="Arial"/>
            <w:sz w:val="18"/>
            <w:szCs w:val="18"/>
          </w:rPr>
          <w:t>http://esrd.alberta.ca/water/education-guidelines/documents/Oilfield_Injection_Guideline_2006.pdf</w:t>
        </w:r>
      </w:hyperlink>
      <w:r w:rsidRPr="00C35056">
        <w:rPr>
          <w:rFonts w:cs="Arial"/>
          <w:sz w:val="18"/>
          <w:szCs w:val="18"/>
        </w:rPr>
        <w:t xml:space="preserve"> </w:t>
      </w:r>
    </w:p>
    <w:p w14:paraId="515E432E" w14:textId="77777777" w:rsidR="00D4090D" w:rsidRPr="00C35056" w:rsidRDefault="00D4090D" w:rsidP="00D4090D">
      <w:pPr>
        <w:rPr>
          <w:sz w:val="18"/>
          <w:szCs w:val="18"/>
        </w:rPr>
      </w:pPr>
      <w:r w:rsidRPr="00C35056">
        <w:rPr>
          <w:sz w:val="18"/>
          <w:szCs w:val="18"/>
        </w:rPr>
        <w:t xml:space="preserve">AMERICAN BUREAU OF SHIPPING (2000) Guidance Notes on Risk Assessment Applications for the Marine and Offshore Oil and Gas Industries </w:t>
      </w:r>
      <w:hyperlink r:id="rId101" w:history="1">
        <w:r w:rsidRPr="00C35056">
          <w:rPr>
            <w:rFonts w:cs="Arial"/>
            <w:sz w:val="18"/>
            <w:szCs w:val="18"/>
          </w:rPr>
          <w:t>https://www.eagle.org/eagleExternalPortalWEB/ShowProperty/BEA%20Repository/Rules&amp;Guides/Current/97_RiskAssessApplMarine&amp;OffshoreO&amp;G/Pub97_RiskAssesment</w:t>
        </w:r>
      </w:hyperlink>
      <w:r w:rsidRPr="00C35056">
        <w:rPr>
          <w:sz w:val="18"/>
          <w:szCs w:val="18"/>
        </w:rPr>
        <w:t xml:space="preserve"> </w:t>
      </w:r>
    </w:p>
    <w:p w14:paraId="28441FBE" w14:textId="77777777" w:rsidR="00D4090D" w:rsidRPr="00C35056" w:rsidRDefault="00D4090D" w:rsidP="00D4090D">
      <w:pPr>
        <w:rPr>
          <w:sz w:val="18"/>
          <w:szCs w:val="18"/>
        </w:rPr>
      </w:pPr>
      <w:r w:rsidRPr="00C35056">
        <w:rPr>
          <w:sz w:val="18"/>
          <w:szCs w:val="18"/>
        </w:rPr>
        <w:t xml:space="preserve">ANDERSON ET AL (2013): Background Paper on Groundwater Resources in Relation to Coal Seam Gas Production, WRL Technical Report 2013/09 </w:t>
      </w:r>
      <w:hyperlink r:id="rId102" w:history="1">
        <w:r w:rsidRPr="00C35056">
          <w:rPr>
            <w:sz w:val="18"/>
            <w:szCs w:val="18"/>
          </w:rPr>
          <w:t>http://www.chiefscientist.nsw.gov.au/__data/assets/pdf_file/0007/38158/WRL-2013-09-Final-November-2013.pdf</w:t>
        </w:r>
      </w:hyperlink>
      <w:r w:rsidRPr="00C35056">
        <w:rPr>
          <w:sz w:val="18"/>
          <w:szCs w:val="18"/>
        </w:rPr>
        <w:t xml:space="preserve"> </w:t>
      </w:r>
    </w:p>
    <w:p w14:paraId="5882824E" w14:textId="77777777" w:rsidR="00D4090D" w:rsidRPr="00C35056" w:rsidRDefault="00D4090D" w:rsidP="00D4090D">
      <w:pPr>
        <w:rPr>
          <w:sz w:val="18"/>
          <w:szCs w:val="18"/>
        </w:rPr>
      </w:pPr>
      <w:r w:rsidRPr="00C35056">
        <w:rPr>
          <w:sz w:val="18"/>
          <w:szCs w:val="18"/>
          <w:shd w:val="clear" w:color="auto" w:fill="FFFFFF"/>
        </w:rPr>
        <w:t>ANDRZEJ J. WITKOWSKI,</w:t>
      </w:r>
      <w:r w:rsidRPr="00C35056">
        <w:rPr>
          <w:rFonts w:cs="Arial"/>
          <w:sz w:val="18"/>
          <w:szCs w:val="18"/>
          <w:shd w:val="clear" w:color="auto" w:fill="FFFFFF"/>
        </w:rPr>
        <w:t> </w:t>
      </w:r>
      <w:r w:rsidRPr="00C35056">
        <w:rPr>
          <w:sz w:val="18"/>
          <w:szCs w:val="18"/>
          <w:shd w:val="clear" w:color="auto" w:fill="FFFFFF"/>
        </w:rPr>
        <w:t>ANDRZEJ KOWALCZYK,</w:t>
      </w:r>
      <w:r w:rsidRPr="00C35056">
        <w:rPr>
          <w:rFonts w:cs="Arial"/>
          <w:sz w:val="18"/>
          <w:szCs w:val="18"/>
          <w:shd w:val="clear" w:color="auto" w:fill="FFFFFF"/>
        </w:rPr>
        <w:t> </w:t>
      </w:r>
      <w:r w:rsidRPr="00C35056">
        <w:rPr>
          <w:sz w:val="18"/>
          <w:szCs w:val="18"/>
          <w:shd w:val="clear" w:color="auto" w:fill="FFFFFF"/>
        </w:rPr>
        <w:t xml:space="preserve">JAROSLAV VRBA (2007) </w:t>
      </w:r>
      <w:r w:rsidRPr="00C35056">
        <w:rPr>
          <w:rFonts w:cs="Arial"/>
          <w:color w:val="333333"/>
          <w:sz w:val="18"/>
          <w:szCs w:val="18"/>
        </w:rPr>
        <w:t xml:space="preserve">Groundwater Vulnerability Assessment and Mapping </w:t>
      </w:r>
      <w:r w:rsidRPr="00C35056">
        <w:rPr>
          <w:color w:val="777777"/>
          <w:sz w:val="18"/>
          <w:szCs w:val="18"/>
          <w:shd w:val="clear" w:color="auto" w:fill="FFFFFF"/>
        </w:rPr>
        <w:t xml:space="preserve">CRC Press </w:t>
      </w:r>
      <w:hyperlink r:id="rId103" w:history="1">
        <w:r w:rsidRPr="00C35056">
          <w:rPr>
            <w:rFonts w:cs="Arial"/>
            <w:sz w:val="18"/>
            <w:szCs w:val="18"/>
          </w:rPr>
          <w:t>http://books.google.com.au/books?id=LTqEEL6ROcgC&amp;dq=risk+assessment+aquifer&amp;source=gbs_navlinks_s</w:t>
        </w:r>
      </w:hyperlink>
      <w:r w:rsidRPr="00C35056">
        <w:rPr>
          <w:rFonts w:cs="Arial"/>
          <w:color w:val="333333"/>
          <w:sz w:val="18"/>
          <w:szCs w:val="18"/>
        </w:rPr>
        <w:t xml:space="preserve"> </w:t>
      </w:r>
    </w:p>
    <w:p w14:paraId="21CDD2B7" w14:textId="77777777" w:rsidR="00D4090D" w:rsidRPr="00C35056" w:rsidRDefault="00D4090D" w:rsidP="00D4090D">
      <w:pPr>
        <w:rPr>
          <w:sz w:val="18"/>
          <w:szCs w:val="18"/>
        </w:rPr>
      </w:pPr>
      <w:r w:rsidRPr="00C35056">
        <w:rPr>
          <w:sz w:val="18"/>
          <w:szCs w:val="18"/>
        </w:rPr>
        <w:t xml:space="preserve">APH (2008) Australia’s natural gas issues and trends. M. Roarty. Parliamentary Library Research Paper no.25. ISSN 1834 9854. </w:t>
      </w:r>
      <w:hyperlink r:id="rId104" w:history="1">
        <w:r w:rsidRPr="00C35056">
          <w:rPr>
            <w:sz w:val="18"/>
            <w:szCs w:val="18"/>
          </w:rPr>
          <w:t>http://www.aph.gov.au/binaries/library/pubs/rp/2007-08/08rp25.pdf</w:t>
        </w:r>
      </w:hyperlink>
      <w:r w:rsidRPr="00C35056">
        <w:rPr>
          <w:sz w:val="18"/>
          <w:szCs w:val="18"/>
        </w:rPr>
        <w:t xml:space="preserve"> </w:t>
      </w:r>
    </w:p>
    <w:p w14:paraId="70196AED" w14:textId="77777777" w:rsidR="00D4090D" w:rsidRPr="00C35056" w:rsidRDefault="00D4090D" w:rsidP="00D4090D">
      <w:pPr>
        <w:rPr>
          <w:sz w:val="18"/>
          <w:szCs w:val="18"/>
        </w:rPr>
      </w:pPr>
      <w:r w:rsidRPr="00C35056">
        <w:rPr>
          <w:sz w:val="18"/>
          <w:szCs w:val="18"/>
        </w:rPr>
        <w:t xml:space="preserve">ARROW ENERGY (2012) EIS groundwater Impact Assessment: Surat Gas project </w:t>
      </w:r>
      <w:hyperlink r:id="rId105" w:history="1">
        <w:r w:rsidRPr="00C35056">
          <w:rPr>
            <w:rFonts w:cs="Arial"/>
            <w:sz w:val="18"/>
            <w:szCs w:val="18"/>
          </w:rPr>
          <w:t>http://www.arrowenergy.com.au/__data/assets/pdf_file/0005/2966/126908_SGP_EIS_Groundwater_Factshet.pdf</w:t>
        </w:r>
      </w:hyperlink>
      <w:r w:rsidRPr="00C35056">
        <w:rPr>
          <w:sz w:val="18"/>
          <w:szCs w:val="18"/>
        </w:rPr>
        <w:t xml:space="preserve"> </w:t>
      </w:r>
      <w:r w:rsidRPr="00C35056">
        <w:rPr>
          <w:sz w:val="18"/>
          <w:szCs w:val="18"/>
        </w:rPr>
        <w:br/>
        <w:t xml:space="preserve">ARROW ENERGY (2012) Supplementary Report to the Surat Gas Project EIS </w:t>
      </w:r>
      <w:hyperlink r:id="rId106" w:history="1">
        <w:r w:rsidRPr="00C35056">
          <w:rPr>
            <w:rFonts w:cs="Arial"/>
            <w:sz w:val="18"/>
            <w:szCs w:val="18"/>
          </w:rPr>
          <w:t>http://www.arrowenergy.com.au/__data/assets/pdf_file/0016/8611/7040_12_Ch08_Rev1.pdf</w:t>
        </w:r>
      </w:hyperlink>
      <w:r w:rsidRPr="00C35056">
        <w:rPr>
          <w:sz w:val="18"/>
          <w:szCs w:val="18"/>
        </w:rPr>
        <w:t xml:space="preserve"> </w:t>
      </w:r>
    </w:p>
    <w:p w14:paraId="1A280BFF" w14:textId="77777777" w:rsidR="00D4090D" w:rsidRPr="00C35056" w:rsidRDefault="00D4090D" w:rsidP="00D4090D">
      <w:pPr>
        <w:rPr>
          <w:sz w:val="18"/>
          <w:szCs w:val="18"/>
        </w:rPr>
      </w:pPr>
      <w:r w:rsidRPr="00C35056">
        <w:rPr>
          <w:sz w:val="18"/>
          <w:szCs w:val="18"/>
        </w:rPr>
        <w:t xml:space="preserve">AUSTRALIAN PETROLEUM PRODUCTION &amp; EXPLORATION ASSOCIATION (peak industry body) Western Australian Onshore Gas: Code of Practice for Hydraulic Fracturing </w:t>
      </w:r>
      <w:hyperlink r:id="rId107" w:history="1">
        <w:r w:rsidRPr="00C35056">
          <w:rPr>
            <w:rFonts w:cs="Arial"/>
            <w:sz w:val="18"/>
            <w:szCs w:val="18"/>
          </w:rPr>
          <w:t>http://www.newstandard.com.au/wp-content/uploads/2011/11/APPEA_Code_of_Practice.pdf</w:t>
        </w:r>
      </w:hyperlink>
      <w:r w:rsidRPr="00C35056">
        <w:rPr>
          <w:sz w:val="18"/>
          <w:szCs w:val="18"/>
        </w:rPr>
        <w:t xml:space="preserve"> </w:t>
      </w:r>
    </w:p>
    <w:p w14:paraId="0D60FFE5" w14:textId="43D0CAE7" w:rsidR="00D4090D" w:rsidRPr="00C35056" w:rsidRDefault="00D4090D" w:rsidP="00D4090D">
      <w:pPr>
        <w:rPr>
          <w:sz w:val="18"/>
          <w:szCs w:val="18"/>
        </w:rPr>
      </w:pPr>
      <w:r w:rsidRPr="00C35056">
        <w:rPr>
          <w:sz w:val="18"/>
          <w:szCs w:val="18"/>
        </w:rPr>
        <w:t>BARRETT, D.J., COUCH, C.A., METCALFE, D.J., LYTTON, L., ADHIKARY D.P., AND SCHMIDT R.K., 2013 (2013) Methodology for bioregional assessments of the impacts of coal seam gas and coal mining development on water resources. A report prepared for the Independent Expert Scientific Committee on Coal Seam Gas and Large Coal Mining Development through the Department of the Environment. NSW</w:t>
      </w:r>
    </w:p>
    <w:p w14:paraId="5D45A7E4" w14:textId="77777777" w:rsidR="00D4090D" w:rsidRPr="00C35056" w:rsidRDefault="00D4090D" w:rsidP="00D4090D">
      <w:pPr>
        <w:rPr>
          <w:sz w:val="18"/>
          <w:szCs w:val="18"/>
        </w:rPr>
      </w:pPr>
      <w:r w:rsidRPr="00C35056">
        <w:rPr>
          <w:sz w:val="18"/>
          <w:szCs w:val="18"/>
        </w:rPr>
        <w:t>BASELINE FOR COMPARISON OF ALL FUTURE POTENTIAL RISKS (</w:t>
      </w:r>
      <w:hyperlink r:id="rId108" w:tgtFrame="_blank" w:history="1">
        <w:r w:rsidRPr="00C35056">
          <w:rPr>
            <w:sz w:val="18"/>
            <w:szCs w:val="18"/>
          </w:rPr>
          <w:t>http://www.resourcesandenergy.nsw.gov.au/landholders-and-community/coal-seam-gas/water-data-project</w:t>
        </w:r>
      </w:hyperlink>
    </w:p>
    <w:p w14:paraId="5446BC67" w14:textId="77777777" w:rsidR="00D4090D" w:rsidRPr="00C35056" w:rsidRDefault="00D4090D" w:rsidP="00D4090D">
      <w:pPr>
        <w:rPr>
          <w:rFonts w:cs="Arial"/>
          <w:sz w:val="18"/>
          <w:szCs w:val="18"/>
        </w:rPr>
      </w:pPr>
      <w:r w:rsidRPr="00C35056">
        <w:rPr>
          <w:rFonts w:cs="Arial"/>
          <w:sz w:val="18"/>
          <w:szCs w:val="18"/>
        </w:rPr>
        <w:t xml:space="preserve">BRITISH COLUMBIA OIL &amp; GAS COMMISSION (2014) Well Permit Application Manual </w:t>
      </w:r>
      <w:hyperlink r:id="rId109" w:history="1">
        <w:r w:rsidRPr="00C35056">
          <w:rPr>
            <w:rFonts w:cs="Arial"/>
            <w:sz w:val="18"/>
            <w:szCs w:val="18"/>
          </w:rPr>
          <w:t>http://www.bcogc.ca/node/5854/download?documentID=874&amp;type=.pdf</w:t>
        </w:r>
      </w:hyperlink>
      <w:r w:rsidRPr="00C35056">
        <w:rPr>
          <w:rFonts w:cs="Arial"/>
          <w:sz w:val="18"/>
          <w:szCs w:val="18"/>
        </w:rPr>
        <w:t xml:space="preserve">  </w:t>
      </w:r>
    </w:p>
    <w:p w14:paraId="38B6AECF" w14:textId="77777777" w:rsidR="00D4090D" w:rsidRPr="00C35056" w:rsidRDefault="00D4090D" w:rsidP="00D4090D">
      <w:pPr>
        <w:rPr>
          <w:sz w:val="18"/>
          <w:szCs w:val="18"/>
        </w:rPr>
      </w:pPr>
      <w:r w:rsidRPr="00C35056">
        <w:rPr>
          <w:sz w:val="18"/>
          <w:szCs w:val="18"/>
        </w:rPr>
        <w:t xml:space="preserve">BUREAU OF METEOROLOGY, Groundwater Dependent Ecosystem Atlas </w:t>
      </w:r>
      <w:hyperlink r:id="rId110" w:history="1">
        <w:r w:rsidRPr="00C35056">
          <w:rPr>
            <w:sz w:val="18"/>
            <w:szCs w:val="18"/>
          </w:rPr>
          <w:t>http://www.bom.gov.au/water/groundwater/gde/</w:t>
        </w:r>
      </w:hyperlink>
      <w:r w:rsidRPr="00C35056">
        <w:rPr>
          <w:sz w:val="18"/>
          <w:szCs w:val="18"/>
        </w:rPr>
        <w:t xml:space="preserve"> </w:t>
      </w:r>
    </w:p>
    <w:p w14:paraId="535D0A8C" w14:textId="77777777" w:rsidR="00D4090D" w:rsidRPr="00C35056" w:rsidRDefault="00D4090D" w:rsidP="00D4090D">
      <w:pPr>
        <w:rPr>
          <w:sz w:val="18"/>
          <w:szCs w:val="18"/>
        </w:rPr>
      </w:pPr>
      <w:r w:rsidRPr="00C35056">
        <w:rPr>
          <w:sz w:val="18"/>
          <w:szCs w:val="18"/>
        </w:rPr>
        <w:t xml:space="preserve">CAMPIN, D. (2013) Environmental Regulation of Hydraulic Fracturing in Queensland, Society of Petroleum Engineers Annual Technical Conference and Exhibition </w:t>
      </w:r>
      <w:hyperlink r:id="rId111" w:history="1">
        <w:r w:rsidRPr="00C35056">
          <w:rPr>
            <w:rFonts w:cs="Arial"/>
            <w:sz w:val="18"/>
            <w:szCs w:val="18"/>
          </w:rPr>
          <w:t>https://www.spe-qld.org/useruploads/files/spe_166146_for_6_march_2014.pdf</w:t>
        </w:r>
      </w:hyperlink>
      <w:r w:rsidRPr="00C35056">
        <w:rPr>
          <w:sz w:val="18"/>
          <w:szCs w:val="18"/>
        </w:rPr>
        <w:t xml:space="preserve"> </w:t>
      </w:r>
    </w:p>
    <w:p w14:paraId="336A8469" w14:textId="77777777" w:rsidR="00D4090D" w:rsidRPr="00C35056" w:rsidRDefault="00D4090D" w:rsidP="00D4090D">
      <w:pPr>
        <w:rPr>
          <w:rFonts w:cs="Arial"/>
          <w:sz w:val="18"/>
          <w:szCs w:val="18"/>
        </w:rPr>
      </w:pPr>
      <w:r w:rsidRPr="00C35056">
        <w:rPr>
          <w:sz w:val="18"/>
          <w:szCs w:val="18"/>
        </w:rPr>
        <w:t xml:space="preserve">CAPP (2012) </w:t>
      </w:r>
      <w:r w:rsidRPr="00C35056">
        <w:rPr>
          <w:i/>
          <w:sz w:val="18"/>
          <w:szCs w:val="18"/>
        </w:rPr>
        <w:t xml:space="preserve">Upstream Dialogue – The Facts on Natural Gas. </w:t>
      </w:r>
      <w:r w:rsidRPr="00C35056">
        <w:rPr>
          <w:sz w:val="18"/>
          <w:szCs w:val="18"/>
        </w:rPr>
        <w:t xml:space="preserve">Canadian Association of Petroleum Producers (CAPP). Available at: </w:t>
      </w:r>
      <w:hyperlink r:id="rId112" w:history="1">
        <w:r w:rsidRPr="00C35056">
          <w:rPr>
            <w:sz w:val="18"/>
            <w:szCs w:val="18"/>
          </w:rPr>
          <w:t>http://www.capp.ca/UpstreamDialogue/NaturalGas/Pages/default.aspx</w:t>
        </w:r>
      </w:hyperlink>
      <w:r w:rsidRPr="00C35056">
        <w:rPr>
          <w:sz w:val="18"/>
          <w:szCs w:val="18"/>
        </w:rPr>
        <w:t xml:space="preserve"> (Accessed October 2013)</w:t>
      </w:r>
    </w:p>
    <w:p w14:paraId="18668B09" w14:textId="77777777" w:rsidR="00D4090D" w:rsidRPr="00C35056" w:rsidRDefault="00D4090D" w:rsidP="00D4090D">
      <w:pPr>
        <w:rPr>
          <w:sz w:val="18"/>
          <w:szCs w:val="18"/>
        </w:rPr>
      </w:pPr>
      <w:r w:rsidRPr="00C35056">
        <w:rPr>
          <w:sz w:val="18"/>
          <w:szCs w:val="18"/>
        </w:rPr>
        <w:t xml:space="preserve">COMMONWEALTH OF AUSTRALIA (2013) Significant Impact Guidelines: Coal Seam Gas and Large Coal Mining Developments – Impacts on Water Resources </w:t>
      </w:r>
      <w:hyperlink r:id="rId113" w:history="1">
        <w:r w:rsidRPr="00C35056">
          <w:rPr>
            <w:rFonts w:cs="Arial"/>
            <w:sz w:val="18"/>
            <w:szCs w:val="18"/>
          </w:rPr>
          <w:t>http://www.environment.gov.au/system/files/resources/d078caf3-3923-4416-a743-0988ac3f1ee1/files/sig-water-resources.pdf</w:t>
        </w:r>
      </w:hyperlink>
      <w:r w:rsidRPr="00C35056">
        <w:rPr>
          <w:sz w:val="18"/>
          <w:szCs w:val="18"/>
        </w:rPr>
        <w:t xml:space="preserve"> </w:t>
      </w:r>
    </w:p>
    <w:p w14:paraId="30F09869" w14:textId="77777777" w:rsidR="00D4090D" w:rsidRPr="00C35056" w:rsidRDefault="00D4090D" w:rsidP="00D4090D">
      <w:pPr>
        <w:rPr>
          <w:sz w:val="18"/>
          <w:szCs w:val="18"/>
        </w:rPr>
      </w:pPr>
      <w:r w:rsidRPr="00C35056">
        <w:rPr>
          <w:sz w:val="18"/>
          <w:szCs w:val="18"/>
        </w:rPr>
        <w:t xml:space="preserve">COMMONWEALTH OF AUSTRALIA (2014) Coal seam gas extraction: modelling groundwater impacts, prepared by Coffey Geotechnics for the Department of the Environment, Commonwealth of Australia’ </w:t>
      </w:r>
      <w:hyperlink r:id="rId114" w:history="1">
        <w:r w:rsidRPr="00C35056">
          <w:rPr>
            <w:sz w:val="18"/>
            <w:szCs w:val="18"/>
          </w:rPr>
          <w:t>http://www.environment.gov.au/system/files/resources/ee38b672-6faa-452e-979f-d97b7d425333/files/coal seam gas-modelling-groundwater-impacts.pdf</w:t>
        </w:r>
      </w:hyperlink>
      <w:r w:rsidRPr="00C35056">
        <w:rPr>
          <w:sz w:val="18"/>
          <w:szCs w:val="18"/>
        </w:rPr>
        <w:t xml:space="preserve"> </w:t>
      </w:r>
    </w:p>
    <w:p w14:paraId="1913BA35" w14:textId="77777777" w:rsidR="00D4090D" w:rsidRPr="00C35056" w:rsidRDefault="00D4090D" w:rsidP="00D4090D">
      <w:pPr>
        <w:rPr>
          <w:sz w:val="18"/>
          <w:szCs w:val="18"/>
        </w:rPr>
      </w:pPr>
      <w:r w:rsidRPr="00C35056">
        <w:rPr>
          <w:sz w:val="18"/>
          <w:szCs w:val="18"/>
        </w:rPr>
        <w:t xml:space="preserve">CONNECTICUT ENVIRONMENTAL CONDITIONS ONLINE (2010) CT ECO Complete User Guide: Water Quality Classifications. </w:t>
      </w:r>
      <w:hyperlink r:id="rId115" w:history="1">
        <w:r w:rsidRPr="00C35056">
          <w:rPr>
            <w:sz w:val="18"/>
            <w:szCs w:val="18"/>
          </w:rPr>
          <w:t>http://cteco.uconn.edu/guides/resource/CT_ECO_Resource_Guide_Water_Quality_Classifications.pdf</w:t>
        </w:r>
      </w:hyperlink>
      <w:r w:rsidRPr="00C35056">
        <w:rPr>
          <w:sz w:val="18"/>
          <w:szCs w:val="18"/>
        </w:rPr>
        <w:t xml:space="preserve">  </w:t>
      </w:r>
    </w:p>
    <w:p w14:paraId="507AAD2C" w14:textId="3EF83D96" w:rsidR="00D91C19" w:rsidRPr="00C35056" w:rsidRDefault="00D91C19" w:rsidP="00D91C19">
      <w:pPr>
        <w:rPr>
          <w:sz w:val="18"/>
          <w:szCs w:val="18"/>
        </w:rPr>
      </w:pPr>
      <w:r w:rsidRPr="00C35056">
        <w:rPr>
          <w:sz w:val="18"/>
          <w:szCs w:val="18"/>
        </w:rPr>
        <w:t xml:space="preserve">COOK, P.G. (2003) A guide to regional groundwater flow in Fractured Aquifers, CSIRO </w:t>
      </w:r>
      <w:hyperlink r:id="rId116" w:history="1">
        <w:r w:rsidRPr="00C35056">
          <w:rPr>
            <w:sz w:val="18"/>
            <w:szCs w:val="18"/>
          </w:rPr>
          <w:t>http://lwa.gov.au/files/products/river-landscapes/px020312/px020312.pdf</w:t>
        </w:r>
      </w:hyperlink>
      <w:r w:rsidRPr="00C35056">
        <w:rPr>
          <w:sz w:val="18"/>
          <w:szCs w:val="18"/>
        </w:rPr>
        <w:t xml:space="preserve"> </w:t>
      </w:r>
    </w:p>
    <w:p w14:paraId="24DB305D" w14:textId="719961B3" w:rsidR="00D4090D" w:rsidRPr="00C35056" w:rsidRDefault="00D4090D" w:rsidP="00D4090D">
      <w:pPr>
        <w:rPr>
          <w:sz w:val="18"/>
          <w:szCs w:val="18"/>
        </w:rPr>
      </w:pPr>
      <w:r w:rsidRPr="00C35056">
        <w:rPr>
          <w:sz w:val="18"/>
          <w:szCs w:val="18"/>
        </w:rPr>
        <w:t>COOK, P</w:t>
      </w:r>
      <w:r w:rsidR="00D91C19" w:rsidRPr="00C35056">
        <w:rPr>
          <w:sz w:val="18"/>
          <w:szCs w:val="18"/>
        </w:rPr>
        <w:t>.</w:t>
      </w:r>
      <w:r w:rsidRPr="00C35056">
        <w:rPr>
          <w:sz w:val="18"/>
          <w:szCs w:val="18"/>
        </w:rPr>
        <w:t>J</w:t>
      </w:r>
      <w:r w:rsidR="00D91C19" w:rsidRPr="00C35056">
        <w:rPr>
          <w:sz w:val="18"/>
          <w:szCs w:val="18"/>
        </w:rPr>
        <w:t>.</w:t>
      </w:r>
      <w:r w:rsidRPr="00C35056">
        <w:rPr>
          <w:sz w:val="18"/>
          <w:szCs w:val="18"/>
        </w:rPr>
        <w:t xml:space="preserve"> et al. (2013) “Engineering energy: unconventional gas production.”  Report for the Australian Council of Learned Academies (ACOLA) </w:t>
      </w:r>
    </w:p>
    <w:p w14:paraId="7C7E6BFD" w14:textId="77777777" w:rsidR="00D4090D" w:rsidRPr="00C35056" w:rsidRDefault="00D4090D" w:rsidP="00D4090D">
      <w:pPr>
        <w:rPr>
          <w:sz w:val="18"/>
          <w:szCs w:val="18"/>
        </w:rPr>
      </w:pPr>
      <w:r w:rsidRPr="00C35056">
        <w:rPr>
          <w:sz w:val="18"/>
          <w:szCs w:val="18"/>
        </w:rPr>
        <w:t xml:space="preserve">COOK, P.J. (2013) Life Cycle of Coal Seam Gas Projects: Technologies and Potential Impacts Report for the New South Wales Office of the Chief Scientist and Engineer </w:t>
      </w:r>
      <w:hyperlink r:id="rId117" w:history="1">
        <w:r w:rsidRPr="00C35056">
          <w:rPr>
            <w:sz w:val="18"/>
            <w:szCs w:val="18"/>
          </w:rPr>
          <w:t>http://www.chiefscientist.nsw.gov.au/__data/assets/pdf_file/0010/31321/Life-Cycle-of-Coal-Seam-Gas-Report_FINAL_PJC.pdf</w:t>
        </w:r>
      </w:hyperlink>
      <w:r w:rsidRPr="00C35056">
        <w:rPr>
          <w:sz w:val="18"/>
          <w:szCs w:val="18"/>
        </w:rPr>
        <w:t xml:space="preserve">  </w:t>
      </w:r>
    </w:p>
    <w:p w14:paraId="1901C405" w14:textId="77777777" w:rsidR="00D4090D" w:rsidRPr="00C35056" w:rsidRDefault="00D4090D" w:rsidP="00D4090D">
      <w:pPr>
        <w:rPr>
          <w:sz w:val="18"/>
          <w:szCs w:val="18"/>
        </w:rPr>
      </w:pPr>
      <w:r w:rsidRPr="00C35056">
        <w:rPr>
          <w:sz w:val="18"/>
          <w:szCs w:val="18"/>
        </w:rPr>
        <w:t xml:space="preserve">COUNCIL OF AUSTRALIAN GOVERNMENTS (n.d.) National Partnership Agreement on Coal Seam Gas and Large Coal Mining Development </w:t>
      </w:r>
      <w:hyperlink r:id="rId118" w:history="1">
        <w:r w:rsidRPr="00C35056">
          <w:rPr>
            <w:sz w:val="18"/>
            <w:szCs w:val="18"/>
          </w:rPr>
          <w:t>https://www.ehp.qld.gov.au/management/impact-assessment/pdf/partnership-agreement.pdf</w:t>
        </w:r>
      </w:hyperlink>
      <w:r w:rsidRPr="00C35056">
        <w:rPr>
          <w:sz w:val="18"/>
          <w:szCs w:val="18"/>
        </w:rPr>
        <w:t xml:space="preserve"> </w:t>
      </w:r>
    </w:p>
    <w:p w14:paraId="73C9B813" w14:textId="77777777" w:rsidR="00D4090D" w:rsidRPr="00C35056" w:rsidRDefault="00D4090D" w:rsidP="00D4090D">
      <w:pPr>
        <w:rPr>
          <w:sz w:val="18"/>
          <w:szCs w:val="18"/>
        </w:rPr>
      </w:pPr>
      <w:r w:rsidRPr="00C35056">
        <w:rPr>
          <w:sz w:val="18"/>
          <w:szCs w:val="18"/>
        </w:rPr>
        <w:t>DALY, D. AND WARREN, W.P. (1998) Mapping groundwater vulnerability: the Irish perspective. Geological Society, London, Special Publications, 130:179-190</w:t>
      </w:r>
    </w:p>
    <w:p w14:paraId="1CA79CF4" w14:textId="77777777" w:rsidR="00D4090D" w:rsidRPr="00C35056" w:rsidRDefault="00D4090D" w:rsidP="00D4090D">
      <w:pPr>
        <w:rPr>
          <w:sz w:val="18"/>
          <w:szCs w:val="18"/>
        </w:rPr>
      </w:pPr>
      <w:r w:rsidRPr="00C35056">
        <w:rPr>
          <w:sz w:val="18"/>
          <w:szCs w:val="18"/>
        </w:rPr>
        <w:t>DALY, D. AND WARREN, W.P. (1998) Mapping groundwater vulnerability: the Irish perspective Geological Society, London, Special Publications, 130:179-190,</w:t>
      </w:r>
    </w:p>
    <w:p w14:paraId="653CED6B" w14:textId="77777777" w:rsidR="00D4090D" w:rsidRPr="00C35056" w:rsidRDefault="00D4090D" w:rsidP="00D4090D">
      <w:pPr>
        <w:rPr>
          <w:sz w:val="18"/>
          <w:szCs w:val="18"/>
        </w:rPr>
      </w:pPr>
      <w:r w:rsidRPr="00C35056">
        <w:rPr>
          <w:sz w:val="18"/>
          <w:szCs w:val="18"/>
        </w:rPr>
        <w:t xml:space="preserve">DECC (2014) “Fracking UK Shale: water” </w:t>
      </w:r>
      <w:hyperlink r:id="rId119" w:history="1">
        <w:r w:rsidRPr="00C35056">
          <w:rPr>
            <w:rFonts w:cs="Arial"/>
            <w:sz w:val="18"/>
            <w:szCs w:val="18"/>
          </w:rPr>
          <w:t>https://www.gov.uk/government/uploads/system/uploads/attachment_data/file/277211/Water.pdf</w:t>
        </w:r>
      </w:hyperlink>
    </w:p>
    <w:p w14:paraId="6D6D0539" w14:textId="7366848E" w:rsidR="00D4090D" w:rsidRPr="00C35056" w:rsidRDefault="00D4090D" w:rsidP="00D4090D">
      <w:pPr>
        <w:rPr>
          <w:sz w:val="18"/>
          <w:szCs w:val="18"/>
        </w:rPr>
      </w:pPr>
      <w:r w:rsidRPr="00C35056">
        <w:rPr>
          <w:sz w:val="18"/>
          <w:szCs w:val="18"/>
        </w:rPr>
        <w:t xml:space="preserve">DEPARTMENT OF ENVIRONMENT &amp; HERITAGE PROTECTION (n.d.) Guideline Water Act Underground Water Impact Report </w:t>
      </w:r>
      <w:hyperlink r:id="rId120" w:history="1">
        <w:r w:rsidRPr="00C35056">
          <w:rPr>
            <w:rFonts w:cs="Arial"/>
            <w:sz w:val="18"/>
            <w:szCs w:val="18"/>
          </w:rPr>
          <w:t>https://www.ehp.qld.gov.au/management/non-mining/groundwater.html</w:t>
        </w:r>
      </w:hyperlink>
      <w:r w:rsidRPr="00C35056">
        <w:rPr>
          <w:sz w:val="18"/>
          <w:szCs w:val="18"/>
        </w:rPr>
        <w:t xml:space="preserve"> </w:t>
      </w:r>
    </w:p>
    <w:p w14:paraId="0A6E565E" w14:textId="77777777" w:rsidR="00D4090D" w:rsidRPr="00C35056" w:rsidRDefault="00D4090D" w:rsidP="00D4090D">
      <w:pPr>
        <w:rPr>
          <w:sz w:val="18"/>
          <w:szCs w:val="18"/>
        </w:rPr>
      </w:pPr>
      <w:r w:rsidRPr="00C35056">
        <w:rPr>
          <w:sz w:val="18"/>
          <w:szCs w:val="18"/>
        </w:rPr>
        <w:t>DEPARTMENT OF ENVIRONMENT (2013) Significant impact guidelines 1.3: Coal Seam Gas and Large Coal Mining Developments – impacts on water resources. Commonwealth of Australia</w:t>
      </w:r>
      <w:r w:rsidRPr="00C35056">
        <w:rPr>
          <w:sz w:val="18"/>
          <w:szCs w:val="18"/>
        </w:rPr>
        <w:br/>
      </w:r>
      <w:hyperlink r:id="rId121" w:history="1">
        <w:r w:rsidRPr="00C35056">
          <w:rPr>
            <w:sz w:val="18"/>
            <w:szCs w:val="18"/>
          </w:rPr>
          <w:t>http://www.environment.gov.au/system/files/resources/d078caf3-3923-4416-a743-0988ac3f1ee1/files/sig-water-resources.pdf</w:t>
        </w:r>
      </w:hyperlink>
      <w:r w:rsidRPr="00C35056">
        <w:rPr>
          <w:sz w:val="18"/>
          <w:szCs w:val="18"/>
        </w:rPr>
        <w:t xml:space="preserve"> </w:t>
      </w:r>
    </w:p>
    <w:p w14:paraId="45F414F6" w14:textId="6E940CBC" w:rsidR="00D4090D" w:rsidRPr="00C35056" w:rsidRDefault="00D4090D" w:rsidP="00D4090D">
      <w:pPr>
        <w:rPr>
          <w:sz w:val="18"/>
          <w:szCs w:val="18"/>
        </w:rPr>
      </w:pPr>
      <w:r w:rsidRPr="00C35056">
        <w:rPr>
          <w:sz w:val="18"/>
          <w:szCs w:val="18"/>
        </w:rPr>
        <w:t>DEPARTMENT OF MINES AND PETROLEUM (2014) ‘Natural Gas from Shale and Tight Rocks: An overview of Western Australia’s regulatory framework’. Government of Australia</w:t>
      </w:r>
      <w:r w:rsidRPr="00C35056">
        <w:rPr>
          <w:sz w:val="18"/>
          <w:szCs w:val="18"/>
        </w:rPr>
        <w:br/>
      </w:r>
      <w:hyperlink r:id="rId122" w:history="1">
        <w:r w:rsidRPr="00C35056">
          <w:rPr>
            <w:sz w:val="18"/>
            <w:szCs w:val="18"/>
          </w:rPr>
          <w:t>http://www.dmp.wa.gov.au/15139.aspx</w:t>
        </w:r>
      </w:hyperlink>
      <w:r w:rsidRPr="00C35056">
        <w:rPr>
          <w:sz w:val="18"/>
          <w:szCs w:val="18"/>
        </w:rPr>
        <w:t xml:space="preserve"> </w:t>
      </w:r>
    </w:p>
    <w:p w14:paraId="3FD4FFC7" w14:textId="77777777" w:rsidR="00D4090D" w:rsidRPr="00C35056" w:rsidRDefault="00D4090D" w:rsidP="00D4090D">
      <w:pPr>
        <w:rPr>
          <w:sz w:val="18"/>
          <w:szCs w:val="18"/>
        </w:rPr>
      </w:pPr>
      <w:r w:rsidRPr="00C35056">
        <w:rPr>
          <w:sz w:val="18"/>
          <w:szCs w:val="18"/>
        </w:rPr>
        <w:t xml:space="preserve">DEPARTMENT OF PRIMARY INDUSTRIES AND ENERGY (1995) National Water Quality Management Strategy: guidelines for Groundwater Protection in Australia </w:t>
      </w:r>
      <w:hyperlink r:id="rId123" w:history="1">
        <w:r w:rsidRPr="00C35056">
          <w:rPr>
            <w:rFonts w:cs="Arial"/>
            <w:sz w:val="18"/>
            <w:szCs w:val="18"/>
          </w:rPr>
          <w:t>http://www.environment.gov.au/system/files/resources/4d08becb-c90a-4637-bcbc-5772451f7c5e/files/nwmqs-groundwater-guidelines.pdf</w:t>
        </w:r>
      </w:hyperlink>
      <w:r w:rsidRPr="00C35056">
        <w:rPr>
          <w:sz w:val="18"/>
          <w:szCs w:val="18"/>
        </w:rPr>
        <w:t xml:space="preserve"> </w:t>
      </w:r>
    </w:p>
    <w:p w14:paraId="69654A09" w14:textId="6EB3663F" w:rsidR="00D4090D" w:rsidRPr="00C35056" w:rsidRDefault="00D4090D" w:rsidP="00D4090D">
      <w:pPr>
        <w:rPr>
          <w:rFonts w:cs="Arial"/>
          <w:sz w:val="18"/>
          <w:szCs w:val="18"/>
        </w:rPr>
      </w:pPr>
      <w:r w:rsidRPr="00C35056">
        <w:rPr>
          <w:rFonts w:cs="Arial"/>
          <w:sz w:val="18"/>
          <w:szCs w:val="18"/>
        </w:rPr>
        <w:t xml:space="preserve">DEPARTMENT OF SUSTAINABILITY AND ENVIRONMENT () Policy Paper: Improving Management of Victoria’s Groundwater Resources </w:t>
      </w:r>
      <w:hyperlink r:id="rId124" w:history="1">
        <w:r w:rsidRPr="00C35056">
          <w:rPr>
            <w:rFonts w:cs="Arial"/>
            <w:sz w:val="18"/>
            <w:szCs w:val="18"/>
          </w:rPr>
          <w:t>http://www.depi.vic.gov.au/__data/assets/pdf_file/0005/188942/Improving-management-of-Victorias-groundwater-resources.pdf</w:t>
        </w:r>
      </w:hyperlink>
      <w:r w:rsidRPr="00C35056">
        <w:rPr>
          <w:rFonts w:cs="Arial"/>
          <w:sz w:val="18"/>
          <w:szCs w:val="18"/>
        </w:rPr>
        <w:t xml:space="preserve"> </w:t>
      </w:r>
    </w:p>
    <w:p w14:paraId="6DD625D1" w14:textId="77777777" w:rsidR="00D4090D" w:rsidRPr="00C35056" w:rsidRDefault="00D4090D" w:rsidP="00D4090D">
      <w:pPr>
        <w:rPr>
          <w:rFonts w:cs="Arial"/>
          <w:sz w:val="18"/>
          <w:szCs w:val="18"/>
        </w:rPr>
      </w:pPr>
      <w:r w:rsidRPr="00C35056">
        <w:rPr>
          <w:rFonts w:cs="Arial"/>
          <w:sz w:val="18"/>
          <w:szCs w:val="18"/>
        </w:rPr>
        <w:t xml:space="preserve">DEPI article: Groundwater monitoring of the State Observation Bore Network </w:t>
      </w:r>
      <w:hyperlink r:id="rId125" w:history="1">
        <w:r w:rsidRPr="00C35056">
          <w:rPr>
            <w:rFonts w:cs="Arial"/>
            <w:sz w:val="18"/>
            <w:szCs w:val="18"/>
          </w:rPr>
          <w:t>http://www.depi.vic.gov.au/water/governing-water-resources/environmental-contributions/groundwater-monitoring-of-the-state-observation-bore-network</w:t>
        </w:r>
      </w:hyperlink>
      <w:r w:rsidRPr="00C35056">
        <w:rPr>
          <w:rFonts w:cs="Arial"/>
          <w:sz w:val="18"/>
          <w:szCs w:val="18"/>
        </w:rPr>
        <w:t xml:space="preserve"> </w:t>
      </w:r>
    </w:p>
    <w:p w14:paraId="4B75A801" w14:textId="241BDD46" w:rsidR="00D4090D" w:rsidRPr="00C35056" w:rsidRDefault="00D4090D" w:rsidP="00D4090D">
      <w:pPr>
        <w:rPr>
          <w:sz w:val="18"/>
          <w:szCs w:val="18"/>
        </w:rPr>
      </w:pPr>
      <w:r w:rsidRPr="00C35056">
        <w:rPr>
          <w:sz w:val="18"/>
          <w:szCs w:val="18"/>
        </w:rPr>
        <w:t xml:space="preserve">DET NORSKE VERITAS (2013) Recommended Practice: Risk Management of Shale Gas Developments and Operations </w:t>
      </w:r>
      <w:hyperlink r:id="rId126" w:history="1">
        <w:r w:rsidRPr="00C35056">
          <w:rPr>
            <w:rFonts w:cs="Arial"/>
            <w:sz w:val="18"/>
            <w:szCs w:val="18"/>
          </w:rPr>
          <w:t>file:///C:/Users/AHerford/Downloads/rp-u301_2013-01.pdf</w:t>
        </w:r>
      </w:hyperlink>
    </w:p>
    <w:p w14:paraId="7BBB098C" w14:textId="77777777" w:rsidR="00D4090D" w:rsidRPr="00C35056" w:rsidRDefault="00D4090D" w:rsidP="00D4090D">
      <w:pPr>
        <w:rPr>
          <w:sz w:val="18"/>
          <w:szCs w:val="18"/>
        </w:rPr>
      </w:pPr>
      <w:r w:rsidRPr="00C35056">
        <w:rPr>
          <w:sz w:val="18"/>
          <w:szCs w:val="18"/>
        </w:rPr>
        <w:t xml:space="preserve">DIVISION OF WATER TECHNICAL &amp; OPERATIONAL GUIDANCE (1990) Primary &amp; Principal Aquifer Determinations </w:t>
      </w:r>
      <w:hyperlink r:id="rId127" w:history="1">
        <w:r w:rsidRPr="00C35056">
          <w:rPr>
            <w:sz w:val="18"/>
            <w:szCs w:val="18"/>
          </w:rPr>
          <w:t>http://www.dec.ny.gov/docs/water_pdf/togs213.pdf</w:t>
        </w:r>
      </w:hyperlink>
      <w:r w:rsidRPr="00C35056">
        <w:rPr>
          <w:sz w:val="18"/>
          <w:szCs w:val="18"/>
        </w:rPr>
        <w:t xml:space="preserve"> </w:t>
      </w:r>
    </w:p>
    <w:p w14:paraId="516A423C" w14:textId="77777777" w:rsidR="00D4090D" w:rsidRPr="00C35056" w:rsidRDefault="00D4090D" w:rsidP="00D4090D">
      <w:pPr>
        <w:rPr>
          <w:sz w:val="18"/>
          <w:szCs w:val="18"/>
        </w:rPr>
      </w:pPr>
      <w:r w:rsidRPr="00C35056">
        <w:rPr>
          <w:sz w:val="18"/>
          <w:szCs w:val="18"/>
        </w:rPr>
        <w:t xml:space="preserve">DMITRE (2013) Criteria for classifying the level of environmental impact of regulated activities: requirement under Part 12 of the Petroleum and Geothermal Energy Act 2000 </w:t>
      </w:r>
      <w:hyperlink r:id="rId128" w:history="1">
        <w:r w:rsidRPr="00C35056">
          <w:rPr>
            <w:rFonts w:cs="Arial"/>
            <w:sz w:val="18"/>
            <w:szCs w:val="18"/>
          </w:rPr>
          <w:t>https://sarigbasis.pir.sa.gov.au/WebtopEw/ws/samref/sarig1/image/DDD/PGRG004.pdf</w:t>
        </w:r>
      </w:hyperlink>
      <w:r w:rsidRPr="00C35056">
        <w:rPr>
          <w:sz w:val="18"/>
          <w:szCs w:val="18"/>
        </w:rPr>
        <w:t xml:space="preserve"> </w:t>
      </w:r>
    </w:p>
    <w:p w14:paraId="747BD3BB" w14:textId="77777777" w:rsidR="00D4090D" w:rsidRPr="00C35056" w:rsidRDefault="00D4090D" w:rsidP="00D4090D">
      <w:pPr>
        <w:rPr>
          <w:b/>
          <w:sz w:val="18"/>
          <w:szCs w:val="18"/>
        </w:rPr>
      </w:pPr>
      <w:r w:rsidRPr="00C35056">
        <w:rPr>
          <w:sz w:val="18"/>
          <w:szCs w:val="18"/>
        </w:rPr>
        <w:t xml:space="preserve">DMITRE (2014) South Australian Developments: Excellence in Oil and Gas 2014. </w:t>
      </w:r>
      <w:hyperlink r:id="rId129" w:history="1">
        <w:r w:rsidRPr="00C35056">
          <w:rPr>
            <w:rFonts w:cs="Arial"/>
            <w:sz w:val="18"/>
            <w:szCs w:val="18"/>
          </w:rPr>
          <w:t>http://www.pir.sa.gov.au/__data/assets/pdf_file/0019/218350/Excellence_in_O_and_G_Alexander_Mar2014.pdf</w:t>
        </w:r>
      </w:hyperlink>
      <w:r w:rsidRPr="00C35056">
        <w:rPr>
          <w:sz w:val="18"/>
          <w:szCs w:val="18"/>
        </w:rPr>
        <w:t xml:space="preserve"> </w:t>
      </w:r>
    </w:p>
    <w:p w14:paraId="4D76A844" w14:textId="48B54F63" w:rsidR="00D4090D" w:rsidRPr="00C35056" w:rsidRDefault="00D4090D" w:rsidP="00D4090D">
      <w:pPr>
        <w:rPr>
          <w:sz w:val="18"/>
          <w:szCs w:val="18"/>
        </w:rPr>
      </w:pPr>
      <w:r w:rsidRPr="00C35056">
        <w:rPr>
          <w:sz w:val="18"/>
          <w:szCs w:val="18"/>
        </w:rPr>
        <w:t xml:space="preserve">DNRM (2014) Report on the coal seam gas engagement and compliance plan 2013 </w:t>
      </w:r>
      <w:hyperlink r:id="rId130" w:history="1">
        <w:r w:rsidRPr="00C35056">
          <w:rPr>
            <w:rFonts w:cs="Arial"/>
            <w:sz w:val="18"/>
            <w:szCs w:val="18"/>
          </w:rPr>
          <w:t>http://www.dnrm.qld.gov.au/__data/assets/pdf_file/0007/171646/report-coal seam gas-engagement-compliance-plan.pdf</w:t>
        </w:r>
      </w:hyperlink>
      <w:r w:rsidRPr="00C35056">
        <w:rPr>
          <w:sz w:val="18"/>
          <w:szCs w:val="18"/>
        </w:rPr>
        <w:t xml:space="preserve"> </w:t>
      </w:r>
    </w:p>
    <w:p w14:paraId="5C2211F1" w14:textId="77777777" w:rsidR="00D4090D" w:rsidRPr="00C35056" w:rsidRDefault="00D4090D" w:rsidP="00D4090D">
      <w:pPr>
        <w:rPr>
          <w:sz w:val="18"/>
          <w:szCs w:val="18"/>
        </w:rPr>
      </w:pPr>
      <w:r w:rsidRPr="00C35056">
        <w:rPr>
          <w:sz w:val="18"/>
          <w:szCs w:val="18"/>
        </w:rPr>
        <w:t xml:space="preserve">ECO LOGICAL AUSTRALIA 2012. Assessing the cumulative risk of mining scenarios on bioregional assets in the Namoi Catchment: Development and trial of an interactive GIS tool. Prepared for Namoi Catchment Management Authority </w:t>
      </w:r>
      <w:hyperlink r:id="rId131" w:history="1">
        <w:r w:rsidRPr="00C35056">
          <w:rPr>
            <w:sz w:val="18"/>
            <w:szCs w:val="18"/>
          </w:rPr>
          <w:t>http://specialplaces.namoi.xceed.com.au/client/multimedia/stage_3_report_final_v2_1__dec12.pdf</w:t>
        </w:r>
      </w:hyperlink>
      <w:r w:rsidRPr="00C35056">
        <w:rPr>
          <w:sz w:val="18"/>
          <w:szCs w:val="18"/>
        </w:rPr>
        <w:t xml:space="preserve"> </w:t>
      </w:r>
    </w:p>
    <w:p w14:paraId="22173134" w14:textId="77777777" w:rsidR="00D4090D" w:rsidRPr="00C35056" w:rsidRDefault="00D4090D" w:rsidP="00D4090D">
      <w:pPr>
        <w:rPr>
          <w:sz w:val="18"/>
          <w:szCs w:val="18"/>
        </w:rPr>
      </w:pPr>
      <w:r w:rsidRPr="00C35056">
        <w:rPr>
          <w:sz w:val="18"/>
          <w:szCs w:val="18"/>
        </w:rPr>
        <w:t xml:space="preserve">EHP (n.d.) coal seam gas water management: Measurable criteria </w:t>
      </w:r>
      <w:hyperlink r:id="rId132" w:history="1">
        <w:r w:rsidRPr="00C35056">
          <w:rPr>
            <w:rFonts w:cs="Arial"/>
            <w:sz w:val="18"/>
            <w:szCs w:val="18"/>
          </w:rPr>
          <w:t>https://www.ehp.qld.gov.au/management/non-mining/documents/coal seam gas-water-measurable-criteria.pdf</w:t>
        </w:r>
      </w:hyperlink>
      <w:r w:rsidRPr="00C35056">
        <w:rPr>
          <w:sz w:val="18"/>
          <w:szCs w:val="18"/>
        </w:rPr>
        <w:t xml:space="preserve"> </w:t>
      </w:r>
    </w:p>
    <w:p w14:paraId="6EC76BE2" w14:textId="77777777" w:rsidR="00D4090D" w:rsidRPr="00C35056" w:rsidRDefault="00D4090D" w:rsidP="00D4090D">
      <w:pPr>
        <w:rPr>
          <w:sz w:val="18"/>
          <w:szCs w:val="18"/>
        </w:rPr>
      </w:pPr>
      <w:r w:rsidRPr="00C35056">
        <w:rPr>
          <w:sz w:val="18"/>
          <w:szCs w:val="18"/>
        </w:rPr>
        <w:t xml:space="preserve">EHP (n.d.) Guideline Water Act 2000: Underground Water Impact Reports and Final Reports </w:t>
      </w:r>
      <w:r w:rsidRPr="00C35056">
        <w:rPr>
          <w:sz w:val="18"/>
          <w:szCs w:val="18"/>
        </w:rPr>
        <w:cr/>
        <w:t xml:space="preserve"> </w:t>
      </w:r>
      <w:hyperlink r:id="rId133" w:history="1">
        <w:r w:rsidRPr="00C35056">
          <w:rPr>
            <w:rFonts w:cs="Arial"/>
            <w:sz w:val="18"/>
            <w:szCs w:val="18"/>
          </w:rPr>
          <w:t>https://www.ehp.qld.gov.au/management/non-mining/documents/uwir-guideline.pdf</w:t>
        </w:r>
      </w:hyperlink>
      <w:r w:rsidRPr="00C35056">
        <w:rPr>
          <w:sz w:val="18"/>
          <w:szCs w:val="18"/>
        </w:rPr>
        <w:t xml:space="preserve"> </w:t>
      </w:r>
    </w:p>
    <w:p w14:paraId="7382AEB1" w14:textId="77777777" w:rsidR="00D4090D" w:rsidRPr="00C35056" w:rsidRDefault="00D4090D" w:rsidP="00D4090D">
      <w:pPr>
        <w:rPr>
          <w:sz w:val="18"/>
          <w:szCs w:val="18"/>
        </w:rPr>
      </w:pPr>
      <w:r w:rsidRPr="00C35056">
        <w:rPr>
          <w:sz w:val="18"/>
          <w:szCs w:val="18"/>
        </w:rPr>
        <w:t xml:space="preserve">ENERGY RESOURCES CONSERVATION BOARD (2011) “Unconventional Gas Regulatory Framework – Jurisdictional Review” </w:t>
      </w:r>
      <w:hyperlink r:id="rId134" w:history="1">
        <w:r w:rsidRPr="00C35056">
          <w:rPr>
            <w:rFonts w:cs="Arial"/>
            <w:sz w:val="18"/>
            <w:szCs w:val="18"/>
          </w:rPr>
          <w:t>http://www.aer.ca/documents/reports/r2011-A.pdf</w:t>
        </w:r>
      </w:hyperlink>
      <w:r w:rsidRPr="00C35056">
        <w:rPr>
          <w:sz w:val="18"/>
          <w:szCs w:val="18"/>
        </w:rPr>
        <w:t xml:space="preserve"> </w:t>
      </w:r>
    </w:p>
    <w:p w14:paraId="7774A439" w14:textId="5C048212" w:rsidR="00D4090D" w:rsidRPr="00C35056" w:rsidRDefault="00D4090D" w:rsidP="00D4090D">
      <w:pPr>
        <w:rPr>
          <w:sz w:val="18"/>
          <w:szCs w:val="18"/>
        </w:rPr>
      </w:pPr>
      <w:r w:rsidRPr="00C35056">
        <w:rPr>
          <w:sz w:val="18"/>
          <w:szCs w:val="18"/>
        </w:rPr>
        <w:t xml:space="preserve">ENERGY RESOURCES CONSERVATION BOARD (n.d.) “Regulating Unconventional Oil &amp; Gas in Alberta: A Discussion paper”, </w:t>
      </w:r>
      <w:hyperlink r:id="rId135" w:history="1">
        <w:r w:rsidRPr="00C35056">
          <w:rPr>
            <w:rFonts w:cs="Arial"/>
            <w:sz w:val="18"/>
            <w:szCs w:val="18"/>
          </w:rPr>
          <w:t>http://www.aer.ca/documents/projects/URF/URF_DiscussionPaper_20121217.pdf</w:t>
        </w:r>
      </w:hyperlink>
      <w:r w:rsidRPr="00C35056">
        <w:rPr>
          <w:sz w:val="18"/>
          <w:szCs w:val="18"/>
        </w:rPr>
        <w:t xml:space="preserve"> </w:t>
      </w:r>
    </w:p>
    <w:p w14:paraId="50CD1C83" w14:textId="33FEDCDC" w:rsidR="00D4090D" w:rsidRPr="00C35056" w:rsidRDefault="00D4090D" w:rsidP="00D4090D">
      <w:pPr>
        <w:rPr>
          <w:rFonts w:cs="Arial"/>
          <w:sz w:val="18"/>
          <w:szCs w:val="18"/>
        </w:rPr>
      </w:pPr>
      <w:r w:rsidRPr="00C35056">
        <w:rPr>
          <w:sz w:val="18"/>
          <w:szCs w:val="18"/>
        </w:rPr>
        <w:t xml:space="preserve">ENERGY RESOURCES DIVISION DEPARTMENT FOR MANUFACTURING, INNOVATION, TRADE, RESOURCES AND ENERGY (2012) First draft: Roadmap for Unconventional Gas Projects in South Australia </w:t>
      </w:r>
      <w:hyperlink r:id="rId136" w:history="1">
        <w:r w:rsidRPr="00C35056">
          <w:rPr>
            <w:rFonts w:cs="Arial"/>
            <w:sz w:val="18"/>
            <w:szCs w:val="18"/>
          </w:rPr>
          <w:t>http://www.petroleum.pir.sa.gov.au/__data/assets/pdf_file/0006/170889/Combined_doc_19_April.pdf</w:t>
        </w:r>
      </w:hyperlink>
      <w:r w:rsidRPr="00C35056">
        <w:rPr>
          <w:rFonts w:cs="Arial"/>
          <w:sz w:val="18"/>
          <w:szCs w:val="18"/>
        </w:rPr>
        <w:t xml:space="preserve"> </w:t>
      </w:r>
    </w:p>
    <w:p w14:paraId="67CBA687" w14:textId="77777777" w:rsidR="00D4090D" w:rsidRPr="00C35056" w:rsidRDefault="00D4090D" w:rsidP="00D4090D">
      <w:pPr>
        <w:rPr>
          <w:sz w:val="18"/>
          <w:szCs w:val="18"/>
        </w:rPr>
      </w:pPr>
      <w:r w:rsidRPr="00C35056">
        <w:rPr>
          <w:sz w:val="18"/>
          <w:szCs w:val="18"/>
        </w:rPr>
        <w:t xml:space="preserve">ENVIRONMENT AGENCY (2011) H1 Environmental Risk Assessment framework: Annex J – Groundwater </w:t>
      </w:r>
      <w:hyperlink r:id="rId137" w:history="1">
        <w:r w:rsidRPr="00C35056">
          <w:rPr>
            <w:rFonts w:cs="Arial"/>
            <w:sz w:val="18"/>
            <w:szCs w:val="18"/>
          </w:rPr>
          <w:t>https://www.gov.uk/government/uploads/system/uploads/attachment_data/file/298242/geho0410bsip-e-e.pdf</w:t>
        </w:r>
      </w:hyperlink>
      <w:r w:rsidRPr="00C35056">
        <w:rPr>
          <w:sz w:val="18"/>
          <w:szCs w:val="18"/>
        </w:rPr>
        <w:t xml:space="preserve"> </w:t>
      </w:r>
    </w:p>
    <w:p w14:paraId="0AC07A30" w14:textId="77777777" w:rsidR="00D4090D" w:rsidRPr="00C35056" w:rsidRDefault="00D4090D" w:rsidP="00D4090D">
      <w:pPr>
        <w:rPr>
          <w:sz w:val="18"/>
          <w:szCs w:val="18"/>
        </w:rPr>
      </w:pPr>
      <w:r w:rsidRPr="00C35056">
        <w:rPr>
          <w:sz w:val="18"/>
          <w:szCs w:val="18"/>
        </w:rPr>
        <w:t xml:space="preserve">ENVIRONMENT AGENCY (2013) “An Environmental Risk Assessment for shale gas exploratory operations in England” </w:t>
      </w:r>
      <w:hyperlink r:id="rId138" w:history="1">
        <w:r w:rsidRPr="00C35056">
          <w:rPr>
            <w:rFonts w:cs="Arial"/>
            <w:sz w:val="18"/>
            <w:szCs w:val="18"/>
          </w:rPr>
          <w:t>https://www.gov.uk/government/uploads/system/uploads/attachment_data/file/296949/LIT_8474_fbb1d4.pdf</w:t>
        </w:r>
      </w:hyperlink>
      <w:r w:rsidRPr="00C35056">
        <w:rPr>
          <w:sz w:val="18"/>
          <w:szCs w:val="18"/>
        </w:rPr>
        <w:t xml:space="preserve"> </w:t>
      </w:r>
    </w:p>
    <w:p w14:paraId="151C418E" w14:textId="77777777" w:rsidR="00D4090D" w:rsidRPr="00C35056" w:rsidRDefault="00D4090D" w:rsidP="00D4090D">
      <w:pPr>
        <w:rPr>
          <w:sz w:val="18"/>
          <w:szCs w:val="18"/>
        </w:rPr>
      </w:pPr>
      <w:r w:rsidRPr="00C35056">
        <w:rPr>
          <w:sz w:val="18"/>
          <w:szCs w:val="18"/>
        </w:rPr>
        <w:t xml:space="preserve">EPA OFFICE OF RESEARCH &amp; DEVELOPMENT (2012) Study of the Potential Impacts of Hydraulic Fracturing on Drinking Water Resources: Progress Report </w:t>
      </w:r>
      <w:hyperlink r:id="rId139" w:history="1">
        <w:r w:rsidRPr="00C35056">
          <w:rPr>
            <w:sz w:val="18"/>
            <w:szCs w:val="18"/>
          </w:rPr>
          <w:t>http://www2.epa.gov/sites/production/files/documents/hf-report20121214.pdf</w:t>
        </w:r>
      </w:hyperlink>
      <w:r w:rsidRPr="00C35056">
        <w:rPr>
          <w:sz w:val="18"/>
          <w:szCs w:val="18"/>
        </w:rPr>
        <w:t xml:space="preserve"> </w:t>
      </w:r>
    </w:p>
    <w:p w14:paraId="780BAE50" w14:textId="77777777" w:rsidR="00D4090D" w:rsidRPr="00C35056" w:rsidRDefault="00D4090D" w:rsidP="00D4090D">
      <w:pPr>
        <w:rPr>
          <w:sz w:val="18"/>
          <w:szCs w:val="18"/>
        </w:rPr>
      </w:pPr>
      <w:r w:rsidRPr="00C35056">
        <w:rPr>
          <w:sz w:val="18"/>
          <w:szCs w:val="18"/>
        </w:rPr>
        <w:t>EVANS &amp; PECK (2009) Bickham Coal WRA &amp; draft WMP Appendix 3: Surface Water and Groundwater Risk Assessment</w:t>
      </w:r>
    </w:p>
    <w:p w14:paraId="732B2912" w14:textId="536BA21D" w:rsidR="00D4090D" w:rsidRPr="00C35056" w:rsidRDefault="00D4090D" w:rsidP="00D4090D">
      <w:pPr>
        <w:rPr>
          <w:sz w:val="18"/>
          <w:szCs w:val="18"/>
        </w:rPr>
      </w:pPr>
      <w:r w:rsidRPr="00C35056">
        <w:rPr>
          <w:sz w:val="18"/>
          <w:szCs w:val="18"/>
        </w:rPr>
        <w:t xml:space="preserve">EWEN, C., BORCHARDT, D., RICHTER, S., &amp; HAMMERBACHER, R., (2012) Hydrofracking Risk Assessment Executive Summary: Study concerning the safety and environmental compatibility of hydrofracking for natural gas production from unconventional reservoirs </w:t>
      </w:r>
      <w:hyperlink r:id="rId140" w:history="1">
        <w:r w:rsidRPr="00C35056">
          <w:rPr>
            <w:sz w:val="18"/>
            <w:szCs w:val="18"/>
          </w:rPr>
          <w:t>http://dialog-erdgasundfrac.de/sites/dialog-erdgasundfrac.de/files/Ex_HydrofrackingRiskAssessment_120611.pdf</w:t>
        </w:r>
      </w:hyperlink>
      <w:r w:rsidRPr="00C35056">
        <w:rPr>
          <w:sz w:val="18"/>
          <w:szCs w:val="18"/>
        </w:rPr>
        <w:t xml:space="preserve"> </w:t>
      </w:r>
    </w:p>
    <w:p w14:paraId="59D39B09" w14:textId="77777777" w:rsidR="00D4090D" w:rsidRPr="00C35056" w:rsidRDefault="00D4090D" w:rsidP="00D4090D">
      <w:pPr>
        <w:ind w:left="284" w:hanging="284"/>
        <w:rPr>
          <w:sz w:val="18"/>
          <w:szCs w:val="18"/>
        </w:rPr>
      </w:pPr>
      <w:r w:rsidRPr="00C35056">
        <w:rPr>
          <w:sz w:val="18"/>
          <w:szCs w:val="18"/>
        </w:rPr>
        <w:t>FISHER, J.B. (n.d.) Environmental Issues and Challenges In Coal Bed Methane Production</w:t>
      </w:r>
    </w:p>
    <w:p w14:paraId="25EFA015" w14:textId="77777777" w:rsidR="00D4090D" w:rsidRPr="00C35056" w:rsidRDefault="00D4090D" w:rsidP="00D4090D">
      <w:pPr>
        <w:rPr>
          <w:sz w:val="18"/>
          <w:szCs w:val="18"/>
        </w:rPr>
      </w:pPr>
      <w:r w:rsidRPr="00C35056">
        <w:rPr>
          <w:sz w:val="18"/>
          <w:szCs w:val="18"/>
        </w:rPr>
        <w:t xml:space="preserve">GEOSCIENCE AUSTRALIA AND BREE, 2012, Australian Gas Resource Assessment 2012, Canberra </w:t>
      </w:r>
      <w:hyperlink r:id="rId141" w:history="1">
        <w:r w:rsidRPr="00C35056">
          <w:rPr>
            <w:sz w:val="18"/>
            <w:szCs w:val="18"/>
          </w:rPr>
          <w:t>http://www.ga.gov.au/webtemp/image_cache/GA21116.pdf</w:t>
        </w:r>
      </w:hyperlink>
      <w:r w:rsidRPr="00C35056">
        <w:rPr>
          <w:sz w:val="18"/>
          <w:szCs w:val="18"/>
        </w:rPr>
        <w:t xml:space="preserve"> </w:t>
      </w:r>
    </w:p>
    <w:p w14:paraId="74DD0A1C" w14:textId="77777777" w:rsidR="00D4090D" w:rsidRPr="00C35056" w:rsidRDefault="00D4090D" w:rsidP="00D4090D">
      <w:pPr>
        <w:rPr>
          <w:sz w:val="18"/>
          <w:szCs w:val="18"/>
        </w:rPr>
      </w:pPr>
      <w:r w:rsidRPr="00C35056">
        <w:rPr>
          <w:sz w:val="18"/>
          <w:szCs w:val="18"/>
        </w:rPr>
        <w:t xml:space="preserve">GOLDER ASSOCIATES (2009) Santos GLNG Project – Arcadia, Fairview, Roma coal seam gas Fields: Groundwater and Associated Water Management Impact Assessment </w:t>
      </w:r>
      <w:hyperlink r:id="rId142" w:history="1">
        <w:r w:rsidRPr="00C35056">
          <w:rPr>
            <w:rFonts w:cs="Arial"/>
            <w:sz w:val="18"/>
            <w:szCs w:val="18"/>
          </w:rPr>
          <w:t>http://www.santosglng.com/media/pdf1597/AttachmentD2_Groundwater.pdf</w:t>
        </w:r>
      </w:hyperlink>
      <w:r w:rsidRPr="00C35056">
        <w:rPr>
          <w:sz w:val="18"/>
          <w:szCs w:val="18"/>
        </w:rPr>
        <w:t xml:space="preserve"> </w:t>
      </w:r>
    </w:p>
    <w:p w14:paraId="5ED9D51F" w14:textId="77777777" w:rsidR="00D4090D" w:rsidRPr="00C35056" w:rsidRDefault="00D4090D" w:rsidP="00D4090D">
      <w:pPr>
        <w:rPr>
          <w:sz w:val="18"/>
          <w:szCs w:val="18"/>
        </w:rPr>
      </w:pPr>
      <w:r w:rsidRPr="00C35056">
        <w:rPr>
          <w:sz w:val="18"/>
          <w:szCs w:val="18"/>
        </w:rPr>
        <w:t xml:space="preserve">GOLDER ASSOCIATES (2010) Coal Seam Hydraulic Fracturing Fluid Environmental Risk Assessment. Response to the Coordinator – General Requirements for Coal Seam Gas Operations in the Surat and Bowen Basins, Queensland </w:t>
      </w:r>
      <w:hyperlink r:id="rId143" w:history="1">
        <w:r w:rsidRPr="00C35056">
          <w:rPr>
            <w:rFonts w:cs="Arial"/>
            <w:sz w:val="18"/>
            <w:szCs w:val="18"/>
          </w:rPr>
          <w:t>http://www.santos.com/library/Roma_Shallow_Gas_East_EMP_AppD.pdf</w:t>
        </w:r>
      </w:hyperlink>
      <w:r w:rsidRPr="00C35056">
        <w:rPr>
          <w:sz w:val="18"/>
          <w:szCs w:val="18"/>
        </w:rPr>
        <w:t xml:space="preserve"> </w:t>
      </w:r>
    </w:p>
    <w:p w14:paraId="65D1F754" w14:textId="77777777" w:rsidR="00D4090D" w:rsidRPr="00C35056" w:rsidRDefault="00D4090D" w:rsidP="00D4090D">
      <w:pPr>
        <w:rPr>
          <w:sz w:val="18"/>
          <w:szCs w:val="18"/>
        </w:rPr>
      </w:pPr>
      <w:r w:rsidRPr="00C35056">
        <w:rPr>
          <w:sz w:val="18"/>
          <w:szCs w:val="18"/>
        </w:rPr>
        <w:t>GOLDER ASSOCIATES (2014) (Presentation on) Impacts of Mining on GDEs and Groundwater Quality, Groundwater in Mining, Adelaide 2 May 2014</w:t>
      </w:r>
    </w:p>
    <w:p w14:paraId="430A2F07" w14:textId="545F8306" w:rsidR="00D4090D" w:rsidRPr="00C35056" w:rsidRDefault="00D4090D" w:rsidP="00D4090D">
      <w:pPr>
        <w:rPr>
          <w:sz w:val="18"/>
          <w:szCs w:val="18"/>
        </w:rPr>
      </w:pPr>
      <w:r w:rsidRPr="00C35056">
        <w:rPr>
          <w:sz w:val="18"/>
          <w:szCs w:val="18"/>
        </w:rPr>
        <w:t xml:space="preserve">HEALTH &amp; SAFETY EXECUTIVE (HSE Information sheet: Guidance on Risk Assessment for Offshore Installations  </w:t>
      </w:r>
      <w:r w:rsidRPr="00C35056">
        <w:rPr>
          <w:sz w:val="18"/>
          <w:szCs w:val="18"/>
        </w:rPr>
        <w:cr/>
        <w:t xml:space="preserve"> </w:t>
      </w:r>
      <w:hyperlink r:id="rId144" w:history="1">
        <w:r w:rsidRPr="00C35056">
          <w:rPr>
            <w:rFonts w:cs="Arial"/>
            <w:sz w:val="18"/>
            <w:szCs w:val="18"/>
          </w:rPr>
          <w:t>http://www.hse.gov.uk/offshore/sheet32006.pdf</w:t>
        </w:r>
      </w:hyperlink>
      <w:r w:rsidRPr="00C35056">
        <w:rPr>
          <w:sz w:val="18"/>
          <w:szCs w:val="18"/>
        </w:rPr>
        <w:t xml:space="preserve"> </w:t>
      </w:r>
    </w:p>
    <w:p w14:paraId="78BAED64" w14:textId="77777777" w:rsidR="00D4090D" w:rsidRPr="00C35056" w:rsidRDefault="00D4090D" w:rsidP="00D4090D">
      <w:pPr>
        <w:rPr>
          <w:sz w:val="18"/>
          <w:szCs w:val="18"/>
        </w:rPr>
      </w:pPr>
      <w:r w:rsidRPr="00C35056">
        <w:rPr>
          <w:sz w:val="18"/>
          <w:szCs w:val="18"/>
        </w:rPr>
        <w:t>HEALTH &amp; SAFETY EXECUTIVE (n.d.) HSE Shale Gas Regulation, available online: http://www.hse.gov.uk/shale-gas/assets/docs/shale-gas.pdf</w:t>
      </w:r>
    </w:p>
    <w:p w14:paraId="36320AF7" w14:textId="77777777" w:rsidR="00D4090D" w:rsidRPr="00C35056" w:rsidRDefault="00367954" w:rsidP="00D4090D">
      <w:pPr>
        <w:ind w:left="284" w:hanging="284"/>
        <w:rPr>
          <w:sz w:val="18"/>
          <w:szCs w:val="18"/>
        </w:rPr>
      </w:pPr>
      <w:hyperlink r:id="rId145" w:history="1">
        <w:r w:rsidR="00D4090D" w:rsidRPr="00C35056">
          <w:rPr>
            <w:sz w:val="18"/>
            <w:szCs w:val="18"/>
          </w:rPr>
          <w:t>http://www.nopsema.gov.au/assets/Guidance-notes/N-04300-GN0165-Risk-Assessment.pdf</w:t>
        </w:r>
      </w:hyperlink>
      <w:r w:rsidR="00D4090D" w:rsidRPr="00C35056">
        <w:rPr>
          <w:sz w:val="18"/>
          <w:szCs w:val="18"/>
        </w:rPr>
        <w:t xml:space="preserve"> </w:t>
      </w:r>
    </w:p>
    <w:p w14:paraId="38DB8677" w14:textId="77777777" w:rsidR="00D4090D" w:rsidRPr="00C35056" w:rsidRDefault="00D4090D" w:rsidP="00D4090D">
      <w:pPr>
        <w:rPr>
          <w:rFonts w:cs="Arial"/>
          <w:sz w:val="18"/>
          <w:szCs w:val="18"/>
        </w:rPr>
      </w:pPr>
      <w:r w:rsidRPr="00C35056">
        <w:rPr>
          <w:rFonts w:cs="Arial"/>
          <w:sz w:val="18"/>
          <w:szCs w:val="18"/>
        </w:rPr>
        <w:t xml:space="preserve">HUNTER, T. AND TAYLOR, M. (n.d.) Regulatory Best Practice for coal seam gas in Qld: A Briefing Paper </w:t>
      </w:r>
      <w:hyperlink r:id="rId146" w:history="1">
        <w:r w:rsidRPr="00C35056">
          <w:rPr>
            <w:rFonts w:cs="Arial"/>
            <w:sz w:val="18"/>
            <w:szCs w:val="18"/>
          </w:rPr>
          <w:t>http://www.law.uq.edu.au/documents/cimel/Regulatory-Best-Practice-for-Coal-Seam-Gas-in-Queensland-Briefing-Paper.pdf</w:t>
        </w:r>
      </w:hyperlink>
      <w:r w:rsidRPr="00C35056">
        <w:rPr>
          <w:rFonts w:cs="Arial"/>
          <w:sz w:val="18"/>
          <w:szCs w:val="18"/>
        </w:rPr>
        <w:t xml:space="preserve"> </w:t>
      </w:r>
    </w:p>
    <w:p w14:paraId="58C249D0" w14:textId="77777777" w:rsidR="00D4090D" w:rsidRPr="00C35056" w:rsidRDefault="00D4090D" w:rsidP="00D4090D">
      <w:pPr>
        <w:rPr>
          <w:sz w:val="18"/>
          <w:szCs w:val="18"/>
        </w:rPr>
      </w:pPr>
      <w:r w:rsidRPr="00C35056">
        <w:rPr>
          <w:sz w:val="18"/>
          <w:szCs w:val="18"/>
        </w:rPr>
        <w:t xml:space="preserve">IESC (2013) Information Guidelines for Independent Expert Scientific Committee advice on coal seam gas and large coal mining development proposals </w:t>
      </w:r>
      <w:hyperlink r:id="rId147" w:history="1">
        <w:r w:rsidRPr="00C35056">
          <w:rPr>
            <w:sz w:val="18"/>
            <w:szCs w:val="18"/>
          </w:rPr>
          <w:t>http://www.iesc.environment.gov.au/publications/information-guidelines-independent-expert-scientific-committee-advice-coal-seam-gas</w:t>
        </w:r>
      </w:hyperlink>
      <w:r w:rsidRPr="00C35056">
        <w:rPr>
          <w:sz w:val="18"/>
          <w:szCs w:val="18"/>
        </w:rPr>
        <w:t xml:space="preserve"> </w:t>
      </w:r>
    </w:p>
    <w:p w14:paraId="30968E73" w14:textId="77777777" w:rsidR="00D4090D" w:rsidRPr="00C35056" w:rsidRDefault="00D4090D" w:rsidP="00D4090D">
      <w:pPr>
        <w:ind w:left="284" w:hanging="284"/>
        <w:rPr>
          <w:sz w:val="18"/>
          <w:szCs w:val="18"/>
        </w:rPr>
      </w:pPr>
      <w:r w:rsidRPr="00C35056">
        <w:rPr>
          <w:sz w:val="18"/>
          <w:szCs w:val="18"/>
        </w:rPr>
        <w:t>IESC (2014b) Coal seam gas extraction: modelling groundwater impacts</w:t>
      </w:r>
    </w:p>
    <w:p w14:paraId="1AE39C1C" w14:textId="77777777" w:rsidR="00D4090D" w:rsidRPr="00C35056" w:rsidRDefault="00D4090D" w:rsidP="00D4090D">
      <w:pPr>
        <w:ind w:left="284" w:hanging="284"/>
        <w:rPr>
          <w:sz w:val="18"/>
          <w:szCs w:val="18"/>
        </w:rPr>
      </w:pPr>
      <w:r w:rsidRPr="00C35056">
        <w:rPr>
          <w:sz w:val="18"/>
          <w:szCs w:val="18"/>
        </w:rPr>
        <w:t xml:space="preserve">Impact of Shale Gas Development on Regional Water Quality, </w:t>
      </w:r>
      <w:r w:rsidRPr="00C35056">
        <w:rPr>
          <w:i/>
          <w:sz w:val="18"/>
          <w:szCs w:val="18"/>
        </w:rPr>
        <w:t xml:space="preserve">Science, </w:t>
      </w:r>
      <w:r w:rsidRPr="00C35056">
        <w:rPr>
          <w:sz w:val="18"/>
          <w:szCs w:val="18"/>
        </w:rPr>
        <w:t>17 May 2013</w:t>
      </w:r>
    </w:p>
    <w:p w14:paraId="28E898D8" w14:textId="1E233BAE" w:rsidR="00D4090D" w:rsidRPr="00C35056" w:rsidRDefault="00D4090D" w:rsidP="00D4090D">
      <w:pPr>
        <w:rPr>
          <w:sz w:val="18"/>
          <w:szCs w:val="18"/>
        </w:rPr>
      </w:pPr>
      <w:r w:rsidRPr="00C35056">
        <w:rPr>
          <w:sz w:val="18"/>
          <w:szCs w:val="18"/>
        </w:rPr>
        <w:t xml:space="preserve">INTERNATIONAL ENERGY AGENCY (2012) Golden Rules for Golden Age of Gas: World Energy Outlook Special Report on Unconventional Gas  </w:t>
      </w:r>
      <w:hyperlink r:id="rId148" w:history="1">
        <w:r w:rsidRPr="00C35056">
          <w:rPr>
            <w:rFonts w:cs="Arial"/>
            <w:sz w:val="18"/>
            <w:szCs w:val="18"/>
          </w:rPr>
          <w:t>http://www.worldenergyoutlook.org/media/weowebsite/2012/goldenrules/weo2012_goldenrulesreport.pdf</w:t>
        </w:r>
      </w:hyperlink>
      <w:r w:rsidRPr="00C35056">
        <w:rPr>
          <w:sz w:val="18"/>
          <w:szCs w:val="18"/>
        </w:rPr>
        <w:t xml:space="preserve"> </w:t>
      </w:r>
    </w:p>
    <w:p w14:paraId="7E3C528F" w14:textId="77777777" w:rsidR="00D4090D" w:rsidRPr="00C35056" w:rsidRDefault="00D4090D" w:rsidP="00D4090D">
      <w:pPr>
        <w:rPr>
          <w:sz w:val="18"/>
          <w:szCs w:val="18"/>
        </w:rPr>
      </w:pPr>
      <w:r w:rsidRPr="00C35056">
        <w:rPr>
          <w:sz w:val="18"/>
          <w:szCs w:val="18"/>
          <w:shd w:val="clear" w:color="auto" w:fill="FFFFFF"/>
        </w:rPr>
        <w:t xml:space="preserve">JACKSON et al. (2013) Issue Paper: Groundwater Protection and Unconventional Gas Extraction: The Critical Need for Field-Based Hydrogeological Research, </w:t>
      </w:r>
      <w:r w:rsidRPr="00C35056">
        <w:rPr>
          <w:i/>
          <w:sz w:val="18"/>
          <w:szCs w:val="18"/>
          <w:shd w:val="clear" w:color="auto" w:fill="FFFFFF"/>
        </w:rPr>
        <w:t xml:space="preserve">Groundwater, </w:t>
      </w:r>
      <w:r w:rsidRPr="00C35056">
        <w:rPr>
          <w:sz w:val="18"/>
          <w:szCs w:val="18"/>
          <w:shd w:val="clear" w:color="auto" w:fill="FFFFFF"/>
        </w:rPr>
        <w:t xml:space="preserve">51 (4): 488-510 </w:t>
      </w:r>
      <w:hyperlink r:id="rId149" w:history="1">
        <w:r w:rsidRPr="00C35056">
          <w:rPr>
            <w:rFonts w:cs="Arial"/>
            <w:bCs/>
            <w:sz w:val="18"/>
            <w:szCs w:val="18"/>
            <w:shd w:val="clear" w:color="auto" w:fill="FFFFFF"/>
          </w:rPr>
          <w:t>http://onlinelibrary.wiley.com/doi/10.1111/gwat.12074/abstract?deniedAccessCustomisedMessage=&amp;userIsAuthenticated=false</w:t>
        </w:r>
      </w:hyperlink>
      <w:r w:rsidRPr="00C35056">
        <w:rPr>
          <w:sz w:val="18"/>
          <w:szCs w:val="18"/>
          <w:shd w:val="clear" w:color="auto" w:fill="FFFFFF"/>
        </w:rPr>
        <w:t xml:space="preserve"> </w:t>
      </w:r>
    </w:p>
    <w:p w14:paraId="6B382BB6" w14:textId="77777777" w:rsidR="00D4090D" w:rsidRPr="00C35056" w:rsidRDefault="00D4090D" w:rsidP="00D4090D">
      <w:pPr>
        <w:rPr>
          <w:rFonts w:cs="Arial"/>
          <w:sz w:val="18"/>
          <w:szCs w:val="18"/>
        </w:rPr>
      </w:pPr>
      <w:r w:rsidRPr="00C35056">
        <w:rPr>
          <w:sz w:val="18"/>
          <w:szCs w:val="18"/>
        </w:rPr>
        <w:t>LANDIS, W.G. (2004)</w:t>
      </w:r>
      <w:r w:rsidRPr="00C35056">
        <w:rPr>
          <w:b/>
          <w:sz w:val="18"/>
          <w:szCs w:val="18"/>
        </w:rPr>
        <w:t xml:space="preserve"> </w:t>
      </w:r>
      <w:r w:rsidRPr="00C35056">
        <w:rPr>
          <w:sz w:val="18"/>
          <w:szCs w:val="18"/>
        </w:rPr>
        <w:t xml:space="preserve">Regional Scale Ecological Risk Assessment: Using the Relative Risk Model, CRC Press </w:t>
      </w:r>
      <w:hyperlink r:id="rId150" w:anchor="v=onepage&amp;q=risk%20assessment%20receptors&amp;f=false" w:history="1">
        <w:r w:rsidRPr="00C35056">
          <w:rPr>
            <w:rFonts w:cs="Arial"/>
            <w:sz w:val="18"/>
            <w:szCs w:val="18"/>
          </w:rPr>
          <w:t>http://books.google.com.au/books?id=-gdO-NF1bb0C&amp;pg=PA13&amp;lpg=PA13&amp;dq=risk+assessment+receptors&amp;source=bl&amp;ots=aUpZ8IWfVs&amp;sig=UmB8O19JbhOWKiYJMQqYIVyIpzs&amp;hl=en&amp;sa=X&amp;ei=u3JIVMSbNsS5mwXAgoLwAw&amp;ved=0CE0Q6AEwCA#v=onepage&amp;q=risk%20assessment%20receptors&amp;f=false</w:t>
        </w:r>
      </w:hyperlink>
    </w:p>
    <w:p w14:paraId="64F1D762" w14:textId="77777777" w:rsidR="00D4090D" w:rsidRPr="00C35056" w:rsidRDefault="00D4090D" w:rsidP="00D4090D">
      <w:pPr>
        <w:rPr>
          <w:sz w:val="18"/>
          <w:szCs w:val="18"/>
        </w:rPr>
      </w:pPr>
      <w:r w:rsidRPr="00C35056">
        <w:rPr>
          <w:sz w:val="18"/>
          <w:szCs w:val="18"/>
        </w:rPr>
        <w:t>MAATHUIS, H. AND SIMPSON, M. (2006) Groundwater Resources in the Yorkton Aquifer Management Plan Area: Final Report, Saskatchewan Research Council, SRC Publication No. 10419-1E06, June 2006.</w:t>
      </w:r>
    </w:p>
    <w:p w14:paraId="2CE0A498" w14:textId="6337033B" w:rsidR="00D4090D" w:rsidRPr="00C35056" w:rsidRDefault="00D4090D" w:rsidP="00D4090D">
      <w:pPr>
        <w:rPr>
          <w:sz w:val="18"/>
          <w:szCs w:val="18"/>
        </w:rPr>
      </w:pPr>
      <w:r w:rsidRPr="00C35056">
        <w:rPr>
          <w:sz w:val="18"/>
          <w:szCs w:val="18"/>
        </w:rPr>
        <w:t xml:space="preserve">MARYLAND DEPARTMENT OF ENVIRONMENT (2014) Assessment of risks from unconventional gas well development in the Marcellus Shale of Western Maryland. Appendix G Water Withdrawal and H: Wells &amp; Formations </w:t>
      </w:r>
      <w:hyperlink r:id="rId151" w:history="1">
        <w:r w:rsidRPr="00C35056">
          <w:rPr>
            <w:sz w:val="18"/>
            <w:szCs w:val="18"/>
          </w:rPr>
          <w:t>http://www.mde.state.md.us/programs/Land/mining/marcellus/Pages/Risk_Assessment.aspx</w:t>
        </w:r>
      </w:hyperlink>
      <w:r w:rsidRPr="00C35056">
        <w:rPr>
          <w:sz w:val="18"/>
          <w:szCs w:val="18"/>
        </w:rPr>
        <w:t xml:space="preserve"> </w:t>
      </w:r>
    </w:p>
    <w:p w14:paraId="41171477" w14:textId="77777777" w:rsidR="00D4090D" w:rsidRPr="00C35056" w:rsidRDefault="00D4090D" w:rsidP="00D4090D">
      <w:pPr>
        <w:rPr>
          <w:sz w:val="18"/>
          <w:szCs w:val="18"/>
        </w:rPr>
      </w:pPr>
      <w:r w:rsidRPr="00C35056">
        <w:rPr>
          <w:sz w:val="18"/>
          <w:szCs w:val="18"/>
        </w:rPr>
        <w:t>MONTANA BUREAU OF MINES &amp; GEOLOGY (2002) Potential Ground-Water Drawdown and Recovery from Coalbed Methane Development in the Powder River Basin, Montana. Project Completion Report to the U. S. Bureau of Land Management</w:t>
      </w:r>
      <w:r w:rsidRPr="00C35056">
        <w:rPr>
          <w:sz w:val="18"/>
          <w:szCs w:val="18"/>
        </w:rPr>
        <w:cr/>
      </w:r>
      <w:hyperlink r:id="rId152" w:history="1">
        <w:r w:rsidRPr="00C35056">
          <w:rPr>
            <w:sz w:val="18"/>
            <w:szCs w:val="18"/>
          </w:rPr>
          <w:t>http://www.blm.gov/pgdata/etc/medialib/blm/mt/field_offices/miles_city/og_eis/techdocs.Par.2601</w:t>
        </w:r>
      </w:hyperlink>
    </w:p>
    <w:p w14:paraId="2D78EA61" w14:textId="77777777" w:rsidR="00D4090D" w:rsidRPr="00C35056" w:rsidRDefault="00D4090D" w:rsidP="00D4090D">
      <w:pPr>
        <w:rPr>
          <w:sz w:val="18"/>
          <w:szCs w:val="18"/>
        </w:rPr>
      </w:pPr>
      <w:r w:rsidRPr="00C35056">
        <w:rPr>
          <w:sz w:val="18"/>
          <w:szCs w:val="18"/>
        </w:rPr>
        <w:t xml:space="preserve">MORAN, C. AND VINK, S. (2010)  Assessment of impacts of the proposed coal seam gas operations on surface and groundwater systems in the Murray-Darling Basin, commissioned by Department of Sustainability, Environment, Water, Population and Communities </w:t>
      </w:r>
      <w:hyperlink r:id="rId153" w:history="1">
        <w:r w:rsidRPr="00C35056">
          <w:rPr>
            <w:rFonts w:cs="Arial"/>
            <w:sz w:val="18"/>
            <w:szCs w:val="18"/>
          </w:rPr>
          <w:t>http://www.environment.gov.au/epbc/notices/assessments/pubs/coal-seam-gas-operations-impacts.pdf</w:t>
        </w:r>
      </w:hyperlink>
      <w:r w:rsidRPr="00C35056">
        <w:rPr>
          <w:sz w:val="18"/>
          <w:szCs w:val="18"/>
        </w:rPr>
        <w:t xml:space="preserve"> </w:t>
      </w:r>
    </w:p>
    <w:p w14:paraId="12C45A37" w14:textId="77777777" w:rsidR="00D4090D" w:rsidRPr="00C35056" w:rsidRDefault="00D4090D" w:rsidP="00D4090D">
      <w:pPr>
        <w:rPr>
          <w:sz w:val="18"/>
          <w:szCs w:val="18"/>
        </w:rPr>
      </w:pPr>
      <w:r w:rsidRPr="00C35056">
        <w:rPr>
          <w:sz w:val="18"/>
          <w:szCs w:val="18"/>
        </w:rPr>
        <w:t xml:space="preserve">MYERS, T (2012) Potential Contaminant pathways from Hydraulically Fractured Shale to Aquifers, </w:t>
      </w:r>
      <w:r w:rsidRPr="00C35056">
        <w:rPr>
          <w:i/>
          <w:sz w:val="18"/>
          <w:szCs w:val="18"/>
        </w:rPr>
        <w:t xml:space="preserve">Groundwater, </w:t>
      </w:r>
      <w:r w:rsidRPr="00C35056">
        <w:rPr>
          <w:sz w:val="18"/>
          <w:szCs w:val="18"/>
        </w:rPr>
        <w:t xml:space="preserve">50 (6): 872-882 </w:t>
      </w:r>
      <w:hyperlink r:id="rId154" w:history="1">
        <w:r w:rsidRPr="00C35056">
          <w:rPr>
            <w:rFonts w:cs="Arial"/>
            <w:sz w:val="18"/>
            <w:szCs w:val="18"/>
          </w:rPr>
          <w:t>http://onlinelibrary.wiley.com/doi/10.1111/j.1745-6584.2012.00933.x/full</w:t>
        </w:r>
      </w:hyperlink>
    </w:p>
    <w:p w14:paraId="11C5B4B1" w14:textId="77777777" w:rsidR="00D4090D" w:rsidRPr="00C35056" w:rsidRDefault="00D4090D" w:rsidP="00D4090D">
      <w:pPr>
        <w:rPr>
          <w:sz w:val="18"/>
          <w:szCs w:val="18"/>
        </w:rPr>
      </w:pPr>
      <w:r w:rsidRPr="00C35056">
        <w:rPr>
          <w:sz w:val="18"/>
          <w:szCs w:val="18"/>
        </w:rPr>
        <w:t xml:space="preserve">NATIONAL CONFERENCE OF STATE LEGISLATURES (2012) Natural Gas Development and Hydraulic Fracturing: A policymaker’s guide </w:t>
      </w:r>
      <w:hyperlink r:id="rId155" w:history="1">
        <w:r w:rsidRPr="00C35056">
          <w:rPr>
            <w:sz w:val="18"/>
            <w:szCs w:val="18"/>
          </w:rPr>
          <w:t>http://www.ncsl.org/documents/energy/frackingguide_060512.pdf</w:t>
        </w:r>
      </w:hyperlink>
      <w:r w:rsidRPr="00C35056">
        <w:rPr>
          <w:sz w:val="18"/>
          <w:szCs w:val="18"/>
        </w:rPr>
        <w:t xml:space="preserve"> </w:t>
      </w:r>
    </w:p>
    <w:p w14:paraId="68B1B36E" w14:textId="77777777" w:rsidR="00D4090D" w:rsidRPr="00C35056" w:rsidRDefault="00D4090D" w:rsidP="00D4090D">
      <w:pPr>
        <w:rPr>
          <w:rFonts w:cs="Arial"/>
          <w:sz w:val="18"/>
          <w:szCs w:val="18"/>
        </w:rPr>
      </w:pPr>
      <w:r w:rsidRPr="00C35056">
        <w:rPr>
          <w:rFonts w:cs="Arial"/>
          <w:sz w:val="18"/>
          <w:szCs w:val="18"/>
        </w:rPr>
        <w:t xml:space="preserve">NATURAL ENGLAND (2011) “Green Leaves III” Guidelines for Environmental Risk Assessment &amp; Management, </w:t>
      </w:r>
      <w:hyperlink r:id="rId156" w:history="1">
        <w:r w:rsidRPr="00C35056">
          <w:rPr>
            <w:rFonts w:cs="Arial"/>
            <w:sz w:val="18"/>
            <w:szCs w:val="18"/>
          </w:rPr>
          <w:t>https://www.gov.uk/government/uploads/system/uploads/attachment_data/file/69450/pb13670-green-leaves-iii-1111071.pdf</w:t>
        </w:r>
      </w:hyperlink>
      <w:r w:rsidRPr="00C35056">
        <w:rPr>
          <w:rFonts w:cs="Arial"/>
          <w:sz w:val="18"/>
          <w:szCs w:val="18"/>
        </w:rPr>
        <w:t xml:space="preserve"> </w:t>
      </w:r>
    </w:p>
    <w:p w14:paraId="043D6798" w14:textId="77777777" w:rsidR="00D4090D" w:rsidRPr="00C35056" w:rsidRDefault="00D4090D" w:rsidP="00D4090D">
      <w:pPr>
        <w:rPr>
          <w:rFonts w:cs="Arial"/>
          <w:sz w:val="18"/>
          <w:szCs w:val="18"/>
        </w:rPr>
      </w:pPr>
      <w:r w:rsidRPr="00C35056">
        <w:rPr>
          <w:sz w:val="18"/>
          <w:szCs w:val="18"/>
        </w:rPr>
        <w:t xml:space="preserve">NATURAL RESOURCES CANADA (2013) “Responsible Shale Development – Enhancing the Knowledge Base on Shale oil and Gas in Canada”. Annex B: Shale Resources Compendium </w:t>
      </w:r>
      <w:hyperlink r:id="rId157" w:history="1">
        <w:r w:rsidRPr="00C35056">
          <w:rPr>
            <w:rFonts w:cs="Arial"/>
            <w:sz w:val="18"/>
            <w:szCs w:val="18"/>
          </w:rPr>
          <w:t>https://www.nrcan.gc.ca/sites/www.nrcan.gc.ca/files/www/pdf/publications/emmc/Shale_Resources_e.pdf</w:t>
        </w:r>
      </w:hyperlink>
    </w:p>
    <w:p w14:paraId="42BBE386" w14:textId="5083E053" w:rsidR="00D4090D" w:rsidRPr="00C35056" w:rsidRDefault="00D4090D" w:rsidP="00D4090D">
      <w:pPr>
        <w:rPr>
          <w:sz w:val="18"/>
          <w:szCs w:val="18"/>
        </w:rPr>
      </w:pPr>
      <w:r w:rsidRPr="00C35056">
        <w:rPr>
          <w:sz w:val="18"/>
          <w:szCs w:val="18"/>
        </w:rPr>
        <w:t xml:space="preserve">NEW YORK STATE DEPARTMENT OF ENVIRONMENTAL CONSERVATION (2009). Draft Supplemental Generic Environmental Impact Statement (SGEIS) on the Oil, Gas, and Solution Mining Regulatory Program. Albany, New York, USA: Chapter 6 Potential Environmental Impacts. NYSDEC. </w:t>
      </w:r>
      <w:hyperlink r:id="rId158" w:history="1">
        <w:r w:rsidRPr="00C35056">
          <w:rPr>
            <w:sz w:val="18"/>
            <w:szCs w:val="18"/>
          </w:rPr>
          <w:t>http://www.dec.ny.gov/energy/58440.html</w:t>
        </w:r>
      </w:hyperlink>
      <w:r w:rsidRPr="00C35056">
        <w:rPr>
          <w:sz w:val="18"/>
          <w:szCs w:val="18"/>
        </w:rPr>
        <w:t xml:space="preserve"> </w:t>
      </w:r>
    </w:p>
    <w:p w14:paraId="3D145316" w14:textId="6E41AD96" w:rsidR="00D4090D" w:rsidRPr="00C35056" w:rsidRDefault="00D4090D" w:rsidP="00D4090D">
      <w:pPr>
        <w:rPr>
          <w:sz w:val="18"/>
          <w:szCs w:val="18"/>
        </w:rPr>
      </w:pPr>
      <w:r w:rsidRPr="00C35056">
        <w:rPr>
          <w:sz w:val="18"/>
          <w:szCs w:val="18"/>
        </w:rPr>
        <w:t xml:space="preserve">NEW YORK STATE DEPARTMENT OF ENVIRONMENTAL CONSERVATION (2011). Revised Draft Supplemental Generic Environmental Impact Statement (RDSGEIS) on the Oil, Gas and Solution Mining Regulatory Program. Albany, New York, USA: Well Permit Issuance for Horizontal Drilling and High-Volume Hydraulic Fracturing to Develop the Marcellus Shale and Other Low-Permeability Gas Reservoirs. </w:t>
      </w:r>
      <w:hyperlink r:id="rId159" w:history="1">
        <w:r w:rsidRPr="00C35056">
          <w:rPr>
            <w:sz w:val="18"/>
            <w:szCs w:val="18"/>
          </w:rPr>
          <w:t>http://www.dec.ny.gov/data/dmn/rdsgeisfull0911.pdf</w:t>
        </w:r>
      </w:hyperlink>
      <w:r w:rsidRPr="00C35056">
        <w:rPr>
          <w:sz w:val="18"/>
          <w:szCs w:val="18"/>
        </w:rPr>
        <w:t xml:space="preserve"> </w:t>
      </w:r>
    </w:p>
    <w:p w14:paraId="4FC450CD" w14:textId="3C04C5C0" w:rsidR="00D4090D" w:rsidRPr="00C35056" w:rsidRDefault="00D4090D" w:rsidP="00D4090D">
      <w:pPr>
        <w:rPr>
          <w:sz w:val="18"/>
          <w:szCs w:val="18"/>
        </w:rPr>
      </w:pPr>
      <w:r w:rsidRPr="00C35056">
        <w:rPr>
          <w:sz w:val="18"/>
          <w:szCs w:val="18"/>
        </w:rPr>
        <w:t>NOBLE AND HARRIMAN (2008) Regional Strategic Environmental Assessment (R-SEA): Methodological Guidance and Good Practice. Environmental Assessment Task Group, Alberta Environment, Canadian Council of Ministers of Environment </w:t>
      </w:r>
      <w:hyperlink r:id="rId160" w:history="1">
        <w:r w:rsidRPr="00C35056">
          <w:rPr>
            <w:rFonts w:cs="Arial"/>
            <w:sz w:val="18"/>
            <w:szCs w:val="18"/>
          </w:rPr>
          <w:t>http://environment.gov.ab.ca/info/library/8181.pdf</w:t>
        </w:r>
      </w:hyperlink>
      <w:r w:rsidRPr="00C35056">
        <w:rPr>
          <w:sz w:val="18"/>
          <w:szCs w:val="18"/>
        </w:rPr>
        <w:t xml:space="preserve"> </w:t>
      </w:r>
    </w:p>
    <w:p w14:paraId="395CB232" w14:textId="77777777" w:rsidR="00D4090D" w:rsidRPr="00C35056" w:rsidRDefault="00D4090D" w:rsidP="005F6419">
      <w:pPr>
        <w:rPr>
          <w:sz w:val="18"/>
          <w:szCs w:val="18"/>
        </w:rPr>
      </w:pPr>
      <w:r w:rsidRPr="00C35056">
        <w:rPr>
          <w:sz w:val="18"/>
          <w:szCs w:val="18"/>
        </w:rPr>
        <w:t xml:space="preserve">NOPSEMA (2012) Hazard Identification Guidance Note, Revision 5 </w:t>
      </w:r>
      <w:hyperlink r:id="rId161" w:history="1">
        <w:r w:rsidRPr="00C35056">
          <w:rPr>
            <w:sz w:val="18"/>
            <w:szCs w:val="18"/>
          </w:rPr>
          <w:t>http://www.nopsema.gov.au/assets/Guidance-notes/N-04300-GN0107-Hazard-Identification.pdf</w:t>
        </w:r>
      </w:hyperlink>
      <w:r w:rsidRPr="00C35056">
        <w:rPr>
          <w:sz w:val="18"/>
          <w:szCs w:val="18"/>
        </w:rPr>
        <w:t xml:space="preserve"> </w:t>
      </w:r>
    </w:p>
    <w:p w14:paraId="342D0D51" w14:textId="77777777" w:rsidR="00D4090D" w:rsidRPr="00C35056" w:rsidRDefault="00D4090D" w:rsidP="00D4090D">
      <w:pPr>
        <w:ind w:left="284" w:hanging="284"/>
        <w:rPr>
          <w:sz w:val="18"/>
          <w:szCs w:val="18"/>
        </w:rPr>
      </w:pPr>
      <w:r w:rsidRPr="00C35056">
        <w:rPr>
          <w:sz w:val="18"/>
          <w:szCs w:val="18"/>
        </w:rPr>
        <w:t>NOPSEMA (2012) Risk Assessment Guidance Note, Revision 4</w:t>
      </w:r>
    </w:p>
    <w:p w14:paraId="3F64BE82" w14:textId="68AD40BC" w:rsidR="00D4090D" w:rsidRPr="00C35056" w:rsidRDefault="00D4090D" w:rsidP="00D4090D">
      <w:pPr>
        <w:rPr>
          <w:sz w:val="18"/>
          <w:szCs w:val="18"/>
        </w:rPr>
      </w:pPr>
      <w:r w:rsidRPr="00C35056">
        <w:rPr>
          <w:sz w:val="18"/>
          <w:szCs w:val="18"/>
        </w:rPr>
        <w:t xml:space="preserve">NSW CHIEF SCIENTIST &amp; ENGINEER (2014) Placement of monitoring equipment for water resources in NSW </w:t>
      </w:r>
      <w:hyperlink r:id="rId162" w:history="1">
        <w:r w:rsidRPr="00C35056">
          <w:rPr>
            <w:sz w:val="18"/>
            <w:szCs w:val="18"/>
          </w:rPr>
          <w:t>http://www.chiefscientist.nsw.gov.au/__data/assets/pdf_file/0007/47086/140630-FINAL-Monitoring-Report.pdf</w:t>
        </w:r>
      </w:hyperlink>
      <w:r w:rsidRPr="00C35056">
        <w:rPr>
          <w:sz w:val="18"/>
          <w:szCs w:val="18"/>
        </w:rPr>
        <w:t xml:space="preserve"> </w:t>
      </w:r>
    </w:p>
    <w:p w14:paraId="16ED5227" w14:textId="77777777" w:rsidR="00D4090D" w:rsidRPr="00C35056" w:rsidRDefault="00D4090D" w:rsidP="00D4090D">
      <w:pPr>
        <w:rPr>
          <w:sz w:val="18"/>
          <w:szCs w:val="18"/>
        </w:rPr>
      </w:pPr>
      <w:r w:rsidRPr="00C35056">
        <w:rPr>
          <w:sz w:val="18"/>
          <w:szCs w:val="18"/>
        </w:rPr>
        <w:t xml:space="preserve">NSW CHIEF SCIENTIST &amp; ENGINEER (2014) On measuring the cumulative impacts of activities which impact ground and surface water in the Sydney Water Catchment </w:t>
      </w:r>
    </w:p>
    <w:p w14:paraId="29755C3D" w14:textId="6CED074B" w:rsidR="00D4090D" w:rsidRPr="00C35056" w:rsidRDefault="00D4090D" w:rsidP="00D4090D">
      <w:pPr>
        <w:rPr>
          <w:sz w:val="18"/>
          <w:szCs w:val="18"/>
        </w:rPr>
      </w:pPr>
      <w:r w:rsidRPr="00C35056">
        <w:rPr>
          <w:sz w:val="18"/>
          <w:szCs w:val="18"/>
        </w:rPr>
        <w:t xml:space="preserve">NSW DEPARTMENT OF TRADE AND INVESTMENT, REGIONAL INFRASTRUCTURE AND SERVICES, RESOURCES &amp; ENERGY (2012) Code of Practice for coal seam gas: Well Integrity </w:t>
      </w:r>
      <w:hyperlink r:id="rId163" w:history="1">
        <w:r w:rsidRPr="00C35056">
          <w:rPr>
            <w:sz w:val="18"/>
            <w:szCs w:val="18"/>
          </w:rPr>
          <w:t>https://www.nsw.gov.au/sites/default/files/coal seam gas-wellintegrity_sd_v01.pdf</w:t>
        </w:r>
      </w:hyperlink>
      <w:r w:rsidRPr="00C35056">
        <w:rPr>
          <w:sz w:val="18"/>
          <w:szCs w:val="18"/>
        </w:rPr>
        <w:t xml:space="preserve"> </w:t>
      </w:r>
    </w:p>
    <w:p w14:paraId="1660613C" w14:textId="77777777" w:rsidR="00D4090D" w:rsidRPr="00C35056" w:rsidRDefault="00D4090D" w:rsidP="00D4090D">
      <w:pPr>
        <w:rPr>
          <w:sz w:val="18"/>
          <w:szCs w:val="18"/>
        </w:rPr>
      </w:pPr>
      <w:r w:rsidRPr="00C35056">
        <w:rPr>
          <w:sz w:val="18"/>
          <w:szCs w:val="18"/>
        </w:rPr>
        <w:t xml:space="preserve">NSW DPI OFFICE OF WATER (2013) Water and Coal Seam Gas: Fact Sheet 3 Regulation &amp; Monitoring </w:t>
      </w:r>
      <w:hyperlink r:id="rId164" w:history="1">
        <w:r w:rsidRPr="00C35056">
          <w:rPr>
            <w:rFonts w:cs="Arial"/>
            <w:sz w:val="18"/>
            <w:szCs w:val="18"/>
          </w:rPr>
          <w:t>file:///C:/Users/AHerford/Downloads/groundwater_coal_seam_gas_regulation_monitor.pdf</w:t>
        </w:r>
      </w:hyperlink>
      <w:r w:rsidRPr="00C35056">
        <w:rPr>
          <w:sz w:val="18"/>
          <w:szCs w:val="18"/>
        </w:rPr>
        <w:t xml:space="preserve"> </w:t>
      </w:r>
    </w:p>
    <w:p w14:paraId="0A7F02CE" w14:textId="6F326DB8" w:rsidR="00D4090D" w:rsidRPr="00C35056" w:rsidRDefault="00D4090D" w:rsidP="00D4090D">
      <w:pPr>
        <w:rPr>
          <w:sz w:val="18"/>
          <w:szCs w:val="18"/>
        </w:rPr>
      </w:pPr>
      <w:r w:rsidRPr="00C35056">
        <w:rPr>
          <w:sz w:val="18"/>
          <w:szCs w:val="18"/>
        </w:rPr>
        <w:t xml:space="preserve">NSW EPA (2012) “Guidelines for the Assessment and Management of Sites Impacted by Hazardous Ground Gases” </w:t>
      </w:r>
      <w:hyperlink r:id="rId165" w:history="1">
        <w:r w:rsidRPr="00C35056">
          <w:rPr>
            <w:rFonts w:cs="Arial"/>
            <w:sz w:val="18"/>
            <w:szCs w:val="18"/>
          </w:rPr>
          <w:t>http://www.epa.nsw.gov.au/resources/clm/120932GroundGas.pdf</w:t>
        </w:r>
      </w:hyperlink>
      <w:r w:rsidRPr="00C35056">
        <w:rPr>
          <w:sz w:val="18"/>
          <w:szCs w:val="18"/>
        </w:rPr>
        <w:t xml:space="preserve"> </w:t>
      </w:r>
    </w:p>
    <w:p w14:paraId="459B61AB" w14:textId="77777777" w:rsidR="00D4090D" w:rsidRPr="00C35056" w:rsidRDefault="00D4090D" w:rsidP="00D4090D">
      <w:pPr>
        <w:ind w:left="284" w:hanging="284"/>
        <w:rPr>
          <w:color w:val="000000"/>
          <w:sz w:val="18"/>
          <w:szCs w:val="18"/>
        </w:rPr>
      </w:pPr>
      <w:r w:rsidRPr="00C35056">
        <w:rPr>
          <w:color w:val="000000"/>
          <w:sz w:val="18"/>
          <w:szCs w:val="18"/>
        </w:rPr>
        <w:t>NSW EPA Risk assessment tool for licensing (</w:t>
      </w:r>
      <w:hyperlink r:id="rId166" w:tgtFrame="_blank" w:history="1">
        <w:r w:rsidRPr="00C35056">
          <w:rPr>
            <w:rFonts w:cs="Arial"/>
            <w:sz w:val="18"/>
            <w:szCs w:val="18"/>
          </w:rPr>
          <w:t>http://www.epa.nsw.gov.au/poeoraapp/default.aspx</w:t>
        </w:r>
      </w:hyperlink>
      <w:r w:rsidRPr="00C35056">
        <w:rPr>
          <w:color w:val="000000"/>
          <w:sz w:val="18"/>
          <w:szCs w:val="18"/>
        </w:rPr>
        <w:t>).</w:t>
      </w:r>
    </w:p>
    <w:p w14:paraId="74FEA5E0" w14:textId="77777777" w:rsidR="00D4090D" w:rsidRPr="00C35056" w:rsidRDefault="00D4090D" w:rsidP="00D4090D">
      <w:pPr>
        <w:rPr>
          <w:sz w:val="18"/>
          <w:szCs w:val="18"/>
        </w:rPr>
      </w:pPr>
      <w:r w:rsidRPr="00C35056">
        <w:rPr>
          <w:sz w:val="18"/>
          <w:szCs w:val="18"/>
        </w:rPr>
        <w:t xml:space="preserve">NSW GOVERNMENT (2014) NSW Gas Plan – Protecting what’s valuable, securing our future. </w:t>
      </w:r>
      <w:hyperlink r:id="rId167" w:history="1">
        <w:r w:rsidRPr="00C35056">
          <w:rPr>
            <w:rFonts w:cs="Arial"/>
            <w:sz w:val="18"/>
            <w:szCs w:val="18"/>
          </w:rPr>
          <w:t>http://www.resourcesandenergy.nsw.gov.au/__data/assets/pdf_file/0005/534830/NSW-Gas-Plan.pdf</w:t>
        </w:r>
      </w:hyperlink>
    </w:p>
    <w:p w14:paraId="682E6A86" w14:textId="77777777" w:rsidR="00D4090D" w:rsidRPr="00C35056" w:rsidRDefault="00D4090D" w:rsidP="00D4090D">
      <w:pPr>
        <w:rPr>
          <w:sz w:val="18"/>
          <w:szCs w:val="18"/>
        </w:rPr>
      </w:pPr>
      <w:r w:rsidRPr="00C35056">
        <w:rPr>
          <w:sz w:val="18"/>
          <w:szCs w:val="18"/>
        </w:rPr>
        <w:t xml:space="preserve">NSW GOVERNMENT CHIEF SCIENTIST &amp; ENGINEER (2014) Final Report of the Independent Review of Coal Seam Gas Activities in NSW </w:t>
      </w:r>
      <w:hyperlink r:id="rId168" w:history="1">
        <w:r w:rsidRPr="00C35056">
          <w:rPr>
            <w:rFonts w:cs="Arial"/>
            <w:sz w:val="18"/>
            <w:szCs w:val="18"/>
          </w:rPr>
          <w:t>http://www.chiefscientist.nsw.gov.au/__data/assets/pdf_file/0005/56912/140930-coal seam gas-Final-Report.pdf</w:t>
        </w:r>
      </w:hyperlink>
      <w:r w:rsidRPr="00C35056">
        <w:rPr>
          <w:sz w:val="18"/>
          <w:szCs w:val="18"/>
        </w:rPr>
        <w:t xml:space="preserve"> </w:t>
      </w:r>
    </w:p>
    <w:p w14:paraId="57B9831A" w14:textId="77777777" w:rsidR="00D4090D" w:rsidRPr="00C35056" w:rsidRDefault="00D4090D" w:rsidP="00D4090D">
      <w:pPr>
        <w:rPr>
          <w:sz w:val="18"/>
          <w:szCs w:val="18"/>
        </w:rPr>
      </w:pPr>
      <w:r w:rsidRPr="00C35056">
        <w:rPr>
          <w:sz w:val="18"/>
          <w:szCs w:val="18"/>
        </w:rPr>
        <w:t xml:space="preserve">NSW GOVERNMENT CHIEF SCIENTIST &amp; ENGINEER (2014) Independent Review of Coal Seam Gas Activities in NSW: Study of regulatory compliance systems and processes for coal seam gas </w:t>
      </w:r>
      <w:hyperlink r:id="rId169" w:history="1">
        <w:r w:rsidRPr="00C35056">
          <w:rPr>
            <w:rFonts w:cs="Arial"/>
            <w:sz w:val="18"/>
            <w:szCs w:val="18"/>
          </w:rPr>
          <w:t>http://www.chiefscientist.nsw.gov.au/__data/assets/pdf_file/0006/56913/140930-Final-Compliance-Report.pdf</w:t>
        </w:r>
      </w:hyperlink>
      <w:r w:rsidRPr="00C35056">
        <w:rPr>
          <w:sz w:val="18"/>
          <w:szCs w:val="18"/>
        </w:rPr>
        <w:t xml:space="preserve"> </w:t>
      </w:r>
    </w:p>
    <w:p w14:paraId="02E74FEB" w14:textId="77777777" w:rsidR="00D4090D" w:rsidRPr="00C35056" w:rsidRDefault="00D4090D" w:rsidP="00D4090D">
      <w:pPr>
        <w:rPr>
          <w:sz w:val="18"/>
          <w:szCs w:val="18"/>
        </w:rPr>
      </w:pPr>
      <w:r w:rsidRPr="00C35056">
        <w:rPr>
          <w:sz w:val="18"/>
          <w:szCs w:val="18"/>
        </w:rPr>
        <w:t xml:space="preserve">NSW OFFICE OF WATER (2012) NSW Aquifer Interference Policy </w:t>
      </w:r>
      <w:hyperlink r:id="rId170" w:history="1">
        <w:r w:rsidRPr="00C35056">
          <w:rPr>
            <w:sz w:val="18"/>
            <w:szCs w:val="18"/>
          </w:rPr>
          <w:t>http://www.resourcesandenergy.nsw.gov.au/__data/assets/pdf_file/0017/516113/nsw_aquifer_interference_policy.pdf</w:t>
        </w:r>
      </w:hyperlink>
      <w:r w:rsidRPr="00C35056">
        <w:rPr>
          <w:sz w:val="18"/>
          <w:szCs w:val="18"/>
        </w:rPr>
        <w:t xml:space="preserve"> </w:t>
      </w:r>
    </w:p>
    <w:p w14:paraId="7EF1AB2E" w14:textId="77777777" w:rsidR="00D4090D" w:rsidRPr="00C35056" w:rsidRDefault="00D4090D" w:rsidP="00D4090D">
      <w:pPr>
        <w:rPr>
          <w:sz w:val="18"/>
          <w:szCs w:val="18"/>
        </w:rPr>
      </w:pPr>
      <w:r w:rsidRPr="00C35056">
        <w:rPr>
          <w:sz w:val="18"/>
          <w:szCs w:val="18"/>
        </w:rPr>
        <w:t xml:space="preserve">NSW OFFICE OF WATER (2012b) Risk assessment guidelines for groundwater dependent ecosystems: Volume 1 – The conceptual framework </w:t>
      </w:r>
      <w:hyperlink r:id="rId171" w:history="1">
        <w:r w:rsidRPr="00C35056">
          <w:rPr>
            <w:sz w:val="18"/>
            <w:szCs w:val="18"/>
          </w:rPr>
          <w:t>file:///C:/Users/AHerford/Downloads/gde_risk_assessment_guidelines_volume_1_final_accessible%20(4).pdf</w:t>
        </w:r>
      </w:hyperlink>
      <w:r w:rsidRPr="00C35056">
        <w:rPr>
          <w:sz w:val="18"/>
          <w:szCs w:val="18"/>
        </w:rPr>
        <w:t xml:space="preserve"> </w:t>
      </w:r>
    </w:p>
    <w:p w14:paraId="1841087D" w14:textId="77777777" w:rsidR="00D4090D" w:rsidRPr="00C35056" w:rsidRDefault="00D4090D" w:rsidP="00D4090D">
      <w:pPr>
        <w:rPr>
          <w:rFonts w:cs="Arial"/>
          <w:sz w:val="18"/>
          <w:szCs w:val="18"/>
        </w:rPr>
      </w:pPr>
      <w:r w:rsidRPr="00C35056">
        <w:rPr>
          <w:rFonts w:cs="Arial"/>
          <w:sz w:val="18"/>
          <w:szCs w:val="18"/>
        </w:rPr>
        <w:t xml:space="preserve">NSW </w:t>
      </w:r>
      <w:r w:rsidRPr="00C35056">
        <w:rPr>
          <w:sz w:val="18"/>
          <w:szCs w:val="18"/>
        </w:rPr>
        <w:t>OFFICE OF WATER (2014) Groundwater Monitoring and Modelling Plans – Information for prospective mining and petroleum exploration activities</w:t>
      </w:r>
    </w:p>
    <w:p w14:paraId="11EF68DF" w14:textId="77777777" w:rsidR="00D4090D" w:rsidRPr="00C35056" w:rsidRDefault="00D4090D" w:rsidP="00D4090D">
      <w:pPr>
        <w:rPr>
          <w:sz w:val="18"/>
          <w:szCs w:val="18"/>
        </w:rPr>
      </w:pPr>
      <w:r w:rsidRPr="00C35056">
        <w:rPr>
          <w:sz w:val="18"/>
          <w:szCs w:val="18"/>
        </w:rPr>
        <w:t xml:space="preserve">NSW RESOURCES &amp; ENERGY: Water Monitoring Framework </w:t>
      </w:r>
      <w:hyperlink r:id="rId172" w:history="1">
        <w:r w:rsidRPr="00C35056">
          <w:rPr>
            <w:rFonts w:cs="Arial"/>
            <w:sz w:val="18"/>
            <w:szCs w:val="18"/>
          </w:rPr>
          <w:t>http://www.resourcesandenergy.nsw.gov.au/landholders-and-community/coal-seam-gas/water-data-project</w:t>
        </w:r>
      </w:hyperlink>
      <w:r w:rsidRPr="00C35056">
        <w:rPr>
          <w:sz w:val="18"/>
          <w:szCs w:val="18"/>
        </w:rPr>
        <w:t xml:space="preserve"> and </w:t>
      </w:r>
      <w:hyperlink r:id="rId173" w:history="1">
        <w:r w:rsidRPr="00C35056">
          <w:rPr>
            <w:rFonts w:cs="Arial"/>
            <w:sz w:val="18"/>
            <w:szCs w:val="18"/>
          </w:rPr>
          <w:t>http://www.resourcesandenergy.nsw.gov.au/__data/assets/pdf_file/0007/526633/Water-Monitoring-Framework-factsheet.pdf</w:t>
        </w:r>
      </w:hyperlink>
      <w:r w:rsidRPr="00C35056">
        <w:rPr>
          <w:sz w:val="18"/>
          <w:szCs w:val="18"/>
        </w:rPr>
        <w:t xml:space="preserve"> </w:t>
      </w:r>
    </w:p>
    <w:p w14:paraId="2896F51A" w14:textId="77777777" w:rsidR="00D4090D" w:rsidRPr="00C35056" w:rsidRDefault="00D4090D" w:rsidP="00D4090D">
      <w:pPr>
        <w:rPr>
          <w:sz w:val="18"/>
          <w:szCs w:val="18"/>
        </w:rPr>
      </w:pPr>
      <w:r w:rsidRPr="00C35056">
        <w:rPr>
          <w:sz w:val="18"/>
          <w:szCs w:val="18"/>
        </w:rPr>
        <w:t xml:space="preserve">NYSDEC (1990) Memorandum to Regional Water Engineers, Bureau Directors, Section Chiefs to clarify the meaning of the terms ‘Primary Water Supply Aquifer’ and ‘Principal Aquifer’  as they are set forth in the Upstate New York Groundwater Management Program, and to establish guidance for determining whether an aquifer is assessed as a Primary Water Supply Aquifer or Principal Aquifer </w:t>
      </w:r>
      <w:hyperlink r:id="rId174" w:history="1">
        <w:r w:rsidRPr="00C35056">
          <w:rPr>
            <w:sz w:val="18"/>
            <w:szCs w:val="18"/>
          </w:rPr>
          <w:t>http://www.dec.ny.gov/docs/water_pdf/togs213.pdf</w:t>
        </w:r>
      </w:hyperlink>
      <w:r w:rsidRPr="00C35056">
        <w:rPr>
          <w:sz w:val="18"/>
          <w:szCs w:val="18"/>
        </w:rPr>
        <w:t xml:space="preserve"> </w:t>
      </w:r>
    </w:p>
    <w:p w14:paraId="4245A1DD" w14:textId="77777777" w:rsidR="00D4090D" w:rsidRPr="00C35056" w:rsidRDefault="00D4090D" w:rsidP="00D4090D">
      <w:pPr>
        <w:rPr>
          <w:rFonts w:cs="Arial"/>
          <w:sz w:val="18"/>
          <w:szCs w:val="18"/>
        </w:rPr>
      </w:pPr>
      <w:r w:rsidRPr="00C35056">
        <w:rPr>
          <w:sz w:val="18"/>
          <w:szCs w:val="18"/>
        </w:rPr>
        <w:t>PAGE, D. et al., 2009. Operational residual risk assessment for the Salisbury stormwater ASTR project. CSIRO: Water for a Healthy Country National Research Flagship</w:t>
      </w:r>
    </w:p>
    <w:p w14:paraId="045F76B4" w14:textId="77777777" w:rsidR="00D4090D" w:rsidRPr="00C35056" w:rsidRDefault="00D4090D" w:rsidP="00D4090D">
      <w:pPr>
        <w:rPr>
          <w:sz w:val="18"/>
          <w:szCs w:val="18"/>
        </w:rPr>
      </w:pPr>
      <w:r w:rsidRPr="00C35056">
        <w:rPr>
          <w:sz w:val="18"/>
          <w:szCs w:val="18"/>
        </w:rPr>
        <w:t>Petroleum and Geothermal Energy Resources (Resource Management and Administration) Regulations 2014</w:t>
      </w:r>
      <w:r w:rsidRPr="00C35056">
        <w:rPr>
          <w:rFonts w:cs="Arial"/>
          <w:sz w:val="18"/>
          <w:szCs w:val="18"/>
          <w:vertAlign w:val="superscript"/>
        </w:rPr>
        <w:footnoteReference w:id="17"/>
      </w:r>
      <w:r w:rsidRPr="00C35056">
        <w:rPr>
          <w:sz w:val="18"/>
          <w:szCs w:val="18"/>
        </w:rPr>
        <w:t xml:space="preserve"> a s summarised in</w:t>
      </w:r>
      <w:hyperlink r:id="rId175" w:history="1">
        <w:r w:rsidRPr="00C35056">
          <w:rPr>
            <w:rStyle w:val="Hyperlink"/>
            <w:rFonts w:cs="Arial"/>
            <w:sz w:val="18"/>
            <w:szCs w:val="18"/>
          </w:rPr>
          <w:t>http://www.jws.com.au/images/news/migrated/TMB%20-20WA%20onshore%20regulations.pdf</w:t>
        </w:r>
      </w:hyperlink>
      <w:r w:rsidRPr="00C35056">
        <w:rPr>
          <w:sz w:val="18"/>
          <w:szCs w:val="18"/>
        </w:rPr>
        <w:t xml:space="preserve">  </w:t>
      </w:r>
      <w:hyperlink r:id="rId176" w:history="1">
        <w:r w:rsidRPr="00C35056">
          <w:rPr>
            <w:rFonts w:cs="Arial"/>
            <w:sz w:val="18"/>
            <w:szCs w:val="18"/>
          </w:rPr>
          <w:t>http://www.dmp.wa.gov.au/documents/Draft_Resource_Regulations.pdf</w:t>
        </w:r>
      </w:hyperlink>
      <w:r w:rsidRPr="00C35056">
        <w:rPr>
          <w:sz w:val="18"/>
          <w:szCs w:val="18"/>
        </w:rPr>
        <w:t xml:space="preserve"> </w:t>
      </w:r>
    </w:p>
    <w:p w14:paraId="5D597B94" w14:textId="318B7A2E" w:rsidR="00D4090D" w:rsidRPr="00C35056" w:rsidRDefault="00D4090D" w:rsidP="00D4090D">
      <w:pPr>
        <w:rPr>
          <w:sz w:val="18"/>
          <w:szCs w:val="18"/>
        </w:rPr>
      </w:pPr>
      <w:r w:rsidRPr="00C35056">
        <w:rPr>
          <w:sz w:val="18"/>
          <w:szCs w:val="18"/>
        </w:rPr>
        <w:t xml:space="preserve">PRECHT, P. AND DEMPSTER, D. (2012) “Final Report: Jurisdictional Review of Hydraulic Fracturing Regulation” Report for Nova Scotia Hydraulic Fracturing Review Committee Nova Scotia Department of Energy and Nova Scotia Environment </w:t>
      </w:r>
      <w:hyperlink r:id="rId177" w:history="1">
        <w:r w:rsidRPr="00C35056">
          <w:rPr>
            <w:rFonts w:cs="Arial"/>
            <w:sz w:val="18"/>
            <w:szCs w:val="18"/>
          </w:rPr>
          <w:t>http://www.novascotia.ca/nse/pollutionprevention/docs/Consultation.Hydraulic.Fracturing-Jurisdictional.Review.pdf</w:t>
        </w:r>
      </w:hyperlink>
      <w:r w:rsidRPr="00C35056">
        <w:rPr>
          <w:sz w:val="18"/>
          <w:szCs w:val="18"/>
        </w:rPr>
        <w:t xml:space="preserve">   </w:t>
      </w:r>
    </w:p>
    <w:p w14:paraId="4CE6D2B4" w14:textId="77777777" w:rsidR="00D4090D" w:rsidRPr="00C35056" w:rsidRDefault="00D4090D" w:rsidP="00D4090D">
      <w:pPr>
        <w:rPr>
          <w:rFonts w:cs="Arial"/>
          <w:sz w:val="18"/>
          <w:szCs w:val="18"/>
        </w:rPr>
      </w:pPr>
      <w:r w:rsidRPr="00C35056">
        <w:rPr>
          <w:sz w:val="18"/>
          <w:szCs w:val="18"/>
        </w:rPr>
        <w:t xml:space="preserve">QLD DEEDI, 2011. </w:t>
      </w:r>
      <w:r w:rsidRPr="00C35056">
        <w:rPr>
          <w:i/>
          <w:sz w:val="18"/>
          <w:szCs w:val="18"/>
        </w:rPr>
        <w:t>Code of Practice for Constructing and Abandoning Coal Seam Gas Wells in Queensland</w:t>
      </w:r>
      <w:r w:rsidRPr="00C35056">
        <w:rPr>
          <w:sz w:val="18"/>
          <w:szCs w:val="18"/>
        </w:rPr>
        <w:t>. QLD Department of Employment, Economic Development and Innovation.</w:t>
      </w:r>
    </w:p>
    <w:p w14:paraId="4E2E197C" w14:textId="77777777" w:rsidR="00D4090D" w:rsidRPr="00C35056" w:rsidRDefault="00D4090D" w:rsidP="00D4090D">
      <w:pPr>
        <w:rPr>
          <w:sz w:val="18"/>
          <w:szCs w:val="18"/>
        </w:rPr>
      </w:pPr>
      <w:r w:rsidRPr="00C35056">
        <w:rPr>
          <w:sz w:val="18"/>
          <w:szCs w:val="18"/>
        </w:rPr>
        <w:t>QUEENSLAND WATER COMMISSION (2012) Draft Underground Water Impact Report, Surat Cumulative Management Area, Consultation Draft, May 2012</w:t>
      </w:r>
    </w:p>
    <w:p w14:paraId="59947892" w14:textId="5C3DAAC7" w:rsidR="00D4090D" w:rsidRPr="00C35056" w:rsidRDefault="00D4090D" w:rsidP="00D4090D">
      <w:pPr>
        <w:rPr>
          <w:sz w:val="18"/>
          <w:szCs w:val="18"/>
        </w:rPr>
      </w:pPr>
      <w:r w:rsidRPr="00C35056">
        <w:rPr>
          <w:sz w:val="18"/>
          <w:szCs w:val="18"/>
        </w:rPr>
        <w:t xml:space="preserve">RAHM, B.G. &amp; RIHA, S.J. (2010) Framework for Assessing Water Resource Impacts from Shale Gas Drilling </w:t>
      </w:r>
      <w:hyperlink r:id="rId178" w:history="1">
        <w:r w:rsidRPr="00C35056">
          <w:rPr>
            <w:rFonts w:cs="Arial"/>
            <w:sz w:val="18"/>
            <w:szCs w:val="18"/>
          </w:rPr>
          <w:t>http://nywea.org/clearwaters/10-4-winter/8.pdf</w:t>
        </w:r>
      </w:hyperlink>
      <w:r w:rsidRPr="00C35056">
        <w:rPr>
          <w:sz w:val="18"/>
          <w:szCs w:val="18"/>
        </w:rPr>
        <w:t xml:space="preserve"> </w:t>
      </w:r>
    </w:p>
    <w:p w14:paraId="2FE260AB" w14:textId="44CD68BD" w:rsidR="00D4090D" w:rsidRPr="00C35056" w:rsidRDefault="00D4090D" w:rsidP="00D4090D">
      <w:pPr>
        <w:rPr>
          <w:sz w:val="18"/>
          <w:szCs w:val="18"/>
        </w:rPr>
      </w:pPr>
      <w:r w:rsidRPr="00C35056">
        <w:rPr>
          <w:sz w:val="18"/>
          <w:szCs w:val="18"/>
        </w:rPr>
        <w:t>RAHM, B.G. &amp; RIHA</w:t>
      </w:r>
      <w:r w:rsidRPr="00C35056">
        <w:rPr>
          <w:rFonts w:cs="Arial"/>
          <w:sz w:val="18"/>
          <w:szCs w:val="18"/>
          <w:vertAlign w:val="superscript"/>
        </w:rPr>
        <w:footnoteReference w:id="18"/>
      </w:r>
      <w:r w:rsidRPr="00C35056">
        <w:rPr>
          <w:sz w:val="18"/>
          <w:szCs w:val="18"/>
        </w:rPr>
        <w:t xml:space="preserve">, S.J. (2012) Toward strategic management of shale gas development: Regional, collective impacts on water resources, Environmental Science and Policy, 17 12-23 </w:t>
      </w:r>
      <w:hyperlink r:id="rId179" w:history="1">
        <w:r w:rsidRPr="00C35056">
          <w:rPr>
            <w:rFonts w:cs="Arial"/>
            <w:sz w:val="18"/>
            <w:szCs w:val="18"/>
          </w:rPr>
          <w:t>http://ac.els-cdn.com/S1462901111001948/1-s2.0-S1462901111001948-main.pdf?_tid=d9d3021e-526d-11e4-ace9-00000aab0f6b&amp;acdnat=1413159428_bef54731abc60324c87ba0cbfbe55d3a</w:t>
        </w:r>
      </w:hyperlink>
      <w:r w:rsidRPr="00C35056">
        <w:rPr>
          <w:sz w:val="18"/>
          <w:szCs w:val="18"/>
        </w:rPr>
        <w:t xml:space="preserve"> </w:t>
      </w:r>
    </w:p>
    <w:p w14:paraId="1AA33B9E" w14:textId="77777777" w:rsidR="00D4090D" w:rsidRPr="00C35056" w:rsidRDefault="00D4090D" w:rsidP="00D4090D">
      <w:pPr>
        <w:rPr>
          <w:sz w:val="18"/>
          <w:szCs w:val="18"/>
        </w:rPr>
      </w:pPr>
      <w:r w:rsidRPr="00C35056">
        <w:rPr>
          <w:sz w:val="18"/>
          <w:szCs w:val="18"/>
        </w:rPr>
        <w:t xml:space="preserve">Risks and Risk Governance in Unconventional Shale Gas Development </w:t>
      </w:r>
      <w:hyperlink r:id="rId180" w:history="1">
        <w:r w:rsidRPr="00C35056">
          <w:rPr>
            <w:rFonts w:cs="Arial"/>
            <w:sz w:val="18"/>
            <w:szCs w:val="18"/>
          </w:rPr>
          <w:t>http://pubs.acs.org/doi/pdf/10.1021/es502111u</w:t>
        </w:r>
      </w:hyperlink>
      <w:r w:rsidRPr="00C35056">
        <w:rPr>
          <w:sz w:val="18"/>
          <w:szCs w:val="18"/>
        </w:rPr>
        <w:t xml:space="preserve"> </w:t>
      </w:r>
    </w:p>
    <w:p w14:paraId="0332D86C" w14:textId="77777777" w:rsidR="00D4090D" w:rsidRPr="00C35056" w:rsidRDefault="00D4090D" w:rsidP="00D4090D">
      <w:pPr>
        <w:rPr>
          <w:sz w:val="18"/>
          <w:szCs w:val="18"/>
        </w:rPr>
      </w:pPr>
      <w:r w:rsidRPr="00C35056">
        <w:rPr>
          <w:sz w:val="18"/>
          <w:szCs w:val="18"/>
        </w:rPr>
        <w:t xml:space="preserve">ROSS, C. (2013) Research paper - Unconventional Gas: coal seam gas, shale gas and tight gas: An introduction and overview to the development of unconventional gas in Victoria. </w:t>
      </w:r>
      <w:hyperlink r:id="rId181" w:history="1">
        <w:r w:rsidRPr="00C35056">
          <w:rPr>
            <w:rFonts w:cs="Arial"/>
            <w:sz w:val="18"/>
            <w:szCs w:val="18"/>
          </w:rPr>
          <w:t>http://www.academia.edu/6887415/Unconventional_Gas_coal_seam_gas_shale_gas_and_tight_gas</w:t>
        </w:r>
      </w:hyperlink>
      <w:r w:rsidRPr="00C35056">
        <w:rPr>
          <w:sz w:val="18"/>
          <w:szCs w:val="18"/>
        </w:rPr>
        <w:t xml:space="preserve"> </w:t>
      </w:r>
    </w:p>
    <w:p w14:paraId="18572091" w14:textId="2A34761D" w:rsidR="002D25BB" w:rsidRPr="00C35056" w:rsidRDefault="00D4090D" w:rsidP="002D25BB">
      <w:pPr>
        <w:rPr>
          <w:sz w:val="18"/>
          <w:szCs w:val="18"/>
        </w:rPr>
      </w:pPr>
      <w:r w:rsidRPr="00C35056">
        <w:rPr>
          <w:sz w:val="18"/>
          <w:szCs w:val="18"/>
        </w:rPr>
        <w:t>ROZELL, D.J. AND REAVEN, S.J. (20</w:t>
      </w:r>
      <w:r w:rsidR="002D25BB" w:rsidRPr="00C35056">
        <w:rPr>
          <w:sz w:val="18"/>
          <w:szCs w:val="18"/>
        </w:rPr>
        <w:t>12</w:t>
      </w:r>
      <w:r w:rsidRPr="00C35056">
        <w:rPr>
          <w:sz w:val="18"/>
          <w:szCs w:val="18"/>
        </w:rPr>
        <w:t xml:space="preserve">) </w:t>
      </w:r>
      <w:r w:rsidR="002D25BB" w:rsidRPr="00C35056">
        <w:rPr>
          <w:sz w:val="18"/>
          <w:szCs w:val="18"/>
        </w:rPr>
        <w:t>Water Pollution Risk Associated with Natural Gas Extraction from the Marcellus Shale Article first published online: 28 DEC 2011 DOI: 10.1111/j.1539-6924.2011.01757.x © 2012 Society for Risk Analysis, Risk Analysis Volume 32, Issue 8, pages 1382–1393, August 2012</w:t>
      </w:r>
    </w:p>
    <w:p w14:paraId="6FAD4B49" w14:textId="77777777" w:rsidR="00D4090D" w:rsidRPr="00C35056" w:rsidRDefault="00D4090D" w:rsidP="00D4090D">
      <w:pPr>
        <w:rPr>
          <w:sz w:val="18"/>
          <w:szCs w:val="18"/>
        </w:rPr>
      </w:pPr>
      <w:r w:rsidRPr="00C35056">
        <w:rPr>
          <w:sz w:val="18"/>
          <w:szCs w:val="18"/>
        </w:rPr>
        <w:t>SABA T, ORZECHOWSKI M (2011) Lack of data to support a relationship between methane contamination of drinking water wells and hydraulic fracturing. Proc Natl Acad Sci USA</w:t>
      </w:r>
    </w:p>
    <w:p w14:paraId="662E1917" w14:textId="77777777" w:rsidR="00D4090D" w:rsidRPr="00C35056" w:rsidRDefault="00D4090D" w:rsidP="00D4090D">
      <w:pPr>
        <w:rPr>
          <w:sz w:val="18"/>
          <w:szCs w:val="18"/>
        </w:rPr>
      </w:pPr>
      <w:r w:rsidRPr="00C35056">
        <w:rPr>
          <w:bCs/>
          <w:color w:val="000000"/>
          <w:sz w:val="18"/>
          <w:szCs w:val="18"/>
          <w:shd w:val="clear" w:color="auto" w:fill="FFFFFF"/>
        </w:rPr>
        <w:t xml:space="preserve">SAIERS AND BARTH (2012) Potential Contaminant Pathways from Hydraulically Fractured Shale Aquifers, Groundwater, 50 (6) </w:t>
      </w:r>
      <w:hyperlink r:id="rId182" w:history="1">
        <w:r w:rsidRPr="00C35056">
          <w:rPr>
            <w:rFonts w:cs="Arial"/>
            <w:bCs/>
            <w:sz w:val="18"/>
            <w:szCs w:val="18"/>
            <w:shd w:val="clear" w:color="auto" w:fill="FFFFFF"/>
          </w:rPr>
          <w:t>http://onlinelibrary.wiley.com/doi/10.1111/j.1745-6584.2012.00990.x/abstract?deniedAccessCustomisedMessage=&amp;userIsAuthenticated=false</w:t>
        </w:r>
      </w:hyperlink>
      <w:r w:rsidRPr="00C35056">
        <w:rPr>
          <w:bCs/>
          <w:color w:val="000000"/>
          <w:sz w:val="18"/>
          <w:szCs w:val="18"/>
          <w:shd w:val="clear" w:color="auto" w:fill="FFFFFF"/>
        </w:rPr>
        <w:t xml:space="preserve"> </w:t>
      </w:r>
    </w:p>
    <w:p w14:paraId="11858503" w14:textId="77777777" w:rsidR="00D4090D" w:rsidRPr="00C35056" w:rsidRDefault="00D4090D" w:rsidP="00D4090D">
      <w:pPr>
        <w:rPr>
          <w:rFonts w:cs="Arial"/>
          <w:sz w:val="18"/>
          <w:szCs w:val="18"/>
        </w:rPr>
      </w:pPr>
      <w:r w:rsidRPr="00C35056">
        <w:rPr>
          <w:rFonts w:cs="Arial"/>
          <w:sz w:val="18"/>
          <w:szCs w:val="18"/>
        </w:rPr>
        <w:t xml:space="preserve">SKM (2012) Impacts of groundwater extraction on streamflow in selected catchments throughout Australia </w:t>
      </w:r>
      <w:hyperlink r:id="rId183" w:history="1">
        <w:r w:rsidRPr="00C35056">
          <w:rPr>
            <w:rFonts w:cs="Arial"/>
            <w:sz w:val="18"/>
            <w:szCs w:val="18"/>
          </w:rPr>
          <w:t>http://archive.nwc.gov.au/__data/assets/pdf_file/0020/22907/Impacts-of-groundwater-extraction-on-streamflow-in-selected-catchments-throughout-Australia.pdf</w:t>
        </w:r>
      </w:hyperlink>
      <w:r w:rsidRPr="00C35056">
        <w:rPr>
          <w:rFonts w:cs="Arial"/>
          <w:sz w:val="18"/>
          <w:szCs w:val="18"/>
        </w:rPr>
        <w:t xml:space="preserve"> </w:t>
      </w:r>
    </w:p>
    <w:p w14:paraId="4A4C8F05" w14:textId="72CB3602" w:rsidR="00D4090D" w:rsidRPr="00C35056" w:rsidRDefault="00D4090D" w:rsidP="00D4090D">
      <w:pPr>
        <w:rPr>
          <w:sz w:val="18"/>
          <w:szCs w:val="18"/>
        </w:rPr>
      </w:pPr>
      <w:r w:rsidRPr="00C35056">
        <w:rPr>
          <w:sz w:val="18"/>
          <w:szCs w:val="18"/>
        </w:rPr>
        <w:t xml:space="preserve">STAMMERS, J. (2012) Coal Seam Gas: Issues for Consideration in the Illawara Region, NSW, Australia </w:t>
      </w:r>
      <w:hyperlink r:id="rId184" w:history="1">
        <w:r w:rsidRPr="00C35056">
          <w:rPr>
            <w:rFonts w:cs="Arial"/>
            <w:sz w:val="18"/>
            <w:szCs w:val="18"/>
          </w:rPr>
          <w:t>http://ro.uow.edu.au/cgi/viewcontent.cgi?article=1038&amp;context=thsci</w:t>
        </w:r>
      </w:hyperlink>
      <w:r w:rsidRPr="00C35056">
        <w:rPr>
          <w:sz w:val="18"/>
          <w:szCs w:val="18"/>
        </w:rPr>
        <w:t xml:space="preserve"> </w:t>
      </w:r>
      <w:r w:rsidRPr="00C35056">
        <w:rPr>
          <w:sz w:val="18"/>
          <w:szCs w:val="18"/>
        </w:rPr>
        <w:br/>
        <w:t xml:space="preserve">Attempt at risk </w:t>
      </w:r>
      <w:r w:rsidR="00A65062" w:rsidRPr="00C35056">
        <w:rPr>
          <w:sz w:val="18"/>
          <w:szCs w:val="18"/>
        </w:rPr>
        <w:t>analysis</w:t>
      </w:r>
      <w:r w:rsidRPr="00C35056">
        <w:rPr>
          <w:sz w:val="18"/>
          <w:szCs w:val="18"/>
        </w:rPr>
        <w:t xml:space="preserve"> matrix (pg. 122)</w:t>
      </w:r>
    </w:p>
    <w:p w14:paraId="76177EDE" w14:textId="56FF5771" w:rsidR="00D4090D" w:rsidRPr="00C35056" w:rsidRDefault="00D4090D" w:rsidP="00D4090D">
      <w:pPr>
        <w:rPr>
          <w:sz w:val="18"/>
          <w:szCs w:val="18"/>
        </w:rPr>
      </w:pPr>
      <w:r w:rsidRPr="00C35056">
        <w:rPr>
          <w:sz w:val="18"/>
          <w:szCs w:val="18"/>
        </w:rPr>
        <w:t xml:space="preserve">STANDING COUNCIL ON ENERGY AND RESOURCES (2013)  “The National Harmonised Regulatory Framework for Natural Gas from Coal Seams” The Committee for Economic Development of Australia - CEDA (2012) “Australia’s Unconventional Energy Options” </w:t>
      </w:r>
      <w:hyperlink r:id="rId185" w:history="1">
        <w:r w:rsidRPr="00C35056">
          <w:rPr>
            <w:sz w:val="18"/>
            <w:szCs w:val="18"/>
          </w:rPr>
          <w:t>https://ceda.com.au/media/263565/cedaunconventionalenergyfinal.pdf</w:t>
        </w:r>
      </w:hyperlink>
      <w:r w:rsidRPr="00C35056">
        <w:rPr>
          <w:sz w:val="18"/>
          <w:szCs w:val="18"/>
        </w:rPr>
        <w:tab/>
        <w:t xml:space="preserve"> </w:t>
      </w:r>
    </w:p>
    <w:p w14:paraId="7E6AF27F" w14:textId="7CA8254D" w:rsidR="00D4090D" w:rsidRPr="00C35056" w:rsidRDefault="00D4090D" w:rsidP="00D4090D">
      <w:pPr>
        <w:rPr>
          <w:sz w:val="18"/>
          <w:szCs w:val="18"/>
        </w:rPr>
      </w:pPr>
      <w:r w:rsidRPr="00C35056">
        <w:rPr>
          <w:sz w:val="18"/>
          <w:szCs w:val="18"/>
        </w:rPr>
        <w:t xml:space="preserve">STEMPVOORT, D.V, EWERT, L, WASSENAAR, L. (1993) Aquifer Vulnerability Index: A GIS-Compatible Method for Groundwater Vulnerability Mapping, </w:t>
      </w:r>
      <w:r w:rsidRPr="00C35056">
        <w:rPr>
          <w:i/>
          <w:sz w:val="18"/>
          <w:szCs w:val="18"/>
        </w:rPr>
        <w:t xml:space="preserve">Canadian Water Resources Journal, </w:t>
      </w:r>
      <w:r w:rsidRPr="00C35056">
        <w:rPr>
          <w:sz w:val="18"/>
          <w:szCs w:val="18"/>
        </w:rPr>
        <w:t xml:space="preserve">18 (1) </w:t>
      </w:r>
      <w:hyperlink r:id="rId186" w:history="1">
        <w:r w:rsidRPr="00C35056">
          <w:rPr>
            <w:sz w:val="18"/>
            <w:szCs w:val="18"/>
          </w:rPr>
          <w:t>http://www.tandfonline.com/doi/pdf/10.4296/cwrj1801025</w:t>
        </w:r>
      </w:hyperlink>
      <w:r w:rsidRPr="00C35056">
        <w:rPr>
          <w:sz w:val="18"/>
          <w:szCs w:val="18"/>
        </w:rPr>
        <w:t xml:space="preserve"> </w:t>
      </w:r>
    </w:p>
    <w:p w14:paraId="67E5E90C" w14:textId="59ABE5BF" w:rsidR="00D4090D" w:rsidRPr="00C35056" w:rsidRDefault="00D4090D" w:rsidP="00D4090D">
      <w:pPr>
        <w:rPr>
          <w:sz w:val="18"/>
          <w:szCs w:val="18"/>
        </w:rPr>
      </w:pPr>
      <w:r w:rsidRPr="00C35056">
        <w:rPr>
          <w:sz w:val="18"/>
          <w:szCs w:val="18"/>
        </w:rPr>
        <w:t>STUART, M.E. (2012) “Potential groundwater impact from exploitation of shale gas in the UK”. British Geological Survey</w:t>
      </w:r>
    </w:p>
    <w:p w14:paraId="7A2A5563" w14:textId="3299A415" w:rsidR="00D4090D" w:rsidRPr="00C35056" w:rsidRDefault="00D4090D" w:rsidP="00D4090D">
      <w:pPr>
        <w:rPr>
          <w:sz w:val="18"/>
          <w:szCs w:val="18"/>
        </w:rPr>
      </w:pPr>
      <w:r w:rsidRPr="00C35056">
        <w:rPr>
          <w:sz w:val="18"/>
          <w:szCs w:val="18"/>
        </w:rPr>
        <w:t xml:space="preserve">SWAYNE, N. (2012) Regulating coal seam gas in Queensland: lessons in an adaptive environmental management approach? Environmental and Planning Law Journal, 29(2), pp. 163-185. </w:t>
      </w:r>
      <w:hyperlink r:id="rId187" w:history="1">
        <w:r w:rsidRPr="00C35056">
          <w:rPr>
            <w:rFonts w:cs="Arial"/>
            <w:sz w:val="18"/>
            <w:szCs w:val="18"/>
          </w:rPr>
          <w:t>http://eprints.qut.edu.au/49293/2/49293.pdf</w:t>
        </w:r>
      </w:hyperlink>
      <w:r w:rsidRPr="00C35056">
        <w:rPr>
          <w:sz w:val="18"/>
          <w:szCs w:val="18"/>
        </w:rPr>
        <w:t xml:space="preserve"> </w:t>
      </w:r>
    </w:p>
    <w:p w14:paraId="0F9E5055" w14:textId="77777777" w:rsidR="00DA5490" w:rsidRPr="00C35056" w:rsidRDefault="00DA5490" w:rsidP="00D4090D">
      <w:pPr>
        <w:rPr>
          <w:sz w:val="18"/>
          <w:szCs w:val="18"/>
        </w:rPr>
      </w:pPr>
      <w:r w:rsidRPr="00C35056">
        <w:rPr>
          <w:sz w:val="18"/>
          <w:szCs w:val="18"/>
        </w:rPr>
        <w:t>SYDNEY CATCHMENT AUTHORITY (UNDATED) Principles for Managing Mining and Coal Seam Gas Impacts http://www.sca.nsw.gov.au/__data/assets/pdf_file/0017/40850/SCA-Mining-Principles.PDF (online file created 2013)</w:t>
      </w:r>
    </w:p>
    <w:p w14:paraId="455E9FA9" w14:textId="77777777" w:rsidR="00D571D5" w:rsidRDefault="00D571D5">
      <w:pPr>
        <w:spacing w:after="200"/>
        <w:rPr>
          <w:sz w:val="18"/>
          <w:szCs w:val="18"/>
        </w:rPr>
      </w:pPr>
      <w:r>
        <w:rPr>
          <w:sz w:val="18"/>
          <w:szCs w:val="18"/>
        </w:rPr>
        <w:br w:type="page"/>
      </w:r>
    </w:p>
    <w:p w14:paraId="2A038033" w14:textId="4EDB126C" w:rsidR="00D4090D" w:rsidRPr="00C35056" w:rsidRDefault="00D4090D" w:rsidP="00D4090D">
      <w:pPr>
        <w:rPr>
          <w:sz w:val="18"/>
          <w:szCs w:val="18"/>
        </w:rPr>
      </w:pPr>
      <w:r w:rsidRPr="00C35056">
        <w:rPr>
          <w:sz w:val="18"/>
          <w:szCs w:val="18"/>
        </w:rPr>
        <w:t xml:space="preserve">THE CHARTERED INSTITUTION OF WATER AND ENVIRONMENTAL MANAGEMENT (2014) “An independent review of shale gas exploration and exploitation in the UK with a particular focus on the implications for the water environment </w:t>
      </w:r>
      <w:hyperlink r:id="rId188" w:history="1">
        <w:r w:rsidRPr="00C35056">
          <w:rPr>
            <w:rFonts w:cs="Arial"/>
            <w:sz w:val="18"/>
            <w:szCs w:val="18"/>
          </w:rPr>
          <w:t>http://www.ciwem.org/media/1023226/Shale%20Gas%20and%20Water%20WEB.pdf</w:t>
        </w:r>
      </w:hyperlink>
      <w:r w:rsidRPr="00C35056">
        <w:rPr>
          <w:sz w:val="18"/>
          <w:szCs w:val="18"/>
        </w:rPr>
        <w:t xml:space="preserve"> </w:t>
      </w:r>
    </w:p>
    <w:p w14:paraId="6359E6E9" w14:textId="0CC51139" w:rsidR="00D4090D" w:rsidRPr="00C35056" w:rsidRDefault="00D4090D" w:rsidP="00D4090D">
      <w:pPr>
        <w:rPr>
          <w:sz w:val="18"/>
          <w:szCs w:val="18"/>
        </w:rPr>
      </w:pPr>
      <w:r w:rsidRPr="00C35056">
        <w:rPr>
          <w:sz w:val="18"/>
          <w:szCs w:val="18"/>
        </w:rPr>
        <w:t>THE ROYAL SOCIETY &amp; THE ROYAL ACADEMY OF ENGINEERING (2012) “Shale Gas Extraction in the UK: a Review of Hydraulic Fracturing”</w:t>
      </w:r>
    </w:p>
    <w:p w14:paraId="0AFC764E" w14:textId="7C673081" w:rsidR="00D4090D" w:rsidRPr="00C35056" w:rsidRDefault="00D4090D" w:rsidP="00D4090D">
      <w:pPr>
        <w:rPr>
          <w:rFonts w:cs="Arial"/>
          <w:sz w:val="18"/>
          <w:szCs w:val="18"/>
        </w:rPr>
      </w:pPr>
      <w:r w:rsidRPr="00C35056">
        <w:rPr>
          <w:sz w:val="18"/>
          <w:szCs w:val="18"/>
        </w:rPr>
        <w:t>UNITED KINGDOM ONSHORE OPERATORS GROUP (2013) UK Onshore Shale Gas Well Guidelines: Exploration and appraisal phase, Issue 1 February 2013</w:t>
      </w:r>
      <w:r w:rsidRPr="00C35056">
        <w:rPr>
          <w:sz w:val="18"/>
          <w:szCs w:val="18"/>
        </w:rPr>
        <w:br/>
      </w:r>
      <w:hyperlink r:id="rId189" w:history="1">
        <w:r w:rsidR="00BE3DE2" w:rsidRPr="001B52D8">
          <w:rPr>
            <w:rStyle w:val="Hyperlink"/>
            <w:rFonts w:cs="Arial"/>
            <w:sz w:val="18"/>
            <w:szCs w:val="18"/>
          </w:rPr>
          <w:t>https://www.gov.uk/government/uploads/system/uploads/attachment_data/file/185935/UKOOGShaleGasWell</w:t>
        </w:r>
        <w:r w:rsidR="00BE3DE2" w:rsidRPr="001B52D8">
          <w:rPr>
            <w:rStyle w:val="Hyperlink"/>
            <w:rFonts w:cs="Arial"/>
            <w:sz w:val="18"/>
            <w:szCs w:val="18"/>
          </w:rPr>
          <w:br/>
          <w:t>Guidelines.pdf</w:t>
        </w:r>
      </w:hyperlink>
      <w:r w:rsidRPr="00C35056">
        <w:rPr>
          <w:sz w:val="18"/>
          <w:szCs w:val="18"/>
        </w:rPr>
        <w:t xml:space="preserve"> </w:t>
      </w:r>
    </w:p>
    <w:p w14:paraId="125332E7" w14:textId="77777777" w:rsidR="00D4090D" w:rsidRPr="00C35056" w:rsidRDefault="00D4090D" w:rsidP="00D4090D">
      <w:pPr>
        <w:rPr>
          <w:sz w:val="18"/>
          <w:szCs w:val="18"/>
        </w:rPr>
      </w:pPr>
      <w:r w:rsidRPr="00C35056">
        <w:rPr>
          <w:sz w:val="18"/>
          <w:szCs w:val="18"/>
        </w:rPr>
        <w:t xml:space="preserve">UNIVERSITY OF WOLLONGONG (2012) Bioregional Assessment Project: Sydney Metropolitan, Southern Rivers and Hawkesbury-Nepean Catchments: Data Collation Phase to study the Impact of Mining Activity and Coal Seam Gas on Environmental Assets </w:t>
      </w:r>
      <w:hyperlink r:id="rId190" w:history="1">
        <w:r w:rsidRPr="00C35056">
          <w:rPr>
            <w:rFonts w:cs="Arial"/>
            <w:sz w:val="18"/>
            <w:szCs w:val="18"/>
          </w:rPr>
          <w:t>http://ro.uow.edu.au/cgi/viewcontent.cgi?article=1376&amp;context=smhpapers</w:t>
        </w:r>
      </w:hyperlink>
      <w:r w:rsidRPr="00C35056">
        <w:rPr>
          <w:sz w:val="18"/>
          <w:szCs w:val="18"/>
        </w:rPr>
        <w:t xml:space="preserve"> </w:t>
      </w:r>
    </w:p>
    <w:p w14:paraId="1CD493F9" w14:textId="77777777" w:rsidR="00D4090D" w:rsidRPr="00C35056" w:rsidRDefault="00D4090D" w:rsidP="00D4090D">
      <w:pPr>
        <w:rPr>
          <w:sz w:val="18"/>
          <w:szCs w:val="18"/>
        </w:rPr>
      </w:pPr>
      <w:r w:rsidRPr="00C35056">
        <w:rPr>
          <w:sz w:val="18"/>
          <w:szCs w:val="18"/>
        </w:rPr>
        <w:t xml:space="preserve">URS (2013) for BHP Billiton. Red Hill Mining Lease EIS: Appendix J Groundwater Impact Assessment </w:t>
      </w:r>
      <w:hyperlink r:id="rId191" w:history="1">
        <w:r w:rsidRPr="00C35056">
          <w:rPr>
            <w:rFonts w:cs="Arial"/>
            <w:sz w:val="18"/>
            <w:szCs w:val="18"/>
          </w:rPr>
          <w:t>http://www.planning.nsw.gov.au/planningsystem/pdf/southerncoalfieldinquiry_sca_monitoring.pdf</w:t>
        </w:r>
      </w:hyperlink>
      <w:r w:rsidRPr="00C35056">
        <w:rPr>
          <w:sz w:val="18"/>
          <w:szCs w:val="18"/>
        </w:rPr>
        <w:t xml:space="preserve"> </w:t>
      </w:r>
    </w:p>
    <w:p w14:paraId="223D78F2" w14:textId="7F325E71" w:rsidR="00D4090D" w:rsidRPr="00C35056" w:rsidRDefault="00D4090D" w:rsidP="00D4090D">
      <w:pPr>
        <w:rPr>
          <w:sz w:val="18"/>
          <w:szCs w:val="18"/>
        </w:rPr>
      </w:pPr>
      <w:r w:rsidRPr="00C35056">
        <w:rPr>
          <w:sz w:val="18"/>
          <w:szCs w:val="18"/>
        </w:rPr>
        <w:t xml:space="preserve">USEPA (2011). Draft Plan to Study the Potential Impacts of Hydraulic Fracturing on Drinking Water Resources. Washington DC: Office of Research and Development, United States Environmental Protection Agency </w:t>
      </w:r>
      <w:hyperlink r:id="rId192" w:history="1">
        <w:r w:rsidRPr="00C35056">
          <w:rPr>
            <w:sz w:val="18"/>
            <w:szCs w:val="18"/>
          </w:rPr>
          <w:t>http://yosemite.epa.gov/sab/sabproduct.nsf/0/D3483AB445AE61418525775900603E79/$File/Draft+Plan+to+Study+the+Potential+Impacts+of+Hydraulic+Fracturing+on+Drinking+Water+Resources-February+2011.pdf</w:t>
        </w:r>
      </w:hyperlink>
      <w:r w:rsidRPr="00C35056">
        <w:rPr>
          <w:sz w:val="18"/>
          <w:szCs w:val="18"/>
        </w:rPr>
        <w:t xml:space="preserve"> </w:t>
      </w:r>
    </w:p>
    <w:p w14:paraId="2B55AC50" w14:textId="77777777" w:rsidR="00D4090D" w:rsidRPr="00C35056" w:rsidRDefault="00D4090D" w:rsidP="00D4090D">
      <w:pPr>
        <w:rPr>
          <w:rFonts w:cs="Arial"/>
          <w:sz w:val="18"/>
          <w:szCs w:val="18"/>
        </w:rPr>
      </w:pPr>
      <w:r w:rsidRPr="00C35056">
        <w:rPr>
          <w:sz w:val="18"/>
          <w:szCs w:val="18"/>
        </w:rPr>
        <w:t xml:space="preserve">VARMA, S, 2009, Southern Perth basin groundwater-resource assessment: Application of the SWAMS and ESCP models, Department of Water, Government of Western Australia, Hydrogeological record series, Report no. HG26. </w:t>
      </w:r>
      <w:hyperlink r:id="rId193" w:history="1">
        <w:r w:rsidRPr="00C35056">
          <w:rPr>
            <w:sz w:val="18"/>
            <w:szCs w:val="18"/>
          </w:rPr>
          <w:t>http://www.water.wa.gov.au/PublicationStore/first/83807.pdf</w:t>
        </w:r>
      </w:hyperlink>
    </w:p>
    <w:p w14:paraId="10C04F15" w14:textId="77777777" w:rsidR="00D4090D" w:rsidRPr="00C35056" w:rsidRDefault="00D4090D" w:rsidP="00D4090D">
      <w:pPr>
        <w:rPr>
          <w:sz w:val="18"/>
          <w:szCs w:val="18"/>
        </w:rPr>
      </w:pPr>
      <w:r w:rsidRPr="00C35056">
        <w:rPr>
          <w:sz w:val="18"/>
          <w:szCs w:val="18"/>
        </w:rPr>
        <w:t xml:space="preserve">VICTORIAN GOVERNMENT GAZETTE (1997) State Environment Protection Policy: Groundwaters of Victoria </w:t>
      </w:r>
      <w:hyperlink r:id="rId194" w:history="1">
        <w:r w:rsidRPr="00C35056">
          <w:rPr>
            <w:rFonts w:cs="Arial"/>
            <w:sz w:val="18"/>
            <w:szCs w:val="18"/>
          </w:rPr>
          <w:t>http://www.epa.vic.gov.au/~/media/Publications/S160.pdf</w:t>
        </w:r>
      </w:hyperlink>
      <w:r w:rsidRPr="00C35056">
        <w:rPr>
          <w:sz w:val="18"/>
          <w:szCs w:val="18"/>
        </w:rPr>
        <w:t xml:space="preserve"> </w:t>
      </w:r>
    </w:p>
    <w:p w14:paraId="3CA6A030" w14:textId="4A5E11BB" w:rsidR="00D4090D" w:rsidRPr="00C35056" w:rsidRDefault="00D4090D" w:rsidP="00D4090D">
      <w:pPr>
        <w:rPr>
          <w:sz w:val="18"/>
          <w:szCs w:val="18"/>
        </w:rPr>
      </w:pPr>
      <w:r w:rsidRPr="00C35056">
        <w:rPr>
          <w:sz w:val="18"/>
          <w:szCs w:val="18"/>
        </w:rPr>
        <w:t xml:space="preserve">WARNER et al. (2012) Geochemical evidence for possible natural migration of Marcellus Formation brine to shallow aquifers in Pennsylvania, </w:t>
      </w:r>
      <w:r w:rsidRPr="00C35056">
        <w:rPr>
          <w:i/>
          <w:sz w:val="18"/>
          <w:szCs w:val="18"/>
        </w:rPr>
        <w:t xml:space="preserve">PNAS, </w:t>
      </w:r>
      <w:r w:rsidRPr="00C35056">
        <w:rPr>
          <w:sz w:val="18"/>
          <w:szCs w:val="18"/>
        </w:rPr>
        <w:t xml:space="preserve">109 (30) </w:t>
      </w:r>
      <w:hyperlink r:id="rId195" w:history="1">
        <w:r w:rsidRPr="00C35056">
          <w:rPr>
            <w:rFonts w:cs="Arial"/>
            <w:sz w:val="18"/>
            <w:szCs w:val="18"/>
          </w:rPr>
          <w:t>http://www.pnas.org/conteandersonnt/109/30/11961.full.pdf+html</w:t>
        </w:r>
      </w:hyperlink>
      <w:r w:rsidRPr="00C35056">
        <w:rPr>
          <w:sz w:val="18"/>
          <w:szCs w:val="18"/>
        </w:rPr>
        <w:t xml:space="preserve"> </w:t>
      </w:r>
    </w:p>
    <w:p w14:paraId="5F5C16D2" w14:textId="77777777" w:rsidR="00D4090D" w:rsidRPr="00C35056" w:rsidRDefault="00D4090D" w:rsidP="00D4090D">
      <w:pPr>
        <w:rPr>
          <w:sz w:val="18"/>
          <w:szCs w:val="18"/>
        </w:rPr>
      </w:pPr>
      <w:r w:rsidRPr="00C35056">
        <w:rPr>
          <w:sz w:val="18"/>
          <w:szCs w:val="18"/>
        </w:rPr>
        <w:t xml:space="preserve">WILSON H E C, IMGRABEN S, AURICHT C M (2014) Assessment of Vulnerability of Water Assets to Hydrological Change caused by Coal Seam Gas and Large Coal Mining Development in South Australia. DEWNR Technical Report 2014/02 </w:t>
      </w:r>
      <w:hyperlink r:id="rId196" w:history="1">
        <w:r w:rsidRPr="00C35056">
          <w:rPr>
            <w:rFonts w:cs="Arial"/>
            <w:sz w:val="18"/>
            <w:szCs w:val="18"/>
          </w:rPr>
          <w:t>https://www.waterconnect.sa.gov.au/Content/Publications/DEWNR/DEWNR-TR-2014-02.pdf</w:t>
        </w:r>
      </w:hyperlink>
      <w:r w:rsidRPr="00C35056">
        <w:rPr>
          <w:sz w:val="18"/>
          <w:szCs w:val="18"/>
        </w:rPr>
        <w:t xml:space="preserve"> </w:t>
      </w:r>
    </w:p>
    <w:p w14:paraId="6AE457C5" w14:textId="77777777" w:rsidR="00D4090D" w:rsidRPr="00C35056" w:rsidRDefault="00D4090D" w:rsidP="00D4090D">
      <w:pPr>
        <w:rPr>
          <w:sz w:val="18"/>
          <w:szCs w:val="18"/>
        </w:rPr>
      </w:pPr>
      <w:r w:rsidRPr="00C35056">
        <w:rPr>
          <w:sz w:val="18"/>
          <w:szCs w:val="18"/>
        </w:rPr>
        <w:t>WOHLING, D., KEPPEL, M., FULTON, S., COSTAR, A., SAMPSON, L. AND BERENS, V. (2013), Australian Government Initiative on Coal Seam Gas and Large Coal Mining – Arckaringa Basin and Pedirka Basin Groundwater Assessment Projects, DEWNR Technical Report 2013/11</w:t>
      </w:r>
      <w:hyperlink r:id="rId197" w:history="1">
        <w:r w:rsidRPr="00C35056">
          <w:rPr>
            <w:rFonts w:cs="Arial"/>
            <w:sz w:val="18"/>
            <w:szCs w:val="18"/>
          </w:rPr>
          <w:t>https://www.waterconnect.sa.gov.au/Content/Publications/DEWNR/Arckaringa_Pedirka_Stage1_Report.pdf</w:t>
        </w:r>
      </w:hyperlink>
      <w:r w:rsidRPr="00C35056">
        <w:rPr>
          <w:sz w:val="18"/>
          <w:szCs w:val="18"/>
        </w:rPr>
        <w:t xml:space="preserve"> </w:t>
      </w:r>
    </w:p>
    <w:p w14:paraId="55080678" w14:textId="77777777" w:rsidR="00D4090D" w:rsidRPr="00C35056" w:rsidRDefault="00D4090D" w:rsidP="00D4090D">
      <w:pPr>
        <w:rPr>
          <w:sz w:val="18"/>
          <w:szCs w:val="18"/>
        </w:rPr>
      </w:pPr>
      <w:r w:rsidRPr="00C35056">
        <w:rPr>
          <w:sz w:val="18"/>
          <w:szCs w:val="18"/>
        </w:rPr>
        <w:t xml:space="preserve">WORLEY PARSONS (2013) Groundwater risks associated with coal seam gas development in the Surat and southern Bowen basins: Final report, prepared for Department of Natural Resources &amp; Mines  </w:t>
      </w:r>
      <w:hyperlink r:id="rId198" w:history="1">
        <w:r w:rsidRPr="00C35056">
          <w:rPr>
            <w:rFonts w:cs="Arial"/>
            <w:sz w:val="18"/>
            <w:szCs w:val="18"/>
          </w:rPr>
          <w:t>http://www.dnrm.qld.gov.au/__data/assets/pdf_file/0020/106148/act-5-groundwater-risks-report.pdf</w:t>
        </w:r>
      </w:hyperlink>
      <w:r w:rsidRPr="00C35056">
        <w:rPr>
          <w:rFonts w:cs="Arial"/>
          <w:sz w:val="18"/>
          <w:szCs w:val="18"/>
        </w:rPr>
        <w:t xml:space="preserve">  </w:t>
      </w:r>
      <w:r w:rsidRPr="00C35056">
        <w:rPr>
          <w:sz w:val="18"/>
          <w:szCs w:val="18"/>
        </w:rPr>
        <w:t xml:space="preserve"> </w:t>
      </w:r>
    </w:p>
    <w:p w14:paraId="2FED04A2" w14:textId="77777777" w:rsidR="00D4090D" w:rsidRPr="00655962" w:rsidRDefault="00D4090D" w:rsidP="00D4090D">
      <w:r w:rsidRPr="00C35056">
        <w:rPr>
          <w:sz w:val="18"/>
          <w:szCs w:val="18"/>
        </w:rPr>
        <w:t xml:space="preserve">WORLEY PARSONS (n.d.) Healthy HeadWaters Coal Seam Gas Water Feasibility Study: Spatial analysis of coal seam gas water chemistry </w:t>
      </w:r>
      <w:hyperlink r:id="rId199" w:history="1">
        <w:r w:rsidRPr="00C35056">
          <w:rPr>
            <w:rFonts w:cs="Arial"/>
            <w:sz w:val="18"/>
            <w:szCs w:val="18"/>
          </w:rPr>
          <w:t>http://www.dnrm.qld.gov.au/__data/assets/pdf_file/0011/106022/activity-1-2-poster.pdf</w:t>
        </w:r>
      </w:hyperlink>
      <w:r w:rsidRPr="00C35056">
        <w:rPr>
          <w:sz w:val="18"/>
          <w:szCs w:val="18"/>
        </w:rPr>
        <w:t xml:space="preserve"> </w:t>
      </w:r>
    </w:p>
    <w:p w14:paraId="14A33B3A" w14:textId="77777777" w:rsidR="00D4090D" w:rsidRDefault="00D4090D" w:rsidP="00D4090D"/>
    <w:p w14:paraId="5523D545" w14:textId="77777777" w:rsidR="00D4090D" w:rsidRDefault="00D4090D" w:rsidP="00D4090D">
      <w:pPr>
        <w:pStyle w:val="Heading2"/>
        <w:numPr>
          <w:ilvl w:val="0"/>
          <w:numId w:val="32"/>
        </w:numPr>
        <w:ind w:left="357" w:hanging="357"/>
        <w:sectPr w:rsidR="00D4090D" w:rsidSect="00CF4178">
          <w:pgSz w:w="11906" w:h="16838" w:code="9"/>
          <w:pgMar w:top="2268" w:right="1134" w:bottom="1276" w:left="1134" w:header="567" w:footer="567" w:gutter="0"/>
          <w:cols w:space="708"/>
          <w:titlePg/>
          <w:docGrid w:linePitch="360"/>
        </w:sectPr>
      </w:pPr>
    </w:p>
    <w:p w14:paraId="5AB9908E" w14:textId="716FF09C" w:rsidR="00D4090D" w:rsidRDefault="00D4090D" w:rsidP="00D4090D">
      <w:pPr>
        <w:pStyle w:val="Head2app"/>
      </w:pPr>
      <w:bookmarkStart w:id="948" w:name="_Toc420500940"/>
      <w:bookmarkStart w:id="949" w:name="_Toc420511195"/>
      <w:bookmarkStart w:id="950" w:name="_Toc420572516"/>
      <w:bookmarkStart w:id="951" w:name="_Toc420572687"/>
      <w:bookmarkStart w:id="952" w:name="_Toc420573105"/>
      <w:bookmarkStart w:id="953" w:name="_Toc296599094"/>
      <w:bookmarkStart w:id="954" w:name="_Toc296767315"/>
      <w:bookmarkStart w:id="955" w:name="_Toc296770456"/>
      <w:bookmarkStart w:id="956" w:name="_Toc423018280"/>
      <w:r>
        <w:t>Appendix AC</w:t>
      </w:r>
      <w:r w:rsidR="009D4C4C">
        <w:t xml:space="preserve">: </w:t>
      </w:r>
      <w:r>
        <w:t>Features of unconventional onshore gas resources</w:t>
      </w:r>
      <w:bookmarkEnd w:id="948"/>
      <w:bookmarkEnd w:id="949"/>
      <w:bookmarkEnd w:id="950"/>
      <w:bookmarkEnd w:id="951"/>
      <w:bookmarkEnd w:id="952"/>
      <w:bookmarkEnd w:id="953"/>
      <w:bookmarkEnd w:id="954"/>
      <w:bookmarkEnd w:id="955"/>
      <w:bookmarkEnd w:id="956"/>
    </w:p>
    <w:p w14:paraId="1BEB8549" w14:textId="77777777" w:rsidR="00D4090D" w:rsidRPr="00744F28" w:rsidRDefault="00D4090D" w:rsidP="00D4090D">
      <w:r>
        <w:t>The distinction drawn between conventional and unconventional gas is linked to the cost, difficulty and techniques required to extract the resource. Table AC1.</w:t>
      </w:r>
    </w:p>
    <w:p w14:paraId="3564F200" w14:textId="5A1FFBD9" w:rsidR="00D4090D" w:rsidRPr="00296B3B" w:rsidRDefault="00D4090D" w:rsidP="00D4090D">
      <w:pPr>
        <w:rPr>
          <w:b/>
          <w:i/>
        </w:rPr>
      </w:pPr>
      <w:r w:rsidRPr="00296B3B">
        <w:rPr>
          <w:b/>
        </w:rPr>
        <w:t>Table AC1: Characteristics of Unconventional Gas Resources</w:t>
      </w:r>
      <w:r>
        <w:rPr>
          <w:b/>
        </w:rPr>
        <w:t>.</w:t>
      </w:r>
    </w:p>
    <w:tbl>
      <w:tblPr>
        <w:tblW w:w="4953" w:type="pct"/>
        <w:tblInd w:w="85" w:type="dxa"/>
        <w:tblBorders>
          <w:bottom w:val="single" w:sz="4" w:space="0" w:color="005A97"/>
          <w:insideH w:val="single" w:sz="4" w:space="0" w:color="005A97"/>
          <w:insideV w:val="single" w:sz="4" w:space="0" w:color="005A97"/>
        </w:tblBorders>
        <w:tblCellMar>
          <w:left w:w="85" w:type="dxa"/>
          <w:right w:w="85" w:type="dxa"/>
        </w:tblCellMar>
        <w:tblLook w:val="04A0" w:firstRow="1" w:lastRow="0" w:firstColumn="1" w:lastColumn="0" w:noHBand="0" w:noVBand="1"/>
      </w:tblPr>
      <w:tblGrid>
        <w:gridCol w:w="1810"/>
        <w:gridCol w:w="3279"/>
        <w:gridCol w:w="4518"/>
        <w:gridCol w:w="4994"/>
      </w:tblGrid>
      <w:tr w:rsidR="00D4090D" w14:paraId="525BFEB6" w14:textId="77777777" w:rsidTr="000E55ED">
        <w:trPr>
          <w:cantSplit/>
          <w:tblHeader/>
        </w:trPr>
        <w:tc>
          <w:tcPr>
            <w:tcW w:w="620" w:type="pct"/>
            <w:tcBorders>
              <w:top w:val="nil"/>
              <w:right w:val="single" w:sz="4" w:space="0" w:color="FFFFFF"/>
            </w:tcBorders>
            <w:shd w:val="clear" w:color="auto" w:fill="005A97"/>
          </w:tcPr>
          <w:p w14:paraId="7CA4B17A" w14:textId="77777777" w:rsidR="00D4090D" w:rsidRPr="008A01C8" w:rsidRDefault="00D4090D" w:rsidP="000E55ED">
            <w:pPr>
              <w:pStyle w:val="TableHeaderrow"/>
            </w:pPr>
          </w:p>
        </w:tc>
        <w:tc>
          <w:tcPr>
            <w:tcW w:w="1123" w:type="pct"/>
            <w:tcBorders>
              <w:top w:val="nil"/>
              <w:left w:val="single" w:sz="4" w:space="0" w:color="FFFFFF"/>
              <w:right w:val="single" w:sz="4" w:space="0" w:color="FFFFFF"/>
            </w:tcBorders>
            <w:shd w:val="clear" w:color="auto" w:fill="005A97"/>
          </w:tcPr>
          <w:p w14:paraId="5539A076" w14:textId="77777777" w:rsidR="00D4090D" w:rsidRPr="008A01C8" w:rsidRDefault="00D4090D" w:rsidP="000E55ED">
            <w:pPr>
              <w:pStyle w:val="TableHeaderrow"/>
            </w:pPr>
            <w:r>
              <w:t>Coal seam gas</w:t>
            </w:r>
            <w:r w:rsidRPr="008A01C8">
              <w:tab/>
            </w:r>
          </w:p>
        </w:tc>
        <w:tc>
          <w:tcPr>
            <w:tcW w:w="1547" w:type="pct"/>
            <w:tcBorders>
              <w:top w:val="nil"/>
              <w:left w:val="single" w:sz="4" w:space="0" w:color="FFFFFF"/>
              <w:right w:val="single" w:sz="4" w:space="0" w:color="FFFFFF"/>
            </w:tcBorders>
            <w:shd w:val="clear" w:color="auto" w:fill="005A97"/>
          </w:tcPr>
          <w:p w14:paraId="1ECDB48C" w14:textId="77777777" w:rsidR="00D4090D" w:rsidRPr="008A01C8" w:rsidRDefault="00D4090D" w:rsidP="000E55ED">
            <w:pPr>
              <w:pStyle w:val="TableHeaderrow"/>
            </w:pPr>
            <w:r>
              <w:t>Shale g</w:t>
            </w:r>
            <w:r w:rsidRPr="008A01C8">
              <w:t>as</w:t>
            </w:r>
          </w:p>
        </w:tc>
        <w:tc>
          <w:tcPr>
            <w:tcW w:w="1710" w:type="pct"/>
            <w:tcBorders>
              <w:top w:val="nil"/>
              <w:left w:val="single" w:sz="4" w:space="0" w:color="FFFFFF"/>
            </w:tcBorders>
            <w:shd w:val="clear" w:color="auto" w:fill="005A97"/>
          </w:tcPr>
          <w:p w14:paraId="549424FE" w14:textId="77777777" w:rsidR="00D4090D" w:rsidRPr="008A01C8" w:rsidRDefault="00D4090D" w:rsidP="000E55ED">
            <w:pPr>
              <w:pStyle w:val="TableHeaderrow"/>
            </w:pPr>
            <w:r>
              <w:t>Tight g</w:t>
            </w:r>
            <w:r w:rsidRPr="008A01C8">
              <w:t>as</w:t>
            </w:r>
          </w:p>
        </w:tc>
      </w:tr>
      <w:tr w:rsidR="00D4090D" w14:paraId="030B991C" w14:textId="77777777" w:rsidTr="000E55ED">
        <w:trPr>
          <w:cantSplit/>
        </w:trPr>
        <w:tc>
          <w:tcPr>
            <w:tcW w:w="620" w:type="pct"/>
          </w:tcPr>
          <w:p w14:paraId="2E476F2C" w14:textId="77777777" w:rsidR="00D4090D" w:rsidRPr="008A01C8" w:rsidRDefault="00D4090D" w:rsidP="00E35DD3">
            <w:pPr>
              <w:pStyle w:val="Tabletext"/>
              <w:ind w:left="0"/>
            </w:pPr>
            <w:r>
              <w:t>Source and reservoir</w:t>
            </w:r>
            <w:r w:rsidRPr="008A01C8">
              <w:t xml:space="preserve"> rock</w:t>
            </w:r>
            <w:r>
              <w:t>s</w:t>
            </w:r>
            <w:r w:rsidRPr="008A01C8">
              <w:t xml:space="preserve"> </w:t>
            </w:r>
          </w:p>
        </w:tc>
        <w:tc>
          <w:tcPr>
            <w:tcW w:w="1123" w:type="pct"/>
          </w:tcPr>
          <w:p w14:paraId="0580C9C6" w14:textId="77777777" w:rsidR="00D4090D" w:rsidRPr="008A01C8" w:rsidRDefault="00D4090D" w:rsidP="00E35DD3">
            <w:pPr>
              <w:pStyle w:val="Tabletext"/>
              <w:ind w:left="0"/>
            </w:pPr>
            <w:r>
              <w:t xml:space="preserve">Low rank </w:t>
            </w:r>
            <w:r w:rsidRPr="008A01C8">
              <w:t xml:space="preserve">Coal </w:t>
            </w:r>
            <w:r>
              <w:t xml:space="preserve"> both the source and the reservoir</w:t>
            </w:r>
          </w:p>
        </w:tc>
        <w:tc>
          <w:tcPr>
            <w:tcW w:w="1547" w:type="pct"/>
          </w:tcPr>
          <w:p w14:paraId="38C95BCA" w14:textId="77777777" w:rsidR="00D4090D" w:rsidRPr="008A01C8" w:rsidRDefault="00D4090D" w:rsidP="00E35DD3">
            <w:pPr>
              <w:pStyle w:val="Tabletext"/>
              <w:ind w:left="0"/>
            </w:pPr>
            <w:r w:rsidRPr="008A01C8">
              <w:t>Low permeability fine grained sedimentary rocks</w:t>
            </w:r>
            <w:r>
              <w:t xml:space="preserve"> constitute both the source and the reservoir</w:t>
            </w:r>
          </w:p>
        </w:tc>
        <w:tc>
          <w:tcPr>
            <w:tcW w:w="1710" w:type="pct"/>
          </w:tcPr>
          <w:p w14:paraId="1FD32A54" w14:textId="77777777" w:rsidR="00D4090D" w:rsidRPr="008A01C8" w:rsidRDefault="00D4090D" w:rsidP="00E35DD3">
            <w:pPr>
              <w:pStyle w:val="Tabletext"/>
              <w:ind w:left="0"/>
            </w:pPr>
            <w:r w:rsidRPr="008A01C8">
              <w:t xml:space="preserve">Various source rocks have generated gas that has migrated into low permeability sandstone and </w:t>
            </w:r>
            <w:r>
              <w:t>l</w:t>
            </w:r>
            <w:r w:rsidRPr="008A01C8">
              <w:t>imestone reservoirs</w:t>
            </w:r>
          </w:p>
        </w:tc>
      </w:tr>
      <w:tr w:rsidR="00D4090D" w14:paraId="791E3A40" w14:textId="77777777" w:rsidTr="000E55ED">
        <w:trPr>
          <w:cantSplit/>
        </w:trPr>
        <w:tc>
          <w:tcPr>
            <w:tcW w:w="620" w:type="pct"/>
          </w:tcPr>
          <w:p w14:paraId="6EFD6A50" w14:textId="77777777" w:rsidR="00D4090D" w:rsidRPr="008A01C8" w:rsidRDefault="00D4090D" w:rsidP="00E35DD3">
            <w:pPr>
              <w:pStyle w:val="Tabletext"/>
              <w:ind w:left="0"/>
            </w:pPr>
            <w:r w:rsidRPr="008A01C8">
              <w:t>Depth</w:t>
            </w:r>
          </w:p>
        </w:tc>
        <w:tc>
          <w:tcPr>
            <w:tcW w:w="1123" w:type="pct"/>
          </w:tcPr>
          <w:p w14:paraId="0AE4602D" w14:textId="77777777" w:rsidR="00D4090D" w:rsidRPr="008A01C8" w:rsidRDefault="00D4090D" w:rsidP="00E35DD3">
            <w:pPr>
              <w:pStyle w:val="Tabletext"/>
              <w:ind w:left="0"/>
            </w:pPr>
            <w:r w:rsidRPr="008A01C8">
              <w:t>Shallower</w:t>
            </w:r>
            <w:r w:rsidRPr="008A01C8">
              <w:br/>
              <w:t>300-1000 m</w:t>
            </w:r>
          </w:p>
        </w:tc>
        <w:tc>
          <w:tcPr>
            <w:tcW w:w="1547" w:type="pct"/>
          </w:tcPr>
          <w:p w14:paraId="764A521F" w14:textId="76791593" w:rsidR="00D4090D" w:rsidRPr="008A01C8" w:rsidRDefault="00D4090D" w:rsidP="00E35DD3">
            <w:pPr>
              <w:pStyle w:val="Tabletext"/>
              <w:ind w:left="0"/>
            </w:pPr>
            <w:r w:rsidRPr="008A01C8">
              <w:t xml:space="preserve">Deeper </w:t>
            </w:r>
            <w:r>
              <w:br/>
            </w:r>
            <w:r w:rsidRPr="008A01C8">
              <w:t>1000</w:t>
            </w:r>
            <w:r>
              <w:t>–</w:t>
            </w:r>
            <w:r w:rsidRPr="008A01C8">
              <w:t>2000+ m</w:t>
            </w:r>
            <w:r>
              <w:rPr>
                <w:rStyle w:val="FootnoteReference"/>
              </w:rPr>
              <w:footnoteReference w:id="19"/>
            </w:r>
            <w:r>
              <w:t xml:space="preserve"> </w:t>
            </w:r>
            <w:r>
              <w:br/>
              <w:t>2000–4000 m</w:t>
            </w:r>
            <w:r>
              <w:rPr>
                <w:rStyle w:val="FootnoteReference"/>
              </w:rPr>
              <w:footnoteReference w:id="20"/>
            </w:r>
          </w:p>
        </w:tc>
        <w:tc>
          <w:tcPr>
            <w:tcW w:w="1710" w:type="pct"/>
          </w:tcPr>
          <w:p w14:paraId="1C3D5CCF" w14:textId="77777777" w:rsidR="00D4090D" w:rsidRPr="008A01C8" w:rsidRDefault="00D4090D" w:rsidP="00E35DD3">
            <w:pPr>
              <w:pStyle w:val="Tabletext"/>
              <w:ind w:left="0"/>
            </w:pPr>
            <w:r>
              <w:t>In excess of</w:t>
            </w:r>
            <w:r w:rsidRPr="008A01C8">
              <w:t xml:space="preserve"> 1000 m</w:t>
            </w:r>
          </w:p>
        </w:tc>
      </w:tr>
      <w:tr w:rsidR="00D4090D" w14:paraId="75729A5D" w14:textId="77777777" w:rsidTr="000E55ED">
        <w:trPr>
          <w:cantSplit/>
        </w:trPr>
        <w:tc>
          <w:tcPr>
            <w:tcW w:w="620" w:type="pct"/>
          </w:tcPr>
          <w:p w14:paraId="17ADAD47" w14:textId="77777777" w:rsidR="00D4090D" w:rsidRPr="008A01C8" w:rsidRDefault="00D4090D" w:rsidP="00E35DD3">
            <w:pPr>
              <w:pStyle w:val="Tabletext"/>
              <w:ind w:left="0"/>
            </w:pPr>
            <w:r w:rsidRPr="008A01C8">
              <w:t xml:space="preserve">Permeability </w:t>
            </w:r>
          </w:p>
        </w:tc>
        <w:tc>
          <w:tcPr>
            <w:tcW w:w="1123" w:type="pct"/>
          </w:tcPr>
          <w:p w14:paraId="7CDD325D" w14:textId="77777777" w:rsidR="00D4090D" w:rsidRPr="008A01C8" w:rsidRDefault="00D4090D" w:rsidP="00E35DD3">
            <w:pPr>
              <w:pStyle w:val="Tabletext"/>
              <w:ind w:left="0"/>
            </w:pPr>
            <w:r w:rsidRPr="008A01C8">
              <w:t>Lower flow rate (permeability) than conventional gas, higher density of wells required to develop a resource</w:t>
            </w:r>
            <w:r w:rsidRPr="008A01C8">
              <w:rPr>
                <w:rStyle w:val="FootnoteReference"/>
                <w:sz w:val="16"/>
              </w:rPr>
              <w:footnoteReference w:id="21"/>
            </w:r>
          </w:p>
        </w:tc>
        <w:tc>
          <w:tcPr>
            <w:tcW w:w="1547" w:type="pct"/>
          </w:tcPr>
          <w:p w14:paraId="4CE2151E" w14:textId="77777777" w:rsidR="00D4090D" w:rsidRPr="008A01C8" w:rsidRDefault="00D4090D" w:rsidP="00E35DD3">
            <w:pPr>
              <w:pStyle w:val="Tabletext"/>
              <w:ind w:left="0"/>
            </w:pPr>
            <w:r w:rsidRPr="008A01C8">
              <w:t xml:space="preserve">Harder than coal, </w:t>
            </w:r>
            <w:r>
              <w:t xml:space="preserve">very </w:t>
            </w:r>
            <w:r w:rsidRPr="008A01C8">
              <w:t>low permeability</w:t>
            </w:r>
          </w:p>
        </w:tc>
        <w:tc>
          <w:tcPr>
            <w:tcW w:w="1710" w:type="pct"/>
          </w:tcPr>
          <w:p w14:paraId="1850F924" w14:textId="77777777" w:rsidR="00D4090D" w:rsidRDefault="00D4090D" w:rsidP="00E35DD3">
            <w:pPr>
              <w:pStyle w:val="Tabletext"/>
              <w:ind w:left="0"/>
            </w:pPr>
            <w:r w:rsidRPr="008A01C8">
              <w:t xml:space="preserve">Very low permeability </w:t>
            </w:r>
          </w:p>
        </w:tc>
      </w:tr>
      <w:tr w:rsidR="00D4090D" w14:paraId="3E44479E" w14:textId="77777777" w:rsidTr="000E55ED">
        <w:trPr>
          <w:cantSplit/>
        </w:trPr>
        <w:tc>
          <w:tcPr>
            <w:tcW w:w="620" w:type="pct"/>
          </w:tcPr>
          <w:p w14:paraId="4898DC25" w14:textId="77777777" w:rsidR="00D4090D" w:rsidRPr="008A01C8" w:rsidRDefault="00D4090D" w:rsidP="00E35DD3">
            <w:pPr>
              <w:pStyle w:val="Tabletext"/>
              <w:ind w:left="0"/>
            </w:pPr>
            <w:r>
              <w:t>Hydraulic fracturing</w:t>
            </w:r>
          </w:p>
        </w:tc>
        <w:tc>
          <w:tcPr>
            <w:tcW w:w="1123" w:type="pct"/>
          </w:tcPr>
          <w:p w14:paraId="2B4242BF" w14:textId="77777777" w:rsidR="00D4090D" w:rsidRPr="008A01C8" w:rsidRDefault="00D4090D" w:rsidP="00E35DD3">
            <w:pPr>
              <w:pStyle w:val="Tabletext"/>
              <w:ind w:left="0"/>
            </w:pPr>
            <w:r>
              <w:t>Whether or not fracking is required is dependent on the nature and depth of the coals. Not needed for shallow brown coal</w:t>
            </w:r>
          </w:p>
        </w:tc>
        <w:tc>
          <w:tcPr>
            <w:tcW w:w="3257" w:type="pct"/>
            <w:gridSpan w:val="2"/>
          </w:tcPr>
          <w:p w14:paraId="280761EB" w14:textId="77777777" w:rsidR="00D4090D" w:rsidRPr="008A01C8" w:rsidRDefault="00D4090D" w:rsidP="00E35DD3">
            <w:pPr>
              <w:pStyle w:val="Tabletext"/>
              <w:ind w:left="0"/>
            </w:pPr>
            <w:r>
              <w:t>Most often required to increase the permeability. H</w:t>
            </w:r>
            <w:r w:rsidRPr="008A01C8">
              <w:t xml:space="preserve">igh pressure required </w:t>
            </w:r>
            <w:r>
              <w:t>( due to d</w:t>
            </w:r>
            <w:r w:rsidRPr="008A01C8">
              <w:t>epth of rock, strength of shale</w:t>
            </w:r>
            <w:r>
              <w:t>)</w:t>
            </w:r>
            <w:r w:rsidRPr="008A01C8">
              <w:t xml:space="preserve"> </w:t>
            </w:r>
          </w:p>
        </w:tc>
      </w:tr>
      <w:tr w:rsidR="00D4090D" w14:paraId="33ED3921" w14:textId="77777777" w:rsidTr="000E55ED">
        <w:trPr>
          <w:cantSplit/>
        </w:trPr>
        <w:tc>
          <w:tcPr>
            <w:tcW w:w="620" w:type="pct"/>
          </w:tcPr>
          <w:p w14:paraId="5C7C4AAB" w14:textId="77777777" w:rsidR="00D4090D" w:rsidRPr="008A01C8" w:rsidRDefault="00D4090D" w:rsidP="00E35DD3">
            <w:pPr>
              <w:pStyle w:val="Tabletext"/>
              <w:ind w:left="0"/>
            </w:pPr>
            <w:r w:rsidRPr="008A01C8">
              <w:t>Extraction technology</w:t>
            </w:r>
          </w:p>
        </w:tc>
        <w:tc>
          <w:tcPr>
            <w:tcW w:w="1123" w:type="pct"/>
          </w:tcPr>
          <w:p w14:paraId="27496CE5" w14:textId="15B1B3D0" w:rsidR="00D4090D" w:rsidRPr="00E61065" w:rsidRDefault="00D4090D" w:rsidP="00E35DD3">
            <w:pPr>
              <w:pStyle w:val="Tabletext"/>
              <w:ind w:left="0"/>
            </w:pPr>
            <w:r w:rsidRPr="00E61065">
              <w:t>Vertical or directional wells; if required</w:t>
            </w:r>
            <w:r w:rsidR="005F6419">
              <w:t xml:space="preserve">, </w:t>
            </w:r>
            <w:r w:rsidRPr="00E61065">
              <w:t>generally low numbers of fracks per well</w:t>
            </w:r>
          </w:p>
          <w:p w14:paraId="46E360D0" w14:textId="77777777" w:rsidR="00D4090D" w:rsidRPr="00E61065" w:rsidRDefault="00D4090D" w:rsidP="00E35DD3">
            <w:pPr>
              <w:pStyle w:val="Tabletext"/>
              <w:ind w:left="0"/>
            </w:pPr>
            <w:r w:rsidRPr="00E61065">
              <w:t xml:space="preserve">Dewatering of coals an essential feature of most </w:t>
            </w:r>
            <w:r>
              <w:t>coal seam gas</w:t>
            </w:r>
            <w:r w:rsidRPr="00E61065">
              <w:t xml:space="preserve"> developments.</w:t>
            </w:r>
          </w:p>
          <w:p w14:paraId="1C05DA51" w14:textId="77777777" w:rsidR="00D4090D" w:rsidRPr="00E61065" w:rsidRDefault="00D4090D" w:rsidP="00E35DD3">
            <w:pPr>
              <w:pStyle w:val="Tabletext"/>
              <w:ind w:left="0"/>
            </w:pPr>
            <w:r w:rsidRPr="00E61065">
              <w:t>Gas is adsorbed onto the coal</w:t>
            </w:r>
          </w:p>
        </w:tc>
        <w:tc>
          <w:tcPr>
            <w:tcW w:w="1547" w:type="pct"/>
          </w:tcPr>
          <w:p w14:paraId="2795053B" w14:textId="77777777" w:rsidR="00D4090D" w:rsidRPr="00E61065" w:rsidRDefault="00D4090D" w:rsidP="00E35DD3">
            <w:pPr>
              <w:pStyle w:val="Tabletext"/>
              <w:ind w:left="0"/>
            </w:pPr>
            <w:r w:rsidRPr="00E61065">
              <w:t>High volume/pressure hydraulic fracturing required and directional or horizontal wells are usually necessary</w:t>
            </w:r>
          </w:p>
          <w:p w14:paraId="1AF67DEE" w14:textId="77777777" w:rsidR="00D4090D" w:rsidRPr="00E61065" w:rsidRDefault="00D4090D" w:rsidP="00E35DD3">
            <w:pPr>
              <w:pStyle w:val="Tabletext"/>
              <w:ind w:left="0"/>
            </w:pPr>
            <w:r w:rsidRPr="00E61065">
              <w:t xml:space="preserve">Wells may need to be fracked multiple times. </w:t>
            </w:r>
          </w:p>
          <w:p w14:paraId="7D49D099" w14:textId="77777777" w:rsidR="00D4090D" w:rsidRPr="00E61065" w:rsidRDefault="00D4090D" w:rsidP="00E35DD3">
            <w:pPr>
              <w:pStyle w:val="Tabletext"/>
              <w:ind w:left="0"/>
            </w:pPr>
            <w:r w:rsidRPr="00E61065">
              <w:t>Shales have diverse reservoir properties, and a wide array of drilling, completion, and development practices may be applied to exploit them</w:t>
            </w:r>
            <w:r w:rsidRPr="00E61065">
              <w:rPr>
                <w:vertAlign w:val="superscript"/>
              </w:rPr>
              <w:footnoteReference w:id="22"/>
            </w:r>
          </w:p>
          <w:p w14:paraId="13D4862E" w14:textId="77777777" w:rsidR="00D4090D" w:rsidRPr="00E61065" w:rsidRDefault="00D4090D" w:rsidP="00E35DD3">
            <w:pPr>
              <w:pStyle w:val="Tabletext"/>
              <w:ind w:left="0"/>
            </w:pPr>
            <w:r w:rsidRPr="00E61065">
              <w:t>In the US almost all shale gas is extracted from horizontal wells and vertical induced fractures. In Australia the stress field is often compressive, and fracking in vertical wells may be necessary.</w:t>
            </w:r>
            <w:r w:rsidRPr="00E61065">
              <w:rPr>
                <w:vertAlign w:val="superscript"/>
              </w:rPr>
              <w:footnoteReference w:id="23"/>
            </w:r>
          </w:p>
        </w:tc>
        <w:tc>
          <w:tcPr>
            <w:tcW w:w="1710" w:type="pct"/>
          </w:tcPr>
          <w:p w14:paraId="5B2C4B48" w14:textId="16A96A1D" w:rsidR="00D4090D" w:rsidRPr="00E61065" w:rsidRDefault="00D4090D" w:rsidP="00E35DD3">
            <w:pPr>
              <w:pStyle w:val="Tabletext"/>
              <w:ind w:left="0"/>
            </w:pPr>
            <w:r w:rsidRPr="00E61065">
              <w:t>Large scale hydraulic fracturing treatments. required and horizontal wells may be necessary.</w:t>
            </w:r>
            <w:r w:rsidRPr="00E61065">
              <w:rPr>
                <w:vertAlign w:val="superscript"/>
              </w:rPr>
              <w:footnoteReference w:id="24"/>
            </w:r>
            <w:r w:rsidRPr="00E61065">
              <w:rPr>
                <w:vertAlign w:val="superscript"/>
              </w:rPr>
              <w:t xml:space="preserve"> </w:t>
            </w:r>
          </w:p>
          <w:p w14:paraId="4D50E851" w14:textId="77777777" w:rsidR="00D4090D" w:rsidRPr="00E61065" w:rsidRDefault="00D4090D" w:rsidP="00E35DD3">
            <w:pPr>
              <w:pStyle w:val="Tabletext"/>
              <w:ind w:left="0"/>
            </w:pPr>
            <w:r w:rsidRPr="00E61065">
              <w:t>Hydraulic fracture stimulation (single or multi-stage) is necessary to produce from tight gas reservoirs via vertical, slanted and horizontal wells</w:t>
            </w:r>
            <w:r w:rsidRPr="00E61065">
              <w:rPr>
                <w:vertAlign w:val="superscript"/>
              </w:rPr>
              <w:footnoteReference w:id="25"/>
            </w:r>
            <w:r w:rsidRPr="00E61065">
              <w:rPr>
                <w:vertAlign w:val="superscript"/>
              </w:rPr>
              <w:t xml:space="preserve">. </w:t>
            </w:r>
          </w:p>
        </w:tc>
      </w:tr>
      <w:tr w:rsidR="00D4090D" w14:paraId="42F39395" w14:textId="77777777" w:rsidTr="000E55ED">
        <w:trPr>
          <w:cantSplit/>
        </w:trPr>
        <w:tc>
          <w:tcPr>
            <w:tcW w:w="620" w:type="pct"/>
          </w:tcPr>
          <w:p w14:paraId="2EB56854" w14:textId="77777777" w:rsidR="00D4090D" w:rsidRPr="008A01C8" w:rsidRDefault="00D4090D" w:rsidP="00E35DD3">
            <w:pPr>
              <w:pStyle w:val="Tabletext"/>
              <w:ind w:left="0"/>
            </w:pPr>
            <w:r w:rsidRPr="008A01C8">
              <w:t>Water usage</w:t>
            </w:r>
          </w:p>
        </w:tc>
        <w:tc>
          <w:tcPr>
            <w:tcW w:w="1123" w:type="pct"/>
          </w:tcPr>
          <w:p w14:paraId="007020FB" w14:textId="77777777" w:rsidR="00D4090D" w:rsidRPr="008A01C8" w:rsidRDefault="00D4090D" w:rsidP="00E35DD3">
            <w:pPr>
              <w:pStyle w:val="Tabletext"/>
              <w:ind w:left="0"/>
            </w:pPr>
            <w:r w:rsidRPr="008A01C8">
              <w:t xml:space="preserve">If hydraulic fracturing is necessary, </w:t>
            </w:r>
            <w:r>
              <w:t xml:space="preserve">some </w:t>
            </w:r>
            <w:r w:rsidRPr="008A01C8">
              <w:t xml:space="preserve">water </w:t>
            </w:r>
            <w:r>
              <w:t>would be</w:t>
            </w:r>
            <w:r w:rsidRPr="008A01C8">
              <w:t xml:space="preserve"> required for the fracturing process.</w:t>
            </w:r>
          </w:p>
        </w:tc>
        <w:tc>
          <w:tcPr>
            <w:tcW w:w="3257" w:type="pct"/>
            <w:gridSpan w:val="2"/>
          </w:tcPr>
          <w:p w14:paraId="68ADF514" w14:textId="77777777" w:rsidR="00D4090D" w:rsidRPr="008A01C8" w:rsidRDefault="00D4090D" w:rsidP="00E35DD3">
            <w:pPr>
              <w:pStyle w:val="Tabletext"/>
              <w:ind w:left="0"/>
            </w:pPr>
            <w:r>
              <w:t>Large volumes of w</w:t>
            </w:r>
            <w:r w:rsidRPr="008A01C8">
              <w:t xml:space="preserve">ater </w:t>
            </w:r>
            <w:r>
              <w:t>are</w:t>
            </w:r>
            <w:r w:rsidRPr="008A01C8">
              <w:t xml:space="preserve"> required for hydraulic fracturing</w:t>
            </w:r>
          </w:p>
          <w:p w14:paraId="749FED6F" w14:textId="77777777" w:rsidR="00D4090D" w:rsidRDefault="00D4090D" w:rsidP="00E35DD3">
            <w:pPr>
              <w:pStyle w:val="Tabletext"/>
              <w:ind w:left="0"/>
            </w:pPr>
            <w:r w:rsidRPr="001A51A6">
              <w:t>Est</w:t>
            </w:r>
            <w:r>
              <w:t>imates of water requirements vary depending on rock formation, the number of stages that are fractured, whether vertical or horizontal wells are drilled and also between operators. Additionally, much of the water is or can be recycled water.</w:t>
            </w:r>
          </w:p>
          <w:p w14:paraId="3664B994" w14:textId="18DDC313" w:rsidR="00D4090D" w:rsidRPr="008A01C8" w:rsidRDefault="00D4090D" w:rsidP="00E35DD3">
            <w:pPr>
              <w:pStyle w:val="Tabletext"/>
              <w:ind w:left="0"/>
            </w:pPr>
            <w:r>
              <w:t>Indicative figures from Nicot and Scanlon (2012) of water use for shale-gas production in 3 major plays in Texas, the major shale gas producer in the US:</w:t>
            </w:r>
            <w:r>
              <w:br/>
              <w:t>– Eagle Ford Shale: 4.3 m gallons (1040 wells)</w:t>
            </w:r>
            <w:r>
              <w:br/>
              <w:t>– Barnett Shale:  2.8 m gallons (15 000 wells in mid 2011)</w:t>
            </w:r>
            <w:r>
              <w:br/>
              <w:t>– Haynesville Shale: 5.7 m gallons (390 wells)</w:t>
            </w:r>
          </w:p>
          <w:p w14:paraId="51303F27" w14:textId="77777777" w:rsidR="00D4090D" w:rsidRPr="008A01C8" w:rsidRDefault="00D4090D" w:rsidP="00E35DD3">
            <w:pPr>
              <w:pStyle w:val="Tabletext"/>
              <w:ind w:left="0"/>
            </w:pPr>
            <w:r>
              <w:t>Note: Figures are based on well completion data.</w:t>
            </w:r>
          </w:p>
        </w:tc>
      </w:tr>
      <w:tr w:rsidR="00D4090D" w14:paraId="240F68A3" w14:textId="77777777" w:rsidTr="000E55ED">
        <w:trPr>
          <w:cantSplit/>
        </w:trPr>
        <w:tc>
          <w:tcPr>
            <w:tcW w:w="620" w:type="pct"/>
          </w:tcPr>
          <w:p w14:paraId="1571A1DC" w14:textId="77777777" w:rsidR="00D4090D" w:rsidRPr="008A01C8" w:rsidRDefault="00D4090D" w:rsidP="00E35DD3">
            <w:pPr>
              <w:pStyle w:val="Tabletext"/>
              <w:ind w:left="0"/>
            </w:pPr>
            <w:r>
              <w:t>Co-p</w:t>
            </w:r>
            <w:r w:rsidRPr="008A01C8">
              <w:t>roduced Water</w:t>
            </w:r>
          </w:p>
        </w:tc>
        <w:tc>
          <w:tcPr>
            <w:tcW w:w="1123" w:type="pct"/>
          </w:tcPr>
          <w:p w14:paraId="435B2986" w14:textId="77777777" w:rsidR="00D4090D" w:rsidRDefault="00D4090D" w:rsidP="00E35DD3">
            <w:pPr>
              <w:pStyle w:val="Tabletext"/>
              <w:ind w:left="0"/>
            </w:pPr>
            <w:r w:rsidRPr="008A01C8">
              <w:t>Water must be pumped from seams to reduce reservoir pressure and allow gas to flow.</w:t>
            </w:r>
          </w:p>
          <w:p w14:paraId="1B54C0CA" w14:textId="0E915E36" w:rsidR="00D4090D" w:rsidRPr="008A01C8" w:rsidRDefault="00D4090D" w:rsidP="00745554">
            <w:pPr>
              <w:pStyle w:val="Tabletext"/>
              <w:ind w:left="0"/>
            </w:pPr>
            <w:r>
              <w:t xml:space="preserve">Dewatering may produce significant volumes, although highly variable according to stage of gas extraction. </w:t>
            </w:r>
          </w:p>
        </w:tc>
        <w:tc>
          <w:tcPr>
            <w:tcW w:w="3257" w:type="pct"/>
            <w:gridSpan w:val="2"/>
          </w:tcPr>
          <w:p w14:paraId="1D74C752" w14:textId="77777777" w:rsidR="00D4090D" w:rsidRPr="008A01C8" w:rsidRDefault="00D4090D" w:rsidP="00E35DD3">
            <w:pPr>
              <w:pStyle w:val="Tabletext"/>
              <w:ind w:left="0"/>
            </w:pPr>
            <w:r w:rsidRPr="00E61065">
              <w:t>Low volumes of produced water, insignificant in many cases,  than coal seam gas</w:t>
            </w:r>
          </w:p>
        </w:tc>
      </w:tr>
    </w:tbl>
    <w:p w14:paraId="7E2DF281" w14:textId="6B1AF7DF" w:rsidR="00D4090D" w:rsidRPr="00AE4986" w:rsidRDefault="00D4090D" w:rsidP="00D4090D">
      <w:pPr>
        <w:pStyle w:val="Notetext"/>
      </w:pPr>
      <w:r>
        <w:br/>
      </w:r>
      <w:r w:rsidRPr="00AE4986">
        <w:t xml:space="preserve">Adapted from </w:t>
      </w:r>
      <w:r>
        <w:t>Cook (2003), B</w:t>
      </w:r>
      <w:r w:rsidRPr="00AE4986">
        <w:t xml:space="preserve">arrett </w:t>
      </w:r>
      <w:r w:rsidRPr="00AE4986">
        <w:rPr>
          <w:i/>
        </w:rPr>
        <w:t>et al</w:t>
      </w:r>
      <w:r>
        <w:rPr>
          <w:i/>
        </w:rPr>
        <w:t>.</w:t>
      </w:r>
      <w:r w:rsidRPr="00AE4986">
        <w:rPr>
          <w:i/>
        </w:rPr>
        <w:t xml:space="preserve"> </w:t>
      </w:r>
      <w:r w:rsidRPr="00AE4986">
        <w:t>(2013)</w:t>
      </w:r>
    </w:p>
    <w:p w14:paraId="43BD2F08" w14:textId="77777777" w:rsidR="00D4090D" w:rsidRDefault="00D4090D" w:rsidP="00D4090D"/>
    <w:p w14:paraId="4BC21C99" w14:textId="77777777" w:rsidR="00D4090D" w:rsidRDefault="00D4090D" w:rsidP="00D4090D">
      <w:pPr>
        <w:pStyle w:val="Heading2"/>
        <w:numPr>
          <w:ilvl w:val="0"/>
          <w:numId w:val="32"/>
        </w:numPr>
        <w:ind w:left="357" w:hanging="357"/>
        <w:sectPr w:rsidR="00D4090D" w:rsidSect="00CF4178">
          <w:headerReference w:type="default" r:id="rId200"/>
          <w:headerReference w:type="first" r:id="rId201"/>
          <w:pgSz w:w="16838" w:h="11906" w:orient="landscape" w:code="9"/>
          <w:pgMar w:top="1701" w:right="1134" w:bottom="1276" w:left="1134" w:header="567" w:footer="567" w:gutter="0"/>
          <w:cols w:space="708"/>
          <w:titlePg/>
          <w:docGrid w:linePitch="360"/>
        </w:sectPr>
      </w:pPr>
    </w:p>
    <w:p w14:paraId="70CFF97D" w14:textId="62DE3405" w:rsidR="00D4090D" w:rsidRDefault="00D4090D" w:rsidP="00D4090D">
      <w:pPr>
        <w:pStyle w:val="Head2app"/>
      </w:pPr>
      <w:bookmarkStart w:id="959" w:name="_Ref406753936"/>
      <w:bookmarkStart w:id="960" w:name="_Ref406753948"/>
      <w:bookmarkStart w:id="961" w:name="_Toc420500941"/>
      <w:bookmarkStart w:id="962" w:name="_Toc420511196"/>
      <w:bookmarkStart w:id="963" w:name="_Toc420572517"/>
      <w:bookmarkStart w:id="964" w:name="_Toc420572688"/>
      <w:bookmarkStart w:id="965" w:name="_Toc420573106"/>
      <w:bookmarkStart w:id="966" w:name="_Toc296599095"/>
      <w:bookmarkStart w:id="967" w:name="_Toc296767316"/>
      <w:bookmarkStart w:id="968" w:name="_Toc296770457"/>
      <w:bookmarkStart w:id="969" w:name="_Toc423018281"/>
      <w:r>
        <w:t>Appendix AD</w:t>
      </w:r>
      <w:r w:rsidR="009D4C4C">
        <w:t xml:space="preserve">: </w:t>
      </w:r>
      <w:r>
        <w:t>Modelling pathways</w:t>
      </w:r>
      <w:bookmarkEnd w:id="959"/>
      <w:bookmarkEnd w:id="960"/>
      <w:bookmarkEnd w:id="961"/>
      <w:bookmarkEnd w:id="962"/>
      <w:bookmarkEnd w:id="963"/>
      <w:bookmarkEnd w:id="964"/>
      <w:bookmarkEnd w:id="965"/>
      <w:bookmarkEnd w:id="966"/>
      <w:bookmarkEnd w:id="967"/>
      <w:bookmarkEnd w:id="968"/>
      <w:bookmarkEnd w:id="969"/>
    </w:p>
    <w:p w14:paraId="75A31D6E" w14:textId="77777777" w:rsidR="00D4090D" w:rsidRPr="00E61065" w:rsidRDefault="00D4090D" w:rsidP="00D4090D">
      <w:pPr>
        <w:pStyle w:val="Heading4"/>
        <w:ind w:left="864" w:hanging="864"/>
      </w:pPr>
      <w:r w:rsidRPr="00E61065">
        <w:t>Methods of assessing groundwater attributes</w:t>
      </w:r>
      <w:r>
        <w:br/>
      </w:r>
    </w:p>
    <w:p w14:paraId="0DACE9E5" w14:textId="23309938" w:rsidR="00D4090D" w:rsidRPr="004A4439" w:rsidRDefault="00D4090D" w:rsidP="002D44DF">
      <w:pPr>
        <w:pStyle w:val="Tableheading"/>
      </w:pPr>
      <w:bookmarkStart w:id="970" w:name="_Toc296600026"/>
      <w:bookmarkStart w:id="971" w:name="_Toc296770895"/>
      <w:bookmarkStart w:id="972" w:name="_Toc420511301"/>
      <w:bookmarkStart w:id="973" w:name="_Toc420573200"/>
      <w:r w:rsidRPr="00B85F18">
        <w:t xml:space="preserve">Table </w:t>
      </w:r>
      <w:r>
        <w:t>AD</w:t>
      </w:r>
      <w:r>
        <w:fldChar w:fldCharType="begin"/>
      </w:r>
      <w:r>
        <w:instrText xml:space="preserve"> SEQ Table \* ARABIC \s 9 </w:instrText>
      </w:r>
      <w:r>
        <w:fldChar w:fldCharType="separate"/>
      </w:r>
      <w:r w:rsidR="00171A5E">
        <w:rPr>
          <w:noProof/>
        </w:rPr>
        <w:t>1</w:t>
      </w:r>
      <w:r>
        <w:rPr>
          <w:noProof/>
        </w:rPr>
        <w:fldChar w:fldCharType="end"/>
      </w:r>
      <w:r w:rsidRPr="00B85F18">
        <w:t xml:space="preserve">: </w:t>
      </w:r>
      <w:r>
        <w:t xml:space="preserve">Groundwater assessment methods. (Source: Anderson </w:t>
      </w:r>
      <w:r w:rsidRPr="004037EF">
        <w:t xml:space="preserve">et al </w:t>
      </w:r>
      <w:r>
        <w:t>2011.)</w:t>
      </w:r>
      <w:bookmarkEnd w:id="970"/>
      <w:bookmarkEnd w:id="971"/>
      <w:bookmarkEnd w:id="972"/>
      <w:bookmarkEnd w:id="973"/>
    </w:p>
    <w:p w14:paraId="3D959D14" w14:textId="77777777" w:rsidR="00D4090D" w:rsidRDefault="00D4090D" w:rsidP="00D4090D">
      <w:r>
        <w:rPr>
          <w:noProof/>
          <w:lang w:val="en-AU"/>
        </w:rPr>
        <w:drawing>
          <wp:inline distT="0" distB="0" distL="0" distR="0" wp14:anchorId="4CD31A6F" wp14:editId="7CCBD2F0">
            <wp:extent cx="6244046" cy="3578319"/>
            <wp:effectExtent l="0" t="0" r="4445" b="3175"/>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6248874" cy="3581086"/>
                    </a:xfrm>
                    <a:prstGeom prst="rect">
                      <a:avLst/>
                    </a:prstGeom>
                  </pic:spPr>
                </pic:pic>
              </a:graphicData>
            </a:graphic>
          </wp:inline>
        </w:drawing>
      </w:r>
    </w:p>
    <w:p w14:paraId="2FB7EC85" w14:textId="77777777" w:rsidR="00D4090D" w:rsidRDefault="00D4090D" w:rsidP="00D4090D"/>
    <w:p w14:paraId="3DF98581" w14:textId="77777777" w:rsidR="00D4090D" w:rsidRPr="00E61065" w:rsidRDefault="00D4090D" w:rsidP="00D4090D">
      <w:pPr>
        <w:pStyle w:val="Heading4"/>
        <w:ind w:left="864" w:hanging="864"/>
      </w:pPr>
      <w:r w:rsidRPr="00E61065">
        <w:t>Groundwater vulnerability assessment models</w:t>
      </w:r>
    </w:p>
    <w:p w14:paraId="288381E1" w14:textId="77777777" w:rsidR="00D4090D" w:rsidRPr="007438A6" w:rsidRDefault="00D4090D" w:rsidP="00D4090D">
      <w:r>
        <w:t xml:space="preserve">The following methodologies have been developed in the European and US contexts of minimising contamination risks to sensitive groundwater systems and in some cases as a basis for defining spatial controls (zoning) for land use development. </w:t>
      </w:r>
    </w:p>
    <w:p w14:paraId="581A4A50" w14:textId="77777777" w:rsidR="00D4090D" w:rsidRPr="00780B5D" w:rsidRDefault="00D4090D" w:rsidP="00D4090D">
      <w:r w:rsidRPr="00780B5D">
        <w:t>GOD (measuring Groundwater occurrence (including recharge), Overlying lithology rating, and Depth to water rating (Foster, 1987) was one of the earliest indexing methods developed in the UK context</w:t>
      </w:r>
      <w:r>
        <w:t xml:space="preserve">. </w:t>
      </w:r>
      <w:r w:rsidRPr="00780B5D">
        <w:t xml:space="preserve">Key components are: ground A result of less than 0.3 is low, 0.3-0.5 moderate, 0.5 high and &gt;0.7 extreme. </w:t>
      </w:r>
    </w:p>
    <w:p w14:paraId="03A1B409" w14:textId="77777777" w:rsidR="00D4090D" w:rsidRDefault="00D4090D" w:rsidP="00D4090D">
      <w:r w:rsidRPr="00780B5D">
        <w:t>DRASTIC</w:t>
      </w:r>
      <w:r>
        <w:t xml:space="preserve"> is a methodology developed by the US EPA and has been more widely used. It comprises 7 parameters: Depth to groundwater, net recharge, aquifer media, soil media, topography, influence of the vadose zone media, and hydraulic conductivity of the aquifer (Aller et al., 1987). Van Stempvoort et al note there is some overlap between certain criteria. Weights are assigned to each parameter on a scale of 1 to 5 – with depth to water the greatest significance (5) and topography the least (1). </w:t>
      </w:r>
    </w:p>
    <w:p w14:paraId="6D846FFE" w14:textId="77777777" w:rsidR="00D4090D" w:rsidRDefault="00D4090D" w:rsidP="00D4090D">
      <w:pPr>
        <w:rPr>
          <w:color w:val="000000"/>
          <w:shd w:val="clear" w:color="auto" w:fill="FFFFFF"/>
        </w:rPr>
      </w:pPr>
      <w:r w:rsidRPr="00715EC7">
        <w:t xml:space="preserve">The </w:t>
      </w:r>
      <w:r w:rsidRPr="00780B5D">
        <w:t>AVI (Aquifer</w:t>
      </w:r>
      <w:r w:rsidRPr="00715EC7">
        <w:t xml:space="preserve"> Vulnerability Index)</w:t>
      </w:r>
      <w:r w:rsidRPr="00F24CFB">
        <w:rPr>
          <w:rStyle w:val="FootnoteReference"/>
          <w:rFonts w:eastAsiaTheme="majorEastAsia" w:cs="Arial"/>
        </w:rPr>
        <w:footnoteReference w:id="26"/>
      </w:r>
      <w:r w:rsidRPr="00715EC7">
        <w:t xml:space="preserve"> implicitly considers parameters used by DRASTIC (with the exception of topography and aquifer media)</w:t>
      </w:r>
      <w:r>
        <w:t xml:space="preserve">. </w:t>
      </w:r>
      <w:r w:rsidRPr="00715EC7">
        <w:t xml:space="preserve">It seeks to </w:t>
      </w:r>
      <w:r w:rsidRPr="001F6ABB">
        <w:rPr>
          <w:color w:val="000000"/>
          <w:shd w:val="clear" w:color="auto" w:fill="FFFFFF"/>
        </w:rPr>
        <w:t>estimate hydraulic resistance of aquitards to vertical flow using water well records, according to t</w:t>
      </w:r>
      <w:r w:rsidRPr="00715EC7">
        <w:t>wo parameters: t</w:t>
      </w:r>
      <w:r w:rsidRPr="001F6ABB">
        <w:rPr>
          <w:color w:val="000000"/>
          <w:shd w:val="clear" w:color="auto" w:fill="FFFFFF"/>
        </w:rPr>
        <w:t>hickness of sedimentary layers (gravel, sand, fractured till clay or shale at 0-5m; 5-10m and &gt;10m from surface, massive till,  mixed sand-silt-clay, massive clay or shale) above the shallowest aquifer and b) judge the hydraulic conductivity of each layer.</w:t>
      </w:r>
      <w:r w:rsidRPr="001F6ABB">
        <w:rPr>
          <w:color w:val="000000"/>
          <w:shd w:val="clear" w:color="auto" w:fill="FFFFFF"/>
        </w:rPr>
        <w:br/>
        <w:t>Regions are then contoured according to relative level of hydraulic resistance (isovulnerability) on a scale of 1 to 5  (extremely low, low, moderate, high and extremely high)  which can be understood in terms of what the minimum thickness a particular layer must be to have a” less than extremely high vulnerability to impacts”.</w:t>
      </w:r>
    </w:p>
    <w:p w14:paraId="0CC9625B" w14:textId="77777777" w:rsidR="00D4090D" w:rsidRPr="00E61065" w:rsidRDefault="00D4090D" w:rsidP="00D4090D">
      <w:r w:rsidRPr="001F6ABB">
        <w:rPr>
          <w:color w:val="000000"/>
          <w:shd w:val="clear" w:color="auto" w:fill="FFFFFF"/>
        </w:rPr>
        <w:t>Van Stempvoort et al suggest these can be used to help and thus delineate groundwater protection zones or be used for screening potential land uses. However they also recognise certain limitations: exclusion of aquifer media from assessment criteria is significant, as it influences the rate at which groundwater contamination can spread. Detailed information would be required on boundaries, flow paths and would need to be gathered from studies in-situ or data on major aquifer systems, Other parameters that are omitted are porosity and water content of the porous media, and reactivity of the layers. Each aquifer is assigned the same value, and the model does not seek to measure determinants of aquifer quality</w:t>
      </w:r>
      <w:r>
        <w:rPr>
          <w:color w:val="000000"/>
          <w:shd w:val="clear" w:color="auto" w:fill="FFFFFF"/>
        </w:rPr>
        <w:t xml:space="preserve">. </w:t>
      </w:r>
    </w:p>
    <w:p w14:paraId="24CEF2EF" w14:textId="77777777" w:rsidR="00D4090D" w:rsidRDefault="00D4090D" w:rsidP="00D4090D">
      <w:r w:rsidRPr="00780B5D">
        <w:t>EPIK – Epikarst, Protective cover, Infiltration conditions and Karstic network development (Doerfliger and Zwahlen,</w:t>
      </w:r>
      <w:r>
        <w:t xml:space="preserve"> 1998; Doerflinger et al., 1999) have been used to assess groundwater vulnerability in karst areas. For example it has been applied by the Swiss Agency for the Environment, Forests and Landscape as a standard tool for groundwater Protection zone delineation in these areas. It considers development of epikarst, effectiveness of the protective cover, conditions of infiltration and development of the karst network. Again, relative weights are assigned to each component and an equation is used to give an overall value of protection (Abdullahi, 2009).</w:t>
      </w:r>
    </w:p>
    <w:p w14:paraId="324A854E" w14:textId="77777777" w:rsidR="00D4090D" w:rsidRDefault="00D4090D" w:rsidP="00D4090D">
      <w:pPr>
        <w:pStyle w:val="Heading4"/>
      </w:pPr>
      <w:r w:rsidRPr="00E61065">
        <w:t>Pathways and conditions for contamination from high volume hydraulic fracturing (shale gas) – Myers (2012)</w:t>
      </w:r>
    </w:p>
    <w:p w14:paraId="6FE8C9F0" w14:textId="77777777" w:rsidR="00D4090D" w:rsidRDefault="00D4090D" w:rsidP="00D4090D">
      <w:r>
        <w:t xml:space="preserve">In relation to high volume hydraulic fracturing of shale gas in the Marcellus Shale, Myers (2012) seeks to identify potential natural pathways and necessary conditions for contaminants to adversely impact water resources. Travel times of contaminants through bedrock are also estimated based on hydraulic parameters. </w:t>
      </w:r>
    </w:p>
    <w:p w14:paraId="5097FCC4" w14:textId="77777777" w:rsidR="00D4090D" w:rsidRDefault="00D4090D" w:rsidP="00D4090D">
      <w:r>
        <w:t>Several potential transport scenarios are developed based on pre-development baseline conditions and which are refined once fracturing has commenced:</w:t>
      </w:r>
    </w:p>
    <w:p w14:paraId="71C8B95A" w14:textId="07C4C7B3" w:rsidR="00D4090D" w:rsidRDefault="00D4090D" w:rsidP="00C150BC">
      <w:pPr>
        <w:ind w:left="284" w:hanging="284"/>
      </w:pPr>
      <w:r>
        <w:t>1</w:t>
      </w:r>
      <w:r>
        <w:tab/>
        <w:t>natural upward advective flow from head drop of 30</w:t>
      </w:r>
      <w:r w:rsidR="002D5472">
        <w:t> </w:t>
      </w:r>
      <w:r>
        <w:t>m from shale to ground surface</w:t>
      </w:r>
    </w:p>
    <w:p w14:paraId="3C7B9CD8" w14:textId="77777777" w:rsidR="00D4090D" w:rsidRDefault="00D4090D" w:rsidP="00C150BC">
      <w:pPr>
        <w:ind w:left="284" w:hanging="284"/>
      </w:pPr>
      <w:r>
        <w:t>2</w:t>
      </w:r>
      <w:r>
        <w:tab/>
        <w:t>same conditions as (1) with vertical fracture connecting the surface, simulating flow into alluvial aquifers near stream channels</w:t>
      </w:r>
    </w:p>
    <w:p w14:paraId="6D3CDAB7" w14:textId="77777777" w:rsidR="00D4090D" w:rsidRDefault="00D4090D" w:rsidP="00C150BC">
      <w:pPr>
        <w:ind w:left="284" w:hanging="284"/>
      </w:pPr>
      <w:r>
        <w:t>3</w:t>
      </w:r>
      <w:r>
        <w:tab/>
        <w:t>study effect of more extensive fracturing on a regional shale – considering effects on changes in flows and time to reach steady-state equilibrium</w:t>
      </w:r>
    </w:p>
    <w:p w14:paraId="529F8CED" w14:textId="77777777" w:rsidR="00D4090D" w:rsidRDefault="00D4090D" w:rsidP="00C150BC">
      <w:pPr>
        <w:ind w:left="284" w:hanging="284"/>
      </w:pPr>
      <w:r>
        <w:t>4</w:t>
      </w:r>
      <w:r>
        <w:tab/>
        <w:t>same conditions as (3) but with vertical fault as in (2)</w:t>
      </w:r>
    </w:p>
    <w:p w14:paraId="4DEE300C" w14:textId="3FB83F4B" w:rsidR="00D4090D" w:rsidRDefault="00D4090D" w:rsidP="00C150BC">
      <w:pPr>
        <w:ind w:left="284" w:hanging="284"/>
      </w:pPr>
      <w:r>
        <w:t>5</w:t>
      </w:r>
      <w:r>
        <w:tab/>
        <w:t>simulate actual injection of 13</w:t>
      </w:r>
      <w:r w:rsidR="002D5472">
        <w:t>–</w:t>
      </w:r>
      <w:r>
        <w:t xml:space="preserve">15 million litres of fluid over a </w:t>
      </w:r>
      <w:r w:rsidR="002D5472">
        <w:t>five–</w:t>
      </w:r>
      <w:r>
        <w:t>day period, into fractured shale from a horizontal well with and without a fault and potentiometric surface and flux changes.</w:t>
      </w:r>
    </w:p>
    <w:p w14:paraId="45B60EEE" w14:textId="77777777" w:rsidR="00D4090D" w:rsidRDefault="00D4090D" w:rsidP="00D4090D">
      <w:r>
        <w:t xml:space="preserve">Potential pathways include advective transport through sedimentary rock, fractures and faults, and abandoned wells or open boreholes. The latter pathway is not considered in his study. Myers (2012) considers actual changes in gradient and potential for buoyancy (created by difference in mass/density of water due to high TDS content) forcing water upwards as factors affecting fluid flow and concludes the potential for contaminants to enter into contact with overlying formations can occur as a result of: </w:t>
      </w:r>
    </w:p>
    <w:p w14:paraId="7467A0BE" w14:textId="38271044" w:rsidR="00D4090D" w:rsidRDefault="00D4090D" w:rsidP="00C150BC">
      <w:pPr>
        <w:pStyle w:val="bulletlist0"/>
      </w:pPr>
      <w:r>
        <w:t>•</w:t>
      </w:r>
      <w:r>
        <w:tab/>
        <w:t>fracking out of formation</w:t>
      </w:r>
      <w:r w:rsidR="002D5472">
        <w:t>,</w:t>
      </w:r>
      <w:r>
        <w:t xml:space="preserve"> </w:t>
      </w:r>
    </w:p>
    <w:p w14:paraId="468E8286" w14:textId="77777777" w:rsidR="00D4090D" w:rsidRDefault="00D4090D" w:rsidP="00C150BC">
      <w:pPr>
        <w:pStyle w:val="bulletlist0"/>
      </w:pPr>
      <w:r>
        <w:t>•</w:t>
      </w:r>
      <w:r>
        <w:tab/>
        <w:t xml:space="preserve">the creation of links between fractures in the shale to overlying bedrock, or </w:t>
      </w:r>
    </w:p>
    <w:p w14:paraId="64321EED" w14:textId="77777777" w:rsidR="00D4090D" w:rsidRDefault="00D4090D" w:rsidP="00C150BC">
      <w:pPr>
        <w:pStyle w:val="bulletlist0"/>
      </w:pPr>
      <w:r>
        <w:t>•</w:t>
      </w:r>
      <w:r>
        <w:tab/>
        <w:t xml:space="preserve">displacing ﬂuids from the shale into the overburden. </w:t>
      </w:r>
    </w:p>
    <w:p w14:paraId="71D9588A" w14:textId="5D4BF71F" w:rsidR="00D4090D" w:rsidRDefault="00D4090D" w:rsidP="00D4090D">
      <w:r>
        <w:t>In reality the risk of the latter is assessed to be very low, as there is virtually no naturally permeability to allow fluids to move into the overburden except as a result of a poorly completed well, a risk which is outside the scope of the Risk Assessment (see Appendix A</w:t>
      </w:r>
      <w:r w:rsidR="005F6419">
        <w:t>A</w:t>
      </w:r>
      <w:r>
        <w:t xml:space="preserve"> – Matters out of Scope for the Literature Review). </w:t>
      </w:r>
    </w:p>
    <w:p w14:paraId="052376A7" w14:textId="77777777" w:rsidR="000E55ED" w:rsidRDefault="000E55ED">
      <w:pPr>
        <w:spacing w:after="200"/>
      </w:pPr>
      <w:r>
        <w:br w:type="page"/>
      </w:r>
    </w:p>
    <w:p w14:paraId="3A269C4C" w14:textId="1DC0B66F" w:rsidR="00D4090D" w:rsidRDefault="00D4090D" w:rsidP="00D4090D">
      <w:r>
        <w:t xml:space="preserve">The applicability of different methodologies to conceptualise pathways such as MODFLOW-2000 and dual porosity modelling are reviewed by Myers in light of data availability and knowledge of hydrogeological conditions. Assumptions underpinning modelling in relation to geological characteristics and resource depth are set out. </w:t>
      </w:r>
    </w:p>
    <w:p w14:paraId="7646D451" w14:textId="77777777" w:rsidR="00D4090D" w:rsidRDefault="00D4090D" w:rsidP="00D4090D">
      <w:r>
        <w:t>Myers concludes fracking can alter the shale and overburden hydrogeology, releasing fluids and contaminants from the shale which can also result from injected ﬂuid forcing other ﬂuids out of the shale. High pressure is generated from injection of fluid, which dissipates over distance and time, key estimates of these are provided below:</w:t>
      </w:r>
    </w:p>
    <w:p w14:paraId="164C16EC" w14:textId="77777777" w:rsidR="00D4090D" w:rsidRDefault="00D4090D" w:rsidP="00C150BC">
      <w:pPr>
        <w:pStyle w:val="bulletlist0"/>
      </w:pPr>
      <w:r>
        <w:t>•</w:t>
      </w:r>
      <w:r>
        <w:tab/>
        <w:t>•Pressure drops back to pre-injection level within 300 days, suggesting that impacts of fracking extend beyond time at which fracking ceases.</w:t>
      </w:r>
    </w:p>
    <w:p w14:paraId="00181A01" w14:textId="3C8B8C3B" w:rsidR="00D4090D" w:rsidRDefault="00D4090D" w:rsidP="00C150BC">
      <w:pPr>
        <w:pStyle w:val="bulletlist0"/>
      </w:pPr>
      <w:r>
        <w:t>•</w:t>
      </w:r>
      <w:r>
        <w:tab/>
        <w:t xml:space="preserve">Potential surface contamination from advective transport could take up to tens of thousands of years however fracking could reduce this to tens or hundreds of years, and shorter lags could be experienced from preferential flow through conductive faults or fracture zones. </w:t>
      </w:r>
    </w:p>
    <w:p w14:paraId="37AA49AB" w14:textId="77777777" w:rsidR="00D4090D" w:rsidRDefault="00D4090D" w:rsidP="00C150BC">
      <w:pPr>
        <w:pStyle w:val="bulletlist0"/>
      </w:pPr>
      <w:r>
        <w:t>•</w:t>
      </w:r>
      <w:r>
        <w:tab/>
        <w:t xml:space="preserve">Vertical ﬂow be affected over large areas depending on the density of wells that are developed in region. </w:t>
      </w:r>
    </w:p>
    <w:p w14:paraId="1AD8EC88" w14:textId="77777777" w:rsidR="00D4090D" w:rsidRDefault="00D4090D" w:rsidP="00D4090D">
      <w:r>
        <w:t>A caveat with the analysis is that there is no data to verify either the pre- or post-fracking properties of the shale and hence a number of recommendations are made to improve detection of contaminant transport including mapping of subsurface faults, establishing setbacks between fracking operations and faults, establishing deep and shallow monitoring wells prior to significant resource development occurring.</w:t>
      </w:r>
    </w:p>
    <w:p w14:paraId="0EF6E27E" w14:textId="77777777" w:rsidR="00D4090D" w:rsidRDefault="00D4090D" w:rsidP="00D4090D"/>
    <w:p w14:paraId="305BC162" w14:textId="77777777" w:rsidR="00D4090D" w:rsidRDefault="00D4090D" w:rsidP="00D4090D"/>
    <w:p w14:paraId="4B169CA0" w14:textId="77777777" w:rsidR="00D4090D" w:rsidRDefault="00D4090D" w:rsidP="00D4090D">
      <w:pPr>
        <w:sectPr w:rsidR="00D4090D" w:rsidSect="00CF4178">
          <w:headerReference w:type="first" r:id="rId203"/>
          <w:pgSz w:w="11906" w:h="16838" w:code="9"/>
          <w:pgMar w:top="2268" w:right="1134" w:bottom="1276" w:left="1134" w:header="567" w:footer="567" w:gutter="0"/>
          <w:cols w:space="708"/>
          <w:titlePg/>
          <w:docGrid w:linePitch="360"/>
        </w:sectPr>
      </w:pPr>
    </w:p>
    <w:p w14:paraId="3D837FAA" w14:textId="508F89AD" w:rsidR="00D4090D" w:rsidRPr="00E61065" w:rsidRDefault="00D4090D" w:rsidP="00D4090D">
      <w:pPr>
        <w:pStyle w:val="Heading4"/>
        <w:ind w:left="864" w:hanging="864"/>
      </w:pPr>
      <w:r w:rsidRPr="00E61065">
        <w:t>Modelling regional impacts</w:t>
      </w:r>
      <w:r w:rsidR="000E55ED">
        <w:br/>
      </w:r>
    </w:p>
    <w:p w14:paraId="78C578EB" w14:textId="14A65855" w:rsidR="00D4090D" w:rsidRDefault="00D4090D" w:rsidP="002D44DF">
      <w:pPr>
        <w:pStyle w:val="Tableheading"/>
      </w:pPr>
      <w:r w:rsidRPr="00B85F18">
        <w:t xml:space="preserve">Table </w:t>
      </w:r>
      <w:r>
        <w:t>AD2</w:t>
      </w:r>
      <w:r w:rsidRPr="00B85F18">
        <w:t>:</w:t>
      </w:r>
      <w:r>
        <w:t xml:space="preserve"> Modelling Approaches, Simplifications and Uncertainty Analysis at a Project Level. (Source: Commonwealth of Australia, 2014.)</w:t>
      </w:r>
    </w:p>
    <w:tbl>
      <w:tblPr>
        <w:tblStyle w:val="Table1"/>
        <w:tblW w:w="14595"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696"/>
        <w:gridCol w:w="1276"/>
        <w:gridCol w:w="3003"/>
        <w:gridCol w:w="5103"/>
        <w:gridCol w:w="3517"/>
      </w:tblGrid>
      <w:tr w:rsidR="00D4090D" w:rsidRPr="0035559B" w14:paraId="5F190958" w14:textId="77777777" w:rsidTr="0035559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96" w:type="dxa"/>
            <w:tcBorders>
              <w:top w:val="nil"/>
              <w:right w:val="single" w:sz="4" w:space="0" w:color="FFFFFF"/>
            </w:tcBorders>
            <w:shd w:val="clear" w:color="auto" w:fill="005A97"/>
          </w:tcPr>
          <w:p w14:paraId="4ABCB93F" w14:textId="77777777" w:rsidR="00D4090D" w:rsidRPr="0035559B" w:rsidRDefault="00D4090D" w:rsidP="0035559B">
            <w:pPr>
              <w:pStyle w:val="TableHeaderrow"/>
              <w:rPr>
                <w:b/>
              </w:rPr>
            </w:pPr>
            <w:r w:rsidRPr="0035559B">
              <w:rPr>
                <w:b/>
              </w:rPr>
              <w:t>Coal seam gas Project</w:t>
            </w:r>
            <w:r w:rsidRPr="0035559B">
              <w:rPr>
                <w:b/>
              </w:rPr>
              <w:br/>
              <w:t>/Author</w:t>
            </w:r>
          </w:p>
        </w:tc>
        <w:tc>
          <w:tcPr>
            <w:tcW w:w="1276" w:type="dxa"/>
            <w:tcBorders>
              <w:top w:val="nil"/>
              <w:left w:val="single" w:sz="4" w:space="0" w:color="FFFFFF"/>
              <w:right w:val="single" w:sz="4" w:space="0" w:color="FFFFFF"/>
            </w:tcBorders>
            <w:shd w:val="clear" w:color="auto" w:fill="005A97"/>
          </w:tcPr>
          <w:p w14:paraId="451B72B0" w14:textId="77777777" w:rsidR="00D4090D" w:rsidRPr="0035559B" w:rsidRDefault="00D4090D" w:rsidP="0035559B">
            <w:pPr>
              <w:pStyle w:val="TableHeaderrow"/>
              <w:cnfStyle w:val="100000000000" w:firstRow="1" w:lastRow="0" w:firstColumn="0" w:lastColumn="0" w:oddVBand="0" w:evenVBand="0" w:oddHBand="0" w:evenHBand="0" w:firstRowFirstColumn="0" w:firstRowLastColumn="0" w:lastRowFirstColumn="0" w:lastRowLastColumn="0"/>
              <w:rPr>
                <w:b/>
              </w:rPr>
            </w:pPr>
            <w:r w:rsidRPr="0035559B">
              <w:rPr>
                <w:b/>
              </w:rPr>
              <w:t>Modelling tool used</w:t>
            </w:r>
          </w:p>
        </w:tc>
        <w:tc>
          <w:tcPr>
            <w:tcW w:w="3003" w:type="dxa"/>
            <w:tcBorders>
              <w:top w:val="nil"/>
              <w:left w:val="single" w:sz="4" w:space="0" w:color="FFFFFF"/>
              <w:right w:val="single" w:sz="4" w:space="0" w:color="FFFFFF"/>
            </w:tcBorders>
            <w:shd w:val="clear" w:color="auto" w:fill="005A97"/>
          </w:tcPr>
          <w:p w14:paraId="490BAABF" w14:textId="77777777" w:rsidR="00D4090D" w:rsidRPr="0035559B" w:rsidRDefault="00D4090D" w:rsidP="0035559B">
            <w:pPr>
              <w:pStyle w:val="TableHeaderrow"/>
              <w:cnfStyle w:val="100000000000" w:firstRow="1" w:lastRow="0" w:firstColumn="0" w:lastColumn="0" w:oddVBand="0" w:evenVBand="0" w:oddHBand="0" w:evenHBand="0" w:firstRowFirstColumn="0" w:firstRowLastColumn="0" w:lastRowFirstColumn="0" w:lastRowLastColumn="0"/>
              <w:rPr>
                <w:b/>
              </w:rPr>
            </w:pPr>
            <w:r w:rsidRPr="0035559B">
              <w:rPr>
                <w:b/>
              </w:rPr>
              <w:t>Modelling approach</w:t>
            </w:r>
            <w:r w:rsidRPr="0035559B">
              <w:rPr>
                <w:b/>
              </w:rPr>
              <w:br/>
              <w:t>Processes involved</w:t>
            </w:r>
          </w:p>
        </w:tc>
        <w:tc>
          <w:tcPr>
            <w:tcW w:w="5103" w:type="dxa"/>
            <w:tcBorders>
              <w:top w:val="nil"/>
              <w:left w:val="single" w:sz="4" w:space="0" w:color="FFFFFF"/>
              <w:right w:val="single" w:sz="4" w:space="0" w:color="FFFFFF"/>
            </w:tcBorders>
            <w:shd w:val="clear" w:color="auto" w:fill="005A97"/>
          </w:tcPr>
          <w:p w14:paraId="5FA22EF0" w14:textId="77777777" w:rsidR="00D4090D" w:rsidRPr="0035559B" w:rsidRDefault="00D4090D" w:rsidP="0035559B">
            <w:pPr>
              <w:pStyle w:val="TableHeaderrow"/>
              <w:cnfStyle w:val="100000000000" w:firstRow="1" w:lastRow="0" w:firstColumn="0" w:lastColumn="0" w:oddVBand="0" w:evenVBand="0" w:oddHBand="0" w:evenHBand="0" w:firstRowFirstColumn="0" w:firstRowLastColumn="0" w:lastRowFirstColumn="0" w:lastRowLastColumn="0"/>
              <w:rPr>
                <w:b/>
              </w:rPr>
            </w:pPr>
            <w:r w:rsidRPr="0035559B">
              <w:rPr>
                <w:b/>
              </w:rPr>
              <w:t>Simplifications/</w:t>
            </w:r>
            <w:r w:rsidRPr="0035559B">
              <w:rPr>
                <w:b/>
              </w:rPr>
              <w:br/>
              <w:t>Assumptions</w:t>
            </w:r>
          </w:p>
        </w:tc>
        <w:tc>
          <w:tcPr>
            <w:tcW w:w="3517" w:type="dxa"/>
            <w:tcBorders>
              <w:top w:val="nil"/>
              <w:left w:val="single" w:sz="4" w:space="0" w:color="FFFFFF"/>
            </w:tcBorders>
            <w:shd w:val="clear" w:color="auto" w:fill="005A97"/>
          </w:tcPr>
          <w:p w14:paraId="6BEF86F3" w14:textId="77777777" w:rsidR="00D4090D" w:rsidRPr="0035559B" w:rsidRDefault="00D4090D" w:rsidP="0035559B">
            <w:pPr>
              <w:pStyle w:val="TableHeaderrow"/>
              <w:cnfStyle w:val="100000000000" w:firstRow="1" w:lastRow="0" w:firstColumn="0" w:lastColumn="0" w:oddVBand="0" w:evenVBand="0" w:oddHBand="0" w:evenHBand="0" w:firstRowFirstColumn="0" w:firstRowLastColumn="0" w:lastRowFirstColumn="0" w:lastRowLastColumn="0"/>
              <w:rPr>
                <w:b/>
              </w:rPr>
            </w:pPr>
            <w:r w:rsidRPr="0035559B">
              <w:rPr>
                <w:b/>
              </w:rPr>
              <w:t>Uncertainty Analysis</w:t>
            </w:r>
          </w:p>
        </w:tc>
      </w:tr>
      <w:tr w:rsidR="00D4090D" w:rsidRPr="001E5172" w14:paraId="726B4389" w14:textId="77777777" w:rsidTr="0035559B">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5E88528D" w14:textId="77777777" w:rsidR="00D4090D" w:rsidRPr="001E5172" w:rsidRDefault="00D4090D" w:rsidP="00E35DD3">
            <w:pPr>
              <w:pStyle w:val="Tabletext"/>
            </w:pPr>
            <w:r w:rsidRPr="001E5172">
              <w:t>Arrow Energy Surat Gas Project, Australia (Arrow Energy Pty Ltd, 2012)</w:t>
            </w:r>
          </w:p>
        </w:tc>
        <w:tc>
          <w:tcPr>
            <w:tcW w:w="1276" w:type="dxa"/>
          </w:tcPr>
          <w:p w14:paraId="2ED3E668"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p>
          <w:p w14:paraId="123AEEF0"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MODFLOW</w:t>
            </w:r>
          </w:p>
        </w:tc>
        <w:tc>
          <w:tcPr>
            <w:tcW w:w="3003" w:type="dxa"/>
          </w:tcPr>
          <w:p w14:paraId="79ED27C7"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 Regional groundwater model (120,000 km2 model domain)</w:t>
            </w:r>
          </w:p>
          <w:p w14:paraId="1A1BFF2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Well field represented by individual abstraction wells</w:t>
            </w:r>
          </w:p>
          <w:p w14:paraId="3F18000A"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Cumulative impacts assessed (including other </w:t>
            </w:r>
            <w:r>
              <w:t>coal seam gas</w:t>
            </w:r>
            <w:r w:rsidRPr="001E5172">
              <w:t xml:space="preserve"> developments)</w:t>
            </w:r>
          </w:p>
        </w:tc>
        <w:tc>
          <w:tcPr>
            <w:tcW w:w="5103" w:type="dxa"/>
          </w:tcPr>
          <w:p w14:paraId="16C6520F"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Dual-phase and unsaturated flow, geomechanical effects, and dual porosity nature of coal all assumed insignificant</w:t>
            </w:r>
          </w:p>
          <w:p w14:paraId="5146B56E"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Assessed to be limited groundwater–surface water interaction – simple (non-coupled) approach to groundwater–surface water interaction adopted</w:t>
            </w:r>
          </w:p>
          <w:p w14:paraId="20AB2EB4"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Coal horizontal anisotropy not modelled</w:t>
            </w:r>
          </w:p>
          <w:p w14:paraId="622B7EE3"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measures</w:t>
            </w:r>
          </w:p>
          <w:p w14:paraId="39AFBFF4"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Hydraulic connectivity of geologic structural features ignored</w:t>
            </w:r>
          </w:p>
          <w:p w14:paraId="2663C64A"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(Hydraulic fracturing not proposed to be undertaken by Arrow, thus its potential impact was not required to be assessed)</w:t>
            </w:r>
          </w:p>
        </w:tc>
        <w:tc>
          <w:tcPr>
            <w:tcW w:w="3517" w:type="dxa"/>
          </w:tcPr>
          <w:p w14:paraId="5CBAC5C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Deterministic uncertainty analysis only: Sensitivity analysis for specific aquifer parameters and multiple aquifers. Effect of sensitivity-adopted parameter values on calibration performance discussed</w:t>
            </w:r>
          </w:p>
          <w:p w14:paraId="0441FBF3"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Indicated significance of hydraulic parameters and range of drawdown magnitudes</w:t>
            </w:r>
          </w:p>
        </w:tc>
      </w:tr>
      <w:tr w:rsidR="00D4090D" w:rsidRPr="001E5172" w14:paraId="43518594" w14:textId="77777777" w:rsidTr="0035559B">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180AC9B2" w14:textId="77777777" w:rsidR="00D4090D" w:rsidRPr="001E5172" w:rsidRDefault="00D4090D" w:rsidP="00E35DD3">
            <w:pPr>
              <w:pStyle w:val="Tabletext"/>
            </w:pPr>
            <w:r w:rsidRPr="001E5172">
              <w:t xml:space="preserve">Australia Pacific LNG </w:t>
            </w:r>
          </w:p>
          <w:p w14:paraId="70E86CEE" w14:textId="77777777" w:rsidR="00D4090D" w:rsidRPr="001E5172" w:rsidRDefault="00D4090D" w:rsidP="00E35DD3">
            <w:pPr>
              <w:pStyle w:val="Tabletext"/>
            </w:pPr>
            <w:r w:rsidRPr="001E5172">
              <w:t>Project, Australia (Australia Pacific LNG, 2010; Geoscience Australia and Habermehl, 2010)</w:t>
            </w:r>
          </w:p>
        </w:tc>
        <w:tc>
          <w:tcPr>
            <w:tcW w:w="1276" w:type="dxa"/>
          </w:tcPr>
          <w:p w14:paraId="1FA7DA4D"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FEFLOW</w:t>
            </w:r>
          </w:p>
        </w:tc>
        <w:tc>
          <w:tcPr>
            <w:tcW w:w="3003" w:type="dxa"/>
          </w:tcPr>
          <w:p w14:paraId="056E8EEC"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Regional groundwater </w:t>
            </w:r>
          </w:p>
          <w:p w14:paraId="7D6DAA21"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Model (172,740 km2 model domain)</w:t>
            </w:r>
          </w:p>
          <w:p w14:paraId="7324AF3E"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Finite element method </w:t>
            </w:r>
          </w:p>
          <w:p w14:paraId="6163D61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(FEFLOW) allows improved definition of complex geology</w:t>
            </w:r>
          </w:p>
          <w:p w14:paraId="4E18C782"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Dual-phase flow implicitly accounted for by reducing coal seam permeability</w:t>
            </w:r>
          </w:p>
          <w:p w14:paraId="27AAA4F0"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Cumulative impacts assessed (including other </w:t>
            </w:r>
            <w:r>
              <w:t>coal seam gas</w:t>
            </w:r>
            <w:r w:rsidRPr="001E5172">
              <w:t xml:space="preserve"> developments)</w:t>
            </w:r>
          </w:p>
        </w:tc>
        <w:tc>
          <w:tcPr>
            <w:tcW w:w="5103" w:type="dxa"/>
          </w:tcPr>
          <w:p w14:paraId="58865571"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Geomechanical effects, and dual porosity nature of coal all assumed insignificant</w:t>
            </w:r>
          </w:p>
          <w:p w14:paraId="3488AA1E"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Simple (non-coupled) approach to groundwater–surface water interaction adopted</w:t>
            </w:r>
          </w:p>
          <w:p w14:paraId="79F3011C"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Coal horizontal anisotropy not modelled</w:t>
            </w:r>
          </w:p>
          <w:p w14:paraId="7A7E828F"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improved definition of complex geology</w:t>
            </w:r>
          </w:p>
          <w:p w14:paraId="62639DA9"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Dual-phase flow implicitly accounted for by reducing coal seam permeability</w:t>
            </w:r>
          </w:p>
          <w:p w14:paraId="22A44406"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Cumulative impacts assessed (including other </w:t>
            </w:r>
            <w:r>
              <w:t>coal seam gas</w:t>
            </w:r>
            <w:r w:rsidRPr="001E5172">
              <w:t xml:space="preserve"> developments)</w:t>
            </w:r>
          </w:p>
        </w:tc>
        <w:tc>
          <w:tcPr>
            <w:tcW w:w="3517" w:type="dxa"/>
          </w:tcPr>
          <w:p w14:paraId="12D255AD"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Deterministic uncertainty analysis only: Sensitivity analysis (two extreme cases only) for aquifer, recharge and stream conductance parameters.</w:t>
            </w:r>
          </w:p>
          <w:p w14:paraId="2A2D89DE"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Effect of sensitivity-adopted parameter values on calibration performance discussed</w:t>
            </w:r>
          </w:p>
          <w:p w14:paraId="300ED01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Indicated significance of hydraulic parameters and range of drawdown magnitudes</w:t>
            </w:r>
          </w:p>
        </w:tc>
      </w:tr>
      <w:tr w:rsidR="00D4090D" w:rsidRPr="001E5172" w14:paraId="32F23ABF" w14:textId="77777777" w:rsidTr="0035559B">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297E5157" w14:textId="77777777" w:rsidR="00D4090D" w:rsidRPr="001E5172" w:rsidRDefault="00D4090D" w:rsidP="00E35DD3">
            <w:pPr>
              <w:pStyle w:val="Tabletext"/>
            </w:pPr>
            <w:r w:rsidRPr="001E5172">
              <w:t>Santos Gladstone LNG Project, Australia (Santos, 2009)</w:t>
            </w:r>
          </w:p>
        </w:tc>
        <w:tc>
          <w:tcPr>
            <w:tcW w:w="1276" w:type="dxa"/>
          </w:tcPr>
          <w:p w14:paraId="6E033086"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Analytical model (Roma field), </w:t>
            </w:r>
          </w:p>
          <w:p w14:paraId="0B696E2F"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MODFLOW </w:t>
            </w:r>
          </w:p>
          <w:p w14:paraId="66B4AAF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(Comet Ridge field)</w:t>
            </w:r>
          </w:p>
        </w:tc>
        <w:tc>
          <w:tcPr>
            <w:tcW w:w="3003" w:type="dxa"/>
          </w:tcPr>
          <w:p w14:paraId="3C0F6773"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Regional groundwater model </w:t>
            </w:r>
          </w:p>
          <w:p w14:paraId="36007694"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Model domain limited to project area</w:t>
            </w:r>
          </w:p>
          <w:p w14:paraId="4AD1D066"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Time-varying constant head boundary condition used to represent well field (rather than pumping/flow rates) for MODFLOW model; </w:t>
            </w:r>
          </w:p>
          <w:p w14:paraId="6E34C194"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constant pumping rate used to represent well field in analytical model</w:t>
            </w:r>
          </w:p>
        </w:tc>
        <w:tc>
          <w:tcPr>
            <w:tcW w:w="5103" w:type="dxa"/>
          </w:tcPr>
          <w:p w14:paraId="78F33383"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Model not calibrated</w:t>
            </w:r>
          </w:p>
          <w:p w14:paraId="250C266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Dual-phase flow, coal dual porosity and anisotropy, and Geomechanical effects not included</w:t>
            </w:r>
          </w:p>
          <w:p w14:paraId="5E29C9A1"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measures</w:t>
            </w:r>
          </w:p>
          <w:p w14:paraId="042916A2"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Vertical movement of groundwater not well constrained</w:t>
            </w:r>
          </w:p>
          <w:p w14:paraId="375602F8"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Aquifer confinement and interconnection simplified</w:t>
            </w:r>
          </w:p>
          <w:p w14:paraId="79BCADD2"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Effects of geological faults assumed insignificant</w:t>
            </w:r>
          </w:p>
          <w:p w14:paraId="5665474D"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Analytical modelling did not account for size of well field</w:t>
            </w:r>
          </w:p>
          <w:p w14:paraId="066D321D"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Apparently no accounting of groundwater–surface water interaction</w:t>
            </w:r>
          </w:p>
        </w:tc>
        <w:tc>
          <w:tcPr>
            <w:tcW w:w="3517" w:type="dxa"/>
          </w:tcPr>
          <w:p w14:paraId="26282D8C"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Limited deterministic uncertainty analysis: </w:t>
            </w:r>
          </w:p>
          <w:p w14:paraId="6E68115F"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Sensitivity analysis (four cases) for specific aquifer parameters and recharge for the MODFLOW model, and for storativity for the analytical model</w:t>
            </w:r>
          </w:p>
          <w:p w14:paraId="296F6E96"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t>Coal seam gas</w:t>
            </w:r>
            <w:r w:rsidRPr="001E5172">
              <w:t xml:space="preserve"> well fields were modelled separately and cumulative impacts associated with other developments assessed on a qualitative basis</w:t>
            </w:r>
          </w:p>
        </w:tc>
      </w:tr>
      <w:tr w:rsidR="00D4090D" w:rsidRPr="001E5172" w14:paraId="5F7154AF" w14:textId="77777777" w:rsidTr="0035559B">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11C48B74" w14:textId="77777777" w:rsidR="00D4090D" w:rsidRPr="001E5172" w:rsidRDefault="00D4090D" w:rsidP="00E35DD3">
            <w:pPr>
              <w:pStyle w:val="Tabletext"/>
            </w:pPr>
            <w:r w:rsidRPr="001E5172">
              <w:t>Surat Basin (QGC, 2009)</w:t>
            </w:r>
          </w:p>
        </w:tc>
        <w:tc>
          <w:tcPr>
            <w:tcW w:w="1276" w:type="dxa"/>
          </w:tcPr>
          <w:p w14:paraId="3C26A15B"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 MODFLOW</w:t>
            </w:r>
          </w:p>
        </w:tc>
        <w:tc>
          <w:tcPr>
            <w:tcW w:w="3003" w:type="dxa"/>
          </w:tcPr>
          <w:p w14:paraId="3108ED16"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Regional groundwater model – </w:t>
            </w:r>
            <w:r>
              <w:t>coal seam gas</w:t>
            </w:r>
            <w:r w:rsidRPr="001E5172">
              <w:t xml:space="preserve"> region divided into three subdomains (hydraulic compartmentalisation assumed)</w:t>
            </w:r>
          </w:p>
          <w:p w14:paraId="3E7C3457"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Time-varying constant head boundary condition used to represent well field (rather than pumping/flow rates)</w:t>
            </w:r>
          </w:p>
        </w:tc>
        <w:tc>
          <w:tcPr>
            <w:tcW w:w="5103" w:type="dxa"/>
          </w:tcPr>
          <w:p w14:paraId="3DF0D528"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Dual-phase flow, coal dual porosity and anisotropy, and geomechanical effects not included</w:t>
            </w:r>
          </w:p>
          <w:p w14:paraId="5B2E3A6B"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measures</w:t>
            </w:r>
          </w:p>
          <w:p w14:paraId="17840160"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No consideration of rainfall recharge</w:t>
            </w:r>
          </w:p>
          <w:p w14:paraId="3E3585EF"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Simplified geology, homogeneous isotropic conditions</w:t>
            </w:r>
          </w:p>
          <w:p w14:paraId="265FF54C"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Cumulative impacts not assessed</w:t>
            </w:r>
          </w:p>
          <w:p w14:paraId="4A52256C"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Apparently no accounting of groundwater–surface water interaction</w:t>
            </w:r>
          </w:p>
        </w:tc>
        <w:tc>
          <w:tcPr>
            <w:tcW w:w="3517" w:type="dxa"/>
          </w:tcPr>
          <w:p w14:paraId="4C727EA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None</w:t>
            </w:r>
          </w:p>
        </w:tc>
      </w:tr>
      <w:tr w:rsidR="00D4090D" w:rsidRPr="001E5172" w14:paraId="6A3C4245" w14:textId="77777777" w:rsidTr="0035559B">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19CAA820" w14:textId="77777777" w:rsidR="00D4090D" w:rsidRPr="001E5172" w:rsidRDefault="00D4090D" w:rsidP="00E35DD3">
            <w:pPr>
              <w:pStyle w:val="Tabletext"/>
            </w:pPr>
            <w:r w:rsidRPr="001E5172">
              <w:t>Queensland Water Resources (CWC, 2012)</w:t>
            </w:r>
          </w:p>
        </w:tc>
        <w:tc>
          <w:tcPr>
            <w:tcW w:w="1276" w:type="dxa"/>
          </w:tcPr>
          <w:p w14:paraId="0EA09258"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MODFLOW</w:t>
            </w:r>
          </w:p>
        </w:tc>
        <w:tc>
          <w:tcPr>
            <w:tcW w:w="3003" w:type="dxa"/>
          </w:tcPr>
          <w:p w14:paraId="411AEEB8"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Regional groundwater model (300,000 km2 model domain)</w:t>
            </w:r>
          </w:p>
        </w:tc>
        <w:tc>
          <w:tcPr>
            <w:tcW w:w="5103" w:type="dxa"/>
          </w:tcPr>
          <w:p w14:paraId="4144DDE3"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Modelling of historical </w:t>
            </w:r>
            <w:r>
              <w:t>coal seam gas</w:t>
            </w:r>
            <w:r w:rsidRPr="001E5172">
              <w:t xml:space="preserve"> operation, included simulation of multiple </w:t>
            </w:r>
            <w:r>
              <w:t>coal seam gas</w:t>
            </w:r>
            <w:r w:rsidRPr="001E5172">
              <w:t xml:space="preserve"> operations, was used to develop and assess</w:t>
            </w:r>
            <w:r>
              <w:t xml:space="preserve"> </w:t>
            </w:r>
            <w:r w:rsidRPr="001E5172">
              <w:t xml:space="preserve">cumulative impacts and aggregate groundwater extraction associated with </w:t>
            </w:r>
            <w:r>
              <w:t>coal seam gas</w:t>
            </w:r>
            <w:r w:rsidRPr="001E5172">
              <w:t xml:space="preserve"> extraction</w:t>
            </w:r>
          </w:p>
        </w:tc>
        <w:tc>
          <w:tcPr>
            <w:tcW w:w="3517" w:type="dxa"/>
          </w:tcPr>
          <w:p w14:paraId="0A012D87"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Uncertainty analysis was carried out using multiple simulations incorporating changes to the model. The results of this analysis were used to assess uncertainty in the predicted impacts</w:t>
            </w:r>
          </w:p>
        </w:tc>
      </w:tr>
      <w:tr w:rsidR="00D4090D" w:rsidRPr="001E5172" w14:paraId="4ACCFD7B" w14:textId="77777777" w:rsidTr="0035559B">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24C7540B" w14:textId="77777777" w:rsidR="00D4090D" w:rsidRPr="001E5172" w:rsidRDefault="00D4090D" w:rsidP="00E35DD3">
            <w:pPr>
              <w:pStyle w:val="Tabletext"/>
            </w:pPr>
            <w:r w:rsidRPr="001E5172">
              <w:t>Namoi Catchment (Schlumberger Water Services, 2012)</w:t>
            </w:r>
          </w:p>
        </w:tc>
        <w:tc>
          <w:tcPr>
            <w:tcW w:w="1276" w:type="dxa"/>
          </w:tcPr>
          <w:p w14:paraId="0DEFF0F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p>
        </w:tc>
        <w:tc>
          <w:tcPr>
            <w:tcW w:w="3003" w:type="dxa"/>
          </w:tcPr>
          <w:p w14:paraId="48FB9B01"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Regional groundwater model (30,000 km2 model domain)</w:t>
            </w:r>
          </w:p>
          <w:p w14:paraId="77765172"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t>coal seam gas</w:t>
            </w:r>
            <w:r w:rsidRPr="001E5172">
              <w:t xml:space="preserve"> well fields modelled </w:t>
            </w:r>
          </w:p>
          <w:p w14:paraId="111F8BB0"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using a specified extraction rate over each well field modelled</w:t>
            </w:r>
          </w:p>
          <w:p w14:paraId="023E896D"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Cumulative impacts assessed (existing and proposed developments)</w:t>
            </w:r>
          </w:p>
        </w:tc>
        <w:tc>
          <w:tcPr>
            <w:tcW w:w="5103" w:type="dxa"/>
          </w:tcPr>
          <w:p w14:paraId="342ACDB3"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Separate model of surface water system</w:t>
            </w:r>
          </w:p>
          <w:p w14:paraId="69222139"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Multi-layered model to address future </w:t>
            </w:r>
            <w:r>
              <w:t>coal seam gas</w:t>
            </w:r>
            <w:r w:rsidRPr="001E5172">
              <w:t xml:space="preserve"> and coal mine development. Modelling of existing, planned and possible development</w:t>
            </w:r>
          </w:p>
          <w:p w14:paraId="5D616657"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Cumulative effects assessed through multiple model analyses by comparing the results for a range of alternate development scenarios with a base case of limited development</w:t>
            </w:r>
          </w:p>
          <w:p w14:paraId="7CA00140"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Groundwater impacts on surface water obtained using nominated head boundaries to represent permanent </w:t>
            </w:r>
          </w:p>
          <w:p w14:paraId="215CF8CD"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Water courses</w:t>
            </w:r>
          </w:p>
        </w:tc>
        <w:tc>
          <w:tcPr>
            <w:tcW w:w="3517" w:type="dxa"/>
          </w:tcPr>
          <w:p w14:paraId="06C19064"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Sensitivity analyses carried out to assess uncertainty associated with rock permeability and recharge values adopted</w:t>
            </w:r>
          </w:p>
        </w:tc>
      </w:tr>
      <w:tr w:rsidR="00D4090D" w:rsidRPr="001E5172" w14:paraId="33924A37" w14:textId="77777777" w:rsidTr="0035559B">
        <w:trPr>
          <w:cantSplit/>
        </w:trPr>
        <w:tc>
          <w:tcPr>
            <w:cnfStyle w:val="001000000000" w:firstRow="0" w:lastRow="0" w:firstColumn="1" w:lastColumn="0" w:oddVBand="0" w:evenVBand="0" w:oddHBand="0" w:evenHBand="0" w:firstRowFirstColumn="0" w:firstRowLastColumn="0" w:lastRowFirstColumn="0" w:lastRowLastColumn="0"/>
            <w:tcW w:w="1696" w:type="dxa"/>
            <w:shd w:val="clear" w:color="auto" w:fill="E9EDF4"/>
          </w:tcPr>
          <w:p w14:paraId="35253785" w14:textId="77777777" w:rsidR="00D4090D" w:rsidRPr="001E5172" w:rsidRDefault="00D4090D" w:rsidP="00E35DD3">
            <w:pPr>
              <w:pStyle w:val="Tabletext"/>
            </w:pPr>
            <w:r w:rsidRPr="001E5172">
              <w:t>Powder River Basin, Montana, US (Myers, 2009)</w:t>
            </w:r>
          </w:p>
        </w:tc>
        <w:tc>
          <w:tcPr>
            <w:tcW w:w="1276" w:type="dxa"/>
          </w:tcPr>
          <w:p w14:paraId="6FCFA901"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MODFLOW</w:t>
            </w:r>
          </w:p>
        </w:tc>
        <w:tc>
          <w:tcPr>
            <w:tcW w:w="3003" w:type="dxa"/>
          </w:tcPr>
          <w:p w14:paraId="0C937457"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Regional groundwater model </w:t>
            </w:r>
          </w:p>
          <w:p w14:paraId="0FE2F384"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(1240 km2 model domain)</w:t>
            </w:r>
          </w:p>
          <w:p w14:paraId="10A4D47D"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Subregional constant head boundary condition used to represent </w:t>
            </w:r>
            <w:r>
              <w:t>coal seam gas</w:t>
            </w:r>
            <w:r w:rsidRPr="001E5172">
              <w:t xml:space="preserve"> well field</w:t>
            </w:r>
          </w:p>
        </w:tc>
        <w:tc>
          <w:tcPr>
            <w:tcW w:w="5103" w:type="dxa"/>
          </w:tcPr>
          <w:p w14:paraId="1E788878"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Dual-phase flow, coal dual porosity and anisotropy not included. </w:t>
            </w:r>
          </w:p>
          <w:p w14:paraId="11181AE5"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Geomechanical effects assumed to have no impact</w:t>
            </w:r>
          </w:p>
          <w:p w14:paraId="64CC789D"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Coal seams not modelled independently of coal measures</w:t>
            </w:r>
          </w:p>
          <w:p w14:paraId="133C0C6F" w14:textId="7695F806"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 xml:space="preserve">Cumulative impacts not </w:t>
            </w:r>
            <w:r w:rsidR="005F6419" w:rsidRPr="001E5172">
              <w:t>assessed Implicit</w:t>
            </w:r>
            <w:r w:rsidRPr="001E5172">
              <w:t xml:space="preserve"> (uncoupled) groundwater–surface water interaction</w:t>
            </w:r>
          </w:p>
        </w:tc>
        <w:tc>
          <w:tcPr>
            <w:tcW w:w="3517" w:type="dxa"/>
          </w:tcPr>
          <w:p w14:paraId="01B5B94C" w14:textId="77777777" w:rsidR="00D4090D" w:rsidRPr="001E5172"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1E5172">
              <w:t>None</w:t>
            </w:r>
          </w:p>
        </w:tc>
      </w:tr>
    </w:tbl>
    <w:p w14:paraId="0E35DCE7" w14:textId="77777777" w:rsidR="00D4090D" w:rsidRDefault="00D4090D" w:rsidP="00D4090D">
      <w:pPr>
        <w:sectPr w:rsidR="00D4090D" w:rsidSect="00CF4178">
          <w:headerReference w:type="default" r:id="rId204"/>
          <w:pgSz w:w="16840" w:h="11901" w:orient="landscape" w:code="9"/>
          <w:pgMar w:top="2268" w:right="1134" w:bottom="1276" w:left="1134" w:header="567" w:footer="567" w:gutter="0"/>
          <w:cols w:space="0"/>
          <w:formProt w:val="0"/>
          <w:docGrid w:linePitch="360"/>
        </w:sectPr>
      </w:pPr>
    </w:p>
    <w:p w14:paraId="436847E2" w14:textId="2A455616" w:rsidR="00D4090D" w:rsidRDefault="00D4090D" w:rsidP="002D44DF">
      <w:pPr>
        <w:pStyle w:val="Tableheading"/>
      </w:pPr>
      <w:r w:rsidRPr="00B85F18">
        <w:t xml:space="preserve">Table </w:t>
      </w:r>
      <w:r>
        <w:t>AD3</w:t>
      </w:r>
      <w:r w:rsidRPr="00B85F18">
        <w:t xml:space="preserve">: </w:t>
      </w:r>
      <w:r>
        <w:t>Evaluation of modelling approaches. (</w:t>
      </w:r>
      <w:r w:rsidR="00825B1C">
        <w:t>S</w:t>
      </w:r>
      <w:r>
        <w:t>ource: IESC, 2014</w:t>
      </w:r>
      <w:r w:rsidR="00352324">
        <w:t>b</w:t>
      </w:r>
      <w:r>
        <w:t>.)</w:t>
      </w:r>
    </w:p>
    <w:tbl>
      <w:tblPr>
        <w:tblStyle w:val="Table1"/>
        <w:tblW w:w="9634"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1555"/>
        <w:gridCol w:w="3260"/>
        <w:gridCol w:w="2409"/>
        <w:gridCol w:w="2410"/>
      </w:tblGrid>
      <w:tr w:rsidR="00D4090D" w:rsidRPr="00182F50" w14:paraId="49858E69" w14:textId="77777777" w:rsidTr="0035559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tcBorders>
              <w:top w:val="nil"/>
              <w:right w:val="single" w:sz="4" w:space="0" w:color="FFFFFF"/>
            </w:tcBorders>
            <w:shd w:val="clear" w:color="auto" w:fill="005A97"/>
          </w:tcPr>
          <w:p w14:paraId="129A8B43" w14:textId="77777777" w:rsidR="00D4090D" w:rsidRPr="00182F50" w:rsidRDefault="00D4090D" w:rsidP="0035559B">
            <w:pPr>
              <w:pStyle w:val="TableHeaderrow"/>
              <w:rPr>
                <w:b/>
              </w:rPr>
            </w:pPr>
            <w:r w:rsidRPr="00182F50">
              <w:rPr>
                <w:b/>
              </w:rPr>
              <w:t>Modelling approach/ purpose</w:t>
            </w:r>
          </w:p>
        </w:tc>
        <w:tc>
          <w:tcPr>
            <w:tcW w:w="3260" w:type="dxa"/>
            <w:tcBorders>
              <w:top w:val="nil"/>
              <w:left w:val="single" w:sz="4" w:space="0" w:color="FFFFFF"/>
              <w:right w:val="single" w:sz="4" w:space="0" w:color="FFFFFF"/>
            </w:tcBorders>
            <w:shd w:val="clear" w:color="auto" w:fill="005A97"/>
          </w:tcPr>
          <w:p w14:paraId="4DDD3ADE" w14:textId="77777777" w:rsidR="00D4090D" w:rsidRPr="00182F50" w:rsidRDefault="00D4090D" w:rsidP="0035559B">
            <w:pPr>
              <w:pStyle w:val="TableHeaderrow"/>
              <w:cnfStyle w:val="100000000000" w:firstRow="1" w:lastRow="0" w:firstColumn="0" w:lastColumn="0" w:oddVBand="0" w:evenVBand="0" w:oddHBand="0" w:evenHBand="0" w:firstRowFirstColumn="0" w:firstRowLastColumn="0" w:lastRowFirstColumn="0" w:lastRowLastColumn="0"/>
              <w:rPr>
                <w:b/>
              </w:rPr>
            </w:pPr>
            <w:r w:rsidRPr="00182F50">
              <w:rPr>
                <w:b/>
              </w:rPr>
              <w:t>Advantages</w:t>
            </w:r>
          </w:p>
        </w:tc>
        <w:tc>
          <w:tcPr>
            <w:tcW w:w="2409" w:type="dxa"/>
            <w:tcBorders>
              <w:top w:val="nil"/>
              <w:left w:val="single" w:sz="4" w:space="0" w:color="FFFFFF"/>
              <w:right w:val="single" w:sz="4" w:space="0" w:color="FFFFFF"/>
            </w:tcBorders>
            <w:shd w:val="clear" w:color="auto" w:fill="005A97"/>
          </w:tcPr>
          <w:p w14:paraId="3B2832F6" w14:textId="77777777" w:rsidR="00D4090D" w:rsidRPr="00182F50" w:rsidRDefault="00D4090D" w:rsidP="0035559B">
            <w:pPr>
              <w:pStyle w:val="TableHeaderrow"/>
              <w:cnfStyle w:val="100000000000" w:firstRow="1" w:lastRow="0" w:firstColumn="0" w:lastColumn="0" w:oddVBand="0" w:evenVBand="0" w:oddHBand="0" w:evenHBand="0" w:firstRowFirstColumn="0" w:firstRowLastColumn="0" w:lastRowFirstColumn="0" w:lastRowLastColumn="0"/>
              <w:rPr>
                <w:b/>
              </w:rPr>
            </w:pPr>
            <w:r w:rsidRPr="00182F50">
              <w:rPr>
                <w:b/>
              </w:rPr>
              <w:t>Disadvantages</w:t>
            </w:r>
          </w:p>
        </w:tc>
        <w:tc>
          <w:tcPr>
            <w:tcW w:w="2410" w:type="dxa"/>
            <w:tcBorders>
              <w:top w:val="nil"/>
              <w:left w:val="single" w:sz="4" w:space="0" w:color="FFFFFF"/>
            </w:tcBorders>
            <w:shd w:val="clear" w:color="auto" w:fill="005A97"/>
          </w:tcPr>
          <w:p w14:paraId="1037D8D1" w14:textId="77777777" w:rsidR="00D4090D" w:rsidRPr="00182F50" w:rsidRDefault="00D4090D" w:rsidP="0035559B">
            <w:pPr>
              <w:pStyle w:val="TableHeaderrow"/>
              <w:cnfStyle w:val="100000000000" w:firstRow="1" w:lastRow="0" w:firstColumn="0" w:lastColumn="0" w:oddVBand="0" w:evenVBand="0" w:oddHBand="0" w:evenHBand="0" w:firstRowFirstColumn="0" w:firstRowLastColumn="0" w:lastRowFirstColumn="0" w:lastRowLastColumn="0"/>
              <w:rPr>
                <w:b/>
              </w:rPr>
            </w:pPr>
            <w:r w:rsidRPr="00182F50">
              <w:rPr>
                <w:b/>
              </w:rPr>
              <w:t xml:space="preserve">Appropriate application </w:t>
            </w:r>
          </w:p>
        </w:tc>
      </w:tr>
      <w:tr w:rsidR="00D4090D" w:rsidRPr="00A925AC" w14:paraId="7F9D25AD" w14:textId="77777777" w:rsidTr="0035559B">
        <w:tc>
          <w:tcPr>
            <w:cnfStyle w:val="001000000000" w:firstRow="0" w:lastRow="0" w:firstColumn="1" w:lastColumn="0" w:oddVBand="0" w:evenVBand="0" w:oddHBand="0" w:evenHBand="0" w:firstRowFirstColumn="0" w:firstRowLastColumn="0" w:lastRowFirstColumn="0" w:lastRowLastColumn="0"/>
            <w:tcW w:w="1555" w:type="dxa"/>
            <w:shd w:val="clear" w:color="auto" w:fill="E9EDF4"/>
          </w:tcPr>
          <w:p w14:paraId="23B52CBC" w14:textId="77777777" w:rsidR="00D4090D" w:rsidRPr="00A925AC" w:rsidRDefault="00D4090D" w:rsidP="00E35DD3">
            <w:pPr>
              <w:pStyle w:val="Tabletext"/>
            </w:pPr>
            <w:r w:rsidRPr="00A925AC">
              <w:t>Analytical</w:t>
            </w:r>
          </w:p>
        </w:tc>
        <w:tc>
          <w:tcPr>
            <w:tcW w:w="3260" w:type="dxa"/>
          </w:tcPr>
          <w:p w14:paraId="7881F2EC"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Efficient and simplified analysis of all potential impacts to groundwater resources</w:t>
            </w:r>
          </w:p>
          <w:p w14:paraId="2C5144A4"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Useful when data is limited and/or geological and hydraulic conditions are relatively simple</w:t>
            </w:r>
          </w:p>
        </w:tc>
        <w:tc>
          <w:tcPr>
            <w:tcW w:w="2409" w:type="dxa"/>
          </w:tcPr>
          <w:p w14:paraId="44C319A0"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Unable to capture complex geologic geometries (e.g. non-uniformly layered geology) or hydraulic conditions (e.g. coal anisotropy) </w:t>
            </w:r>
          </w:p>
          <w:p w14:paraId="0BBAE4FF"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May oversimplify hydraulic processes </w:t>
            </w:r>
          </w:p>
        </w:tc>
        <w:tc>
          <w:tcPr>
            <w:tcW w:w="2410" w:type="dxa"/>
          </w:tcPr>
          <w:p w14:paraId="1BEFC442"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Screening or preliminary assessment (particularly where data is severely limited) </w:t>
            </w:r>
          </w:p>
          <w:p w14:paraId="5848E59A"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Can be a valuable tool for modelling flow in the vicinity of individual wells</w:t>
            </w:r>
          </w:p>
        </w:tc>
      </w:tr>
      <w:tr w:rsidR="00D4090D" w:rsidRPr="00A925AC" w14:paraId="0441CE8C" w14:textId="77777777" w:rsidTr="0035559B">
        <w:tc>
          <w:tcPr>
            <w:cnfStyle w:val="001000000000" w:firstRow="0" w:lastRow="0" w:firstColumn="1" w:lastColumn="0" w:oddVBand="0" w:evenVBand="0" w:oddHBand="0" w:evenHBand="0" w:firstRowFirstColumn="0" w:firstRowLastColumn="0" w:lastRowFirstColumn="0" w:lastRowLastColumn="0"/>
            <w:tcW w:w="1555" w:type="dxa"/>
            <w:shd w:val="clear" w:color="auto" w:fill="E9EDF4"/>
          </w:tcPr>
          <w:p w14:paraId="4ABB4ACB" w14:textId="77777777" w:rsidR="00D4090D" w:rsidRPr="00A925AC" w:rsidRDefault="00D4090D" w:rsidP="00E35DD3">
            <w:pPr>
              <w:pStyle w:val="Tabletext"/>
            </w:pPr>
            <w:r w:rsidRPr="00A925AC">
              <w:t>Axisymmetric</w:t>
            </w:r>
          </w:p>
        </w:tc>
        <w:tc>
          <w:tcPr>
            <w:tcW w:w="3260" w:type="dxa"/>
          </w:tcPr>
          <w:p w14:paraId="0E312BC9"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Useful for modelling relatively symmetric conditions (e.g. in vicinity of coal seam gas wells where geological conditions are axisymmetric)</w:t>
            </w:r>
          </w:p>
        </w:tc>
        <w:tc>
          <w:tcPr>
            <w:tcW w:w="2409" w:type="dxa"/>
          </w:tcPr>
          <w:p w14:paraId="0F696FED"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Not suitable for regional scale assessment </w:t>
            </w:r>
          </w:p>
          <w:p w14:paraId="5AF78986"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Available tools do not consider gas desorption and migration, dual phase flow or coal dual porosity, which may pose inaccuracies in predicting impacts </w:t>
            </w:r>
          </w:p>
          <w:p w14:paraId="6563BCE2"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Not capable of assessing cumulative impacts</w:t>
            </w:r>
          </w:p>
        </w:tc>
        <w:tc>
          <w:tcPr>
            <w:tcW w:w="2410" w:type="dxa"/>
          </w:tcPr>
          <w:p w14:paraId="3E5216D3"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Assessment of impacts in the near-well (or near-field) under axisymmetric conditions </w:t>
            </w:r>
          </w:p>
          <w:p w14:paraId="6E4265A1"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Can be a valuable tool for modelling flow in the vicinity of individual wells</w:t>
            </w:r>
          </w:p>
        </w:tc>
      </w:tr>
      <w:tr w:rsidR="00D4090D" w:rsidRPr="00A925AC" w14:paraId="3D6B29EF" w14:textId="77777777" w:rsidTr="0035559B">
        <w:tc>
          <w:tcPr>
            <w:cnfStyle w:val="001000000000" w:firstRow="0" w:lastRow="0" w:firstColumn="1" w:lastColumn="0" w:oddVBand="0" w:evenVBand="0" w:oddHBand="0" w:evenHBand="0" w:firstRowFirstColumn="0" w:firstRowLastColumn="0" w:lastRowFirstColumn="0" w:lastRowLastColumn="0"/>
            <w:tcW w:w="1555" w:type="dxa"/>
            <w:shd w:val="clear" w:color="auto" w:fill="E9EDF4"/>
          </w:tcPr>
          <w:p w14:paraId="6B9D8A7A" w14:textId="77777777" w:rsidR="00D4090D" w:rsidRPr="00A925AC" w:rsidRDefault="00D4090D" w:rsidP="00E35DD3">
            <w:pPr>
              <w:pStyle w:val="Tabletext"/>
            </w:pPr>
            <w:r w:rsidRPr="00A925AC">
              <w:t>Reservoir assessment</w:t>
            </w:r>
          </w:p>
        </w:tc>
        <w:tc>
          <w:tcPr>
            <w:tcW w:w="3260" w:type="dxa"/>
          </w:tcPr>
          <w:p w14:paraId="15D65E50"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Designed (and therefore best suited) to predict produced water volumes and depressurisation and in the near-field.</w:t>
            </w:r>
          </w:p>
          <w:p w14:paraId="5BECDD6E"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Can model near-field produced water re-injection. </w:t>
            </w:r>
          </w:p>
          <w:p w14:paraId="28F7B1E9"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Tools do not consider groundwater–surface water interaction </w:t>
            </w:r>
          </w:p>
          <w:p w14:paraId="4170EF2B"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Most tools account for geomechanical processes, gas desorption and migration, dual phase flow and coal dual porosity, as well as complex geological conditions </w:t>
            </w:r>
          </w:p>
        </w:tc>
        <w:tc>
          <w:tcPr>
            <w:tcW w:w="2409" w:type="dxa"/>
          </w:tcPr>
          <w:p w14:paraId="24940EF4"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Reservoir assessment</w:t>
            </w:r>
          </w:p>
        </w:tc>
        <w:tc>
          <w:tcPr>
            <w:tcW w:w="2410" w:type="dxa"/>
          </w:tcPr>
          <w:p w14:paraId="5F0E614F"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Assessment of impacts to groundwater (not surface water) in the near-field (but not water quality) </w:t>
            </w:r>
          </w:p>
          <w:p w14:paraId="45B7F628"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Used for design of coal seam gas well networks</w:t>
            </w:r>
          </w:p>
        </w:tc>
      </w:tr>
      <w:tr w:rsidR="00D4090D" w:rsidRPr="00A925AC" w14:paraId="6B61CDD4" w14:textId="77777777" w:rsidTr="0035559B">
        <w:tc>
          <w:tcPr>
            <w:cnfStyle w:val="001000000000" w:firstRow="0" w:lastRow="0" w:firstColumn="1" w:lastColumn="0" w:oddVBand="0" w:evenVBand="0" w:oddHBand="0" w:evenHBand="0" w:firstRowFirstColumn="0" w:firstRowLastColumn="0" w:lastRowFirstColumn="0" w:lastRowLastColumn="0"/>
            <w:tcW w:w="1555" w:type="dxa"/>
            <w:shd w:val="clear" w:color="auto" w:fill="E9EDF4"/>
          </w:tcPr>
          <w:p w14:paraId="533481A7" w14:textId="77777777" w:rsidR="00D4090D" w:rsidRPr="00A925AC" w:rsidRDefault="00D4090D" w:rsidP="00E35DD3">
            <w:pPr>
              <w:pStyle w:val="Tabletext"/>
            </w:pPr>
            <w:r w:rsidRPr="00A925AC">
              <w:t>Regional Groundwater Impact Assessment</w:t>
            </w:r>
          </w:p>
        </w:tc>
        <w:tc>
          <w:tcPr>
            <w:tcW w:w="3260" w:type="dxa"/>
          </w:tcPr>
          <w:p w14:paraId="205EB69E"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Tools practicable for regional scale impact assessment </w:t>
            </w:r>
          </w:p>
          <w:p w14:paraId="6C9081CB"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Capable of representing complex geology, assessing cumulative impacts and changes to groundwater quality </w:t>
            </w:r>
          </w:p>
        </w:tc>
        <w:tc>
          <w:tcPr>
            <w:tcW w:w="2409" w:type="dxa"/>
          </w:tcPr>
          <w:p w14:paraId="7ED04400"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Generally ignores geomechanical processes, gas desorption and migration, dual phase flow and coal dual porosity; this may create inaccuracies </w:t>
            </w:r>
          </w:p>
        </w:tc>
        <w:tc>
          <w:tcPr>
            <w:tcW w:w="2410" w:type="dxa"/>
          </w:tcPr>
          <w:p w14:paraId="16CDAC90" w14:textId="77777777" w:rsidR="00D4090D" w:rsidRPr="00A925AC" w:rsidRDefault="00D4090D" w:rsidP="00E35DD3">
            <w:pPr>
              <w:pStyle w:val="Tabletext"/>
              <w:cnfStyle w:val="000000000000" w:firstRow="0" w:lastRow="0" w:firstColumn="0" w:lastColumn="0" w:oddVBand="0" w:evenVBand="0" w:oddHBand="0" w:evenHBand="0" w:firstRowFirstColumn="0" w:firstRowLastColumn="0" w:lastRowFirstColumn="0" w:lastRowLastColumn="0"/>
            </w:pPr>
            <w:r w:rsidRPr="00A925AC">
              <w:t xml:space="preserve">Regional-scale assessment of impacts,  water quality, re-injection and cumulative impacts </w:t>
            </w:r>
          </w:p>
        </w:tc>
      </w:tr>
    </w:tbl>
    <w:p w14:paraId="22221CBA" w14:textId="77777777" w:rsidR="00D4090D" w:rsidRDefault="00D4090D" w:rsidP="00D4090D"/>
    <w:p w14:paraId="11B4D5D4" w14:textId="77777777" w:rsidR="00D4090D" w:rsidRDefault="00D4090D" w:rsidP="00D4090D">
      <w:pPr>
        <w:pStyle w:val="Heading2"/>
        <w:numPr>
          <w:ilvl w:val="0"/>
          <w:numId w:val="32"/>
        </w:numPr>
        <w:ind w:left="357" w:hanging="357"/>
        <w:sectPr w:rsidR="00D4090D" w:rsidSect="00CF4178">
          <w:headerReference w:type="default" r:id="rId205"/>
          <w:pgSz w:w="11901" w:h="16840" w:code="9"/>
          <w:pgMar w:top="2268" w:right="1134" w:bottom="1276" w:left="1134" w:header="567" w:footer="567" w:gutter="0"/>
          <w:cols w:space="0"/>
          <w:formProt w:val="0"/>
          <w:docGrid w:linePitch="360"/>
        </w:sectPr>
      </w:pPr>
      <w:bookmarkStart w:id="977" w:name="_Ref406753822"/>
    </w:p>
    <w:p w14:paraId="617BD9B7" w14:textId="0DF49C5F" w:rsidR="00D4090D" w:rsidRDefault="00D4090D" w:rsidP="00D4090D">
      <w:pPr>
        <w:pStyle w:val="Head2app"/>
      </w:pPr>
      <w:bookmarkStart w:id="978" w:name="_Ref406753918"/>
      <w:bookmarkStart w:id="979" w:name="_Toc420500942"/>
      <w:bookmarkStart w:id="980" w:name="_Toc420511197"/>
      <w:bookmarkStart w:id="981" w:name="_Toc420572518"/>
      <w:bookmarkStart w:id="982" w:name="_Toc420572689"/>
      <w:bookmarkStart w:id="983" w:name="_Toc420573107"/>
      <w:bookmarkStart w:id="984" w:name="_Toc296599096"/>
      <w:bookmarkStart w:id="985" w:name="_Toc296767317"/>
      <w:bookmarkStart w:id="986" w:name="_Toc296770458"/>
      <w:bookmarkStart w:id="987" w:name="_Toc423018282"/>
      <w:bookmarkEnd w:id="977"/>
      <w:r>
        <w:t>Appendix AE</w:t>
      </w:r>
      <w:r w:rsidR="009D4C4C">
        <w:t xml:space="preserve">: </w:t>
      </w:r>
      <w:r>
        <w:t>Methodologies used to assess groundwater vulnerability</w:t>
      </w:r>
      <w:bookmarkEnd w:id="978"/>
      <w:bookmarkEnd w:id="979"/>
      <w:bookmarkEnd w:id="980"/>
      <w:bookmarkEnd w:id="981"/>
      <w:bookmarkEnd w:id="982"/>
      <w:bookmarkEnd w:id="983"/>
      <w:bookmarkEnd w:id="984"/>
      <w:bookmarkEnd w:id="985"/>
      <w:bookmarkEnd w:id="986"/>
      <w:bookmarkEnd w:id="987"/>
    </w:p>
    <w:p w14:paraId="675C280E" w14:textId="77777777" w:rsidR="00D4090D" w:rsidRDefault="00D4090D" w:rsidP="00D4090D">
      <w:pPr>
        <w:pStyle w:val="Heading4"/>
        <w:ind w:left="864" w:hanging="864"/>
      </w:pPr>
      <w:r w:rsidRPr="001E5172">
        <w:t>Victoria – State Environment Protection Policy</w:t>
      </w:r>
    </w:p>
    <w:p w14:paraId="55799479" w14:textId="5DCA92D4" w:rsidR="00D4090D" w:rsidRDefault="00D4090D" w:rsidP="00D4090D">
      <w:r>
        <w:t>The State Environment Protection Policy (Groundwaters of Victoria) 1997 establishes water quality objectives and indicators based on Total Dissolved Content concentrations for various Beneficial Uses of groundwater as outlined in tables AE1 and AE2 below.</w:t>
      </w:r>
      <w:r w:rsidR="00825B1C">
        <w:br/>
      </w:r>
    </w:p>
    <w:p w14:paraId="3441DBAC" w14:textId="6B0DC91D" w:rsidR="00D4090D" w:rsidRDefault="00D4090D" w:rsidP="002D44DF">
      <w:pPr>
        <w:pStyle w:val="Tableheading"/>
      </w:pPr>
      <w:bookmarkStart w:id="988" w:name="_Toc420511302"/>
      <w:bookmarkStart w:id="989" w:name="_Toc420573201"/>
      <w:bookmarkStart w:id="990" w:name="_Toc296600027"/>
      <w:bookmarkStart w:id="991" w:name="_Toc296770896"/>
      <w:r w:rsidRPr="00B85F18">
        <w:t xml:space="preserve">Table </w:t>
      </w:r>
      <w:r>
        <w:t>AE</w:t>
      </w:r>
      <w:r>
        <w:fldChar w:fldCharType="begin"/>
      </w:r>
      <w:r>
        <w:instrText xml:space="preserve"> SEQ Table \* ARABIC \s 9 </w:instrText>
      </w:r>
      <w:r>
        <w:fldChar w:fldCharType="separate"/>
      </w:r>
      <w:r w:rsidR="00171A5E">
        <w:rPr>
          <w:noProof/>
        </w:rPr>
        <w:t>1</w:t>
      </w:r>
      <w:r>
        <w:rPr>
          <w:noProof/>
        </w:rPr>
        <w:fldChar w:fldCharType="end"/>
      </w:r>
      <w:r w:rsidRPr="00B85F18">
        <w:t>:</w:t>
      </w:r>
      <w:r w:rsidRPr="00F10CDA">
        <w:t xml:space="preserve"> SEPP Beneficial Uses to be Protected and Groundwater Quality Indicators (mg/L of Total Dissolved Solids), (</w:t>
      </w:r>
      <w:r w:rsidR="00182F50">
        <w:t>S</w:t>
      </w:r>
      <w:r>
        <w:t xml:space="preserve">ource: </w:t>
      </w:r>
      <w:r w:rsidRPr="00F10CDA">
        <w:t>Vic</w:t>
      </w:r>
      <w:r>
        <w:t>torian Government Gazette, 1997).</w:t>
      </w:r>
      <w:bookmarkEnd w:id="988"/>
      <w:bookmarkEnd w:id="989"/>
      <w:bookmarkEnd w:id="990"/>
      <w:bookmarkEnd w:id="991"/>
    </w:p>
    <w:p w14:paraId="5D9516AC" w14:textId="77777777" w:rsidR="00D4090D" w:rsidRDefault="00D4090D" w:rsidP="00825B1C">
      <w:pPr>
        <w:jc w:val="center"/>
      </w:pPr>
      <w:bookmarkStart w:id="992" w:name="_Ref417632063"/>
      <w:r>
        <w:rPr>
          <w:noProof/>
          <w:lang w:val="en-AU"/>
        </w:rPr>
        <w:drawing>
          <wp:inline distT="0" distB="0" distL="0" distR="0" wp14:anchorId="65708675" wp14:editId="4488B084">
            <wp:extent cx="5972175" cy="38957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cstate="screen">
                      <a:extLst>
                        <a:ext uri="{28A0092B-C50C-407E-A947-70E740481C1C}">
                          <a14:useLocalDpi xmlns:a14="http://schemas.microsoft.com/office/drawing/2010/main"/>
                        </a:ext>
                      </a:extLst>
                    </a:blip>
                    <a:srcRect/>
                    <a:stretch/>
                  </pic:blipFill>
                  <pic:spPr bwMode="auto">
                    <a:xfrm>
                      <a:off x="0" y="0"/>
                      <a:ext cx="5977230" cy="3899022"/>
                    </a:xfrm>
                    <a:prstGeom prst="rect">
                      <a:avLst/>
                    </a:prstGeom>
                    <a:ln>
                      <a:noFill/>
                    </a:ln>
                    <a:extLst>
                      <a:ext uri="{53640926-AAD7-44D8-BBD7-CCE9431645EC}">
                        <a14:shadowObscured xmlns:a14="http://schemas.microsoft.com/office/drawing/2010/main"/>
                      </a:ext>
                    </a:extLst>
                  </pic:spPr>
                </pic:pic>
              </a:graphicData>
            </a:graphic>
          </wp:inline>
        </w:drawing>
      </w:r>
    </w:p>
    <w:bookmarkEnd w:id="992"/>
    <w:p w14:paraId="3B939F5F" w14:textId="77777777" w:rsidR="00D4090D" w:rsidRDefault="00D4090D" w:rsidP="00D4090D"/>
    <w:p w14:paraId="2955E604" w14:textId="4FC6F6EF" w:rsidR="00D4090D" w:rsidRDefault="00D4090D" w:rsidP="002D44DF">
      <w:pPr>
        <w:pStyle w:val="Tableheading"/>
      </w:pPr>
      <w:r>
        <w:t>Table AE2: Groundwater quality indicators and objectives by beneficial use. (Source: Victorian Government Gazette, 1997.)</w:t>
      </w:r>
    </w:p>
    <w:p w14:paraId="5F65ED82" w14:textId="3F6FBE22" w:rsidR="00D4090D" w:rsidRDefault="00D4090D" w:rsidP="00825B1C">
      <w:pPr>
        <w:jc w:val="center"/>
        <w:rPr>
          <w:b/>
        </w:rPr>
      </w:pPr>
      <w:r>
        <w:rPr>
          <w:noProof/>
          <w:lang w:val="en-AU"/>
        </w:rPr>
        <w:drawing>
          <wp:inline distT="0" distB="0" distL="0" distR="0" wp14:anchorId="2B2A63CE" wp14:editId="4AE88940">
            <wp:extent cx="5124450" cy="7283628"/>
            <wp:effectExtent l="0" t="0" r="0" b="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a:ext>
                      </a:extLst>
                    </a:blip>
                    <a:stretch>
                      <a:fillRect/>
                    </a:stretch>
                  </pic:blipFill>
                  <pic:spPr>
                    <a:xfrm>
                      <a:off x="0" y="0"/>
                      <a:ext cx="5128992" cy="7290084"/>
                    </a:xfrm>
                    <a:prstGeom prst="rect">
                      <a:avLst/>
                    </a:prstGeom>
                  </pic:spPr>
                </pic:pic>
              </a:graphicData>
            </a:graphic>
          </wp:inline>
        </w:drawing>
      </w:r>
      <w:r w:rsidR="00825B1C">
        <w:rPr>
          <w:b/>
        </w:rPr>
        <w:br/>
      </w:r>
      <w:r>
        <w:rPr>
          <w:b/>
        </w:rPr>
        <w:br w:type="page"/>
      </w:r>
    </w:p>
    <w:p w14:paraId="64558E0F" w14:textId="77777777" w:rsidR="00D4090D" w:rsidRDefault="00D4090D" w:rsidP="00D4090D">
      <w:pPr>
        <w:pStyle w:val="Heading4"/>
        <w:ind w:left="864" w:hanging="864"/>
      </w:pPr>
      <w:r w:rsidRPr="00311AA2">
        <w:t>Connecticut’s groundwater classification system</w:t>
      </w:r>
    </w:p>
    <w:p w14:paraId="4137BCA0" w14:textId="77777777" w:rsidR="00D4090D" w:rsidRDefault="00D4090D" w:rsidP="00D4090D">
      <w:r>
        <w:t>Connecticut’s Water Quality Standards comprise three components:</w:t>
      </w:r>
    </w:p>
    <w:p w14:paraId="124C248A" w14:textId="77777777" w:rsidR="00D4090D" w:rsidRDefault="00D4090D" w:rsidP="00D4090D">
      <w:pPr>
        <w:numPr>
          <w:ilvl w:val="0"/>
          <w:numId w:val="2"/>
        </w:numPr>
        <w:tabs>
          <w:tab w:val="clear" w:pos="1260"/>
          <w:tab w:val="num" w:pos="426"/>
        </w:tabs>
        <w:spacing w:after="120"/>
        <w:ind w:left="426" w:hanging="426"/>
      </w:pPr>
      <w:r>
        <w:t>Standards, which assign water quality goals, allowable discharges</w:t>
      </w:r>
    </w:p>
    <w:p w14:paraId="0E227084" w14:textId="77777777" w:rsidR="00D4090D" w:rsidRDefault="00D4090D" w:rsidP="00D4090D">
      <w:pPr>
        <w:numPr>
          <w:ilvl w:val="0"/>
          <w:numId w:val="2"/>
        </w:numPr>
        <w:tabs>
          <w:tab w:val="clear" w:pos="1260"/>
          <w:tab w:val="num" w:pos="426"/>
        </w:tabs>
        <w:spacing w:after="120"/>
        <w:ind w:left="426" w:hanging="426"/>
      </w:pPr>
      <w:r>
        <w:t>Classification and Criteria, which set out water quality classes, designated uses and criteria that must be achieved (chemical or physical levels, or bacterial concentrations)</w:t>
      </w:r>
    </w:p>
    <w:p w14:paraId="5A433C23" w14:textId="77777777" w:rsidR="00D4090D" w:rsidRDefault="00D4090D" w:rsidP="00D4090D">
      <w:pPr>
        <w:numPr>
          <w:ilvl w:val="0"/>
          <w:numId w:val="2"/>
        </w:numPr>
        <w:tabs>
          <w:tab w:val="clear" w:pos="1260"/>
          <w:tab w:val="num" w:pos="426"/>
        </w:tabs>
        <w:spacing w:after="120"/>
        <w:ind w:left="426" w:hanging="426"/>
      </w:pPr>
      <w:r>
        <w:t xml:space="preserve">Classification maps, illustrating what classification is assigned to specific surface or groundwater assets based on their designated use. </w:t>
      </w:r>
    </w:p>
    <w:p w14:paraId="6066EFCB" w14:textId="3CDE0681" w:rsidR="00D4090D" w:rsidRDefault="00D4090D" w:rsidP="00D4090D">
      <w:r>
        <w:t xml:space="preserve">The water quality classification system is comprised of several classes for different types of water resources, including 5 classes for inland surface waters, and 4 classes for ground water (GAA, GA, GB, and GC) – see </w:t>
      </w:r>
      <w:r>
        <w:fldChar w:fldCharType="begin"/>
      </w:r>
      <w:r>
        <w:instrText xml:space="preserve"> REF _Ref404024534 \h </w:instrText>
      </w:r>
      <w:r>
        <w:fldChar w:fldCharType="separate"/>
      </w:r>
      <w:r w:rsidR="00171A5E" w:rsidRPr="00B85F18">
        <w:t xml:space="preserve">Table </w:t>
      </w:r>
      <w:r w:rsidR="00171A5E">
        <w:t>AE</w:t>
      </w:r>
      <w:r>
        <w:fldChar w:fldCharType="end"/>
      </w:r>
      <w:r>
        <w:t>AE3.</w:t>
      </w:r>
      <w:r w:rsidR="00825B1C">
        <w:br/>
      </w:r>
    </w:p>
    <w:p w14:paraId="680A19DB" w14:textId="136077CF" w:rsidR="00D4090D" w:rsidRPr="00B91492" w:rsidRDefault="00D4090D" w:rsidP="002D44DF">
      <w:pPr>
        <w:pStyle w:val="Tableheading"/>
      </w:pPr>
      <w:bookmarkStart w:id="993" w:name="_Ref404024534"/>
      <w:r>
        <w:rPr>
          <w:noProof/>
          <w:lang w:val="en-AU"/>
        </w:rPr>
        <w:drawing>
          <wp:anchor distT="0" distB="0" distL="114300" distR="114300" simplePos="0" relativeHeight="251661824" behindDoc="0" locked="0" layoutInCell="1" allowOverlap="1" wp14:anchorId="00CED305" wp14:editId="55E63929">
            <wp:simplePos x="0" y="0"/>
            <wp:positionH relativeFrom="column">
              <wp:posOffset>2540</wp:posOffset>
            </wp:positionH>
            <wp:positionV relativeFrom="paragraph">
              <wp:posOffset>440690</wp:posOffset>
            </wp:positionV>
            <wp:extent cx="6144260" cy="4944110"/>
            <wp:effectExtent l="0" t="0" r="8890" b="889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6144260" cy="4944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5F18">
        <w:t xml:space="preserve">Table </w:t>
      </w:r>
      <w:r>
        <w:t>AE</w:t>
      </w:r>
      <w:bookmarkEnd w:id="993"/>
      <w:r>
        <w:t>3</w:t>
      </w:r>
      <w:r w:rsidRPr="00B85F18">
        <w:t xml:space="preserve">: </w:t>
      </w:r>
      <w:r>
        <w:t>Connecticut’s Groundwater Quality Classes. (Source: Connecticut Environmental Conditions Online, 2010.)</w:t>
      </w:r>
    </w:p>
    <w:p w14:paraId="668EE1F7" w14:textId="77777777" w:rsidR="00D4090D" w:rsidRDefault="00D4090D" w:rsidP="00825B1C">
      <w:bookmarkStart w:id="994" w:name="_Ref406753970"/>
      <w:bookmarkStart w:id="995" w:name="_Toc420500943"/>
      <w:r>
        <w:br w:type="page"/>
      </w:r>
    </w:p>
    <w:p w14:paraId="127FA0CB" w14:textId="76E0FD90" w:rsidR="00D4090D" w:rsidRDefault="009D4C4C" w:rsidP="00C150BC">
      <w:pPr>
        <w:pStyle w:val="Head2app"/>
      </w:pPr>
      <w:bookmarkStart w:id="996" w:name="_Toc420511198"/>
      <w:bookmarkStart w:id="997" w:name="_Toc420572519"/>
      <w:bookmarkStart w:id="998" w:name="_Toc420572690"/>
      <w:bookmarkStart w:id="999" w:name="_Toc420573108"/>
      <w:bookmarkStart w:id="1000" w:name="_Toc296598217"/>
      <w:bookmarkStart w:id="1001" w:name="_Toc296767318"/>
      <w:bookmarkStart w:id="1002" w:name="_Toc296770459"/>
      <w:bookmarkStart w:id="1003" w:name="_Toc423018283"/>
      <w:r>
        <w:t xml:space="preserve">Appendix </w:t>
      </w:r>
      <w:r w:rsidR="00D4090D">
        <w:t>AF</w:t>
      </w:r>
      <w:r>
        <w:t xml:space="preserve">: </w:t>
      </w:r>
      <w:r w:rsidR="00D4090D">
        <w:t>Controls</w:t>
      </w:r>
      <w:bookmarkEnd w:id="994"/>
      <w:bookmarkEnd w:id="995"/>
      <w:bookmarkEnd w:id="996"/>
      <w:bookmarkEnd w:id="997"/>
      <w:bookmarkEnd w:id="998"/>
      <w:bookmarkEnd w:id="999"/>
      <w:bookmarkEnd w:id="1000"/>
      <w:bookmarkEnd w:id="1001"/>
      <w:bookmarkEnd w:id="1002"/>
      <w:bookmarkEnd w:id="1003"/>
    </w:p>
    <w:p w14:paraId="454839FA" w14:textId="2CAC48C6" w:rsidR="00D4090D" w:rsidRPr="008976A7" w:rsidRDefault="00D4090D" w:rsidP="00D4090D">
      <w:pPr>
        <w:pStyle w:val="Heading4"/>
        <w:ind w:left="864" w:hanging="864"/>
      </w:pPr>
      <w:r w:rsidRPr="008976A7">
        <w:t>Setback distances from sensitive receptors in the US</w:t>
      </w:r>
      <w:r w:rsidR="00825B1C">
        <w:br/>
      </w:r>
    </w:p>
    <w:p w14:paraId="7EE5086E" w14:textId="4BBC3246" w:rsidR="00D4090D" w:rsidRPr="009F542B" w:rsidRDefault="00D4090D" w:rsidP="002D44DF">
      <w:pPr>
        <w:pStyle w:val="Tableheading"/>
      </w:pPr>
      <w:bookmarkStart w:id="1004" w:name="_Toc296600028"/>
      <w:bookmarkStart w:id="1005" w:name="_Toc296770897"/>
      <w:bookmarkStart w:id="1006" w:name="_Toc420511303"/>
      <w:bookmarkStart w:id="1007" w:name="_Toc420573202"/>
      <w:r w:rsidRPr="00B85F18">
        <w:t xml:space="preserve">Table </w:t>
      </w:r>
      <w:r>
        <w:t>AF</w:t>
      </w:r>
      <w:r>
        <w:fldChar w:fldCharType="begin"/>
      </w:r>
      <w:r>
        <w:instrText xml:space="preserve"> SEQ Table \* ARABIC \s 9 </w:instrText>
      </w:r>
      <w:r>
        <w:fldChar w:fldCharType="separate"/>
      </w:r>
      <w:r w:rsidR="00171A5E">
        <w:rPr>
          <w:noProof/>
        </w:rPr>
        <w:t>1</w:t>
      </w:r>
      <w:r>
        <w:rPr>
          <w:noProof/>
        </w:rPr>
        <w:fldChar w:fldCharType="end"/>
      </w:r>
      <w:r w:rsidRPr="00B85F18">
        <w:t xml:space="preserve">: </w:t>
      </w:r>
      <w:r>
        <w:t>Setback distances from water resources and private dwellings in various US states. (Source: NYSDEC, 2009.)</w:t>
      </w:r>
      <w:bookmarkEnd w:id="1004"/>
      <w:bookmarkEnd w:id="1005"/>
      <w:bookmarkEnd w:id="1006"/>
      <w:bookmarkEnd w:id="1007"/>
    </w:p>
    <w:p w14:paraId="33815148" w14:textId="77777777" w:rsidR="00D4090D" w:rsidRDefault="00D4090D" w:rsidP="00825B1C">
      <w:pPr>
        <w:jc w:val="center"/>
      </w:pPr>
      <w:r>
        <w:rPr>
          <w:noProof/>
          <w:lang w:val="en-AU"/>
        </w:rPr>
        <w:drawing>
          <wp:inline distT="0" distB="0" distL="0" distR="0" wp14:anchorId="2E20AD77" wp14:editId="7C2BBCB9">
            <wp:extent cx="5674815" cy="6638925"/>
            <wp:effectExtent l="0" t="0" r="2540"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cstate="screen">
                      <a:extLst>
                        <a:ext uri="{28A0092B-C50C-407E-A947-70E740481C1C}">
                          <a14:useLocalDpi xmlns:a14="http://schemas.microsoft.com/office/drawing/2010/main"/>
                        </a:ext>
                      </a:extLst>
                    </a:blip>
                    <a:srcRect/>
                    <a:stretch/>
                  </pic:blipFill>
                  <pic:spPr bwMode="auto">
                    <a:xfrm>
                      <a:off x="0" y="0"/>
                      <a:ext cx="5685998" cy="6652008"/>
                    </a:xfrm>
                    <a:prstGeom prst="rect">
                      <a:avLst/>
                    </a:prstGeom>
                    <a:ln>
                      <a:noFill/>
                    </a:ln>
                    <a:extLst>
                      <a:ext uri="{53640926-AAD7-44D8-BBD7-CCE9431645EC}">
                        <a14:shadowObscured xmlns:a14="http://schemas.microsoft.com/office/drawing/2010/main"/>
                      </a:ext>
                    </a:extLst>
                  </pic:spPr>
                </pic:pic>
              </a:graphicData>
            </a:graphic>
          </wp:inline>
        </w:drawing>
      </w:r>
    </w:p>
    <w:p w14:paraId="03181199" w14:textId="77777777" w:rsidR="00D4090D" w:rsidRDefault="00D4090D" w:rsidP="00D4090D">
      <w:pPr>
        <w:spacing w:after="200"/>
      </w:pPr>
      <w:r>
        <w:br w:type="page"/>
      </w:r>
    </w:p>
    <w:p w14:paraId="4D67D746" w14:textId="77777777" w:rsidR="00D4090D" w:rsidRDefault="00D4090D" w:rsidP="00D4090D">
      <w:r>
        <w:t xml:space="preserve">Technical assistance provided to the </w:t>
      </w:r>
      <w:r w:rsidRPr="00A6533F">
        <w:t>New York State Department of Environmental Conservation</w:t>
      </w:r>
      <w:r>
        <w:t xml:space="preserve"> (NYSDEC, 2009) by ICF included a review of setback distances from water resources and private dwellings across several US states – see Table AF1. </w:t>
      </w:r>
    </w:p>
    <w:p w14:paraId="23BA7738" w14:textId="77777777" w:rsidR="00D4090D" w:rsidRPr="00AD7D73" w:rsidRDefault="00D4090D" w:rsidP="00D4090D">
      <w:r w:rsidRPr="00AD7D73">
        <w:t>The following section transcribes the NYSDEC (2009) proposed setback distances in relation to well drilling and high-volume hydraulic fracturing</w:t>
      </w:r>
      <w:r w:rsidRPr="00AD7D73">
        <w:rPr>
          <w:rStyle w:val="FootnoteReference"/>
          <w:rFonts w:eastAsiaTheme="majorEastAsia"/>
        </w:rPr>
        <w:footnoteReference w:id="27"/>
      </w:r>
      <w:r w:rsidRPr="00AD7D73">
        <w:t>.</w:t>
      </w:r>
    </w:p>
    <w:p w14:paraId="437C6135" w14:textId="77777777" w:rsidR="00D4090D" w:rsidRPr="00AD7D73" w:rsidRDefault="00D4090D" w:rsidP="00D4090D">
      <w:r w:rsidRPr="00AD7D73">
        <w:t>“An application for a permit to drill less than 305 metres from a municipal water supply well be considered "always significant" and requires a site-specific supplemental EIS to assess groundwater hydrology, potential impacts and propose mitigation measures.</w:t>
      </w:r>
    </w:p>
    <w:p w14:paraId="15A9FB22" w14:textId="77777777" w:rsidR="00D4090D" w:rsidRPr="00AD7D73" w:rsidRDefault="00D4090D" w:rsidP="00D4090D">
      <w:r w:rsidRPr="00AD7D73">
        <w:t>Site disturbance</w:t>
      </w:r>
      <w:r w:rsidRPr="00AD7D73">
        <w:rPr>
          <w:rStyle w:val="FootnoteReference"/>
          <w:rFonts w:eastAsiaTheme="majorEastAsia"/>
        </w:rPr>
        <w:footnoteReference w:id="28"/>
      </w:r>
      <w:r w:rsidRPr="00AD7D73">
        <w:t xml:space="preserve"> for multi-well pads and high-volume hydraulic fracturing be prohibited within 610m of any public (municipal or otherwise) water supply well, reservoirs, natural lake or man-made storage system. </w:t>
      </w:r>
    </w:p>
    <w:p w14:paraId="351408C4" w14:textId="77777777" w:rsidR="00D4090D" w:rsidRPr="00AD7D73" w:rsidRDefault="00D4090D" w:rsidP="00D4090D">
      <w:r w:rsidRPr="00AD7D73">
        <w:t xml:space="preserve">For at least two years the surface disturbance associated with high-volume hydraulic fracturing, including well pad and associated road construction and operation, be prohibited within the boundaries of primary aquifers and outside but within 120 metres of their boundaries. </w:t>
      </w:r>
    </w:p>
    <w:p w14:paraId="5CA110A2" w14:textId="77777777" w:rsidR="00D4090D" w:rsidRPr="00AD7D73" w:rsidRDefault="00D4090D" w:rsidP="00D4090D">
      <w:r w:rsidRPr="00AD7D73">
        <w:t>A site-specific SEQRA review (Environmental Impact Assessment) be required for high-volume hydraulic fracturing projects at any proposed well pad within 120 metres of the boundary of a Principal Aquifer.</w:t>
      </w:r>
    </w:p>
    <w:p w14:paraId="2A07F0FE" w14:textId="77777777" w:rsidR="00D4090D" w:rsidRPr="00AD7D73" w:rsidRDefault="00D4090D" w:rsidP="00D4090D">
      <w:r w:rsidRPr="00AD7D73">
        <w:t>It will not issue well permits for high-volume hydraulic fracturing within 120 metres of a private water well or domestic-supply spring, unless waived by the landowner.</w:t>
      </w:r>
    </w:p>
    <w:p w14:paraId="0DB50775" w14:textId="77777777" w:rsidR="00D4090D" w:rsidRPr="00AD7D73" w:rsidRDefault="00D4090D" w:rsidP="00D4090D">
      <w:r w:rsidRPr="00AD7D73">
        <w:t>The preliminary revised draft SGEIS document</w:t>
      </w:r>
      <w:r w:rsidRPr="00AD7D73">
        <w:rPr>
          <w:rStyle w:val="FootnoteReference"/>
          <w:rFonts w:eastAsiaTheme="majorEastAsia"/>
        </w:rPr>
        <w:footnoteReference w:id="29"/>
      </w:r>
      <w:r w:rsidRPr="00AD7D73">
        <w:t xml:space="preserve"> (2011) confirmed that irrespective of the intended formation and number/direction of wells to be drilled, site-specific environmental assessments and SEQRA determinations of significance would be required for the following types of HVHF applications:</w:t>
      </w:r>
    </w:p>
    <w:p w14:paraId="74EBDC68" w14:textId="0DE180BF" w:rsidR="00D4090D" w:rsidRPr="00AD7D73" w:rsidRDefault="00D4090D" w:rsidP="00D4090D">
      <w:pPr>
        <w:ind w:left="284" w:hanging="284"/>
      </w:pPr>
      <w:r w:rsidRPr="00AD7D73">
        <w:t>1</w:t>
      </w:r>
      <w:r>
        <w:tab/>
      </w:r>
      <w:r w:rsidRPr="00AD7D73">
        <w:t xml:space="preserve">Any proposed high-volume hydraulic fracturing where the top of the target fracture zone is shallower than 610 metres along a part of the proposed length of the wellbore </w:t>
      </w:r>
    </w:p>
    <w:p w14:paraId="177377DF" w14:textId="1F14E6A5" w:rsidR="00D4090D" w:rsidRPr="00AD7D73" w:rsidRDefault="00D4090D" w:rsidP="00D4090D">
      <w:pPr>
        <w:ind w:left="284" w:hanging="284"/>
      </w:pPr>
      <w:r w:rsidRPr="00AD7D73">
        <w:t>2</w:t>
      </w:r>
      <w:r>
        <w:tab/>
      </w:r>
      <w:r w:rsidRPr="00AD7D73">
        <w:t xml:space="preserve">Any proposed high-volume hydraulic fracturing where the top of the target fracture zone at any point along the entire proposed length of the wellbore is less than 305 metres below the base of a known fresh water supply </w:t>
      </w:r>
    </w:p>
    <w:p w14:paraId="43CA63AE" w14:textId="7FE117D0" w:rsidR="00D4090D" w:rsidRPr="00AD7D73" w:rsidRDefault="00D4090D" w:rsidP="00D4090D">
      <w:pPr>
        <w:ind w:left="284" w:hanging="284"/>
      </w:pPr>
      <w:r w:rsidRPr="00AD7D73">
        <w:t>3</w:t>
      </w:r>
      <w:r>
        <w:tab/>
      </w:r>
      <w:r w:rsidRPr="00AD7D73">
        <w:t>Any proposed well pad within the boundaries of a principal aquifer, or outside but within 150 metres of the boundaries of a principal aquifer</w:t>
      </w:r>
    </w:p>
    <w:p w14:paraId="465ED07E" w14:textId="795B7886" w:rsidR="00D4090D" w:rsidRPr="00AD7D73" w:rsidRDefault="00D4090D" w:rsidP="00D4090D">
      <w:pPr>
        <w:ind w:left="284" w:hanging="284"/>
      </w:pPr>
      <w:r w:rsidRPr="00AD7D73">
        <w:t>4</w:t>
      </w:r>
      <w:r>
        <w:tab/>
      </w:r>
      <w:r w:rsidRPr="00AD7D73">
        <w:t xml:space="preserve">Any proposed well pad within 45 metres of a perennial or intermittent stream that is not a tributary to a public drinking water supply, storm drain, lake or pond </w:t>
      </w:r>
    </w:p>
    <w:p w14:paraId="3E715A26" w14:textId="452BB786" w:rsidR="00D4090D" w:rsidRPr="00AD7D73" w:rsidRDefault="00D4090D" w:rsidP="00D4090D">
      <w:pPr>
        <w:ind w:left="284" w:hanging="284"/>
      </w:pPr>
      <w:r w:rsidRPr="00AD7D73">
        <w:t>5</w:t>
      </w:r>
      <w:r>
        <w:tab/>
      </w:r>
      <w:r w:rsidRPr="00AD7D73">
        <w:t xml:space="preserve">A proposed surface water withdrawal that is found not to be consistent with the Department’s preferred passby flow methodology </w:t>
      </w:r>
    </w:p>
    <w:p w14:paraId="1D9C3E9F" w14:textId="392C597C" w:rsidR="00D4090D" w:rsidRDefault="00D4090D" w:rsidP="00D4090D">
      <w:pPr>
        <w:ind w:left="284" w:hanging="284"/>
      </w:pPr>
      <w:r w:rsidRPr="00AD7D73">
        <w:t>6</w:t>
      </w:r>
      <w:r>
        <w:tab/>
      </w:r>
      <w:r w:rsidRPr="00AD7D73">
        <w:t>Any proposed well location within 305 metres of New York City Department of Environmental Protection’s subsurface water supply infrastructure.”</w:t>
      </w:r>
    </w:p>
    <w:p w14:paraId="0E1B12EF" w14:textId="77777777" w:rsidR="00D4090D" w:rsidRDefault="00D4090D" w:rsidP="00D4090D">
      <w:pPr>
        <w:pStyle w:val="Heading4"/>
      </w:pPr>
      <w:r w:rsidRPr="008976A7">
        <w:t xml:space="preserve">Principles for mitigating </w:t>
      </w:r>
      <w:r>
        <w:t>coal seam gas</w:t>
      </w:r>
      <w:r w:rsidRPr="008976A7">
        <w:t xml:space="preserve"> impacts</w:t>
      </w:r>
    </w:p>
    <w:p w14:paraId="3FB22501" w14:textId="77777777" w:rsidR="00D4090D" w:rsidRDefault="00D4090D" w:rsidP="00D4090D">
      <w:r>
        <w:t xml:space="preserve">The National Harmonised Regulatory Framework sets out 18 principles for managing potential coal seam gas impacts across the lifecycle of a typical development. Most of these practices would address risks to more than one of the four areas of concern: well integrity, water management, hydraulic fracturing and chemical use. See Table AF2 below for further details. </w:t>
      </w:r>
    </w:p>
    <w:p w14:paraId="30426A76" w14:textId="20527574" w:rsidR="00D4090D" w:rsidRPr="005D3632" w:rsidRDefault="00D4090D" w:rsidP="002D44DF">
      <w:pPr>
        <w:pStyle w:val="Tableheading"/>
      </w:pPr>
      <w:r w:rsidRPr="00B85F18">
        <w:t xml:space="preserve">Table </w:t>
      </w:r>
      <w:r>
        <w:t>AF2</w:t>
      </w:r>
      <w:r w:rsidRPr="00B85F18">
        <w:t xml:space="preserve">: </w:t>
      </w:r>
      <w:r>
        <w:t xml:space="preserve">Leading practices to mitigate potential impacts from coal seam gas. </w:t>
      </w:r>
      <w:r w:rsidR="000E1DC4">
        <w:br/>
      </w:r>
      <w:r>
        <w:t>(Source: SCER, 2013.)</w:t>
      </w:r>
    </w:p>
    <w:p w14:paraId="7EFAF533" w14:textId="77777777" w:rsidR="00D4090D" w:rsidRDefault="00D4090D" w:rsidP="00825B1C">
      <w:pPr>
        <w:jc w:val="center"/>
      </w:pPr>
      <w:r>
        <w:rPr>
          <w:noProof/>
          <w:lang w:val="en-AU"/>
        </w:rPr>
        <w:drawing>
          <wp:inline distT="0" distB="0" distL="0" distR="0" wp14:anchorId="6BE22F8B" wp14:editId="34F3F573">
            <wp:extent cx="5334000" cy="7370624"/>
            <wp:effectExtent l="0" t="0" r="0" b="1905"/>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356352" cy="7401510"/>
                    </a:xfrm>
                    <a:prstGeom prst="rect">
                      <a:avLst/>
                    </a:prstGeom>
                  </pic:spPr>
                </pic:pic>
              </a:graphicData>
            </a:graphic>
          </wp:inline>
        </w:drawing>
      </w:r>
    </w:p>
    <w:p w14:paraId="7C9D988A" w14:textId="77777777" w:rsidR="00D4090D" w:rsidRDefault="00D4090D" w:rsidP="00825B1C">
      <w:bookmarkStart w:id="1008" w:name="_Ref406753980"/>
      <w:bookmarkStart w:id="1009" w:name="_Ref406753991"/>
      <w:bookmarkStart w:id="1010" w:name="_Ref406754014"/>
      <w:bookmarkStart w:id="1011" w:name="_Toc420500944"/>
      <w:r>
        <w:br w:type="page"/>
      </w:r>
    </w:p>
    <w:p w14:paraId="44F1DF71" w14:textId="72BDFC9A" w:rsidR="00D4090D" w:rsidRDefault="00D4090D" w:rsidP="00D4090D">
      <w:pPr>
        <w:pStyle w:val="Head2app"/>
      </w:pPr>
      <w:bookmarkStart w:id="1012" w:name="_Toc420511199"/>
      <w:bookmarkStart w:id="1013" w:name="_Toc420572520"/>
      <w:bookmarkStart w:id="1014" w:name="_Toc420572691"/>
      <w:bookmarkStart w:id="1015" w:name="_Toc420573109"/>
      <w:bookmarkStart w:id="1016" w:name="_Toc296599097"/>
      <w:bookmarkStart w:id="1017" w:name="_Toc296767319"/>
      <w:bookmarkStart w:id="1018" w:name="_Toc296770460"/>
      <w:bookmarkStart w:id="1019" w:name="_Toc423018284"/>
      <w:r>
        <w:t>Appendix AG</w:t>
      </w:r>
      <w:r w:rsidR="009D4C4C">
        <w:t xml:space="preserve">: </w:t>
      </w:r>
      <w:r>
        <w:t>Consequence</w:t>
      </w:r>
      <w:bookmarkEnd w:id="1008"/>
      <w:bookmarkEnd w:id="1009"/>
      <w:bookmarkEnd w:id="1010"/>
      <w:bookmarkEnd w:id="1011"/>
      <w:bookmarkEnd w:id="1012"/>
      <w:bookmarkEnd w:id="1013"/>
      <w:bookmarkEnd w:id="1014"/>
      <w:bookmarkEnd w:id="1015"/>
      <w:bookmarkEnd w:id="1016"/>
      <w:bookmarkEnd w:id="1017"/>
      <w:bookmarkEnd w:id="1018"/>
      <w:bookmarkEnd w:id="1019"/>
    </w:p>
    <w:p w14:paraId="0E15CEE4" w14:textId="77777777" w:rsidR="00D4090D" w:rsidRPr="008976A7" w:rsidRDefault="00D4090D" w:rsidP="00D4090D">
      <w:pPr>
        <w:pStyle w:val="Heading4"/>
        <w:ind w:left="864" w:hanging="864"/>
      </w:pPr>
      <w:r w:rsidRPr="008976A7">
        <w:t>Principles to define significant impact – National Partnership Agreement</w:t>
      </w:r>
    </w:p>
    <w:p w14:paraId="75AEB653" w14:textId="77777777" w:rsidR="00D4090D" w:rsidRPr="00904FE9" w:rsidRDefault="00D4090D" w:rsidP="00D4090D">
      <w:r w:rsidRPr="00904FE9">
        <w:t xml:space="preserve">According to the National Partnership Agreement, a significant impact on water resources is caused by </w:t>
      </w:r>
      <w:r>
        <w:t>an action (or the effect of several actions)</w:t>
      </w:r>
      <w:r w:rsidRPr="00904FE9">
        <w:t xml:space="preserve"> – that would directly or indirectly:</w:t>
      </w:r>
    </w:p>
    <w:p w14:paraId="4A958284" w14:textId="77777777" w:rsidR="00D4090D" w:rsidRPr="008C7B73" w:rsidRDefault="00D4090D" w:rsidP="00C150BC">
      <w:pPr>
        <w:pStyle w:val="bulletlist0"/>
      </w:pPr>
      <w:r>
        <w:t>•</w:t>
      </w:r>
      <w:r>
        <w:tab/>
      </w:r>
      <w:r w:rsidRPr="008C7B73">
        <w:t>result in substantial change in the quantity, quality or flow regimes of surface water or groundwater</w:t>
      </w:r>
    </w:p>
    <w:p w14:paraId="64BCDF3D" w14:textId="77777777" w:rsidR="00D4090D" w:rsidRPr="008C7B73" w:rsidRDefault="00D4090D" w:rsidP="00C150BC">
      <w:pPr>
        <w:pStyle w:val="bulletlist0"/>
      </w:pPr>
      <w:r>
        <w:t>•</w:t>
      </w:r>
      <w:r>
        <w:tab/>
      </w:r>
      <w:r w:rsidRPr="008C7B73">
        <w:t>substantially alter groundwater pressure and/or watertable levels</w:t>
      </w:r>
    </w:p>
    <w:p w14:paraId="3CCD0678" w14:textId="77777777" w:rsidR="00D4090D" w:rsidRPr="008C7B73" w:rsidRDefault="00D4090D" w:rsidP="00C150BC">
      <w:pPr>
        <w:pStyle w:val="bulletlist0"/>
      </w:pPr>
      <w:r>
        <w:t>•</w:t>
      </w:r>
      <w:r>
        <w:tab/>
      </w:r>
      <w:r w:rsidRPr="008C7B73">
        <w:t>alter the ecological character of a wetland that is state or nationally significant or Ramsar-listed</w:t>
      </w:r>
    </w:p>
    <w:p w14:paraId="207E053C" w14:textId="77777777" w:rsidR="00D4090D" w:rsidRPr="008C7B73" w:rsidRDefault="00D4090D" w:rsidP="00C150BC">
      <w:pPr>
        <w:pStyle w:val="bulletlist0"/>
      </w:pPr>
      <w:r>
        <w:t>•</w:t>
      </w:r>
      <w:r>
        <w:tab/>
      </w:r>
      <w:r w:rsidRPr="008C7B73">
        <w:t>divert or impound rivers or creeks or substantially alter drainage patterns</w:t>
      </w:r>
    </w:p>
    <w:p w14:paraId="1D9B87E5" w14:textId="77777777" w:rsidR="00D4090D" w:rsidRPr="008C7B73" w:rsidRDefault="00D4090D" w:rsidP="00C150BC">
      <w:pPr>
        <w:pStyle w:val="bulletlist0"/>
      </w:pPr>
      <w:r>
        <w:t>•</w:t>
      </w:r>
      <w:r>
        <w:tab/>
      </w:r>
      <w:r w:rsidRPr="008C7B73">
        <w:t>reduce biological diversity or change species composition or ecosystem processes</w:t>
      </w:r>
    </w:p>
    <w:p w14:paraId="72B91F66" w14:textId="77777777" w:rsidR="00D4090D" w:rsidRPr="008C7B73" w:rsidRDefault="00D4090D" w:rsidP="00C150BC">
      <w:pPr>
        <w:pStyle w:val="bulletlist0"/>
      </w:pPr>
      <w:r>
        <w:t>•</w:t>
      </w:r>
      <w:r>
        <w:tab/>
      </w:r>
      <w:r w:rsidRPr="008C7B73">
        <w:t>alter coastal processes and inland processes, including sediment movement or accretion, or water circulation patterns</w:t>
      </w:r>
    </w:p>
    <w:p w14:paraId="42F689A2" w14:textId="77777777" w:rsidR="00D4090D" w:rsidRPr="008C7B73" w:rsidRDefault="00D4090D" w:rsidP="00C150BC">
      <w:pPr>
        <w:pStyle w:val="bulletlist0"/>
      </w:pPr>
      <w:r>
        <w:t>•</w:t>
      </w:r>
      <w:r>
        <w:tab/>
      </w:r>
      <w:r w:rsidRPr="008C7B73">
        <w:t xml:space="preserve">result in persistent organic chemicals, heavy metals or other potentially harmful chemicals accumulating in the environment such that biodiversity, ecological integrity, human health or other community and economic use may be adversely affected, or </w:t>
      </w:r>
    </w:p>
    <w:p w14:paraId="070AF62E" w14:textId="77777777" w:rsidR="00D4090D" w:rsidRDefault="00D4090D" w:rsidP="00C150BC">
      <w:pPr>
        <w:pStyle w:val="bulletlist0"/>
      </w:pPr>
      <w:r>
        <w:t>•</w:t>
      </w:r>
      <w:r>
        <w:tab/>
      </w:r>
      <w:r w:rsidRPr="008C7B73">
        <w:t>substantially increase demand for – or reduce the availability of water for – human consumption or ecosystem services.</w:t>
      </w:r>
    </w:p>
    <w:p w14:paraId="4A92EC85" w14:textId="194F27E2" w:rsidR="00D4090D" w:rsidRPr="008C7B73" w:rsidRDefault="00D4090D" w:rsidP="00C150BC">
      <w:pPr>
        <w:spacing w:after="120"/>
      </w:pPr>
    </w:p>
    <w:p w14:paraId="018891CC" w14:textId="68709976" w:rsidR="00D4090D" w:rsidRDefault="00D4090D" w:rsidP="00825B1C">
      <w:pPr>
        <w:pStyle w:val="figurereturn"/>
      </w:pPr>
      <w:r>
        <w:drawing>
          <wp:inline distT="0" distB="0" distL="0" distR="0" wp14:anchorId="3B9B8D93" wp14:editId="0E1C1A84">
            <wp:extent cx="5833533" cy="3135087"/>
            <wp:effectExtent l="0" t="0" r="0" b="8255"/>
            <wp:docPr id="2096" name="Diagram 20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1" r:lo="rId212" r:qs="rId213" r:cs="rId214"/>
              </a:graphicData>
            </a:graphic>
          </wp:inline>
        </w:drawing>
      </w:r>
      <w:r w:rsidR="00825B1C">
        <w:br/>
      </w:r>
    </w:p>
    <w:p w14:paraId="6F4DECAA" w14:textId="0CB9CE30" w:rsidR="00D4090D" w:rsidRDefault="00D4090D" w:rsidP="00825B1C">
      <w:pPr>
        <w:pStyle w:val="Figuretitle"/>
      </w:pPr>
      <w:bookmarkStart w:id="1020" w:name="_Toc420577005"/>
      <w:r>
        <w:t>Figure AG1: Ecological Valuation and Risk Assessment process. (Source: NSW Office of Water, 2012.)</w:t>
      </w:r>
      <w:bookmarkEnd w:id="1020"/>
    </w:p>
    <w:p w14:paraId="2A5020E7" w14:textId="77777777" w:rsidR="00D4090D" w:rsidRPr="008976A7" w:rsidRDefault="00D4090D" w:rsidP="00D4090D">
      <w:pPr>
        <w:pStyle w:val="Heading4"/>
        <w:ind w:left="864" w:hanging="864"/>
      </w:pPr>
      <w:r w:rsidRPr="008976A7">
        <w:t>NSW aquifer interference policy: Minimal impact considerations for aquifer interference activities</w:t>
      </w:r>
    </w:p>
    <w:p w14:paraId="5F0AF477" w14:textId="77777777" w:rsidR="00D4090D" w:rsidRDefault="00D4090D" w:rsidP="00D4090D">
      <w:r>
        <w:t>The following tables sourced from the NSW Aquifer Interference Policy provide quantitative thresholds against key water characteristics (level, pressure, quality) for highly productive and less productive groundwater resources (refer to ‘Receptors’ section in body of the Literature Review for a definition of these) in different groundwater systems.</w:t>
      </w:r>
    </w:p>
    <w:p w14:paraId="42515C10" w14:textId="77777777" w:rsidR="00D4090D" w:rsidRDefault="00D4090D" w:rsidP="00D4090D">
      <w:r>
        <w:t>Note that individual criteria have been established for the Great Artesian Basin groundwater sources on the basis of its particular hydrogeology and management profile.</w:t>
      </w:r>
    </w:p>
    <w:p w14:paraId="7772B2E2" w14:textId="77777777" w:rsidR="00D4090D" w:rsidRDefault="00D4090D" w:rsidP="00D4090D">
      <w:pPr>
        <w:pStyle w:val="Heading4"/>
        <w:sectPr w:rsidR="00D4090D" w:rsidSect="00CF4178">
          <w:pgSz w:w="11906" w:h="16838" w:code="9"/>
          <w:pgMar w:top="2268" w:right="1134" w:bottom="1276" w:left="1134" w:header="567" w:footer="567" w:gutter="0"/>
          <w:cols w:space="708"/>
          <w:titlePg/>
          <w:docGrid w:linePitch="360"/>
        </w:sectPr>
      </w:pPr>
    </w:p>
    <w:p w14:paraId="0645834A" w14:textId="44F21562" w:rsidR="00D4090D" w:rsidRPr="00D93158" w:rsidRDefault="00D4090D" w:rsidP="002D44DF">
      <w:pPr>
        <w:pStyle w:val="Tableheading"/>
      </w:pPr>
      <w:r>
        <w:t>Table AG1: Minimal impact considerations for watertable, pressure and quality thresholds by category of highly productive groundwater sources (alluvial, coastal sands, porous rock, fractured rock and Great Artesian Basin). (Source: NSW Office of Water, 2012.)</w:t>
      </w:r>
    </w:p>
    <w:p w14:paraId="33CA52AC" w14:textId="77777777" w:rsidR="00D4090D" w:rsidRDefault="00D4090D" w:rsidP="00D20192">
      <w:pPr>
        <w:jc w:val="center"/>
      </w:pPr>
      <w:r>
        <w:rPr>
          <w:noProof/>
          <w:lang w:val="en-AU"/>
        </w:rPr>
        <w:drawing>
          <wp:inline distT="0" distB="0" distL="0" distR="0" wp14:anchorId="7A403B41" wp14:editId="6731F658">
            <wp:extent cx="8105948" cy="48196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a:ext>
                      </a:extLst>
                    </a:blip>
                    <a:stretch>
                      <a:fillRect/>
                    </a:stretch>
                  </pic:blipFill>
                  <pic:spPr>
                    <a:xfrm>
                      <a:off x="0" y="0"/>
                      <a:ext cx="8122302" cy="4829374"/>
                    </a:xfrm>
                    <a:prstGeom prst="rect">
                      <a:avLst/>
                    </a:prstGeom>
                  </pic:spPr>
                </pic:pic>
              </a:graphicData>
            </a:graphic>
          </wp:inline>
        </w:drawing>
      </w:r>
    </w:p>
    <w:p w14:paraId="73D27170" w14:textId="77777777" w:rsidR="00D4090D" w:rsidRDefault="00D4090D" w:rsidP="00D20192">
      <w:pPr>
        <w:jc w:val="center"/>
      </w:pPr>
      <w:r>
        <w:rPr>
          <w:noProof/>
          <w:lang w:val="en-AU"/>
        </w:rPr>
        <w:drawing>
          <wp:inline distT="0" distB="0" distL="0" distR="0" wp14:anchorId="3E8B8A55" wp14:editId="02C4773F">
            <wp:extent cx="8184126" cy="5153025"/>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a:ext>
                      </a:extLst>
                    </a:blip>
                    <a:stretch>
                      <a:fillRect/>
                    </a:stretch>
                  </pic:blipFill>
                  <pic:spPr>
                    <a:xfrm>
                      <a:off x="0" y="0"/>
                      <a:ext cx="8190110" cy="5156793"/>
                    </a:xfrm>
                    <a:prstGeom prst="rect">
                      <a:avLst/>
                    </a:prstGeom>
                  </pic:spPr>
                </pic:pic>
              </a:graphicData>
            </a:graphic>
          </wp:inline>
        </w:drawing>
      </w:r>
    </w:p>
    <w:p w14:paraId="6B56D789" w14:textId="77777777" w:rsidR="00D4090D" w:rsidRPr="00F14354" w:rsidRDefault="00D4090D" w:rsidP="00D20192">
      <w:pPr>
        <w:jc w:val="center"/>
      </w:pPr>
      <w:r>
        <w:rPr>
          <w:noProof/>
          <w:lang w:val="en-AU"/>
        </w:rPr>
        <w:drawing>
          <wp:inline distT="0" distB="0" distL="0" distR="0" wp14:anchorId="559C62DA" wp14:editId="461F673B">
            <wp:extent cx="8187418" cy="512445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a:ext>
                      </a:extLst>
                    </a:blip>
                    <a:stretch>
                      <a:fillRect/>
                    </a:stretch>
                  </pic:blipFill>
                  <pic:spPr>
                    <a:xfrm>
                      <a:off x="0" y="0"/>
                      <a:ext cx="8195725" cy="5129650"/>
                    </a:xfrm>
                    <a:prstGeom prst="rect">
                      <a:avLst/>
                    </a:prstGeom>
                  </pic:spPr>
                </pic:pic>
              </a:graphicData>
            </a:graphic>
          </wp:inline>
        </w:drawing>
      </w:r>
    </w:p>
    <w:p w14:paraId="7D979ABA" w14:textId="77777777" w:rsidR="00D4090D" w:rsidRDefault="00D4090D" w:rsidP="00D20192">
      <w:pPr>
        <w:jc w:val="center"/>
        <w:rPr>
          <w:b/>
        </w:rPr>
      </w:pPr>
      <w:r>
        <w:rPr>
          <w:noProof/>
          <w:lang w:val="en-AU"/>
        </w:rPr>
        <w:drawing>
          <wp:inline distT="0" distB="0" distL="0" distR="0" wp14:anchorId="07EB3D43" wp14:editId="3DC816E1">
            <wp:extent cx="8217494" cy="51720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a:ext>
                      </a:extLst>
                    </a:blip>
                    <a:stretch>
                      <a:fillRect/>
                    </a:stretch>
                  </pic:blipFill>
                  <pic:spPr>
                    <a:xfrm>
                      <a:off x="0" y="0"/>
                      <a:ext cx="8226758" cy="5177906"/>
                    </a:xfrm>
                    <a:prstGeom prst="rect">
                      <a:avLst/>
                    </a:prstGeom>
                  </pic:spPr>
                </pic:pic>
              </a:graphicData>
            </a:graphic>
          </wp:inline>
        </w:drawing>
      </w:r>
    </w:p>
    <w:p w14:paraId="3C17CA6E" w14:textId="77777777" w:rsidR="00D4090D" w:rsidRPr="00C66FD2" w:rsidRDefault="00D4090D" w:rsidP="00D20192">
      <w:pPr>
        <w:jc w:val="center"/>
        <w:rPr>
          <w:b/>
        </w:rPr>
      </w:pPr>
      <w:r>
        <w:rPr>
          <w:noProof/>
          <w:lang w:val="en-AU"/>
        </w:rPr>
        <w:drawing>
          <wp:inline distT="0" distB="0" distL="0" distR="0" wp14:anchorId="39FC28CE" wp14:editId="40229B6B">
            <wp:extent cx="8487761" cy="5257800"/>
            <wp:effectExtent l="0" t="0" r="8890" b="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a:ext>
                      </a:extLst>
                    </a:blip>
                    <a:stretch>
                      <a:fillRect/>
                    </a:stretch>
                  </pic:blipFill>
                  <pic:spPr>
                    <a:xfrm>
                      <a:off x="0" y="0"/>
                      <a:ext cx="8494162" cy="5261765"/>
                    </a:xfrm>
                    <a:prstGeom prst="rect">
                      <a:avLst/>
                    </a:prstGeom>
                  </pic:spPr>
                </pic:pic>
              </a:graphicData>
            </a:graphic>
          </wp:inline>
        </w:drawing>
      </w:r>
    </w:p>
    <w:p w14:paraId="77BDB759" w14:textId="77777777" w:rsidR="00D4090D" w:rsidRDefault="00D4090D" w:rsidP="00D20192">
      <w:pPr>
        <w:jc w:val="center"/>
      </w:pPr>
      <w:r>
        <w:rPr>
          <w:noProof/>
          <w:lang w:val="en-AU"/>
        </w:rPr>
        <w:drawing>
          <wp:inline distT="0" distB="0" distL="0" distR="0" wp14:anchorId="7E0A5378" wp14:editId="0AB11E02">
            <wp:extent cx="8410355" cy="5276850"/>
            <wp:effectExtent l="0" t="0" r="0" b="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a:ext>
                      </a:extLst>
                    </a:blip>
                    <a:stretch>
                      <a:fillRect/>
                    </a:stretch>
                  </pic:blipFill>
                  <pic:spPr>
                    <a:xfrm>
                      <a:off x="0" y="0"/>
                      <a:ext cx="8421503" cy="5283844"/>
                    </a:xfrm>
                    <a:prstGeom prst="rect">
                      <a:avLst/>
                    </a:prstGeom>
                  </pic:spPr>
                </pic:pic>
              </a:graphicData>
            </a:graphic>
          </wp:inline>
        </w:drawing>
      </w:r>
    </w:p>
    <w:p w14:paraId="442FC5EC" w14:textId="77777777" w:rsidR="00D4090D" w:rsidRDefault="00D4090D" w:rsidP="00D20192">
      <w:pPr>
        <w:jc w:val="center"/>
        <w:rPr>
          <w:noProof/>
          <w:lang w:val="en-AU"/>
        </w:rPr>
      </w:pPr>
      <w:r>
        <w:rPr>
          <w:noProof/>
          <w:lang w:val="en-AU"/>
        </w:rPr>
        <w:drawing>
          <wp:inline distT="0" distB="0" distL="0" distR="0" wp14:anchorId="0D8FE636" wp14:editId="47D8E6CD">
            <wp:extent cx="8058924" cy="4524375"/>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extLst>
                        <a:ext uri="{28A0092B-C50C-407E-A947-70E740481C1C}">
                          <a14:useLocalDpi xmlns:a14="http://schemas.microsoft.com/office/drawing/2010/main"/>
                        </a:ext>
                      </a:extLst>
                    </a:blip>
                    <a:stretch>
                      <a:fillRect/>
                    </a:stretch>
                  </pic:blipFill>
                  <pic:spPr>
                    <a:xfrm>
                      <a:off x="0" y="0"/>
                      <a:ext cx="8073836" cy="4532747"/>
                    </a:xfrm>
                    <a:prstGeom prst="rect">
                      <a:avLst/>
                    </a:prstGeom>
                  </pic:spPr>
                </pic:pic>
              </a:graphicData>
            </a:graphic>
          </wp:inline>
        </w:drawing>
      </w:r>
    </w:p>
    <w:p w14:paraId="77C8BA7C" w14:textId="77777777" w:rsidR="00D4090D" w:rsidRDefault="00D4090D" w:rsidP="00D4090D">
      <w:pPr>
        <w:pStyle w:val="Heading4"/>
      </w:pPr>
      <w:r>
        <w:br w:type="page"/>
      </w:r>
    </w:p>
    <w:p w14:paraId="6AA71963" w14:textId="162B2A25" w:rsidR="00D4090D" w:rsidRDefault="00D4090D" w:rsidP="00D4090D">
      <w:pPr>
        <w:pStyle w:val="Heading4"/>
      </w:pPr>
      <w:r>
        <w:t>Table AG2:</w:t>
      </w:r>
      <w:r w:rsidRPr="00C81F69">
        <w:t xml:space="preserve"> </w:t>
      </w:r>
      <w:r>
        <w:t>Minimal impact considerations for watertable, pressure and quality thresholds by category of less productive groundwater sources (alluvial, porous rock, fractured rock). (Source: NSW Office of Water, 2012.)</w:t>
      </w:r>
    </w:p>
    <w:p w14:paraId="2785CC00" w14:textId="77777777" w:rsidR="00D4090D" w:rsidRPr="00E04247" w:rsidRDefault="00D4090D" w:rsidP="00D20192">
      <w:pPr>
        <w:jc w:val="center"/>
        <w:rPr>
          <w:noProof/>
          <w:color w:val="00338D"/>
          <w:sz w:val="24"/>
        </w:rPr>
      </w:pPr>
      <w:r>
        <w:rPr>
          <w:noProof/>
          <w:lang w:val="en-AU"/>
        </w:rPr>
        <w:drawing>
          <wp:inline distT="0" distB="0" distL="0" distR="0" wp14:anchorId="02BDD416" wp14:editId="671B2987">
            <wp:extent cx="7686675" cy="4679818"/>
            <wp:effectExtent l="0" t="0" r="0" b="6985"/>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cstate="screen">
                      <a:extLst>
                        <a:ext uri="{28A0092B-C50C-407E-A947-70E740481C1C}">
                          <a14:useLocalDpi xmlns:a14="http://schemas.microsoft.com/office/drawing/2010/main"/>
                        </a:ext>
                      </a:extLst>
                    </a:blip>
                    <a:srcRect/>
                    <a:stretch/>
                  </pic:blipFill>
                  <pic:spPr bwMode="auto">
                    <a:xfrm>
                      <a:off x="0" y="0"/>
                      <a:ext cx="7721258" cy="4700873"/>
                    </a:xfrm>
                    <a:prstGeom prst="rect">
                      <a:avLst/>
                    </a:prstGeom>
                    <a:ln>
                      <a:noFill/>
                    </a:ln>
                    <a:extLst>
                      <a:ext uri="{53640926-AAD7-44D8-BBD7-CCE9431645EC}">
                        <a14:shadowObscured xmlns:a14="http://schemas.microsoft.com/office/drawing/2010/main"/>
                      </a:ext>
                    </a:extLst>
                  </pic:spPr>
                </pic:pic>
              </a:graphicData>
            </a:graphic>
          </wp:inline>
        </w:drawing>
      </w:r>
    </w:p>
    <w:p w14:paraId="52EFD817" w14:textId="77777777" w:rsidR="00D4090D" w:rsidRPr="008976A7" w:rsidRDefault="00D4090D" w:rsidP="00D20192">
      <w:pPr>
        <w:jc w:val="center"/>
      </w:pPr>
      <w:r w:rsidRPr="00D93158">
        <w:rPr>
          <w:noProof/>
          <w:lang w:val="en-AU"/>
        </w:rPr>
        <w:drawing>
          <wp:inline distT="0" distB="0" distL="0" distR="0" wp14:anchorId="495A98A1" wp14:editId="1814FED4">
            <wp:extent cx="8235369" cy="5038725"/>
            <wp:effectExtent l="0" t="0" r="0" b="0"/>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a:ext>
                      </a:extLst>
                    </a:blip>
                    <a:srcRect/>
                    <a:stretch>
                      <a:fillRect/>
                    </a:stretch>
                  </pic:blipFill>
                  <pic:spPr bwMode="auto">
                    <a:xfrm>
                      <a:off x="0" y="0"/>
                      <a:ext cx="8238473" cy="5040624"/>
                    </a:xfrm>
                    <a:prstGeom prst="rect">
                      <a:avLst/>
                    </a:prstGeom>
                    <a:noFill/>
                    <a:ln>
                      <a:noFill/>
                    </a:ln>
                  </pic:spPr>
                </pic:pic>
              </a:graphicData>
            </a:graphic>
          </wp:inline>
        </w:drawing>
      </w:r>
    </w:p>
    <w:p w14:paraId="5641DE1E" w14:textId="77777777" w:rsidR="00D4090D" w:rsidRDefault="00D4090D" w:rsidP="00D20192">
      <w:pPr>
        <w:jc w:val="center"/>
      </w:pPr>
      <w:r>
        <w:rPr>
          <w:noProof/>
          <w:lang w:val="en-AU"/>
        </w:rPr>
        <w:drawing>
          <wp:inline distT="0" distB="0" distL="0" distR="0" wp14:anchorId="5687B77D" wp14:editId="7880DC3C">
            <wp:extent cx="8362950" cy="4048514"/>
            <wp:effectExtent l="0" t="0" r="0" b="9525"/>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a:ext>
                      </a:extLst>
                    </a:blip>
                    <a:stretch>
                      <a:fillRect/>
                    </a:stretch>
                  </pic:blipFill>
                  <pic:spPr>
                    <a:xfrm>
                      <a:off x="0" y="0"/>
                      <a:ext cx="8366136" cy="4050056"/>
                    </a:xfrm>
                    <a:prstGeom prst="rect">
                      <a:avLst/>
                    </a:prstGeom>
                  </pic:spPr>
                </pic:pic>
              </a:graphicData>
            </a:graphic>
          </wp:inline>
        </w:drawing>
      </w:r>
    </w:p>
    <w:p w14:paraId="37F31717" w14:textId="77777777" w:rsidR="00D4090D" w:rsidRDefault="00D4090D" w:rsidP="00D20192">
      <w:pPr>
        <w:jc w:val="center"/>
        <w:sectPr w:rsidR="00D4090D" w:rsidSect="00CF4178">
          <w:headerReference w:type="default" r:id="rId226"/>
          <w:headerReference w:type="first" r:id="rId227"/>
          <w:pgSz w:w="16838" w:h="11906" w:orient="landscape" w:code="9"/>
          <w:pgMar w:top="1701" w:right="1134" w:bottom="1276" w:left="1134" w:header="567" w:footer="567" w:gutter="0"/>
          <w:cols w:space="708"/>
          <w:titlePg/>
          <w:docGrid w:linePitch="360"/>
        </w:sectPr>
      </w:pPr>
    </w:p>
    <w:p w14:paraId="03C9A04E" w14:textId="77777777" w:rsidR="00D4090D" w:rsidRPr="00115BF8" w:rsidRDefault="00D4090D" w:rsidP="00D4090D">
      <w:pPr>
        <w:pStyle w:val="Heading4"/>
        <w:ind w:right="-285"/>
      </w:pPr>
      <w:r w:rsidRPr="00115BF8">
        <w:t>DMITRE (2013) Manageability and predictability criteria as determinants of environmental significance</w:t>
      </w:r>
      <w:r>
        <w:t>.</w:t>
      </w:r>
    </w:p>
    <w:p w14:paraId="691786BB" w14:textId="77777777" w:rsidR="00D4090D" w:rsidRDefault="00D4090D" w:rsidP="00CF4178">
      <w:pPr>
        <w:jc w:val="center"/>
      </w:pPr>
      <w:r>
        <w:rPr>
          <w:noProof/>
          <w:lang w:val="en-AU"/>
        </w:rPr>
        <w:drawing>
          <wp:inline distT="0" distB="0" distL="0" distR="0" wp14:anchorId="5398FEED" wp14:editId="028DE61B">
            <wp:extent cx="5828144" cy="1684866"/>
            <wp:effectExtent l="0" t="0" r="0" b="0"/>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extLst>
                        <a:ext uri="{28A0092B-C50C-407E-A947-70E740481C1C}">
                          <a14:useLocalDpi xmlns:a14="http://schemas.microsoft.com/office/drawing/2010/main"/>
                        </a:ext>
                      </a:extLst>
                    </a:blip>
                    <a:stretch>
                      <a:fillRect/>
                    </a:stretch>
                  </pic:blipFill>
                  <pic:spPr>
                    <a:xfrm>
                      <a:off x="0" y="0"/>
                      <a:ext cx="5833963" cy="1686548"/>
                    </a:xfrm>
                    <a:prstGeom prst="rect">
                      <a:avLst/>
                    </a:prstGeom>
                  </pic:spPr>
                </pic:pic>
              </a:graphicData>
            </a:graphic>
          </wp:inline>
        </w:drawing>
      </w:r>
    </w:p>
    <w:p w14:paraId="6A85BCEB" w14:textId="77777777" w:rsidR="00D4090D" w:rsidRDefault="00D4090D" w:rsidP="00CF4178">
      <w:pPr>
        <w:jc w:val="center"/>
      </w:pPr>
      <w:r>
        <w:rPr>
          <w:noProof/>
          <w:lang w:val="en-AU"/>
        </w:rPr>
        <w:drawing>
          <wp:inline distT="0" distB="0" distL="0" distR="0" wp14:anchorId="447D859B" wp14:editId="18C15A79">
            <wp:extent cx="5799666" cy="2582887"/>
            <wp:effectExtent l="0" t="0" r="0" b="8255"/>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cstate="screen">
                      <a:extLst>
                        <a:ext uri="{28A0092B-C50C-407E-A947-70E740481C1C}">
                          <a14:useLocalDpi xmlns:a14="http://schemas.microsoft.com/office/drawing/2010/main"/>
                        </a:ext>
                      </a:extLst>
                    </a:blip>
                    <a:srcRect/>
                    <a:stretch/>
                  </pic:blipFill>
                  <pic:spPr bwMode="auto">
                    <a:xfrm>
                      <a:off x="0" y="0"/>
                      <a:ext cx="5810050" cy="2587512"/>
                    </a:xfrm>
                    <a:prstGeom prst="rect">
                      <a:avLst/>
                    </a:prstGeom>
                    <a:ln>
                      <a:noFill/>
                    </a:ln>
                    <a:extLst>
                      <a:ext uri="{53640926-AAD7-44D8-BBD7-CCE9431645EC}">
                        <a14:shadowObscured xmlns:a14="http://schemas.microsoft.com/office/drawing/2010/main"/>
                      </a:ext>
                    </a:extLst>
                  </pic:spPr>
                </pic:pic>
              </a:graphicData>
            </a:graphic>
          </wp:inline>
        </w:drawing>
      </w:r>
    </w:p>
    <w:p w14:paraId="27AD8693" w14:textId="77777777" w:rsidR="00D4090D" w:rsidRPr="00115BF8" w:rsidRDefault="00D4090D" w:rsidP="00A53AE8">
      <w:pPr>
        <w:pStyle w:val="Figuretitle"/>
      </w:pPr>
      <w:bookmarkStart w:id="1023" w:name="_Toc420577006"/>
      <w:r w:rsidRPr="00115BF8">
        <w:t xml:space="preserve">Figure </w:t>
      </w:r>
      <w:r>
        <w:t>A</w:t>
      </w:r>
      <w:r w:rsidRPr="00115BF8">
        <w:t>G3: Guidance to determine manageability score (</w:t>
      </w:r>
      <w:r>
        <w:t>source: DMITRE, 2013</w:t>
      </w:r>
      <w:r w:rsidRPr="00115BF8">
        <w:t>)</w:t>
      </w:r>
      <w:bookmarkEnd w:id="1023"/>
    </w:p>
    <w:p w14:paraId="61EE8578" w14:textId="77777777" w:rsidR="00D4090D" w:rsidRPr="00115BF8" w:rsidRDefault="00D4090D" w:rsidP="00D4090D">
      <w:pPr>
        <w:pStyle w:val="Heading4"/>
        <w:ind w:left="864" w:hanging="864"/>
      </w:pPr>
      <w:r w:rsidRPr="00115BF8">
        <w:t>Tools to inform impact analysis IESC (2014)</w:t>
      </w:r>
    </w:p>
    <w:p w14:paraId="16832C5B" w14:textId="77777777" w:rsidR="00D4090D" w:rsidRDefault="00D4090D" w:rsidP="00D4090D">
      <w:r>
        <w:t xml:space="preserve">IESC (2014) outlines that impact analysis should draw on conceptual models, analysis of thresholds, carrying capacity and ecotoxicology, numerical modelling of direct impacts, and numerical and conceptual modelling of pathways to assess indirect and cumulative effects. </w:t>
      </w:r>
    </w:p>
    <w:p w14:paraId="414957C8" w14:textId="77777777" w:rsidR="00D4090D" w:rsidRDefault="00D4090D" w:rsidP="00C150BC">
      <w:pPr>
        <w:pStyle w:val="bulletlist0"/>
      </w:pPr>
      <w:r>
        <w:t>•</w:t>
      </w:r>
      <w:r>
        <w:tab/>
        <w:t>Direct impacts should be assessed using satellites and ground movements from Geodetic GPS systems, such as InSAR.</w:t>
      </w:r>
    </w:p>
    <w:p w14:paraId="35B95A64" w14:textId="77777777" w:rsidR="00D4090D" w:rsidRDefault="00D4090D" w:rsidP="00C150BC">
      <w:pPr>
        <w:pStyle w:val="bulletlist0"/>
      </w:pPr>
      <w:r>
        <w:t>•</w:t>
      </w:r>
      <w:r>
        <w:tab/>
        <w:t>Indirect impacts should be considered through impact pathways, via model functions which quantitatively link influence of direct impact on indirect impacts of each receptor. Confidence in determined impact level can be assessed through an impact analysis model.</w:t>
      </w:r>
    </w:p>
    <w:p w14:paraId="2B00B360" w14:textId="353F7319" w:rsidR="00D4090D" w:rsidRDefault="00D4090D" w:rsidP="002D44DF">
      <w:pPr>
        <w:pStyle w:val="Tableheading"/>
      </w:pPr>
      <w:r>
        <w:t>Table AG4: Qualitative risk matrix example (</w:t>
      </w:r>
      <w:r w:rsidR="00182F50">
        <w:t>S</w:t>
      </w:r>
      <w:r>
        <w:t>ource: ACOLA</w:t>
      </w:r>
      <w:r>
        <w:rPr>
          <w:noProof/>
        </w:rPr>
        <w:t>, 2013).</w:t>
      </w:r>
    </w:p>
    <w:p w14:paraId="54EE4549" w14:textId="57AEE941" w:rsidR="00D4090D" w:rsidRDefault="00D4090D" w:rsidP="00CF4178">
      <w:pPr>
        <w:jc w:val="center"/>
      </w:pPr>
      <w:r>
        <w:rPr>
          <w:noProof/>
          <w:lang w:val="en-AU"/>
        </w:rPr>
        <w:drawing>
          <wp:inline distT="0" distB="0" distL="0" distR="0" wp14:anchorId="7FEF8872" wp14:editId="4CB8A46F">
            <wp:extent cx="4529666" cy="1291133"/>
            <wp:effectExtent l="0" t="0" r="0" b="4445"/>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a:ext>
                      </a:extLst>
                    </a:blip>
                    <a:stretch>
                      <a:fillRect/>
                    </a:stretch>
                  </pic:blipFill>
                  <pic:spPr>
                    <a:xfrm>
                      <a:off x="0" y="0"/>
                      <a:ext cx="4530899" cy="1291484"/>
                    </a:xfrm>
                    <a:prstGeom prst="rect">
                      <a:avLst/>
                    </a:prstGeom>
                  </pic:spPr>
                </pic:pic>
              </a:graphicData>
            </a:graphic>
          </wp:inline>
        </w:drawing>
      </w:r>
    </w:p>
    <w:p w14:paraId="44E0DC50" w14:textId="751D21BE" w:rsidR="009B3448" w:rsidRPr="009B3448" w:rsidRDefault="009B3448">
      <w:pPr>
        <w:sectPr w:rsidR="009B3448" w:rsidRPr="009B3448" w:rsidSect="00CF4178">
          <w:headerReference w:type="default" r:id="rId231"/>
          <w:headerReference w:type="first" r:id="rId232"/>
          <w:pgSz w:w="11906" w:h="16838" w:code="9"/>
          <w:pgMar w:top="2268" w:right="1134" w:bottom="1276" w:left="1134" w:header="567" w:footer="567" w:gutter="0"/>
          <w:cols w:space="708"/>
          <w:titlePg/>
          <w:docGrid w:linePitch="360"/>
        </w:sectPr>
      </w:pPr>
      <w:r w:rsidRPr="009B3448">
        <w:br w:type="page"/>
      </w:r>
    </w:p>
    <w:p w14:paraId="1EFBBD06" w14:textId="52DF3466" w:rsidR="002A77B6" w:rsidRDefault="002A77B6" w:rsidP="00C150BC">
      <w:pPr>
        <w:pStyle w:val="Head1x"/>
      </w:pPr>
      <w:bookmarkStart w:id="1026" w:name="_Ref409794300"/>
      <w:bookmarkStart w:id="1027" w:name="_Toc420511093"/>
      <w:bookmarkStart w:id="1028" w:name="_Toc420572692"/>
      <w:bookmarkStart w:id="1029" w:name="_Toc296656494"/>
      <w:bookmarkStart w:id="1030" w:name="_Toc296767012"/>
      <w:bookmarkStart w:id="1031" w:name="_Toc422927933"/>
      <w:bookmarkStart w:id="1032" w:name="_Ref409798993"/>
      <w:bookmarkStart w:id="1033" w:name="_Ref411424522"/>
      <w:r>
        <w:t>Appendix B</w:t>
      </w:r>
      <w:r w:rsidR="00A65062">
        <w:t>:</w:t>
      </w:r>
      <w:r>
        <w:br/>
        <w:t>Otway region assessment method</w:t>
      </w:r>
      <w:bookmarkEnd w:id="1026"/>
      <w:bookmarkEnd w:id="1027"/>
      <w:bookmarkEnd w:id="1028"/>
      <w:bookmarkEnd w:id="1029"/>
      <w:bookmarkEnd w:id="1030"/>
      <w:bookmarkEnd w:id="1031"/>
    </w:p>
    <w:p w14:paraId="5C1D349C" w14:textId="7E55025A" w:rsidR="001E47D3" w:rsidRPr="001E47D3" w:rsidRDefault="001E47D3" w:rsidP="001E47D3">
      <w:pPr>
        <w:pStyle w:val="TOC1"/>
        <w:rPr>
          <w:color w:val="auto"/>
        </w:rPr>
      </w:pPr>
      <w:r w:rsidRPr="001E47D3">
        <w:fldChar w:fldCharType="begin"/>
      </w:r>
      <w:r w:rsidRPr="001E47D3">
        <w:instrText xml:space="preserve"> TOC \t "Head 2 app,1,Head 3 app,3" </w:instrText>
      </w:r>
      <w:r w:rsidRPr="001E47D3">
        <w:fldChar w:fldCharType="separate"/>
      </w:r>
      <w:r>
        <w:t>B1</w:t>
      </w:r>
      <w:r>
        <w:rPr>
          <w:rFonts w:asciiTheme="minorHAnsi" w:eastAsiaTheme="minorEastAsia" w:hAnsiTheme="minorHAnsi" w:cstheme="minorBidi"/>
          <w:color w:val="auto"/>
          <w:lang w:val="en-AU"/>
        </w:rPr>
        <w:tab/>
      </w:r>
      <w:r>
        <w:t>Introduction</w:t>
      </w:r>
      <w:r>
        <w:tab/>
      </w:r>
      <w:r>
        <w:fldChar w:fldCharType="begin"/>
      </w:r>
      <w:r>
        <w:instrText xml:space="preserve"> PAGEREF _Toc423018285 \h </w:instrText>
      </w:r>
      <w:r>
        <w:fldChar w:fldCharType="separate"/>
      </w:r>
      <w:r w:rsidR="00171A5E">
        <w:t>165</w:t>
      </w:r>
      <w:r>
        <w:fldChar w:fldCharType="end"/>
      </w:r>
    </w:p>
    <w:p w14:paraId="67783A3B" w14:textId="77777777" w:rsidR="001E47D3" w:rsidRDefault="001E47D3">
      <w:pPr>
        <w:pStyle w:val="TOC1"/>
        <w:rPr>
          <w:rFonts w:asciiTheme="minorHAnsi" w:eastAsiaTheme="minorEastAsia" w:hAnsiTheme="minorHAnsi" w:cstheme="minorBidi"/>
          <w:b w:val="0"/>
          <w:color w:val="auto"/>
          <w:lang w:val="en-AU"/>
        </w:rPr>
      </w:pPr>
      <w:r>
        <w:t>B2</w:t>
      </w:r>
      <w:r>
        <w:rPr>
          <w:rFonts w:asciiTheme="minorHAnsi" w:eastAsiaTheme="minorEastAsia" w:hAnsiTheme="minorHAnsi" w:cstheme="minorBidi"/>
          <w:b w:val="0"/>
          <w:color w:val="auto"/>
          <w:lang w:val="en-AU"/>
        </w:rPr>
        <w:tab/>
      </w:r>
      <w:r>
        <w:t>Hazard/pathway/receptor model</w:t>
      </w:r>
      <w:r>
        <w:tab/>
      </w:r>
      <w:r>
        <w:fldChar w:fldCharType="begin"/>
      </w:r>
      <w:r>
        <w:instrText xml:space="preserve"> PAGEREF _Toc423018286 \h </w:instrText>
      </w:r>
      <w:r>
        <w:fldChar w:fldCharType="separate"/>
      </w:r>
      <w:r w:rsidR="00171A5E">
        <w:t>167</w:t>
      </w:r>
      <w:r>
        <w:fldChar w:fldCharType="end"/>
      </w:r>
    </w:p>
    <w:p w14:paraId="0A5EE96A" w14:textId="77777777" w:rsidR="001E47D3" w:rsidRDefault="001E47D3" w:rsidP="001E47D3">
      <w:pPr>
        <w:pStyle w:val="TOC2"/>
        <w:spacing w:after="60"/>
        <w:rPr>
          <w:rFonts w:asciiTheme="minorHAnsi" w:hAnsiTheme="minorHAnsi" w:cstheme="minorBidi"/>
          <w:sz w:val="22"/>
          <w:szCs w:val="22"/>
        </w:rPr>
      </w:pPr>
      <w:r>
        <w:t>B2.1</w:t>
      </w:r>
      <w:r>
        <w:rPr>
          <w:rFonts w:asciiTheme="minorHAnsi" w:hAnsiTheme="minorHAnsi" w:cstheme="minorBidi"/>
          <w:sz w:val="22"/>
          <w:szCs w:val="22"/>
        </w:rPr>
        <w:tab/>
      </w:r>
      <w:r>
        <w:t>Hazard</w:t>
      </w:r>
      <w:r>
        <w:tab/>
      </w:r>
      <w:r>
        <w:fldChar w:fldCharType="begin"/>
      </w:r>
      <w:r>
        <w:instrText xml:space="preserve"> PAGEREF _Toc423018287 \h </w:instrText>
      </w:r>
      <w:r>
        <w:fldChar w:fldCharType="separate"/>
      </w:r>
      <w:r w:rsidR="00171A5E">
        <w:t>167</w:t>
      </w:r>
      <w:r>
        <w:fldChar w:fldCharType="end"/>
      </w:r>
    </w:p>
    <w:p w14:paraId="762D4446" w14:textId="77777777" w:rsidR="001E47D3" w:rsidRDefault="001E47D3" w:rsidP="001E47D3">
      <w:pPr>
        <w:pStyle w:val="TOC2"/>
        <w:spacing w:after="60"/>
        <w:rPr>
          <w:rFonts w:asciiTheme="minorHAnsi" w:hAnsiTheme="minorHAnsi" w:cstheme="minorBidi"/>
          <w:sz w:val="22"/>
          <w:szCs w:val="22"/>
        </w:rPr>
      </w:pPr>
      <w:r>
        <w:t>B2.2</w:t>
      </w:r>
      <w:r>
        <w:rPr>
          <w:rFonts w:asciiTheme="minorHAnsi" w:hAnsiTheme="minorHAnsi" w:cstheme="minorBidi"/>
          <w:sz w:val="22"/>
          <w:szCs w:val="22"/>
        </w:rPr>
        <w:tab/>
      </w:r>
      <w:r>
        <w:t>Pathway</w:t>
      </w:r>
      <w:r>
        <w:tab/>
      </w:r>
      <w:r>
        <w:fldChar w:fldCharType="begin"/>
      </w:r>
      <w:r>
        <w:instrText xml:space="preserve"> PAGEREF _Toc423018288 \h </w:instrText>
      </w:r>
      <w:r>
        <w:fldChar w:fldCharType="separate"/>
      </w:r>
      <w:r w:rsidR="00171A5E">
        <w:t>168</w:t>
      </w:r>
      <w:r>
        <w:fldChar w:fldCharType="end"/>
      </w:r>
    </w:p>
    <w:p w14:paraId="41A1172F" w14:textId="77777777" w:rsidR="001E47D3" w:rsidRDefault="001E47D3" w:rsidP="001E47D3">
      <w:pPr>
        <w:pStyle w:val="TOC2"/>
        <w:spacing w:after="60"/>
        <w:rPr>
          <w:rFonts w:asciiTheme="minorHAnsi" w:hAnsiTheme="minorHAnsi" w:cstheme="minorBidi"/>
          <w:sz w:val="22"/>
          <w:szCs w:val="22"/>
        </w:rPr>
      </w:pPr>
      <w:r w:rsidRPr="00EC2180">
        <w:rPr>
          <w:lang w:eastAsia="en-US"/>
        </w:rPr>
        <w:t>B2.3</w:t>
      </w:r>
      <w:r>
        <w:rPr>
          <w:rFonts w:asciiTheme="minorHAnsi" w:hAnsiTheme="minorHAnsi" w:cstheme="minorBidi"/>
          <w:sz w:val="22"/>
          <w:szCs w:val="22"/>
        </w:rPr>
        <w:tab/>
      </w:r>
      <w:r w:rsidRPr="00EC2180">
        <w:rPr>
          <w:lang w:eastAsia="en-US"/>
        </w:rPr>
        <w:t>Receptors</w:t>
      </w:r>
      <w:r>
        <w:tab/>
      </w:r>
      <w:r>
        <w:fldChar w:fldCharType="begin"/>
      </w:r>
      <w:r>
        <w:instrText xml:space="preserve"> PAGEREF _Toc423018289 \h </w:instrText>
      </w:r>
      <w:r>
        <w:fldChar w:fldCharType="separate"/>
      </w:r>
      <w:r w:rsidR="00171A5E">
        <w:t>168</w:t>
      </w:r>
      <w:r>
        <w:fldChar w:fldCharType="end"/>
      </w:r>
    </w:p>
    <w:p w14:paraId="5C033353" w14:textId="77777777" w:rsidR="001E47D3" w:rsidRDefault="001E47D3">
      <w:pPr>
        <w:pStyle w:val="TOC1"/>
        <w:rPr>
          <w:rFonts w:asciiTheme="minorHAnsi" w:eastAsiaTheme="minorEastAsia" w:hAnsiTheme="minorHAnsi" w:cstheme="minorBidi"/>
          <w:b w:val="0"/>
          <w:color w:val="auto"/>
          <w:lang w:val="en-AU"/>
        </w:rPr>
      </w:pPr>
      <w:r>
        <w:t>B3</w:t>
      </w:r>
      <w:r>
        <w:rPr>
          <w:rFonts w:asciiTheme="minorHAnsi" w:eastAsiaTheme="minorEastAsia" w:hAnsiTheme="minorHAnsi" w:cstheme="minorBidi"/>
          <w:b w:val="0"/>
          <w:color w:val="auto"/>
          <w:lang w:val="en-AU"/>
        </w:rPr>
        <w:tab/>
      </w:r>
      <w:r>
        <w:t>Aquifer depressurisation</w:t>
      </w:r>
      <w:r>
        <w:tab/>
      </w:r>
      <w:r>
        <w:fldChar w:fldCharType="begin"/>
      </w:r>
      <w:r>
        <w:instrText xml:space="preserve"> PAGEREF _Toc423018290 \h </w:instrText>
      </w:r>
      <w:r>
        <w:fldChar w:fldCharType="separate"/>
      </w:r>
      <w:r w:rsidR="00171A5E">
        <w:t>170</w:t>
      </w:r>
      <w:r>
        <w:fldChar w:fldCharType="end"/>
      </w:r>
    </w:p>
    <w:p w14:paraId="01D4DB69" w14:textId="77777777" w:rsidR="001E47D3" w:rsidRDefault="001E47D3" w:rsidP="001E47D3">
      <w:pPr>
        <w:pStyle w:val="TOC2"/>
        <w:spacing w:after="60"/>
        <w:rPr>
          <w:rFonts w:asciiTheme="minorHAnsi" w:hAnsiTheme="minorHAnsi" w:cstheme="minorBidi"/>
          <w:sz w:val="22"/>
          <w:szCs w:val="22"/>
        </w:rPr>
      </w:pPr>
      <w:r>
        <w:t>B3.1</w:t>
      </w:r>
      <w:r>
        <w:rPr>
          <w:rFonts w:asciiTheme="minorHAnsi" w:hAnsiTheme="minorHAnsi" w:cstheme="minorBidi"/>
          <w:sz w:val="22"/>
          <w:szCs w:val="22"/>
        </w:rPr>
        <w:tab/>
      </w:r>
      <w:r>
        <w:t>Introduction</w:t>
      </w:r>
      <w:r>
        <w:tab/>
      </w:r>
      <w:r>
        <w:fldChar w:fldCharType="begin"/>
      </w:r>
      <w:r>
        <w:instrText xml:space="preserve"> PAGEREF _Toc423018291 \h </w:instrText>
      </w:r>
      <w:r>
        <w:fldChar w:fldCharType="separate"/>
      </w:r>
      <w:r w:rsidR="00171A5E">
        <w:t>170</w:t>
      </w:r>
      <w:r>
        <w:fldChar w:fldCharType="end"/>
      </w:r>
    </w:p>
    <w:p w14:paraId="5DF1FFF8" w14:textId="77777777" w:rsidR="001E47D3" w:rsidRDefault="001E47D3" w:rsidP="001E47D3">
      <w:pPr>
        <w:pStyle w:val="TOC2"/>
        <w:spacing w:after="60"/>
        <w:rPr>
          <w:rFonts w:asciiTheme="minorHAnsi" w:hAnsiTheme="minorHAnsi" w:cstheme="minorBidi"/>
          <w:sz w:val="22"/>
          <w:szCs w:val="22"/>
        </w:rPr>
      </w:pPr>
      <w:r>
        <w:t>B2.2</w:t>
      </w:r>
      <w:r>
        <w:rPr>
          <w:rFonts w:asciiTheme="minorHAnsi" w:hAnsiTheme="minorHAnsi" w:cstheme="minorBidi"/>
          <w:sz w:val="22"/>
          <w:szCs w:val="22"/>
        </w:rPr>
        <w:tab/>
      </w:r>
      <w:r>
        <w:t>Block model approach for predicting drawdown</w:t>
      </w:r>
      <w:r>
        <w:tab/>
      </w:r>
      <w:r>
        <w:fldChar w:fldCharType="begin"/>
      </w:r>
      <w:r>
        <w:instrText xml:space="preserve"> PAGEREF _Toc423018292 \h </w:instrText>
      </w:r>
      <w:r>
        <w:fldChar w:fldCharType="separate"/>
      </w:r>
      <w:r w:rsidR="00171A5E">
        <w:t>171</w:t>
      </w:r>
      <w:r>
        <w:fldChar w:fldCharType="end"/>
      </w:r>
    </w:p>
    <w:p w14:paraId="27F5A91C" w14:textId="77777777" w:rsidR="001E47D3" w:rsidRDefault="001E47D3" w:rsidP="001E47D3">
      <w:pPr>
        <w:pStyle w:val="TOC2"/>
        <w:spacing w:after="60"/>
        <w:rPr>
          <w:rFonts w:asciiTheme="minorHAnsi" w:hAnsiTheme="minorHAnsi" w:cstheme="minorBidi"/>
          <w:sz w:val="22"/>
          <w:szCs w:val="22"/>
        </w:rPr>
      </w:pPr>
      <w:r>
        <w:t>B2.3</w:t>
      </w:r>
      <w:r>
        <w:rPr>
          <w:rFonts w:asciiTheme="minorHAnsi" w:hAnsiTheme="minorHAnsi" w:cstheme="minorBidi"/>
          <w:sz w:val="22"/>
          <w:szCs w:val="22"/>
        </w:rPr>
        <w:tab/>
      </w:r>
      <w:r>
        <w:t>Block model layout, aquifers and hydraulic properties</w:t>
      </w:r>
      <w:r>
        <w:tab/>
      </w:r>
      <w:r>
        <w:fldChar w:fldCharType="begin"/>
      </w:r>
      <w:r>
        <w:instrText xml:space="preserve"> PAGEREF _Toc423018293 \h </w:instrText>
      </w:r>
      <w:r>
        <w:fldChar w:fldCharType="separate"/>
      </w:r>
      <w:r w:rsidR="00171A5E">
        <w:t>171</w:t>
      </w:r>
      <w:r>
        <w:fldChar w:fldCharType="end"/>
      </w:r>
    </w:p>
    <w:p w14:paraId="166563C0" w14:textId="77777777" w:rsidR="001E47D3" w:rsidRDefault="001E47D3" w:rsidP="001E47D3">
      <w:pPr>
        <w:pStyle w:val="TOC2"/>
        <w:spacing w:after="60"/>
        <w:rPr>
          <w:rFonts w:asciiTheme="minorHAnsi" w:hAnsiTheme="minorHAnsi" w:cstheme="minorBidi"/>
          <w:sz w:val="22"/>
          <w:szCs w:val="22"/>
        </w:rPr>
      </w:pPr>
      <w:r>
        <w:t>B2.4</w:t>
      </w:r>
      <w:r>
        <w:rPr>
          <w:rFonts w:asciiTheme="minorHAnsi" w:hAnsiTheme="minorHAnsi" w:cstheme="minorBidi"/>
          <w:sz w:val="22"/>
          <w:szCs w:val="22"/>
        </w:rPr>
        <w:tab/>
      </w:r>
      <w:r>
        <w:t>Hydraulic properties</w:t>
      </w:r>
      <w:r>
        <w:tab/>
      </w:r>
      <w:r>
        <w:fldChar w:fldCharType="begin"/>
      </w:r>
      <w:r>
        <w:instrText xml:space="preserve"> PAGEREF _Toc423018294 \h </w:instrText>
      </w:r>
      <w:r>
        <w:fldChar w:fldCharType="separate"/>
      </w:r>
      <w:r w:rsidR="00171A5E">
        <w:t>175</w:t>
      </w:r>
      <w:r>
        <w:fldChar w:fldCharType="end"/>
      </w:r>
    </w:p>
    <w:p w14:paraId="4AB088A7" w14:textId="77777777" w:rsidR="001E47D3" w:rsidRDefault="001E47D3" w:rsidP="001E47D3">
      <w:pPr>
        <w:pStyle w:val="TOC2"/>
        <w:spacing w:after="60"/>
        <w:rPr>
          <w:rFonts w:asciiTheme="minorHAnsi" w:hAnsiTheme="minorHAnsi" w:cstheme="minorBidi"/>
          <w:sz w:val="22"/>
          <w:szCs w:val="22"/>
        </w:rPr>
      </w:pPr>
      <w:r>
        <w:t>B2.5</w:t>
      </w:r>
      <w:r>
        <w:rPr>
          <w:rFonts w:asciiTheme="minorHAnsi" w:hAnsiTheme="minorHAnsi" w:cstheme="minorBidi"/>
          <w:sz w:val="22"/>
          <w:szCs w:val="22"/>
        </w:rPr>
        <w:tab/>
      </w:r>
      <w:r>
        <w:t>Gas development representation</w:t>
      </w:r>
      <w:r>
        <w:tab/>
      </w:r>
      <w:r>
        <w:fldChar w:fldCharType="begin"/>
      </w:r>
      <w:r>
        <w:instrText xml:space="preserve"> PAGEREF _Toc423018295 \h </w:instrText>
      </w:r>
      <w:r>
        <w:fldChar w:fldCharType="separate"/>
      </w:r>
      <w:r w:rsidR="00171A5E">
        <w:t>178</w:t>
      </w:r>
      <w:r>
        <w:fldChar w:fldCharType="end"/>
      </w:r>
    </w:p>
    <w:p w14:paraId="71774894" w14:textId="77777777" w:rsidR="001E47D3" w:rsidRDefault="001E47D3" w:rsidP="001E47D3">
      <w:pPr>
        <w:pStyle w:val="TOC2"/>
        <w:spacing w:after="60"/>
        <w:rPr>
          <w:rFonts w:asciiTheme="minorHAnsi" w:hAnsiTheme="minorHAnsi" w:cstheme="minorBidi"/>
          <w:sz w:val="22"/>
          <w:szCs w:val="22"/>
        </w:rPr>
      </w:pPr>
      <w:r>
        <w:t>B2.6</w:t>
      </w:r>
      <w:r>
        <w:rPr>
          <w:rFonts w:asciiTheme="minorHAnsi" w:hAnsiTheme="minorHAnsi" w:cstheme="minorBidi"/>
          <w:sz w:val="22"/>
          <w:szCs w:val="22"/>
        </w:rPr>
        <w:tab/>
      </w:r>
      <w:r>
        <w:t>Initial conditions</w:t>
      </w:r>
      <w:r>
        <w:tab/>
      </w:r>
      <w:r>
        <w:fldChar w:fldCharType="begin"/>
      </w:r>
      <w:r>
        <w:instrText xml:space="preserve"> PAGEREF _Toc423018296 \h </w:instrText>
      </w:r>
      <w:r>
        <w:fldChar w:fldCharType="separate"/>
      </w:r>
      <w:r w:rsidR="00171A5E">
        <w:t>178</w:t>
      </w:r>
      <w:r>
        <w:fldChar w:fldCharType="end"/>
      </w:r>
    </w:p>
    <w:p w14:paraId="082854C6" w14:textId="77777777" w:rsidR="001E47D3" w:rsidRDefault="001E47D3" w:rsidP="001E47D3">
      <w:pPr>
        <w:pStyle w:val="TOC2"/>
        <w:spacing w:after="60"/>
        <w:rPr>
          <w:rFonts w:asciiTheme="minorHAnsi" w:hAnsiTheme="minorHAnsi" w:cstheme="minorBidi"/>
          <w:sz w:val="22"/>
          <w:szCs w:val="22"/>
        </w:rPr>
      </w:pPr>
      <w:r>
        <w:t>B2.7</w:t>
      </w:r>
      <w:r>
        <w:rPr>
          <w:rFonts w:asciiTheme="minorHAnsi" w:hAnsiTheme="minorHAnsi" w:cstheme="minorBidi"/>
          <w:sz w:val="22"/>
          <w:szCs w:val="22"/>
        </w:rPr>
        <w:tab/>
      </w:r>
      <w:r>
        <w:t>Boundary conditions</w:t>
      </w:r>
      <w:r>
        <w:tab/>
      </w:r>
      <w:r>
        <w:fldChar w:fldCharType="begin"/>
      </w:r>
      <w:r>
        <w:instrText xml:space="preserve"> PAGEREF _Toc423018297 \h </w:instrText>
      </w:r>
      <w:r>
        <w:fldChar w:fldCharType="separate"/>
      </w:r>
      <w:r w:rsidR="00171A5E">
        <w:t>178</w:t>
      </w:r>
      <w:r>
        <w:fldChar w:fldCharType="end"/>
      </w:r>
    </w:p>
    <w:p w14:paraId="0E48DEEA" w14:textId="77777777" w:rsidR="001E47D3" w:rsidRDefault="001E47D3" w:rsidP="001E47D3">
      <w:pPr>
        <w:pStyle w:val="TOC2"/>
        <w:spacing w:after="60"/>
        <w:rPr>
          <w:rFonts w:asciiTheme="minorHAnsi" w:hAnsiTheme="minorHAnsi" w:cstheme="minorBidi"/>
          <w:sz w:val="22"/>
          <w:szCs w:val="22"/>
        </w:rPr>
      </w:pPr>
      <w:r>
        <w:t>B2.8</w:t>
      </w:r>
      <w:r>
        <w:rPr>
          <w:rFonts w:asciiTheme="minorHAnsi" w:hAnsiTheme="minorHAnsi" w:cstheme="minorBidi"/>
          <w:sz w:val="22"/>
          <w:szCs w:val="22"/>
        </w:rPr>
        <w:tab/>
      </w:r>
      <w:r>
        <w:t>Other inputs</w:t>
      </w:r>
      <w:r>
        <w:tab/>
      </w:r>
      <w:r>
        <w:fldChar w:fldCharType="begin"/>
      </w:r>
      <w:r>
        <w:instrText xml:space="preserve"> PAGEREF _Toc423018298 \h </w:instrText>
      </w:r>
      <w:r>
        <w:fldChar w:fldCharType="separate"/>
      </w:r>
      <w:r w:rsidR="00171A5E">
        <w:t>179</w:t>
      </w:r>
      <w:r>
        <w:fldChar w:fldCharType="end"/>
      </w:r>
    </w:p>
    <w:p w14:paraId="1C9C6637" w14:textId="77777777" w:rsidR="001E47D3" w:rsidRDefault="001E47D3">
      <w:pPr>
        <w:pStyle w:val="TOC1"/>
        <w:rPr>
          <w:rFonts w:asciiTheme="minorHAnsi" w:eastAsiaTheme="minorEastAsia" w:hAnsiTheme="minorHAnsi" w:cstheme="minorBidi"/>
          <w:b w:val="0"/>
          <w:color w:val="auto"/>
          <w:lang w:val="en-AU"/>
        </w:rPr>
      </w:pPr>
      <w:r>
        <w:t>B3</w:t>
      </w:r>
      <w:r>
        <w:rPr>
          <w:rFonts w:asciiTheme="minorHAnsi" w:eastAsiaTheme="minorEastAsia" w:hAnsiTheme="minorHAnsi" w:cstheme="minorBidi"/>
          <w:b w:val="0"/>
          <w:color w:val="auto"/>
          <w:lang w:val="en-AU"/>
        </w:rPr>
        <w:tab/>
      </w:r>
      <w:r>
        <w:t>Chemical contamination of groundwater from hydraulic fracturing fluids</w:t>
      </w:r>
      <w:r>
        <w:tab/>
      </w:r>
      <w:r>
        <w:fldChar w:fldCharType="begin"/>
      </w:r>
      <w:r>
        <w:instrText xml:space="preserve"> PAGEREF _Toc423018299 \h </w:instrText>
      </w:r>
      <w:r>
        <w:fldChar w:fldCharType="separate"/>
      </w:r>
      <w:r w:rsidR="00171A5E">
        <w:t>184</w:t>
      </w:r>
      <w:r>
        <w:fldChar w:fldCharType="end"/>
      </w:r>
    </w:p>
    <w:p w14:paraId="370A1017" w14:textId="77777777" w:rsidR="001E47D3" w:rsidRDefault="001E47D3">
      <w:pPr>
        <w:pStyle w:val="TOC1"/>
        <w:rPr>
          <w:rFonts w:asciiTheme="minorHAnsi" w:eastAsiaTheme="minorEastAsia" w:hAnsiTheme="minorHAnsi" w:cstheme="minorBidi"/>
          <w:b w:val="0"/>
          <w:color w:val="auto"/>
          <w:lang w:val="en-AU"/>
        </w:rPr>
      </w:pPr>
      <w:r>
        <w:t>B4</w:t>
      </w:r>
      <w:r>
        <w:rPr>
          <w:rFonts w:asciiTheme="minorHAnsi" w:eastAsiaTheme="minorEastAsia" w:hAnsiTheme="minorHAnsi" w:cstheme="minorBidi"/>
          <w:b w:val="0"/>
          <w:color w:val="auto"/>
          <w:lang w:val="en-AU"/>
        </w:rPr>
        <w:tab/>
      </w:r>
      <w:r>
        <w:t>Induced seismicity</w:t>
      </w:r>
      <w:r>
        <w:tab/>
      </w:r>
      <w:r>
        <w:fldChar w:fldCharType="begin"/>
      </w:r>
      <w:r>
        <w:instrText xml:space="preserve"> PAGEREF _Toc423018300 \h </w:instrText>
      </w:r>
      <w:r>
        <w:fldChar w:fldCharType="separate"/>
      </w:r>
      <w:r w:rsidR="00171A5E">
        <w:t>185</w:t>
      </w:r>
      <w:r>
        <w:fldChar w:fldCharType="end"/>
      </w:r>
    </w:p>
    <w:p w14:paraId="18182078" w14:textId="77777777" w:rsidR="001E47D3" w:rsidRDefault="001E47D3">
      <w:pPr>
        <w:pStyle w:val="TOC1"/>
        <w:rPr>
          <w:rFonts w:asciiTheme="minorHAnsi" w:eastAsiaTheme="minorEastAsia" w:hAnsiTheme="minorHAnsi" w:cstheme="minorBidi"/>
          <w:b w:val="0"/>
          <w:color w:val="auto"/>
          <w:lang w:val="en-AU"/>
        </w:rPr>
      </w:pPr>
      <w:r>
        <w:t>B5</w:t>
      </w:r>
      <w:r>
        <w:rPr>
          <w:rFonts w:asciiTheme="minorHAnsi" w:eastAsiaTheme="minorEastAsia" w:hAnsiTheme="minorHAnsi" w:cstheme="minorBidi"/>
          <w:b w:val="0"/>
          <w:color w:val="auto"/>
          <w:lang w:val="en-AU"/>
        </w:rPr>
        <w:tab/>
      </w:r>
      <w:r>
        <w:t>Land subsidence</w:t>
      </w:r>
      <w:r>
        <w:tab/>
      </w:r>
      <w:r>
        <w:fldChar w:fldCharType="begin"/>
      </w:r>
      <w:r>
        <w:instrText xml:space="preserve"> PAGEREF _Toc423018301 \h </w:instrText>
      </w:r>
      <w:r>
        <w:fldChar w:fldCharType="separate"/>
      </w:r>
      <w:r w:rsidR="00171A5E">
        <w:t>185</w:t>
      </w:r>
      <w:r>
        <w:fldChar w:fldCharType="end"/>
      </w:r>
    </w:p>
    <w:p w14:paraId="70A25476" w14:textId="77777777" w:rsidR="001E47D3" w:rsidRDefault="001E47D3">
      <w:pPr>
        <w:pStyle w:val="TOC1"/>
        <w:rPr>
          <w:rFonts w:asciiTheme="minorHAnsi" w:eastAsiaTheme="minorEastAsia" w:hAnsiTheme="minorHAnsi" w:cstheme="minorBidi"/>
          <w:b w:val="0"/>
          <w:color w:val="auto"/>
          <w:lang w:val="en-AU"/>
        </w:rPr>
      </w:pPr>
      <w:r>
        <w:t>B6</w:t>
      </w:r>
      <w:r>
        <w:rPr>
          <w:rFonts w:asciiTheme="minorHAnsi" w:eastAsiaTheme="minorEastAsia" w:hAnsiTheme="minorHAnsi" w:cstheme="minorBidi"/>
          <w:b w:val="0"/>
          <w:color w:val="auto"/>
          <w:lang w:val="en-AU"/>
        </w:rPr>
        <w:tab/>
      </w:r>
      <w:r>
        <w:t>References</w:t>
      </w:r>
      <w:r>
        <w:tab/>
      </w:r>
      <w:r>
        <w:fldChar w:fldCharType="begin"/>
      </w:r>
      <w:r>
        <w:instrText xml:space="preserve"> PAGEREF _Toc423018302 \h </w:instrText>
      </w:r>
      <w:r>
        <w:fldChar w:fldCharType="separate"/>
      </w:r>
      <w:r w:rsidR="00171A5E">
        <w:t>186</w:t>
      </w:r>
      <w:r>
        <w:fldChar w:fldCharType="end"/>
      </w:r>
    </w:p>
    <w:p w14:paraId="1E8F2DE7" w14:textId="77777777" w:rsidR="001E47D3" w:rsidRDefault="001E47D3">
      <w:pPr>
        <w:pStyle w:val="TOC1"/>
        <w:rPr>
          <w:rFonts w:asciiTheme="minorHAnsi" w:eastAsiaTheme="minorEastAsia" w:hAnsiTheme="minorHAnsi" w:cstheme="minorBidi"/>
          <w:b w:val="0"/>
          <w:color w:val="auto"/>
          <w:lang w:val="en-AU"/>
        </w:rPr>
      </w:pPr>
      <w:r>
        <w:t>Appendix BA: Hydraulic parameters</w:t>
      </w:r>
      <w:r>
        <w:tab/>
      </w:r>
      <w:r>
        <w:fldChar w:fldCharType="begin"/>
      </w:r>
      <w:r>
        <w:instrText xml:space="preserve"> PAGEREF _Toc423018303 \h </w:instrText>
      </w:r>
      <w:r>
        <w:fldChar w:fldCharType="separate"/>
      </w:r>
      <w:r w:rsidR="00171A5E">
        <w:t>187</w:t>
      </w:r>
      <w:r>
        <w:fldChar w:fldCharType="end"/>
      </w:r>
    </w:p>
    <w:p w14:paraId="75E0B448" w14:textId="77777777" w:rsidR="001E47D3" w:rsidRDefault="001E47D3">
      <w:pPr>
        <w:pStyle w:val="TOC1"/>
        <w:rPr>
          <w:rFonts w:asciiTheme="minorHAnsi" w:eastAsiaTheme="minorEastAsia" w:hAnsiTheme="minorHAnsi" w:cstheme="minorBidi"/>
          <w:b w:val="0"/>
          <w:color w:val="auto"/>
          <w:lang w:val="en-AU"/>
        </w:rPr>
      </w:pPr>
      <w:r>
        <w:t>Appendix BB: Parameters for block model structure</w:t>
      </w:r>
      <w:r>
        <w:tab/>
      </w:r>
      <w:r>
        <w:fldChar w:fldCharType="begin"/>
      </w:r>
      <w:r>
        <w:instrText xml:space="preserve"> PAGEREF _Toc423018304 \h </w:instrText>
      </w:r>
      <w:r>
        <w:fldChar w:fldCharType="separate"/>
      </w:r>
      <w:r w:rsidR="00171A5E">
        <w:t>188</w:t>
      </w:r>
      <w:r>
        <w:fldChar w:fldCharType="end"/>
      </w:r>
    </w:p>
    <w:p w14:paraId="25096256" w14:textId="037736B1" w:rsidR="00F077C4" w:rsidRPr="001E47D3" w:rsidRDefault="001E47D3" w:rsidP="001E47D3">
      <w:r w:rsidRPr="001E47D3">
        <w:fldChar w:fldCharType="end"/>
      </w:r>
    </w:p>
    <w:p w14:paraId="39DF5C58" w14:textId="48E66E2A" w:rsidR="00FC4056" w:rsidRDefault="00FC4056">
      <w:r>
        <w:br w:type="page"/>
      </w:r>
    </w:p>
    <w:p w14:paraId="22480B6D" w14:textId="381F16FF" w:rsidR="00FC4056" w:rsidRPr="00D1621E" w:rsidRDefault="00FC4056" w:rsidP="00331966">
      <w:pPr>
        <w:pStyle w:val="Head2app"/>
      </w:pPr>
      <w:bookmarkStart w:id="1034" w:name="_Toc409687100"/>
      <w:bookmarkStart w:id="1035" w:name="_Toc420490818"/>
      <w:bookmarkStart w:id="1036" w:name="_Toc420567112"/>
      <w:bookmarkStart w:id="1037" w:name="_Toc420567503"/>
      <w:bookmarkStart w:id="1038" w:name="_Toc420568737"/>
      <w:bookmarkStart w:id="1039" w:name="_Toc420571519"/>
      <w:bookmarkStart w:id="1040" w:name="_Toc420572201"/>
      <w:bookmarkStart w:id="1041" w:name="_Toc296767013"/>
      <w:bookmarkStart w:id="1042" w:name="_Toc296770461"/>
      <w:bookmarkStart w:id="1043" w:name="_Toc423018285"/>
      <w:bookmarkEnd w:id="1032"/>
      <w:bookmarkEnd w:id="1033"/>
      <w:r>
        <w:t>B</w:t>
      </w:r>
      <w:r w:rsidR="00C917C2">
        <w:t>1</w:t>
      </w:r>
      <w:r w:rsidR="00C917C2">
        <w:tab/>
      </w:r>
      <w:r w:rsidRPr="00D1621E">
        <w:t>Introduction</w:t>
      </w:r>
      <w:bookmarkEnd w:id="1034"/>
      <w:bookmarkEnd w:id="1035"/>
      <w:bookmarkEnd w:id="1036"/>
      <w:bookmarkEnd w:id="1037"/>
      <w:bookmarkEnd w:id="1038"/>
      <w:bookmarkEnd w:id="1039"/>
      <w:bookmarkEnd w:id="1040"/>
      <w:bookmarkEnd w:id="1041"/>
      <w:bookmarkEnd w:id="1042"/>
      <w:bookmarkEnd w:id="1043"/>
    </w:p>
    <w:p w14:paraId="40EB1590" w14:textId="1BC20E7A" w:rsidR="00FC4056" w:rsidRDefault="00FC4056">
      <w:r w:rsidRPr="00997739">
        <w:rPr>
          <w:rFonts w:cs="Arial"/>
        </w:rPr>
        <w:t xml:space="preserve">This </w:t>
      </w:r>
      <w:r w:rsidR="00C917C2">
        <w:rPr>
          <w:rFonts w:cs="Arial"/>
        </w:rPr>
        <w:t xml:space="preserve">report </w:t>
      </w:r>
      <w:r>
        <w:rPr>
          <w:rFonts w:cs="Arial"/>
        </w:rPr>
        <w:t>describes</w:t>
      </w:r>
      <w:r w:rsidRPr="00997739">
        <w:rPr>
          <w:rFonts w:cs="Arial"/>
        </w:rPr>
        <w:t xml:space="preserve"> the method used for the </w:t>
      </w:r>
      <w:r>
        <w:rPr>
          <w:rFonts w:cs="Arial"/>
        </w:rPr>
        <w:t xml:space="preserve">impact </w:t>
      </w:r>
      <w:r w:rsidRPr="00997739">
        <w:rPr>
          <w:rFonts w:cs="Arial"/>
        </w:rPr>
        <w:t xml:space="preserve">assessments of possible future </w:t>
      </w:r>
      <w:r>
        <w:rPr>
          <w:rFonts w:cs="Arial"/>
        </w:rPr>
        <w:t xml:space="preserve">onshore </w:t>
      </w:r>
      <w:r w:rsidRPr="00997739">
        <w:rPr>
          <w:rFonts w:cs="Arial"/>
        </w:rPr>
        <w:t xml:space="preserve">gas developments in the </w:t>
      </w:r>
      <w:r>
        <w:rPr>
          <w:rFonts w:cs="Arial"/>
        </w:rPr>
        <w:t>Otway</w:t>
      </w:r>
      <w:r w:rsidRPr="00997739">
        <w:rPr>
          <w:rFonts w:cs="Arial"/>
        </w:rPr>
        <w:t xml:space="preserve"> region. The </w:t>
      </w:r>
      <w:r>
        <w:rPr>
          <w:rFonts w:cs="Arial"/>
        </w:rPr>
        <w:t>impact</w:t>
      </w:r>
      <w:r w:rsidRPr="00997739">
        <w:rPr>
          <w:rFonts w:cs="Arial"/>
        </w:rPr>
        <w:t xml:space="preserve"> assessment framework was informed by a literature review on approaches to risk </w:t>
      </w:r>
      <w:r>
        <w:rPr>
          <w:rFonts w:cs="Arial"/>
        </w:rPr>
        <w:t xml:space="preserve">and impact </w:t>
      </w:r>
      <w:r w:rsidRPr="00997739">
        <w:rPr>
          <w:rFonts w:cs="Arial"/>
        </w:rPr>
        <w:t>assessments for onshore gas development, w</w:t>
      </w:r>
      <w:r>
        <w:rPr>
          <w:rFonts w:cs="Arial"/>
        </w:rPr>
        <w:t xml:space="preserve">hich is presented in Appendix A of the main report. </w:t>
      </w:r>
    </w:p>
    <w:p w14:paraId="15A6FB4C" w14:textId="77777777" w:rsidR="00FC4056" w:rsidRDefault="00FC4056" w:rsidP="00A35B08">
      <w:r>
        <w:t>The</w:t>
      </w:r>
      <w:r w:rsidRPr="007913BF">
        <w:t xml:space="preserve"> approach taken </w:t>
      </w:r>
      <w:r>
        <w:t xml:space="preserve">considers </w:t>
      </w:r>
      <w:r w:rsidRPr="007913BF">
        <w:t>current data</w:t>
      </w:r>
      <w:r>
        <w:t>, limitations on the data,</w:t>
      </w:r>
      <w:r w:rsidRPr="007913BF">
        <w:t xml:space="preserve"> the limited knowledge about the extent of natural gas resources in these regions</w:t>
      </w:r>
      <w:r>
        <w:t>,</w:t>
      </w:r>
      <w:r w:rsidRPr="007913BF">
        <w:t xml:space="preserve"> and that the purpose of the studies is to inform consideration of government policy not for individual development proposals.</w:t>
      </w:r>
    </w:p>
    <w:p w14:paraId="42035F1D" w14:textId="54E20B63" w:rsidR="00FC4056" w:rsidRPr="00F80893" w:rsidRDefault="00FC4056">
      <w:r w:rsidRPr="00082292">
        <w:t xml:space="preserve">A key </w:t>
      </w:r>
      <w:r>
        <w:t>basis</w:t>
      </w:r>
      <w:r w:rsidRPr="00082292">
        <w:t xml:space="preserve"> for the </w:t>
      </w:r>
      <w:r>
        <w:t>impact</w:t>
      </w:r>
      <w:r w:rsidRPr="00082292">
        <w:t xml:space="preserve"> assessment is that existing regulations and guidelines (based on leading practices) are applied, which ensure that operational risks are manageable</w:t>
      </w:r>
      <w:r w:rsidRPr="00A02FB1">
        <w:t xml:space="preserve">. The assessment therefore conveys </w:t>
      </w:r>
      <w:r>
        <w:t>impact</w:t>
      </w:r>
      <w:r w:rsidRPr="00A02FB1">
        <w:t xml:space="preserve"> of a gas development activity that is established and operated in accordance with current regulations. The </w:t>
      </w:r>
      <w:r>
        <w:t xml:space="preserve">impact on </w:t>
      </w:r>
      <w:r w:rsidRPr="00A02FB1">
        <w:t>water resources will be assessed based on normal operations</w:t>
      </w:r>
      <w:r w:rsidR="008573A4">
        <w:t xml:space="preserve">. </w:t>
      </w:r>
      <w:r w:rsidRPr="00A02FB1">
        <w:t xml:space="preserve">This project is not considering potential </w:t>
      </w:r>
      <w:r>
        <w:t>impacts</w:t>
      </w:r>
      <w:r w:rsidRPr="00A02FB1">
        <w:t xml:space="preserve"> associated with failures of process or controls, such as poor well integrity.</w:t>
      </w:r>
    </w:p>
    <w:p w14:paraId="2D6CF9A1" w14:textId="77777777" w:rsidR="00FC4056" w:rsidRPr="00A02FB1" w:rsidRDefault="00FC4056">
      <w:r w:rsidRPr="00A02FB1">
        <w:t xml:space="preserve">The </w:t>
      </w:r>
      <w:r>
        <w:t>impact</w:t>
      </w:r>
      <w:r w:rsidRPr="00A02FB1">
        <w:t xml:space="preserve"> assessment has considered potential future development of the following onshore natural gas in the </w:t>
      </w:r>
      <w:r>
        <w:t>Otway</w:t>
      </w:r>
      <w:r w:rsidRPr="00A02FB1">
        <w:t xml:space="preserve"> region:</w:t>
      </w:r>
    </w:p>
    <w:p w14:paraId="48B16DC1" w14:textId="490D486F" w:rsidR="00FC4056" w:rsidRDefault="00C917C2" w:rsidP="00C150BC">
      <w:pPr>
        <w:pStyle w:val="bulletlist0"/>
      </w:pPr>
      <w:r>
        <w:t>•</w:t>
      </w:r>
      <w:r>
        <w:tab/>
      </w:r>
      <w:r w:rsidR="00FC4056">
        <w:t>tight gas</w:t>
      </w:r>
    </w:p>
    <w:p w14:paraId="59CC5DE7" w14:textId="1C48AB57" w:rsidR="00FC4056" w:rsidRDefault="00D91C19" w:rsidP="00C150BC">
      <w:pPr>
        <w:pStyle w:val="bulletlist0"/>
      </w:pPr>
      <w:r>
        <w:t>•</w:t>
      </w:r>
      <w:r w:rsidR="00C917C2">
        <w:tab/>
      </w:r>
      <w:r w:rsidR="00FC4056">
        <w:t>s</w:t>
      </w:r>
      <w:r w:rsidR="00FC4056" w:rsidRPr="00E27FD1">
        <w:t xml:space="preserve">hale gas </w:t>
      </w:r>
    </w:p>
    <w:p w14:paraId="103B4A20" w14:textId="3938D9FE" w:rsidR="00FC4056" w:rsidRDefault="00D91C19" w:rsidP="00C150BC">
      <w:pPr>
        <w:pStyle w:val="bulletlist0"/>
      </w:pPr>
      <w:r>
        <w:t>•</w:t>
      </w:r>
      <w:r w:rsidR="00C917C2">
        <w:tab/>
      </w:r>
      <w:r w:rsidR="00FC4056">
        <w:t>c</w:t>
      </w:r>
      <w:r w:rsidR="00FC4056" w:rsidRPr="00E27FD1">
        <w:t>oal seam</w:t>
      </w:r>
      <w:r w:rsidR="00FC4056">
        <w:t xml:space="preserve"> gas (from black coal deposits)</w:t>
      </w:r>
    </w:p>
    <w:p w14:paraId="4D9773FB" w14:textId="4C061D88" w:rsidR="00FC4056" w:rsidRPr="00E27FD1" w:rsidRDefault="00D91C19" w:rsidP="00C150BC">
      <w:pPr>
        <w:pStyle w:val="bulletlist0"/>
      </w:pPr>
      <w:r>
        <w:t>•</w:t>
      </w:r>
      <w:r w:rsidR="00C917C2">
        <w:tab/>
      </w:r>
      <w:r w:rsidR="00FC4056">
        <w:t>conventional gas.</w:t>
      </w:r>
    </w:p>
    <w:p w14:paraId="46495387" w14:textId="61E6BE50" w:rsidR="00FC4056" w:rsidRPr="00082292" w:rsidRDefault="00FC4056">
      <w:r>
        <w:t>Impact</w:t>
      </w:r>
      <w:r w:rsidRPr="00A02FB1">
        <w:t xml:space="preserve"> </w:t>
      </w:r>
      <w:r>
        <w:t>wa</w:t>
      </w:r>
      <w:r w:rsidRPr="00A02FB1">
        <w:t xml:space="preserve">s assessed individually for each of these </w:t>
      </w:r>
      <w:r>
        <w:t>gas types</w:t>
      </w:r>
      <w:r w:rsidRPr="00A02FB1">
        <w:t>.</w:t>
      </w:r>
      <w:r>
        <w:t xml:space="preserve"> Figures showing the extent of the gas development scenarios are given in </w:t>
      </w:r>
      <w:r>
        <w:fldChar w:fldCharType="begin"/>
      </w:r>
      <w:r>
        <w:instrText xml:space="preserve"> REF _Ref409791791 \h </w:instrText>
      </w:r>
      <w:r>
        <w:fldChar w:fldCharType="separate"/>
      </w:r>
      <w:r w:rsidR="00171A5E">
        <w:t>Figure B</w:t>
      </w:r>
      <w:r>
        <w:fldChar w:fldCharType="end"/>
      </w:r>
      <w:r w:rsidR="005F6419">
        <w:t>1 to B4</w:t>
      </w:r>
      <w:r w:rsidR="00C917C2">
        <w:t>.</w:t>
      </w:r>
      <w:r w:rsidRPr="00082292">
        <w:t xml:space="preserve"> Further detail on the gas </w:t>
      </w:r>
      <w:r>
        <w:t>development scenarios</w:t>
      </w:r>
      <w:r w:rsidRPr="00082292">
        <w:t xml:space="preserve"> is included in the conceptual model description in</w:t>
      </w:r>
      <w:r>
        <w:t xml:space="preserve"> </w:t>
      </w:r>
      <w:r w:rsidR="005F6419">
        <w:t>Chapter</w:t>
      </w:r>
      <w:r w:rsidRPr="00082292">
        <w:t xml:space="preserve"> </w:t>
      </w:r>
      <w:r>
        <w:t>2 of the main report</w:t>
      </w:r>
      <w:r w:rsidRPr="00082292">
        <w:t xml:space="preserve">. </w:t>
      </w:r>
    </w:p>
    <w:p w14:paraId="061638BD" w14:textId="098022F8" w:rsidR="00FC4056" w:rsidRDefault="00FC4056">
      <w:pPr>
        <w:rPr>
          <w:lang w:val="en-US" w:eastAsia="en-US"/>
        </w:rPr>
      </w:pPr>
      <w:r>
        <w:rPr>
          <w:lang w:val="en-US" w:eastAsia="en-US"/>
        </w:rPr>
        <w:t>E</w:t>
      </w:r>
      <w:r w:rsidRPr="003F26BB">
        <w:rPr>
          <w:lang w:val="en-US" w:eastAsia="en-US"/>
        </w:rPr>
        <w:t xml:space="preserve">ach gas </w:t>
      </w:r>
      <w:r>
        <w:rPr>
          <w:lang w:val="en-US" w:eastAsia="en-US"/>
        </w:rPr>
        <w:t>scenario in the Otway region</w:t>
      </w:r>
      <w:r w:rsidRPr="003F26BB">
        <w:rPr>
          <w:lang w:val="en-US" w:eastAsia="en-US"/>
        </w:rPr>
        <w:t xml:space="preserve"> </w:t>
      </w:r>
      <w:r>
        <w:rPr>
          <w:lang w:val="en-US" w:eastAsia="en-US"/>
        </w:rPr>
        <w:t xml:space="preserve">was described by </w:t>
      </w:r>
      <w:r w:rsidR="00180DF2">
        <w:rPr>
          <w:lang w:val="en-US" w:eastAsia="en-US"/>
        </w:rPr>
        <w:t>Goldie</w:t>
      </w:r>
      <w:r w:rsidR="00C917C2">
        <w:rPr>
          <w:lang w:val="en-US" w:eastAsia="en-US"/>
        </w:rPr>
        <w:t xml:space="preserve"> </w:t>
      </w:r>
      <w:r w:rsidR="00180DF2">
        <w:rPr>
          <w:lang w:val="en-US" w:eastAsia="en-US"/>
        </w:rPr>
        <w:t>Divko</w:t>
      </w:r>
      <w:r>
        <w:rPr>
          <w:lang w:val="en-US" w:eastAsia="en-US"/>
        </w:rPr>
        <w:t xml:space="preserve"> (2015)</w:t>
      </w:r>
      <w:r w:rsidRPr="003F26BB">
        <w:rPr>
          <w:lang w:val="en-US" w:eastAsia="en-US"/>
        </w:rPr>
        <w:t xml:space="preserve">. These gas source </w:t>
      </w:r>
      <w:r>
        <w:rPr>
          <w:lang w:val="en-US" w:eastAsia="en-US"/>
        </w:rPr>
        <w:t>loca</w:t>
      </w:r>
      <w:r w:rsidRPr="003F26BB">
        <w:rPr>
          <w:lang w:val="en-US" w:eastAsia="en-US"/>
        </w:rPr>
        <w:t xml:space="preserve">tions were generated specifically for this risk assessment and were based on the professional judgment of </w:t>
      </w:r>
      <w:r w:rsidR="00BB5BE9">
        <w:rPr>
          <w:lang w:val="en-US" w:eastAsia="en-US"/>
        </w:rPr>
        <w:t>the geologist of the Geological Survey of Victoria</w:t>
      </w:r>
      <w:r w:rsidRPr="003F26BB">
        <w:rPr>
          <w:lang w:val="en-US" w:eastAsia="en-US"/>
        </w:rPr>
        <w:t xml:space="preserve">. </w:t>
      </w:r>
    </w:p>
    <w:p w14:paraId="1D8B6435" w14:textId="77777777" w:rsidR="00FC4056" w:rsidRDefault="00FC4056" w:rsidP="00CF4178">
      <w:pPr>
        <w:pStyle w:val="figurereturn"/>
      </w:pPr>
      <w:r w:rsidRPr="003F26BB">
        <w:drawing>
          <wp:inline distT="0" distB="0" distL="0" distR="0" wp14:anchorId="6ABC5461" wp14:editId="026FA592">
            <wp:extent cx="5240020" cy="3505200"/>
            <wp:effectExtent l="0" t="0" r="0" b="0"/>
            <wp:docPr id="2066" name="Picture 2066" descr="\\skmconsulting.com\melprojects\VWES\Projects\IS087900\Deliverables\Reports\Figures_Revised_Maps\IS087900_GasRiskAssess_Otway_TightGasSourc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mconsulting.com\melprojects\VWES\Projects\IS087900\Deliverables\Reports\Figures_Revised_Maps\IS087900_GasRiskAssess_Otway_TightGasSources2.jpg"/>
                    <pic:cNvPicPr>
                      <a:picLocks noChangeAspect="1" noChangeArrowheads="1"/>
                    </pic:cNvPicPr>
                  </pic:nvPicPr>
                  <pic:blipFill rotWithShape="1">
                    <a:blip r:embed="rId233" cstate="screen">
                      <a:extLst>
                        <a:ext uri="{28A0092B-C50C-407E-A947-70E740481C1C}">
                          <a14:useLocalDpi xmlns:a14="http://schemas.microsoft.com/office/drawing/2010/main"/>
                        </a:ext>
                      </a:extLst>
                    </a:blip>
                    <a:srcRect/>
                    <a:stretch/>
                  </pic:blipFill>
                  <pic:spPr bwMode="auto">
                    <a:xfrm>
                      <a:off x="0" y="0"/>
                      <a:ext cx="5243013" cy="3507202"/>
                    </a:xfrm>
                    <a:prstGeom prst="rect">
                      <a:avLst/>
                    </a:prstGeom>
                    <a:noFill/>
                    <a:ln>
                      <a:noFill/>
                    </a:ln>
                    <a:extLst>
                      <a:ext uri="{53640926-AAD7-44D8-BBD7-CCE9431645EC}">
                        <a14:shadowObscured xmlns:a14="http://schemas.microsoft.com/office/drawing/2010/main"/>
                      </a:ext>
                    </a:extLst>
                  </pic:spPr>
                </pic:pic>
              </a:graphicData>
            </a:graphic>
          </wp:inline>
        </w:drawing>
      </w:r>
    </w:p>
    <w:p w14:paraId="07900BEA" w14:textId="7CE08CCB" w:rsidR="00FC4056" w:rsidRDefault="00FC4056" w:rsidP="00EE1EA8">
      <w:pPr>
        <w:pStyle w:val="Figuretitle"/>
      </w:pPr>
      <w:bookmarkStart w:id="1044" w:name="_Ref409791791"/>
      <w:r>
        <w:t>Figure B</w:t>
      </w:r>
      <w:bookmarkEnd w:id="1044"/>
      <w:r w:rsidR="00FB0996">
        <w:t xml:space="preserve">1: </w:t>
      </w:r>
      <w:r>
        <w:t xml:space="preserve"> Extent of potential tight gas in the Otway region</w:t>
      </w:r>
      <w:r w:rsidR="001D2653">
        <w:t>. (S</w:t>
      </w:r>
      <w:r>
        <w:t>ource</w:t>
      </w:r>
      <w:r w:rsidR="008E6D86">
        <w:t xml:space="preserve">: </w:t>
      </w:r>
      <w:r w:rsidR="001D2653">
        <w:t xml:space="preserve">Goldie </w:t>
      </w:r>
      <w:r w:rsidR="00180DF2">
        <w:t>Divko</w:t>
      </w:r>
      <w:r>
        <w:t>, 2015</w:t>
      </w:r>
      <w:r w:rsidR="001D2653">
        <w:t>.</w:t>
      </w:r>
      <w:r>
        <w:t>)</w:t>
      </w:r>
    </w:p>
    <w:p w14:paraId="3C25CE80" w14:textId="77777777" w:rsidR="00FC4056" w:rsidRDefault="00FC4056">
      <w:pPr>
        <w:rPr>
          <w:lang w:val="en-US"/>
        </w:rPr>
      </w:pPr>
    </w:p>
    <w:p w14:paraId="116FCAB6" w14:textId="77777777" w:rsidR="00FC4056" w:rsidRDefault="00FC4056" w:rsidP="00CF4178">
      <w:pPr>
        <w:pStyle w:val="figurereturn"/>
      </w:pPr>
      <w:r w:rsidRPr="003F26BB">
        <w:drawing>
          <wp:inline distT="0" distB="0" distL="0" distR="0" wp14:anchorId="0E5F1957" wp14:editId="1995B963">
            <wp:extent cx="5309870" cy="3552825"/>
            <wp:effectExtent l="0" t="0" r="5080" b="9525"/>
            <wp:docPr id="2068" name="Picture 2068" descr="\\skmconsulting.com\melprojects\VWES\Projects\IS087900\Deliverables\Reports\Figures_Revised_Maps\IS087900_GasRiskAssess_Otway_ShaleGasSou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mconsulting.com\melprojects\VWES\Projects\IS087900\Deliverables\Reports\Figures_Revised_Maps\IS087900_GasRiskAssess_Otway_ShaleGasSources.jpg"/>
                    <pic:cNvPicPr>
                      <a:picLocks noChangeAspect="1" noChangeArrowheads="1"/>
                    </pic:cNvPicPr>
                  </pic:nvPicPr>
                  <pic:blipFill rotWithShape="1">
                    <a:blip r:embed="rId234" cstate="screen">
                      <a:extLst>
                        <a:ext uri="{28A0092B-C50C-407E-A947-70E740481C1C}">
                          <a14:useLocalDpi xmlns:a14="http://schemas.microsoft.com/office/drawing/2010/main"/>
                        </a:ext>
                      </a:extLst>
                    </a:blip>
                    <a:srcRect/>
                    <a:stretch/>
                  </pic:blipFill>
                  <pic:spPr bwMode="auto">
                    <a:xfrm>
                      <a:off x="0" y="0"/>
                      <a:ext cx="5312261" cy="3554425"/>
                    </a:xfrm>
                    <a:prstGeom prst="rect">
                      <a:avLst/>
                    </a:prstGeom>
                    <a:noFill/>
                    <a:ln>
                      <a:noFill/>
                    </a:ln>
                    <a:extLst>
                      <a:ext uri="{53640926-AAD7-44D8-BBD7-CCE9431645EC}">
                        <a14:shadowObscured xmlns:a14="http://schemas.microsoft.com/office/drawing/2010/main"/>
                      </a:ext>
                    </a:extLst>
                  </pic:spPr>
                </pic:pic>
              </a:graphicData>
            </a:graphic>
          </wp:inline>
        </w:drawing>
      </w:r>
    </w:p>
    <w:p w14:paraId="08C0632A" w14:textId="33D0A39C" w:rsidR="00FC4056" w:rsidRDefault="00FC4056" w:rsidP="00EE1EA8">
      <w:pPr>
        <w:pStyle w:val="Figuretitle"/>
      </w:pPr>
      <w:r>
        <w:t>Figure B</w:t>
      </w:r>
      <w:r w:rsidR="00FB0996">
        <w:t>2:</w:t>
      </w:r>
      <w:r>
        <w:t xml:space="preserve">  Extent of potential shale gas in the Otway region</w:t>
      </w:r>
      <w:r w:rsidR="001D2653">
        <w:t>.</w:t>
      </w:r>
      <w:r>
        <w:t xml:space="preserve"> (</w:t>
      </w:r>
      <w:r w:rsidR="001D2653">
        <w:t>S</w:t>
      </w:r>
      <w:r w:rsidR="008E6D86">
        <w:t>ource:</w:t>
      </w:r>
      <w:r>
        <w:t xml:space="preserve"> </w:t>
      </w:r>
      <w:r w:rsidR="001D2653">
        <w:t xml:space="preserve">Goldie </w:t>
      </w:r>
      <w:r w:rsidR="00180DF2">
        <w:t>Divko</w:t>
      </w:r>
      <w:r>
        <w:t>, 2015</w:t>
      </w:r>
      <w:r w:rsidR="001D2653">
        <w:t>.</w:t>
      </w:r>
      <w:r>
        <w:t>)</w:t>
      </w:r>
    </w:p>
    <w:p w14:paraId="57A8FAD4" w14:textId="77777777" w:rsidR="00FC4056" w:rsidRDefault="00FC4056" w:rsidP="00CF4178">
      <w:pPr>
        <w:pStyle w:val="figurereturn"/>
      </w:pPr>
      <w:r w:rsidRPr="003F26BB">
        <w:drawing>
          <wp:inline distT="0" distB="0" distL="0" distR="0" wp14:anchorId="68ABB76A" wp14:editId="4E2EAF28">
            <wp:extent cx="5277771" cy="3524250"/>
            <wp:effectExtent l="0" t="0" r="0" b="0"/>
            <wp:docPr id="2069" name="Picture 2069" descr="\\skmconsulting.com\melprojects\VWES\Projects\IS087900\Deliverables\Reports\Figures_Revised_Maps\IS087900_GasRiskAssess_Otway_PotentialGasSources_C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mconsulting.com\melprojects\VWES\Projects\IS087900\Deliverables\Reports\Figures_Revised_Maps\IS087900_GasRiskAssess_Otway_PotentialGasSources_CSG.jpg"/>
                    <pic:cNvPicPr>
                      <a:picLocks noChangeAspect="1" noChangeArrowheads="1"/>
                    </pic:cNvPicPr>
                  </pic:nvPicPr>
                  <pic:blipFill rotWithShape="1">
                    <a:blip r:embed="rId235" cstate="screen">
                      <a:extLst>
                        <a:ext uri="{28A0092B-C50C-407E-A947-70E740481C1C}">
                          <a14:useLocalDpi xmlns:a14="http://schemas.microsoft.com/office/drawing/2010/main"/>
                        </a:ext>
                      </a:extLst>
                    </a:blip>
                    <a:srcRect/>
                    <a:stretch/>
                  </pic:blipFill>
                  <pic:spPr bwMode="auto">
                    <a:xfrm>
                      <a:off x="0" y="0"/>
                      <a:ext cx="5280500" cy="3526073"/>
                    </a:xfrm>
                    <a:prstGeom prst="rect">
                      <a:avLst/>
                    </a:prstGeom>
                    <a:noFill/>
                    <a:ln>
                      <a:noFill/>
                    </a:ln>
                    <a:extLst>
                      <a:ext uri="{53640926-AAD7-44D8-BBD7-CCE9431645EC}">
                        <a14:shadowObscured xmlns:a14="http://schemas.microsoft.com/office/drawing/2010/main"/>
                      </a:ext>
                    </a:extLst>
                  </pic:spPr>
                </pic:pic>
              </a:graphicData>
            </a:graphic>
          </wp:inline>
        </w:drawing>
      </w:r>
    </w:p>
    <w:p w14:paraId="08AB762E" w14:textId="4AD5AC04" w:rsidR="00FC4056" w:rsidRDefault="00FC4056" w:rsidP="00EE1EA8">
      <w:pPr>
        <w:pStyle w:val="Figuretitle"/>
      </w:pPr>
      <w:r>
        <w:t>Figure B</w:t>
      </w:r>
      <w:r w:rsidR="00FB0996">
        <w:t>3:</w:t>
      </w:r>
      <w:r>
        <w:t xml:space="preserve">  Extent of potential coal seam gas (black coal) in the Otway region</w:t>
      </w:r>
      <w:r w:rsidR="001D2653">
        <w:t>.</w:t>
      </w:r>
      <w:r>
        <w:t xml:space="preserve"> (</w:t>
      </w:r>
      <w:r w:rsidR="001D2653">
        <w:t>S</w:t>
      </w:r>
      <w:r w:rsidR="008E6D86">
        <w:t>o</w:t>
      </w:r>
      <w:r>
        <w:t>urce</w:t>
      </w:r>
      <w:r w:rsidR="008E6D86">
        <w:t>:</w:t>
      </w:r>
      <w:r>
        <w:t xml:space="preserve"> </w:t>
      </w:r>
      <w:r w:rsidR="001D2653">
        <w:t xml:space="preserve">Goldie </w:t>
      </w:r>
      <w:r w:rsidR="00180DF2">
        <w:t>Divko</w:t>
      </w:r>
      <w:r>
        <w:t>, 2015</w:t>
      </w:r>
      <w:r w:rsidR="001D2653">
        <w:t>.</w:t>
      </w:r>
      <w:r>
        <w:t>)</w:t>
      </w:r>
    </w:p>
    <w:p w14:paraId="34E16A0D" w14:textId="77777777" w:rsidR="00FC4056" w:rsidRPr="00284731" w:rsidRDefault="00FC4056">
      <w:pPr>
        <w:rPr>
          <w:lang w:val="en-US"/>
        </w:rPr>
      </w:pPr>
    </w:p>
    <w:p w14:paraId="46AE360F" w14:textId="77777777" w:rsidR="00FC4056" w:rsidRPr="00590C21" w:rsidRDefault="00FC4056" w:rsidP="00CF4178">
      <w:pPr>
        <w:pStyle w:val="figurereturn"/>
      </w:pPr>
      <w:r w:rsidRPr="003F26BB">
        <w:drawing>
          <wp:inline distT="0" distB="0" distL="0" distR="0" wp14:anchorId="38710B35" wp14:editId="76F78E2D">
            <wp:extent cx="5275974" cy="3514725"/>
            <wp:effectExtent l="0" t="0" r="1270" b="0"/>
            <wp:docPr id="2070" name="Picture 2070" descr="\\skmconsulting.com\melprojects\VWES\Projects\IS087900\Deliverables\Reports\Figures_Revised_Maps\IS087900_GasRiskAssess_Otway_ConventionalGasSources_C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mconsulting.com\melprojects\VWES\Projects\IS087900\Deliverables\Reports\Figures_Revised_Maps\IS087900_GasRiskAssess_Otway_ConventionalGasSources_CSG.jpg"/>
                    <pic:cNvPicPr>
                      <a:picLocks noChangeAspect="1" noChangeArrowheads="1"/>
                    </pic:cNvPicPr>
                  </pic:nvPicPr>
                  <pic:blipFill rotWithShape="1">
                    <a:blip r:embed="rId236" cstate="screen">
                      <a:extLst>
                        <a:ext uri="{28A0092B-C50C-407E-A947-70E740481C1C}">
                          <a14:useLocalDpi xmlns:a14="http://schemas.microsoft.com/office/drawing/2010/main"/>
                        </a:ext>
                      </a:extLst>
                    </a:blip>
                    <a:srcRect/>
                    <a:stretch/>
                  </pic:blipFill>
                  <pic:spPr bwMode="auto">
                    <a:xfrm>
                      <a:off x="0" y="0"/>
                      <a:ext cx="5283897" cy="3520003"/>
                    </a:xfrm>
                    <a:prstGeom prst="rect">
                      <a:avLst/>
                    </a:prstGeom>
                    <a:noFill/>
                    <a:ln>
                      <a:noFill/>
                    </a:ln>
                    <a:extLst>
                      <a:ext uri="{53640926-AAD7-44D8-BBD7-CCE9431645EC}">
                        <a14:shadowObscured xmlns:a14="http://schemas.microsoft.com/office/drawing/2010/main"/>
                      </a:ext>
                    </a:extLst>
                  </pic:spPr>
                </pic:pic>
              </a:graphicData>
            </a:graphic>
          </wp:inline>
        </w:drawing>
      </w:r>
    </w:p>
    <w:p w14:paraId="245CC647" w14:textId="5865DF74" w:rsidR="00FC4056" w:rsidRDefault="00FC4056" w:rsidP="00EE1EA8">
      <w:pPr>
        <w:pStyle w:val="Figuretitle"/>
      </w:pPr>
      <w:bookmarkStart w:id="1045" w:name="_Ref406326484"/>
      <w:r w:rsidRPr="00590C21">
        <w:t xml:space="preserve">Figure </w:t>
      </w:r>
      <w:r>
        <w:t>B</w:t>
      </w:r>
      <w:bookmarkEnd w:id="1045"/>
      <w:r w:rsidR="00FB0996">
        <w:t xml:space="preserve">4: </w:t>
      </w:r>
      <w:r>
        <w:t>Extent of potential conventional gas in the Otway region</w:t>
      </w:r>
      <w:r w:rsidR="001D2653">
        <w:t>. (S</w:t>
      </w:r>
      <w:r>
        <w:t>ource</w:t>
      </w:r>
      <w:r w:rsidR="008E6D86">
        <w:t>:</w:t>
      </w:r>
      <w:r>
        <w:t xml:space="preserve"> </w:t>
      </w:r>
      <w:r w:rsidR="001D2653">
        <w:t xml:space="preserve">Goldie </w:t>
      </w:r>
      <w:r w:rsidR="00180DF2">
        <w:t>Divko</w:t>
      </w:r>
      <w:r>
        <w:t>, 2015</w:t>
      </w:r>
      <w:r w:rsidR="001D2653">
        <w:t>.</w:t>
      </w:r>
      <w:r>
        <w:t>)</w:t>
      </w:r>
    </w:p>
    <w:p w14:paraId="2F2AD21C" w14:textId="04116CD4" w:rsidR="00FC4056" w:rsidRPr="006158FD" w:rsidRDefault="00FC4056" w:rsidP="00331966">
      <w:pPr>
        <w:pStyle w:val="Head2app"/>
      </w:pPr>
      <w:bookmarkStart w:id="1046" w:name="_Toc409687101"/>
      <w:bookmarkStart w:id="1047" w:name="_Toc420490819"/>
      <w:bookmarkStart w:id="1048" w:name="_Toc420567113"/>
      <w:bookmarkStart w:id="1049" w:name="_Toc420567504"/>
      <w:bookmarkStart w:id="1050" w:name="_Toc420568738"/>
      <w:bookmarkStart w:id="1051" w:name="_Toc420571520"/>
      <w:bookmarkStart w:id="1052" w:name="_Toc420572202"/>
      <w:bookmarkStart w:id="1053" w:name="_Toc296767014"/>
      <w:bookmarkStart w:id="1054" w:name="_Toc296770462"/>
      <w:bookmarkStart w:id="1055" w:name="_Toc423018286"/>
      <w:r>
        <w:t>B</w:t>
      </w:r>
      <w:r w:rsidR="000F35C5">
        <w:t>2</w:t>
      </w:r>
      <w:r w:rsidR="000F35C5">
        <w:tab/>
      </w:r>
      <w:r w:rsidRPr="006158FD">
        <w:t>Hazard/</w:t>
      </w:r>
      <w:r w:rsidR="000F35C5">
        <w:t>p</w:t>
      </w:r>
      <w:r w:rsidRPr="006158FD">
        <w:t>athway/</w:t>
      </w:r>
      <w:r w:rsidR="000F35C5">
        <w:t>r</w:t>
      </w:r>
      <w:r w:rsidRPr="006158FD">
        <w:t>eceptor model</w:t>
      </w:r>
      <w:bookmarkEnd w:id="1046"/>
      <w:bookmarkEnd w:id="1047"/>
      <w:bookmarkEnd w:id="1048"/>
      <w:bookmarkEnd w:id="1049"/>
      <w:bookmarkEnd w:id="1050"/>
      <w:bookmarkEnd w:id="1051"/>
      <w:bookmarkEnd w:id="1052"/>
      <w:bookmarkEnd w:id="1053"/>
      <w:bookmarkEnd w:id="1054"/>
      <w:bookmarkEnd w:id="1055"/>
    </w:p>
    <w:p w14:paraId="18CB489A" w14:textId="1D2D644A" w:rsidR="00FC4056" w:rsidRPr="006158FD" w:rsidRDefault="00FC4056">
      <w:pPr>
        <w:rPr>
          <w:lang w:eastAsia="en-US"/>
        </w:rPr>
      </w:pPr>
      <w:r w:rsidRPr="006158FD">
        <w:t xml:space="preserve">The </w:t>
      </w:r>
      <w:r>
        <w:t>impact</w:t>
      </w:r>
      <w:r w:rsidRPr="006158FD">
        <w:t xml:space="preserve"> assessment framework is based on the </w:t>
      </w:r>
      <w:r>
        <w:t>hazard</w:t>
      </w:r>
      <w:r w:rsidR="00331966">
        <w:t>/pathway/</w:t>
      </w:r>
      <w:r w:rsidRPr="006158FD">
        <w:t xml:space="preserve">receptor model to assess the </w:t>
      </w:r>
      <w:r>
        <w:t xml:space="preserve">impact on </w:t>
      </w:r>
      <w:r w:rsidRPr="006158FD">
        <w:t>receptors (water resources) resulting from possible future onshore gas development</w:t>
      </w:r>
      <w:r w:rsidR="008573A4">
        <w:t xml:space="preserve">. </w:t>
      </w:r>
      <w:r>
        <w:t>F</w:t>
      </w:r>
      <w:r w:rsidRPr="006158FD">
        <w:t xml:space="preserve">or </w:t>
      </w:r>
      <w:r>
        <w:t>impact</w:t>
      </w:r>
      <w:r w:rsidRPr="006158FD">
        <w:t xml:space="preserve"> to exist all three components </w:t>
      </w:r>
      <w:r>
        <w:t>need to be present</w:t>
      </w:r>
      <w:r w:rsidRPr="006158FD">
        <w:t xml:space="preserve">: a hazard; a receptor that could potentially be adversely impacted; and a pathway to link the two. </w:t>
      </w:r>
    </w:p>
    <w:p w14:paraId="70A6A8D8" w14:textId="77777777" w:rsidR="001D2653" w:rsidRPr="006158FD" w:rsidRDefault="001D2653" w:rsidP="00C150BC">
      <w:pPr>
        <w:pStyle w:val="Head3app"/>
      </w:pPr>
      <w:bookmarkStart w:id="1056" w:name="_Toc420511097"/>
      <w:bookmarkStart w:id="1057" w:name="_Toc420572696"/>
      <w:bookmarkStart w:id="1058" w:name="_Toc296599102"/>
      <w:bookmarkStart w:id="1059" w:name="_Toc296767320"/>
      <w:bookmarkStart w:id="1060" w:name="_Toc296770463"/>
      <w:bookmarkStart w:id="1061" w:name="_Toc423018287"/>
      <w:bookmarkStart w:id="1062" w:name="_Toc420568741"/>
      <w:bookmarkStart w:id="1063" w:name="_Toc420571523"/>
      <w:bookmarkStart w:id="1064" w:name="_Toc420572205"/>
      <w:r>
        <w:t>B2.1</w:t>
      </w:r>
      <w:r>
        <w:tab/>
      </w:r>
      <w:r w:rsidRPr="006158FD">
        <w:t>Hazard</w:t>
      </w:r>
      <w:bookmarkEnd w:id="1056"/>
      <w:bookmarkEnd w:id="1057"/>
      <w:bookmarkEnd w:id="1058"/>
      <w:bookmarkEnd w:id="1059"/>
      <w:bookmarkEnd w:id="1060"/>
      <w:bookmarkEnd w:id="1061"/>
    </w:p>
    <w:p w14:paraId="44A8525E" w14:textId="77777777" w:rsidR="001D2653" w:rsidRPr="006158FD" w:rsidRDefault="001D2653" w:rsidP="001D2653">
      <w:pPr>
        <w:pStyle w:val="Para0bullet"/>
      </w:pPr>
      <w:r>
        <w:t xml:space="preserve">Four </w:t>
      </w:r>
      <w:r w:rsidRPr="006158FD">
        <w:t xml:space="preserve">key hazards </w:t>
      </w:r>
      <w:r>
        <w:t>for water resources have been</w:t>
      </w:r>
      <w:r w:rsidRPr="006158FD">
        <w:t xml:space="preserve"> assessed in the </w:t>
      </w:r>
      <w:r>
        <w:t>Gippsland</w:t>
      </w:r>
      <w:r w:rsidRPr="006158FD">
        <w:t xml:space="preserve"> </w:t>
      </w:r>
      <w:r>
        <w:t>region</w:t>
      </w:r>
      <w:r w:rsidRPr="006158FD">
        <w:t>:</w:t>
      </w:r>
    </w:p>
    <w:p w14:paraId="086CA935" w14:textId="391ED950" w:rsidR="001D2653" w:rsidRPr="006158FD" w:rsidRDefault="001D2653" w:rsidP="001D2653">
      <w:pPr>
        <w:tabs>
          <w:tab w:val="left" w:pos="426"/>
        </w:tabs>
        <w:spacing w:after="120" w:line="240" w:lineRule="atLeast"/>
        <w:ind w:left="426" w:hanging="426"/>
      </w:pPr>
      <w:r>
        <w:t>1</w:t>
      </w:r>
      <w:r>
        <w:tab/>
        <w:t>a</w:t>
      </w:r>
      <w:r w:rsidRPr="006158FD">
        <w:t>quifer depressurisation</w:t>
      </w:r>
    </w:p>
    <w:p w14:paraId="4BA40D8D" w14:textId="292A314F" w:rsidR="001D2653" w:rsidRPr="006158FD" w:rsidRDefault="001D2653" w:rsidP="001D2653">
      <w:pPr>
        <w:tabs>
          <w:tab w:val="left" w:pos="426"/>
        </w:tabs>
        <w:spacing w:after="120" w:line="240" w:lineRule="atLeast"/>
        <w:ind w:left="426" w:hanging="426"/>
      </w:pPr>
      <w:r>
        <w:t>2</w:t>
      </w:r>
      <w:r>
        <w:tab/>
        <w:t>c</w:t>
      </w:r>
      <w:r w:rsidRPr="009C5872">
        <w:t>hemical contamination of groundwater from hydraulic fracturing fluids</w:t>
      </w:r>
    </w:p>
    <w:p w14:paraId="6FA8B602" w14:textId="20315ABA" w:rsidR="001D2653" w:rsidRDefault="001D2653" w:rsidP="001D2653">
      <w:pPr>
        <w:tabs>
          <w:tab w:val="left" w:pos="426"/>
        </w:tabs>
        <w:spacing w:after="120" w:line="240" w:lineRule="atLeast"/>
        <w:ind w:left="426" w:hanging="426"/>
      </w:pPr>
      <w:r>
        <w:t>3</w:t>
      </w:r>
      <w:r>
        <w:tab/>
        <w:t>i</w:t>
      </w:r>
      <w:r w:rsidRPr="006158FD">
        <w:t>nduced seismicity</w:t>
      </w:r>
    </w:p>
    <w:p w14:paraId="365B581F" w14:textId="5D6A9107" w:rsidR="001D2653" w:rsidRPr="006158FD" w:rsidRDefault="001D2653" w:rsidP="001D2653">
      <w:pPr>
        <w:tabs>
          <w:tab w:val="left" w:pos="426"/>
        </w:tabs>
        <w:spacing w:after="120" w:line="240" w:lineRule="atLeast"/>
        <w:ind w:left="426" w:hanging="426"/>
      </w:pPr>
      <w:r>
        <w:t>4</w:t>
      </w:r>
      <w:r>
        <w:tab/>
        <w:t>land subsidence.</w:t>
      </w:r>
    </w:p>
    <w:p w14:paraId="69507E97" w14:textId="6FBF1D18" w:rsidR="001D2653" w:rsidRPr="006158FD" w:rsidRDefault="001D2653" w:rsidP="001D2653">
      <w:r w:rsidRPr="00521C0E">
        <w:t>Depressurisation of aquifers</w:t>
      </w:r>
      <w:r w:rsidRPr="00B92552">
        <w:t xml:space="preserve"> </w:t>
      </w:r>
      <w:r w:rsidRPr="006158FD">
        <w:t xml:space="preserve">associated with onshore gas development is the key hazard </w:t>
      </w:r>
      <w:r>
        <w:t>assessed</w:t>
      </w:r>
      <w:r w:rsidRPr="006158FD">
        <w:t xml:space="preserve"> in this </w:t>
      </w:r>
      <w:r>
        <w:t>impact</w:t>
      </w:r>
      <w:r w:rsidRPr="006158FD">
        <w:t xml:space="preserve"> assessment</w:t>
      </w:r>
      <w:r>
        <w:t>. For the development scenarios</w:t>
      </w:r>
      <w:r w:rsidRPr="00D57E3D">
        <w:t xml:space="preserve">, </w:t>
      </w:r>
      <w:r>
        <w:t>numerical modelling</w:t>
      </w:r>
      <w:r w:rsidRPr="00D57E3D">
        <w:t xml:space="preserve"> </w:t>
      </w:r>
      <w:r>
        <w:t>was</w:t>
      </w:r>
      <w:r w:rsidRPr="00D57E3D">
        <w:t xml:space="preserve"> </w:t>
      </w:r>
      <w:r w:rsidRPr="00FA6E7E">
        <w:t>undertaken to assess aquifer depressur</w:t>
      </w:r>
      <w:r>
        <w:t>isation and resulting drawdown</w:t>
      </w:r>
      <w:r w:rsidRPr="00FA6E7E">
        <w:t xml:space="preserve">, which then feeds into the </w:t>
      </w:r>
      <w:r>
        <w:t xml:space="preserve">impact </w:t>
      </w:r>
      <w:r w:rsidRPr="00FA6E7E">
        <w:t>assessment</w:t>
      </w:r>
      <w:r>
        <w:t xml:space="preserve">. The modelling method is </w:t>
      </w:r>
      <w:r w:rsidRPr="00FA6E7E">
        <w:t xml:space="preserve">described in </w:t>
      </w:r>
      <w:r w:rsidR="005F6419">
        <w:t>Chapter B3</w:t>
      </w:r>
      <w:r>
        <w:t xml:space="preserve">. </w:t>
      </w:r>
    </w:p>
    <w:p w14:paraId="5015652F" w14:textId="5C4A95EE" w:rsidR="001D2653" w:rsidRDefault="001D2653" w:rsidP="001D2653">
      <w:r w:rsidRPr="006158FD">
        <w:t xml:space="preserve">While changes in aquifer pressure are also associated with </w:t>
      </w:r>
      <w:r w:rsidRPr="00521C0E">
        <w:t>hydraulic fracturing</w:t>
      </w:r>
      <w:r w:rsidRPr="00B92552">
        <w:t xml:space="preserve">, </w:t>
      </w:r>
      <w:r w:rsidRPr="00521C0E">
        <w:t xml:space="preserve">induced seismicity </w:t>
      </w:r>
      <w:r w:rsidRPr="00B92552">
        <w:t>and</w:t>
      </w:r>
      <w:r w:rsidRPr="00521C0E">
        <w:t xml:space="preserve"> land subsidence,</w:t>
      </w:r>
      <w:r w:rsidRPr="006158FD">
        <w:rPr>
          <w:b/>
        </w:rPr>
        <w:t xml:space="preserve"> </w:t>
      </w:r>
      <w:r w:rsidRPr="006158FD">
        <w:t xml:space="preserve">these </w:t>
      </w:r>
      <w:r>
        <w:t xml:space="preserve">hazards have multiple causes </w:t>
      </w:r>
      <w:r w:rsidRPr="006158FD">
        <w:t>(</w:t>
      </w:r>
      <w:r>
        <w:t xml:space="preserve">i.e. </w:t>
      </w:r>
      <w:r w:rsidRPr="006158FD">
        <w:t xml:space="preserve">well failure and re-injection of coproduced water) that are </w:t>
      </w:r>
      <w:r>
        <w:t xml:space="preserve">more appropriately assessed within the project-specific approvals process. </w:t>
      </w:r>
      <w:r w:rsidRPr="006158FD">
        <w:t xml:space="preserve">Due to the </w:t>
      </w:r>
      <w:r>
        <w:t>broad context of this study</w:t>
      </w:r>
      <w:r w:rsidRPr="006158FD">
        <w:t xml:space="preserve">, </w:t>
      </w:r>
      <w:r>
        <w:t>the assessment of causes of potential impacts associated with these hazards have been based on a review of international</w:t>
      </w:r>
      <w:r w:rsidRPr="006158FD">
        <w:t xml:space="preserve"> literature</w:t>
      </w:r>
      <w:r>
        <w:t xml:space="preserve"> review </w:t>
      </w:r>
      <w:r w:rsidRPr="006158FD">
        <w:t>rather than a modelling approach</w:t>
      </w:r>
      <w:r>
        <w:t xml:space="preserve">. </w:t>
      </w:r>
    </w:p>
    <w:p w14:paraId="7DE754B1" w14:textId="77777777" w:rsidR="00CF4178" w:rsidRDefault="00CF4178">
      <w:pPr>
        <w:spacing w:after="200"/>
        <w:rPr>
          <w:rFonts w:cs="Arial"/>
          <w:b/>
          <w:bCs/>
          <w:sz w:val="26"/>
          <w:szCs w:val="26"/>
        </w:rPr>
      </w:pPr>
      <w:bookmarkStart w:id="1065" w:name="_Toc420511098"/>
      <w:bookmarkStart w:id="1066" w:name="_Toc420572697"/>
      <w:bookmarkStart w:id="1067" w:name="_Toc296599103"/>
      <w:bookmarkStart w:id="1068" w:name="_Toc296767321"/>
      <w:bookmarkStart w:id="1069" w:name="_Toc296770464"/>
      <w:r>
        <w:br w:type="page"/>
      </w:r>
    </w:p>
    <w:p w14:paraId="5FD79F5A" w14:textId="121655D4" w:rsidR="001D2653" w:rsidRPr="00773DCA" w:rsidRDefault="001D2653" w:rsidP="001D2653">
      <w:pPr>
        <w:pStyle w:val="Head3app"/>
      </w:pPr>
      <w:bookmarkStart w:id="1070" w:name="_Toc423018288"/>
      <w:r>
        <w:t>B2.2</w:t>
      </w:r>
      <w:r>
        <w:tab/>
      </w:r>
      <w:r w:rsidRPr="00773DCA">
        <w:t>Pathway</w:t>
      </w:r>
      <w:bookmarkEnd w:id="1065"/>
      <w:bookmarkEnd w:id="1066"/>
      <w:bookmarkEnd w:id="1067"/>
      <w:bookmarkEnd w:id="1068"/>
      <w:bookmarkEnd w:id="1069"/>
      <w:bookmarkEnd w:id="1070"/>
    </w:p>
    <w:p w14:paraId="6E093362" w14:textId="4A9E79D5" w:rsidR="001D2653" w:rsidRPr="008B7664" w:rsidRDefault="001D2653" w:rsidP="001D2653">
      <w:r w:rsidRPr="008B7664">
        <w:t xml:space="preserve">The hazards associated with gas extraction arise largely </w:t>
      </w:r>
      <w:r>
        <w:t>because of</w:t>
      </w:r>
      <w:r w:rsidRPr="008B7664">
        <w:t xml:space="preserve"> </w:t>
      </w:r>
      <w:r>
        <w:t xml:space="preserve">the possibility that </w:t>
      </w:r>
      <w:r w:rsidRPr="008B7664">
        <w:t xml:space="preserve">altered fluid pore pressure in </w:t>
      </w:r>
      <w:r>
        <w:t>a</w:t>
      </w:r>
      <w:r w:rsidRPr="008B7664">
        <w:t xml:space="preserve"> gas source formation which may be transmitted to overlying </w:t>
      </w:r>
      <w:r>
        <w:t>(or</w:t>
      </w:r>
      <w:r w:rsidRPr="008B7664">
        <w:t xml:space="preserve"> underlying</w:t>
      </w:r>
      <w:r>
        <w:t>)</w:t>
      </w:r>
      <w:r w:rsidRPr="008B7664">
        <w:t xml:space="preserve"> aquifers</w:t>
      </w:r>
      <w:r>
        <w:t xml:space="preserve"> or </w:t>
      </w:r>
      <w:r w:rsidRPr="008B7664">
        <w:t>aquitards</w:t>
      </w:r>
      <w:r>
        <w:t xml:space="preserve">. </w:t>
      </w:r>
      <w:r w:rsidRPr="008B7664">
        <w:t>The impact pathway is determined by the potential for pressure reductions in the gas source formation to propagate through the adjacent hydrogeological units and cause drawdown in overlying or underlying aquifer(s)</w:t>
      </w:r>
      <w:r>
        <w:t>. F</w:t>
      </w:r>
      <w:r w:rsidRPr="008B7664">
        <w:t xml:space="preserve">or drawdown to </w:t>
      </w:r>
      <w:r>
        <w:t>adversely impact receptors, it must occur</w:t>
      </w:r>
      <w:r w:rsidRPr="008B7664">
        <w:t xml:space="preserve"> in the aquifer that supports the receptor</w:t>
      </w:r>
      <w:r>
        <w:t xml:space="preserve">. This means that a </w:t>
      </w:r>
      <w:r w:rsidRPr="008B7664">
        <w:t>surface water receptor</w:t>
      </w:r>
      <w:r>
        <w:t xml:space="preserve"> can be impacted only if there is a pathway that allows drawdown to propagate from the gas source to the watertable aquifer. </w:t>
      </w:r>
    </w:p>
    <w:p w14:paraId="720521D2" w14:textId="77777777" w:rsidR="001D2653" w:rsidRPr="00D01475" w:rsidRDefault="001D2653" w:rsidP="001D2653">
      <w:pPr>
        <w:rPr>
          <w:rStyle w:val="Para0bulletChar"/>
        </w:rPr>
      </w:pPr>
      <w:r w:rsidRPr="00D01475">
        <w:t xml:space="preserve">A hydrogeological conceptual model was produced in order to understand the hydrogeological pathways that have the potential to connect possible gas developments with overlying water resources. The </w:t>
      </w:r>
      <w:r w:rsidRPr="00D01475">
        <w:rPr>
          <w:rStyle w:val="Para0bulletChar"/>
        </w:rPr>
        <w:t>hydrogeological conceptual model outlines:</w:t>
      </w:r>
    </w:p>
    <w:p w14:paraId="49EF72CB" w14:textId="77777777" w:rsidR="001D2653" w:rsidRDefault="001D2653" w:rsidP="00C150BC">
      <w:pPr>
        <w:pStyle w:val="bulletlist0"/>
      </w:pPr>
      <w:r>
        <w:t>•</w:t>
      </w:r>
      <w:r>
        <w:tab/>
        <w:t>stratigraphy and gas source formations for onshore gas extraction, key usable aquifers in the basin and significant groundwater dependent assets (receptors)</w:t>
      </w:r>
    </w:p>
    <w:p w14:paraId="0213B92E" w14:textId="77777777" w:rsidR="001D2653" w:rsidRDefault="001D2653" w:rsidP="00C150BC">
      <w:pPr>
        <w:pStyle w:val="bulletlist0"/>
      </w:pPr>
      <w:r>
        <w:t>•</w:t>
      </w:r>
      <w:r>
        <w:tab/>
        <w:t>potential hydrogeological pathways between the source and the receptors</w:t>
      </w:r>
    </w:p>
    <w:p w14:paraId="49B3CE9C" w14:textId="77777777" w:rsidR="001D2653" w:rsidRDefault="001D2653" w:rsidP="00C150BC">
      <w:pPr>
        <w:pStyle w:val="bulletlist0"/>
      </w:pPr>
      <w:r>
        <w:t>•</w:t>
      </w:r>
      <w:r>
        <w:tab/>
        <w:t>potential low permeability layers between the source and the receptors</w:t>
      </w:r>
    </w:p>
    <w:p w14:paraId="120A19A8" w14:textId="77777777" w:rsidR="001D2653" w:rsidRDefault="001D2653" w:rsidP="00C150BC">
      <w:pPr>
        <w:pStyle w:val="bulletlist0"/>
      </w:pPr>
      <w:r>
        <w:t>•</w:t>
      </w:r>
      <w:r>
        <w:tab/>
        <w:t>aquifer parameters (e.g. K</w:t>
      </w:r>
      <w:r w:rsidRPr="003D4B6D">
        <w:rPr>
          <w:vertAlign w:val="subscript"/>
        </w:rPr>
        <w:t>h</w:t>
      </w:r>
      <w:r>
        <w:t>, S and K</w:t>
      </w:r>
      <w:r w:rsidRPr="003D4B6D">
        <w:rPr>
          <w:vertAlign w:val="subscript"/>
        </w:rPr>
        <w:t>v</w:t>
      </w:r>
      <w:r>
        <w:t>).</w:t>
      </w:r>
    </w:p>
    <w:p w14:paraId="28870A7D" w14:textId="77777777" w:rsidR="001D2653" w:rsidRPr="00773DCA" w:rsidRDefault="001D2653" w:rsidP="001D2653">
      <w:r>
        <w:t xml:space="preserve">The hydrogeological conceptual model informs the impact assessment approaches and is </w:t>
      </w:r>
      <w:r w:rsidRPr="00773DCA">
        <w:t xml:space="preserve">presented in </w:t>
      </w:r>
      <w:r>
        <w:t>Chapter 2 of the main report</w:t>
      </w:r>
      <w:r>
        <w:rPr>
          <w:b/>
        </w:rPr>
        <w:t xml:space="preserve">. </w:t>
      </w:r>
    </w:p>
    <w:p w14:paraId="53227A1B" w14:textId="2AE7D7C5" w:rsidR="001D2653" w:rsidRPr="00773DCA" w:rsidRDefault="001D2653" w:rsidP="001D2653">
      <w:pPr>
        <w:pStyle w:val="Head3app"/>
        <w:rPr>
          <w:lang w:val="en-AU" w:eastAsia="en-US"/>
        </w:rPr>
      </w:pPr>
      <w:bookmarkStart w:id="1071" w:name="_Toc420511099"/>
      <w:bookmarkStart w:id="1072" w:name="_Toc420572698"/>
      <w:bookmarkStart w:id="1073" w:name="_Toc296599104"/>
      <w:bookmarkStart w:id="1074" w:name="_Toc296767322"/>
      <w:bookmarkStart w:id="1075" w:name="_Toc296770465"/>
      <w:bookmarkStart w:id="1076" w:name="_Toc423018289"/>
      <w:bookmarkEnd w:id="1062"/>
      <w:bookmarkEnd w:id="1063"/>
      <w:bookmarkEnd w:id="1064"/>
      <w:r>
        <w:rPr>
          <w:lang w:val="en-AU" w:eastAsia="en-US"/>
        </w:rPr>
        <w:t>B2.3</w:t>
      </w:r>
      <w:r>
        <w:rPr>
          <w:lang w:val="en-AU" w:eastAsia="en-US"/>
        </w:rPr>
        <w:tab/>
      </w:r>
      <w:r w:rsidRPr="00773DCA">
        <w:rPr>
          <w:lang w:val="en-AU" w:eastAsia="en-US"/>
        </w:rPr>
        <w:t>Receptors</w:t>
      </w:r>
      <w:bookmarkEnd w:id="1071"/>
      <w:bookmarkEnd w:id="1072"/>
      <w:bookmarkEnd w:id="1073"/>
      <w:bookmarkEnd w:id="1074"/>
      <w:bookmarkEnd w:id="1075"/>
      <w:bookmarkEnd w:id="1076"/>
    </w:p>
    <w:p w14:paraId="6CB3395E" w14:textId="77777777" w:rsidR="001D2653" w:rsidRPr="00773DCA" w:rsidRDefault="001D2653" w:rsidP="001D2653">
      <w:r w:rsidRPr="00773DCA">
        <w:t>This</w:t>
      </w:r>
      <w:r>
        <w:t xml:space="preserve"> assessment considers</w:t>
      </w:r>
      <w:r w:rsidRPr="00773DCA">
        <w:t xml:space="preserve"> the</w:t>
      </w:r>
      <w:r>
        <w:t xml:space="preserve"> potential</w:t>
      </w:r>
      <w:r w:rsidRPr="00773DCA">
        <w:t xml:space="preserve"> impacts of onshore gas development in </w:t>
      </w:r>
      <w:r>
        <w:t>three</w:t>
      </w:r>
      <w:r w:rsidRPr="00773DCA">
        <w:t xml:space="preserve"> types of water resources, or receptors:</w:t>
      </w:r>
    </w:p>
    <w:p w14:paraId="32ACCA01" w14:textId="77777777" w:rsidR="001D2653" w:rsidRPr="00D01475" w:rsidRDefault="001D2653" w:rsidP="00C150BC">
      <w:pPr>
        <w:pStyle w:val="bulletlist0"/>
      </w:pPr>
      <w:r>
        <w:t>•</w:t>
      </w:r>
      <w:r>
        <w:tab/>
      </w:r>
      <w:r w:rsidRPr="00D01475">
        <w:t>aquifers (which support groundwater users)</w:t>
      </w:r>
    </w:p>
    <w:p w14:paraId="29CE4FC6" w14:textId="77777777" w:rsidR="001D2653" w:rsidRPr="00D01475" w:rsidRDefault="001D2653" w:rsidP="00C150BC">
      <w:pPr>
        <w:pStyle w:val="bulletlist0"/>
      </w:pPr>
      <w:r>
        <w:t>•</w:t>
      </w:r>
      <w:r>
        <w:tab/>
      </w:r>
      <w:r w:rsidRPr="00D01475">
        <w:t>rivers (which support surface water users and ecosystems)</w:t>
      </w:r>
    </w:p>
    <w:p w14:paraId="6AD71660" w14:textId="77777777" w:rsidR="001D2653" w:rsidRPr="00773DCA" w:rsidRDefault="001D2653" w:rsidP="00C150BC">
      <w:pPr>
        <w:pStyle w:val="bulletlist0"/>
      </w:pPr>
      <w:r>
        <w:t>•</w:t>
      </w:r>
      <w:r>
        <w:tab/>
        <w:t>w</w:t>
      </w:r>
      <w:r w:rsidRPr="00773DCA">
        <w:t>ater bodies (wetlands</w:t>
      </w:r>
      <w:r>
        <w:t xml:space="preserve"> and</w:t>
      </w:r>
      <w:r w:rsidRPr="00773DCA">
        <w:t xml:space="preserve"> lakes</w:t>
      </w:r>
      <w:r>
        <w:t xml:space="preserve"> </w:t>
      </w:r>
      <w:r w:rsidRPr="00773DCA">
        <w:t>which support surface water users and ecosystems)</w:t>
      </w:r>
      <w:r>
        <w:t>.</w:t>
      </w:r>
    </w:p>
    <w:p w14:paraId="58824A99" w14:textId="77777777" w:rsidR="001D2653" w:rsidRPr="00331966" w:rsidRDefault="001D2653" w:rsidP="001D2653">
      <w:r w:rsidRPr="00331966">
        <w:t>The water resources included in the impact assessment are identified by the following attributes:</w:t>
      </w:r>
    </w:p>
    <w:p w14:paraId="1974B4D0" w14:textId="77777777" w:rsidR="001D2653" w:rsidRPr="00773DCA" w:rsidRDefault="001D2653" w:rsidP="00C150BC">
      <w:pPr>
        <w:pStyle w:val="bulletlist0"/>
      </w:pPr>
      <w:r>
        <w:t>•</w:t>
      </w:r>
      <w:r>
        <w:tab/>
        <w:t>s</w:t>
      </w:r>
      <w:r w:rsidRPr="00773DCA">
        <w:t>urface water assets (rivers</w:t>
      </w:r>
      <w:r>
        <w:t xml:space="preserve"> and</w:t>
      </w:r>
      <w:r w:rsidRPr="00773DCA">
        <w:t xml:space="preserve"> water bodies) as listed in the Victorian Water Assets Data</w:t>
      </w:r>
      <w:r>
        <w:t>b</w:t>
      </w:r>
      <w:r w:rsidRPr="00773DCA">
        <w:t>ase (VWAD)</w:t>
      </w:r>
    </w:p>
    <w:p w14:paraId="2D495240" w14:textId="79F1A3B0" w:rsidR="001D2653" w:rsidRPr="00773DCA" w:rsidRDefault="001D2653" w:rsidP="00C150BC">
      <w:pPr>
        <w:pStyle w:val="bulletlist0"/>
      </w:pPr>
      <w:r>
        <w:t>•</w:t>
      </w:r>
      <w:r>
        <w:tab/>
        <w:t>a</w:t>
      </w:r>
      <w:r w:rsidRPr="00773DCA">
        <w:t xml:space="preserve">quifers as defined in the Victorian Aquifer Framework (VAF) and incorporated into the DEPI SAFE scheme with a </w:t>
      </w:r>
      <w:r>
        <w:t xml:space="preserve">mapped </w:t>
      </w:r>
      <w:r w:rsidRPr="00773DCA">
        <w:t>salinity less than 3500 mg/L.</w:t>
      </w:r>
    </w:p>
    <w:p w14:paraId="70E52E0D" w14:textId="0DCA69EB" w:rsidR="001D2653" w:rsidRDefault="001D2653" w:rsidP="001D2653">
      <w:r>
        <w:t xml:space="preserve">The surface water resources assessed in this assessment are shown in Figure B5. These assets have been generated using </w:t>
      </w:r>
      <w:r w:rsidRPr="00773DCA">
        <w:t>the Victorian Water Assets Data</w:t>
      </w:r>
      <w:r>
        <w:t>b</w:t>
      </w:r>
      <w:r w:rsidRPr="00773DCA">
        <w:t>ase</w:t>
      </w:r>
      <w:r>
        <w:t>, which is a geospatial database of water asset features that has attributes disaggregated from the Water Asset Identification Project database</w:t>
      </w:r>
      <w:r w:rsidR="00EE1EA8">
        <w:t xml:space="preserve"> </w:t>
      </w:r>
      <w:r>
        <w:t xml:space="preserve">(GHD, 2014). The surface water resources shown in Figure B3 includes all rivers and creeks but exclude those classified as irrigation channels, drains, structures or farm dams. </w:t>
      </w:r>
    </w:p>
    <w:p w14:paraId="65E72CAB" w14:textId="77777777" w:rsidR="001D2653" w:rsidRDefault="001D2653" w:rsidP="001D2653">
      <w:pPr>
        <w:pStyle w:val="Para0"/>
      </w:pPr>
      <w:r>
        <w:rPr>
          <w:lang w:val="en-GB"/>
        </w:rPr>
        <w:t>For the purposes of this study, the impacts to springs are not specifically assessed. Rather, it is assumed that wherever</w:t>
      </w:r>
      <w:r>
        <w:t xml:space="preserve"> the potential impact for surface water assets and the watertable is high, the potential impact to springs is also high.</w:t>
      </w:r>
    </w:p>
    <w:p w14:paraId="748D1791" w14:textId="7D1029DC" w:rsidR="00FC4056" w:rsidRDefault="001D2653" w:rsidP="00FC4056">
      <w:pPr>
        <w:pStyle w:val="Para0"/>
      </w:pPr>
      <w:r>
        <w:t>Terrestrial vegetation has also been excluded as dependence on groundwater is highly variable and site specific. Assessment of potential impacts on terrestrial vegetation would need to be completed as part of an individual development proposal.</w:t>
      </w:r>
    </w:p>
    <w:p w14:paraId="63CDFF3F" w14:textId="77777777" w:rsidR="00FC4056" w:rsidRPr="006E257D" w:rsidRDefault="00FC4056" w:rsidP="00CF4178">
      <w:pPr>
        <w:pStyle w:val="figurereturn"/>
      </w:pPr>
      <w:r w:rsidRPr="006E257D">
        <w:drawing>
          <wp:inline distT="0" distB="0" distL="0" distR="0" wp14:anchorId="03E87DA7" wp14:editId="724D0CBA">
            <wp:extent cx="5705848" cy="3829050"/>
            <wp:effectExtent l="0" t="0" r="9525"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087900_GasRiskAssess_Otway_GasSourcesHighAssets.jpg"/>
                    <pic:cNvPicPr/>
                  </pic:nvPicPr>
                  <pic:blipFill rotWithShape="1">
                    <a:blip r:embed="rId237" cstate="screen">
                      <a:extLst>
                        <a:ext uri="{28A0092B-C50C-407E-A947-70E740481C1C}">
                          <a14:useLocalDpi xmlns:a14="http://schemas.microsoft.com/office/drawing/2010/main"/>
                        </a:ext>
                      </a:extLst>
                    </a:blip>
                    <a:srcRect/>
                    <a:stretch/>
                  </pic:blipFill>
                  <pic:spPr bwMode="auto">
                    <a:xfrm>
                      <a:off x="0" y="0"/>
                      <a:ext cx="5707258" cy="3829996"/>
                    </a:xfrm>
                    <a:prstGeom prst="rect">
                      <a:avLst/>
                    </a:prstGeom>
                    <a:ln>
                      <a:noFill/>
                    </a:ln>
                    <a:extLst>
                      <a:ext uri="{53640926-AAD7-44D8-BBD7-CCE9431645EC}">
                        <a14:shadowObscured xmlns:a14="http://schemas.microsoft.com/office/drawing/2010/main"/>
                      </a:ext>
                    </a:extLst>
                  </pic:spPr>
                </pic:pic>
              </a:graphicData>
            </a:graphic>
          </wp:inline>
        </w:drawing>
      </w:r>
    </w:p>
    <w:p w14:paraId="0CB58060" w14:textId="77777777" w:rsidR="00B22A62" w:rsidRDefault="00FC4056" w:rsidP="00EE1EA8">
      <w:pPr>
        <w:pStyle w:val="Figuretitle"/>
      </w:pPr>
      <w:bookmarkStart w:id="1077" w:name="_Ref283585386"/>
      <w:r w:rsidRPr="006E257D">
        <w:t xml:space="preserve">Figure </w:t>
      </w:r>
      <w:r w:rsidR="00670BE8">
        <w:t>B</w:t>
      </w:r>
      <w:bookmarkEnd w:id="1077"/>
      <w:r w:rsidR="00FB0996">
        <w:t>5:</w:t>
      </w:r>
      <w:r w:rsidRPr="006E257D">
        <w:t xml:space="preserve">  Otway </w:t>
      </w:r>
      <w:r>
        <w:t>region</w:t>
      </w:r>
      <w:r w:rsidRPr="006E257D">
        <w:t xml:space="preserve"> potential onshore gas development locations and surface water resources</w:t>
      </w:r>
      <w:r w:rsidR="001D2653">
        <w:t>.</w:t>
      </w:r>
    </w:p>
    <w:p w14:paraId="6BF372D8" w14:textId="2A0A9A19" w:rsidR="001D2653" w:rsidRPr="001D2653" w:rsidRDefault="001D2653" w:rsidP="00EE1EA8">
      <w:pPr>
        <w:pStyle w:val="Figuretitle"/>
      </w:pPr>
      <w:r>
        <w:br w:type="page"/>
      </w:r>
    </w:p>
    <w:p w14:paraId="11B68CDC" w14:textId="4621963E" w:rsidR="001D2653" w:rsidRDefault="001D2653" w:rsidP="001D2653">
      <w:pPr>
        <w:pStyle w:val="Head2app"/>
      </w:pPr>
      <w:bookmarkStart w:id="1078" w:name="_Toc420500948"/>
      <w:bookmarkStart w:id="1079" w:name="_Toc420511100"/>
      <w:bookmarkStart w:id="1080" w:name="_Toc420511203"/>
      <w:bookmarkStart w:id="1081" w:name="_Toc420572524"/>
      <w:bookmarkStart w:id="1082" w:name="_Toc420572699"/>
      <w:bookmarkStart w:id="1083" w:name="_Toc420573113"/>
      <w:bookmarkStart w:id="1084" w:name="_Toc296599105"/>
      <w:bookmarkStart w:id="1085" w:name="_Toc296767323"/>
      <w:bookmarkStart w:id="1086" w:name="_Toc296770466"/>
      <w:bookmarkStart w:id="1087" w:name="_Toc423018290"/>
      <w:r>
        <w:t>B3</w:t>
      </w:r>
      <w:r>
        <w:tab/>
        <w:t>Aquifer depressurisation</w:t>
      </w:r>
      <w:bookmarkEnd w:id="1078"/>
      <w:bookmarkEnd w:id="1079"/>
      <w:bookmarkEnd w:id="1080"/>
      <w:bookmarkEnd w:id="1081"/>
      <w:bookmarkEnd w:id="1082"/>
      <w:bookmarkEnd w:id="1083"/>
      <w:bookmarkEnd w:id="1084"/>
      <w:bookmarkEnd w:id="1085"/>
      <w:bookmarkEnd w:id="1086"/>
      <w:bookmarkEnd w:id="1087"/>
    </w:p>
    <w:p w14:paraId="23469BA1" w14:textId="77777777" w:rsidR="001D2653" w:rsidRDefault="001D2653" w:rsidP="001D2653">
      <w:pPr>
        <w:pStyle w:val="Head3app"/>
      </w:pPr>
      <w:bookmarkStart w:id="1088" w:name="_Toc420511101"/>
      <w:bookmarkStart w:id="1089" w:name="_Toc420572700"/>
      <w:bookmarkStart w:id="1090" w:name="_Toc296599106"/>
      <w:bookmarkStart w:id="1091" w:name="_Toc296767324"/>
      <w:bookmarkStart w:id="1092" w:name="_Toc296770467"/>
      <w:bookmarkStart w:id="1093" w:name="_Toc423018291"/>
      <w:r>
        <w:t>B3.1</w:t>
      </w:r>
      <w:r>
        <w:tab/>
        <w:t>Introduction</w:t>
      </w:r>
      <w:bookmarkEnd w:id="1088"/>
      <w:bookmarkEnd w:id="1089"/>
      <w:bookmarkEnd w:id="1090"/>
      <w:bookmarkEnd w:id="1091"/>
      <w:bookmarkEnd w:id="1092"/>
      <w:bookmarkEnd w:id="1093"/>
    </w:p>
    <w:p w14:paraId="17D937FD" w14:textId="75A1E458" w:rsidR="00FC4056" w:rsidRDefault="00FC4056">
      <w:pPr>
        <w:rPr>
          <w:lang w:val="en-US"/>
        </w:rPr>
      </w:pPr>
      <w:r w:rsidRPr="008B7664">
        <w:rPr>
          <w:rFonts w:cs="Arial"/>
          <w:lang w:val="en-US"/>
        </w:rPr>
        <w:t>Aquifer depressuri</w:t>
      </w:r>
      <w:r>
        <w:rPr>
          <w:rFonts w:cs="Arial"/>
          <w:lang w:val="en-US"/>
        </w:rPr>
        <w:t>s</w:t>
      </w:r>
      <w:r w:rsidRPr="008B7664">
        <w:rPr>
          <w:rFonts w:cs="Arial"/>
          <w:lang w:val="en-US"/>
        </w:rPr>
        <w:t xml:space="preserve">ation </w:t>
      </w:r>
      <w:r>
        <w:rPr>
          <w:rFonts w:cs="Arial"/>
          <w:lang w:val="en-US"/>
        </w:rPr>
        <w:t>can</w:t>
      </w:r>
      <w:r w:rsidRPr="008B7664">
        <w:rPr>
          <w:rFonts w:cs="Arial"/>
          <w:lang w:val="en-US"/>
        </w:rPr>
        <w:t xml:space="preserve"> affect water resources by changing the g</w:t>
      </w:r>
      <w:r>
        <w:rPr>
          <w:rFonts w:cs="Arial"/>
          <w:lang w:val="en-US"/>
        </w:rPr>
        <w:t>roundwater level in aquifers adjacent to the water resources. In turn this change in level may affect the flow rate of water or the contribution of groundwater to surface water or the overall availability of groundwater</w:t>
      </w:r>
      <w:r w:rsidR="008573A4">
        <w:rPr>
          <w:rFonts w:cs="Arial"/>
          <w:lang w:val="en-US"/>
        </w:rPr>
        <w:t xml:space="preserve">. </w:t>
      </w:r>
      <w:r>
        <w:rPr>
          <w:rFonts w:cs="Arial"/>
          <w:lang w:val="en-US"/>
        </w:rPr>
        <w:t>This section discusses the approach that has been taken to estimating and evaluating changes in groundwater level. In the case of groundwater resources, an impact can occur as a result of changing the pressure surface (or groundwater level) within the aquifer itself.</w:t>
      </w:r>
    </w:p>
    <w:p w14:paraId="034598B1" w14:textId="50F3A2AA" w:rsidR="00FC4056" w:rsidRPr="00D56DC4" w:rsidRDefault="00FC4056">
      <w:pPr>
        <w:rPr>
          <w:lang w:val="en-US"/>
        </w:rPr>
      </w:pPr>
      <w:r>
        <w:rPr>
          <w:lang w:val="en-US"/>
        </w:rPr>
        <w:t>A</w:t>
      </w:r>
      <w:r w:rsidRPr="008B7664">
        <w:rPr>
          <w:lang w:val="en-US"/>
        </w:rPr>
        <w:t xml:space="preserve"> water level change </w:t>
      </w:r>
      <w:r>
        <w:rPr>
          <w:lang w:val="en-US"/>
        </w:rPr>
        <w:t xml:space="preserve">outside of a gas source formation can only </w:t>
      </w:r>
      <w:r w:rsidRPr="008B7664">
        <w:rPr>
          <w:lang w:val="en-US"/>
        </w:rPr>
        <w:t xml:space="preserve">occur </w:t>
      </w:r>
      <w:r>
        <w:rPr>
          <w:lang w:val="en-US"/>
        </w:rPr>
        <w:t>if</w:t>
      </w:r>
      <w:r w:rsidRPr="008B7664">
        <w:rPr>
          <w:lang w:val="en-US"/>
        </w:rPr>
        <w:t xml:space="preserve"> water</w:t>
      </w:r>
      <w:r>
        <w:rPr>
          <w:lang w:val="en-US"/>
        </w:rPr>
        <w:t xml:space="preserve"> moves</w:t>
      </w:r>
      <w:r w:rsidRPr="008B7664">
        <w:rPr>
          <w:lang w:val="en-US"/>
        </w:rPr>
        <w:t xml:space="preserve"> from </w:t>
      </w:r>
      <w:r>
        <w:rPr>
          <w:lang w:val="en-US"/>
        </w:rPr>
        <w:t xml:space="preserve">the </w:t>
      </w:r>
      <w:r w:rsidRPr="008B7664">
        <w:rPr>
          <w:lang w:val="en-US"/>
        </w:rPr>
        <w:t xml:space="preserve">aquifers into </w:t>
      </w:r>
      <w:r>
        <w:rPr>
          <w:lang w:val="en-US"/>
        </w:rPr>
        <w:t xml:space="preserve">the </w:t>
      </w:r>
      <w:r w:rsidRPr="008B7664">
        <w:rPr>
          <w:lang w:val="en-US"/>
        </w:rPr>
        <w:t xml:space="preserve">gas </w:t>
      </w:r>
      <w:r>
        <w:rPr>
          <w:lang w:val="en-US"/>
        </w:rPr>
        <w:t xml:space="preserve">source </w:t>
      </w:r>
      <w:r w:rsidRPr="008B7664">
        <w:rPr>
          <w:lang w:val="en-US"/>
        </w:rPr>
        <w:t>formation</w:t>
      </w:r>
      <w:r>
        <w:rPr>
          <w:lang w:val="en-US"/>
        </w:rPr>
        <w:t xml:space="preserve">. This movement would in turn be driven by pressure reduction in the source formation </w:t>
      </w:r>
      <w:r w:rsidRPr="008B7664">
        <w:rPr>
          <w:lang w:val="en-US"/>
        </w:rPr>
        <w:t>by gas (and</w:t>
      </w:r>
      <w:r>
        <w:rPr>
          <w:lang w:val="en-US"/>
        </w:rPr>
        <w:t xml:space="preserve"> any co-produced </w:t>
      </w:r>
      <w:r w:rsidRPr="008B7664">
        <w:rPr>
          <w:lang w:val="en-US"/>
        </w:rPr>
        <w:t xml:space="preserve">water) extraction. </w:t>
      </w:r>
      <w:r>
        <w:rPr>
          <w:lang w:val="en-US"/>
        </w:rPr>
        <w:t>A</w:t>
      </w:r>
      <w:r w:rsidRPr="008B7664">
        <w:rPr>
          <w:lang w:val="en-US"/>
        </w:rPr>
        <w:t xml:space="preserve"> change in water level </w:t>
      </w:r>
      <w:r>
        <w:rPr>
          <w:lang w:val="en-US"/>
        </w:rPr>
        <w:t xml:space="preserve">in aquifers </w:t>
      </w:r>
      <w:r w:rsidRPr="008B7664">
        <w:rPr>
          <w:lang w:val="en-US"/>
        </w:rPr>
        <w:t xml:space="preserve">is normally expressed </w:t>
      </w:r>
      <w:r>
        <w:rPr>
          <w:lang w:val="en-US"/>
        </w:rPr>
        <w:t>as drawdown, or a change in the</w:t>
      </w:r>
      <w:r w:rsidRPr="008B7664">
        <w:rPr>
          <w:lang w:val="en-US"/>
        </w:rPr>
        <w:t xml:space="preserve"> pressure </w:t>
      </w:r>
      <w:r>
        <w:rPr>
          <w:lang w:val="en-US"/>
        </w:rPr>
        <w:t xml:space="preserve">level </w:t>
      </w:r>
      <w:r w:rsidRPr="008B7664">
        <w:rPr>
          <w:lang w:val="en-US"/>
        </w:rPr>
        <w:t>in an aquifer</w:t>
      </w:r>
      <w:r w:rsidR="008573A4">
        <w:rPr>
          <w:lang w:val="en-US"/>
        </w:rPr>
        <w:t xml:space="preserve">. </w:t>
      </w:r>
      <w:r>
        <w:rPr>
          <w:lang w:val="en-US"/>
        </w:rPr>
        <w:t xml:space="preserve">In confined aquifers, the pressure change is usually converted to a water elevation and the change in water elevation then is expressed as drawdown. </w:t>
      </w:r>
      <w:r w:rsidRPr="008B7664">
        <w:rPr>
          <w:lang w:val="en-US"/>
        </w:rPr>
        <w:t>For example</w:t>
      </w:r>
      <w:r>
        <w:rPr>
          <w:lang w:val="en-US"/>
        </w:rPr>
        <w:t>,</w:t>
      </w:r>
      <w:r w:rsidRPr="008B7664">
        <w:rPr>
          <w:lang w:val="en-US"/>
        </w:rPr>
        <w:t xml:space="preserve"> in the watertable</w:t>
      </w:r>
      <w:r>
        <w:rPr>
          <w:lang w:val="en-US"/>
        </w:rPr>
        <w:t xml:space="preserve"> aquifer</w:t>
      </w:r>
      <w:r w:rsidRPr="008B7664">
        <w:rPr>
          <w:lang w:val="en-US"/>
        </w:rPr>
        <w:t xml:space="preserve">, the drawdown would be expressed as the drop in </w:t>
      </w:r>
      <w:r>
        <w:rPr>
          <w:lang w:val="en-US"/>
        </w:rPr>
        <w:t xml:space="preserve">the </w:t>
      </w:r>
      <w:r w:rsidRPr="008B7664">
        <w:rPr>
          <w:lang w:val="en-US"/>
        </w:rPr>
        <w:t xml:space="preserve">level of the watertable, in </w:t>
      </w:r>
      <w:r>
        <w:rPr>
          <w:lang w:val="en-US"/>
        </w:rPr>
        <w:t xml:space="preserve">metres. To assess </w:t>
      </w:r>
      <w:r w:rsidRPr="008B7664">
        <w:rPr>
          <w:lang w:val="en-US"/>
        </w:rPr>
        <w:t xml:space="preserve">the </w:t>
      </w:r>
      <w:r>
        <w:rPr>
          <w:lang w:val="en-US"/>
        </w:rPr>
        <w:t>impact</w:t>
      </w:r>
      <w:r w:rsidRPr="008B7664">
        <w:rPr>
          <w:lang w:val="en-US"/>
        </w:rPr>
        <w:t xml:space="preserve"> of gas development </w:t>
      </w:r>
      <w:r>
        <w:rPr>
          <w:lang w:val="en-US"/>
        </w:rPr>
        <w:t xml:space="preserve">on </w:t>
      </w:r>
      <w:r w:rsidRPr="008B7664">
        <w:rPr>
          <w:lang w:val="en-US"/>
        </w:rPr>
        <w:t xml:space="preserve">water resources it is necessary to assess both the initial watertable </w:t>
      </w:r>
      <w:r>
        <w:rPr>
          <w:lang w:val="en-US"/>
        </w:rPr>
        <w:t xml:space="preserve">elevation and depth to watertable, then combine these with </w:t>
      </w:r>
      <w:r w:rsidRPr="008B7664">
        <w:rPr>
          <w:lang w:val="en-US"/>
        </w:rPr>
        <w:t>the potential drawdown that may result from gas development</w:t>
      </w:r>
      <w:r>
        <w:rPr>
          <w:lang w:val="en-US" w:eastAsia="en-US"/>
        </w:rPr>
        <w:t>.</w:t>
      </w:r>
    </w:p>
    <w:p w14:paraId="1FFF5F1F" w14:textId="77777777" w:rsidR="00FC4056" w:rsidRDefault="00FC4056">
      <w:pPr>
        <w:rPr>
          <w:lang w:val="en-US" w:eastAsia="en-US"/>
        </w:rPr>
      </w:pPr>
      <w:r>
        <w:rPr>
          <w:lang w:val="en-US" w:eastAsia="en-US"/>
        </w:rPr>
        <w:t>For the impact assessment approach the depth to watertable that was adopted is the published map for the whole of Victoria, developed by DEWLP and gridded across the state at 100m grid cells. This data set was adopted because:</w:t>
      </w:r>
    </w:p>
    <w:p w14:paraId="22F0F12C" w14:textId="66CD42CE" w:rsidR="00FC4056" w:rsidRDefault="001D2653" w:rsidP="001D2653">
      <w:pPr>
        <w:pStyle w:val="bulletlist0"/>
        <w:rPr>
          <w:lang w:val="en-US" w:eastAsia="en-US"/>
        </w:rPr>
      </w:pPr>
      <w:r>
        <w:rPr>
          <w:lang w:val="en-US" w:eastAsia="en-US"/>
        </w:rPr>
        <w:t>•</w:t>
      </w:r>
      <w:r>
        <w:rPr>
          <w:lang w:val="en-US" w:eastAsia="en-US"/>
        </w:rPr>
        <w:tab/>
      </w:r>
      <w:r w:rsidR="00FC4056">
        <w:rPr>
          <w:lang w:val="en-US" w:eastAsia="en-US"/>
        </w:rPr>
        <w:t>it is uniformly av</w:t>
      </w:r>
      <w:r w:rsidR="00DA3DFC">
        <w:rPr>
          <w:lang w:val="en-US" w:eastAsia="en-US"/>
        </w:rPr>
        <w:t>ailable across the Otway region</w:t>
      </w:r>
    </w:p>
    <w:p w14:paraId="1060E55A" w14:textId="2AEC0E2E" w:rsidR="00FC4056" w:rsidRDefault="001D2653" w:rsidP="001D2653">
      <w:pPr>
        <w:pStyle w:val="bulletlist0"/>
        <w:rPr>
          <w:lang w:val="en-US" w:eastAsia="en-US"/>
        </w:rPr>
      </w:pPr>
      <w:r>
        <w:rPr>
          <w:lang w:val="en-US" w:eastAsia="en-US"/>
        </w:rPr>
        <w:t>•</w:t>
      </w:r>
      <w:r>
        <w:rPr>
          <w:lang w:val="en-US" w:eastAsia="en-US"/>
        </w:rPr>
        <w:tab/>
      </w:r>
      <w:r w:rsidR="00FC4056">
        <w:rPr>
          <w:lang w:val="en-US" w:eastAsia="en-US"/>
        </w:rPr>
        <w:t>it has been developed and approved for use in water resour</w:t>
      </w:r>
      <w:r w:rsidR="00DA3DFC">
        <w:rPr>
          <w:lang w:val="en-US" w:eastAsia="en-US"/>
        </w:rPr>
        <w:t>ce assessment by the DELWP</w:t>
      </w:r>
    </w:p>
    <w:p w14:paraId="704B624B" w14:textId="4DF8F0EE" w:rsidR="00FC4056" w:rsidRDefault="001D2653" w:rsidP="001D2653">
      <w:pPr>
        <w:pStyle w:val="bulletlist0"/>
        <w:rPr>
          <w:lang w:val="en-US" w:eastAsia="en-US"/>
        </w:rPr>
      </w:pPr>
      <w:r>
        <w:rPr>
          <w:lang w:val="en-US" w:eastAsia="en-US"/>
        </w:rPr>
        <w:t>•</w:t>
      </w:r>
      <w:r>
        <w:rPr>
          <w:lang w:val="en-US" w:eastAsia="en-US"/>
        </w:rPr>
        <w:tab/>
      </w:r>
      <w:r w:rsidR="00FC4056">
        <w:rPr>
          <w:lang w:val="en-US" w:eastAsia="en-US"/>
        </w:rPr>
        <w:t xml:space="preserve">it is consistent with other policy </w:t>
      </w:r>
      <w:r w:rsidR="00DA3DFC">
        <w:rPr>
          <w:lang w:val="en-US" w:eastAsia="en-US"/>
        </w:rPr>
        <w:t>assessments undertaken by DELWP</w:t>
      </w:r>
    </w:p>
    <w:p w14:paraId="1706C4B8" w14:textId="3BEAD33C" w:rsidR="00FC4056" w:rsidRDefault="001D2653" w:rsidP="001D2653">
      <w:pPr>
        <w:pStyle w:val="bulletlist0"/>
        <w:rPr>
          <w:lang w:val="en-US" w:eastAsia="en-US"/>
        </w:rPr>
      </w:pPr>
      <w:r>
        <w:rPr>
          <w:lang w:val="en-US" w:eastAsia="en-US"/>
        </w:rPr>
        <w:t>•</w:t>
      </w:r>
      <w:r>
        <w:rPr>
          <w:lang w:val="en-US" w:eastAsia="en-US"/>
        </w:rPr>
        <w:tab/>
      </w:r>
      <w:r w:rsidR="00FC4056">
        <w:rPr>
          <w:lang w:val="en-US" w:eastAsia="en-US"/>
        </w:rPr>
        <w:t>uncertainty in the data set is considered to be acceptable for this policy level impact assessment.</w:t>
      </w:r>
    </w:p>
    <w:p w14:paraId="79B588DA" w14:textId="27DC3CE9" w:rsidR="00FC4056" w:rsidRDefault="00FC4056">
      <w:r>
        <w:t xml:space="preserve">For an estimate of drawdown, </w:t>
      </w:r>
      <w:r w:rsidRPr="00470AD6">
        <w:t>no existing drawdown data set (</w:t>
      </w:r>
      <w:r w:rsidR="00A65062">
        <w:t>i.e.</w:t>
      </w:r>
      <w:r>
        <w:t xml:space="preserve"> from a numerical model) was identified that was suitable and considered the development of onshore gas. A specific assessment was required for this study</w:t>
      </w:r>
      <w:r w:rsidR="008573A4">
        <w:t xml:space="preserve">. </w:t>
      </w:r>
      <w:r>
        <w:t xml:space="preserve">When the impact assessment report was initially commissioned it was possible that a numerical groundwater model may have been developed for the Otway region, similar to that developed for the Gippsland region. </w:t>
      </w:r>
    </w:p>
    <w:p w14:paraId="4450145F" w14:textId="4C69B17A" w:rsidR="00FC4056" w:rsidRDefault="00FC4056">
      <w:r>
        <w:t>The development of a regional numerical model requires significant effort to obtain relevant information and</w:t>
      </w:r>
      <w:r w:rsidRPr="00E143F8">
        <w:t xml:space="preserve"> </w:t>
      </w:r>
      <w:r>
        <w:t xml:space="preserve">in model development. The information currently available of the properties of potential natural gas resources is poor particularly in the onshore Otway basin. While a numerical model was developed for the Gippsland region, a more pragmatic approach was taken for the Otway region. </w:t>
      </w:r>
    </w:p>
    <w:p w14:paraId="4F2A600B" w14:textId="77777777" w:rsidR="00FC4056" w:rsidRDefault="00FC4056">
      <w:r>
        <w:t>The drawdown assessment that was developed needed to meet the following criteria:</w:t>
      </w:r>
    </w:p>
    <w:p w14:paraId="27B3768A" w14:textId="08022F6C" w:rsidR="00FC4056" w:rsidRDefault="001D2653" w:rsidP="001D2653">
      <w:pPr>
        <w:pStyle w:val="bulletlist0"/>
      </w:pPr>
      <w:r>
        <w:t>•</w:t>
      </w:r>
      <w:r>
        <w:tab/>
      </w:r>
      <w:r w:rsidR="00DA3DFC">
        <w:t>e</w:t>
      </w:r>
      <w:r w:rsidR="00FC4056">
        <w:t>ach onshore gas source should have an estimate of drawdown</w:t>
      </w:r>
    </w:p>
    <w:p w14:paraId="2AD75F3B" w14:textId="6591F360" w:rsidR="00FC4056" w:rsidRDefault="001D2653" w:rsidP="001D2653">
      <w:pPr>
        <w:pStyle w:val="bulletlist0"/>
      </w:pPr>
      <w:r>
        <w:t>•</w:t>
      </w:r>
      <w:r>
        <w:tab/>
      </w:r>
      <w:r w:rsidR="00DA3DFC">
        <w:t>o</w:t>
      </w:r>
      <w:r w:rsidR="00FC4056">
        <w:t>nly existing data could be used</w:t>
      </w:r>
    </w:p>
    <w:p w14:paraId="236D1EC5" w14:textId="4CC5ABB6" w:rsidR="00FC4056" w:rsidRDefault="001D2653" w:rsidP="001D2653">
      <w:pPr>
        <w:pStyle w:val="bulletlist0"/>
      </w:pPr>
      <w:r>
        <w:t>•</w:t>
      </w:r>
      <w:r>
        <w:tab/>
      </w:r>
      <w:r w:rsidR="00DA3DFC">
        <w:t>t</w:t>
      </w:r>
      <w:r w:rsidR="00FC4056">
        <w:t>he level of assessment was to support a policy level analysis</w:t>
      </w:r>
    </w:p>
    <w:p w14:paraId="2C423838" w14:textId="118D9361" w:rsidR="00FC4056" w:rsidRDefault="001D2653" w:rsidP="001D2653">
      <w:pPr>
        <w:pStyle w:val="bulletlist0"/>
      </w:pPr>
      <w:r>
        <w:t>•</w:t>
      </w:r>
      <w:r>
        <w:tab/>
        <w:t>i</w:t>
      </w:r>
      <w:r w:rsidR="00FC4056">
        <w:t>t needed to be completed in the available time</w:t>
      </w:r>
    </w:p>
    <w:p w14:paraId="03738F38" w14:textId="39A8A4FA" w:rsidR="00FC4056" w:rsidRDefault="001D2653" w:rsidP="001D2653">
      <w:pPr>
        <w:pStyle w:val="bulletlist0"/>
      </w:pPr>
      <w:r>
        <w:t>•</w:t>
      </w:r>
      <w:r>
        <w:tab/>
      </w:r>
      <w:r w:rsidR="00DA3DFC">
        <w:t>i</w:t>
      </w:r>
      <w:r w:rsidR="00FC4056">
        <w:t>t needed to provide drawdown for all aquifers present at given locations</w:t>
      </w:r>
    </w:p>
    <w:p w14:paraId="034A06C7" w14:textId="15CDE20A" w:rsidR="00FC4056" w:rsidRDefault="001D2653" w:rsidP="001D2653">
      <w:pPr>
        <w:pStyle w:val="bulletlist0"/>
      </w:pPr>
      <w:r>
        <w:t>•</w:t>
      </w:r>
      <w:r>
        <w:tab/>
      </w:r>
      <w:r w:rsidR="00DA3DFC">
        <w:t>n</w:t>
      </w:r>
      <w:r w:rsidR="00FC4056">
        <w:t>o information on drawdown or water extraction rate was available for the Otway region at the commencement of the assessment, so the approach had to use broad scale understanding of gas source effects.</w:t>
      </w:r>
    </w:p>
    <w:p w14:paraId="75755403" w14:textId="77777777" w:rsidR="001D2653" w:rsidRDefault="001D2653">
      <w:pPr>
        <w:spacing w:after="200"/>
      </w:pPr>
      <w:r>
        <w:br w:type="page"/>
      </w:r>
    </w:p>
    <w:p w14:paraId="7EC7BFA9" w14:textId="6FD266F0" w:rsidR="00FC4056" w:rsidRDefault="00FC4056">
      <w:r>
        <w:t>The d</w:t>
      </w:r>
      <w:r w:rsidRPr="00B22025">
        <w:t xml:space="preserve">rawdown </w:t>
      </w:r>
      <w:r>
        <w:t xml:space="preserve">approach that was developed </w:t>
      </w:r>
      <w:r w:rsidRPr="00B22025">
        <w:t xml:space="preserve">for the </w:t>
      </w:r>
      <w:r>
        <w:t>Otway</w:t>
      </w:r>
      <w:r w:rsidRPr="00B22025">
        <w:t xml:space="preserve"> region </w:t>
      </w:r>
      <w:r>
        <w:t xml:space="preserve">was called the </w:t>
      </w:r>
      <w:r w:rsidR="001D2653">
        <w:t>‘</w:t>
      </w:r>
      <w:r>
        <w:t>block model</w:t>
      </w:r>
      <w:r w:rsidR="001D2653">
        <w:t>’</w:t>
      </w:r>
      <w:r>
        <w:t xml:space="preserve"> approach. Once drawdown data were developed, they were classified into the effect categories (minor, moderate and significant). These categories were delineated differently for each receptor, since tolerance to changes in watertable depth varies for different receptors. This is described in the main body of the report.</w:t>
      </w:r>
    </w:p>
    <w:p w14:paraId="5010ADC1" w14:textId="75C3E5C4" w:rsidR="00FC4056" w:rsidRPr="003F26BB" w:rsidRDefault="00162B6E" w:rsidP="00C150BC">
      <w:pPr>
        <w:pStyle w:val="Head3app"/>
      </w:pPr>
      <w:bookmarkStart w:id="1094" w:name="_Toc409674614"/>
      <w:bookmarkStart w:id="1095" w:name="_Toc296767325"/>
      <w:bookmarkStart w:id="1096" w:name="_Toc296770468"/>
      <w:bookmarkStart w:id="1097" w:name="_Toc423018292"/>
      <w:bookmarkStart w:id="1098" w:name="_Ref409442127"/>
      <w:r>
        <w:t>B2.2</w:t>
      </w:r>
      <w:r>
        <w:tab/>
      </w:r>
      <w:r w:rsidR="00FC4056">
        <w:t>Block model</w:t>
      </w:r>
      <w:r w:rsidR="00FC4056" w:rsidRPr="003F26BB">
        <w:t xml:space="preserve"> </w:t>
      </w:r>
      <w:r w:rsidR="00FC4056">
        <w:t>a</w:t>
      </w:r>
      <w:r w:rsidR="00FC4056" w:rsidRPr="003F26BB">
        <w:t>pproach</w:t>
      </w:r>
      <w:bookmarkEnd w:id="1094"/>
      <w:r w:rsidR="00FC4056">
        <w:t xml:space="preserve"> for predicting drawdown</w:t>
      </w:r>
      <w:bookmarkEnd w:id="1095"/>
      <w:bookmarkEnd w:id="1096"/>
      <w:bookmarkEnd w:id="1097"/>
      <w:r w:rsidR="00FC4056">
        <w:t xml:space="preserve"> </w:t>
      </w:r>
    </w:p>
    <w:p w14:paraId="2AE6AC97" w14:textId="075B5425" w:rsidR="00FC4056" w:rsidRDefault="00FC4056">
      <w:pPr>
        <w:rPr>
          <w:lang w:val="en-US" w:eastAsia="en-US"/>
        </w:rPr>
      </w:pPr>
      <w:r w:rsidRPr="003F26BB">
        <w:rPr>
          <w:lang w:val="en-US" w:eastAsia="en-US"/>
        </w:rPr>
        <w:t xml:space="preserve">This section describes the </w:t>
      </w:r>
      <w:r>
        <w:rPr>
          <w:lang w:val="en-US" w:eastAsia="en-US"/>
        </w:rPr>
        <w:t xml:space="preserve">block model </w:t>
      </w:r>
      <w:r w:rsidRPr="003F26BB">
        <w:rPr>
          <w:lang w:val="en-US" w:eastAsia="en-US"/>
        </w:rPr>
        <w:t xml:space="preserve">approach </w:t>
      </w:r>
      <w:r>
        <w:rPr>
          <w:lang w:val="en-US" w:eastAsia="en-US"/>
        </w:rPr>
        <w:t xml:space="preserve">used to estimate </w:t>
      </w:r>
      <w:r w:rsidRPr="003F26BB">
        <w:rPr>
          <w:lang w:val="en-US" w:eastAsia="en-US"/>
        </w:rPr>
        <w:t xml:space="preserve">drawdown </w:t>
      </w:r>
      <w:r>
        <w:rPr>
          <w:lang w:val="en-US" w:eastAsia="en-US"/>
        </w:rPr>
        <w:t>in the Otway region</w:t>
      </w:r>
      <w:r w:rsidRPr="003F26BB">
        <w:rPr>
          <w:lang w:val="en-US" w:eastAsia="en-US"/>
        </w:rPr>
        <w:t>.</w:t>
      </w:r>
      <w:r>
        <w:rPr>
          <w:lang w:val="en-US" w:eastAsia="en-US"/>
        </w:rPr>
        <w:t xml:space="preserve"> As mentioned above in the introduction, this approach was developed to meet the need for a pragmatic assessment at a policy level of analysis in a very short timeframe (under a month). As a result the approach is necessarily simplified and there are a number of assumptions built into the assessment</w:t>
      </w:r>
      <w:r w:rsidR="008573A4">
        <w:rPr>
          <w:lang w:val="en-US" w:eastAsia="en-US"/>
        </w:rPr>
        <w:t xml:space="preserve">. </w:t>
      </w:r>
      <w:r>
        <w:rPr>
          <w:lang w:val="en-US" w:eastAsia="en-US"/>
        </w:rPr>
        <w:t>During the course of the assessments the sensitivity of the block model approach was tested to a limited extent and this is described in later sections.</w:t>
      </w:r>
    </w:p>
    <w:p w14:paraId="6E77F0C6" w14:textId="01CEFBBD" w:rsidR="00FC4056" w:rsidRDefault="00FC4056">
      <w:pPr>
        <w:rPr>
          <w:lang w:val="en-US" w:eastAsia="en-US"/>
        </w:rPr>
      </w:pPr>
      <w:r>
        <w:rPr>
          <w:lang w:val="en-US" w:eastAsia="en-US"/>
        </w:rPr>
        <w:t>The fundamental principal of the block model approach is one of assessing the impact of gas development on groundwater in isolation of other potential effects. In hydrogeology this is the basis of the principal of superposition. The founding basis of the block model assessment is that it attempts to describe the impact on groundwater of gas development alone. This impact would need to be then added to other aquifer trends or effects to describe the cumulative or total effect. For example, the block model approach provides an estimate of drawdown due to gas development. In the real aquifer, regional groundwater pumping may result in drawdown</w:t>
      </w:r>
      <w:r w:rsidR="008573A4">
        <w:rPr>
          <w:lang w:val="en-US" w:eastAsia="en-US"/>
        </w:rPr>
        <w:t xml:space="preserve">. </w:t>
      </w:r>
      <w:r>
        <w:rPr>
          <w:lang w:val="en-US" w:eastAsia="en-US"/>
        </w:rPr>
        <w:t>To find the cumulative effect on the aquifer, the regional drawdown needs to be added to the block model approach estimate. This would need information to model effects such as the possible alteration to recharge from surface water and rainfall effects, requiring a significantly detailed modelling approach</w:t>
      </w:r>
      <w:r w:rsidR="008573A4">
        <w:rPr>
          <w:lang w:val="en-US" w:eastAsia="en-US"/>
        </w:rPr>
        <w:t xml:space="preserve">. </w:t>
      </w:r>
      <w:r>
        <w:rPr>
          <w:lang w:val="en-US" w:eastAsia="en-US"/>
        </w:rPr>
        <w:t>As noted previously this was a pragmatic simplification given the available data in particular the hypothetical nature of any development scenarios</w:t>
      </w:r>
      <w:r w:rsidR="008573A4">
        <w:rPr>
          <w:lang w:val="en-US" w:eastAsia="en-US"/>
        </w:rPr>
        <w:t xml:space="preserve">. </w:t>
      </w:r>
      <w:r>
        <w:rPr>
          <w:lang w:val="en-US" w:eastAsia="en-US"/>
        </w:rPr>
        <w:t>Future modelling of Otway region could address cumulative impacts when better information on aquifer and aquitard properties relevant to the location and depth of a potential exploration or development is known</w:t>
      </w:r>
      <w:r w:rsidR="008573A4">
        <w:rPr>
          <w:lang w:val="en-US" w:eastAsia="en-US"/>
        </w:rPr>
        <w:t xml:space="preserve">. </w:t>
      </w:r>
      <w:r>
        <w:rPr>
          <w:lang w:val="en-US" w:eastAsia="en-US"/>
        </w:rPr>
        <w:t>This approach is different to that taken with the Gippsland regional model, which does consider the cumulative impacts in the model, but then isolates the gas derived impacts for the assessment. The block model approach estimates the drawdown from gas development alone.</w:t>
      </w:r>
    </w:p>
    <w:p w14:paraId="0A5CC68E" w14:textId="77777777" w:rsidR="00FC4056" w:rsidRDefault="00FC4056">
      <w:pPr>
        <w:rPr>
          <w:lang w:val="en-US" w:eastAsia="en-US"/>
        </w:rPr>
      </w:pPr>
      <w:r>
        <w:rPr>
          <w:lang w:val="en-US" w:eastAsia="en-US"/>
        </w:rPr>
        <w:t>The results have been compared with drawdown results for other studies and with the drawdown results predicted by the Gippsland numerical model. These comparisons are described later and they give some assurance that the model is reasonable, noting that the block model is not calibrated.</w:t>
      </w:r>
    </w:p>
    <w:p w14:paraId="2439FB59" w14:textId="7CF37B2E" w:rsidR="00FC4056" w:rsidRDefault="00FC4056">
      <w:pPr>
        <w:rPr>
          <w:lang w:val="en-US" w:eastAsia="en-US"/>
        </w:rPr>
      </w:pPr>
      <w:r>
        <w:rPr>
          <w:lang w:val="en-US" w:eastAsia="en-US"/>
        </w:rPr>
        <w:t>The approach to defining the parameters for the model is described in detail in the following sections. Where published data were available, these data have been used. In most cases the data adopted were in the mid-point of the range of values</w:t>
      </w:r>
      <w:r w:rsidR="008573A4">
        <w:rPr>
          <w:lang w:val="en-US" w:eastAsia="en-US"/>
        </w:rPr>
        <w:t xml:space="preserve">. </w:t>
      </w:r>
      <w:r>
        <w:rPr>
          <w:lang w:val="en-US" w:eastAsia="en-US"/>
        </w:rPr>
        <w:t>In some cases (for example, vertical hydraulic conductivity), the values chosen were towards the upper end of the range of likely values</w:t>
      </w:r>
      <w:r w:rsidR="008573A4">
        <w:rPr>
          <w:lang w:val="en-US" w:eastAsia="en-US"/>
        </w:rPr>
        <w:t xml:space="preserve">. </w:t>
      </w:r>
      <w:r>
        <w:rPr>
          <w:lang w:val="en-US" w:eastAsia="en-US"/>
        </w:rPr>
        <w:t>In this way the results of the block model approach are considered to be towards the upper end of likely values</w:t>
      </w:r>
      <w:r w:rsidR="008573A4">
        <w:rPr>
          <w:lang w:val="en-US" w:eastAsia="en-US"/>
        </w:rPr>
        <w:t xml:space="preserve">. </w:t>
      </w:r>
      <w:r>
        <w:rPr>
          <w:lang w:val="en-US" w:eastAsia="en-US"/>
        </w:rPr>
        <w:t>The results are not the extreme worst case</w:t>
      </w:r>
      <w:r w:rsidR="008573A4">
        <w:rPr>
          <w:lang w:val="en-US" w:eastAsia="en-US"/>
        </w:rPr>
        <w:t xml:space="preserve">. </w:t>
      </w:r>
      <w:r>
        <w:rPr>
          <w:lang w:val="en-US" w:eastAsia="en-US"/>
        </w:rPr>
        <w:t>It is possible to identify unlikely and extreme sets of values that would result in greater drawdown effect than has been produced by this approach. The intent of this model was to develop estimates that are towards the upper end of the likely range of drawdown to test this in the impact assessment to see if the results were acceptable</w:t>
      </w:r>
      <w:r w:rsidR="008573A4">
        <w:rPr>
          <w:lang w:val="en-US" w:eastAsia="en-US"/>
        </w:rPr>
        <w:t xml:space="preserve">. </w:t>
      </w:r>
      <w:r>
        <w:rPr>
          <w:lang w:val="en-US" w:eastAsia="en-US"/>
        </w:rPr>
        <w:t>The impact assessment approach and results are presented in the main body of the report.</w:t>
      </w:r>
    </w:p>
    <w:p w14:paraId="5F6C3CED" w14:textId="775295A6" w:rsidR="00FC4056" w:rsidRPr="00DE6F78" w:rsidRDefault="00162B6E" w:rsidP="00C150BC">
      <w:pPr>
        <w:pStyle w:val="Head3app"/>
      </w:pPr>
      <w:bookmarkStart w:id="1099" w:name="_Toc296767326"/>
      <w:bookmarkStart w:id="1100" w:name="_Toc296770469"/>
      <w:bookmarkStart w:id="1101" w:name="_Toc423018293"/>
      <w:r>
        <w:t>B2.3</w:t>
      </w:r>
      <w:r>
        <w:tab/>
      </w:r>
      <w:r w:rsidR="00670BE8">
        <w:t>Block model l</w:t>
      </w:r>
      <w:r w:rsidR="00FC4056">
        <w:t>ayout, a</w:t>
      </w:r>
      <w:r w:rsidR="00FC4056" w:rsidRPr="00DE6F78">
        <w:t xml:space="preserve">quifers and </w:t>
      </w:r>
      <w:r w:rsidR="00FC4056">
        <w:t>h</w:t>
      </w:r>
      <w:r w:rsidR="00FC4056" w:rsidRPr="00DE6F78">
        <w:t xml:space="preserve">ydraulic </w:t>
      </w:r>
      <w:r w:rsidR="00FC4056">
        <w:t>p</w:t>
      </w:r>
      <w:r w:rsidR="00FC4056" w:rsidRPr="00DE6F78">
        <w:t>roperties</w:t>
      </w:r>
      <w:bookmarkEnd w:id="1099"/>
      <w:bookmarkEnd w:id="1100"/>
      <w:bookmarkEnd w:id="1101"/>
    </w:p>
    <w:p w14:paraId="464FBA63" w14:textId="44F3477D" w:rsidR="00FC4056" w:rsidRPr="003F26BB" w:rsidRDefault="00FC4056">
      <w:pPr>
        <w:rPr>
          <w:lang w:val="en-US" w:eastAsia="en-US"/>
        </w:rPr>
      </w:pPr>
      <w:r>
        <w:rPr>
          <w:lang w:val="en-US" w:eastAsia="en-US"/>
        </w:rPr>
        <w:t>Across</w:t>
      </w:r>
      <w:r w:rsidRPr="003F26BB">
        <w:rPr>
          <w:lang w:val="en-US" w:eastAsia="en-US"/>
        </w:rPr>
        <w:t xml:space="preserve"> each gas source a series of </w:t>
      </w:r>
      <w:r>
        <w:rPr>
          <w:lang w:val="en-US" w:eastAsia="en-US"/>
        </w:rPr>
        <w:t xml:space="preserve">regular </w:t>
      </w:r>
      <w:r w:rsidR="00B105DE" w:rsidRPr="003F26BB">
        <w:rPr>
          <w:lang w:val="en-US" w:eastAsia="en-US"/>
        </w:rPr>
        <w:t>10</w:t>
      </w:r>
      <w:r w:rsidR="00B105DE">
        <w:rPr>
          <w:lang w:val="en-US" w:eastAsia="en-US"/>
        </w:rPr>
        <w:t> </w:t>
      </w:r>
      <w:r w:rsidR="00B105DE">
        <w:rPr>
          <w:lang w:val="en-US" w:eastAsia="en-US"/>
        </w:rPr>
        <w:sym w:font="Symbol" w:char="F0B4"/>
      </w:r>
      <w:r w:rsidR="00B105DE">
        <w:rPr>
          <w:lang w:val="en-US" w:eastAsia="en-US"/>
        </w:rPr>
        <w:t> </w:t>
      </w:r>
      <w:r w:rsidR="00B105DE" w:rsidRPr="003F26BB">
        <w:rPr>
          <w:lang w:val="en-US" w:eastAsia="en-US"/>
        </w:rPr>
        <w:t>10</w:t>
      </w:r>
      <w:r w:rsidR="00B105DE">
        <w:rPr>
          <w:lang w:val="en-US" w:eastAsia="en-US"/>
        </w:rPr>
        <w:t> </w:t>
      </w:r>
      <w:r w:rsidR="00B105DE" w:rsidRPr="003F26BB">
        <w:rPr>
          <w:lang w:val="en-US" w:eastAsia="en-US"/>
        </w:rPr>
        <w:t>km</w:t>
      </w:r>
      <w:r w:rsidRPr="003F26BB">
        <w:rPr>
          <w:lang w:val="en-US" w:eastAsia="en-US"/>
        </w:rPr>
        <w:t xml:space="preserve"> </w:t>
      </w:r>
      <w:r>
        <w:rPr>
          <w:lang w:val="en-US" w:eastAsia="en-US"/>
        </w:rPr>
        <w:t>area</w:t>
      </w:r>
      <w:r w:rsidRPr="003F26BB">
        <w:rPr>
          <w:lang w:val="en-US" w:eastAsia="en-US"/>
        </w:rPr>
        <w:t>s w</w:t>
      </w:r>
      <w:r>
        <w:rPr>
          <w:lang w:val="en-US" w:eastAsia="en-US"/>
        </w:rPr>
        <w:t>ere</w:t>
      </w:r>
      <w:r w:rsidRPr="003F26BB">
        <w:rPr>
          <w:lang w:val="en-US" w:eastAsia="en-US"/>
        </w:rPr>
        <w:t xml:space="preserve"> defined that encapsulated </w:t>
      </w:r>
      <w:r>
        <w:rPr>
          <w:lang w:val="en-US" w:eastAsia="en-US"/>
        </w:rPr>
        <w:t xml:space="preserve">each gas </w:t>
      </w:r>
      <w:r w:rsidRPr="003F26BB">
        <w:rPr>
          <w:lang w:val="en-US" w:eastAsia="en-US"/>
        </w:rPr>
        <w:t xml:space="preserve">source extent. These </w:t>
      </w:r>
      <w:r>
        <w:rPr>
          <w:lang w:val="en-US" w:eastAsia="en-US"/>
        </w:rPr>
        <w:t xml:space="preserve">blocks </w:t>
      </w:r>
      <w:r w:rsidRPr="003F26BB">
        <w:rPr>
          <w:lang w:val="en-US" w:eastAsia="en-US"/>
        </w:rPr>
        <w:t xml:space="preserve">were </w:t>
      </w:r>
      <w:r>
        <w:rPr>
          <w:lang w:val="en-US" w:eastAsia="en-US"/>
        </w:rPr>
        <w:t xml:space="preserve">selected to facilitate an </w:t>
      </w:r>
      <w:r w:rsidRPr="003F26BB">
        <w:rPr>
          <w:lang w:val="en-US" w:eastAsia="en-US"/>
        </w:rPr>
        <w:t>approach to estimating drawdown</w:t>
      </w:r>
      <w:r>
        <w:rPr>
          <w:lang w:val="en-US" w:eastAsia="en-US"/>
        </w:rPr>
        <w:t>.</w:t>
      </w:r>
      <w:r w:rsidRPr="003F26BB">
        <w:rPr>
          <w:lang w:val="en-US" w:eastAsia="en-US"/>
        </w:rPr>
        <w:t xml:space="preserve"> These 10</w:t>
      </w:r>
      <w:r w:rsidR="00FB1E3B">
        <w:rPr>
          <w:lang w:val="en-US" w:eastAsia="en-US"/>
        </w:rPr>
        <w:t> </w:t>
      </w:r>
      <w:r w:rsidR="00FB1E3B">
        <w:rPr>
          <w:lang w:val="en-US" w:eastAsia="en-US"/>
        </w:rPr>
        <w:sym w:font="Symbol" w:char="F0B4"/>
      </w:r>
      <w:r w:rsidR="00FB1E3B">
        <w:rPr>
          <w:lang w:val="en-US" w:eastAsia="en-US"/>
        </w:rPr>
        <w:t> </w:t>
      </w:r>
      <w:r w:rsidRPr="003F26BB">
        <w:rPr>
          <w:lang w:val="en-US" w:eastAsia="en-US"/>
        </w:rPr>
        <w:t>10</w:t>
      </w:r>
      <w:r w:rsidR="00FB1E3B">
        <w:rPr>
          <w:lang w:val="en-US" w:eastAsia="en-US"/>
        </w:rPr>
        <w:t> </w:t>
      </w:r>
      <w:r w:rsidRPr="003F26BB">
        <w:rPr>
          <w:lang w:val="en-US" w:eastAsia="en-US"/>
        </w:rPr>
        <w:t xml:space="preserve">km areas are referred to as </w:t>
      </w:r>
      <w:r>
        <w:rPr>
          <w:lang w:val="en-US" w:eastAsia="en-US"/>
        </w:rPr>
        <w:t>“</w:t>
      </w:r>
      <w:r w:rsidRPr="003F26BB">
        <w:rPr>
          <w:lang w:val="en-US" w:eastAsia="en-US"/>
        </w:rPr>
        <w:t>calculation blocks</w:t>
      </w:r>
      <w:r>
        <w:rPr>
          <w:lang w:val="en-US" w:eastAsia="en-US"/>
        </w:rPr>
        <w:t>”</w:t>
      </w:r>
      <w:r w:rsidRPr="003F26BB">
        <w:rPr>
          <w:lang w:val="en-US" w:eastAsia="en-US"/>
        </w:rPr>
        <w:t xml:space="preserve"> and were based on a regular grid that covers </w:t>
      </w:r>
      <w:r>
        <w:rPr>
          <w:lang w:val="en-US" w:eastAsia="en-US"/>
        </w:rPr>
        <w:t xml:space="preserve">the Otway </w:t>
      </w:r>
      <w:r w:rsidRPr="003F26BB">
        <w:rPr>
          <w:lang w:val="en-US" w:eastAsia="en-US"/>
        </w:rPr>
        <w:t>region.</w:t>
      </w:r>
      <w:r w:rsidR="00FB1E3B">
        <w:rPr>
          <w:lang w:val="en-US" w:eastAsia="en-US"/>
        </w:rPr>
        <w:t xml:space="preserve"> </w:t>
      </w:r>
      <w:r>
        <w:rPr>
          <w:lang w:val="en-US" w:eastAsia="en-US"/>
        </w:rPr>
        <w:t xml:space="preserve">In the block model the calculation blocks are taken to be the extent of the model domain. The scale of </w:t>
      </w:r>
      <w:r w:rsidR="00FB1E3B" w:rsidRPr="003F26BB">
        <w:rPr>
          <w:lang w:val="en-US" w:eastAsia="en-US"/>
        </w:rPr>
        <w:t>10</w:t>
      </w:r>
      <w:r w:rsidR="00FB1E3B">
        <w:rPr>
          <w:lang w:val="en-US" w:eastAsia="en-US"/>
        </w:rPr>
        <w:t> </w:t>
      </w:r>
      <w:r w:rsidR="00FB1E3B">
        <w:rPr>
          <w:lang w:val="en-US" w:eastAsia="en-US"/>
        </w:rPr>
        <w:sym w:font="Symbol" w:char="F0B4"/>
      </w:r>
      <w:r w:rsidR="00FB1E3B">
        <w:rPr>
          <w:lang w:val="en-US" w:eastAsia="en-US"/>
        </w:rPr>
        <w:t> </w:t>
      </w:r>
      <w:r w:rsidR="00FB1E3B" w:rsidRPr="003F26BB">
        <w:rPr>
          <w:lang w:val="en-US" w:eastAsia="en-US"/>
        </w:rPr>
        <w:t>10</w:t>
      </w:r>
      <w:r w:rsidR="00FB1E3B">
        <w:rPr>
          <w:lang w:val="en-US" w:eastAsia="en-US"/>
        </w:rPr>
        <w:t> </w:t>
      </w:r>
      <w:r w:rsidR="00FB1E3B" w:rsidRPr="003F26BB">
        <w:rPr>
          <w:lang w:val="en-US" w:eastAsia="en-US"/>
        </w:rPr>
        <w:t>km</w:t>
      </w:r>
      <w:r>
        <w:rPr>
          <w:lang w:val="en-US" w:eastAsia="en-US"/>
        </w:rPr>
        <w:t xml:space="preserve"> was chosen </w:t>
      </w:r>
      <w:r w:rsidR="00FB1E3B">
        <w:rPr>
          <w:lang w:val="en-US" w:eastAsia="en-US"/>
        </w:rPr>
        <w:t xml:space="preserve">because </w:t>
      </w:r>
      <w:r>
        <w:rPr>
          <w:lang w:val="en-US" w:eastAsia="en-US"/>
        </w:rPr>
        <w:t>this is a convenient multiple of the scale of the depth to watertable data that were used in the impact assessment and it gave a suitable number of blocks for which the calculations could be done across the region.</w:t>
      </w:r>
    </w:p>
    <w:p w14:paraId="7BAE4ACB" w14:textId="36964632" w:rsidR="00FC4056" w:rsidRDefault="00FC4056">
      <w:pPr>
        <w:rPr>
          <w:lang w:val="en-US" w:eastAsia="en-US"/>
        </w:rPr>
      </w:pPr>
      <w:r w:rsidRPr="003F26BB">
        <w:rPr>
          <w:lang w:val="en-US" w:eastAsia="en-US"/>
        </w:rPr>
        <w:t xml:space="preserve">For each calculation block, </w:t>
      </w:r>
      <w:r>
        <w:rPr>
          <w:lang w:val="en-US" w:eastAsia="en-US"/>
        </w:rPr>
        <w:t xml:space="preserve">spatial </w:t>
      </w:r>
      <w:r w:rsidRPr="003F26BB">
        <w:rPr>
          <w:lang w:val="en-US" w:eastAsia="en-US"/>
        </w:rPr>
        <w:t xml:space="preserve">data on </w:t>
      </w:r>
      <w:r>
        <w:rPr>
          <w:lang w:val="en-US" w:eastAsia="en-US"/>
        </w:rPr>
        <w:t xml:space="preserve">the elevation of the </w:t>
      </w:r>
      <w:r w:rsidRPr="003F26BB">
        <w:rPr>
          <w:lang w:val="en-US" w:eastAsia="en-US"/>
        </w:rPr>
        <w:t>top and bottom</w:t>
      </w:r>
      <w:r>
        <w:rPr>
          <w:lang w:val="en-US" w:eastAsia="en-US"/>
        </w:rPr>
        <w:t xml:space="preserve"> of each </w:t>
      </w:r>
      <w:r w:rsidRPr="003F26BB">
        <w:rPr>
          <w:lang w:val="en-US" w:eastAsia="en-US"/>
        </w:rPr>
        <w:t>aquifer</w:t>
      </w:r>
      <w:r>
        <w:rPr>
          <w:lang w:val="en-US" w:eastAsia="en-US"/>
        </w:rPr>
        <w:t xml:space="preserve"> and aquitard</w:t>
      </w:r>
      <w:r w:rsidRPr="003F26BB">
        <w:rPr>
          <w:lang w:val="en-US" w:eastAsia="en-US"/>
        </w:rPr>
        <w:t xml:space="preserve"> w</w:t>
      </w:r>
      <w:r>
        <w:rPr>
          <w:lang w:val="en-US" w:eastAsia="en-US"/>
        </w:rPr>
        <w:t>ere</w:t>
      </w:r>
      <w:r w:rsidRPr="003F26BB">
        <w:rPr>
          <w:lang w:val="en-US" w:eastAsia="en-US"/>
        </w:rPr>
        <w:t xml:space="preserve"> </w:t>
      </w:r>
      <w:r>
        <w:rPr>
          <w:lang w:val="en-US" w:eastAsia="en-US"/>
        </w:rPr>
        <w:t>obtained</w:t>
      </w:r>
      <w:r w:rsidRPr="003F26BB">
        <w:rPr>
          <w:lang w:val="en-US" w:eastAsia="en-US"/>
        </w:rPr>
        <w:t xml:space="preserve"> from the Victorian Aquifer Framework</w:t>
      </w:r>
      <w:r>
        <w:rPr>
          <w:lang w:val="en-US" w:eastAsia="en-US"/>
        </w:rPr>
        <w:t xml:space="preserve"> </w:t>
      </w:r>
      <w:r w:rsidR="00FB1E3B">
        <w:rPr>
          <w:lang w:val="en-US" w:eastAsia="en-US"/>
        </w:rPr>
        <w:t>(VAF)</w:t>
      </w:r>
      <w:r w:rsidRPr="003F26BB">
        <w:rPr>
          <w:lang w:val="en-US" w:eastAsia="en-US"/>
        </w:rPr>
        <w:t xml:space="preserve">. </w:t>
      </w:r>
      <w:r w:rsidRPr="00595A92">
        <w:rPr>
          <w:lang w:val="en-US" w:eastAsia="en-US"/>
        </w:rPr>
        <w:t xml:space="preserve">The </w:t>
      </w:r>
      <w:r w:rsidR="00FB1E3B">
        <w:rPr>
          <w:lang w:val="en-US" w:eastAsia="en-US"/>
        </w:rPr>
        <w:t>f</w:t>
      </w:r>
      <w:r w:rsidRPr="00A33F83">
        <w:rPr>
          <w:lang w:val="en-US" w:eastAsia="en-US"/>
        </w:rPr>
        <w:t>ramework</w:t>
      </w:r>
      <w:r w:rsidRPr="00595A92" w:rsidDel="00E07AF8">
        <w:rPr>
          <w:lang w:val="en-US" w:eastAsia="en-US"/>
        </w:rPr>
        <w:t xml:space="preserve"> </w:t>
      </w:r>
      <w:r w:rsidRPr="00595A92">
        <w:rPr>
          <w:lang w:val="en-US" w:eastAsia="en-US"/>
        </w:rPr>
        <w:t xml:space="preserve">layers and how they were developed </w:t>
      </w:r>
      <w:r w:rsidR="00FB1E3B">
        <w:rPr>
          <w:lang w:val="en-US" w:eastAsia="en-US"/>
        </w:rPr>
        <w:t>are</w:t>
      </w:r>
      <w:r w:rsidR="00FB1E3B" w:rsidRPr="00595A92">
        <w:rPr>
          <w:lang w:val="en-US" w:eastAsia="en-US"/>
        </w:rPr>
        <w:t xml:space="preserve"> </w:t>
      </w:r>
      <w:r w:rsidRPr="00595A92">
        <w:rPr>
          <w:lang w:val="en-US" w:eastAsia="en-US"/>
        </w:rPr>
        <w:t>described in GHD (2012).</w:t>
      </w:r>
    </w:p>
    <w:p w14:paraId="68783DFD" w14:textId="7F14BB8E" w:rsidR="00FC4056" w:rsidRDefault="00FC4056">
      <w:pPr>
        <w:rPr>
          <w:lang w:val="en-US" w:eastAsia="en-US"/>
        </w:rPr>
      </w:pPr>
      <w:r>
        <w:rPr>
          <w:lang w:val="en-US" w:eastAsia="en-US"/>
        </w:rPr>
        <w:t xml:space="preserve">Each calculation block has the same essential layer structure. Each block </w:t>
      </w:r>
      <w:r w:rsidRPr="00595A92">
        <w:rPr>
          <w:lang w:val="en-US" w:eastAsia="en-US"/>
        </w:rPr>
        <w:t xml:space="preserve">model has </w:t>
      </w:r>
      <w:r w:rsidR="00FB1E3B">
        <w:rPr>
          <w:lang w:val="en-US" w:eastAsia="en-US"/>
        </w:rPr>
        <w:t xml:space="preserve">six </w:t>
      </w:r>
      <w:r w:rsidRPr="00595A92">
        <w:rPr>
          <w:lang w:val="en-US" w:eastAsia="en-US"/>
        </w:rPr>
        <w:t>active layer</w:t>
      </w:r>
      <w:r>
        <w:rPr>
          <w:lang w:val="en-US" w:eastAsia="en-US"/>
        </w:rPr>
        <w:t xml:space="preserve"> groups</w:t>
      </w:r>
      <w:r w:rsidRPr="00595A92">
        <w:rPr>
          <w:lang w:val="en-US" w:eastAsia="en-US"/>
        </w:rPr>
        <w:t xml:space="preserve"> that represent the main aquifers and aquitards.</w:t>
      </w:r>
      <w:r>
        <w:rPr>
          <w:lang w:val="en-US" w:eastAsia="en-US"/>
        </w:rPr>
        <w:t xml:space="preserve"> Where an aquifer or aquitard is not present within a calculation block area it is assigned a nominal minimum thickness in the block model (1 m). In this way the block models all have the same structure. </w:t>
      </w:r>
      <w:r w:rsidRPr="00B01F6A">
        <w:rPr>
          <w:lang w:val="en-US" w:eastAsia="en-US"/>
        </w:rPr>
        <w:t>Where an aquifer or aquitard is not present in a block model area, although there is a nominal thickness in the model,</w:t>
      </w:r>
      <w:r>
        <w:rPr>
          <w:lang w:val="en-US" w:eastAsia="en-US"/>
        </w:rPr>
        <w:t xml:space="preserve"> no drawdown results are presented for that aquifer.</w:t>
      </w:r>
    </w:p>
    <w:p w14:paraId="67EEF07E" w14:textId="77777777" w:rsidR="00FC4056" w:rsidRPr="003F26BB" w:rsidRDefault="00FC4056">
      <w:pPr>
        <w:rPr>
          <w:lang w:val="en-US" w:eastAsia="en-US"/>
        </w:rPr>
      </w:pPr>
      <w:r w:rsidRPr="003F26BB">
        <w:rPr>
          <w:lang w:val="en-US" w:eastAsia="en-US"/>
        </w:rPr>
        <w:t xml:space="preserve">Within each calculation block the top and bottom of each aquifer </w:t>
      </w:r>
      <w:r>
        <w:rPr>
          <w:lang w:val="en-US" w:eastAsia="en-US"/>
        </w:rPr>
        <w:t>is flat (horizontal), and is set at t</w:t>
      </w:r>
      <w:r w:rsidRPr="003F26BB">
        <w:rPr>
          <w:lang w:val="en-US" w:eastAsia="en-US"/>
        </w:rPr>
        <w:t xml:space="preserve">he average elevation </w:t>
      </w:r>
      <w:r>
        <w:rPr>
          <w:lang w:val="en-US" w:eastAsia="en-US"/>
        </w:rPr>
        <w:t xml:space="preserve">of each </w:t>
      </w:r>
      <w:r w:rsidRPr="00A33F83">
        <w:rPr>
          <w:lang w:val="en-US" w:eastAsia="en-US"/>
        </w:rPr>
        <w:t>Victorian Aquifer Framework</w:t>
      </w:r>
      <w:r w:rsidDel="00E07AF8">
        <w:rPr>
          <w:lang w:val="en-US" w:eastAsia="en-US"/>
        </w:rPr>
        <w:t xml:space="preserve"> </w:t>
      </w:r>
      <w:r>
        <w:rPr>
          <w:lang w:val="en-US" w:eastAsia="en-US"/>
        </w:rPr>
        <w:t xml:space="preserve">layer </w:t>
      </w:r>
      <w:r w:rsidRPr="003F26BB">
        <w:rPr>
          <w:lang w:val="en-US" w:eastAsia="en-US"/>
        </w:rPr>
        <w:t>acros</w:t>
      </w:r>
      <w:r>
        <w:rPr>
          <w:lang w:val="en-US" w:eastAsia="en-US"/>
        </w:rPr>
        <w:t>s the calculation block</w:t>
      </w:r>
      <w:r w:rsidRPr="003F26BB">
        <w:rPr>
          <w:lang w:val="en-US" w:eastAsia="en-US"/>
        </w:rPr>
        <w:t xml:space="preserve">. For the watertable </w:t>
      </w:r>
      <w:r>
        <w:rPr>
          <w:lang w:val="en-US" w:eastAsia="en-US"/>
        </w:rPr>
        <w:t xml:space="preserve">layer </w:t>
      </w:r>
      <w:r w:rsidRPr="003F26BB">
        <w:rPr>
          <w:lang w:val="en-US" w:eastAsia="en-US"/>
        </w:rPr>
        <w:t xml:space="preserve">a composite layer was developed that represented the dominant </w:t>
      </w:r>
      <w:r>
        <w:rPr>
          <w:lang w:val="en-US" w:eastAsia="en-US"/>
        </w:rPr>
        <w:t xml:space="preserve">watertable </w:t>
      </w:r>
      <w:r w:rsidRPr="003F26BB">
        <w:rPr>
          <w:lang w:val="en-US" w:eastAsia="en-US"/>
        </w:rPr>
        <w:t>layer in the calculation block.</w:t>
      </w:r>
      <w:r>
        <w:rPr>
          <w:lang w:val="en-US" w:eastAsia="en-US"/>
        </w:rPr>
        <w:t xml:space="preserve"> Dominance for this purpose was defined as the watertable layer that covered the greatest proportion of the calculation block.</w:t>
      </w:r>
      <w:r w:rsidRPr="003F26BB">
        <w:rPr>
          <w:lang w:val="en-US" w:eastAsia="en-US"/>
        </w:rPr>
        <w:t xml:space="preserve"> This means that</w:t>
      </w:r>
      <w:r>
        <w:rPr>
          <w:lang w:val="en-US" w:eastAsia="en-US"/>
        </w:rPr>
        <w:t>,</w:t>
      </w:r>
      <w:r w:rsidRPr="003F26BB">
        <w:rPr>
          <w:lang w:val="en-US" w:eastAsia="en-US"/>
        </w:rPr>
        <w:t xml:space="preserve"> in effect</w:t>
      </w:r>
      <w:r>
        <w:rPr>
          <w:lang w:val="en-US" w:eastAsia="en-US"/>
        </w:rPr>
        <w:t>,</w:t>
      </w:r>
      <w:r w:rsidRPr="003F26BB">
        <w:rPr>
          <w:lang w:val="en-US" w:eastAsia="en-US"/>
        </w:rPr>
        <w:t xml:space="preserve"> the watertable aquifer </w:t>
      </w:r>
      <w:r>
        <w:rPr>
          <w:lang w:val="en-US" w:eastAsia="en-US"/>
        </w:rPr>
        <w:t xml:space="preserve">in the block model </w:t>
      </w:r>
      <w:r w:rsidRPr="003F26BB">
        <w:rPr>
          <w:lang w:val="en-US" w:eastAsia="en-US"/>
        </w:rPr>
        <w:t xml:space="preserve">is a merged upper layer that represents the watertable, but may actually be a number of different </w:t>
      </w:r>
      <w:r>
        <w:rPr>
          <w:lang w:val="en-US" w:eastAsia="en-US"/>
        </w:rPr>
        <w:t>hydro</w:t>
      </w:r>
      <w:r w:rsidRPr="003F26BB">
        <w:rPr>
          <w:lang w:val="en-US" w:eastAsia="en-US"/>
        </w:rPr>
        <w:t xml:space="preserve">geological units. As this approach is intended to be </w:t>
      </w:r>
      <w:r>
        <w:rPr>
          <w:lang w:val="en-US" w:eastAsia="en-US"/>
        </w:rPr>
        <w:t>simple and preliminary</w:t>
      </w:r>
      <w:r w:rsidRPr="003F26BB">
        <w:rPr>
          <w:lang w:val="en-US" w:eastAsia="en-US"/>
        </w:rPr>
        <w:t>, this was considered an adequate representation</w:t>
      </w:r>
      <w:r>
        <w:rPr>
          <w:lang w:val="en-US" w:eastAsia="en-US"/>
        </w:rPr>
        <w:t xml:space="preserve"> for estimating watertable drawdown</w:t>
      </w:r>
      <w:r w:rsidRPr="003F26BB">
        <w:rPr>
          <w:lang w:val="en-US" w:eastAsia="en-US"/>
        </w:rPr>
        <w:t>.</w:t>
      </w:r>
      <w:r>
        <w:rPr>
          <w:lang w:val="en-US" w:eastAsia="en-US"/>
        </w:rPr>
        <w:t xml:space="preserve"> The average thickness of the dominant unit was used to define the watertable layer thickness.</w:t>
      </w:r>
    </w:p>
    <w:p w14:paraId="548D0CF4" w14:textId="15638168" w:rsidR="00FC4056" w:rsidRDefault="00FC4056">
      <w:pPr>
        <w:rPr>
          <w:lang w:val="en-US" w:eastAsia="en-US"/>
        </w:rPr>
      </w:pPr>
      <w:r w:rsidRPr="003F26BB">
        <w:rPr>
          <w:lang w:val="en-US" w:eastAsia="en-US"/>
        </w:rPr>
        <w:t xml:space="preserve">The calculation block was then </w:t>
      </w:r>
      <w:r>
        <w:rPr>
          <w:lang w:val="en-US" w:eastAsia="en-US"/>
        </w:rPr>
        <w:t>incorporated</w:t>
      </w:r>
      <w:r w:rsidRPr="003F26BB">
        <w:rPr>
          <w:lang w:val="en-US" w:eastAsia="en-US"/>
        </w:rPr>
        <w:t xml:space="preserve"> into a </w:t>
      </w:r>
      <w:r>
        <w:rPr>
          <w:lang w:val="en-US" w:eastAsia="en-US"/>
        </w:rPr>
        <w:t xml:space="preserve">simple </w:t>
      </w:r>
      <w:r w:rsidRPr="003F26BB">
        <w:rPr>
          <w:lang w:val="en-US" w:eastAsia="en-US"/>
        </w:rPr>
        <w:t xml:space="preserve">layered numerical </w:t>
      </w:r>
      <w:r>
        <w:rPr>
          <w:lang w:val="en-US" w:eastAsia="en-US"/>
        </w:rPr>
        <w:t xml:space="preserve">groundwater model, using </w:t>
      </w:r>
      <w:r w:rsidRPr="003F26BB">
        <w:rPr>
          <w:lang w:val="en-US" w:eastAsia="en-US"/>
        </w:rPr>
        <w:t xml:space="preserve">MODFLOW </w:t>
      </w:r>
      <w:r>
        <w:rPr>
          <w:lang w:val="en-US" w:eastAsia="en-US"/>
        </w:rPr>
        <w:t>as the modelling code</w:t>
      </w:r>
      <w:r w:rsidR="008573A4">
        <w:rPr>
          <w:lang w:val="en-US" w:eastAsia="en-US"/>
        </w:rPr>
        <w:t xml:space="preserve">. </w:t>
      </w:r>
      <w:r w:rsidRPr="003F26BB">
        <w:rPr>
          <w:lang w:val="en-US" w:eastAsia="en-US"/>
        </w:rPr>
        <w:t xml:space="preserve">Each aquifer is represented by a single </w:t>
      </w:r>
      <w:r>
        <w:rPr>
          <w:lang w:val="en-US" w:eastAsia="en-US"/>
        </w:rPr>
        <w:t xml:space="preserve">model </w:t>
      </w:r>
      <w:r w:rsidRPr="003F26BB">
        <w:rPr>
          <w:lang w:val="en-US" w:eastAsia="en-US"/>
        </w:rPr>
        <w:t xml:space="preserve">layer and each aquitard was represented by three </w:t>
      </w:r>
      <w:r>
        <w:rPr>
          <w:lang w:val="en-US" w:eastAsia="en-US"/>
        </w:rPr>
        <w:t xml:space="preserve">model </w:t>
      </w:r>
      <w:r w:rsidRPr="003F26BB">
        <w:rPr>
          <w:lang w:val="en-US" w:eastAsia="en-US"/>
        </w:rPr>
        <w:t xml:space="preserve">layers in the </w:t>
      </w:r>
      <w:r>
        <w:rPr>
          <w:lang w:val="en-US" w:eastAsia="en-US"/>
        </w:rPr>
        <w:t>calculation</w:t>
      </w:r>
      <w:r w:rsidRPr="003F26BB">
        <w:rPr>
          <w:lang w:val="en-US" w:eastAsia="en-US"/>
        </w:rPr>
        <w:t xml:space="preserve"> block.</w:t>
      </w:r>
      <w:r w:rsidRPr="00185D35">
        <w:rPr>
          <w:lang w:val="en-US" w:eastAsia="en-US"/>
        </w:rPr>
        <w:t xml:space="preserve"> </w:t>
      </w:r>
      <w:r w:rsidRPr="003F26BB">
        <w:rPr>
          <w:lang w:val="en-US" w:eastAsia="en-US"/>
        </w:rPr>
        <w:t xml:space="preserve">Within the </w:t>
      </w:r>
      <w:r>
        <w:rPr>
          <w:lang w:val="en-US" w:eastAsia="en-US"/>
        </w:rPr>
        <w:t xml:space="preserve">model </w:t>
      </w:r>
      <w:r w:rsidRPr="003F26BB">
        <w:rPr>
          <w:lang w:val="en-US" w:eastAsia="en-US"/>
        </w:rPr>
        <w:t>the aquitards are represented as layers between the aquifers</w:t>
      </w:r>
      <w:r>
        <w:rPr>
          <w:lang w:val="en-US" w:eastAsia="en-US"/>
        </w:rPr>
        <w:t xml:space="preserve"> (</w:t>
      </w:r>
      <w:r>
        <w:rPr>
          <w:lang w:val="en-US" w:eastAsia="en-US"/>
        </w:rPr>
        <w:fldChar w:fldCharType="begin"/>
      </w:r>
      <w:r>
        <w:rPr>
          <w:lang w:val="en-US" w:eastAsia="en-US"/>
        </w:rPr>
        <w:instrText xml:space="preserve"> REF _Ref283585613 \h </w:instrText>
      </w:r>
      <w:r>
        <w:rPr>
          <w:lang w:val="en-US" w:eastAsia="en-US"/>
        </w:rPr>
      </w:r>
      <w:r>
        <w:rPr>
          <w:lang w:val="en-US" w:eastAsia="en-US"/>
        </w:rPr>
        <w:fldChar w:fldCharType="separate"/>
      </w:r>
      <w:r w:rsidR="00171A5E">
        <w:t>Figure B</w:t>
      </w:r>
      <w:r>
        <w:rPr>
          <w:lang w:val="en-US" w:eastAsia="en-US"/>
        </w:rPr>
        <w:fldChar w:fldCharType="end"/>
      </w:r>
      <w:r w:rsidR="00D058FD">
        <w:rPr>
          <w:lang w:val="en-US" w:eastAsia="en-US"/>
        </w:rPr>
        <w:t>6</w:t>
      </w:r>
      <w:r>
        <w:rPr>
          <w:lang w:val="en-US" w:eastAsia="en-US"/>
        </w:rPr>
        <w:t>)</w:t>
      </w:r>
      <w:r w:rsidRPr="003F26BB">
        <w:rPr>
          <w:lang w:val="en-US" w:eastAsia="en-US"/>
        </w:rPr>
        <w:t xml:space="preserve">. In some cases multiple aquitards have been </w:t>
      </w:r>
      <w:r>
        <w:rPr>
          <w:lang w:val="en-US" w:eastAsia="en-US"/>
        </w:rPr>
        <w:t xml:space="preserve">conceptually </w:t>
      </w:r>
      <w:r w:rsidRPr="003F26BB">
        <w:rPr>
          <w:lang w:val="en-US" w:eastAsia="en-US"/>
        </w:rPr>
        <w:t xml:space="preserve">grouped together to form a </w:t>
      </w:r>
      <w:r>
        <w:rPr>
          <w:lang w:val="en-US" w:eastAsia="en-US"/>
        </w:rPr>
        <w:t xml:space="preserve">single </w:t>
      </w:r>
      <w:r w:rsidRPr="003F26BB">
        <w:rPr>
          <w:lang w:val="en-US" w:eastAsia="en-US"/>
        </w:rPr>
        <w:t xml:space="preserve">separating </w:t>
      </w:r>
      <w:r>
        <w:rPr>
          <w:lang w:val="en-US" w:eastAsia="en-US"/>
        </w:rPr>
        <w:t>aquitard</w:t>
      </w:r>
      <w:r w:rsidRPr="003F26BB">
        <w:rPr>
          <w:lang w:val="en-US" w:eastAsia="en-US"/>
        </w:rPr>
        <w:t xml:space="preserve">. In particular the sediments and rocks below the lower aquifer and down to the top of the gas source are considered as a single aquitard for the purposes of </w:t>
      </w:r>
      <w:r w:rsidRPr="003818D3">
        <w:rPr>
          <w:lang w:val="en-US" w:eastAsia="en-US"/>
        </w:rPr>
        <w:t>estimating drawdown. The tops and bottoms of each of the layers in each calculation block are given in Appendix C in the main report</w:t>
      </w:r>
      <w:r w:rsidR="008573A4">
        <w:rPr>
          <w:lang w:val="en-US" w:eastAsia="en-US"/>
        </w:rPr>
        <w:t xml:space="preserve">. </w:t>
      </w:r>
      <w:r w:rsidRPr="003818D3">
        <w:rPr>
          <w:lang w:val="en-US" w:eastAsia="en-US"/>
        </w:rPr>
        <w:t>The location</w:t>
      </w:r>
      <w:r w:rsidR="00FB1E3B">
        <w:rPr>
          <w:lang w:val="en-US" w:eastAsia="en-US"/>
        </w:rPr>
        <w:t>s</w:t>
      </w:r>
      <w:r w:rsidRPr="003818D3">
        <w:rPr>
          <w:lang w:val="en-US" w:eastAsia="en-US"/>
        </w:rPr>
        <w:t xml:space="preserve"> and identifying code of the calculation cells </w:t>
      </w:r>
      <w:r w:rsidR="00FB1E3B">
        <w:rPr>
          <w:lang w:val="en-US" w:eastAsia="en-US"/>
        </w:rPr>
        <w:t>are</w:t>
      </w:r>
      <w:r w:rsidR="00FB1E3B" w:rsidRPr="003818D3">
        <w:rPr>
          <w:lang w:val="en-US" w:eastAsia="en-US"/>
        </w:rPr>
        <w:t xml:space="preserve"> </w:t>
      </w:r>
      <w:r w:rsidRPr="003818D3">
        <w:rPr>
          <w:lang w:val="en-US" w:eastAsia="en-US"/>
        </w:rPr>
        <w:t xml:space="preserve">given in </w:t>
      </w:r>
      <w:r w:rsidRPr="003818D3">
        <w:rPr>
          <w:lang w:val="en-US" w:eastAsia="en-US"/>
        </w:rPr>
        <w:fldChar w:fldCharType="begin"/>
      </w:r>
      <w:r w:rsidRPr="003818D3">
        <w:rPr>
          <w:lang w:val="en-US" w:eastAsia="en-US"/>
        </w:rPr>
        <w:instrText xml:space="preserve"> REF _Ref409777640 \h </w:instrText>
      </w:r>
      <w:r>
        <w:rPr>
          <w:lang w:val="en-US" w:eastAsia="en-US"/>
        </w:rPr>
        <w:instrText xml:space="preserve"> \* MERGEFORMAT </w:instrText>
      </w:r>
      <w:r w:rsidRPr="003818D3">
        <w:rPr>
          <w:lang w:val="en-US" w:eastAsia="en-US"/>
        </w:rPr>
      </w:r>
      <w:r w:rsidRPr="003818D3">
        <w:rPr>
          <w:lang w:val="en-US" w:eastAsia="en-US"/>
        </w:rPr>
        <w:fldChar w:fldCharType="separate"/>
      </w:r>
      <w:r w:rsidR="00171A5E">
        <w:t xml:space="preserve">Figure </w:t>
      </w:r>
      <w:r w:rsidR="00171A5E">
        <w:rPr>
          <w:noProof/>
        </w:rPr>
        <w:t>B</w:t>
      </w:r>
      <w:r w:rsidRPr="003818D3">
        <w:rPr>
          <w:lang w:val="en-US" w:eastAsia="en-US"/>
        </w:rPr>
        <w:fldChar w:fldCharType="end"/>
      </w:r>
      <w:r w:rsidR="00D058FD">
        <w:rPr>
          <w:lang w:val="en-US" w:eastAsia="en-US"/>
        </w:rPr>
        <w:t>7</w:t>
      </w:r>
      <w:r w:rsidRPr="003818D3">
        <w:rPr>
          <w:lang w:val="en-US" w:eastAsia="en-US"/>
        </w:rPr>
        <w:t xml:space="preserve"> to </w:t>
      </w:r>
      <w:r w:rsidRPr="003818D3">
        <w:rPr>
          <w:lang w:val="en-US" w:eastAsia="en-US"/>
        </w:rPr>
        <w:fldChar w:fldCharType="begin"/>
      </w:r>
      <w:r w:rsidRPr="003818D3">
        <w:rPr>
          <w:lang w:val="en-US" w:eastAsia="en-US"/>
        </w:rPr>
        <w:instrText xml:space="preserve"> REF _Ref409777651 \h </w:instrText>
      </w:r>
      <w:r>
        <w:rPr>
          <w:lang w:val="en-US" w:eastAsia="en-US"/>
        </w:rPr>
        <w:instrText xml:space="preserve"> \* MERGEFORMAT </w:instrText>
      </w:r>
      <w:r w:rsidRPr="003818D3">
        <w:rPr>
          <w:lang w:val="en-US" w:eastAsia="en-US"/>
        </w:rPr>
      </w:r>
      <w:r w:rsidRPr="003818D3">
        <w:rPr>
          <w:lang w:val="en-US" w:eastAsia="en-US"/>
        </w:rPr>
        <w:fldChar w:fldCharType="separate"/>
      </w:r>
      <w:r w:rsidR="00171A5E">
        <w:t xml:space="preserve">Figure </w:t>
      </w:r>
      <w:r w:rsidR="00171A5E">
        <w:rPr>
          <w:noProof/>
        </w:rPr>
        <w:t>B</w:t>
      </w:r>
      <w:r w:rsidRPr="003818D3">
        <w:rPr>
          <w:lang w:val="en-US" w:eastAsia="en-US"/>
        </w:rPr>
        <w:fldChar w:fldCharType="end"/>
      </w:r>
      <w:r w:rsidR="00D058FD">
        <w:rPr>
          <w:lang w:val="en-US" w:eastAsia="en-US"/>
        </w:rPr>
        <w:t>10</w:t>
      </w:r>
      <w:r w:rsidRPr="003F26BB">
        <w:rPr>
          <w:lang w:val="en-US" w:eastAsia="en-US"/>
        </w:rPr>
        <w:t>.</w:t>
      </w:r>
    </w:p>
    <w:p w14:paraId="4236DE28" w14:textId="25682B5B" w:rsidR="00FC4056" w:rsidRPr="003F26BB" w:rsidRDefault="00FC4056">
      <w:pPr>
        <w:rPr>
          <w:lang w:val="en-US" w:eastAsia="en-US"/>
        </w:rPr>
      </w:pPr>
      <w:r>
        <w:rPr>
          <w:lang w:val="en-US" w:eastAsia="en-US"/>
        </w:rPr>
        <w:t>For each block model d</w:t>
      </w:r>
      <w:r w:rsidRPr="003F26BB">
        <w:rPr>
          <w:lang w:val="en-US" w:eastAsia="en-US"/>
        </w:rPr>
        <w:t xml:space="preserve">rawdown results for </w:t>
      </w:r>
      <w:r>
        <w:rPr>
          <w:lang w:val="en-US" w:eastAsia="en-US"/>
        </w:rPr>
        <w:t xml:space="preserve">use in the impact assessment were </w:t>
      </w:r>
      <w:r w:rsidRPr="003F26BB">
        <w:rPr>
          <w:lang w:val="en-US" w:eastAsia="en-US"/>
        </w:rPr>
        <w:t xml:space="preserve">taken from </w:t>
      </w:r>
      <w:r>
        <w:rPr>
          <w:lang w:val="en-US" w:eastAsia="en-US"/>
        </w:rPr>
        <w:t xml:space="preserve">the </w:t>
      </w:r>
      <w:r w:rsidRPr="003F26BB">
        <w:rPr>
          <w:lang w:val="en-US" w:eastAsia="en-US"/>
        </w:rPr>
        <w:t xml:space="preserve">central </w:t>
      </w:r>
      <w:r>
        <w:rPr>
          <w:lang w:val="en-US" w:eastAsia="en-US"/>
        </w:rPr>
        <w:t xml:space="preserve">grid </w:t>
      </w:r>
      <w:r w:rsidRPr="003F26BB">
        <w:rPr>
          <w:lang w:val="en-US" w:eastAsia="en-US"/>
        </w:rPr>
        <w:t xml:space="preserve">cell in the layer for the relevant aquifer unit. </w:t>
      </w:r>
      <w:r>
        <w:rPr>
          <w:lang w:val="en-US" w:eastAsia="en-US"/>
        </w:rPr>
        <w:t xml:space="preserve">This drawdown was then taken to represent the regional drawdown across the whole </w:t>
      </w:r>
      <w:r w:rsidR="00FB1E3B" w:rsidRPr="003F26BB">
        <w:rPr>
          <w:lang w:val="en-US" w:eastAsia="en-US"/>
        </w:rPr>
        <w:t>10</w:t>
      </w:r>
      <w:r w:rsidR="00FB1E3B">
        <w:rPr>
          <w:lang w:val="en-US" w:eastAsia="en-US"/>
        </w:rPr>
        <w:t> </w:t>
      </w:r>
      <w:r w:rsidR="00FB1E3B">
        <w:rPr>
          <w:lang w:val="en-US" w:eastAsia="en-US"/>
        </w:rPr>
        <w:sym w:font="Symbol" w:char="F0B4"/>
      </w:r>
      <w:r w:rsidR="00FB1E3B">
        <w:rPr>
          <w:lang w:val="en-US" w:eastAsia="en-US"/>
        </w:rPr>
        <w:t> </w:t>
      </w:r>
      <w:r w:rsidR="00FB1E3B" w:rsidRPr="003F26BB">
        <w:rPr>
          <w:lang w:val="en-US" w:eastAsia="en-US"/>
        </w:rPr>
        <w:t>10</w:t>
      </w:r>
      <w:r w:rsidR="00FB1E3B">
        <w:rPr>
          <w:lang w:val="en-US" w:eastAsia="en-US"/>
        </w:rPr>
        <w:t> </w:t>
      </w:r>
      <w:r w:rsidR="00FB1E3B" w:rsidRPr="003F26BB">
        <w:rPr>
          <w:lang w:val="en-US" w:eastAsia="en-US"/>
        </w:rPr>
        <w:t>km</w:t>
      </w:r>
      <w:r>
        <w:rPr>
          <w:lang w:val="en-US" w:eastAsia="en-US"/>
        </w:rPr>
        <w:t xml:space="preserve"> calculation block.</w:t>
      </w:r>
    </w:p>
    <w:p w14:paraId="4DF5857D" w14:textId="77777777" w:rsidR="00FC4056" w:rsidRDefault="00FC4056">
      <w:pPr>
        <w:rPr>
          <w:lang w:val="en-US" w:eastAsia="en-US"/>
        </w:rPr>
      </w:pPr>
    </w:p>
    <w:p w14:paraId="59E33413" w14:textId="77777777" w:rsidR="00FC4056" w:rsidRDefault="00FC4056" w:rsidP="00EE1EA8">
      <w:pPr>
        <w:pStyle w:val="figurereturn"/>
      </w:pPr>
      <w:r>
        <w:drawing>
          <wp:inline distT="0" distB="0" distL="0" distR="0" wp14:anchorId="08BAA530" wp14:editId="4B8E2A23">
            <wp:extent cx="4521200" cy="2324331"/>
            <wp:effectExtent l="0" t="0" r="0" b="1270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figure 1.jpg"/>
                    <pic:cNvPicPr/>
                  </pic:nvPicPr>
                  <pic:blipFill>
                    <a:blip r:embed="rId238">
                      <a:extLst>
                        <a:ext uri="{28A0092B-C50C-407E-A947-70E740481C1C}">
                          <a14:useLocalDpi xmlns:a14="http://schemas.microsoft.com/office/drawing/2010/main"/>
                        </a:ext>
                      </a:extLst>
                    </a:blip>
                    <a:stretch>
                      <a:fillRect/>
                    </a:stretch>
                  </pic:blipFill>
                  <pic:spPr>
                    <a:xfrm>
                      <a:off x="0" y="0"/>
                      <a:ext cx="4527080" cy="2327354"/>
                    </a:xfrm>
                    <a:prstGeom prst="rect">
                      <a:avLst/>
                    </a:prstGeom>
                  </pic:spPr>
                </pic:pic>
              </a:graphicData>
            </a:graphic>
          </wp:inline>
        </w:drawing>
      </w:r>
    </w:p>
    <w:p w14:paraId="7C51AEB7" w14:textId="01899FA1" w:rsidR="00FC4056" w:rsidRPr="00855FBE" w:rsidRDefault="00FC4056" w:rsidP="00EE1EA8">
      <w:pPr>
        <w:pStyle w:val="Figuretitle"/>
        <w:rPr>
          <w:rFonts w:eastAsia="Calibri"/>
        </w:rPr>
      </w:pPr>
      <w:bookmarkStart w:id="1102" w:name="_Ref283585613"/>
      <w:r>
        <w:t xml:space="preserve">Figure </w:t>
      </w:r>
      <w:r w:rsidR="0005290A">
        <w:t>B</w:t>
      </w:r>
      <w:bookmarkEnd w:id="1102"/>
      <w:r w:rsidR="00FB0996">
        <w:t>6:</w:t>
      </w:r>
      <w:r>
        <w:t xml:space="preserve">  Example </w:t>
      </w:r>
      <w:r w:rsidRPr="00855FBE">
        <w:rPr>
          <w:rFonts w:eastAsia="Calibri"/>
        </w:rPr>
        <w:t xml:space="preserve">of the layered </w:t>
      </w:r>
      <w:r>
        <w:rPr>
          <w:rFonts w:eastAsia="Calibri"/>
        </w:rPr>
        <w:t>block</w:t>
      </w:r>
      <w:r w:rsidRPr="00855FBE">
        <w:rPr>
          <w:rFonts w:eastAsia="Calibri"/>
        </w:rPr>
        <w:t xml:space="preserve"> model for the </w:t>
      </w:r>
      <w:r>
        <w:rPr>
          <w:rFonts w:eastAsia="Calibri"/>
        </w:rPr>
        <w:t>block model</w:t>
      </w:r>
      <w:r w:rsidRPr="00855FBE">
        <w:rPr>
          <w:rFonts w:eastAsia="Calibri"/>
        </w:rPr>
        <w:t xml:space="preserve"> approach</w:t>
      </w:r>
      <w:r w:rsidR="00FB1E3B">
        <w:rPr>
          <w:rFonts w:eastAsia="Calibri"/>
        </w:rPr>
        <w:t>.</w:t>
      </w:r>
    </w:p>
    <w:p w14:paraId="64A89F4F" w14:textId="77777777" w:rsidR="00FC4056" w:rsidRDefault="00FC4056" w:rsidP="00FC4056">
      <w:pPr>
        <w:pStyle w:val="Caption"/>
      </w:pPr>
    </w:p>
    <w:p w14:paraId="33F48B11" w14:textId="77777777" w:rsidR="00FC4056" w:rsidRPr="006B34DD" w:rsidRDefault="00FC4056"/>
    <w:p w14:paraId="4787DE32" w14:textId="77777777" w:rsidR="00FC4056" w:rsidRDefault="00FC4056" w:rsidP="00EE1EA8">
      <w:pPr>
        <w:pStyle w:val="figurereturn"/>
      </w:pPr>
      <w:r>
        <w:rPr>
          <w:rFonts w:eastAsia="Calibri"/>
        </w:rPr>
        <w:drawing>
          <wp:inline distT="0" distB="0" distL="0" distR="0" wp14:anchorId="2795788F" wp14:editId="27F3632C">
            <wp:extent cx="5206635" cy="3294851"/>
            <wp:effectExtent l="0" t="0" r="0" b="127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5205865" cy="3294364"/>
                    </a:xfrm>
                    <a:prstGeom prst="rect">
                      <a:avLst/>
                    </a:prstGeom>
                    <a:noFill/>
                    <a:ln>
                      <a:noFill/>
                    </a:ln>
                  </pic:spPr>
                </pic:pic>
              </a:graphicData>
            </a:graphic>
          </wp:inline>
        </w:drawing>
      </w:r>
    </w:p>
    <w:p w14:paraId="426407E5" w14:textId="782AF148" w:rsidR="00FC4056" w:rsidRDefault="00FC4056" w:rsidP="00EE1EA8">
      <w:pPr>
        <w:pStyle w:val="Figuretitle"/>
        <w:rPr>
          <w:rFonts w:eastAsia="Calibri"/>
        </w:rPr>
      </w:pPr>
      <w:bookmarkStart w:id="1103" w:name="_Ref409777640"/>
      <w:r>
        <w:t xml:space="preserve">Figure </w:t>
      </w:r>
      <w:r w:rsidR="0005290A">
        <w:t>B</w:t>
      </w:r>
      <w:bookmarkEnd w:id="1103"/>
      <w:r w:rsidR="00FB0996">
        <w:t>7:</w:t>
      </w:r>
      <w:r>
        <w:t xml:space="preserve">  Location and</w:t>
      </w:r>
      <w:r w:rsidRPr="006B34DD">
        <w:rPr>
          <w:rFonts w:eastAsia="Calibri"/>
        </w:rPr>
        <w:t xml:space="preserve"> </w:t>
      </w:r>
      <w:r w:rsidRPr="003F26BB">
        <w:rPr>
          <w:rFonts w:eastAsia="Calibri"/>
        </w:rPr>
        <w:t xml:space="preserve">number of calculation blocks for the </w:t>
      </w:r>
      <w:r>
        <w:rPr>
          <w:rFonts w:eastAsia="Calibri"/>
        </w:rPr>
        <w:t>Otway region tight</w:t>
      </w:r>
      <w:r w:rsidRPr="003F26BB">
        <w:rPr>
          <w:rFonts w:eastAsia="Calibri"/>
        </w:rPr>
        <w:t xml:space="preserve"> </w:t>
      </w:r>
      <w:r>
        <w:rPr>
          <w:rFonts w:eastAsia="Calibri"/>
        </w:rPr>
        <w:t>g</w:t>
      </w:r>
      <w:r w:rsidRPr="003F26BB">
        <w:rPr>
          <w:rFonts w:eastAsia="Calibri"/>
        </w:rPr>
        <w:t>as</w:t>
      </w:r>
      <w:r>
        <w:rPr>
          <w:rFonts w:eastAsia="Calibri"/>
        </w:rPr>
        <w:t xml:space="preserve"> </w:t>
      </w:r>
      <w:r w:rsidRPr="003F26BB">
        <w:rPr>
          <w:rFonts w:eastAsia="Calibri"/>
        </w:rPr>
        <w:t>scenario.</w:t>
      </w:r>
    </w:p>
    <w:p w14:paraId="128FACF8" w14:textId="77777777" w:rsidR="00FC4056" w:rsidRDefault="00FC4056"/>
    <w:p w14:paraId="61E4F309" w14:textId="77777777" w:rsidR="00FB1E3B" w:rsidRDefault="00FB1E3B"/>
    <w:p w14:paraId="2CEB523A" w14:textId="77777777" w:rsidR="00FC4056" w:rsidRDefault="00FC4056" w:rsidP="00EE1EA8">
      <w:pPr>
        <w:pStyle w:val="figurereturn"/>
      </w:pPr>
      <w:r>
        <w:rPr>
          <w:rFonts w:eastAsia="Calibri"/>
        </w:rPr>
        <w:drawing>
          <wp:inline distT="0" distB="0" distL="0" distR="0" wp14:anchorId="01AC2A9D" wp14:editId="3F305C63">
            <wp:extent cx="5267837" cy="3291098"/>
            <wp:effectExtent l="0" t="0" r="0" b="508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5269036" cy="3291847"/>
                    </a:xfrm>
                    <a:prstGeom prst="rect">
                      <a:avLst/>
                    </a:prstGeom>
                    <a:noFill/>
                    <a:ln>
                      <a:noFill/>
                    </a:ln>
                  </pic:spPr>
                </pic:pic>
              </a:graphicData>
            </a:graphic>
          </wp:inline>
        </w:drawing>
      </w:r>
    </w:p>
    <w:p w14:paraId="5ABE5462" w14:textId="5442F9EB" w:rsidR="00FC4056" w:rsidRDefault="00FC4056" w:rsidP="00EE1EA8">
      <w:pPr>
        <w:pStyle w:val="Figuretitle"/>
        <w:rPr>
          <w:rFonts w:eastAsia="Calibri"/>
        </w:rPr>
      </w:pPr>
      <w:r>
        <w:t xml:space="preserve">Figure </w:t>
      </w:r>
      <w:r w:rsidR="0005290A">
        <w:t>B</w:t>
      </w:r>
      <w:r w:rsidR="00FB0996">
        <w:t>8:</w:t>
      </w:r>
      <w:r>
        <w:t xml:space="preserve">  Location</w:t>
      </w:r>
      <w:r w:rsidRPr="006B34DD">
        <w:rPr>
          <w:rFonts w:eastAsia="Calibri"/>
        </w:rPr>
        <w:t xml:space="preserve"> </w:t>
      </w:r>
      <w:r w:rsidRPr="003F26BB">
        <w:rPr>
          <w:rFonts w:eastAsia="Calibri"/>
        </w:rPr>
        <w:t xml:space="preserve">and number of calculation blocks for the </w:t>
      </w:r>
      <w:r>
        <w:rPr>
          <w:rFonts w:eastAsia="Calibri"/>
        </w:rPr>
        <w:t>Otway region shale</w:t>
      </w:r>
      <w:r w:rsidRPr="003F26BB">
        <w:rPr>
          <w:rFonts w:eastAsia="Calibri"/>
        </w:rPr>
        <w:t xml:space="preserve"> </w:t>
      </w:r>
      <w:r>
        <w:rPr>
          <w:rFonts w:eastAsia="Calibri"/>
        </w:rPr>
        <w:t>g</w:t>
      </w:r>
      <w:r w:rsidRPr="003F26BB">
        <w:rPr>
          <w:rFonts w:eastAsia="Calibri"/>
        </w:rPr>
        <w:t>as</w:t>
      </w:r>
      <w:r>
        <w:rPr>
          <w:rFonts w:eastAsia="Calibri"/>
        </w:rPr>
        <w:t xml:space="preserve"> </w:t>
      </w:r>
      <w:r w:rsidRPr="003F26BB">
        <w:rPr>
          <w:rFonts w:eastAsia="Calibri"/>
        </w:rPr>
        <w:t>scenario.</w:t>
      </w:r>
    </w:p>
    <w:p w14:paraId="7CDF5794" w14:textId="77777777" w:rsidR="00FC4056" w:rsidRDefault="00FC4056"/>
    <w:p w14:paraId="1F2FBABC" w14:textId="77777777" w:rsidR="00FC4056" w:rsidRPr="006B34DD" w:rsidRDefault="00FC4056"/>
    <w:p w14:paraId="051B7C6B" w14:textId="77777777" w:rsidR="00FC4056" w:rsidRDefault="00FC4056" w:rsidP="00C150BC">
      <w:r>
        <w:rPr>
          <w:rFonts w:eastAsia="Calibri"/>
          <w:noProof/>
          <w:lang w:val="en-AU"/>
        </w:rPr>
        <w:drawing>
          <wp:inline distT="0" distB="0" distL="0" distR="0" wp14:anchorId="17935099" wp14:editId="3D550DCB">
            <wp:extent cx="5778500" cy="3691282"/>
            <wp:effectExtent l="0" t="0" r="0" b="4445"/>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5777301" cy="3690516"/>
                    </a:xfrm>
                    <a:prstGeom prst="rect">
                      <a:avLst/>
                    </a:prstGeom>
                    <a:noFill/>
                    <a:ln>
                      <a:noFill/>
                    </a:ln>
                  </pic:spPr>
                </pic:pic>
              </a:graphicData>
            </a:graphic>
          </wp:inline>
        </w:drawing>
      </w:r>
    </w:p>
    <w:p w14:paraId="0A80B83E" w14:textId="7E03083A" w:rsidR="00FC4056" w:rsidRDefault="00FC4056" w:rsidP="00FE5E18">
      <w:pPr>
        <w:pStyle w:val="Figuretitle"/>
        <w:rPr>
          <w:rFonts w:eastAsia="Calibri"/>
        </w:rPr>
      </w:pPr>
      <w:r>
        <w:t xml:space="preserve">Figure </w:t>
      </w:r>
      <w:r w:rsidR="0005290A">
        <w:t>B</w:t>
      </w:r>
      <w:r w:rsidR="00FB0996">
        <w:t>9:</w:t>
      </w:r>
      <w:r>
        <w:t xml:space="preserve">  Location</w:t>
      </w:r>
      <w:r w:rsidRPr="006B34DD">
        <w:rPr>
          <w:rFonts w:eastAsia="Calibri"/>
        </w:rPr>
        <w:t xml:space="preserve"> </w:t>
      </w:r>
      <w:r w:rsidRPr="003F26BB">
        <w:rPr>
          <w:rFonts w:eastAsia="Calibri"/>
        </w:rPr>
        <w:t xml:space="preserve">and number of calculation blocks for the </w:t>
      </w:r>
      <w:r>
        <w:rPr>
          <w:rFonts w:eastAsia="Calibri"/>
        </w:rPr>
        <w:t>Otway region c</w:t>
      </w:r>
      <w:r w:rsidRPr="003F26BB">
        <w:rPr>
          <w:rFonts w:eastAsia="Calibri"/>
        </w:rPr>
        <w:t xml:space="preserve">oal </w:t>
      </w:r>
      <w:r>
        <w:rPr>
          <w:rFonts w:eastAsia="Calibri"/>
        </w:rPr>
        <w:t>s</w:t>
      </w:r>
      <w:r w:rsidRPr="003F26BB">
        <w:rPr>
          <w:rFonts w:eastAsia="Calibri"/>
        </w:rPr>
        <w:t xml:space="preserve">eam </w:t>
      </w:r>
      <w:r>
        <w:rPr>
          <w:rFonts w:eastAsia="Calibri"/>
        </w:rPr>
        <w:t>g</w:t>
      </w:r>
      <w:r w:rsidRPr="003F26BB">
        <w:rPr>
          <w:rFonts w:eastAsia="Calibri"/>
        </w:rPr>
        <w:t>as</w:t>
      </w:r>
      <w:r>
        <w:rPr>
          <w:rFonts w:eastAsia="Calibri"/>
        </w:rPr>
        <w:t xml:space="preserve"> (black coal)</w:t>
      </w:r>
      <w:r w:rsidRPr="003F26BB">
        <w:rPr>
          <w:rFonts w:eastAsia="Calibri"/>
        </w:rPr>
        <w:t xml:space="preserve"> scenario.</w:t>
      </w:r>
    </w:p>
    <w:p w14:paraId="274C9BAE" w14:textId="77777777" w:rsidR="00FB1E3B" w:rsidRPr="00FB1E3B" w:rsidRDefault="00FB1E3B" w:rsidP="00C150BC">
      <w:pPr>
        <w:rPr>
          <w:rFonts w:eastAsia="Calibri"/>
        </w:rPr>
      </w:pPr>
    </w:p>
    <w:p w14:paraId="0728CBD0" w14:textId="77777777" w:rsidR="00FC4056" w:rsidRDefault="00FC4056" w:rsidP="00C150BC">
      <w:r>
        <w:rPr>
          <w:rFonts w:eastAsia="Calibri"/>
          <w:noProof/>
          <w:lang w:val="en-AU"/>
        </w:rPr>
        <w:drawing>
          <wp:inline distT="0" distB="0" distL="0" distR="0" wp14:anchorId="35867F49" wp14:editId="02FEF7B2">
            <wp:extent cx="5348401" cy="3454400"/>
            <wp:effectExtent l="0" t="0" r="508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5352654" cy="3457147"/>
                    </a:xfrm>
                    <a:prstGeom prst="rect">
                      <a:avLst/>
                    </a:prstGeom>
                    <a:noFill/>
                    <a:ln>
                      <a:noFill/>
                    </a:ln>
                  </pic:spPr>
                </pic:pic>
              </a:graphicData>
            </a:graphic>
          </wp:inline>
        </w:drawing>
      </w:r>
    </w:p>
    <w:p w14:paraId="431FA143" w14:textId="05CD6573" w:rsidR="00FC4056" w:rsidRDefault="00FC4056" w:rsidP="00FE5E18">
      <w:pPr>
        <w:pStyle w:val="Figuretitle"/>
        <w:rPr>
          <w:rFonts w:eastAsia="Calibri"/>
        </w:rPr>
      </w:pPr>
      <w:bookmarkStart w:id="1104" w:name="_Ref409777651"/>
      <w:r>
        <w:t xml:space="preserve">Figure </w:t>
      </w:r>
      <w:r w:rsidR="0005290A">
        <w:t>B</w:t>
      </w:r>
      <w:bookmarkEnd w:id="1104"/>
      <w:r w:rsidR="00FB0996">
        <w:t>10:</w:t>
      </w:r>
      <w:r>
        <w:t xml:space="preserve">  Location</w:t>
      </w:r>
      <w:r w:rsidRPr="006B34DD">
        <w:rPr>
          <w:rFonts w:eastAsia="Calibri"/>
        </w:rPr>
        <w:t xml:space="preserve"> </w:t>
      </w:r>
      <w:r w:rsidRPr="003F26BB">
        <w:rPr>
          <w:rFonts w:eastAsia="Calibri"/>
        </w:rPr>
        <w:t xml:space="preserve">and number of calculation blocks for the </w:t>
      </w:r>
      <w:r>
        <w:rPr>
          <w:rFonts w:eastAsia="Calibri"/>
        </w:rPr>
        <w:t>region Otway conventional</w:t>
      </w:r>
      <w:r w:rsidRPr="003F26BB">
        <w:rPr>
          <w:rFonts w:eastAsia="Calibri"/>
        </w:rPr>
        <w:t xml:space="preserve"> </w:t>
      </w:r>
      <w:r>
        <w:rPr>
          <w:rFonts w:eastAsia="Calibri"/>
        </w:rPr>
        <w:t>g</w:t>
      </w:r>
      <w:r w:rsidRPr="003F26BB">
        <w:rPr>
          <w:rFonts w:eastAsia="Calibri"/>
        </w:rPr>
        <w:t>as</w:t>
      </w:r>
      <w:r>
        <w:rPr>
          <w:rFonts w:eastAsia="Calibri"/>
        </w:rPr>
        <w:t xml:space="preserve"> </w:t>
      </w:r>
      <w:r w:rsidRPr="003F26BB">
        <w:rPr>
          <w:rFonts w:eastAsia="Calibri"/>
        </w:rPr>
        <w:t>scenario.</w:t>
      </w:r>
    </w:p>
    <w:p w14:paraId="2F7A51BF" w14:textId="77777777" w:rsidR="00FC4056" w:rsidRDefault="00FC4056">
      <w:pPr>
        <w:rPr>
          <w:lang w:val="en-US" w:eastAsia="en-US"/>
        </w:rPr>
      </w:pPr>
    </w:p>
    <w:p w14:paraId="029ECE07" w14:textId="38CB7143" w:rsidR="00FC4056" w:rsidRPr="00DE6F78" w:rsidRDefault="00162B6E" w:rsidP="00C150BC">
      <w:pPr>
        <w:pStyle w:val="Head3app"/>
      </w:pPr>
      <w:bookmarkStart w:id="1105" w:name="_Toc420568744"/>
      <w:bookmarkStart w:id="1106" w:name="_Toc420571526"/>
      <w:bookmarkStart w:id="1107" w:name="_Toc420572208"/>
      <w:bookmarkStart w:id="1108" w:name="_Toc296767327"/>
      <w:bookmarkStart w:id="1109" w:name="_Toc296770470"/>
      <w:bookmarkStart w:id="1110" w:name="_Toc423018294"/>
      <w:r>
        <w:t>B2.</w:t>
      </w:r>
      <w:r w:rsidR="00B105DE">
        <w:t>4</w:t>
      </w:r>
      <w:r>
        <w:tab/>
      </w:r>
      <w:r w:rsidR="00FC4056" w:rsidRPr="00DE6F78">
        <w:t xml:space="preserve">Hydraulic </w:t>
      </w:r>
      <w:r w:rsidR="00B105DE">
        <w:t>p</w:t>
      </w:r>
      <w:r w:rsidR="00FC4056" w:rsidRPr="00DE6F78">
        <w:t>roperties</w:t>
      </w:r>
      <w:bookmarkEnd w:id="1105"/>
      <w:bookmarkEnd w:id="1106"/>
      <w:bookmarkEnd w:id="1107"/>
      <w:bookmarkEnd w:id="1108"/>
      <w:bookmarkEnd w:id="1109"/>
      <w:bookmarkEnd w:id="1110"/>
    </w:p>
    <w:p w14:paraId="21529A84" w14:textId="22440EF2" w:rsidR="00FC4056" w:rsidRDefault="00FC4056">
      <w:pPr>
        <w:rPr>
          <w:lang w:val="en-US" w:eastAsia="en-US"/>
        </w:rPr>
      </w:pPr>
      <w:r>
        <w:rPr>
          <w:lang w:val="en-US" w:eastAsia="en-US"/>
        </w:rPr>
        <w:t>Hydraulic properties of the aquifers and aquitards have been taken directly from literature sources for the Otway region. Attachment 1 gives a summary of hydraulic properties for the Otway region from a study by Bush (2009). Aquifer values in the mid-point of the reported range were chosen for hydraulic conductivity</w:t>
      </w:r>
      <w:r w:rsidR="008573A4">
        <w:rPr>
          <w:lang w:val="en-US" w:eastAsia="en-US"/>
        </w:rPr>
        <w:t xml:space="preserve">. </w:t>
      </w:r>
      <w:r>
        <w:rPr>
          <w:lang w:val="en-US" w:eastAsia="en-US"/>
        </w:rPr>
        <w:t>This means that the hydraulic conductivity of the aquifer should be considered as a representative value. It is neither the maximum or minimum value</w:t>
      </w:r>
      <w:r w:rsidR="008573A4">
        <w:rPr>
          <w:lang w:val="en-US" w:eastAsia="en-US"/>
        </w:rPr>
        <w:t xml:space="preserve">. </w:t>
      </w:r>
      <w:r>
        <w:rPr>
          <w:lang w:val="en-US" w:eastAsia="en-US"/>
        </w:rPr>
        <w:t>Because the thickness of the aquifers within the different calculation blocks varies across most of the gas sources, the effective transmissivity that is used in the block models does vary across most gas sources and thus a range of transmissivity values are used for assessment. There is only one transmissivity for each aquifer within a calculation block</w:t>
      </w:r>
      <w:r w:rsidR="008573A4">
        <w:rPr>
          <w:lang w:val="en-US" w:eastAsia="en-US"/>
        </w:rPr>
        <w:t xml:space="preserve">. </w:t>
      </w:r>
      <w:r>
        <w:rPr>
          <w:lang w:val="en-US" w:eastAsia="en-US"/>
        </w:rPr>
        <w:t xml:space="preserve">Blocks with thinner aquifers have lower end transmissivity and thicker blocks have higher transmissivity. In this way the overall drawdown results show (in some way) the sensitivity to changes in transmissivity across the area. </w:t>
      </w:r>
    </w:p>
    <w:p w14:paraId="78FE87BA" w14:textId="5CC3F3EA" w:rsidR="00FC4056" w:rsidRDefault="00FC4056">
      <w:pPr>
        <w:rPr>
          <w:lang w:val="en-US" w:eastAsia="en-US"/>
        </w:rPr>
      </w:pPr>
      <w:r>
        <w:rPr>
          <w:lang w:val="en-US" w:eastAsia="en-US"/>
        </w:rPr>
        <w:t xml:space="preserve">As described in the introduction the block model is </w:t>
      </w:r>
      <w:r w:rsidRPr="00E52921">
        <w:rPr>
          <w:lang w:val="en-US" w:eastAsia="en-US"/>
        </w:rPr>
        <w:t>not</w:t>
      </w:r>
      <w:r>
        <w:rPr>
          <w:lang w:val="en-US" w:eastAsia="en-US"/>
        </w:rPr>
        <w:t xml:space="preserve"> calibrated. Middle of the range literature figures have been used directly for the prediction of drawdown. The justification for this approach is that the block models were developed in a very short time frame and are intended to provide a screening level, or policy level assessment, based on reasonable data for the area</w:t>
      </w:r>
      <w:r w:rsidR="008573A4">
        <w:rPr>
          <w:lang w:val="en-US" w:eastAsia="en-US"/>
        </w:rPr>
        <w:t xml:space="preserve">. </w:t>
      </w:r>
      <w:r>
        <w:rPr>
          <w:lang w:val="en-US" w:eastAsia="en-US"/>
        </w:rPr>
        <w:t>So the use of relevant literature data for the hydraulic properties for the region is entirely consistent and in keeping with a screening and policy level approach to the impact assessment.</w:t>
      </w:r>
    </w:p>
    <w:p w14:paraId="57A9F03E" w14:textId="77777777" w:rsidR="00FC4056" w:rsidRDefault="00FC4056">
      <w:pPr>
        <w:rPr>
          <w:lang w:val="en-US" w:eastAsia="en-US"/>
        </w:rPr>
      </w:pPr>
      <w:r>
        <w:rPr>
          <w:lang w:val="en-US" w:eastAsia="en-US"/>
        </w:rPr>
        <w:t>Hydraulic conductivity and storage values for the major aquifers and aquitards have been adopted from Bush (2009). One of the key hydraulic values that influence the end drawdown calculated is the vertical permeability of the aquitard (or seal rocks) that underlies the lowermost aquifer, between that aquifer and the gas source.</w:t>
      </w:r>
    </w:p>
    <w:p w14:paraId="2D72562A" w14:textId="68C55EA5" w:rsidR="00FC4056" w:rsidRDefault="00FC4056" w:rsidP="00A35B08">
      <w:pPr>
        <w:rPr>
          <w:lang w:val="en-US" w:eastAsia="en-US"/>
        </w:rPr>
      </w:pPr>
      <w:r>
        <w:rPr>
          <w:lang w:val="en-US" w:eastAsia="en-US"/>
        </w:rPr>
        <w:t>Relatively little information is available on the water permeability of the gas seal rocks in the Otway region, although Cook (2014) provides gas entry permeability values for the source rocks. Typically the seal rocks (which are for this study the relevant aquitard) is a shale or fine grained rock. There are usually a number of different geological formations that are encapsulated in the single conceptual aquitard and these can vary in hydraulic properties and in the degree of consolidation</w:t>
      </w:r>
      <w:r w:rsidR="008573A4">
        <w:rPr>
          <w:lang w:val="en-US" w:eastAsia="en-US"/>
        </w:rPr>
        <w:t xml:space="preserve">. </w:t>
      </w:r>
      <w:r>
        <w:rPr>
          <w:lang w:val="en-US" w:eastAsia="en-US"/>
        </w:rPr>
        <w:t>In all the published studies identified as part of the water science studies, the permeability of this layer has not been the subject of detailed examination.</w:t>
      </w:r>
    </w:p>
    <w:p w14:paraId="1660425B" w14:textId="4F8D9A0D" w:rsidR="00FC4056" w:rsidRDefault="00FC4056">
      <w:pPr>
        <w:rPr>
          <w:lang w:val="en-US" w:eastAsia="en-US"/>
        </w:rPr>
      </w:pPr>
      <w:r>
        <w:rPr>
          <w:lang w:val="en-US" w:eastAsia="en-US"/>
        </w:rPr>
        <w:t>Groundwater studies, such as Bush (2009), have conceptualised the Belfast Mudstone and similar units in the lower Sherbrook Group as effectively impermeable basement from a water resources perspective. There are no groundwater management studies of the aquifers in the Otway region that consider the permeability of this lower unit as being of any significa</w:t>
      </w:r>
      <w:r w:rsidR="005F6419">
        <w:rPr>
          <w:lang w:val="en-US" w:eastAsia="en-US"/>
        </w:rPr>
        <w:t>nce. This is consistent with a</w:t>
      </w:r>
      <w:r>
        <w:rPr>
          <w:lang w:val="en-US" w:eastAsia="en-US"/>
        </w:rPr>
        <w:t xml:space="preserve"> strictly water resources view of the aquifer. Similarly, the oil and gas studies of the area have considered the Sherbrook group to be an effective seal for the movement of hydrocarbons and, by implication, water. Formation fluids have not been seen to mingle. So for the block model by allowing for permeability and leakage through these layers we have taken an approach that adopts a much greater likelihood of drawdown impact than essentially all of the gas or water studies in the area to date. It is routine for groundwater studies in this area to allow for no deeper leakage</w:t>
      </w:r>
      <w:r w:rsidR="008573A4">
        <w:rPr>
          <w:lang w:val="en-US" w:eastAsia="en-US"/>
        </w:rPr>
        <w:t xml:space="preserve">. </w:t>
      </w:r>
      <w:r>
        <w:rPr>
          <w:lang w:val="en-US" w:eastAsia="en-US"/>
        </w:rPr>
        <w:t>This is despite the development of conventional on shore gas fields in the Otway region in the past.</w:t>
      </w:r>
    </w:p>
    <w:p w14:paraId="05DE6046" w14:textId="131D6CCC" w:rsidR="00FC4056" w:rsidRDefault="00FC4056">
      <w:pPr>
        <w:rPr>
          <w:lang w:val="en-US" w:eastAsia="en-US"/>
        </w:rPr>
      </w:pPr>
      <w:r>
        <w:rPr>
          <w:lang w:val="en-US" w:eastAsia="en-US"/>
        </w:rPr>
        <w:t>Petroleum specialists tend to focus on the permeability of reservoirs and gas entry pressure for seal rocks (for example, Cook 2014 and Goldie-Divko 2010). A recent and comprehensive study of aquifer and aquitard connectivity has been published by the IESC (</w:t>
      </w:r>
      <w:r w:rsidR="00352324">
        <w:rPr>
          <w:lang w:val="en-US" w:eastAsia="en-US"/>
        </w:rPr>
        <w:t>IESC, 2014b</w:t>
      </w:r>
      <w:r>
        <w:rPr>
          <w:lang w:val="en-US" w:eastAsia="en-US"/>
        </w:rPr>
        <w:t>). This study provides a range of estimates for aquitard vertical permeability. The range of K</w:t>
      </w:r>
      <w:r w:rsidRPr="00E47FA8">
        <w:rPr>
          <w:vertAlign w:val="subscript"/>
          <w:lang w:val="en-US" w:eastAsia="en-US"/>
        </w:rPr>
        <w:t>v</w:t>
      </w:r>
      <w:r>
        <w:rPr>
          <w:lang w:val="en-US" w:eastAsia="en-US"/>
        </w:rPr>
        <w:t xml:space="preserve"> is from 10</w:t>
      </w:r>
      <w:r w:rsidRPr="00E47FA8">
        <w:rPr>
          <w:vertAlign w:val="superscript"/>
          <w:lang w:val="en-US" w:eastAsia="en-US"/>
        </w:rPr>
        <w:t>-3</w:t>
      </w:r>
      <w:r>
        <w:rPr>
          <w:lang w:val="en-US" w:eastAsia="en-US"/>
        </w:rPr>
        <w:t xml:space="preserve"> m/day to 10</w:t>
      </w:r>
      <w:r w:rsidRPr="00E47FA8">
        <w:rPr>
          <w:vertAlign w:val="superscript"/>
          <w:lang w:val="en-US" w:eastAsia="en-US"/>
        </w:rPr>
        <w:t>-7</w:t>
      </w:r>
      <w:r>
        <w:rPr>
          <w:lang w:val="en-US" w:eastAsia="en-US"/>
        </w:rPr>
        <w:t xml:space="preserve"> m/day. Comparing the geology of the Otway region with the published values a vertical permeability of 1x10</w:t>
      </w:r>
      <w:r w:rsidRPr="00E47FA8">
        <w:rPr>
          <w:vertAlign w:val="superscript"/>
          <w:lang w:val="en-US" w:eastAsia="en-US"/>
        </w:rPr>
        <w:t>-5</w:t>
      </w:r>
      <w:r>
        <w:rPr>
          <w:lang w:val="en-US" w:eastAsia="en-US"/>
        </w:rPr>
        <w:t xml:space="preserve"> m/day for the aquitard above the gas source has been adopted for this impact assessment. The choice of this parameter is further supported by the observations and modelled vertical permeability values used for the Walloon Coal measures in Queensland (QGC, 2013). The aquitards in Queensland are shallower and less well compacted compared with the seal units in the Otway and vertical permeability in the Surat Basin (Queensland) is commonly around 10</w:t>
      </w:r>
      <w:r>
        <w:rPr>
          <w:vertAlign w:val="superscript"/>
          <w:lang w:val="en-US" w:eastAsia="en-US"/>
        </w:rPr>
        <w:noBreakHyphen/>
      </w:r>
      <w:r w:rsidRPr="00FC7715">
        <w:rPr>
          <w:vertAlign w:val="superscript"/>
          <w:lang w:val="en-US" w:eastAsia="en-US"/>
        </w:rPr>
        <w:t>6</w:t>
      </w:r>
      <w:r>
        <w:rPr>
          <w:lang w:val="en-US" w:eastAsia="en-US"/>
        </w:rPr>
        <w:t> m/day or smaller.</w:t>
      </w:r>
      <w:r w:rsidRPr="004E3152">
        <w:rPr>
          <w:lang w:val="en-US" w:eastAsia="en-US"/>
        </w:rPr>
        <w:t xml:space="preserve"> </w:t>
      </w:r>
      <w:r>
        <w:rPr>
          <w:lang w:val="en-US" w:eastAsia="en-US"/>
        </w:rPr>
        <w:fldChar w:fldCharType="begin"/>
      </w:r>
      <w:r>
        <w:rPr>
          <w:lang w:val="en-US" w:eastAsia="en-US"/>
        </w:rPr>
        <w:instrText xml:space="preserve"> REF _Ref406662497 \h </w:instrText>
      </w:r>
      <w:r>
        <w:rPr>
          <w:lang w:val="en-US" w:eastAsia="en-US"/>
        </w:rPr>
      </w:r>
      <w:r>
        <w:rPr>
          <w:lang w:val="en-US" w:eastAsia="en-US"/>
        </w:rPr>
        <w:fldChar w:fldCharType="separate"/>
      </w:r>
      <w:r w:rsidR="00171A5E">
        <w:t>Figure B</w:t>
      </w:r>
      <w:r>
        <w:rPr>
          <w:lang w:val="en-US" w:eastAsia="en-US"/>
        </w:rPr>
        <w:fldChar w:fldCharType="end"/>
      </w:r>
      <w:r w:rsidR="00D058FD">
        <w:rPr>
          <w:lang w:val="en-US" w:eastAsia="en-US"/>
        </w:rPr>
        <w:t>11</w:t>
      </w:r>
      <w:r>
        <w:rPr>
          <w:lang w:val="en-US" w:eastAsia="en-US"/>
        </w:rPr>
        <w:t xml:space="preserve"> demonstrates the range of K</w:t>
      </w:r>
      <w:r w:rsidRPr="00165941">
        <w:rPr>
          <w:vertAlign w:val="subscript"/>
          <w:lang w:val="en-US" w:eastAsia="en-US"/>
        </w:rPr>
        <w:t>v</w:t>
      </w:r>
      <w:r>
        <w:rPr>
          <w:lang w:val="en-US" w:eastAsia="en-US"/>
        </w:rPr>
        <w:t xml:space="preserve"> results that have been determined for rocks in Queensland. By inference by comparison of rock types it would be expected that the vertical permeability in the Otway region would be less than that found in Queensland</w:t>
      </w:r>
      <w:r w:rsidR="008573A4">
        <w:rPr>
          <w:lang w:val="en-US" w:eastAsia="en-US"/>
        </w:rPr>
        <w:t xml:space="preserve">. </w:t>
      </w:r>
      <w:r>
        <w:rPr>
          <w:lang w:val="en-US" w:eastAsia="en-US"/>
        </w:rPr>
        <w:t>By adopting a vertical permeability that is near the upper end of the range as described it is considered that the drawdown impact provided by the block model will be similarly toward the upper end of the range of likely values. Without field evidence for the Otway region this remains to be proven. Collection of this information from the field would be very valuable to help assess drawdown impact.</w:t>
      </w:r>
    </w:p>
    <w:p w14:paraId="3F200E49" w14:textId="33A65B49" w:rsidR="00FC4056" w:rsidRDefault="00FC4056">
      <w:pPr>
        <w:rPr>
          <w:lang w:val="en-US" w:eastAsia="en-US"/>
        </w:rPr>
      </w:pPr>
      <w:r w:rsidRPr="00085901">
        <w:rPr>
          <w:lang w:val="en-US" w:eastAsia="en-US"/>
        </w:rPr>
        <w:fldChar w:fldCharType="begin"/>
      </w:r>
      <w:r w:rsidRPr="00085901">
        <w:rPr>
          <w:lang w:val="en-US" w:eastAsia="en-US"/>
        </w:rPr>
        <w:instrText xml:space="preserve"> REF _Ref283585880 \h </w:instrText>
      </w:r>
      <w:r w:rsidR="00085901" w:rsidRPr="00085901">
        <w:rPr>
          <w:lang w:val="en-US" w:eastAsia="en-US"/>
        </w:rPr>
        <w:instrText xml:space="preserve"> \* MERGEFORMAT </w:instrText>
      </w:r>
      <w:r w:rsidRPr="00085901">
        <w:rPr>
          <w:lang w:val="en-US" w:eastAsia="en-US"/>
        </w:rPr>
      </w:r>
      <w:r w:rsidRPr="00085901">
        <w:rPr>
          <w:lang w:val="en-US" w:eastAsia="en-US"/>
        </w:rPr>
        <w:fldChar w:fldCharType="separate"/>
      </w:r>
      <w:r w:rsidR="00171A5E" w:rsidRPr="00FB0996">
        <w:t>Table B</w:t>
      </w:r>
      <w:r w:rsidRPr="00085901">
        <w:rPr>
          <w:lang w:val="en-US" w:eastAsia="en-US"/>
        </w:rPr>
        <w:fldChar w:fldCharType="end"/>
      </w:r>
      <w:r w:rsidR="005661BA">
        <w:rPr>
          <w:lang w:val="en-US" w:eastAsia="en-US"/>
        </w:rPr>
        <w:t>1</w:t>
      </w:r>
      <w:r>
        <w:rPr>
          <w:lang w:val="en-US" w:eastAsia="en-US"/>
        </w:rPr>
        <w:t xml:space="preserve"> </w:t>
      </w:r>
      <w:r w:rsidRPr="003F26BB">
        <w:rPr>
          <w:lang w:val="en-US" w:eastAsia="en-US"/>
        </w:rPr>
        <w:t xml:space="preserve">provides the hydraulic parameters that have been used for the </w:t>
      </w:r>
      <w:r>
        <w:rPr>
          <w:lang w:val="en-US" w:eastAsia="en-US"/>
        </w:rPr>
        <w:t>block model for the Otway region</w:t>
      </w:r>
      <w:r w:rsidRPr="003F26BB">
        <w:rPr>
          <w:lang w:val="en-US" w:eastAsia="en-US"/>
        </w:rPr>
        <w:t>.</w:t>
      </w:r>
      <w:r>
        <w:rPr>
          <w:lang w:val="en-US" w:eastAsia="en-US"/>
        </w:rPr>
        <w:t xml:space="preserve"> Vertical hydraulic conductivity has an impact on the nature of the drawdown predicted. In the conceptualization of the block model, the gas source is at the base of the model and lowered pressure in the gas source then induces leakage which works its way up through the aquifer sequence</w:t>
      </w:r>
      <w:r w:rsidR="008573A4">
        <w:rPr>
          <w:lang w:val="en-US" w:eastAsia="en-US"/>
        </w:rPr>
        <w:t xml:space="preserve">. </w:t>
      </w:r>
      <w:r>
        <w:rPr>
          <w:lang w:val="en-US" w:eastAsia="en-US"/>
        </w:rPr>
        <w:t>One parameter that determines the rate of migration of drawdown is vertical conductivity of the aquitards between the aquifers. Higher vertical hydraulic conductivity allows water to more readily leak between the aquifer layers and will tend to lead to a drawdown effect at the watertable sooner, all else being equal. Lower vertical hydraulic conductivity will have the effect of accentuating the drawdown in the lower aquifers (close to the gas source) as water can drain at a lesser rate.</w:t>
      </w:r>
    </w:p>
    <w:p w14:paraId="4BD0CA7B" w14:textId="77777777" w:rsidR="00FC4056" w:rsidRDefault="00FC4056">
      <w:pPr>
        <w:rPr>
          <w:lang w:val="en-US" w:eastAsia="en-US"/>
        </w:rPr>
      </w:pPr>
      <w:r>
        <w:rPr>
          <w:lang w:val="en-US" w:eastAsia="en-US"/>
        </w:rPr>
        <w:t>In groundwater studies across Victoria conventional practice is to adopt vertical hydraulic conductivity of one tenth (0.1) of the horizontal hydraulic conductivity. This was the starting point for vertical hydraulic conductivity in the Gippsland region model.</w:t>
      </w:r>
    </w:p>
    <w:p w14:paraId="23F4A0DC" w14:textId="49C0A739" w:rsidR="00FC4056" w:rsidRDefault="00FC4056">
      <w:pPr>
        <w:rPr>
          <w:lang w:val="en-US" w:eastAsia="en-US"/>
        </w:rPr>
      </w:pPr>
      <w:r>
        <w:rPr>
          <w:lang w:val="en-US" w:eastAsia="en-US"/>
        </w:rPr>
        <w:t>For the block model approach the watertable aquifer has the most sensitive impact criteria</w:t>
      </w:r>
      <w:r w:rsidR="008573A4">
        <w:rPr>
          <w:lang w:val="en-US" w:eastAsia="en-US"/>
        </w:rPr>
        <w:t xml:space="preserve">. </w:t>
      </w:r>
      <w:r>
        <w:rPr>
          <w:lang w:val="en-US" w:eastAsia="en-US"/>
        </w:rPr>
        <w:t>Deeper aquifers have larger thresholds for high impact. So a small drawdown in the watertable would provide a higher impact result. In order to ensure that the effect on the watertable was not understated the ratio of vertical to horizontal conductivity was chosen to allow a higher end range of vertical leakage. It was considered to be unrealistic to adopt a regional K</w:t>
      </w:r>
      <w:r w:rsidRPr="00B02270">
        <w:rPr>
          <w:vertAlign w:val="subscript"/>
          <w:lang w:val="en-US" w:eastAsia="en-US"/>
        </w:rPr>
        <w:t>v</w:t>
      </w:r>
      <w:r>
        <w:rPr>
          <w:lang w:val="en-US" w:eastAsia="en-US"/>
        </w:rPr>
        <w:t xml:space="preserve"> to K</w:t>
      </w:r>
      <w:r w:rsidRPr="00B02270">
        <w:rPr>
          <w:vertAlign w:val="subscript"/>
          <w:lang w:val="en-US" w:eastAsia="en-US"/>
        </w:rPr>
        <w:t>h</w:t>
      </w:r>
      <w:r>
        <w:rPr>
          <w:lang w:val="en-US" w:eastAsia="en-US"/>
        </w:rPr>
        <w:t xml:space="preserve"> ratio of 1</w:t>
      </w:r>
      <w:r w:rsidR="008573A4">
        <w:rPr>
          <w:lang w:val="en-US" w:eastAsia="en-US"/>
        </w:rPr>
        <w:t xml:space="preserve">. </w:t>
      </w:r>
      <w:r>
        <w:rPr>
          <w:lang w:val="en-US" w:eastAsia="en-US"/>
        </w:rPr>
        <w:t>Whilst 0.1 would have been in keeping with the commonly adopted values, for this study a ratio of 0.6 was adopted, based in part on laboratory permeability testing reported in Cook (2014) that relates to the gas source rocks</w:t>
      </w:r>
      <w:r w:rsidR="008573A4">
        <w:rPr>
          <w:lang w:val="en-US" w:eastAsia="en-US"/>
        </w:rPr>
        <w:t xml:space="preserve">. </w:t>
      </w:r>
      <w:r>
        <w:rPr>
          <w:lang w:val="en-US" w:eastAsia="en-US"/>
        </w:rPr>
        <w:t>The purpose of this higher ratio was (as stated before) to ensure that the watertable effect was at the higher end. This does have the consequence that the drawdown in deeper layers may be slightly understated, but these layers are much less sensitive to drawdown (as defined in this study) than the watertable.</w:t>
      </w:r>
    </w:p>
    <w:p w14:paraId="0E45A065" w14:textId="77777777" w:rsidR="00D91C19" w:rsidRDefault="00D91C19" w:rsidP="00D91C19">
      <w:r>
        <w:t>In the block model approach, aquifer storage was also included in the model. For confined aquifers the aquifer storage is calculated by the modelling software from a specific storage of 5 x 10</w:t>
      </w:r>
      <w:r w:rsidRPr="008E08B8">
        <w:rPr>
          <w:vertAlign w:val="superscript"/>
        </w:rPr>
        <w:t>-6</w:t>
      </w:r>
      <w:r w:rsidRPr="008E08B8">
        <w:t>.</w:t>
      </w:r>
      <w:r>
        <w:t xml:space="preserve"> In the watertable the aquifer storage is set at 0.1. As with the other aquifer parameters, changes in storage will change the calculated drawdown. Higher storage values will lower the drawdown estimate and smaller storage values will lead to higher drawdown. </w:t>
      </w:r>
    </w:p>
    <w:p w14:paraId="2026FBB7" w14:textId="77777777" w:rsidR="00D91C19" w:rsidRDefault="00D91C19" w:rsidP="00D91C19">
      <w:r>
        <w:t xml:space="preserve">The value of specific storage that has been chosen that is close to the compressibility of water with only a very small allowance for compressibility of the aquifer material. It is expected that most of the aquitards in the sequence would have higher compressibility than this value. For example, the major regional aquifer, the Gellibrand Marl, is a plastic clay which is expected to have higher storage values. This storage value will have the effect of magnifying the drawdown compared with a higher specific storage value that might be justified on the basis of the material properties only. </w:t>
      </w:r>
    </w:p>
    <w:p w14:paraId="39992F8C" w14:textId="77777777" w:rsidR="00D91C19" w:rsidRDefault="00D91C19" w:rsidP="00D91C19">
      <w:r>
        <w:t xml:space="preserve">During the development of the block model approach, the sensitivity of the drawdown results to changes in hydraulic parameters was tested and evaluated. This provided insight into the change in the results that might come from changes to the inputs. This analysis did not identify any particular model sensitivity to the chosen parameter ranges. Whilst the calculated drawdown did vary with changes in input parameters no significant discontinuities or high change results were identified when testing the parameters over several orders of magnitude. </w:t>
      </w:r>
    </w:p>
    <w:p w14:paraId="7ACBD908" w14:textId="77777777" w:rsidR="00FC4056" w:rsidRDefault="00FC4056">
      <w:pPr>
        <w:rPr>
          <w:lang w:val="en-US" w:eastAsia="en-US"/>
        </w:rPr>
      </w:pPr>
    </w:p>
    <w:p w14:paraId="79520230" w14:textId="77777777" w:rsidR="00FC4056" w:rsidRDefault="00FC4056" w:rsidP="00FE5E18">
      <w:pPr>
        <w:pStyle w:val="figurereturn"/>
      </w:pPr>
      <w:r>
        <w:drawing>
          <wp:inline distT="0" distB="0" distL="0" distR="0" wp14:anchorId="0DD59712" wp14:editId="0A711E11">
            <wp:extent cx="5943600" cy="3719195"/>
            <wp:effectExtent l="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screen">
                      <a:extLst>
                        <a:ext uri="{28A0092B-C50C-407E-A947-70E740481C1C}">
                          <a14:useLocalDpi xmlns:a14="http://schemas.microsoft.com/office/drawing/2010/main"/>
                        </a:ext>
                      </a:extLst>
                    </a:blip>
                    <a:stretch>
                      <a:fillRect/>
                    </a:stretch>
                  </pic:blipFill>
                  <pic:spPr>
                    <a:xfrm>
                      <a:off x="0" y="0"/>
                      <a:ext cx="5943600" cy="3719195"/>
                    </a:xfrm>
                    <a:prstGeom prst="rect">
                      <a:avLst/>
                    </a:prstGeom>
                  </pic:spPr>
                </pic:pic>
              </a:graphicData>
            </a:graphic>
          </wp:inline>
        </w:drawing>
      </w:r>
    </w:p>
    <w:p w14:paraId="5F656854" w14:textId="77777777" w:rsidR="00D91C19" w:rsidRDefault="00FC4056" w:rsidP="00FE5E18">
      <w:pPr>
        <w:pStyle w:val="Figuretitle"/>
      </w:pPr>
      <w:bookmarkStart w:id="1111" w:name="_Ref406662497"/>
      <w:r>
        <w:t xml:space="preserve">Figure </w:t>
      </w:r>
      <w:r w:rsidR="0005290A">
        <w:t>B</w:t>
      </w:r>
      <w:bookmarkEnd w:id="1111"/>
      <w:r w:rsidR="00FB0996">
        <w:t>11:</w:t>
      </w:r>
      <w:r>
        <w:t xml:space="preserve">  Range of K</w:t>
      </w:r>
      <w:r w:rsidRPr="00A53739">
        <w:rPr>
          <w:vertAlign w:val="subscript"/>
        </w:rPr>
        <w:t>v</w:t>
      </w:r>
      <w:r>
        <w:t xml:space="preserve"> values for Surat Basin (Queensland) Coal Seal gas aquitards</w:t>
      </w:r>
      <w:r w:rsidR="00D91C19">
        <w:t>. (S</w:t>
      </w:r>
      <w:r>
        <w:t>ource: QGC, 2013</w:t>
      </w:r>
      <w:r w:rsidR="00D91C19">
        <w:t>.)</w:t>
      </w:r>
      <w:r>
        <w:t xml:space="preserve"> </w:t>
      </w:r>
    </w:p>
    <w:p w14:paraId="5A2AD60F" w14:textId="60D2F200" w:rsidR="00FC4056" w:rsidRDefault="00D91C19" w:rsidP="00D91C19">
      <w:pPr>
        <w:pStyle w:val="figurenote"/>
        <w:rPr>
          <w:lang w:val="en-US"/>
        </w:rPr>
      </w:pPr>
      <w:r>
        <w:t xml:space="preserve">Note: </w:t>
      </w:r>
      <w:r w:rsidR="00FC4056">
        <w:t>For this study the relevant range of results</w:t>
      </w:r>
      <w:r>
        <w:t xml:space="preserve"> of relevance are those marked ‘QGC non-coal results’ and ‘GEN2 model values’</w:t>
      </w:r>
      <w:r w:rsidR="00FC4056">
        <w:t xml:space="preserve"> as these represent units in stratigraphically similar settings.</w:t>
      </w:r>
      <w:r w:rsidR="00FE5E18">
        <w:br/>
      </w:r>
    </w:p>
    <w:p w14:paraId="45A76400" w14:textId="44C1D172" w:rsidR="00FC4056" w:rsidRPr="00FB0996" w:rsidRDefault="00FC4056" w:rsidP="00FE5E18">
      <w:pPr>
        <w:pStyle w:val="Tableheading"/>
        <w:rPr>
          <w:i/>
        </w:rPr>
      </w:pPr>
      <w:bookmarkStart w:id="1112" w:name="_Ref283585880"/>
      <w:r w:rsidRPr="00FB0996">
        <w:t xml:space="preserve">Table </w:t>
      </w:r>
      <w:r w:rsidR="0005290A" w:rsidRPr="00FB0996">
        <w:t>B</w:t>
      </w:r>
      <w:bookmarkEnd w:id="1112"/>
      <w:r w:rsidR="00FB0996" w:rsidRPr="00FB0996">
        <w:t>1:</w:t>
      </w:r>
      <w:r w:rsidR="00D91C19">
        <w:t xml:space="preserve"> </w:t>
      </w:r>
      <w:r w:rsidRPr="00FB0996">
        <w:t xml:space="preserve"> Hydraulic parameters for the used for the Otway regional impact assessment block model approach to estimate drawdown</w:t>
      </w:r>
      <w:r w:rsidR="00FB0996">
        <w:t>.</w:t>
      </w:r>
    </w:p>
    <w:tbl>
      <w:tblPr>
        <w:tblStyle w:val="GridTable4-Accent31"/>
        <w:tblW w:w="0" w:type="auto"/>
        <w:tblInd w:w="108" w:type="dxa"/>
        <w:tblBorders>
          <w:top w:val="none" w:sz="0" w:space="0" w:color="auto"/>
          <w:left w:val="none" w:sz="0" w:space="0" w:color="auto"/>
          <w:bottom w:val="single" w:sz="4" w:space="0" w:color="005A97" w:themeColor="text1"/>
          <w:right w:val="none" w:sz="0" w:space="0" w:color="auto"/>
          <w:insideH w:val="single" w:sz="4" w:space="0" w:color="005A97" w:themeColor="text1"/>
          <w:insideV w:val="single" w:sz="4" w:space="0" w:color="005A97" w:themeColor="text1"/>
        </w:tblBorders>
        <w:tblLook w:val="04A0" w:firstRow="1" w:lastRow="0" w:firstColumn="1" w:lastColumn="0" w:noHBand="0" w:noVBand="1"/>
      </w:tblPr>
      <w:tblGrid>
        <w:gridCol w:w="3544"/>
        <w:gridCol w:w="3047"/>
        <w:gridCol w:w="3048"/>
      </w:tblGrid>
      <w:tr w:rsidR="00FC4056" w:rsidRPr="00FE5E18" w14:paraId="46BB61AF" w14:textId="77777777" w:rsidTr="00FE5E1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544" w:type="dxa"/>
            <w:tcBorders>
              <w:top w:val="nil"/>
              <w:left w:val="none" w:sz="0" w:space="0" w:color="auto"/>
              <w:bottom w:val="none" w:sz="0" w:space="0" w:color="auto"/>
              <w:right w:val="single" w:sz="4" w:space="0" w:color="FFFFFF"/>
            </w:tcBorders>
            <w:shd w:val="clear" w:color="auto" w:fill="005A97"/>
          </w:tcPr>
          <w:p w14:paraId="41B4254C" w14:textId="77777777" w:rsidR="00FC4056" w:rsidRPr="00FE5E18" w:rsidRDefault="00FC4056" w:rsidP="00FE5E18">
            <w:pPr>
              <w:pStyle w:val="TableHeaderrow"/>
              <w:rPr>
                <w:b/>
              </w:rPr>
            </w:pPr>
            <w:r w:rsidRPr="00FE5E18">
              <w:rPr>
                <w:b/>
              </w:rPr>
              <w:t>Victorian Aquifer Framework Layer</w:t>
            </w:r>
          </w:p>
        </w:tc>
        <w:tc>
          <w:tcPr>
            <w:tcW w:w="3047" w:type="dxa"/>
            <w:tcBorders>
              <w:top w:val="nil"/>
              <w:left w:val="single" w:sz="4" w:space="0" w:color="FFFFFF"/>
              <w:bottom w:val="none" w:sz="0" w:space="0" w:color="auto"/>
              <w:right w:val="single" w:sz="4" w:space="0" w:color="FFFFFF"/>
            </w:tcBorders>
            <w:shd w:val="clear" w:color="auto" w:fill="005A97"/>
          </w:tcPr>
          <w:p w14:paraId="3707B185" w14:textId="77777777" w:rsidR="00FC4056" w:rsidRPr="00FE5E18" w:rsidRDefault="00FC4056" w:rsidP="00FE5E18">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FE5E18">
              <w:rPr>
                <w:b/>
              </w:rPr>
              <w:t>K</w:t>
            </w:r>
            <w:r w:rsidRPr="00FE5E18">
              <w:rPr>
                <w:b/>
                <w:vertAlign w:val="subscript"/>
              </w:rPr>
              <w:t>h</w:t>
            </w:r>
            <w:r w:rsidRPr="00FE5E18">
              <w:rPr>
                <w:b/>
              </w:rPr>
              <w:t xml:space="preserve"> m/day</w:t>
            </w:r>
          </w:p>
        </w:tc>
        <w:tc>
          <w:tcPr>
            <w:tcW w:w="3048" w:type="dxa"/>
            <w:tcBorders>
              <w:top w:val="nil"/>
              <w:left w:val="single" w:sz="4" w:space="0" w:color="FFFFFF"/>
              <w:bottom w:val="none" w:sz="0" w:space="0" w:color="auto"/>
              <w:right w:val="none" w:sz="0" w:space="0" w:color="auto"/>
            </w:tcBorders>
            <w:shd w:val="clear" w:color="auto" w:fill="005A97"/>
          </w:tcPr>
          <w:p w14:paraId="3D321E26" w14:textId="77777777" w:rsidR="00FC4056" w:rsidRPr="00FE5E18" w:rsidRDefault="00FC4056" w:rsidP="00FE5E18">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FE5E18">
              <w:rPr>
                <w:b/>
              </w:rPr>
              <w:t>K</w:t>
            </w:r>
            <w:r w:rsidRPr="00FE5E18">
              <w:rPr>
                <w:b/>
                <w:vertAlign w:val="subscript"/>
              </w:rPr>
              <w:t>v</w:t>
            </w:r>
            <w:r w:rsidRPr="00FE5E18">
              <w:rPr>
                <w:b/>
              </w:rPr>
              <w:t xml:space="preserve"> m/day</w:t>
            </w:r>
          </w:p>
        </w:tc>
      </w:tr>
      <w:tr w:rsidR="00FC4056" w:rsidRPr="003F26BB" w14:paraId="456247CF" w14:textId="77777777" w:rsidTr="00FE5E1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tcPr>
          <w:p w14:paraId="1D9F5429" w14:textId="77777777" w:rsidR="00FC4056" w:rsidRPr="003F26BB" w:rsidRDefault="00FC4056" w:rsidP="00670BE8">
            <w:pPr>
              <w:pStyle w:val="Tabletext"/>
            </w:pPr>
            <w:r>
              <w:t>100, 101, 104</w:t>
            </w:r>
          </w:p>
        </w:tc>
        <w:tc>
          <w:tcPr>
            <w:tcW w:w="3047" w:type="dxa"/>
            <w:shd w:val="clear" w:color="auto" w:fill="auto"/>
          </w:tcPr>
          <w:p w14:paraId="046C7DB8" w14:textId="77777777" w:rsidR="00FC4056" w:rsidRPr="003F26BB"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9.9</w:t>
            </w:r>
          </w:p>
        </w:tc>
        <w:tc>
          <w:tcPr>
            <w:tcW w:w="3048" w:type="dxa"/>
            <w:shd w:val="clear" w:color="auto" w:fill="auto"/>
          </w:tcPr>
          <w:p w14:paraId="511FA0A2" w14:textId="77777777" w:rsidR="00FC4056" w:rsidRPr="003F26BB"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5.9</w:t>
            </w:r>
          </w:p>
        </w:tc>
      </w:tr>
      <w:tr w:rsidR="00FC4056" w:rsidRPr="003F26BB" w14:paraId="49E24255" w14:textId="77777777" w:rsidTr="00FE5E18">
        <w:trPr>
          <w:trHeight w:val="34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tcPr>
          <w:p w14:paraId="6669ABAF" w14:textId="77777777" w:rsidR="00FC4056" w:rsidRPr="003F26BB" w:rsidRDefault="00FC4056" w:rsidP="00670BE8">
            <w:pPr>
              <w:pStyle w:val="Tabletext"/>
            </w:pPr>
            <w:r>
              <w:t>107</w:t>
            </w:r>
          </w:p>
        </w:tc>
        <w:tc>
          <w:tcPr>
            <w:tcW w:w="3047" w:type="dxa"/>
            <w:shd w:val="clear" w:color="auto" w:fill="auto"/>
          </w:tcPr>
          <w:p w14:paraId="7EEC5075" w14:textId="77777777" w:rsidR="00FC4056" w:rsidRPr="003F26BB"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3.8</w:t>
            </w:r>
          </w:p>
        </w:tc>
        <w:tc>
          <w:tcPr>
            <w:tcW w:w="3048" w:type="dxa"/>
            <w:shd w:val="clear" w:color="auto" w:fill="auto"/>
          </w:tcPr>
          <w:p w14:paraId="4AD78A52" w14:textId="77777777" w:rsidR="00FC4056" w:rsidRPr="003F26BB"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2.3</w:t>
            </w:r>
          </w:p>
        </w:tc>
      </w:tr>
      <w:tr w:rsidR="00FC4056" w:rsidRPr="003F26BB" w14:paraId="750DE9E7" w14:textId="77777777" w:rsidTr="00FE5E1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tcPr>
          <w:p w14:paraId="081788DB" w14:textId="77777777" w:rsidR="00FC4056" w:rsidRPr="003F26BB" w:rsidRDefault="00FC4056" w:rsidP="00670BE8">
            <w:pPr>
              <w:pStyle w:val="Tabletext"/>
            </w:pPr>
            <w:r>
              <w:t>108</w:t>
            </w:r>
          </w:p>
        </w:tc>
        <w:tc>
          <w:tcPr>
            <w:tcW w:w="3047" w:type="dxa"/>
            <w:shd w:val="clear" w:color="auto" w:fill="auto"/>
          </w:tcPr>
          <w:p w14:paraId="09E9E219" w14:textId="77777777" w:rsidR="00FC4056" w:rsidRPr="003F26BB"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0.008</w:t>
            </w:r>
          </w:p>
        </w:tc>
        <w:tc>
          <w:tcPr>
            <w:tcW w:w="3048" w:type="dxa"/>
            <w:shd w:val="clear" w:color="auto" w:fill="auto"/>
          </w:tcPr>
          <w:p w14:paraId="6C9396D2" w14:textId="77777777" w:rsidR="00FC4056" w:rsidRPr="003F26BB"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0.005</w:t>
            </w:r>
          </w:p>
        </w:tc>
      </w:tr>
      <w:tr w:rsidR="00FC4056" w:rsidRPr="003F26BB" w14:paraId="45ACA1AB" w14:textId="77777777" w:rsidTr="00FE5E18">
        <w:trPr>
          <w:trHeight w:val="34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tcPr>
          <w:p w14:paraId="31D32740" w14:textId="77777777" w:rsidR="00FC4056" w:rsidRPr="003F26BB" w:rsidRDefault="00FC4056" w:rsidP="00670BE8">
            <w:pPr>
              <w:pStyle w:val="Tabletext"/>
            </w:pPr>
            <w:r>
              <w:t>109</w:t>
            </w:r>
          </w:p>
        </w:tc>
        <w:tc>
          <w:tcPr>
            <w:tcW w:w="3047" w:type="dxa"/>
            <w:shd w:val="clear" w:color="auto" w:fill="auto"/>
          </w:tcPr>
          <w:p w14:paraId="0C957E1F" w14:textId="77777777" w:rsidR="00FC4056" w:rsidRPr="003F26BB"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10.5</w:t>
            </w:r>
          </w:p>
        </w:tc>
        <w:tc>
          <w:tcPr>
            <w:tcW w:w="3048" w:type="dxa"/>
            <w:shd w:val="clear" w:color="auto" w:fill="auto"/>
          </w:tcPr>
          <w:p w14:paraId="5E1423C2" w14:textId="77777777" w:rsidR="00FC4056" w:rsidRPr="003F26BB"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6.3</w:t>
            </w:r>
          </w:p>
        </w:tc>
      </w:tr>
      <w:tr w:rsidR="00FC4056" w:rsidRPr="003F26BB" w14:paraId="10C8B8B6" w14:textId="77777777" w:rsidTr="00FE5E1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tcPr>
          <w:p w14:paraId="0AC2EEF2" w14:textId="77777777" w:rsidR="00FC4056" w:rsidRPr="003F26BB" w:rsidRDefault="00FC4056" w:rsidP="00670BE8">
            <w:pPr>
              <w:pStyle w:val="Tabletext"/>
            </w:pPr>
            <w:r>
              <w:t>110/111</w:t>
            </w:r>
          </w:p>
        </w:tc>
        <w:tc>
          <w:tcPr>
            <w:tcW w:w="3047" w:type="dxa"/>
            <w:shd w:val="clear" w:color="auto" w:fill="auto"/>
          </w:tcPr>
          <w:p w14:paraId="73557AE0" w14:textId="77777777" w:rsidR="00FC4056" w:rsidRPr="003F26BB"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11.3</w:t>
            </w:r>
          </w:p>
        </w:tc>
        <w:tc>
          <w:tcPr>
            <w:tcW w:w="3048" w:type="dxa"/>
            <w:shd w:val="clear" w:color="auto" w:fill="auto"/>
          </w:tcPr>
          <w:p w14:paraId="3157CFB9" w14:textId="77777777" w:rsidR="00FC4056" w:rsidRPr="003F26BB"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6.8</w:t>
            </w:r>
          </w:p>
        </w:tc>
      </w:tr>
      <w:tr w:rsidR="00FC4056" w:rsidRPr="003F26BB" w14:paraId="180002A9" w14:textId="77777777" w:rsidTr="00FE5E18">
        <w:trPr>
          <w:trHeight w:val="34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tcPr>
          <w:p w14:paraId="7F62E30C" w14:textId="77777777" w:rsidR="00FC4056" w:rsidRDefault="00FC4056" w:rsidP="00670BE8">
            <w:pPr>
              <w:pStyle w:val="Tabletext"/>
            </w:pPr>
            <w:r>
              <w:t>113-114</w:t>
            </w:r>
          </w:p>
          <w:p w14:paraId="0FAD47C3" w14:textId="77777777" w:rsidR="00FC4056" w:rsidRPr="003F26BB" w:rsidRDefault="00FC4056" w:rsidP="00670BE8">
            <w:pPr>
              <w:pStyle w:val="Tabletext"/>
            </w:pPr>
            <w:r>
              <w:t>(gas source layer)</w:t>
            </w:r>
          </w:p>
        </w:tc>
        <w:tc>
          <w:tcPr>
            <w:tcW w:w="3047" w:type="dxa"/>
            <w:shd w:val="clear" w:color="auto" w:fill="auto"/>
          </w:tcPr>
          <w:p w14:paraId="05A6B5D2" w14:textId="77777777" w:rsidR="00FC4056" w:rsidRPr="003F26BB"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1.6x10</w:t>
            </w:r>
            <w:r w:rsidRPr="00DF507F">
              <w:rPr>
                <w:vertAlign w:val="superscript"/>
              </w:rPr>
              <w:t>-5</w:t>
            </w:r>
          </w:p>
        </w:tc>
        <w:tc>
          <w:tcPr>
            <w:tcW w:w="3048" w:type="dxa"/>
            <w:shd w:val="clear" w:color="auto" w:fill="auto"/>
          </w:tcPr>
          <w:p w14:paraId="6799F2AF" w14:textId="77777777" w:rsidR="00FC4056" w:rsidRPr="003F26BB"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1x10</w:t>
            </w:r>
            <w:r w:rsidRPr="00DF507F">
              <w:rPr>
                <w:vertAlign w:val="superscript"/>
              </w:rPr>
              <w:t>-5</w:t>
            </w:r>
          </w:p>
        </w:tc>
      </w:tr>
    </w:tbl>
    <w:p w14:paraId="5372D420" w14:textId="77777777" w:rsidR="00FC4056" w:rsidRDefault="00FC4056"/>
    <w:p w14:paraId="0775B398" w14:textId="67FEC5E3" w:rsidR="00FC4056" w:rsidRDefault="00FC4056">
      <w:r>
        <w:t>The vertical hydraulic conductivity of the gas source aquitard was identified as important during sensitivity assessment</w:t>
      </w:r>
      <w:r w:rsidR="008573A4">
        <w:t xml:space="preserve">. </w:t>
      </w:r>
      <w:r>
        <w:t>Permeability in the range of 10</w:t>
      </w:r>
      <w:r w:rsidR="00D91C19">
        <w:rPr>
          <w:vertAlign w:val="superscript"/>
        </w:rPr>
        <w:t>–</w:t>
      </w:r>
      <w:r w:rsidRPr="006C7CE7">
        <w:rPr>
          <w:vertAlign w:val="superscript"/>
        </w:rPr>
        <w:t>4</w:t>
      </w:r>
      <w:r>
        <w:t xml:space="preserve"> or greater resulted in significant increases in calculated drawdown at the watertable. This effect is driven by the extreme drawdown level adopted in the gas source. Given that the vertical permeability is at the upper end of the expected range and that the gas source drawdown is similarly at the upper end, the drawdown impact calculated is considered to be towards the upper end of what would be anticipated and is not unduly sensitive to parameter choice.</w:t>
      </w:r>
    </w:p>
    <w:p w14:paraId="49777269" w14:textId="77777777" w:rsidR="00FC4056" w:rsidRDefault="00FC4056">
      <w:r>
        <w:t>In addition the storage value adopted for the aquifer and aquitard sequence influences the calculated drawdown. Storage values have been adopted that are in line with commonly used in groundwater models. This is the specific storage at a level close to the compressibility of water. If the effective porosity of an aquitard is very low then the resultant storage may be lower than has been adopted. This would have the effect of increasing the drawdown calculated at 30 years. In order for the storage to be lower than has been adopted, the aquitard would need to be a very tight and solid block with very low porosity, which in turn would have very low connection. If this were the case then the conductivity would be expected to also be low. The chosen storage is considered appropriate. Changes to storage values would affect the final calculated drawdown. The effect on the calculation has been shown to be modest in the sensitivity assessment.</w:t>
      </w:r>
    </w:p>
    <w:p w14:paraId="066CF5B9" w14:textId="6DB94DAB" w:rsidR="00FC4056" w:rsidRPr="00DE6F78" w:rsidRDefault="00162B6E" w:rsidP="00C150BC">
      <w:pPr>
        <w:pStyle w:val="Head3app"/>
      </w:pPr>
      <w:bookmarkStart w:id="1113" w:name="_Toc420568745"/>
      <w:bookmarkStart w:id="1114" w:name="_Toc420571527"/>
      <w:bookmarkStart w:id="1115" w:name="_Toc420572209"/>
      <w:bookmarkStart w:id="1116" w:name="_Toc296767328"/>
      <w:bookmarkStart w:id="1117" w:name="_Toc296770471"/>
      <w:bookmarkStart w:id="1118" w:name="_Toc423018295"/>
      <w:r>
        <w:t>B2.</w:t>
      </w:r>
      <w:r w:rsidR="00B105DE">
        <w:t>5</w:t>
      </w:r>
      <w:r>
        <w:tab/>
      </w:r>
      <w:r w:rsidR="00FC4056" w:rsidRPr="00DE6F78">
        <w:t xml:space="preserve">Gas </w:t>
      </w:r>
      <w:r w:rsidR="00FC4056">
        <w:t>development</w:t>
      </w:r>
      <w:r w:rsidR="00FC4056" w:rsidRPr="00DE6F78">
        <w:t xml:space="preserve"> representation</w:t>
      </w:r>
      <w:bookmarkEnd w:id="1113"/>
      <w:bookmarkEnd w:id="1114"/>
      <w:bookmarkEnd w:id="1115"/>
      <w:bookmarkEnd w:id="1116"/>
      <w:bookmarkEnd w:id="1117"/>
      <w:bookmarkEnd w:id="1118"/>
    </w:p>
    <w:p w14:paraId="1D1B69F0" w14:textId="0477E26C" w:rsidR="00FC4056" w:rsidRDefault="00FC4056">
      <w:pPr>
        <w:rPr>
          <w:lang w:val="en-US" w:eastAsia="en-US"/>
        </w:rPr>
      </w:pPr>
      <w:r>
        <w:rPr>
          <w:lang w:val="en-US" w:eastAsia="en-US"/>
        </w:rPr>
        <w:t>The block model approach was developed to make use of available data and information. Almost no information is available on the likely hydraulic pressure effect of future onshore gas development</w:t>
      </w:r>
      <w:r w:rsidR="008573A4">
        <w:rPr>
          <w:lang w:val="en-US" w:eastAsia="en-US"/>
        </w:rPr>
        <w:t xml:space="preserve">. </w:t>
      </w:r>
      <w:r>
        <w:rPr>
          <w:lang w:val="en-US" w:eastAsia="en-US"/>
        </w:rPr>
        <w:t>From published data for conventional gas developments in the Otway Region (Cook 2014) a pressure decline is expected within the gas source</w:t>
      </w:r>
      <w:r w:rsidR="008573A4">
        <w:rPr>
          <w:lang w:val="en-US" w:eastAsia="en-US"/>
        </w:rPr>
        <w:t xml:space="preserve">. </w:t>
      </w:r>
      <w:r>
        <w:rPr>
          <w:lang w:val="en-US" w:eastAsia="en-US"/>
        </w:rPr>
        <w:t>For coal seam gas developments the target pressure level for groundwater is typically the top of the coal seam</w:t>
      </w:r>
      <w:r w:rsidR="008573A4">
        <w:rPr>
          <w:lang w:val="en-US" w:eastAsia="en-US"/>
        </w:rPr>
        <w:t xml:space="preserve">. </w:t>
      </w:r>
      <w:r>
        <w:rPr>
          <w:lang w:val="en-US" w:eastAsia="en-US"/>
        </w:rPr>
        <w:t>For tight and shale gas it appears to be highly variable. The Geological Survey of Victoria has considered the likely water effects and has advised that the rate of water removal is likely to be very low (</w:t>
      </w:r>
      <w:r w:rsidR="004F4E80">
        <w:rPr>
          <w:lang w:val="en-US" w:eastAsia="en-US"/>
        </w:rPr>
        <w:t xml:space="preserve">Goldie </w:t>
      </w:r>
      <w:r w:rsidR="00180DF2">
        <w:rPr>
          <w:lang w:val="en-US" w:eastAsia="en-US"/>
        </w:rPr>
        <w:t>Divko</w:t>
      </w:r>
      <w:r>
        <w:rPr>
          <w:lang w:val="en-US" w:eastAsia="en-US"/>
        </w:rPr>
        <w:t>, pers. comm, 2014).</w:t>
      </w:r>
    </w:p>
    <w:p w14:paraId="3FBBEAB6" w14:textId="1A7FF56C" w:rsidR="00FC4056" w:rsidRDefault="00FC4056">
      <w:pPr>
        <w:rPr>
          <w:lang w:val="en-US" w:eastAsia="en-US"/>
        </w:rPr>
      </w:pPr>
      <w:r>
        <w:rPr>
          <w:lang w:val="en-US" w:eastAsia="en-US"/>
        </w:rPr>
        <w:t>For this study a representation of the gas development effects on hydraulic pressure was needed that would not understate the effect and thus should provide an upper end of the likely impact. For the block model approach it has been assumed that gas development would result in an instant lowering of groundwater pressure within the gas source across the entire calculation block. The level of lowering would be to the elevation of the top of the gas source. This level would then remain for 30 years</w:t>
      </w:r>
      <w:r w:rsidR="008573A4">
        <w:rPr>
          <w:lang w:val="en-US" w:eastAsia="en-US"/>
        </w:rPr>
        <w:t xml:space="preserve">. </w:t>
      </w:r>
      <w:r>
        <w:rPr>
          <w:lang w:val="en-US" w:eastAsia="en-US"/>
        </w:rPr>
        <w:t xml:space="preserve">This is an extreme simulation of the pressure response. In reality, a development would expand over time and would not be instant. Also, for most gas types there is unlikely to be a target drawdown, so the holding of pressure at the top of the gas source bed will be an overstatement of the effect. </w:t>
      </w:r>
    </w:p>
    <w:p w14:paraId="27282FBF" w14:textId="4F681057" w:rsidR="00FC4056" w:rsidRDefault="00FC4056">
      <w:pPr>
        <w:rPr>
          <w:lang w:val="en-US" w:eastAsia="en-US"/>
        </w:rPr>
      </w:pPr>
      <w:r w:rsidRPr="003F26BB">
        <w:rPr>
          <w:lang w:val="en-US" w:eastAsia="en-US"/>
        </w:rPr>
        <w:t xml:space="preserve">The hydraulic impact of the gas source is represented as a fixed elevation of the groundwater head in the </w:t>
      </w:r>
      <w:r>
        <w:rPr>
          <w:lang w:val="en-US" w:eastAsia="en-US"/>
        </w:rPr>
        <w:t xml:space="preserve">gas </w:t>
      </w:r>
      <w:r w:rsidRPr="003F26BB">
        <w:rPr>
          <w:lang w:val="en-US" w:eastAsia="en-US"/>
        </w:rPr>
        <w:t>source layer</w:t>
      </w:r>
      <w:r>
        <w:rPr>
          <w:lang w:val="en-US" w:eastAsia="en-US"/>
        </w:rPr>
        <w:t xml:space="preserve"> (fixed head boundary condition)</w:t>
      </w:r>
      <w:r w:rsidRPr="003F26BB">
        <w:rPr>
          <w:lang w:val="en-US" w:eastAsia="en-US"/>
        </w:rPr>
        <w:t xml:space="preserve">. </w:t>
      </w:r>
      <w:r>
        <w:rPr>
          <w:lang w:val="en-US" w:eastAsia="en-US"/>
        </w:rPr>
        <w:t>The head applies across all cells in the gas source layer. In this way it is not required to specify a volume of withdrawal from the gas source, the block model calculates the leakage in response and this is assumed to be withdrawn as co-produced water</w:t>
      </w:r>
      <w:r w:rsidR="008573A4">
        <w:rPr>
          <w:lang w:val="en-US" w:eastAsia="en-US"/>
        </w:rPr>
        <w:t xml:space="preserve">. </w:t>
      </w:r>
      <w:r>
        <w:rPr>
          <w:lang w:val="en-US" w:eastAsia="en-US"/>
        </w:rPr>
        <w:t>There is no restriction on the amount of co-produced water that can be withdrawn in the model. This is also an unlikely as it is likely to be uneconomic to develop gas sources with high rates of co-produced water. This high water impact in the gas source is considered to be appropriate for this study as it will have the effect of not underestimating the effect of gas development and will tend to produce drawdown effects that are toward the upper end of the likely amount.</w:t>
      </w:r>
    </w:p>
    <w:p w14:paraId="4BBC6DE1" w14:textId="20BCE76E" w:rsidR="00FC4056" w:rsidRPr="00DE6F78" w:rsidRDefault="00162B6E" w:rsidP="00C150BC">
      <w:pPr>
        <w:pStyle w:val="Head3app"/>
      </w:pPr>
      <w:bookmarkStart w:id="1119" w:name="_Toc420568746"/>
      <w:bookmarkStart w:id="1120" w:name="_Toc420571528"/>
      <w:bookmarkStart w:id="1121" w:name="_Toc420572210"/>
      <w:bookmarkStart w:id="1122" w:name="_Toc296767329"/>
      <w:bookmarkStart w:id="1123" w:name="_Toc296770472"/>
      <w:bookmarkStart w:id="1124" w:name="_Toc423018296"/>
      <w:r>
        <w:t>B2.</w:t>
      </w:r>
      <w:r w:rsidR="00B105DE">
        <w:t>6</w:t>
      </w:r>
      <w:r w:rsidR="00670BE8">
        <w:tab/>
      </w:r>
      <w:r w:rsidR="00FC4056" w:rsidRPr="00DE6F78">
        <w:t xml:space="preserve">Initial </w:t>
      </w:r>
      <w:r w:rsidR="00B105DE">
        <w:t>c</w:t>
      </w:r>
      <w:r w:rsidR="00FC4056" w:rsidRPr="00DE6F78">
        <w:t>onditions</w:t>
      </w:r>
      <w:bookmarkEnd w:id="1119"/>
      <w:bookmarkEnd w:id="1120"/>
      <w:bookmarkEnd w:id="1121"/>
      <w:bookmarkEnd w:id="1122"/>
      <w:bookmarkEnd w:id="1123"/>
      <w:bookmarkEnd w:id="1124"/>
    </w:p>
    <w:p w14:paraId="16D0331F" w14:textId="77777777" w:rsidR="00FC4056" w:rsidRPr="003F26BB" w:rsidRDefault="00FC4056">
      <w:pPr>
        <w:rPr>
          <w:lang w:val="en-US" w:eastAsia="en-US"/>
        </w:rPr>
      </w:pPr>
      <w:r w:rsidRPr="003F26BB">
        <w:rPr>
          <w:lang w:val="en-US" w:eastAsia="en-US"/>
        </w:rPr>
        <w:t>In each model block the initial conditions were set with</w:t>
      </w:r>
      <w:r>
        <w:rPr>
          <w:lang w:val="en-US" w:eastAsia="en-US"/>
        </w:rPr>
        <w:t xml:space="preserve"> </w:t>
      </w:r>
      <w:r w:rsidRPr="003F26BB">
        <w:rPr>
          <w:lang w:val="en-US" w:eastAsia="en-US"/>
        </w:rPr>
        <w:t>heads in all layers at the same level, being the top of the uppermost layer</w:t>
      </w:r>
      <w:r>
        <w:rPr>
          <w:lang w:val="en-US" w:eastAsia="en-US"/>
        </w:rPr>
        <w:t xml:space="preserve"> (water table)</w:t>
      </w:r>
      <w:r w:rsidRPr="003F26BB">
        <w:rPr>
          <w:lang w:val="en-US" w:eastAsia="en-US"/>
        </w:rPr>
        <w:t xml:space="preserve">. </w:t>
      </w:r>
      <w:r>
        <w:rPr>
          <w:lang w:val="en-US" w:eastAsia="en-US"/>
        </w:rPr>
        <w:t>This is considered an adequate representation for this study as a</w:t>
      </w:r>
      <w:r w:rsidRPr="003F26BB">
        <w:rPr>
          <w:lang w:val="en-US" w:eastAsia="en-US"/>
        </w:rPr>
        <w:t xml:space="preserve">cross the </w:t>
      </w:r>
      <w:r>
        <w:rPr>
          <w:lang w:val="en-US" w:eastAsia="en-US"/>
        </w:rPr>
        <w:t xml:space="preserve">block </w:t>
      </w:r>
      <w:r w:rsidRPr="003F26BB">
        <w:rPr>
          <w:lang w:val="en-US" w:eastAsia="en-US"/>
        </w:rPr>
        <w:t>areas modelled</w:t>
      </w:r>
      <w:r>
        <w:rPr>
          <w:lang w:val="en-US" w:eastAsia="en-US"/>
        </w:rPr>
        <w:t>,</w:t>
      </w:r>
      <w:r w:rsidRPr="003F26BB">
        <w:rPr>
          <w:lang w:val="en-US" w:eastAsia="en-US"/>
        </w:rPr>
        <w:t xml:space="preserve"> the vertical head difference is small </w:t>
      </w:r>
      <w:r>
        <w:rPr>
          <w:lang w:val="en-US" w:eastAsia="en-US"/>
        </w:rPr>
        <w:t xml:space="preserve">(several metres to up to around 10 metres) </w:t>
      </w:r>
      <w:r w:rsidRPr="003F26BB">
        <w:rPr>
          <w:lang w:val="en-US" w:eastAsia="en-US"/>
        </w:rPr>
        <w:t>compared with the drawdown in the gas source</w:t>
      </w:r>
      <w:r>
        <w:rPr>
          <w:lang w:val="en-US" w:eastAsia="en-US"/>
        </w:rPr>
        <w:t>. T</w:t>
      </w:r>
      <w:r w:rsidRPr="003F26BB">
        <w:rPr>
          <w:lang w:val="en-US" w:eastAsia="en-US"/>
        </w:rPr>
        <w:t xml:space="preserve">his approximation was </w:t>
      </w:r>
      <w:r>
        <w:rPr>
          <w:lang w:val="en-US" w:eastAsia="en-US"/>
        </w:rPr>
        <w:t xml:space="preserve">considered to </w:t>
      </w:r>
      <w:r w:rsidRPr="003F26BB">
        <w:rPr>
          <w:lang w:val="en-US" w:eastAsia="en-US"/>
        </w:rPr>
        <w:t xml:space="preserve">in keeping with the </w:t>
      </w:r>
      <w:r>
        <w:rPr>
          <w:lang w:val="en-US" w:eastAsia="en-US"/>
        </w:rPr>
        <w:t xml:space="preserve">regional and policy </w:t>
      </w:r>
      <w:r w:rsidRPr="003F26BB">
        <w:rPr>
          <w:lang w:val="en-US" w:eastAsia="en-US"/>
        </w:rPr>
        <w:t>intent</w:t>
      </w:r>
      <w:r>
        <w:rPr>
          <w:lang w:val="en-US" w:eastAsia="en-US"/>
        </w:rPr>
        <w:t xml:space="preserve"> of the model, as well as the time constraints of the study.</w:t>
      </w:r>
    </w:p>
    <w:p w14:paraId="4C45F2B2" w14:textId="31D2B0CE" w:rsidR="00FC4056" w:rsidRPr="00DE6F78" w:rsidRDefault="00162B6E" w:rsidP="00C150BC">
      <w:pPr>
        <w:pStyle w:val="Head3app"/>
      </w:pPr>
      <w:bookmarkStart w:id="1125" w:name="_Toc420568747"/>
      <w:bookmarkStart w:id="1126" w:name="_Toc420571529"/>
      <w:bookmarkStart w:id="1127" w:name="_Toc420572211"/>
      <w:bookmarkStart w:id="1128" w:name="_Toc296767330"/>
      <w:bookmarkStart w:id="1129" w:name="_Toc296770473"/>
      <w:bookmarkStart w:id="1130" w:name="_Toc423018297"/>
      <w:r>
        <w:t>B2.</w:t>
      </w:r>
      <w:r w:rsidR="00B105DE">
        <w:t>7</w:t>
      </w:r>
      <w:r w:rsidR="00670BE8">
        <w:tab/>
      </w:r>
      <w:r w:rsidR="00FC4056" w:rsidRPr="00DE6F78">
        <w:t xml:space="preserve">Boundary </w:t>
      </w:r>
      <w:r w:rsidR="00B105DE">
        <w:t>c</w:t>
      </w:r>
      <w:r w:rsidR="00FC4056" w:rsidRPr="00DE6F78">
        <w:t>onditions</w:t>
      </w:r>
      <w:bookmarkEnd w:id="1125"/>
      <w:bookmarkEnd w:id="1126"/>
      <w:bookmarkEnd w:id="1127"/>
      <w:bookmarkEnd w:id="1128"/>
      <w:bookmarkEnd w:id="1129"/>
      <w:bookmarkEnd w:id="1130"/>
    </w:p>
    <w:p w14:paraId="327C669D" w14:textId="47B9EA55" w:rsidR="00FC4056" w:rsidRDefault="00FC4056">
      <w:r>
        <w:t>Conceptualisation of the aquifer system was described in the introduction as modelling the impact of gas source development as it might be in addition to other groundwater influences. This required consideration of the appropriate inputs or boundary conditions</w:t>
      </w:r>
      <w:r w:rsidR="008573A4">
        <w:t xml:space="preserve">. </w:t>
      </w:r>
      <w:r>
        <w:t>In the real aquifers, groundwater will be replenished by rainfall recharge to the watertable</w:t>
      </w:r>
      <w:r w:rsidR="008573A4">
        <w:t xml:space="preserve">. </w:t>
      </w:r>
      <w:r>
        <w:t>Interaction with surface water features may also provide water to the aquifers. The model accounts for leakage between the aquifers</w:t>
      </w:r>
      <w:r w:rsidR="008573A4">
        <w:t xml:space="preserve">. </w:t>
      </w:r>
      <w:r>
        <w:t>As the block model approach is a superposition style of assessment, it was assumed that rainfall recharge and surface water interaction would be held constant. In this case, they can be removed from the model as if there is no change in these components of the water balance they can be omitted from a difference model such as the block model approach.</w:t>
      </w:r>
    </w:p>
    <w:p w14:paraId="6979679B" w14:textId="77777777" w:rsidR="00FC4056" w:rsidRDefault="00FC4056">
      <w:r>
        <w:t xml:space="preserve">Connection with the “outside” aquifer is a different matter to recharge or river interaction. In the same way that an analytical equation for drawdown will allow for an infinite extent aquifer (for example, the Theim equation or Theis equation) it was considered appropriate to allow the block models to “connect” with the aquifer beyond the block model. This was done by holding the head at the boundaries at the starting level for the model. </w:t>
      </w:r>
      <w:r w:rsidRPr="003F26BB">
        <w:t xml:space="preserve">In all layers the </w:t>
      </w:r>
      <w:r>
        <w:t xml:space="preserve">external </w:t>
      </w:r>
      <w:r w:rsidRPr="003F26BB">
        <w:t xml:space="preserve">boundary cells were set </w:t>
      </w:r>
      <w:r>
        <w:t>as</w:t>
      </w:r>
      <w:r w:rsidRPr="003F26BB">
        <w:t xml:space="preserve"> constant head at the initial head elevation. No drawdown is estimated for areas outside the calculation blocks.</w:t>
      </w:r>
    </w:p>
    <w:p w14:paraId="1D79DB5B" w14:textId="5D0E62EE" w:rsidR="00FC4056" w:rsidRDefault="00FC4056">
      <w:r>
        <w:t>There is a risk that the use of constant head boundaries may dampen the amount of drawdown that is calculated by the block model approach. To assess how the boundary may have affected the drawdown the block models were run with no flow boundaries as well</w:t>
      </w:r>
      <w:r w:rsidR="008573A4">
        <w:t xml:space="preserve">. </w:t>
      </w:r>
      <w:r>
        <w:t>This is described in later sections.</w:t>
      </w:r>
      <w:r w:rsidR="00D91C19">
        <w:t xml:space="preserve"> </w:t>
      </w:r>
      <w:r>
        <w:t>For the purposes of the primary impact assessment models with a fixed head boundary condition have been adopted.</w:t>
      </w:r>
    </w:p>
    <w:p w14:paraId="66E1024E" w14:textId="7AD594E4" w:rsidR="00FC4056" w:rsidRPr="00DE6F78" w:rsidRDefault="00162B6E" w:rsidP="00C150BC">
      <w:pPr>
        <w:pStyle w:val="Head3app"/>
      </w:pPr>
      <w:bookmarkStart w:id="1131" w:name="_Toc420568748"/>
      <w:bookmarkStart w:id="1132" w:name="_Toc420571530"/>
      <w:bookmarkStart w:id="1133" w:name="_Toc420572212"/>
      <w:bookmarkStart w:id="1134" w:name="_Toc296767331"/>
      <w:bookmarkStart w:id="1135" w:name="_Toc296770474"/>
      <w:bookmarkStart w:id="1136" w:name="_Toc423018298"/>
      <w:r>
        <w:t>B2.</w:t>
      </w:r>
      <w:r w:rsidR="00B105DE">
        <w:t>8</w:t>
      </w:r>
      <w:r>
        <w:tab/>
      </w:r>
      <w:r w:rsidR="00FC4056" w:rsidRPr="00DE6F78">
        <w:t>Other inputs</w:t>
      </w:r>
      <w:bookmarkEnd w:id="1131"/>
      <w:bookmarkEnd w:id="1132"/>
      <w:bookmarkEnd w:id="1133"/>
      <w:bookmarkEnd w:id="1134"/>
      <w:bookmarkEnd w:id="1135"/>
      <w:bookmarkEnd w:id="1136"/>
    </w:p>
    <w:p w14:paraId="7DB4C074" w14:textId="0A93DE7A" w:rsidR="00FC4056" w:rsidRPr="00D91C19" w:rsidRDefault="00FC4056">
      <w:r>
        <w:t>The block model grid was 100</w:t>
      </w:r>
      <w:r w:rsidR="00331966">
        <w:t> </w:t>
      </w:r>
      <w:r>
        <w:t>m square cells within the calculation blocks (</w:t>
      </w:r>
      <w:r>
        <w:fldChar w:fldCharType="begin"/>
      </w:r>
      <w:r>
        <w:instrText xml:space="preserve"> REF _Ref283586093 \h </w:instrText>
      </w:r>
      <w:r>
        <w:fldChar w:fldCharType="separate"/>
      </w:r>
      <w:r w:rsidR="00171A5E">
        <w:t>Figure B</w:t>
      </w:r>
      <w:r>
        <w:fldChar w:fldCharType="end"/>
      </w:r>
      <w:r w:rsidR="00D058FD">
        <w:t>12</w:t>
      </w:r>
      <w:r>
        <w:t>). The block models were run with a single stress period and 30 annual time steps (over 30 years).</w:t>
      </w:r>
      <w:r w:rsidR="00D91C19">
        <w:t xml:space="preserve"> </w:t>
      </w:r>
      <w:r w:rsidRPr="009F705C">
        <w:rPr>
          <w:lang w:val="en-US" w:eastAsia="en-US"/>
        </w:rPr>
        <w:t xml:space="preserve">Maximum drawdown results summarized by aquifer and scenario are given in </w:t>
      </w:r>
      <w:r w:rsidR="00331966">
        <w:rPr>
          <w:lang w:val="en-US" w:eastAsia="en-US"/>
        </w:rPr>
        <w:t>Table B2</w:t>
      </w:r>
      <w:r w:rsidRPr="00AF3E2E">
        <w:rPr>
          <w:lang w:val="en-US" w:eastAsia="en-US"/>
        </w:rPr>
        <w:t>. These results are a summary</w:t>
      </w:r>
      <w:r>
        <w:rPr>
          <w:lang w:val="en-US" w:eastAsia="en-US"/>
        </w:rPr>
        <w:t xml:space="preserve"> of the full results.</w:t>
      </w:r>
      <w:r w:rsidRPr="00AF3E2E">
        <w:rPr>
          <w:lang w:val="en-US" w:eastAsia="en-US"/>
        </w:rPr>
        <w:t xml:space="preserve"> </w:t>
      </w:r>
      <w:r>
        <w:rPr>
          <w:lang w:val="en-US" w:eastAsia="en-US"/>
        </w:rPr>
        <w:t xml:space="preserve">Full results are given in the Table </w:t>
      </w:r>
      <w:r w:rsidR="005661BA">
        <w:rPr>
          <w:lang w:val="en-US" w:eastAsia="en-US"/>
        </w:rPr>
        <w:t>B3</w:t>
      </w:r>
      <w:r>
        <w:rPr>
          <w:lang w:val="en-US" w:eastAsia="en-US"/>
        </w:rPr>
        <w:t>.</w:t>
      </w:r>
    </w:p>
    <w:p w14:paraId="4F6A8811" w14:textId="77777777" w:rsidR="00D91C19" w:rsidRPr="00AF3E2E" w:rsidRDefault="00D91C19">
      <w:pPr>
        <w:rPr>
          <w:lang w:val="en-US" w:eastAsia="en-US"/>
        </w:rPr>
      </w:pPr>
    </w:p>
    <w:p w14:paraId="1A480D24" w14:textId="77777777" w:rsidR="00FC4056" w:rsidRDefault="00FC4056" w:rsidP="00826138">
      <w:pPr>
        <w:pStyle w:val="figurereturn"/>
      </w:pPr>
      <w:r>
        <w:drawing>
          <wp:inline distT="0" distB="0" distL="0" distR="0" wp14:anchorId="719B89BB" wp14:editId="309B20B6">
            <wp:extent cx="2480733" cy="2444191"/>
            <wp:effectExtent l="0" t="0" r="889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figure 2.jpg.png"/>
                    <pic:cNvPicPr/>
                  </pic:nvPicPr>
                  <pic:blipFill>
                    <a:blip r:embed="rId244" cstate="screen">
                      <a:extLst>
                        <a:ext uri="{28A0092B-C50C-407E-A947-70E740481C1C}">
                          <a14:useLocalDpi xmlns:a14="http://schemas.microsoft.com/office/drawing/2010/main"/>
                        </a:ext>
                      </a:extLst>
                    </a:blip>
                    <a:stretch>
                      <a:fillRect/>
                    </a:stretch>
                  </pic:blipFill>
                  <pic:spPr>
                    <a:xfrm>
                      <a:off x="0" y="0"/>
                      <a:ext cx="2487473" cy="2450831"/>
                    </a:xfrm>
                    <a:prstGeom prst="rect">
                      <a:avLst/>
                    </a:prstGeom>
                  </pic:spPr>
                </pic:pic>
              </a:graphicData>
            </a:graphic>
          </wp:inline>
        </w:drawing>
      </w:r>
    </w:p>
    <w:p w14:paraId="592CE03D" w14:textId="06938293" w:rsidR="00FC4056" w:rsidRDefault="00FC4056" w:rsidP="00826138">
      <w:pPr>
        <w:pStyle w:val="Figuretitle"/>
      </w:pPr>
      <w:bookmarkStart w:id="1137" w:name="_Ref283586093"/>
      <w:r>
        <w:t xml:space="preserve">Figure </w:t>
      </w:r>
      <w:r w:rsidR="0005290A">
        <w:t>B</w:t>
      </w:r>
      <w:bookmarkEnd w:id="1137"/>
      <w:r w:rsidR="00FB0996">
        <w:t>12:</w:t>
      </w:r>
      <w:r>
        <w:t xml:space="preserve">  Model </w:t>
      </w:r>
      <w:r w:rsidRPr="00855FBE">
        <w:rPr>
          <w:rFonts w:eastAsia="Calibri"/>
        </w:rPr>
        <w:t>grid (</w:t>
      </w:r>
      <w:r w:rsidR="00B105DE" w:rsidRPr="003F26BB">
        <w:t>10</w:t>
      </w:r>
      <w:r w:rsidR="00B105DE">
        <w:t> </w:t>
      </w:r>
      <w:r w:rsidR="00B105DE">
        <w:sym w:font="Symbol" w:char="F0B4"/>
      </w:r>
      <w:r w:rsidR="00B105DE">
        <w:t> </w:t>
      </w:r>
      <w:r w:rsidR="00B105DE" w:rsidRPr="003F26BB">
        <w:t>10</w:t>
      </w:r>
      <w:r w:rsidR="00B105DE">
        <w:t> </w:t>
      </w:r>
      <w:r w:rsidR="00B105DE" w:rsidRPr="003F26BB">
        <w:t>km</w:t>
      </w:r>
      <w:r w:rsidRPr="00855FBE">
        <w:rPr>
          <w:rFonts w:eastAsia="Calibri"/>
        </w:rPr>
        <w:t xml:space="preserve"> grid paved with 100</w:t>
      </w:r>
      <w:r w:rsidR="00B105DE">
        <w:rPr>
          <w:rFonts w:eastAsia="Calibri"/>
        </w:rPr>
        <w:t> </w:t>
      </w:r>
      <w:r w:rsidRPr="00855FBE">
        <w:rPr>
          <w:rFonts w:eastAsia="Calibri"/>
        </w:rPr>
        <w:t>m</w:t>
      </w:r>
      <w:r w:rsidR="00B105DE">
        <w:t> </w:t>
      </w:r>
      <w:r w:rsidR="00B105DE">
        <w:sym w:font="Symbol" w:char="F0B4"/>
      </w:r>
      <w:r w:rsidR="00B105DE">
        <w:t> </w:t>
      </w:r>
      <w:r w:rsidRPr="00855FBE">
        <w:rPr>
          <w:rFonts w:eastAsia="Calibri"/>
        </w:rPr>
        <w:t>100</w:t>
      </w:r>
      <w:r w:rsidR="00B105DE">
        <w:rPr>
          <w:rFonts w:eastAsia="Calibri"/>
        </w:rPr>
        <w:t> </w:t>
      </w:r>
      <w:r w:rsidRPr="00855FBE">
        <w:rPr>
          <w:rFonts w:eastAsia="Calibri"/>
        </w:rPr>
        <w:t>m cells). The blue borders represent constant head boundary conditions</w:t>
      </w:r>
      <w:r w:rsidR="00B105DE">
        <w:rPr>
          <w:rFonts w:eastAsia="Calibri"/>
        </w:rPr>
        <w:t>.</w:t>
      </w:r>
    </w:p>
    <w:p w14:paraId="7E3BAB1D" w14:textId="7912B7C8" w:rsidR="00FC4056" w:rsidRPr="00FB0996" w:rsidRDefault="00FC4056" w:rsidP="00826138">
      <w:pPr>
        <w:pStyle w:val="Tableheading"/>
        <w:rPr>
          <w:i/>
        </w:rPr>
      </w:pPr>
      <w:bookmarkStart w:id="1138" w:name="_Ref409516999"/>
      <w:bookmarkStart w:id="1139" w:name="_Toc420567528"/>
      <w:bookmarkEnd w:id="1098"/>
      <w:r w:rsidRPr="00FB0996">
        <w:t>Table</w:t>
      </w:r>
      <w:r w:rsidR="0005290A" w:rsidRPr="00FB0996">
        <w:t xml:space="preserve"> B</w:t>
      </w:r>
      <w:bookmarkEnd w:id="1138"/>
      <w:r w:rsidR="00331966">
        <w:t>2</w:t>
      </w:r>
      <w:r w:rsidR="00B105DE">
        <w:t>:</w:t>
      </w:r>
      <w:r w:rsidRPr="00FB0996">
        <w:t xml:space="preserve">  Summary of the maximum calculated drawdown in any </w:t>
      </w:r>
      <w:r w:rsidRPr="00FB0996">
        <w:rPr>
          <w:lang w:val="en-US" w:eastAsia="en-US"/>
        </w:rPr>
        <w:t>10km by 10km</w:t>
      </w:r>
      <w:r w:rsidRPr="00FB0996">
        <w:t xml:space="preserve"> calculation block. Results are from the block model approach as described in the text, for th</w:t>
      </w:r>
      <w:r w:rsidR="006A03C8">
        <w:t>e impact of gas development only</w:t>
      </w:r>
      <w:r w:rsidRPr="00FB0996">
        <w:t>, after 30 years.</w:t>
      </w:r>
      <w:bookmarkEnd w:id="1139"/>
    </w:p>
    <w:tbl>
      <w:tblPr>
        <w:tblStyle w:val="GridTable4-Accent31"/>
        <w:tblW w:w="0" w:type="auto"/>
        <w:tblInd w:w="108" w:type="dxa"/>
        <w:tblBorders>
          <w:top w:val="none" w:sz="0" w:space="0" w:color="auto"/>
          <w:left w:val="single" w:sz="8" w:space="0" w:color="C5D6E1"/>
          <w:bottom w:val="none" w:sz="0" w:space="0" w:color="auto"/>
          <w:right w:val="single" w:sz="8" w:space="0" w:color="C5D6E1"/>
          <w:insideH w:val="none" w:sz="0" w:space="0" w:color="auto"/>
          <w:insideV w:val="single" w:sz="8" w:space="0" w:color="C5D6E1"/>
        </w:tblBorders>
        <w:tblLook w:val="04A0" w:firstRow="1" w:lastRow="0" w:firstColumn="1" w:lastColumn="0" w:noHBand="0" w:noVBand="1"/>
      </w:tblPr>
      <w:tblGrid>
        <w:gridCol w:w="3686"/>
        <w:gridCol w:w="2976"/>
        <w:gridCol w:w="2977"/>
      </w:tblGrid>
      <w:tr w:rsidR="00FC4056" w:rsidRPr="00826138" w14:paraId="6A8EFEDF" w14:textId="77777777" w:rsidTr="003E040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686" w:type="dxa"/>
            <w:tcBorders>
              <w:top w:val="nil"/>
              <w:left w:val="nil"/>
              <w:bottom w:val="nil"/>
              <w:right w:val="single" w:sz="4" w:space="0" w:color="FFFFFF"/>
            </w:tcBorders>
            <w:shd w:val="clear" w:color="auto" w:fill="005A97"/>
          </w:tcPr>
          <w:p w14:paraId="522069F3" w14:textId="77777777" w:rsidR="00FC4056" w:rsidRPr="00826138" w:rsidRDefault="00FC4056" w:rsidP="00826138">
            <w:pPr>
              <w:pStyle w:val="TableHeaderrow"/>
              <w:rPr>
                <w:b/>
              </w:rPr>
            </w:pPr>
            <w:r w:rsidRPr="00826138">
              <w:rPr>
                <w:b/>
              </w:rPr>
              <w:t>Gas Scenario</w:t>
            </w:r>
          </w:p>
        </w:tc>
        <w:tc>
          <w:tcPr>
            <w:tcW w:w="2976" w:type="dxa"/>
            <w:tcBorders>
              <w:top w:val="nil"/>
              <w:left w:val="single" w:sz="4" w:space="0" w:color="FFFFFF"/>
              <w:bottom w:val="nil"/>
              <w:right w:val="single" w:sz="4" w:space="0" w:color="FFFFFF"/>
            </w:tcBorders>
            <w:shd w:val="clear" w:color="auto" w:fill="005A97"/>
          </w:tcPr>
          <w:p w14:paraId="408D7734" w14:textId="1B9AE195" w:rsidR="00FC4056" w:rsidRPr="00826138" w:rsidRDefault="00FC4056" w:rsidP="00826138">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826138">
              <w:rPr>
                <w:b/>
              </w:rPr>
              <w:t xml:space="preserve">Maximum Drawdown </w:t>
            </w:r>
            <w:r w:rsidR="00826138">
              <w:rPr>
                <w:b/>
              </w:rPr>
              <w:br/>
            </w:r>
            <w:r w:rsidRPr="00826138">
              <w:rPr>
                <w:b/>
              </w:rPr>
              <w:t>(all confined aquifers) m</w:t>
            </w:r>
          </w:p>
        </w:tc>
        <w:tc>
          <w:tcPr>
            <w:tcW w:w="2977" w:type="dxa"/>
            <w:tcBorders>
              <w:top w:val="nil"/>
              <w:left w:val="single" w:sz="4" w:space="0" w:color="FFFFFF"/>
              <w:bottom w:val="nil"/>
              <w:right w:val="nil"/>
            </w:tcBorders>
            <w:shd w:val="clear" w:color="auto" w:fill="005A97"/>
          </w:tcPr>
          <w:p w14:paraId="0E22DD43" w14:textId="77777777" w:rsidR="00FC4056" w:rsidRPr="00826138" w:rsidRDefault="00FC4056" w:rsidP="00826138">
            <w:pPr>
              <w:pStyle w:val="TableHeaderrow"/>
              <w:cnfStyle w:val="100000000000" w:firstRow="1" w:lastRow="0" w:firstColumn="0" w:lastColumn="0" w:oddVBand="0" w:evenVBand="0" w:oddHBand="0" w:evenHBand="0" w:firstRowFirstColumn="0" w:firstRowLastColumn="0" w:lastRowFirstColumn="0" w:lastRowLastColumn="0"/>
              <w:rPr>
                <w:rFonts w:cs="Arial"/>
                <w:b/>
                <w:iCs/>
                <w:color w:val="AEC12D"/>
                <w:sz w:val="32"/>
                <w:szCs w:val="28"/>
              </w:rPr>
            </w:pPr>
            <w:r w:rsidRPr="00826138">
              <w:rPr>
                <w:b/>
              </w:rPr>
              <w:t xml:space="preserve">Maximum Drawdown (watertable) m </w:t>
            </w:r>
          </w:p>
        </w:tc>
      </w:tr>
      <w:tr w:rsidR="00FC4056" w14:paraId="46DDC937" w14:textId="77777777" w:rsidTr="003E040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686" w:type="dxa"/>
            <w:tcBorders>
              <w:top w:val="nil"/>
              <w:left w:val="nil"/>
              <w:bottom w:val="single" w:sz="8" w:space="0" w:color="005A97"/>
              <w:right w:val="single" w:sz="8" w:space="0" w:color="005A97"/>
            </w:tcBorders>
            <w:shd w:val="clear" w:color="auto" w:fill="auto"/>
          </w:tcPr>
          <w:p w14:paraId="0AD49F4F" w14:textId="77777777" w:rsidR="00FC4056" w:rsidRPr="00AE7D14" w:rsidRDefault="00FC4056" w:rsidP="00670BE8">
            <w:pPr>
              <w:pStyle w:val="Tabletext"/>
            </w:pPr>
            <w:r>
              <w:t>Tight</w:t>
            </w:r>
          </w:p>
        </w:tc>
        <w:tc>
          <w:tcPr>
            <w:tcW w:w="2976" w:type="dxa"/>
            <w:tcBorders>
              <w:top w:val="nil"/>
              <w:left w:val="single" w:sz="8" w:space="0" w:color="005A97"/>
              <w:bottom w:val="single" w:sz="8" w:space="0" w:color="005A97"/>
              <w:right w:val="single" w:sz="8" w:space="0" w:color="005A97"/>
            </w:tcBorders>
            <w:shd w:val="clear" w:color="auto" w:fill="auto"/>
          </w:tcPr>
          <w:p w14:paraId="19F05B90" w14:textId="77777777" w:rsidR="00FC4056" w:rsidRPr="00AE7D14"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0.04</w:t>
            </w:r>
          </w:p>
        </w:tc>
        <w:tc>
          <w:tcPr>
            <w:tcW w:w="2977" w:type="dxa"/>
            <w:tcBorders>
              <w:top w:val="nil"/>
              <w:left w:val="single" w:sz="8" w:space="0" w:color="005A97"/>
              <w:bottom w:val="single" w:sz="8" w:space="0" w:color="005A97"/>
              <w:right w:val="nil"/>
            </w:tcBorders>
            <w:shd w:val="clear" w:color="auto" w:fill="auto"/>
          </w:tcPr>
          <w:p w14:paraId="34F57031" w14:textId="77777777" w:rsidR="00FC4056" w:rsidRPr="00AE7D14" w:rsidRDefault="00FC4056" w:rsidP="00670BE8">
            <w:pPr>
              <w:pStyle w:val="Tabletext"/>
              <w:tabs>
                <w:tab w:val="center" w:pos="1124"/>
              </w:tabs>
              <w:jc w:val="center"/>
              <w:cnfStyle w:val="000000100000" w:firstRow="0" w:lastRow="0" w:firstColumn="0" w:lastColumn="0" w:oddVBand="0" w:evenVBand="0" w:oddHBand="1" w:evenHBand="0" w:firstRowFirstColumn="0" w:firstRowLastColumn="0" w:lastRowFirstColumn="0" w:lastRowLastColumn="0"/>
            </w:pPr>
            <w:r>
              <w:t>0.01</w:t>
            </w:r>
          </w:p>
        </w:tc>
      </w:tr>
      <w:tr w:rsidR="00FC4056" w14:paraId="36F03F4C" w14:textId="77777777" w:rsidTr="003E0401">
        <w:trPr>
          <w:trHeight w:val="340"/>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005A97"/>
              <w:left w:val="nil"/>
              <w:bottom w:val="single" w:sz="8" w:space="0" w:color="005A97"/>
              <w:right w:val="single" w:sz="8" w:space="0" w:color="005A97"/>
            </w:tcBorders>
            <w:shd w:val="clear" w:color="auto" w:fill="auto"/>
          </w:tcPr>
          <w:p w14:paraId="457D0C69" w14:textId="77777777" w:rsidR="00FC4056" w:rsidRDefault="00FC4056" w:rsidP="00670BE8">
            <w:pPr>
              <w:pStyle w:val="Tabletext"/>
            </w:pPr>
            <w:r>
              <w:t>Shale</w:t>
            </w:r>
          </w:p>
        </w:tc>
        <w:tc>
          <w:tcPr>
            <w:tcW w:w="2976" w:type="dxa"/>
            <w:tcBorders>
              <w:top w:val="single" w:sz="8" w:space="0" w:color="005A97"/>
              <w:left w:val="single" w:sz="8" w:space="0" w:color="005A97"/>
              <w:bottom w:val="single" w:sz="8" w:space="0" w:color="005A97"/>
              <w:right w:val="single" w:sz="8" w:space="0" w:color="005A97"/>
            </w:tcBorders>
            <w:shd w:val="clear" w:color="auto" w:fill="auto"/>
          </w:tcPr>
          <w:p w14:paraId="6951F248" w14:textId="77777777" w:rsidR="00FC4056" w:rsidRPr="005E7AF9"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rPr>
                <w:vertAlign w:val="superscript"/>
              </w:rPr>
            </w:pPr>
            <w:r>
              <w:t>0.02</w:t>
            </w:r>
          </w:p>
        </w:tc>
        <w:tc>
          <w:tcPr>
            <w:tcW w:w="2977" w:type="dxa"/>
            <w:tcBorders>
              <w:top w:val="single" w:sz="8" w:space="0" w:color="005A97"/>
              <w:left w:val="single" w:sz="8" w:space="0" w:color="005A97"/>
              <w:bottom w:val="single" w:sz="8" w:space="0" w:color="005A97"/>
              <w:right w:val="nil"/>
            </w:tcBorders>
            <w:shd w:val="clear" w:color="auto" w:fill="auto"/>
          </w:tcPr>
          <w:p w14:paraId="07C8A1B5" w14:textId="77777777" w:rsidR="00FC4056"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0.01</w:t>
            </w:r>
          </w:p>
        </w:tc>
      </w:tr>
      <w:tr w:rsidR="00FC4056" w14:paraId="7DAF6A78" w14:textId="77777777" w:rsidTr="003E040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005A97"/>
              <w:left w:val="nil"/>
              <w:bottom w:val="single" w:sz="8" w:space="0" w:color="005A97"/>
              <w:right w:val="single" w:sz="8" w:space="0" w:color="005A97"/>
            </w:tcBorders>
            <w:shd w:val="clear" w:color="auto" w:fill="auto"/>
          </w:tcPr>
          <w:p w14:paraId="39B91655" w14:textId="77777777" w:rsidR="00FC4056" w:rsidRDefault="00FC4056" w:rsidP="00670BE8">
            <w:pPr>
              <w:pStyle w:val="Tabletext"/>
            </w:pPr>
            <w:r>
              <w:t>Coal seam gas</w:t>
            </w:r>
          </w:p>
        </w:tc>
        <w:tc>
          <w:tcPr>
            <w:tcW w:w="2976" w:type="dxa"/>
            <w:tcBorders>
              <w:top w:val="single" w:sz="8" w:space="0" w:color="005A97"/>
              <w:left w:val="single" w:sz="8" w:space="0" w:color="005A97"/>
              <w:bottom w:val="single" w:sz="8" w:space="0" w:color="005A97"/>
              <w:right w:val="single" w:sz="8" w:space="0" w:color="005A97"/>
            </w:tcBorders>
            <w:shd w:val="clear" w:color="auto" w:fill="auto"/>
          </w:tcPr>
          <w:p w14:paraId="0C9A9EE9" w14:textId="77777777" w:rsidR="00FC4056"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0.09</w:t>
            </w:r>
          </w:p>
        </w:tc>
        <w:tc>
          <w:tcPr>
            <w:tcW w:w="2977" w:type="dxa"/>
            <w:tcBorders>
              <w:top w:val="single" w:sz="8" w:space="0" w:color="005A97"/>
              <w:left w:val="single" w:sz="8" w:space="0" w:color="005A97"/>
              <w:bottom w:val="single" w:sz="8" w:space="0" w:color="005A97"/>
              <w:right w:val="nil"/>
            </w:tcBorders>
            <w:shd w:val="clear" w:color="auto" w:fill="auto"/>
          </w:tcPr>
          <w:p w14:paraId="22CF16EE" w14:textId="77777777" w:rsidR="00FC4056" w:rsidRDefault="00FC4056" w:rsidP="00670BE8">
            <w:pPr>
              <w:pStyle w:val="Tabletext"/>
              <w:jc w:val="center"/>
              <w:cnfStyle w:val="000000100000" w:firstRow="0" w:lastRow="0" w:firstColumn="0" w:lastColumn="0" w:oddVBand="0" w:evenVBand="0" w:oddHBand="1" w:evenHBand="0" w:firstRowFirstColumn="0" w:firstRowLastColumn="0" w:lastRowFirstColumn="0" w:lastRowLastColumn="0"/>
            </w:pPr>
            <w:r>
              <w:t>0.02</w:t>
            </w:r>
          </w:p>
        </w:tc>
      </w:tr>
      <w:tr w:rsidR="00FC4056" w14:paraId="465F2338" w14:textId="77777777" w:rsidTr="003E0401">
        <w:trPr>
          <w:trHeight w:val="340"/>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005A97"/>
              <w:left w:val="nil"/>
              <w:bottom w:val="single" w:sz="8" w:space="0" w:color="005A97"/>
              <w:right w:val="single" w:sz="8" w:space="0" w:color="005A97"/>
            </w:tcBorders>
            <w:shd w:val="clear" w:color="auto" w:fill="auto"/>
          </w:tcPr>
          <w:p w14:paraId="4D947EC5" w14:textId="77777777" w:rsidR="00FC4056" w:rsidRDefault="00FC4056" w:rsidP="00670BE8">
            <w:pPr>
              <w:pStyle w:val="Tabletext"/>
            </w:pPr>
            <w:r>
              <w:t>Conventional</w:t>
            </w:r>
          </w:p>
        </w:tc>
        <w:tc>
          <w:tcPr>
            <w:tcW w:w="2976" w:type="dxa"/>
            <w:tcBorders>
              <w:top w:val="single" w:sz="8" w:space="0" w:color="005A97"/>
              <w:left w:val="single" w:sz="8" w:space="0" w:color="005A97"/>
              <w:bottom w:val="single" w:sz="8" w:space="0" w:color="005A97"/>
              <w:right w:val="single" w:sz="8" w:space="0" w:color="005A97"/>
            </w:tcBorders>
            <w:shd w:val="clear" w:color="auto" w:fill="auto"/>
          </w:tcPr>
          <w:p w14:paraId="54D02B19" w14:textId="77777777" w:rsidR="00FC4056"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2977" w:type="dxa"/>
            <w:tcBorders>
              <w:top w:val="single" w:sz="8" w:space="0" w:color="005A97"/>
              <w:left w:val="single" w:sz="8" w:space="0" w:color="005A97"/>
              <w:bottom w:val="single" w:sz="8" w:space="0" w:color="005A97"/>
              <w:right w:val="nil"/>
            </w:tcBorders>
            <w:shd w:val="clear" w:color="auto" w:fill="auto"/>
          </w:tcPr>
          <w:p w14:paraId="51124EA0" w14:textId="77777777" w:rsidR="00FC4056" w:rsidRDefault="00FC4056" w:rsidP="00670BE8">
            <w:pPr>
              <w:pStyle w:val="Tabletext"/>
              <w:jc w:val="center"/>
              <w:cnfStyle w:val="000000000000" w:firstRow="0" w:lastRow="0" w:firstColumn="0" w:lastColumn="0" w:oddVBand="0" w:evenVBand="0" w:oddHBand="0" w:evenHBand="0" w:firstRowFirstColumn="0" w:firstRowLastColumn="0" w:lastRowFirstColumn="0" w:lastRowLastColumn="0"/>
            </w:pPr>
            <w:r>
              <w:t>0</w:t>
            </w:r>
          </w:p>
        </w:tc>
      </w:tr>
    </w:tbl>
    <w:p w14:paraId="1092D32E" w14:textId="47A4CD19" w:rsidR="00670BE8" w:rsidRDefault="00670BE8">
      <w:pPr>
        <w:rPr>
          <w:lang w:val="en-US" w:eastAsia="en-US"/>
        </w:rPr>
      </w:pPr>
      <w:r>
        <w:rPr>
          <w:lang w:val="en-US" w:eastAsia="en-US"/>
        </w:rPr>
        <w:br w:type="page"/>
      </w:r>
    </w:p>
    <w:p w14:paraId="2F35AD18" w14:textId="0BF61995" w:rsidR="00FC4056" w:rsidRPr="00D91C19" w:rsidRDefault="00FC4056" w:rsidP="00B22A62">
      <w:pPr>
        <w:pStyle w:val="Tableheading"/>
        <w:rPr>
          <w:i/>
        </w:rPr>
      </w:pPr>
      <w:r w:rsidRPr="00FB0996">
        <w:t xml:space="preserve">Table </w:t>
      </w:r>
      <w:r w:rsidR="0005290A" w:rsidRPr="00FB0996">
        <w:t>B</w:t>
      </w:r>
      <w:r w:rsidR="00FB0996" w:rsidRPr="00FB0996">
        <w:t>3:</w:t>
      </w:r>
      <w:r w:rsidRPr="00FB0996">
        <w:t xml:space="preserve">  Calculated </w:t>
      </w:r>
      <w:r w:rsidRPr="00FB0996">
        <w:rPr>
          <w:lang w:val="en-US" w:eastAsia="en-US"/>
        </w:rPr>
        <w:t>drawdown in all 10km by 10km calculation block. Results are from the block model approach as described in the text, for the impact of gas development, after 30 years of gas development.</w:t>
      </w:r>
    </w:p>
    <w:tbl>
      <w:tblPr>
        <w:tblW w:w="9761" w:type="dxa"/>
        <w:tblInd w:w="93"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943"/>
        <w:gridCol w:w="959"/>
        <w:gridCol w:w="1627"/>
        <w:gridCol w:w="958"/>
        <w:gridCol w:w="991"/>
        <w:gridCol w:w="958"/>
        <w:gridCol w:w="1034"/>
        <w:gridCol w:w="958"/>
        <w:gridCol w:w="1333"/>
      </w:tblGrid>
      <w:tr w:rsidR="00B22A62" w:rsidRPr="00B22A62" w14:paraId="3F10DE28" w14:textId="77777777" w:rsidTr="00B22A62">
        <w:trPr>
          <w:trHeight w:val="300"/>
        </w:trPr>
        <w:tc>
          <w:tcPr>
            <w:tcW w:w="950" w:type="dxa"/>
            <w:tcBorders>
              <w:top w:val="nil"/>
              <w:right w:val="single" w:sz="4" w:space="0" w:color="FFFFFF"/>
            </w:tcBorders>
            <w:shd w:val="clear" w:color="auto" w:fill="005A97"/>
            <w:noWrap/>
            <w:hideMark/>
          </w:tcPr>
          <w:p w14:paraId="393E4377" w14:textId="77777777" w:rsidR="00FC4056" w:rsidRPr="00B22A62" w:rsidRDefault="00FC4056" w:rsidP="00B22A62">
            <w:pPr>
              <w:pStyle w:val="TableHeaderrow"/>
            </w:pPr>
            <w:r w:rsidRPr="00B22A62">
              <w:t>Bloc_ID</w:t>
            </w:r>
          </w:p>
        </w:tc>
        <w:tc>
          <w:tcPr>
            <w:tcW w:w="966" w:type="dxa"/>
            <w:tcBorders>
              <w:top w:val="nil"/>
              <w:left w:val="single" w:sz="4" w:space="0" w:color="FFFFFF"/>
              <w:right w:val="single" w:sz="4" w:space="0" w:color="FFFFFF"/>
            </w:tcBorders>
            <w:shd w:val="clear" w:color="auto" w:fill="005A97"/>
            <w:noWrap/>
            <w:hideMark/>
          </w:tcPr>
          <w:p w14:paraId="24AF0C97" w14:textId="77777777" w:rsidR="00FC4056" w:rsidRPr="00B22A62" w:rsidRDefault="00FC4056" w:rsidP="00B22A62">
            <w:pPr>
              <w:pStyle w:val="TableHeaderrow"/>
            </w:pPr>
            <w:r w:rsidRPr="00B22A62">
              <w:t>Dilwyn (Aq111)</w:t>
            </w:r>
          </w:p>
        </w:tc>
        <w:tc>
          <w:tcPr>
            <w:tcW w:w="1642" w:type="dxa"/>
            <w:tcBorders>
              <w:top w:val="nil"/>
              <w:left w:val="single" w:sz="4" w:space="0" w:color="FFFFFF"/>
              <w:right w:val="single" w:sz="4" w:space="0" w:color="FFFFFF"/>
            </w:tcBorders>
            <w:shd w:val="clear" w:color="auto" w:fill="005A97"/>
            <w:noWrap/>
            <w:hideMark/>
          </w:tcPr>
          <w:p w14:paraId="6A82C6F5" w14:textId="77777777" w:rsidR="00FC4056" w:rsidRPr="00B22A62" w:rsidRDefault="00FC4056" w:rsidP="00B22A62">
            <w:pPr>
              <w:pStyle w:val="TableHeaderrow"/>
            </w:pPr>
            <w:r w:rsidRPr="00B22A62">
              <w:t>Mepunga Form. / Older Volc (Aq111/Aq112)</w:t>
            </w:r>
          </w:p>
        </w:tc>
        <w:tc>
          <w:tcPr>
            <w:tcW w:w="965" w:type="dxa"/>
            <w:tcBorders>
              <w:top w:val="nil"/>
              <w:left w:val="single" w:sz="4" w:space="0" w:color="FFFFFF"/>
              <w:right w:val="single" w:sz="4" w:space="0" w:color="FFFFFF"/>
            </w:tcBorders>
            <w:shd w:val="clear" w:color="auto" w:fill="005A97"/>
            <w:noWrap/>
            <w:hideMark/>
          </w:tcPr>
          <w:p w14:paraId="3617977F" w14:textId="77777777" w:rsidR="00FC4056" w:rsidRPr="00B22A62" w:rsidRDefault="00FC4056" w:rsidP="00B22A62">
            <w:pPr>
              <w:pStyle w:val="TableHeaderrow"/>
            </w:pPr>
            <w:r w:rsidRPr="00B22A62">
              <w:t>Clifton From. (Aq 109)</w:t>
            </w:r>
          </w:p>
        </w:tc>
        <w:tc>
          <w:tcPr>
            <w:tcW w:w="998" w:type="dxa"/>
            <w:tcBorders>
              <w:top w:val="nil"/>
              <w:left w:val="single" w:sz="4" w:space="0" w:color="FFFFFF"/>
              <w:right w:val="single" w:sz="4" w:space="0" w:color="FFFFFF"/>
            </w:tcBorders>
            <w:shd w:val="clear" w:color="auto" w:fill="005A97"/>
            <w:noWrap/>
            <w:hideMark/>
          </w:tcPr>
          <w:p w14:paraId="421BAB98" w14:textId="77777777" w:rsidR="00FC4056" w:rsidRPr="00B22A62" w:rsidRDefault="00FC4056" w:rsidP="00B22A62">
            <w:pPr>
              <w:pStyle w:val="TableHeaderrow"/>
            </w:pPr>
            <w:r w:rsidRPr="00B22A62">
              <w:t>Port Campbell (Aq107)</w:t>
            </w:r>
          </w:p>
        </w:tc>
        <w:tc>
          <w:tcPr>
            <w:tcW w:w="965" w:type="dxa"/>
            <w:tcBorders>
              <w:top w:val="nil"/>
              <w:left w:val="single" w:sz="4" w:space="0" w:color="FFFFFF"/>
              <w:right w:val="single" w:sz="4" w:space="0" w:color="FFFFFF"/>
            </w:tcBorders>
            <w:shd w:val="clear" w:color="auto" w:fill="005A97"/>
            <w:noWrap/>
            <w:hideMark/>
          </w:tcPr>
          <w:p w14:paraId="3A92B27F" w14:textId="77777777" w:rsidR="00FC4056" w:rsidRPr="00B22A62" w:rsidRDefault="00FC4056" w:rsidP="00B22A62">
            <w:pPr>
              <w:pStyle w:val="TableHeaderrow"/>
            </w:pPr>
            <w:r w:rsidRPr="00B22A62">
              <w:t>Aq100</w:t>
            </w:r>
          </w:p>
        </w:tc>
        <w:tc>
          <w:tcPr>
            <w:tcW w:w="1042" w:type="dxa"/>
            <w:tcBorders>
              <w:top w:val="nil"/>
              <w:left w:val="single" w:sz="4" w:space="0" w:color="FFFFFF"/>
              <w:right w:val="single" w:sz="4" w:space="0" w:color="FFFFFF"/>
            </w:tcBorders>
            <w:shd w:val="clear" w:color="auto" w:fill="005A97"/>
            <w:noWrap/>
            <w:hideMark/>
          </w:tcPr>
          <w:p w14:paraId="28D68888" w14:textId="77777777" w:rsidR="00FC4056" w:rsidRPr="00B22A62" w:rsidRDefault="00FC4056" w:rsidP="00B22A62">
            <w:pPr>
              <w:pStyle w:val="TableHeaderrow"/>
            </w:pPr>
            <w:r w:rsidRPr="00B22A62">
              <w:t>Aq101</w:t>
            </w:r>
          </w:p>
        </w:tc>
        <w:tc>
          <w:tcPr>
            <w:tcW w:w="888" w:type="dxa"/>
            <w:tcBorders>
              <w:top w:val="nil"/>
              <w:left w:val="single" w:sz="4" w:space="0" w:color="FFFFFF"/>
              <w:right w:val="single" w:sz="4" w:space="0" w:color="FFFFFF"/>
            </w:tcBorders>
            <w:shd w:val="clear" w:color="auto" w:fill="005A97"/>
            <w:noWrap/>
            <w:hideMark/>
          </w:tcPr>
          <w:p w14:paraId="49408D71" w14:textId="77777777" w:rsidR="00FC4056" w:rsidRPr="00B22A62" w:rsidRDefault="00FC4056" w:rsidP="00B22A62">
            <w:pPr>
              <w:pStyle w:val="TableHeaderrow"/>
            </w:pPr>
            <w:r w:rsidRPr="00B22A62">
              <w:t>Aq104</w:t>
            </w:r>
          </w:p>
        </w:tc>
        <w:tc>
          <w:tcPr>
            <w:tcW w:w="1345" w:type="dxa"/>
            <w:tcBorders>
              <w:top w:val="nil"/>
              <w:left w:val="single" w:sz="4" w:space="0" w:color="FFFFFF"/>
            </w:tcBorders>
            <w:shd w:val="clear" w:color="auto" w:fill="005A97"/>
            <w:noWrap/>
            <w:hideMark/>
          </w:tcPr>
          <w:p w14:paraId="4C7EFF31" w14:textId="1C2736DE" w:rsidR="00FC4056" w:rsidRPr="00B22A62" w:rsidRDefault="007A19CD" w:rsidP="00B22A62">
            <w:pPr>
              <w:pStyle w:val="TableHeaderrow"/>
            </w:pPr>
            <w:r w:rsidRPr="00B22A62">
              <w:t>R</w:t>
            </w:r>
            <w:r w:rsidR="00FC4056" w:rsidRPr="00B22A62">
              <w:t>esource</w:t>
            </w:r>
          </w:p>
        </w:tc>
      </w:tr>
      <w:tr w:rsidR="00FC4056" w:rsidRPr="00185AF4" w14:paraId="2ADC2D41" w14:textId="77777777" w:rsidTr="00B22A62">
        <w:trPr>
          <w:trHeight w:val="300"/>
        </w:trPr>
        <w:tc>
          <w:tcPr>
            <w:tcW w:w="950" w:type="dxa"/>
            <w:shd w:val="clear" w:color="auto" w:fill="auto"/>
            <w:noWrap/>
            <w:vAlign w:val="bottom"/>
            <w:hideMark/>
          </w:tcPr>
          <w:p w14:paraId="052778D4" w14:textId="77777777" w:rsidR="00FC4056" w:rsidRPr="00185AF4" w:rsidRDefault="00FC4056" w:rsidP="00567103">
            <w:pPr>
              <w:pStyle w:val="Tabletext"/>
              <w:rPr>
                <w:rFonts w:cs="Arial"/>
                <w:bCs/>
                <w:iCs/>
                <w:color w:val="AEC12D"/>
                <w:sz w:val="32"/>
                <w:szCs w:val="28"/>
              </w:rPr>
            </w:pPr>
            <w:r w:rsidRPr="00185AF4">
              <w:t>156</w:t>
            </w:r>
          </w:p>
        </w:tc>
        <w:tc>
          <w:tcPr>
            <w:tcW w:w="966" w:type="dxa"/>
            <w:shd w:val="clear" w:color="auto" w:fill="auto"/>
            <w:noWrap/>
            <w:vAlign w:val="bottom"/>
            <w:hideMark/>
          </w:tcPr>
          <w:p w14:paraId="56531DC1"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642" w:type="dxa"/>
            <w:shd w:val="clear" w:color="auto" w:fill="auto"/>
            <w:noWrap/>
            <w:vAlign w:val="bottom"/>
            <w:hideMark/>
          </w:tcPr>
          <w:p w14:paraId="4DA94C8E"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72EABC73"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98" w:type="dxa"/>
            <w:shd w:val="clear" w:color="auto" w:fill="auto"/>
            <w:noWrap/>
            <w:vAlign w:val="bottom"/>
            <w:hideMark/>
          </w:tcPr>
          <w:p w14:paraId="324C71F4"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39BC5FF4"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042" w:type="dxa"/>
            <w:shd w:val="clear" w:color="auto" w:fill="auto"/>
            <w:noWrap/>
            <w:vAlign w:val="bottom"/>
            <w:hideMark/>
          </w:tcPr>
          <w:p w14:paraId="0AB9E3F8"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888" w:type="dxa"/>
            <w:shd w:val="clear" w:color="auto" w:fill="auto"/>
            <w:noWrap/>
            <w:vAlign w:val="bottom"/>
            <w:hideMark/>
          </w:tcPr>
          <w:p w14:paraId="186B49C8"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345" w:type="dxa"/>
            <w:shd w:val="clear" w:color="auto" w:fill="auto"/>
            <w:noWrap/>
            <w:vAlign w:val="bottom"/>
            <w:hideMark/>
          </w:tcPr>
          <w:p w14:paraId="66FA4955" w14:textId="77777777" w:rsidR="00FC4056" w:rsidRPr="00185AF4" w:rsidRDefault="00FC4056" w:rsidP="00567103">
            <w:pPr>
              <w:pStyle w:val="Tabletext"/>
              <w:jc w:val="center"/>
              <w:rPr>
                <w:rFonts w:cs="Arial"/>
                <w:bCs/>
                <w:iCs/>
                <w:color w:val="AEC12D"/>
                <w:sz w:val="32"/>
                <w:szCs w:val="28"/>
              </w:rPr>
            </w:pPr>
            <w:r w:rsidRPr="00185AF4">
              <w:t>Conventional</w:t>
            </w:r>
          </w:p>
        </w:tc>
      </w:tr>
      <w:tr w:rsidR="00FC4056" w:rsidRPr="00185AF4" w14:paraId="34B5FCF2" w14:textId="77777777" w:rsidTr="00B22A62">
        <w:trPr>
          <w:trHeight w:val="300"/>
        </w:trPr>
        <w:tc>
          <w:tcPr>
            <w:tcW w:w="950" w:type="dxa"/>
            <w:shd w:val="clear" w:color="auto" w:fill="auto"/>
            <w:noWrap/>
            <w:vAlign w:val="bottom"/>
            <w:hideMark/>
          </w:tcPr>
          <w:p w14:paraId="5BC0D541" w14:textId="77777777" w:rsidR="00FC4056" w:rsidRPr="00185AF4" w:rsidRDefault="00FC4056" w:rsidP="00567103">
            <w:pPr>
              <w:pStyle w:val="Tabletext"/>
              <w:rPr>
                <w:rFonts w:cs="Arial"/>
                <w:bCs/>
                <w:iCs/>
                <w:color w:val="AEC12D"/>
                <w:sz w:val="32"/>
                <w:szCs w:val="28"/>
              </w:rPr>
            </w:pPr>
            <w:r w:rsidRPr="00185AF4">
              <w:t>123</w:t>
            </w:r>
          </w:p>
        </w:tc>
        <w:tc>
          <w:tcPr>
            <w:tcW w:w="966" w:type="dxa"/>
            <w:shd w:val="clear" w:color="auto" w:fill="auto"/>
            <w:noWrap/>
            <w:vAlign w:val="bottom"/>
            <w:hideMark/>
          </w:tcPr>
          <w:p w14:paraId="0FC1F2C3"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642" w:type="dxa"/>
            <w:shd w:val="clear" w:color="auto" w:fill="auto"/>
            <w:noWrap/>
            <w:vAlign w:val="bottom"/>
            <w:hideMark/>
          </w:tcPr>
          <w:p w14:paraId="1E8AD5A5"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4F32D443"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98" w:type="dxa"/>
            <w:shd w:val="clear" w:color="auto" w:fill="auto"/>
            <w:noWrap/>
            <w:vAlign w:val="bottom"/>
            <w:hideMark/>
          </w:tcPr>
          <w:p w14:paraId="6C05E674"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3966E15C"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042" w:type="dxa"/>
            <w:shd w:val="clear" w:color="auto" w:fill="auto"/>
            <w:noWrap/>
            <w:vAlign w:val="bottom"/>
            <w:hideMark/>
          </w:tcPr>
          <w:p w14:paraId="3AE04B95"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888" w:type="dxa"/>
            <w:shd w:val="clear" w:color="auto" w:fill="auto"/>
            <w:noWrap/>
            <w:vAlign w:val="bottom"/>
            <w:hideMark/>
          </w:tcPr>
          <w:p w14:paraId="49C05FB5"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345" w:type="dxa"/>
            <w:shd w:val="clear" w:color="auto" w:fill="auto"/>
            <w:noWrap/>
            <w:vAlign w:val="bottom"/>
            <w:hideMark/>
          </w:tcPr>
          <w:p w14:paraId="74246EA7"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6EEB084E" w14:textId="77777777" w:rsidTr="00B22A62">
        <w:trPr>
          <w:trHeight w:val="300"/>
        </w:trPr>
        <w:tc>
          <w:tcPr>
            <w:tcW w:w="950" w:type="dxa"/>
            <w:shd w:val="clear" w:color="auto" w:fill="auto"/>
            <w:noWrap/>
            <w:vAlign w:val="bottom"/>
            <w:hideMark/>
          </w:tcPr>
          <w:p w14:paraId="44B5A88E" w14:textId="77777777" w:rsidR="00FC4056" w:rsidRPr="00185AF4" w:rsidRDefault="00FC4056" w:rsidP="00567103">
            <w:pPr>
              <w:pStyle w:val="Tabletext"/>
              <w:rPr>
                <w:rFonts w:cs="Arial"/>
                <w:bCs/>
                <w:iCs/>
                <w:color w:val="AEC12D"/>
                <w:sz w:val="32"/>
                <w:szCs w:val="28"/>
              </w:rPr>
            </w:pPr>
            <w:r w:rsidRPr="00185AF4">
              <w:t>124</w:t>
            </w:r>
          </w:p>
        </w:tc>
        <w:tc>
          <w:tcPr>
            <w:tcW w:w="966" w:type="dxa"/>
            <w:shd w:val="clear" w:color="auto" w:fill="auto"/>
            <w:noWrap/>
            <w:vAlign w:val="bottom"/>
            <w:hideMark/>
          </w:tcPr>
          <w:p w14:paraId="081024DC"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642" w:type="dxa"/>
            <w:shd w:val="clear" w:color="auto" w:fill="auto"/>
            <w:noWrap/>
            <w:vAlign w:val="bottom"/>
            <w:hideMark/>
          </w:tcPr>
          <w:p w14:paraId="6E62B428"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65" w:type="dxa"/>
            <w:shd w:val="clear" w:color="auto" w:fill="auto"/>
            <w:noWrap/>
            <w:vAlign w:val="bottom"/>
            <w:hideMark/>
          </w:tcPr>
          <w:p w14:paraId="5BA65120" w14:textId="77777777" w:rsidR="00FC4056" w:rsidRPr="00185AF4" w:rsidRDefault="00FC4056" w:rsidP="00567103">
            <w:pPr>
              <w:pStyle w:val="Tabletext"/>
              <w:tabs>
                <w:tab w:val="decimal" w:pos="327"/>
              </w:tabs>
              <w:rPr>
                <w:rFonts w:cs="Arial"/>
                <w:bCs/>
                <w:iCs/>
                <w:color w:val="AEC12D"/>
                <w:sz w:val="32"/>
                <w:szCs w:val="28"/>
              </w:rPr>
            </w:pPr>
            <w:r w:rsidRPr="00185AF4">
              <w:t>0.0008</w:t>
            </w:r>
          </w:p>
        </w:tc>
        <w:tc>
          <w:tcPr>
            <w:tcW w:w="998" w:type="dxa"/>
            <w:shd w:val="clear" w:color="auto" w:fill="auto"/>
            <w:noWrap/>
            <w:vAlign w:val="bottom"/>
            <w:hideMark/>
          </w:tcPr>
          <w:p w14:paraId="1683165D" w14:textId="77777777" w:rsidR="00FC4056" w:rsidRPr="00185AF4" w:rsidRDefault="00FC4056" w:rsidP="00567103">
            <w:pPr>
              <w:pStyle w:val="Tabletext"/>
              <w:tabs>
                <w:tab w:val="decimal" w:pos="327"/>
              </w:tabs>
              <w:rPr>
                <w:rFonts w:cs="Arial"/>
                <w:bCs/>
                <w:iCs/>
                <w:color w:val="AEC12D"/>
                <w:sz w:val="32"/>
                <w:szCs w:val="28"/>
              </w:rPr>
            </w:pPr>
            <w:r w:rsidRPr="00185AF4">
              <w:t>0.0005</w:t>
            </w:r>
          </w:p>
        </w:tc>
        <w:tc>
          <w:tcPr>
            <w:tcW w:w="965" w:type="dxa"/>
            <w:shd w:val="clear" w:color="auto" w:fill="auto"/>
            <w:noWrap/>
            <w:vAlign w:val="bottom"/>
            <w:hideMark/>
          </w:tcPr>
          <w:p w14:paraId="3DFDAA2E" w14:textId="77777777" w:rsidR="00FC4056" w:rsidRPr="00185AF4" w:rsidRDefault="00FC4056" w:rsidP="00567103">
            <w:pPr>
              <w:pStyle w:val="Tabletext"/>
              <w:tabs>
                <w:tab w:val="decimal" w:pos="327"/>
              </w:tabs>
              <w:rPr>
                <w:rFonts w:cs="Arial"/>
                <w:bCs/>
                <w:iCs/>
                <w:color w:val="AEC12D"/>
                <w:sz w:val="32"/>
                <w:szCs w:val="28"/>
              </w:rPr>
            </w:pPr>
            <w:r w:rsidRPr="00185AF4">
              <w:t>0.0005</w:t>
            </w:r>
          </w:p>
        </w:tc>
        <w:tc>
          <w:tcPr>
            <w:tcW w:w="1042" w:type="dxa"/>
            <w:shd w:val="clear" w:color="auto" w:fill="auto"/>
            <w:noWrap/>
            <w:vAlign w:val="bottom"/>
            <w:hideMark/>
          </w:tcPr>
          <w:p w14:paraId="4776699F" w14:textId="77777777" w:rsidR="00FC4056" w:rsidRPr="00185AF4" w:rsidRDefault="00FC4056" w:rsidP="00567103">
            <w:pPr>
              <w:pStyle w:val="Tabletext"/>
              <w:tabs>
                <w:tab w:val="decimal" w:pos="327"/>
              </w:tabs>
              <w:rPr>
                <w:rFonts w:cs="Arial"/>
                <w:bCs/>
                <w:iCs/>
                <w:color w:val="AEC12D"/>
                <w:sz w:val="32"/>
                <w:szCs w:val="28"/>
              </w:rPr>
            </w:pPr>
            <w:r w:rsidRPr="00185AF4">
              <w:t>0.0005</w:t>
            </w:r>
          </w:p>
        </w:tc>
        <w:tc>
          <w:tcPr>
            <w:tcW w:w="888" w:type="dxa"/>
            <w:shd w:val="clear" w:color="auto" w:fill="auto"/>
            <w:noWrap/>
            <w:vAlign w:val="bottom"/>
            <w:hideMark/>
          </w:tcPr>
          <w:p w14:paraId="24BEDA78" w14:textId="77777777" w:rsidR="00FC4056" w:rsidRPr="00185AF4" w:rsidRDefault="00FC4056" w:rsidP="00567103">
            <w:pPr>
              <w:pStyle w:val="Tabletext"/>
              <w:tabs>
                <w:tab w:val="decimal" w:pos="327"/>
              </w:tabs>
              <w:rPr>
                <w:rFonts w:cs="Arial"/>
                <w:bCs/>
                <w:iCs/>
                <w:color w:val="AEC12D"/>
                <w:sz w:val="32"/>
                <w:szCs w:val="28"/>
              </w:rPr>
            </w:pPr>
            <w:r w:rsidRPr="00185AF4">
              <w:t>0.0005</w:t>
            </w:r>
          </w:p>
        </w:tc>
        <w:tc>
          <w:tcPr>
            <w:tcW w:w="1345" w:type="dxa"/>
            <w:shd w:val="clear" w:color="auto" w:fill="auto"/>
            <w:noWrap/>
            <w:vAlign w:val="bottom"/>
            <w:hideMark/>
          </w:tcPr>
          <w:p w14:paraId="48D0020A"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0B88E726" w14:textId="77777777" w:rsidTr="00B22A62">
        <w:trPr>
          <w:trHeight w:val="300"/>
        </w:trPr>
        <w:tc>
          <w:tcPr>
            <w:tcW w:w="950" w:type="dxa"/>
            <w:shd w:val="clear" w:color="auto" w:fill="auto"/>
            <w:noWrap/>
            <w:vAlign w:val="bottom"/>
            <w:hideMark/>
          </w:tcPr>
          <w:p w14:paraId="49AA8DE6" w14:textId="77777777" w:rsidR="00FC4056" w:rsidRPr="00185AF4" w:rsidRDefault="00FC4056" w:rsidP="00567103">
            <w:pPr>
              <w:pStyle w:val="Tabletext"/>
              <w:rPr>
                <w:rFonts w:cs="Arial"/>
                <w:bCs/>
                <w:iCs/>
                <w:color w:val="AEC12D"/>
                <w:sz w:val="32"/>
                <w:szCs w:val="28"/>
              </w:rPr>
            </w:pPr>
            <w:r w:rsidRPr="00185AF4">
              <w:t>154</w:t>
            </w:r>
          </w:p>
        </w:tc>
        <w:tc>
          <w:tcPr>
            <w:tcW w:w="966" w:type="dxa"/>
            <w:shd w:val="clear" w:color="auto" w:fill="auto"/>
            <w:noWrap/>
            <w:vAlign w:val="bottom"/>
            <w:hideMark/>
          </w:tcPr>
          <w:p w14:paraId="2F128A3F" w14:textId="77777777" w:rsidR="00FC4056" w:rsidRPr="00185AF4" w:rsidRDefault="00FC4056" w:rsidP="00567103">
            <w:pPr>
              <w:pStyle w:val="Tabletext"/>
              <w:tabs>
                <w:tab w:val="decimal" w:pos="327"/>
              </w:tabs>
              <w:rPr>
                <w:rFonts w:cs="Arial"/>
                <w:bCs/>
                <w:iCs/>
                <w:color w:val="AEC12D"/>
                <w:sz w:val="32"/>
                <w:szCs w:val="28"/>
              </w:rPr>
            </w:pPr>
            <w:r w:rsidRPr="00185AF4">
              <w:t>0.008</w:t>
            </w:r>
          </w:p>
        </w:tc>
        <w:tc>
          <w:tcPr>
            <w:tcW w:w="1642" w:type="dxa"/>
            <w:shd w:val="clear" w:color="auto" w:fill="auto"/>
            <w:noWrap/>
            <w:vAlign w:val="bottom"/>
            <w:hideMark/>
          </w:tcPr>
          <w:p w14:paraId="754E569E" w14:textId="77777777" w:rsidR="00FC4056" w:rsidRPr="00185AF4" w:rsidRDefault="00FC4056" w:rsidP="00567103">
            <w:pPr>
              <w:pStyle w:val="Tabletext"/>
              <w:tabs>
                <w:tab w:val="decimal" w:pos="327"/>
              </w:tabs>
              <w:rPr>
                <w:rFonts w:cs="Arial"/>
                <w:bCs/>
                <w:iCs/>
                <w:color w:val="AEC12D"/>
                <w:sz w:val="32"/>
                <w:szCs w:val="28"/>
              </w:rPr>
            </w:pPr>
            <w:r w:rsidRPr="00185AF4">
              <w:t>0.008</w:t>
            </w:r>
          </w:p>
        </w:tc>
        <w:tc>
          <w:tcPr>
            <w:tcW w:w="965" w:type="dxa"/>
            <w:shd w:val="clear" w:color="auto" w:fill="auto"/>
            <w:noWrap/>
            <w:vAlign w:val="bottom"/>
            <w:hideMark/>
          </w:tcPr>
          <w:p w14:paraId="595DF364" w14:textId="77777777" w:rsidR="00FC4056" w:rsidRPr="00185AF4" w:rsidRDefault="00FC4056" w:rsidP="00567103">
            <w:pPr>
              <w:pStyle w:val="Tabletext"/>
              <w:tabs>
                <w:tab w:val="decimal" w:pos="327"/>
              </w:tabs>
              <w:rPr>
                <w:rFonts w:cs="Arial"/>
                <w:bCs/>
                <w:iCs/>
                <w:color w:val="AEC12D"/>
                <w:sz w:val="32"/>
                <w:szCs w:val="28"/>
              </w:rPr>
            </w:pPr>
            <w:r w:rsidRPr="00185AF4">
              <w:t>0.005</w:t>
            </w:r>
          </w:p>
        </w:tc>
        <w:tc>
          <w:tcPr>
            <w:tcW w:w="998" w:type="dxa"/>
            <w:shd w:val="clear" w:color="auto" w:fill="auto"/>
            <w:noWrap/>
            <w:vAlign w:val="bottom"/>
            <w:hideMark/>
          </w:tcPr>
          <w:p w14:paraId="044F373F" w14:textId="77777777" w:rsidR="00FC4056" w:rsidRPr="00185AF4" w:rsidRDefault="00FC4056" w:rsidP="00567103">
            <w:pPr>
              <w:pStyle w:val="Tabletext"/>
              <w:tabs>
                <w:tab w:val="decimal" w:pos="327"/>
              </w:tabs>
              <w:rPr>
                <w:rFonts w:cs="Arial"/>
                <w:bCs/>
                <w:iCs/>
                <w:color w:val="AEC12D"/>
                <w:sz w:val="32"/>
                <w:szCs w:val="28"/>
              </w:rPr>
            </w:pPr>
            <w:r w:rsidRPr="00185AF4">
              <w:t>0.0005</w:t>
            </w:r>
          </w:p>
        </w:tc>
        <w:tc>
          <w:tcPr>
            <w:tcW w:w="965" w:type="dxa"/>
            <w:shd w:val="clear" w:color="auto" w:fill="auto"/>
            <w:noWrap/>
            <w:vAlign w:val="bottom"/>
            <w:hideMark/>
          </w:tcPr>
          <w:p w14:paraId="6E071F49" w14:textId="77777777" w:rsidR="00FC4056" w:rsidRPr="00185AF4" w:rsidRDefault="00FC4056" w:rsidP="00567103">
            <w:pPr>
              <w:pStyle w:val="Tabletext"/>
              <w:tabs>
                <w:tab w:val="decimal" w:pos="327"/>
              </w:tabs>
              <w:rPr>
                <w:rFonts w:cs="Arial"/>
                <w:bCs/>
                <w:iCs/>
                <w:color w:val="AEC12D"/>
                <w:sz w:val="32"/>
                <w:szCs w:val="28"/>
              </w:rPr>
            </w:pPr>
            <w:r w:rsidRPr="00185AF4">
              <w:t>0.0005</w:t>
            </w:r>
          </w:p>
        </w:tc>
        <w:tc>
          <w:tcPr>
            <w:tcW w:w="1042" w:type="dxa"/>
            <w:shd w:val="clear" w:color="auto" w:fill="auto"/>
            <w:noWrap/>
            <w:vAlign w:val="bottom"/>
            <w:hideMark/>
          </w:tcPr>
          <w:p w14:paraId="22482497" w14:textId="77777777" w:rsidR="00FC4056" w:rsidRPr="00185AF4" w:rsidRDefault="00FC4056" w:rsidP="00567103">
            <w:pPr>
              <w:pStyle w:val="Tabletext"/>
              <w:tabs>
                <w:tab w:val="decimal" w:pos="327"/>
              </w:tabs>
              <w:rPr>
                <w:rFonts w:cs="Arial"/>
                <w:bCs/>
                <w:iCs/>
                <w:color w:val="AEC12D"/>
                <w:sz w:val="32"/>
                <w:szCs w:val="28"/>
              </w:rPr>
            </w:pPr>
            <w:r w:rsidRPr="00185AF4">
              <w:t>0.0005</w:t>
            </w:r>
          </w:p>
        </w:tc>
        <w:tc>
          <w:tcPr>
            <w:tcW w:w="888" w:type="dxa"/>
            <w:shd w:val="clear" w:color="auto" w:fill="auto"/>
            <w:noWrap/>
            <w:vAlign w:val="bottom"/>
            <w:hideMark/>
          </w:tcPr>
          <w:p w14:paraId="44B06C14" w14:textId="77777777" w:rsidR="00FC4056" w:rsidRPr="00185AF4" w:rsidRDefault="00FC4056" w:rsidP="00567103">
            <w:pPr>
              <w:pStyle w:val="Tabletext"/>
              <w:tabs>
                <w:tab w:val="decimal" w:pos="327"/>
              </w:tabs>
              <w:rPr>
                <w:rFonts w:cs="Arial"/>
                <w:bCs/>
                <w:iCs/>
                <w:color w:val="AEC12D"/>
                <w:sz w:val="32"/>
                <w:szCs w:val="28"/>
              </w:rPr>
            </w:pPr>
            <w:r w:rsidRPr="00185AF4">
              <w:t>0.0005</w:t>
            </w:r>
          </w:p>
        </w:tc>
        <w:tc>
          <w:tcPr>
            <w:tcW w:w="1345" w:type="dxa"/>
            <w:shd w:val="clear" w:color="auto" w:fill="auto"/>
            <w:noWrap/>
            <w:vAlign w:val="bottom"/>
            <w:hideMark/>
          </w:tcPr>
          <w:p w14:paraId="3F2F1016"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4F5128FF" w14:textId="77777777" w:rsidTr="00B22A62">
        <w:trPr>
          <w:trHeight w:val="300"/>
        </w:trPr>
        <w:tc>
          <w:tcPr>
            <w:tcW w:w="950" w:type="dxa"/>
            <w:shd w:val="clear" w:color="auto" w:fill="auto"/>
            <w:noWrap/>
            <w:vAlign w:val="bottom"/>
            <w:hideMark/>
          </w:tcPr>
          <w:p w14:paraId="1E185767" w14:textId="77777777" w:rsidR="00FC4056" w:rsidRPr="00185AF4" w:rsidRDefault="00FC4056" w:rsidP="00567103">
            <w:pPr>
              <w:pStyle w:val="Tabletext"/>
              <w:rPr>
                <w:rFonts w:cs="Arial"/>
                <w:bCs/>
                <w:iCs/>
                <w:color w:val="AEC12D"/>
                <w:sz w:val="32"/>
                <w:szCs w:val="28"/>
              </w:rPr>
            </w:pPr>
            <w:r w:rsidRPr="00185AF4">
              <w:t>155</w:t>
            </w:r>
          </w:p>
        </w:tc>
        <w:tc>
          <w:tcPr>
            <w:tcW w:w="966" w:type="dxa"/>
            <w:shd w:val="clear" w:color="auto" w:fill="auto"/>
            <w:noWrap/>
            <w:vAlign w:val="bottom"/>
            <w:hideMark/>
          </w:tcPr>
          <w:p w14:paraId="26DDBF8B" w14:textId="77777777" w:rsidR="00FC4056" w:rsidRPr="00185AF4" w:rsidRDefault="00FC4056" w:rsidP="00567103">
            <w:pPr>
              <w:pStyle w:val="Tabletext"/>
              <w:tabs>
                <w:tab w:val="decimal" w:pos="327"/>
              </w:tabs>
              <w:rPr>
                <w:rFonts w:cs="Arial"/>
                <w:bCs/>
                <w:iCs/>
                <w:color w:val="AEC12D"/>
                <w:sz w:val="32"/>
                <w:szCs w:val="28"/>
              </w:rPr>
            </w:pPr>
            <w:r w:rsidRPr="00185AF4">
              <w:t>0.004</w:t>
            </w:r>
          </w:p>
        </w:tc>
        <w:tc>
          <w:tcPr>
            <w:tcW w:w="1642" w:type="dxa"/>
            <w:shd w:val="clear" w:color="auto" w:fill="auto"/>
            <w:noWrap/>
            <w:vAlign w:val="bottom"/>
            <w:hideMark/>
          </w:tcPr>
          <w:p w14:paraId="240A0905" w14:textId="77777777" w:rsidR="00FC4056" w:rsidRPr="00185AF4" w:rsidRDefault="00FC4056" w:rsidP="00567103">
            <w:pPr>
              <w:pStyle w:val="Tabletext"/>
              <w:tabs>
                <w:tab w:val="decimal" w:pos="327"/>
              </w:tabs>
              <w:rPr>
                <w:rFonts w:cs="Arial"/>
                <w:bCs/>
                <w:iCs/>
                <w:color w:val="AEC12D"/>
                <w:sz w:val="32"/>
                <w:szCs w:val="28"/>
              </w:rPr>
            </w:pPr>
            <w:r w:rsidRPr="00185AF4">
              <w:t>0.004</w:t>
            </w:r>
          </w:p>
        </w:tc>
        <w:tc>
          <w:tcPr>
            <w:tcW w:w="965" w:type="dxa"/>
            <w:shd w:val="clear" w:color="auto" w:fill="auto"/>
            <w:noWrap/>
            <w:vAlign w:val="bottom"/>
            <w:hideMark/>
          </w:tcPr>
          <w:p w14:paraId="3008D045"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998" w:type="dxa"/>
            <w:shd w:val="clear" w:color="auto" w:fill="auto"/>
            <w:noWrap/>
            <w:vAlign w:val="bottom"/>
            <w:hideMark/>
          </w:tcPr>
          <w:p w14:paraId="5D2ABD88"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4BB5FBC6"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042" w:type="dxa"/>
            <w:shd w:val="clear" w:color="auto" w:fill="auto"/>
            <w:noWrap/>
            <w:vAlign w:val="bottom"/>
            <w:hideMark/>
          </w:tcPr>
          <w:p w14:paraId="1F88ADF4"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888" w:type="dxa"/>
            <w:shd w:val="clear" w:color="auto" w:fill="auto"/>
            <w:noWrap/>
            <w:vAlign w:val="bottom"/>
            <w:hideMark/>
          </w:tcPr>
          <w:p w14:paraId="59862701"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345" w:type="dxa"/>
            <w:shd w:val="clear" w:color="auto" w:fill="auto"/>
            <w:noWrap/>
            <w:vAlign w:val="bottom"/>
            <w:hideMark/>
          </w:tcPr>
          <w:p w14:paraId="0A934881"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23E24DD8" w14:textId="77777777" w:rsidTr="00B22A62">
        <w:trPr>
          <w:trHeight w:val="300"/>
        </w:trPr>
        <w:tc>
          <w:tcPr>
            <w:tcW w:w="950" w:type="dxa"/>
            <w:shd w:val="clear" w:color="auto" w:fill="auto"/>
            <w:noWrap/>
            <w:vAlign w:val="bottom"/>
            <w:hideMark/>
          </w:tcPr>
          <w:p w14:paraId="779E97F3" w14:textId="77777777" w:rsidR="00FC4056" w:rsidRPr="00185AF4" w:rsidRDefault="00FC4056" w:rsidP="00567103">
            <w:pPr>
              <w:pStyle w:val="Tabletext"/>
              <w:rPr>
                <w:rFonts w:cs="Arial"/>
                <w:bCs/>
                <w:iCs/>
                <w:color w:val="AEC12D"/>
                <w:sz w:val="32"/>
                <w:szCs w:val="28"/>
              </w:rPr>
            </w:pPr>
            <w:r w:rsidRPr="00185AF4">
              <w:t>156</w:t>
            </w:r>
          </w:p>
        </w:tc>
        <w:tc>
          <w:tcPr>
            <w:tcW w:w="966" w:type="dxa"/>
            <w:shd w:val="clear" w:color="auto" w:fill="auto"/>
            <w:noWrap/>
            <w:vAlign w:val="bottom"/>
            <w:hideMark/>
          </w:tcPr>
          <w:p w14:paraId="1A3832E6"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642" w:type="dxa"/>
            <w:shd w:val="clear" w:color="auto" w:fill="auto"/>
            <w:noWrap/>
            <w:vAlign w:val="bottom"/>
            <w:hideMark/>
          </w:tcPr>
          <w:p w14:paraId="79057180"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60E0346F"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98" w:type="dxa"/>
            <w:shd w:val="clear" w:color="auto" w:fill="auto"/>
            <w:noWrap/>
            <w:vAlign w:val="bottom"/>
            <w:hideMark/>
          </w:tcPr>
          <w:p w14:paraId="1448669C"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389531CF"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042" w:type="dxa"/>
            <w:shd w:val="clear" w:color="auto" w:fill="auto"/>
            <w:noWrap/>
            <w:vAlign w:val="bottom"/>
            <w:hideMark/>
          </w:tcPr>
          <w:p w14:paraId="4EA4A272" w14:textId="77777777" w:rsidR="00FC4056" w:rsidRPr="00185AF4" w:rsidRDefault="00FC4056" w:rsidP="00567103">
            <w:pPr>
              <w:pStyle w:val="Tabletext"/>
              <w:tabs>
                <w:tab w:val="decimal" w:pos="327"/>
              </w:tabs>
            </w:pPr>
            <w:r w:rsidRPr="00185AF4">
              <w:t>0</w:t>
            </w:r>
          </w:p>
        </w:tc>
        <w:tc>
          <w:tcPr>
            <w:tcW w:w="888" w:type="dxa"/>
            <w:shd w:val="clear" w:color="auto" w:fill="auto"/>
            <w:noWrap/>
            <w:vAlign w:val="bottom"/>
            <w:hideMark/>
          </w:tcPr>
          <w:p w14:paraId="1CF8DDDC"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345" w:type="dxa"/>
            <w:shd w:val="clear" w:color="auto" w:fill="auto"/>
            <w:noWrap/>
            <w:vAlign w:val="bottom"/>
            <w:hideMark/>
          </w:tcPr>
          <w:p w14:paraId="126410B9"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05DEEA19" w14:textId="77777777" w:rsidTr="00B22A62">
        <w:trPr>
          <w:trHeight w:val="300"/>
        </w:trPr>
        <w:tc>
          <w:tcPr>
            <w:tcW w:w="950" w:type="dxa"/>
            <w:shd w:val="clear" w:color="auto" w:fill="auto"/>
            <w:noWrap/>
            <w:vAlign w:val="bottom"/>
            <w:hideMark/>
          </w:tcPr>
          <w:p w14:paraId="3BD119A2" w14:textId="77777777" w:rsidR="00FC4056" w:rsidRPr="00185AF4" w:rsidRDefault="00FC4056" w:rsidP="00567103">
            <w:pPr>
              <w:pStyle w:val="Tabletext"/>
              <w:rPr>
                <w:rFonts w:cs="Arial"/>
                <w:bCs/>
                <w:iCs/>
                <w:color w:val="AEC12D"/>
                <w:sz w:val="32"/>
                <w:szCs w:val="28"/>
              </w:rPr>
            </w:pPr>
            <w:r w:rsidRPr="00185AF4">
              <w:t>157</w:t>
            </w:r>
          </w:p>
        </w:tc>
        <w:tc>
          <w:tcPr>
            <w:tcW w:w="966" w:type="dxa"/>
            <w:shd w:val="clear" w:color="auto" w:fill="auto"/>
            <w:noWrap/>
            <w:vAlign w:val="bottom"/>
            <w:hideMark/>
          </w:tcPr>
          <w:p w14:paraId="5FD11E3D"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642" w:type="dxa"/>
            <w:shd w:val="clear" w:color="auto" w:fill="auto"/>
            <w:noWrap/>
            <w:vAlign w:val="bottom"/>
            <w:hideMark/>
          </w:tcPr>
          <w:p w14:paraId="7481E173"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965" w:type="dxa"/>
            <w:shd w:val="clear" w:color="auto" w:fill="auto"/>
            <w:noWrap/>
            <w:vAlign w:val="bottom"/>
            <w:hideMark/>
          </w:tcPr>
          <w:p w14:paraId="35B2EA12"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98" w:type="dxa"/>
            <w:shd w:val="clear" w:color="auto" w:fill="auto"/>
            <w:noWrap/>
            <w:vAlign w:val="bottom"/>
            <w:hideMark/>
          </w:tcPr>
          <w:p w14:paraId="2BCA8098"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965" w:type="dxa"/>
            <w:shd w:val="clear" w:color="auto" w:fill="auto"/>
            <w:noWrap/>
            <w:vAlign w:val="bottom"/>
            <w:hideMark/>
          </w:tcPr>
          <w:p w14:paraId="12B408B6"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1042" w:type="dxa"/>
            <w:shd w:val="clear" w:color="auto" w:fill="auto"/>
            <w:noWrap/>
            <w:vAlign w:val="bottom"/>
            <w:hideMark/>
          </w:tcPr>
          <w:p w14:paraId="1FBED827"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888" w:type="dxa"/>
            <w:shd w:val="clear" w:color="auto" w:fill="auto"/>
            <w:noWrap/>
            <w:vAlign w:val="bottom"/>
            <w:hideMark/>
          </w:tcPr>
          <w:p w14:paraId="7777262F"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1345" w:type="dxa"/>
            <w:shd w:val="clear" w:color="auto" w:fill="auto"/>
            <w:noWrap/>
            <w:vAlign w:val="bottom"/>
            <w:hideMark/>
          </w:tcPr>
          <w:p w14:paraId="3100C6FF"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1888E735" w14:textId="77777777" w:rsidTr="00B22A62">
        <w:trPr>
          <w:trHeight w:val="300"/>
        </w:trPr>
        <w:tc>
          <w:tcPr>
            <w:tcW w:w="950" w:type="dxa"/>
            <w:shd w:val="clear" w:color="auto" w:fill="auto"/>
            <w:noWrap/>
            <w:vAlign w:val="bottom"/>
            <w:hideMark/>
          </w:tcPr>
          <w:p w14:paraId="53C7832B" w14:textId="77777777" w:rsidR="00FC4056" w:rsidRPr="00185AF4" w:rsidRDefault="00FC4056" w:rsidP="00567103">
            <w:pPr>
              <w:pStyle w:val="Tabletext"/>
              <w:rPr>
                <w:rFonts w:cs="Arial"/>
                <w:bCs/>
                <w:iCs/>
                <w:color w:val="AEC12D"/>
                <w:sz w:val="32"/>
                <w:szCs w:val="28"/>
              </w:rPr>
            </w:pPr>
            <w:r w:rsidRPr="00185AF4">
              <w:t>158</w:t>
            </w:r>
          </w:p>
        </w:tc>
        <w:tc>
          <w:tcPr>
            <w:tcW w:w="966" w:type="dxa"/>
            <w:shd w:val="clear" w:color="auto" w:fill="auto"/>
            <w:noWrap/>
            <w:vAlign w:val="bottom"/>
            <w:hideMark/>
          </w:tcPr>
          <w:p w14:paraId="27FFEA68"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1642" w:type="dxa"/>
            <w:shd w:val="clear" w:color="auto" w:fill="auto"/>
            <w:noWrap/>
            <w:vAlign w:val="bottom"/>
            <w:hideMark/>
          </w:tcPr>
          <w:p w14:paraId="1FD04CD5"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965" w:type="dxa"/>
            <w:shd w:val="clear" w:color="auto" w:fill="auto"/>
            <w:noWrap/>
            <w:vAlign w:val="bottom"/>
            <w:hideMark/>
          </w:tcPr>
          <w:p w14:paraId="152051EF"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998" w:type="dxa"/>
            <w:shd w:val="clear" w:color="auto" w:fill="auto"/>
            <w:noWrap/>
            <w:vAlign w:val="bottom"/>
            <w:hideMark/>
          </w:tcPr>
          <w:p w14:paraId="13F40D67"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65" w:type="dxa"/>
            <w:shd w:val="clear" w:color="auto" w:fill="auto"/>
            <w:noWrap/>
            <w:vAlign w:val="bottom"/>
            <w:hideMark/>
          </w:tcPr>
          <w:p w14:paraId="14B2D826"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042" w:type="dxa"/>
            <w:shd w:val="clear" w:color="auto" w:fill="auto"/>
            <w:noWrap/>
            <w:vAlign w:val="bottom"/>
            <w:hideMark/>
          </w:tcPr>
          <w:p w14:paraId="2C1AF855"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888" w:type="dxa"/>
            <w:shd w:val="clear" w:color="auto" w:fill="auto"/>
            <w:noWrap/>
            <w:vAlign w:val="bottom"/>
            <w:hideMark/>
          </w:tcPr>
          <w:p w14:paraId="21B59625"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345" w:type="dxa"/>
            <w:shd w:val="clear" w:color="auto" w:fill="auto"/>
            <w:noWrap/>
            <w:vAlign w:val="bottom"/>
            <w:hideMark/>
          </w:tcPr>
          <w:p w14:paraId="4E4DC4EF"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07EF9F44" w14:textId="77777777" w:rsidTr="00B22A62">
        <w:trPr>
          <w:trHeight w:val="300"/>
        </w:trPr>
        <w:tc>
          <w:tcPr>
            <w:tcW w:w="950" w:type="dxa"/>
            <w:shd w:val="clear" w:color="auto" w:fill="auto"/>
            <w:noWrap/>
            <w:vAlign w:val="bottom"/>
            <w:hideMark/>
          </w:tcPr>
          <w:p w14:paraId="571AA2AF" w14:textId="77777777" w:rsidR="00FC4056" w:rsidRPr="00185AF4" w:rsidRDefault="00FC4056" w:rsidP="00567103">
            <w:pPr>
              <w:pStyle w:val="Tabletext"/>
              <w:rPr>
                <w:rFonts w:cs="Arial"/>
                <w:bCs/>
                <w:iCs/>
                <w:color w:val="AEC12D"/>
                <w:sz w:val="32"/>
                <w:szCs w:val="28"/>
              </w:rPr>
            </w:pPr>
            <w:r w:rsidRPr="00185AF4">
              <w:t>188</w:t>
            </w:r>
          </w:p>
        </w:tc>
        <w:tc>
          <w:tcPr>
            <w:tcW w:w="966" w:type="dxa"/>
            <w:shd w:val="clear" w:color="auto" w:fill="auto"/>
            <w:noWrap/>
            <w:vAlign w:val="bottom"/>
            <w:hideMark/>
          </w:tcPr>
          <w:p w14:paraId="33E009E3" w14:textId="77777777" w:rsidR="00FC4056" w:rsidRPr="00185AF4" w:rsidRDefault="00FC4056" w:rsidP="00567103">
            <w:pPr>
              <w:pStyle w:val="Tabletext"/>
              <w:tabs>
                <w:tab w:val="decimal" w:pos="327"/>
              </w:tabs>
              <w:rPr>
                <w:rFonts w:cs="Arial"/>
                <w:bCs/>
                <w:iCs/>
                <w:color w:val="AEC12D"/>
                <w:sz w:val="32"/>
                <w:szCs w:val="28"/>
              </w:rPr>
            </w:pPr>
            <w:r w:rsidRPr="00185AF4">
              <w:t>0.007</w:t>
            </w:r>
          </w:p>
        </w:tc>
        <w:tc>
          <w:tcPr>
            <w:tcW w:w="1642" w:type="dxa"/>
            <w:shd w:val="clear" w:color="auto" w:fill="auto"/>
            <w:noWrap/>
            <w:vAlign w:val="bottom"/>
            <w:hideMark/>
          </w:tcPr>
          <w:p w14:paraId="34E81C09" w14:textId="77777777" w:rsidR="00FC4056" w:rsidRPr="00185AF4" w:rsidRDefault="00FC4056" w:rsidP="00567103">
            <w:pPr>
              <w:pStyle w:val="Tabletext"/>
              <w:tabs>
                <w:tab w:val="decimal" w:pos="327"/>
              </w:tabs>
              <w:rPr>
                <w:rFonts w:cs="Arial"/>
                <w:bCs/>
                <w:iCs/>
                <w:color w:val="AEC12D"/>
                <w:sz w:val="32"/>
                <w:szCs w:val="28"/>
              </w:rPr>
            </w:pPr>
            <w:r w:rsidRPr="00185AF4">
              <w:t>0.006</w:t>
            </w:r>
          </w:p>
        </w:tc>
        <w:tc>
          <w:tcPr>
            <w:tcW w:w="965" w:type="dxa"/>
            <w:shd w:val="clear" w:color="auto" w:fill="auto"/>
            <w:noWrap/>
            <w:vAlign w:val="bottom"/>
            <w:hideMark/>
          </w:tcPr>
          <w:p w14:paraId="4788658D"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998" w:type="dxa"/>
            <w:shd w:val="clear" w:color="auto" w:fill="auto"/>
            <w:noWrap/>
            <w:vAlign w:val="bottom"/>
            <w:hideMark/>
          </w:tcPr>
          <w:p w14:paraId="56ACBBB8"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3BAA7875"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042" w:type="dxa"/>
            <w:shd w:val="clear" w:color="auto" w:fill="auto"/>
            <w:noWrap/>
            <w:vAlign w:val="bottom"/>
            <w:hideMark/>
          </w:tcPr>
          <w:p w14:paraId="15DBE896"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888" w:type="dxa"/>
            <w:shd w:val="clear" w:color="auto" w:fill="auto"/>
            <w:noWrap/>
            <w:vAlign w:val="bottom"/>
            <w:hideMark/>
          </w:tcPr>
          <w:p w14:paraId="3076924B"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345" w:type="dxa"/>
            <w:shd w:val="clear" w:color="auto" w:fill="auto"/>
            <w:noWrap/>
            <w:vAlign w:val="bottom"/>
            <w:hideMark/>
          </w:tcPr>
          <w:p w14:paraId="4FD70BE1"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2E9E88F3" w14:textId="77777777" w:rsidTr="00B22A62">
        <w:trPr>
          <w:trHeight w:val="300"/>
        </w:trPr>
        <w:tc>
          <w:tcPr>
            <w:tcW w:w="950" w:type="dxa"/>
            <w:shd w:val="clear" w:color="auto" w:fill="auto"/>
            <w:noWrap/>
            <w:vAlign w:val="bottom"/>
            <w:hideMark/>
          </w:tcPr>
          <w:p w14:paraId="0EBDB618" w14:textId="77777777" w:rsidR="00FC4056" w:rsidRPr="00185AF4" w:rsidRDefault="00FC4056" w:rsidP="00567103">
            <w:pPr>
              <w:pStyle w:val="Tabletext"/>
              <w:rPr>
                <w:rFonts w:cs="Arial"/>
                <w:bCs/>
                <w:iCs/>
                <w:color w:val="AEC12D"/>
                <w:sz w:val="32"/>
                <w:szCs w:val="28"/>
              </w:rPr>
            </w:pPr>
            <w:r w:rsidRPr="00185AF4">
              <w:t>189</w:t>
            </w:r>
          </w:p>
        </w:tc>
        <w:tc>
          <w:tcPr>
            <w:tcW w:w="966" w:type="dxa"/>
            <w:shd w:val="clear" w:color="auto" w:fill="auto"/>
            <w:noWrap/>
            <w:vAlign w:val="bottom"/>
            <w:hideMark/>
          </w:tcPr>
          <w:p w14:paraId="1EFF67A6"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1642" w:type="dxa"/>
            <w:shd w:val="clear" w:color="auto" w:fill="auto"/>
            <w:noWrap/>
            <w:vAlign w:val="bottom"/>
            <w:hideMark/>
          </w:tcPr>
          <w:p w14:paraId="4738163C"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965" w:type="dxa"/>
            <w:shd w:val="clear" w:color="auto" w:fill="auto"/>
            <w:noWrap/>
            <w:vAlign w:val="bottom"/>
            <w:hideMark/>
          </w:tcPr>
          <w:p w14:paraId="4DB9C7D9"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998" w:type="dxa"/>
            <w:shd w:val="clear" w:color="auto" w:fill="auto"/>
            <w:noWrap/>
            <w:vAlign w:val="bottom"/>
            <w:hideMark/>
          </w:tcPr>
          <w:p w14:paraId="6B34B7AE"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965" w:type="dxa"/>
            <w:shd w:val="clear" w:color="auto" w:fill="auto"/>
            <w:noWrap/>
            <w:vAlign w:val="bottom"/>
            <w:hideMark/>
          </w:tcPr>
          <w:p w14:paraId="607784F8"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042" w:type="dxa"/>
            <w:shd w:val="clear" w:color="auto" w:fill="auto"/>
            <w:noWrap/>
            <w:vAlign w:val="bottom"/>
            <w:hideMark/>
          </w:tcPr>
          <w:p w14:paraId="64351A8C"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888" w:type="dxa"/>
            <w:shd w:val="clear" w:color="auto" w:fill="auto"/>
            <w:noWrap/>
            <w:vAlign w:val="bottom"/>
            <w:hideMark/>
          </w:tcPr>
          <w:p w14:paraId="644861BF"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345" w:type="dxa"/>
            <w:shd w:val="clear" w:color="auto" w:fill="auto"/>
            <w:noWrap/>
            <w:vAlign w:val="bottom"/>
            <w:hideMark/>
          </w:tcPr>
          <w:p w14:paraId="47DAC403"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01CE4A1D" w14:textId="77777777" w:rsidTr="00B22A62">
        <w:trPr>
          <w:trHeight w:val="300"/>
        </w:trPr>
        <w:tc>
          <w:tcPr>
            <w:tcW w:w="950" w:type="dxa"/>
            <w:shd w:val="clear" w:color="auto" w:fill="auto"/>
            <w:noWrap/>
            <w:vAlign w:val="bottom"/>
            <w:hideMark/>
          </w:tcPr>
          <w:p w14:paraId="12F88E4C" w14:textId="77777777" w:rsidR="00FC4056" w:rsidRPr="00185AF4" w:rsidRDefault="00FC4056" w:rsidP="00567103">
            <w:pPr>
              <w:pStyle w:val="Tabletext"/>
              <w:rPr>
                <w:rFonts w:cs="Arial"/>
                <w:bCs/>
                <w:iCs/>
                <w:color w:val="AEC12D"/>
                <w:sz w:val="32"/>
                <w:szCs w:val="28"/>
              </w:rPr>
            </w:pPr>
            <w:r w:rsidRPr="00185AF4">
              <w:t>190</w:t>
            </w:r>
          </w:p>
        </w:tc>
        <w:tc>
          <w:tcPr>
            <w:tcW w:w="966" w:type="dxa"/>
            <w:shd w:val="clear" w:color="auto" w:fill="auto"/>
            <w:noWrap/>
            <w:vAlign w:val="bottom"/>
            <w:hideMark/>
          </w:tcPr>
          <w:p w14:paraId="6477C00A"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642" w:type="dxa"/>
            <w:shd w:val="clear" w:color="auto" w:fill="auto"/>
            <w:noWrap/>
            <w:vAlign w:val="bottom"/>
            <w:hideMark/>
          </w:tcPr>
          <w:p w14:paraId="610F35F1" w14:textId="77777777" w:rsidR="00FC4056" w:rsidRPr="00185AF4" w:rsidRDefault="00FC4056" w:rsidP="00567103">
            <w:pPr>
              <w:pStyle w:val="Tabletext"/>
              <w:tabs>
                <w:tab w:val="decimal" w:pos="327"/>
              </w:tabs>
            </w:pPr>
            <w:r w:rsidRPr="00185AF4">
              <w:t>0.01</w:t>
            </w:r>
          </w:p>
        </w:tc>
        <w:tc>
          <w:tcPr>
            <w:tcW w:w="965" w:type="dxa"/>
            <w:shd w:val="clear" w:color="auto" w:fill="auto"/>
            <w:noWrap/>
            <w:vAlign w:val="bottom"/>
            <w:hideMark/>
          </w:tcPr>
          <w:p w14:paraId="1F95577D" w14:textId="77777777" w:rsidR="00FC4056" w:rsidRPr="00185AF4" w:rsidRDefault="00FC4056" w:rsidP="00567103">
            <w:pPr>
              <w:pStyle w:val="Tabletext"/>
              <w:tabs>
                <w:tab w:val="decimal" w:pos="327"/>
              </w:tabs>
              <w:rPr>
                <w:rFonts w:cs="Arial"/>
                <w:bCs/>
                <w:iCs/>
                <w:color w:val="AEC12D"/>
                <w:sz w:val="32"/>
                <w:szCs w:val="28"/>
              </w:rPr>
            </w:pPr>
            <w:r w:rsidRPr="00185AF4">
              <w:t>0.004</w:t>
            </w:r>
          </w:p>
        </w:tc>
        <w:tc>
          <w:tcPr>
            <w:tcW w:w="998" w:type="dxa"/>
            <w:shd w:val="clear" w:color="auto" w:fill="auto"/>
            <w:noWrap/>
            <w:vAlign w:val="bottom"/>
            <w:hideMark/>
          </w:tcPr>
          <w:p w14:paraId="3F4A1055" w14:textId="77777777" w:rsidR="00FC4056" w:rsidRPr="00185AF4" w:rsidRDefault="00FC4056" w:rsidP="00567103">
            <w:pPr>
              <w:pStyle w:val="Tabletext"/>
              <w:tabs>
                <w:tab w:val="decimal" w:pos="327"/>
              </w:tabs>
              <w:rPr>
                <w:rFonts w:cs="Arial"/>
                <w:bCs/>
                <w:iCs/>
                <w:color w:val="AEC12D"/>
                <w:sz w:val="32"/>
                <w:szCs w:val="28"/>
              </w:rPr>
            </w:pPr>
            <w:r w:rsidRPr="00185AF4">
              <w:t>0.0009</w:t>
            </w:r>
          </w:p>
        </w:tc>
        <w:tc>
          <w:tcPr>
            <w:tcW w:w="965" w:type="dxa"/>
            <w:shd w:val="clear" w:color="auto" w:fill="auto"/>
            <w:noWrap/>
            <w:vAlign w:val="bottom"/>
            <w:hideMark/>
          </w:tcPr>
          <w:p w14:paraId="17615004" w14:textId="77777777" w:rsidR="00FC4056" w:rsidRPr="00185AF4" w:rsidRDefault="00FC4056" w:rsidP="00567103">
            <w:pPr>
              <w:pStyle w:val="Tabletext"/>
              <w:tabs>
                <w:tab w:val="decimal" w:pos="327"/>
              </w:tabs>
              <w:rPr>
                <w:rFonts w:cs="Arial"/>
                <w:bCs/>
                <w:iCs/>
                <w:color w:val="AEC12D"/>
                <w:sz w:val="32"/>
                <w:szCs w:val="28"/>
              </w:rPr>
            </w:pPr>
            <w:r w:rsidRPr="00185AF4">
              <w:t>0.0009</w:t>
            </w:r>
          </w:p>
        </w:tc>
        <w:tc>
          <w:tcPr>
            <w:tcW w:w="1042" w:type="dxa"/>
            <w:shd w:val="clear" w:color="auto" w:fill="auto"/>
            <w:noWrap/>
            <w:vAlign w:val="bottom"/>
            <w:hideMark/>
          </w:tcPr>
          <w:p w14:paraId="0B4779B4" w14:textId="77777777" w:rsidR="00FC4056" w:rsidRPr="00185AF4" w:rsidRDefault="00FC4056" w:rsidP="00567103">
            <w:pPr>
              <w:pStyle w:val="Tabletext"/>
              <w:tabs>
                <w:tab w:val="decimal" w:pos="327"/>
              </w:tabs>
              <w:rPr>
                <w:rFonts w:cs="Arial"/>
                <w:bCs/>
                <w:iCs/>
                <w:color w:val="AEC12D"/>
                <w:sz w:val="32"/>
                <w:szCs w:val="28"/>
              </w:rPr>
            </w:pPr>
            <w:r w:rsidRPr="00185AF4">
              <w:t>0.0009</w:t>
            </w:r>
          </w:p>
        </w:tc>
        <w:tc>
          <w:tcPr>
            <w:tcW w:w="888" w:type="dxa"/>
            <w:shd w:val="clear" w:color="auto" w:fill="auto"/>
            <w:noWrap/>
            <w:vAlign w:val="bottom"/>
            <w:hideMark/>
          </w:tcPr>
          <w:p w14:paraId="5014B679" w14:textId="77777777" w:rsidR="00FC4056" w:rsidRPr="00185AF4" w:rsidRDefault="00FC4056" w:rsidP="00567103">
            <w:pPr>
              <w:pStyle w:val="Tabletext"/>
              <w:tabs>
                <w:tab w:val="decimal" w:pos="327"/>
              </w:tabs>
              <w:rPr>
                <w:rFonts w:cs="Arial"/>
                <w:bCs/>
                <w:iCs/>
                <w:color w:val="AEC12D"/>
                <w:sz w:val="32"/>
                <w:szCs w:val="28"/>
              </w:rPr>
            </w:pPr>
            <w:r w:rsidRPr="00185AF4">
              <w:t>0.0009</w:t>
            </w:r>
          </w:p>
        </w:tc>
        <w:tc>
          <w:tcPr>
            <w:tcW w:w="1345" w:type="dxa"/>
            <w:shd w:val="clear" w:color="auto" w:fill="auto"/>
            <w:noWrap/>
            <w:vAlign w:val="bottom"/>
            <w:hideMark/>
          </w:tcPr>
          <w:p w14:paraId="45A90FC1"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2BE340B7" w14:textId="77777777" w:rsidTr="00B22A62">
        <w:trPr>
          <w:trHeight w:val="300"/>
        </w:trPr>
        <w:tc>
          <w:tcPr>
            <w:tcW w:w="950" w:type="dxa"/>
            <w:shd w:val="clear" w:color="auto" w:fill="auto"/>
            <w:noWrap/>
            <w:vAlign w:val="bottom"/>
            <w:hideMark/>
          </w:tcPr>
          <w:p w14:paraId="61FDFCB2" w14:textId="77777777" w:rsidR="00FC4056" w:rsidRPr="00185AF4" w:rsidRDefault="00FC4056" w:rsidP="00567103">
            <w:pPr>
              <w:pStyle w:val="Tabletext"/>
              <w:rPr>
                <w:rFonts w:cs="Arial"/>
                <w:bCs/>
                <w:iCs/>
                <w:color w:val="AEC12D"/>
                <w:sz w:val="32"/>
                <w:szCs w:val="28"/>
              </w:rPr>
            </w:pPr>
            <w:r w:rsidRPr="00185AF4">
              <w:t>191</w:t>
            </w:r>
          </w:p>
        </w:tc>
        <w:tc>
          <w:tcPr>
            <w:tcW w:w="966" w:type="dxa"/>
            <w:shd w:val="clear" w:color="auto" w:fill="auto"/>
            <w:noWrap/>
            <w:vAlign w:val="bottom"/>
            <w:hideMark/>
          </w:tcPr>
          <w:p w14:paraId="67D4216A"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1642" w:type="dxa"/>
            <w:shd w:val="clear" w:color="auto" w:fill="auto"/>
            <w:noWrap/>
            <w:vAlign w:val="bottom"/>
            <w:hideMark/>
          </w:tcPr>
          <w:p w14:paraId="5012CDCD"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965" w:type="dxa"/>
            <w:shd w:val="clear" w:color="auto" w:fill="auto"/>
            <w:noWrap/>
            <w:vAlign w:val="bottom"/>
            <w:hideMark/>
          </w:tcPr>
          <w:p w14:paraId="7C6E19B2"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98" w:type="dxa"/>
            <w:shd w:val="clear" w:color="auto" w:fill="auto"/>
            <w:noWrap/>
            <w:vAlign w:val="bottom"/>
            <w:hideMark/>
          </w:tcPr>
          <w:p w14:paraId="26DCB4E8" w14:textId="77777777" w:rsidR="00FC4056" w:rsidRPr="00185AF4" w:rsidRDefault="00FC4056" w:rsidP="00567103">
            <w:pPr>
              <w:pStyle w:val="Tabletext"/>
              <w:tabs>
                <w:tab w:val="decimal" w:pos="327"/>
              </w:tabs>
              <w:rPr>
                <w:rFonts w:cs="Arial"/>
                <w:bCs/>
                <w:iCs/>
                <w:color w:val="AEC12D"/>
                <w:sz w:val="32"/>
                <w:szCs w:val="28"/>
              </w:rPr>
            </w:pPr>
            <w:r w:rsidRPr="00185AF4">
              <w:t>0.006</w:t>
            </w:r>
          </w:p>
        </w:tc>
        <w:tc>
          <w:tcPr>
            <w:tcW w:w="965" w:type="dxa"/>
            <w:shd w:val="clear" w:color="auto" w:fill="auto"/>
            <w:noWrap/>
            <w:vAlign w:val="bottom"/>
            <w:hideMark/>
          </w:tcPr>
          <w:p w14:paraId="7C14E9B1" w14:textId="77777777" w:rsidR="00FC4056" w:rsidRPr="00185AF4" w:rsidRDefault="00FC4056" w:rsidP="00567103">
            <w:pPr>
              <w:pStyle w:val="Tabletext"/>
              <w:tabs>
                <w:tab w:val="decimal" w:pos="327"/>
              </w:tabs>
              <w:rPr>
                <w:rFonts w:cs="Arial"/>
                <w:bCs/>
                <w:iCs/>
                <w:color w:val="AEC12D"/>
                <w:sz w:val="32"/>
                <w:szCs w:val="28"/>
              </w:rPr>
            </w:pPr>
            <w:r w:rsidRPr="00185AF4">
              <w:t>0.006</w:t>
            </w:r>
          </w:p>
        </w:tc>
        <w:tc>
          <w:tcPr>
            <w:tcW w:w="1042" w:type="dxa"/>
            <w:shd w:val="clear" w:color="auto" w:fill="auto"/>
            <w:noWrap/>
            <w:vAlign w:val="bottom"/>
            <w:hideMark/>
          </w:tcPr>
          <w:p w14:paraId="49561B18" w14:textId="77777777" w:rsidR="00FC4056" w:rsidRPr="00185AF4" w:rsidRDefault="00FC4056" w:rsidP="00567103">
            <w:pPr>
              <w:pStyle w:val="Tabletext"/>
              <w:tabs>
                <w:tab w:val="decimal" w:pos="327"/>
              </w:tabs>
            </w:pPr>
            <w:r w:rsidRPr="00185AF4">
              <w:t>0.006</w:t>
            </w:r>
          </w:p>
        </w:tc>
        <w:tc>
          <w:tcPr>
            <w:tcW w:w="888" w:type="dxa"/>
            <w:shd w:val="clear" w:color="auto" w:fill="auto"/>
            <w:noWrap/>
            <w:vAlign w:val="bottom"/>
            <w:hideMark/>
          </w:tcPr>
          <w:p w14:paraId="075A41DC" w14:textId="77777777" w:rsidR="00FC4056" w:rsidRPr="00185AF4" w:rsidRDefault="00FC4056" w:rsidP="00567103">
            <w:pPr>
              <w:pStyle w:val="Tabletext"/>
              <w:tabs>
                <w:tab w:val="decimal" w:pos="327"/>
              </w:tabs>
              <w:rPr>
                <w:rFonts w:cs="Arial"/>
                <w:bCs/>
                <w:iCs/>
                <w:color w:val="AEC12D"/>
                <w:sz w:val="32"/>
                <w:szCs w:val="28"/>
              </w:rPr>
            </w:pPr>
            <w:r w:rsidRPr="00185AF4">
              <w:t>0.006</w:t>
            </w:r>
          </w:p>
        </w:tc>
        <w:tc>
          <w:tcPr>
            <w:tcW w:w="1345" w:type="dxa"/>
            <w:shd w:val="clear" w:color="auto" w:fill="auto"/>
            <w:noWrap/>
            <w:vAlign w:val="bottom"/>
            <w:hideMark/>
          </w:tcPr>
          <w:p w14:paraId="2C9D5C1B"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75020970" w14:textId="77777777" w:rsidTr="00B22A62">
        <w:trPr>
          <w:trHeight w:val="300"/>
        </w:trPr>
        <w:tc>
          <w:tcPr>
            <w:tcW w:w="950" w:type="dxa"/>
            <w:shd w:val="clear" w:color="auto" w:fill="auto"/>
            <w:noWrap/>
            <w:vAlign w:val="bottom"/>
            <w:hideMark/>
          </w:tcPr>
          <w:p w14:paraId="48367C34" w14:textId="77777777" w:rsidR="00FC4056" w:rsidRPr="00185AF4" w:rsidRDefault="00FC4056" w:rsidP="00567103">
            <w:pPr>
              <w:pStyle w:val="Tabletext"/>
              <w:rPr>
                <w:rFonts w:cs="Arial"/>
                <w:bCs/>
                <w:iCs/>
                <w:color w:val="AEC12D"/>
                <w:sz w:val="32"/>
                <w:szCs w:val="28"/>
              </w:rPr>
            </w:pPr>
            <w:r w:rsidRPr="00185AF4">
              <w:t>192</w:t>
            </w:r>
          </w:p>
        </w:tc>
        <w:tc>
          <w:tcPr>
            <w:tcW w:w="966" w:type="dxa"/>
            <w:shd w:val="clear" w:color="auto" w:fill="auto"/>
            <w:noWrap/>
            <w:vAlign w:val="bottom"/>
            <w:hideMark/>
          </w:tcPr>
          <w:p w14:paraId="6D47BAEB" w14:textId="77777777" w:rsidR="00FC4056" w:rsidRPr="00185AF4" w:rsidRDefault="00FC4056" w:rsidP="00567103">
            <w:pPr>
              <w:pStyle w:val="Tabletext"/>
              <w:tabs>
                <w:tab w:val="decimal" w:pos="327"/>
              </w:tabs>
              <w:rPr>
                <w:rFonts w:cs="Arial"/>
                <w:bCs/>
                <w:iCs/>
                <w:color w:val="AEC12D"/>
                <w:sz w:val="32"/>
                <w:szCs w:val="28"/>
              </w:rPr>
            </w:pPr>
            <w:r w:rsidRPr="00185AF4">
              <w:t>0.04</w:t>
            </w:r>
          </w:p>
        </w:tc>
        <w:tc>
          <w:tcPr>
            <w:tcW w:w="1642" w:type="dxa"/>
            <w:shd w:val="clear" w:color="auto" w:fill="auto"/>
            <w:noWrap/>
            <w:vAlign w:val="bottom"/>
            <w:hideMark/>
          </w:tcPr>
          <w:p w14:paraId="73DAB604" w14:textId="77777777" w:rsidR="00FC4056" w:rsidRPr="00185AF4" w:rsidRDefault="00FC4056" w:rsidP="00567103">
            <w:pPr>
              <w:pStyle w:val="Tabletext"/>
              <w:tabs>
                <w:tab w:val="decimal" w:pos="327"/>
              </w:tabs>
              <w:rPr>
                <w:rFonts w:cs="Arial"/>
                <w:bCs/>
                <w:iCs/>
                <w:color w:val="AEC12D"/>
                <w:sz w:val="32"/>
                <w:szCs w:val="28"/>
              </w:rPr>
            </w:pPr>
            <w:r w:rsidRPr="00185AF4">
              <w:t>0.04</w:t>
            </w:r>
          </w:p>
        </w:tc>
        <w:tc>
          <w:tcPr>
            <w:tcW w:w="965" w:type="dxa"/>
            <w:shd w:val="clear" w:color="auto" w:fill="auto"/>
            <w:noWrap/>
            <w:vAlign w:val="bottom"/>
            <w:hideMark/>
          </w:tcPr>
          <w:p w14:paraId="28859FD4"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998" w:type="dxa"/>
            <w:shd w:val="clear" w:color="auto" w:fill="auto"/>
            <w:noWrap/>
            <w:vAlign w:val="bottom"/>
            <w:hideMark/>
          </w:tcPr>
          <w:p w14:paraId="295162E8"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65" w:type="dxa"/>
            <w:shd w:val="clear" w:color="auto" w:fill="auto"/>
            <w:noWrap/>
            <w:vAlign w:val="bottom"/>
            <w:hideMark/>
          </w:tcPr>
          <w:p w14:paraId="324C1E6C"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042" w:type="dxa"/>
            <w:shd w:val="clear" w:color="auto" w:fill="auto"/>
            <w:noWrap/>
            <w:vAlign w:val="bottom"/>
            <w:hideMark/>
          </w:tcPr>
          <w:p w14:paraId="2D37DB4B"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888" w:type="dxa"/>
            <w:shd w:val="clear" w:color="auto" w:fill="auto"/>
            <w:noWrap/>
            <w:vAlign w:val="bottom"/>
            <w:hideMark/>
          </w:tcPr>
          <w:p w14:paraId="52E49FB7"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345" w:type="dxa"/>
            <w:shd w:val="clear" w:color="auto" w:fill="auto"/>
            <w:noWrap/>
            <w:vAlign w:val="bottom"/>
            <w:hideMark/>
          </w:tcPr>
          <w:p w14:paraId="27D016A9"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511F2CC0" w14:textId="77777777" w:rsidTr="00B22A62">
        <w:trPr>
          <w:trHeight w:val="300"/>
        </w:trPr>
        <w:tc>
          <w:tcPr>
            <w:tcW w:w="950" w:type="dxa"/>
            <w:shd w:val="clear" w:color="auto" w:fill="auto"/>
            <w:noWrap/>
            <w:vAlign w:val="bottom"/>
            <w:hideMark/>
          </w:tcPr>
          <w:p w14:paraId="6A3108CB" w14:textId="77777777" w:rsidR="00FC4056" w:rsidRPr="00185AF4" w:rsidRDefault="00FC4056" w:rsidP="00567103">
            <w:pPr>
              <w:pStyle w:val="Tabletext"/>
              <w:rPr>
                <w:rFonts w:cs="Arial"/>
                <w:bCs/>
                <w:iCs/>
                <w:color w:val="AEC12D"/>
                <w:sz w:val="32"/>
                <w:szCs w:val="28"/>
              </w:rPr>
            </w:pPr>
            <w:r w:rsidRPr="00185AF4">
              <w:t>222</w:t>
            </w:r>
          </w:p>
        </w:tc>
        <w:tc>
          <w:tcPr>
            <w:tcW w:w="966" w:type="dxa"/>
            <w:shd w:val="clear" w:color="auto" w:fill="auto"/>
            <w:noWrap/>
            <w:vAlign w:val="bottom"/>
            <w:hideMark/>
          </w:tcPr>
          <w:p w14:paraId="762B3E5E"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1642" w:type="dxa"/>
            <w:shd w:val="clear" w:color="auto" w:fill="auto"/>
            <w:noWrap/>
            <w:vAlign w:val="bottom"/>
            <w:hideMark/>
          </w:tcPr>
          <w:p w14:paraId="74048831"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965" w:type="dxa"/>
            <w:shd w:val="clear" w:color="auto" w:fill="auto"/>
            <w:noWrap/>
            <w:vAlign w:val="bottom"/>
            <w:hideMark/>
          </w:tcPr>
          <w:p w14:paraId="6CE9BD27"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98" w:type="dxa"/>
            <w:shd w:val="clear" w:color="auto" w:fill="auto"/>
            <w:noWrap/>
            <w:vAlign w:val="bottom"/>
            <w:hideMark/>
          </w:tcPr>
          <w:p w14:paraId="5E0A7D06"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965" w:type="dxa"/>
            <w:shd w:val="clear" w:color="auto" w:fill="auto"/>
            <w:noWrap/>
            <w:vAlign w:val="bottom"/>
            <w:hideMark/>
          </w:tcPr>
          <w:p w14:paraId="536B32C2"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1042" w:type="dxa"/>
            <w:shd w:val="clear" w:color="auto" w:fill="auto"/>
            <w:noWrap/>
            <w:vAlign w:val="bottom"/>
            <w:hideMark/>
          </w:tcPr>
          <w:p w14:paraId="528725AD"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888" w:type="dxa"/>
            <w:shd w:val="clear" w:color="auto" w:fill="auto"/>
            <w:noWrap/>
            <w:vAlign w:val="bottom"/>
            <w:hideMark/>
          </w:tcPr>
          <w:p w14:paraId="25BD3896"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1345" w:type="dxa"/>
            <w:shd w:val="clear" w:color="auto" w:fill="auto"/>
            <w:noWrap/>
            <w:vAlign w:val="bottom"/>
            <w:hideMark/>
          </w:tcPr>
          <w:p w14:paraId="6730AB0E"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01EEF41E" w14:textId="77777777" w:rsidTr="00B22A62">
        <w:trPr>
          <w:trHeight w:val="300"/>
        </w:trPr>
        <w:tc>
          <w:tcPr>
            <w:tcW w:w="950" w:type="dxa"/>
            <w:shd w:val="clear" w:color="auto" w:fill="auto"/>
            <w:noWrap/>
            <w:vAlign w:val="bottom"/>
            <w:hideMark/>
          </w:tcPr>
          <w:p w14:paraId="34049479" w14:textId="77777777" w:rsidR="00FC4056" w:rsidRPr="00185AF4" w:rsidRDefault="00FC4056" w:rsidP="00567103">
            <w:pPr>
              <w:pStyle w:val="Tabletext"/>
              <w:rPr>
                <w:rFonts w:cs="Arial"/>
                <w:bCs/>
                <w:iCs/>
                <w:color w:val="AEC12D"/>
                <w:sz w:val="32"/>
                <w:szCs w:val="28"/>
              </w:rPr>
            </w:pPr>
            <w:r w:rsidRPr="00185AF4">
              <w:t>223</w:t>
            </w:r>
          </w:p>
        </w:tc>
        <w:tc>
          <w:tcPr>
            <w:tcW w:w="966" w:type="dxa"/>
            <w:shd w:val="clear" w:color="auto" w:fill="auto"/>
            <w:noWrap/>
            <w:vAlign w:val="bottom"/>
            <w:hideMark/>
          </w:tcPr>
          <w:p w14:paraId="2EC0ADD1"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1642" w:type="dxa"/>
            <w:shd w:val="clear" w:color="auto" w:fill="auto"/>
            <w:noWrap/>
            <w:vAlign w:val="bottom"/>
            <w:hideMark/>
          </w:tcPr>
          <w:p w14:paraId="30D8E5D2" w14:textId="77777777" w:rsidR="00FC4056" w:rsidRPr="00185AF4" w:rsidRDefault="00FC4056" w:rsidP="00567103">
            <w:pPr>
              <w:pStyle w:val="Tabletext"/>
              <w:tabs>
                <w:tab w:val="decimal" w:pos="327"/>
              </w:tabs>
              <w:rPr>
                <w:rFonts w:cs="Arial"/>
                <w:bCs/>
                <w:iCs/>
                <w:color w:val="AEC12D"/>
                <w:sz w:val="32"/>
                <w:szCs w:val="28"/>
              </w:rPr>
            </w:pPr>
            <w:r w:rsidRPr="00185AF4">
              <w:t>0.03</w:t>
            </w:r>
          </w:p>
        </w:tc>
        <w:tc>
          <w:tcPr>
            <w:tcW w:w="965" w:type="dxa"/>
            <w:shd w:val="clear" w:color="auto" w:fill="auto"/>
            <w:noWrap/>
            <w:vAlign w:val="bottom"/>
            <w:hideMark/>
          </w:tcPr>
          <w:p w14:paraId="0BF57A4A"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98" w:type="dxa"/>
            <w:shd w:val="clear" w:color="auto" w:fill="auto"/>
            <w:noWrap/>
            <w:vAlign w:val="bottom"/>
            <w:hideMark/>
          </w:tcPr>
          <w:p w14:paraId="636129EB"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965" w:type="dxa"/>
            <w:shd w:val="clear" w:color="auto" w:fill="auto"/>
            <w:noWrap/>
            <w:vAlign w:val="bottom"/>
            <w:hideMark/>
          </w:tcPr>
          <w:p w14:paraId="21920FB0"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1042" w:type="dxa"/>
            <w:shd w:val="clear" w:color="auto" w:fill="auto"/>
            <w:noWrap/>
            <w:vAlign w:val="bottom"/>
            <w:hideMark/>
          </w:tcPr>
          <w:p w14:paraId="7B709B51"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888" w:type="dxa"/>
            <w:shd w:val="clear" w:color="auto" w:fill="auto"/>
            <w:noWrap/>
            <w:vAlign w:val="bottom"/>
            <w:hideMark/>
          </w:tcPr>
          <w:p w14:paraId="2A035E19"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1345" w:type="dxa"/>
            <w:shd w:val="clear" w:color="auto" w:fill="auto"/>
            <w:noWrap/>
            <w:vAlign w:val="bottom"/>
            <w:hideMark/>
          </w:tcPr>
          <w:p w14:paraId="5E3DBFAB"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44303C07" w14:textId="77777777" w:rsidTr="00B22A62">
        <w:trPr>
          <w:trHeight w:val="300"/>
        </w:trPr>
        <w:tc>
          <w:tcPr>
            <w:tcW w:w="950" w:type="dxa"/>
            <w:shd w:val="clear" w:color="auto" w:fill="auto"/>
            <w:noWrap/>
            <w:vAlign w:val="bottom"/>
            <w:hideMark/>
          </w:tcPr>
          <w:p w14:paraId="4717D314" w14:textId="77777777" w:rsidR="00FC4056" w:rsidRPr="00185AF4" w:rsidRDefault="00FC4056" w:rsidP="00567103">
            <w:pPr>
              <w:pStyle w:val="Tabletext"/>
              <w:rPr>
                <w:rFonts w:cs="Arial"/>
                <w:bCs/>
                <w:iCs/>
                <w:color w:val="AEC12D"/>
                <w:sz w:val="32"/>
                <w:szCs w:val="28"/>
              </w:rPr>
            </w:pPr>
            <w:r w:rsidRPr="00185AF4">
              <w:t>224</w:t>
            </w:r>
          </w:p>
        </w:tc>
        <w:tc>
          <w:tcPr>
            <w:tcW w:w="966" w:type="dxa"/>
            <w:shd w:val="clear" w:color="auto" w:fill="auto"/>
            <w:noWrap/>
            <w:vAlign w:val="bottom"/>
            <w:hideMark/>
          </w:tcPr>
          <w:p w14:paraId="7809783D"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1642" w:type="dxa"/>
            <w:shd w:val="clear" w:color="auto" w:fill="auto"/>
            <w:noWrap/>
            <w:vAlign w:val="bottom"/>
            <w:hideMark/>
          </w:tcPr>
          <w:p w14:paraId="1E56A211"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965" w:type="dxa"/>
            <w:shd w:val="clear" w:color="auto" w:fill="auto"/>
            <w:noWrap/>
            <w:vAlign w:val="bottom"/>
            <w:hideMark/>
          </w:tcPr>
          <w:p w14:paraId="7C941AD9" w14:textId="77777777" w:rsidR="00FC4056" w:rsidRPr="00185AF4" w:rsidRDefault="00FC4056" w:rsidP="00567103">
            <w:pPr>
              <w:pStyle w:val="Tabletext"/>
              <w:tabs>
                <w:tab w:val="decimal" w:pos="327"/>
              </w:tabs>
              <w:rPr>
                <w:rFonts w:cs="Arial"/>
                <w:bCs/>
                <w:iCs/>
                <w:color w:val="AEC12D"/>
                <w:sz w:val="32"/>
                <w:szCs w:val="28"/>
              </w:rPr>
            </w:pPr>
            <w:r w:rsidRPr="00185AF4">
              <w:t>0.007</w:t>
            </w:r>
          </w:p>
        </w:tc>
        <w:tc>
          <w:tcPr>
            <w:tcW w:w="998" w:type="dxa"/>
            <w:shd w:val="clear" w:color="auto" w:fill="auto"/>
            <w:noWrap/>
            <w:vAlign w:val="bottom"/>
            <w:hideMark/>
          </w:tcPr>
          <w:p w14:paraId="58D6EB45"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965" w:type="dxa"/>
            <w:shd w:val="clear" w:color="auto" w:fill="auto"/>
            <w:noWrap/>
            <w:vAlign w:val="bottom"/>
            <w:hideMark/>
          </w:tcPr>
          <w:p w14:paraId="480C9A3F"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1042" w:type="dxa"/>
            <w:shd w:val="clear" w:color="auto" w:fill="auto"/>
            <w:noWrap/>
            <w:vAlign w:val="bottom"/>
            <w:hideMark/>
          </w:tcPr>
          <w:p w14:paraId="2686371C"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888" w:type="dxa"/>
            <w:shd w:val="clear" w:color="auto" w:fill="auto"/>
            <w:noWrap/>
            <w:vAlign w:val="bottom"/>
            <w:hideMark/>
          </w:tcPr>
          <w:p w14:paraId="05FCE6F2"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1345" w:type="dxa"/>
            <w:shd w:val="clear" w:color="auto" w:fill="auto"/>
            <w:noWrap/>
            <w:vAlign w:val="bottom"/>
            <w:hideMark/>
          </w:tcPr>
          <w:p w14:paraId="5234871D" w14:textId="77777777" w:rsidR="00FC4056" w:rsidRPr="00185AF4" w:rsidRDefault="00FC4056" w:rsidP="00567103">
            <w:pPr>
              <w:pStyle w:val="Tabletext"/>
              <w:jc w:val="center"/>
              <w:rPr>
                <w:rFonts w:cs="Arial"/>
                <w:bCs/>
                <w:iCs/>
                <w:color w:val="AEC12D"/>
                <w:sz w:val="32"/>
                <w:szCs w:val="28"/>
              </w:rPr>
            </w:pPr>
            <w:r w:rsidRPr="00185AF4">
              <w:t>tight</w:t>
            </w:r>
          </w:p>
        </w:tc>
      </w:tr>
      <w:tr w:rsidR="00FC4056" w:rsidRPr="00185AF4" w14:paraId="715EA54D" w14:textId="77777777" w:rsidTr="00B22A62">
        <w:trPr>
          <w:trHeight w:val="300"/>
        </w:trPr>
        <w:tc>
          <w:tcPr>
            <w:tcW w:w="950" w:type="dxa"/>
            <w:shd w:val="clear" w:color="auto" w:fill="auto"/>
            <w:noWrap/>
            <w:vAlign w:val="bottom"/>
            <w:hideMark/>
          </w:tcPr>
          <w:p w14:paraId="097B9FE1" w14:textId="77777777" w:rsidR="00FC4056" w:rsidRPr="00185AF4" w:rsidRDefault="00FC4056" w:rsidP="00567103">
            <w:pPr>
              <w:pStyle w:val="Tabletext"/>
              <w:rPr>
                <w:rFonts w:cs="Arial"/>
                <w:bCs/>
                <w:iCs/>
                <w:color w:val="AEC12D"/>
                <w:sz w:val="32"/>
                <w:szCs w:val="28"/>
              </w:rPr>
            </w:pPr>
            <w:r w:rsidRPr="00185AF4">
              <w:t>514</w:t>
            </w:r>
          </w:p>
        </w:tc>
        <w:tc>
          <w:tcPr>
            <w:tcW w:w="966" w:type="dxa"/>
            <w:shd w:val="clear" w:color="auto" w:fill="auto"/>
            <w:noWrap/>
            <w:vAlign w:val="bottom"/>
            <w:hideMark/>
          </w:tcPr>
          <w:p w14:paraId="66B12B37"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1642" w:type="dxa"/>
            <w:shd w:val="clear" w:color="auto" w:fill="auto"/>
            <w:noWrap/>
            <w:vAlign w:val="bottom"/>
            <w:hideMark/>
          </w:tcPr>
          <w:p w14:paraId="35D3CAD4"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965" w:type="dxa"/>
            <w:shd w:val="clear" w:color="auto" w:fill="auto"/>
            <w:noWrap/>
            <w:vAlign w:val="bottom"/>
            <w:hideMark/>
          </w:tcPr>
          <w:p w14:paraId="1918E56F"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998" w:type="dxa"/>
            <w:shd w:val="clear" w:color="auto" w:fill="auto"/>
            <w:noWrap/>
            <w:vAlign w:val="bottom"/>
            <w:hideMark/>
          </w:tcPr>
          <w:p w14:paraId="6B269290"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965" w:type="dxa"/>
            <w:shd w:val="clear" w:color="auto" w:fill="auto"/>
            <w:noWrap/>
            <w:vAlign w:val="bottom"/>
            <w:hideMark/>
          </w:tcPr>
          <w:p w14:paraId="41D183D7"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1042" w:type="dxa"/>
            <w:shd w:val="clear" w:color="auto" w:fill="auto"/>
            <w:noWrap/>
            <w:vAlign w:val="bottom"/>
            <w:hideMark/>
          </w:tcPr>
          <w:p w14:paraId="1DBBADBE"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888" w:type="dxa"/>
            <w:shd w:val="clear" w:color="auto" w:fill="auto"/>
            <w:noWrap/>
            <w:vAlign w:val="bottom"/>
            <w:hideMark/>
          </w:tcPr>
          <w:p w14:paraId="4405154F"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1345" w:type="dxa"/>
            <w:shd w:val="clear" w:color="auto" w:fill="auto"/>
            <w:noWrap/>
            <w:vAlign w:val="bottom"/>
            <w:hideMark/>
          </w:tcPr>
          <w:p w14:paraId="120F55E3"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50D6C4CB" w14:textId="77777777" w:rsidTr="00B22A62">
        <w:trPr>
          <w:trHeight w:val="300"/>
        </w:trPr>
        <w:tc>
          <w:tcPr>
            <w:tcW w:w="950" w:type="dxa"/>
            <w:shd w:val="clear" w:color="auto" w:fill="auto"/>
            <w:noWrap/>
            <w:vAlign w:val="bottom"/>
            <w:hideMark/>
          </w:tcPr>
          <w:p w14:paraId="56F871E2" w14:textId="77777777" w:rsidR="00FC4056" w:rsidRPr="00185AF4" w:rsidRDefault="00FC4056" w:rsidP="00567103">
            <w:pPr>
              <w:pStyle w:val="Tabletext"/>
              <w:rPr>
                <w:rFonts w:cs="Arial"/>
                <w:bCs/>
                <w:iCs/>
                <w:color w:val="AEC12D"/>
                <w:sz w:val="32"/>
                <w:szCs w:val="28"/>
              </w:rPr>
            </w:pPr>
            <w:r w:rsidRPr="00185AF4">
              <w:t>546</w:t>
            </w:r>
          </w:p>
        </w:tc>
        <w:tc>
          <w:tcPr>
            <w:tcW w:w="966" w:type="dxa"/>
            <w:shd w:val="clear" w:color="auto" w:fill="auto"/>
            <w:noWrap/>
            <w:vAlign w:val="bottom"/>
            <w:hideMark/>
          </w:tcPr>
          <w:p w14:paraId="1435CF22"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642" w:type="dxa"/>
            <w:shd w:val="clear" w:color="auto" w:fill="auto"/>
            <w:noWrap/>
            <w:vAlign w:val="bottom"/>
            <w:hideMark/>
          </w:tcPr>
          <w:p w14:paraId="6F5811A2"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20A95C3B"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98" w:type="dxa"/>
            <w:shd w:val="clear" w:color="auto" w:fill="auto"/>
            <w:noWrap/>
            <w:vAlign w:val="bottom"/>
            <w:hideMark/>
          </w:tcPr>
          <w:p w14:paraId="1C43F7F6"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768C5881"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042" w:type="dxa"/>
            <w:shd w:val="clear" w:color="auto" w:fill="auto"/>
            <w:noWrap/>
            <w:vAlign w:val="bottom"/>
            <w:hideMark/>
          </w:tcPr>
          <w:p w14:paraId="012C394A" w14:textId="77777777" w:rsidR="00FC4056" w:rsidRPr="00185AF4" w:rsidRDefault="00FC4056" w:rsidP="00567103">
            <w:pPr>
              <w:pStyle w:val="Tabletext"/>
              <w:tabs>
                <w:tab w:val="decimal" w:pos="327"/>
              </w:tabs>
            </w:pPr>
            <w:r w:rsidRPr="00185AF4">
              <w:t>0.0002</w:t>
            </w:r>
          </w:p>
        </w:tc>
        <w:tc>
          <w:tcPr>
            <w:tcW w:w="888" w:type="dxa"/>
            <w:shd w:val="clear" w:color="auto" w:fill="auto"/>
            <w:noWrap/>
            <w:vAlign w:val="bottom"/>
            <w:hideMark/>
          </w:tcPr>
          <w:p w14:paraId="189E7911"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345" w:type="dxa"/>
            <w:shd w:val="clear" w:color="auto" w:fill="auto"/>
            <w:noWrap/>
            <w:vAlign w:val="bottom"/>
            <w:hideMark/>
          </w:tcPr>
          <w:p w14:paraId="129748F6"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3F7CCDB7" w14:textId="77777777" w:rsidTr="00B22A62">
        <w:trPr>
          <w:trHeight w:val="300"/>
        </w:trPr>
        <w:tc>
          <w:tcPr>
            <w:tcW w:w="950" w:type="dxa"/>
            <w:shd w:val="clear" w:color="auto" w:fill="auto"/>
            <w:noWrap/>
            <w:vAlign w:val="bottom"/>
            <w:hideMark/>
          </w:tcPr>
          <w:p w14:paraId="5A488383" w14:textId="77777777" w:rsidR="00FC4056" w:rsidRPr="00185AF4" w:rsidRDefault="00FC4056" w:rsidP="00567103">
            <w:pPr>
              <w:pStyle w:val="Tabletext"/>
              <w:rPr>
                <w:rFonts w:cs="Arial"/>
                <w:bCs/>
                <w:iCs/>
                <w:color w:val="AEC12D"/>
                <w:sz w:val="32"/>
                <w:szCs w:val="28"/>
              </w:rPr>
            </w:pPr>
            <w:r w:rsidRPr="00185AF4">
              <w:t>547</w:t>
            </w:r>
          </w:p>
        </w:tc>
        <w:tc>
          <w:tcPr>
            <w:tcW w:w="966" w:type="dxa"/>
            <w:shd w:val="clear" w:color="auto" w:fill="auto"/>
            <w:noWrap/>
            <w:vAlign w:val="bottom"/>
            <w:hideMark/>
          </w:tcPr>
          <w:p w14:paraId="2AEA2011"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1642" w:type="dxa"/>
            <w:shd w:val="clear" w:color="auto" w:fill="auto"/>
            <w:noWrap/>
            <w:vAlign w:val="bottom"/>
            <w:hideMark/>
          </w:tcPr>
          <w:p w14:paraId="72DD0018"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965" w:type="dxa"/>
            <w:shd w:val="clear" w:color="auto" w:fill="auto"/>
            <w:noWrap/>
            <w:vAlign w:val="bottom"/>
            <w:hideMark/>
          </w:tcPr>
          <w:p w14:paraId="23598358"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998" w:type="dxa"/>
            <w:shd w:val="clear" w:color="auto" w:fill="auto"/>
            <w:noWrap/>
            <w:vAlign w:val="bottom"/>
            <w:hideMark/>
          </w:tcPr>
          <w:p w14:paraId="3C108CBA"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965" w:type="dxa"/>
            <w:shd w:val="clear" w:color="auto" w:fill="auto"/>
            <w:noWrap/>
            <w:vAlign w:val="bottom"/>
            <w:hideMark/>
          </w:tcPr>
          <w:p w14:paraId="61F39987"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1042" w:type="dxa"/>
            <w:shd w:val="clear" w:color="auto" w:fill="auto"/>
            <w:noWrap/>
            <w:vAlign w:val="bottom"/>
            <w:hideMark/>
          </w:tcPr>
          <w:p w14:paraId="5955C7B4"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888" w:type="dxa"/>
            <w:shd w:val="clear" w:color="auto" w:fill="auto"/>
            <w:noWrap/>
            <w:vAlign w:val="bottom"/>
            <w:hideMark/>
          </w:tcPr>
          <w:p w14:paraId="4ADB214D"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1345" w:type="dxa"/>
            <w:shd w:val="clear" w:color="auto" w:fill="auto"/>
            <w:noWrap/>
            <w:vAlign w:val="bottom"/>
            <w:hideMark/>
          </w:tcPr>
          <w:p w14:paraId="539969CD"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1FE536DB" w14:textId="77777777" w:rsidTr="00B22A62">
        <w:trPr>
          <w:trHeight w:val="300"/>
        </w:trPr>
        <w:tc>
          <w:tcPr>
            <w:tcW w:w="950" w:type="dxa"/>
            <w:shd w:val="clear" w:color="auto" w:fill="auto"/>
            <w:noWrap/>
            <w:vAlign w:val="bottom"/>
            <w:hideMark/>
          </w:tcPr>
          <w:p w14:paraId="31ECC311" w14:textId="77777777" w:rsidR="00FC4056" w:rsidRPr="00185AF4" w:rsidRDefault="00FC4056" w:rsidP="00567103">
            <w:pPr>
              <w:pStyle w:val="Tabletext"/>
              <w:rPr>
                <w:rFonts w:cs="Arial"/>
                <w:bCs/>
                <w:iCs/>
                <w:color w:val="AEC12D"/>
                <w:sz w:val="32"/>
                <w:szCs w:val="28"/>
              </w:rPr>
            </w:pPr>
            <w:r w:rsidRPr="00185AF4">
              <w:t>548</w:t>
            </w:r>
          </w:p>
        </w:tc>
        <w:tc>
          <w:tcPr>
            <w:tcW w:w="966" w:type="dxa"/>
            <w:shd w:val="clear" w:color="auto" w:fill="auto"/>
            <w:noWrap/>
            <w:vAlign w:val="bottom"/>
            <w:hideMark/>
          </w:tcPr>
          <w:p w14:paraId="630437FE"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642" w:type="dxa"/>
            <w:shd w:val="clear" w:color="auto" w:fill="auto"/>
            <w:noWrap/>
            <w:vAlign w:val="bottom"/>
            <w:hideMark/>
          </w:tcPr>
          <w:p w14:paraId="33E4FCCA"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65" w:type="dxa"/>
            <w:shd w:val="clear" w:color="auto" w:fill="auto"/>
            <w:noWrap/>
            <w:vAlign w:val="bottom"/>
            <w:hideMark/>
          </w:tcPr>
          <w:p w14:paraId="72C2B256" w14:textId="77777777" w:rsidR="00FC4056" w:rsidRPr="00185AF4" w:rsidRDefault="00FC4056" w:rsidP="00567103">
            <w:pPr>
              <w:pStyle w:val="Tabletext"/>
              <w:tabs>
                <w:tab w:val="decimal" w:pos="327"/>
              </w:tabs>
            </w:pPr>
            <w:r w:rsidRPr="00185AF4">
              <w:t>0.001</w:t>
            </w:r>
          </w:p>
        </w:tc>
        <w:tc>
          <w:tcPr>
            <w:tcW w:w="998" w:type="dxa"/>
            <w:shd w:val="clear" w:color="auto" w:fill="auto"/>
            <w:noWrap/>
            <w:vAlign w:val="bottom"/>
            <w:hideMark/>
          </w:tcPr>
          <w:p w14:paraId="32408F18"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65" w:type="dxa"/>
            <w:shd w:val="clear" w:color="auto" w:fill="auto"/>
            <w:noWrap/>
            <w:vAlign w:val="bottom"/>
            <w:hideMark/>
          </w:tcPr>
          <w:p w14:paraId="71BE5D50"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042" w:type="dxa"/>
            <w:shd w:val="clear" w:color="auto" w:fill="auto"/>
            <w:noWrap/>
            <w:vAlign w:val="bottom"/>
            <w:hideMark/>
          </w:tcPr>
          <w:p w14:paraId="2F0EBED9"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888" w:type="dxa"/>
            <w:shd w:val="clear" w:color="auto" w:fill="auto"/>
            <w:noWrap/>
            <w:vAlign w:val="bottom"/>
            <w:hideMark/>
          </w:tcPr>
          <w:p w14:paraId="63BC5D2D"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345" w:type="dxa"/>
            <w:shd w:val="clear" w:color="auto" w:fill="auto"/>
            <w:noWrap/>
            <w:vAlign w:val="bottom"/>
            <w:hideMark/>
          </w:tcPr>
          <w:p w14:paraId="4C4F7917"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608F837F" w14:textId="77777777" w:rsidTr="00B22A62">
        <w:trPr>
          <w:trHeight w:val="300"/>
        </w:trPr>
        <w:tc>
          <w:tcPr>
            <w:tcW w:w="950" w:type="dxa"/>
            <w:shd w:val="clear" w:color="auto" w:fill="auto"/>
            <w:noWrap/>
            <w:vAlign w:val="bottom"/>
            <w:hideMark/>
          </w:tcPr>
          <w:p w14:paraId="37763EAF" w14:textId="77777777" w:rsidR="00FC4056" w:rsidRPr="00185AF4" w:rsidRDefault="00FC4056" w:rsidP="00567103">
            <w:pPr>
              <w:pStyle w:val="Tabletext"/>
              <w:rPr>
                <w:rFonts w:cs="Arial"/>
                <w:bCs/>
                <w:iCs/>
                <w:color w:val="AEC12D"/>
                <w:sz w:val="32"/>
                <w:szCs w:val="28"/>
              </w:rPr>
            </w:pPr>
            <w:r w:rsidRPr="00185AF4">
              <w:t>580</w:t>
            </w:r>
          </w:p>
        </w:tc>
        <w:tc>
          <w:tcPr>
            <w:tcW w:w="966" w:type="dxa"/>
            <w:shd w:val="clear" w:color="auto" w:fill="auto"/>
            <w:noWrap/>
            <w:vAlign w:val="bottom"/>
            <w:hideMark/>
          </w:tcPr>
          <w:p w14:paraId="4E4F9238" w14:textId="77777777" w:rsidR="00FC4056" w:rsidRPr="00185AF4" w:rsidRDefault="00FC4056" w:rsidP="00567103">
            <w:pPr>
              <w:pStyle w:val="Tabletext"/>
              <w:tabs>
                <w:tab w:val="decimal" w:pos="327"/>
              </w:tabs>
              <w:rPr>
                <w:rFonts w:cs="Arial"/>
                <w:bCs/>
                <w:iCs/>
                <w:color w:val="AEC12D"/>
                <w:sz w:val="32"/>
                <w:szCs w:val="28"/>
              </w:rPr>
            </w:pPr>
            <w:r w:rsidRPr="00185AF4">
              <w:t>0.0008</w:t>
            </w:r>
          </w:p>
        </w:tc>
        <w:tc>
          <w:tcPr>
            <w:tcW w:w="1642" w:type="dxa"/>
            <w:shd w:val="clear" w:color="auto" w:fill="auto"/>
            <w:noWrap/>
            <w:vAlign w:val="bottom"/>
            <w:hideMark/>
          </w:tcPr>
          <w:p w14:paraId="5DA95598" w14:textId="77777777" w:rsidR="00FC4056" w:rsidRPr="00185AF4" w:rsidRDefault="00FC4056" w:rsidP="00567103">
            <w:pPr>
              <w:pStyle w:val="Tabletext"/>
              <w:tabs>
                <w:tab w:val="decimal" w:pos="327"/>
              </w:tabs>
              <w:rPr>
                <w:rFonts w:cs="Arial"/>
                <w:bCs/>
                <w:iCs/>
                <w:color w:val="AEC12D"/>
                <w:sz w:val="32"/>
                <w:szCs w:val="28"/>
              </w:rPr>
            </w:pPr>
            <w:r w:rsidRPr="00185AF4">
              <w:t>0.0008</w:t>
            </w:r>
          </w:p>
        </w:tc>
        <w:tc>
          <w:tcPr>
            <w:tcW w:w="965" w:type="dxa"/>
            <w:shd w:val="clear" w:color="auto" w:fill="auto"/>
            <w:noWrap/>
            <w:vAlign w:val="bottom"/>
            <w:hideMark/>
          </w:tcPr>
          <w:p w14:paraId="44458D99"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998" w:type="dxa"/>
            <w:shd w:val="clear" w:color="auto" w:fill="auto"/>
            <w:noWrap/>
            <w:vAlign w:val="bottom"/>
            <w:hideMark/>
          </w:tcPr>
          <w:p w14:paraId="3B55F735"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965" w:type="dxa"/>
            <w:shd w:val="clear" w:color="auto" w:fill="auto"/>
            <w:noWrap/>
            <w:vAlign w:val="bottom"/>
            <w:hideMark/>
          </w:tcPr>
          <w:p w14:paraId="6BF970D0"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1042" w:type="dxa"/>
            <w:shd w:val="clear" w:color="auto" w:fill="auto"/>
            <w:noWrap/>
            <w:vAlign w:val="bottom"/>
            <w:hideMark/>
          </w:tcPr>
          <w:p w14:paraId="5B69BD1E"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888" w:type="dxa"/>
            <w:shd w:val="clear" w:color="auto" w:fill="auto"/>
            <w:noWrap/>
            <w:vAlign w:val="bottom"/>
            <w:hideMark/>
          </w:tcPr>
          <w:p w14:paraId="028914C6" w14:textId="77777777" w:rsidR="00FC4056" w:rsidRPr="00185AF4" w:rsidRDefault="00FC4056" w:rsidP="00567103">
            <w:pPr>
              <w:pStyle w:val="Tabletext"/>
              <w:tabs>
                <w:tab w:val="decimal" w:pos="327"/>
              </w:tabs>
              <w:rPr>
                <w:rFonts w:cs="Arial"/>
                <w:bCs/>
                <w:iCs/>
                <w:color w:val="AEC12D"/>
                <w:sz w:val="32"/>
                <w:szCs w:val="28"/>
              </w:rPr>
            </w:pPr>
            <w:r w:rsidRPr="00185AF4">
              <w:t>0.0003</w:t>
            </w:r>
          </w:p>
        </w:tc>
        <w:tc>
          <w:tcPr>
            <w:tcW w:w="1345" w:type="dxa"/>
            <w:shd w:val="clear" w:color="auto" w:fill="auto"/>
            <w:noWrap/>
            <w:vAlign w:val="bottom"/>
            <w:hideMark/>
          </w:tcPr>
          <w:p w14:paraId="5FEEA07B"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1207BC0A" w14:textId="77777777" w:rsidTr="00B22A62">
        <w:trPr>
          <w:trHeight w:val="300"/>
        </w:trPr>
        <w:tc>
          <w:tcPr>
            <w:tcW w:w="950" w:type="dxa"/>
            <w:shd w:val="clear" w:color="auto" w:fill="auto"/>
            <w:noWrap/>
            <w:vAlign w:val="bottom"/>
            <w:hideMark/>
          </w:tcPr>
          <w:p w14:paraId="7CB496CB" w14:textId="77777777" w:rsidR="00FC4056" w:rsidRPr="00185AF4" w:rsidRDefault="00FC4056" w:rsidP="00567103">
            <w:pPr>
              <w:pStyle w:val="Tabletext"/>
              <w:rPr>
                <w:rFonts w:cs="Arial"/>
                <w:bCs/>
                <w:iCs/>
                <w:color w:val="AEC12D"/>
                <w:sz w:val="32"/>
                <w:szCs w:val="28"/>
              </w:rPr>
            </w:pPr>
            <w:r w:rsidRPr="00185AF4">
              <w:t>581</w:t>
            </w:r>
          </w:p>
        </w:tc>
        <w:tc>
          <w:tcPr>
            <w:tcW w:w="966" w:type="dxa"/>
            <w:shd w:val="clear" w:color="auto" w:fill="auto"/>
            <w:noWrap/>
            <w:vAlign w:val="bottom"/>
            <w:hideMark/>
          </w:tcPr>
          <w:p w14:paraId="3709ED05"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642" w:type="dxa"/>
            <w:shd w:val="clear" w:color="auto" w:fill="auto"/>
            <w:noWrap/>
            <w:vAlign w:val="bottom"/>
            <w:hideMark/>
          </w:tcPr>
          <w:p w14:paraId="12D6BBA6"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65" w:type="dxa"/>
            <w:shd w:val="clear" w:color="auto" w:fill="auto"/>
            <w:noWrap/>
            <w:vAlign w:val="bottom"/>
            <w:hideMark/>
          </w:tcPr>
          <w:p w14:paraId="52E9992F"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98" w:type="dxa"/>
            <w:shd w:val="clear" w:color="auto" w:fill="auto"/>
            <w:noWrap/>
            <w:vAlign w:val="bottom"/>
            <w:hideMark/>
          </w:tcPr>
          <w:p w14:paraId="66A67DA8"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65" w:type="dxa"/>
            <w:shd w:val="clear" w:color="auto" w:fill="auto"/>
            <w:noWrap/>
            <w:vAlign w:val="bottom"/>
            <w:hideMark/>
          </w:tcPr>
          <w:p w14:paraId="1C2F9137"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042" w:type="dxa"/>
            <w:shd w:val="clear" w:color="auto" w:fill="auto"/>
            <w:noWrap/>
            <w:vAlign w:val="bottom"/>
            <w:hideMark/>
          </w:tcPr>
          <w:p w14:paraId="67E2B622"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888" w:type="dxa"/>
            <w:shd w:val="clear" w:color="auto" w:fill="auto"/>
            <w:noWrap/>
            <w:vAlign w:val="bottom"/>
            <w:hideMark/>
          </w:tcPr>
          <w:p w14:paraId="7F72174E"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345" w:type="dxa"/>
            <w:shd w:val="clear" w:color="auto" w:fill="auto"/>
            <w:noWrap/>
            <w:vAlign w:val="bottom"/>
            <w:hideMark/>
          </w:tcPr>
          <w:p w14:paraId="56F50D30"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63410C8E" w14:textId="77777777" w:rsidTr="00B22A62">
        <w:trPr>
          <w:trHeight w:val="300"/>
        </w:trPr>
        <w:tc>
          <w:tcPr>
            <w:tcW w:w="950" w:type="dxa"/>
            <w:shd w:val="clear" w:color="auto" w:fill="auto"/>
            <w:noWrap/>
            <w:vAlign w:val="bottom"/>
            <w:hideMark/>
          </w:tcPr>
          <w:p w14:paraId="4DC577B1" w14:textId="77777777" w:rsidR="00FC4056" w:rsidRPr="00185AF4" w:rsidRDefault="00FC4056" w:rsidP="00567103">
            <w:pPr>
              <w:pStyle w:val="Tabletext"/>
              <w:rPr>
                <w:rFonts w:cs="Arial"/>
                <w:bCs/>
                <w:iCs/>
                <w:color w:val="AEC12D"/>
                <w:sz w:val="32"/>
                <w:szCs w:val="28"/>
              </w:rPr>
            </w:pPr>
            <w:r w:rsidRPr="00185AF4">
              <w:t>445</w:t>
            </w:r>
          </w:p>
        </w:tc>
        <w:tc>
          <w:tcPr>
            <w:tcW w:w="966" w:type="dxa"/>
            <w:shd w:val="clear" w:color="auto" w:fill="auto"/>
            <w:noWrap/>
            <w:vAlign w:val="bottom"/>
            <w:hideMark/>
          </w:tcPr>
          <w:p w14:paraId="2B8D93A6"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642" w:type="dxa"/>
            <w:shd w:val="clear" w:color="auto" w:fill="auto"/>
            <w:noWrap/>
            <w:vAlign w:val="bottom"/>
            <w:hideMark/>
          </w:tcPr>
          <w:p w14:paraId="716612AE"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73E79312"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98" w:type="dxa"/>
            <w:shd w:val="clear" w:color="auto" w:fill="auto"/>
            <w:noWrap/>
            <w:vAlign w:val="bottom"/>
            <w:hideMark/>
          </w:tcPr>
          <w:p w14:paraId="16020F1B"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680A3222"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042" w:type="dxa"/>
            <w:shd w:val="clear" w:color="auto" w:fill="auto"/>
            <w:noWrap/>
            <w:vAlign w:val="bottom"/>
            <w:hideMark/>
          </w:tcPr>
          <w:p w14:paraId="6A322C73"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888" w:type="dxa"/>
            <w:shd w:val="clear" w:color="auto" w:fill="auto"/>
            <w:noWrap/>
            <w:vAlign w:val="bottom"/>
            <w:hideMark/>
          </w:tcPr>
          <w:p w14:paraId="21E01969"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345" w:type="dxa"/>
            <w:shd w:val="clear" w:color="auto" w:fill="auto"/>
            <w:noWrap/>
            <w:vAlign w:val="bottom"/>
            <w:hideMark/>
          </w:tcPr>
          <w:p w14:paraId="2D3B9E9F"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2C87B44C" w14:textId="77777777" w:rsidTr="00B22A62">
        <w:trPr>
          <w:trHeight w:val="300"/>
        </w:trPr>
        <w:tc>
          <w:tcPr>
            <w:tcW w:w="950" w:type="dxa"/>
            <w:shd w:val="clear" w:color="auto" w:fill="auto"/>
            <w:noWrap/>
            <w:vAlign w:val="bottom"/>
            <w:hideMark/>
          </w:tcPr>
          <w:p w14:paraId="518B98C6" w14:textId="77777777" w:rsidR="00FC4056" w:rsidRPr="00185AF4" w:rsidRDefault="00FC4056" w:rsidP="00567103">
            <w:pPr>
              <w:pStyle w:val="Tabletext"/>
              <w:rPr>
                <w:rFonts w:cs="Arial"/>
                <w:bCs/>
                <w:iCs/>
                <w:color w:val="AEC12D"/>
                <w:sz w:val="32"/>
                <w:szCs w:val="28"/>
              </w:rPr>
            </w:pPr>
            <w:r w:rsidRPr="00185AF4">
              <w:t>446</w:t>
            </w:r>
          </w:p>
        </w:tc>
        <w:tc>
          <w:tcPr>
            <w:tcW w:w="966" w:type="dxa"/>
            <w:shd w:val="clear" w:color="auto" w:fill="auto"/>
            <w:noWrap/>
            <w:vAlign w:val="bottom"/>
            <w:hideMark/>
          </w:tcPr>
          <w:p w14:paraId="7370C110"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1642" w:type="dxa"/>
            <w:shd w:val="clear" w:color="auto" w:fill="auto"/>
            <w:noWrap/>
            <w:vAlign w:val="bottom"/>
            <w:hideMark/>
          </w:tcPr>
          <w:p w14:paraId="47AB7A8C"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965" w:type="dxa"/>
            <w:shd w:val="clear" w:color="auto" w:fill="auto"/>
            <w:noWrap/>
            <w:vAlign w:val="bottom"/>
            <w:hideMark/>
          </w:tcPr>
          <w:p w14:paraId="188930BE"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98" w:type="dxa"/>
            <w:shd w:val="clear" w:color="auto" w:fill="auto"/>
            <w:noWrap/>
            <w:vAlign w:val="bottom"/>
            <w:hideMark/>
          </w:tcPr>
          <w:p w14:paraId="621FA15E"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65" w:type="dxa"/>
            <w:shd w:val="clear" w:color="auto" w:fill="auto"/>
            <w:noWrap/>
            <w:vAlign w:val="bottom"/>
            <w:hideMark/>
          </w:tcPr>
          <w:p w14:paraId="727E83C3"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042" w:type="dxa"/>
            <w:shd w:val="clear" w:color="auto" w:fill="auto"/>
            <w:noWrap/>
            <w:vAlign w:val="bottom"/>
            <w:hideMark/>
          </w:tcPr>
          <w:p w14:paraId="7A91D044" w14:textId="77777777" w:rsidR="00FC4056" w:rsidRPr="00185AF4" w:rsidRDefault="00FC4056" w:rsidP="00567103">
            <w:pPr>
              <w:pStyle w:val="Tabletext"/>
              <w:tabs>
                <w:tab w:val="decimal" w:pos="327"/>
              </w:tabs>
            </w:pPr>
            <w:r w:rsidRPr="00185AF4">
              <w:t>0.01</w:t>
            </w:r>
          </w:p>
        </w:tc>
        <w:tc>
          <w:tcPr>
            <w:tcW w:w="888" w:type="dxa"/>
            <w:shd w:val="clear" w:color="auto" w:fill="auto"/>
            <w:noWrap/>
            <w:vAlign w:val="bottom"/>
            <w:hideMark/>
          </w:tcPr>
          <w:p w14:paraId="46EFA748"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345" w:type="dxa"/>
            <w:shd w:val="clear" w:color="auto" w:fill="auto"/>
            <w:noWrap/>
            <w:vAlign w:val="bottom"/>
            <w:hideMark/>
          </w:tcPr>
          <w:p w14:paraId="72F14241"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0FEEBE56" w14:textId="77777777" w:rsidTr="00B22A62">
        <w:trPr>
          <w:trHeight w:val="300"/>
        </w:trPr>
        <w:tc>
          <w:tcPr>
            <w:tcW w:w="950" w:type="dxa"/>
            <w:shd w:val="clear" w:color="auto" w:fill="auto"/>
            <w:noWrap/>
            <w:vAlign w:val="bottom"/>
            <w:hideMark/>
          </w:tcPr>
          <w:p w14:paraId="6D1C84AC" w14:textId="77777777" w:rsidR="00FC4056" w:rsidRPr="00185AF4" w:rsidRDefault="00FC4056" w:rsidP="00567103">
            <w:pPr>
              <w:pStyle w:val="Tabletext"/>
              <w:rPr>
                <w:rFonts w:cs="Arial"/>
                <w:bCs/>
                <w:iCs/>
                <w:color w:val="AEC12D"/>
                <w:sz w:val="32"/>
                <w:szCs w:val="28"/>
              </w:rPr>
            </w:pPr>
            <w:r w:rsidRPr="00185AF4">
              <w:t>447</w:t>
            </w:r>
          </w:p>
        </w:tc>
        <w:tc>
          <w:tcPr>
            <w:tcW w:w="966" w:type="dxa"/>
            <w:shd w:val="clear" w:color="auto" w:fill="auto"/>
            <w:noWrap/>
            <w:vAlign w:val="bottom"/>
            <w:hideMark/>
          </w:tcPr>
          <w:p w14:paraId="7A1ABC1B"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1642" w:type="dxa"/>
            <w:shd w:val="clear" w:color="auto" w:fill="auto"/>
            <w:noWrap/>
            <w:vAlign w:val="bottom"/>
            <w:hideMark/>
          </w:tcPr>
          <w:p w14:paraId="6EAF6126"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965" w:type="dxa"/>
            <w:shd w:val="clear" w:color="auto" w:fill="auto"/>
            <w:noWrap/>
            <w:vAlign w:val="bottom"/>
            <w:hideMark/>
          </w:tcPr>
          <w:p w14:paraId="592EED0F"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98" w:type="dxa"/>
            <w:shd w:val="clear" w:color="auto" w:fill="auto"/>
            <w:noWrap/>
            <w:vAlign w:val="bottom"/>
            <w:hideMark/>
          </w:tcPr>
          <w:p w14:paraId="784934D5"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2B7CCE29"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042" w:type="dxa"/>
            <w:shd w:val="clear" w:color="auto" w:fill="auto"/>
            <w:noWrap/>
            <w:vAlign w:val="bottom"/>
            <w:hideMark/>
          </w:tcPr>
          <w:p w14:paraId="6DFDBB41"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888" w:type="dxa"/>
            <w:shd w:val="clear" w:color="auto" w:fill="auto"/>
            <w:noWrap/>
            <w:vAlign w:val="bottom"/>
            <w:hideMark/>
          </w:tcPr>
          <w:p w14:paraId="3A05ADF1"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345" w:type="dxa"/>
            <w:shd w:val="clear" w:color="auto" w:fill="auto"/>
            <w:noWrap/>
            <w:vAlign w:val="bottom"/>
            <w:hideMark/>
          </w:tcPr>
          <w:p w14:paraId="06EEBDA9"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60390BDB" w14:textId="77777777" w:rsidTr="00B22A62">
        <w:trPr>
          <w:trHeight w:val="300"/>
        </w:trPr>
        <w:tc>
          <w:tcPr>
            <w:tcW w:w="950" w:type="dxa"/>
            <w:shd w:val="clear" w:color="auto" w:fill="auto"/>
            <w:noWrap/>
            <w:vAlign w:val="bottom"/>
            <w:hideMark/>
          </w:tcPr>
          <w:p w14:paraId="550896B9" w14:textId="77777777" w:rsidR="00FC4056" w:rsidRPr="00185AF4" w:rsidRDefault="00FC4056" w:rsidP="00567103">
            <w:pPr>
              <w:pStyle w:val="Tabletext"/>
              <w:rPr>
                <w:rFonts w:cs="Arial"/>
                <w:bCs/>
                <w:iCs/>
                <w:color w:val="AEC12D"/>
                <w:sz w:val="32"/>
                <w:szCs w:val="28"/>
              </w:rPr>
            </w:pPr>
            <w:r w:rsidRPr="00185AF4">
              <w:t>480</w:t>
            </w:r>
          </w:p>
        </w:tc>
        <w:tc>
          <w:tcPr>
            <w:tcW w:w="966" w:type="dxa"/>
            <w:shd w:val="clear" w:color="auto" w:fill="auto"/>
            <w:noWrap/>
            <w:vAlign w:val="bottom"/>
            <w:hideMark/>
          </w:tcPr>
          <w:p w14:paraId="458B1ADD"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642" w:type="dxa"/>
            <w:shd w:val="clear" w:color="auto" w:fill="auto"/>
            <w:noWrap/>
            <w:vAlign w:val="bottom"/>
            <w:hideMark/>
          </w:tcPr>
          <w:p w14:paraId="04925A18"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7D96FAF8"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98" w:type="dxa"/>
            <w:shd w:val="clear" w:color="auto" w:fill="auto"/>
            <w:noWrap/>
            <w:vAlign w:val="bottom"/>
            <w:hideMark/>
          </w:tcPr>
          <w:p w14:paraId="2426FB66"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965" w:type="dxa"/>
            <w:shd w:val="clear" w:color="auto" w:fill="auto"/>
            <w:noWrap/>
            <w:vAlign w:val="bottom"/>
            <w:hideMark/>
          </w:tcPr>
          <w:p w14:paraId="068742E9"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1042" w:type="dxa"/>
            <w:shd w:val="clear" w:color="auto" w:fill="auto"/>
            <w:noWrap/>
            <w:vAlign w:val="bottom"/>
            <w:hideMark/>
          </w:tcPr>
          <w:p w14:paraId="0E1EA9BB"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888" w:type="dxa"/>
            <w:shd w:val="clear" w:color="auto" w:fill="auto"/>
            <w:noWrap/>
            <w:vAlign w:val="bottom"/>
            <w:hideMark/>
          </w:tcPr>
          <w:p w14:paraId="4962308B"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1345" w:type="dxa"/>
            <w:shd w:val="clear" w:color="auto" w:fill="auto"/>
            <w:noWrap/>
            <w:vAlign w:val="bottom"/>
            <w:hideMark/>
          </w:tcPr>
          <w:p w14:paraId="56ED1485"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2D85DB38" w14:textId="77777777" w:rsidTr="00B22A62">
        <w:trPr>
          <w:trHeight w:val="300"/>
        </w:trPr>
        <w:tc>
          <w:tcPr>
            <w:tcW w:w="950" w:type="dxa"/>
            <w:shd w:val="clear" w:color="auto" w:fill="auto"/>
            <w:noWrap/>
            <w:vAlign w:val="bottom"/>
            <w:hideMark/>
          </w:tcPr>
          <w:p w14:paraId="0788ACB9" w14:textId="77777777" w:rsidR="00FC4056" w:rsidRPr="00185AF4" w:rsidRDefault="00FC4056" w:rsidP="00567103">
            <w:pPr>
              <w:pStyle w:val="Tabletext"/>
              <w:rPr>
                <w:rFonts w:cs="Arial"/>
                <w:bCs/>
                <w:iCs/>
                <w:color w:val="AEC12D"/>
                <w:sz w:val="32"/>
                <w:szCs w:val="28"/>
              </w:rPr>
            </w:pPr>
            <w:r w:rsidRPr="00185AF4">
              <w:t>481</w:t>
            </w:r>
          </w:p>
        </w:tc>
        <w:tc>
          <w:tcPr>
            <w:tcW w:w="966" w:type="dxa"/>
            <w:shd w:val="clear" w:color="auto" w:fill="auto"/>
            <w:noWrap/>
            <w:vAlign w:val="bottom"/>
            <w:hideMark/>
          </w:tcPr>
          <w:p w14:paraId="2156F8B8"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642" w:type="dxa"/>
            <w:shd w:val="clear" w:color="auto" w:fill="auto"/>
            <w:noWrap/>
            <w:vAlign w:val="bottom"/>
            <w:hideMark/>
          </w:tcPr>
          <w:p w14:paraId="20907793"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6147F5E0"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98" w:type="dxa"/>
            <w:shd w:val="clear" w:color="auto" w:fill="auto"/>
            <w:noWrap/>
            <w:vAlign w:val="bottom"/>
            <w:hideMark/>
          </w:tcPr>
          <w:p w14:paraId="20B08A6A"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2FBAB789"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042" w:type="dxa"/>
            <w:shd w:val="clear" w:color="auto" w:fill="auto"/>
            <w:noWrap/>
            <w:vAlign w:val="bottom"/>
            <w:hideMark/>
          </w:tcPr>
          <w:p w14:paraId="291FD0FF"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888" w:type="dxa"/>
            <w:shd w:val="clear" w:color="auto" w:fill="auto"/>
            <w:noWrap/>
            <w:vAlign w:val="bottom"/>
            <w:hideMark/>
          </w:tcPr>
          <w:p w14:paraId="44A19264"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345" w:type="dxa"/>
            <w:shd w:val="clear" w:color="auto" w:fill="auto"/>
            <w:noWrap/>
            <w:vAlign w:val="bottom"/>
            <w:hideMark/>
          </w:tcPr>
          <w:p w14:paraId="0579D24F"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3563264A" w14:textId="77777777" w:rsidTr="00B22A62">
        <w:trPr>
          <w:trHeight w:val="300"/>
        </w:trPr>
        <w:tc>
          <w:tcPr>
            <w:tcW w:w="950" w:type="dxa"/>
            <w:shd w:val="clear" w:color="auto" w:fill="auto"/>
            <w:noWrap/>
            <w:vAlign w:val="bottom"/>
            <w:hideMark/>
          </w:tcPr>
          <w:p w14:paraId="0337C7DE" w14:textId="77777777" w:rsidR="00FC4056" w:rsidRPr="00185AF4" w:rsidRDefault="00FC4056" w:rsidP="00567103">
            <w:pPr>
              <w:pStyle w:val="Tabletext"/>
              <w:rPr>
                <w:rFonts w:cs="Arial"/>
                <w:bCs/>
                <w:iCs/>
                <w:color w:val="AEC12D"/>
                <w:sz w:val="32"/>
                <w:szCs w:val="28"/>
              </w:rPr>
            </w:pPr>
            <w:r w:rsidRPr="00185AF4">
              <w:t>513</w:t>
            </w:r>
          </w:p>
        </w:tc>
        <w:tc>
          <w:tcPr>
            <w:tcW w:w="966" w:type="dxa"/>
            <w:shd w:val="clear" w:color="auto" w:fill="auto"/>
            <w:noWrap/>
            <w:vAlign w:val="bottom"/>
            <w:hideMark/>
          </w:tcPr>
          <w:p w14:paraId="0DFB3EEE"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642" w:type="dxa"/>
            <w:shd w:val="clear" w:color="auto" w:fill="auto"/>
            <w:noWrap/>
            <w:vAlign w:val="bottom"/>
            <w:hideMark/>
          </w:tcPr>
          <w:p w14:paraId="7AA9FB8A"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6623CE1F"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98" w:type="dxa"/>
            <w:shd w:val="clear" w:color="auto" w:fill="auto"/>
            <w:noWrap/>
            <w:vAlign w:val="bottom"/>
            <w:hideMark/>
          </w:tcPr>
          <w:p w14:paraId="06A7782C"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65" w:type="dxa"/>
            <w:shd w:val="clear" w:color="auto" w:fill="auto"/>
            <w:noWrap/>
            <w:vAlign w:val="bottom"/>
            <w:hideMark/>
          </w:tcPr>
          <w:p w14:paraId="61B9DB97"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042" w:type="dxa"/>
            <w:shd w:val="clear" w:color="auto" w:fill="auto"/>
            <w:noWrap/>
            <w:vAlign w:val="bottom"/>
            <w:hideMark/>
          </w:tcPr>
          <w:p w14:paraId="322A251F"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888" w:type="dxa"/>
            <w:shd w:val="clear" w:color="auto" w:fill="auto"/>
            <w:noWrap/>
            <w:vAlign w:val="bottom"/>
            <w:hideMark/>
          </w:tcPr>
          <w:p w14:paraId="15DED401"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1345" w:type="dxa"/>
            <w:shd w:val="clear" w:color="auto" w:fill="auto"/>
            <w:noWrap/>
            <w:vAlign w:val="bottom"/>
            <w:hideMark/>
          </w:tcPr>
          <w:p w14:paraId="2077F79E" w14:textId="77777777" w:rsidR="00FC4056" w:rsidRPr="00185AF4" w:rsidRDefault="00FC4056" w:rsidP="00567103">
            <w:pPr>
              <w:pStyle w:val="Tabletext"/>
              <w:jc w:val="center"/>
              <w:rPr>
                <w:rFonts w:cs="Arial"/>
                <w:bCs/>
                <w:iCs/>
                <w:color w:val="AEC12D"/>
                <w:sz w:val="32"/>
                <w:szCs w:val="28"/>
              </w:rPr>
            </w:pPr>
            <w:r w:rsidRPr="00185AF4">
              <w:t>shale</w:t>
            </w:r>
          </w:p>
        </w:tc>
      </w:tr>
      <w:tr w:rsidR="00FC4056" w:rsidRPr="00185AF4" w14:paraId="46B56DB8" w14:textId="77777777" w:rsidTr="00B22A62">
        <w:trPr>
          <w:trHeight w:val="300"/>
        </w:trPr>
        <w:tc>
          <w:tcPr>
            <w:tcW w:w="950" w:type="dxa"/>
            <w:shd w:val="clear" w:color="auto" w:fill="auto"/>
            <w:noWrap/>
            <w:vAlign w:val="bottom"/>
            <w:hideMark/>
          </w:tcPr>
          <w:p w14:paraId="37C0C012" w14:textId="77777777" w:rsidR="00FC4056" w:rsidRPr="00185AF4" w:rsidRDefault="00FC4056" w:rsidP="00567103">
            <w:pPr>
              <w:pStyle w:val="Tabletext"/>
              <w:rPr>
                <w:rFonts w:cs="Arial"/>
                <w:bCs/>
                <w:iCs/>
                <w:color w:val="AEC12D"/>
                <w:sz w:val="32"/>
                <w:szCs w:val="28"/>
              </w:rPr>
            </w:pPr>
            <w:r w:rsidRPr="00185AF4">
              <w:t>516</w:t>
            </w:r>
          </w:p>
        </w:tc>
        <w:tc>
          <w:tcPr>
            <w:tcW w:w="966" w:type="dxa"/>
            <w:shd w:val="clear" w:color="auto" w:fill="auto"/>
            <w:noWrap/>
            <w:vAlign w:val="bottom"/>
            <w:hideMark/>
          </w:tcPr>
          <w:p w14:paraId="78954E8C"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1642" w:type="dxa"/>
            <w:shd w:val="clear" w:color="auto" w:fill="auto"/>
            <w:noWrap/>
            <w:vAlign w:val="bottom"/>
            <w:hideMark/>
          </w:tcPr>
          <w:p w14:paraId="12F3532A"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965" w:type="dxa"/>
            <w:shd w:val="clear" w:color="auto" w:fill="auto"/>
            <w:noWrap/>
            <w:vAlign w:val="bottom"/>
            <w:hideMark/>
          </w:tcPr>
          <w:p w14:paraId="1BCA20F1"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998" w:type="dxa"/>
            <w:shd w:val="clear" w:color="auto" w:fill="auto"/>
            <w:noWrap/>
            <w:vAlign w:val="bottom"/>
            <w:hideMark/>
          </w:tcPr>
          <w:p w14:paraId="345E773F"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965" w:type="dxa"/>
            <w:shd w:val="clear" w:color="auto" w:fill="auto"/>
            <w:noWrap/>
            <w:vAlign w:val="bottom"/>
            <w:hideMark/>
          </w:tcPr>
          <w:p w14:paraId="2711807C"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1042" w:type="dxa"/>
            <w:shd w:val="clear" w:color="auto" w:fill="auto"/>
            <w:noWrap/>
            <w:vAlign w:val="bottom"/>
            <w:hideMark/>
          </w:tcPr>
          <w:p w14:paraId="657ACB4B"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888" w:type="dxa"/>
            <w:shd w:val="clear" w:color="auto" w:fill="auto"/>
            <w:noWrap/>
            <w:vAlign w:val="bottom"/>
            <w:hideMark/>
          </w:tcPr>
          <w:p w14:paraId="32D5E991"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1345" w:type="dxa"/>
            <w:shd w:val="clear" w:color="auto" w:fill="auto"/>
            <w:noWrap/>
            <w:vAlign w:val="bottom"/>
            <w:hideMark/>
          </w:tcPr>
          <w:p w14:paraId="536E3A0A"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78ECA8A6" w14:textId="77777777" w:rsidTr="00B22A62">
        <w:trPr>
          <w:trHeight w:val="300"/>
        </w:trPr>
        <w:tc>
          <w:tcPr>
            <w:tcW w:w="950" w:type="dxa"/>
            <w:shd w:val="clear" w:color="auto" w:fill="auto"/>
            <w:noWrap/>
            <w:vAlign w:val="bottom"/>
            <w:hideMark/>
          </w:tcPr>
          <w:p w14:paraId="393F0EC0" w14:textId="77777777" w:rsidR="00FC4056" w:rsidRPr="00185AF4" w:rsidRDefault="00FC4056" w:rsidP="00567103">
            <w:pPr>
              <w:pStyle w:val="Tabletext"/>
              <w:rPr>
                <w:rFonts w:cs="Arial"/>
                <w:bCs/>
                <w:iCs/>
                <w:color w:val="AEC12D"/>
                <w:sz w:val="32"/>
                <w:szCs w:val="28"/>
              </w:rPr>
            </w:pPr>
            <w:r w:rsidRPr="00185AF4">
              <w:t>548</w:t>
            </w:r>
          </w:p>
        </w:tc>
        <w:tc>
          <w:tcPr>
            <w:tcW w:w="966" w:type="dxa"/>
            <w:shd w:val="clear" w:color="auto" w:fill="auto"/>
            <w:noWrap/>
            <w:vAlign w:val="bottom"/>
            <w:hideMark/>
          </w:tcPr>
          <w:p w14:paraId="4325AC99"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642" w:type="dxa"/>
            <w:shd w:val="clear" w:color="auto" w:fill="auto"/>
            <w:noWrap/>
            <w:vAlign w:val="bottom"/>
            <w:hideMark/>
          </w:tcPr>
          <w:p w14:paraId="175B430D"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65" w:type="dxa"/>
            <w:shd w:val="clear" w:color="auto" w:fill="auto"/>
            <w:noWrap/>
            <w:vAlign w:val="bottom"/>
            <w:hideMark/>
          </w:tcPr>
          <w:p w14:paraId="2327F88E"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98" w:type="dxa"/>
            <w:shd w:val="clear" w:color="auto" w:fill="auto"/>
            <w:noWrap/>
            <w:vAlign w:val="bottom"/>
            <w:hideMark/>
          </w:tcPr>
          <w:p w14:paraId="4F772737"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65" w:type="dxa"/>
            <w:shd w:val="clear" w:color="auto" w:fill="auto"/>
            <w:noWrap/>
            <w:vAlign w:val="bottom"/>
            <w:hideMark/>
          </w:tcPr>
          <w:p w14:paraId="29285BB3"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042" w:type="dxa"/>
            <w:shd w:val="clear" w:color="auto" w:fill="auto"/>
            <w:noWrap/>
            <w:vAlign w:val="bottom"/>
            <w:hideMark/>
          </w:tcPr>
          <w:p w14:paraId="0C529907"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888" w:type="dxa"/>
            <w:shd w:val="clear" w:color="auto" w:fill="auto"/>
            <w:noWrap/>
            <w:vAlign w:val="bottom"/>
            <w:hideMark/>
          </w:tcPr>
          <w:p w14:paraId="57C56175"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1345" w:type="dxa"/>
            <w:shd w:val="clear" w:color="auto" w:fill="auto"/>
            <w:noWrap/>
            <w:vAlign w:val="bottom"/>
            <w:hideMark/>
          </w:tcPr>
          <w:p w14:paraId="4A389D05"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032F9A71" w14:textId="77777777" w:rsidTr="00B22A62">
        <w:trPr>
          <w:trHeight w:val="300"/>
        </w:trPr>
        <w:tc>
          <w:tcPr>
            <w:tcW w:w="950" w:type="dxa"/>
            <w:shd w:val="clear" w:color="auto" w:fill="auto"/>
            <w:noWrap/>
            <w:vAlign w:val="bottom"/>
            <w:hideMark/>
          </w:tcPr>
          <w:p w14:paraId="2A0ECE5C" w14:textId="77777777" w:rsidR="00FC4056" w:rsidRPr="00185AF4" w:rsidRDefault="00FC4056" w:rsidP="00567103">
            <w:pPr>
              <w:pStyle w:val="Tabletext"/>
              <w:rPr>
                <w:rFonts w:cs="Arial"/>
                <w:bCs/>
                <w:iCs/>
                <w:color w:val="AEC12D"/>
                <w:sz w:val="32"/>
                <w:szCs w:val="28"/>
              </w:rPr>
            </w:pPr>
            <w:r w:rsidRPr="00185AF4">
              <w:t>227</w:t>
            </w:r>
          </w:p>
        </w:tc>
        <w:tc>
          <w:tcPr>
            <w:tcW w:w="966" w:type="dxa"/>
            <w:shd w:val="clear" w:color="auto" w:fill="auto"/>
            <w:noWrap/>
            <w:vAlign w:val="bottom"/>
            <w:hideMark/>
          </w:tcPr>
          <w:p w14:paraId="150F6209"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1642" w:type="dxa"/>
            <w:shd w:val="clear" w:color="auto" w:fill="auto"/>
            <w:noWrap/>
            <w:vAlign w:val="bottom"/>
            <w:hideMark/>
          </w:tcPr>
          <w:p w14:paraId="0A30B91B" w14:textId="77777777" w:rsidR="00FC4056" w:rsidRPr="00185AF4" w:rsidRDefault="00FC4056" w:rsidP="00567103">
            <w:pPr>
              <w:pStyle w:val="Tabletext"/>
              <w:tabs>
                <w:tab w:val="decimal" w:pos="327"/>
              </w:tabs>
              <w:rPr>
                <w:rFonts w:cs="Arial"/>
                <w:bCs/>
                <w:iCs/>
                <w:color w:val="AEC12D"/>
                <w:sz w:val="32"/>
                <w:szCs w:val="28"/>
              </w:rPr>
            </w:pPr>
            <w:r w:rsidRPr="00185AF4">
              <w:t>0.0007</w:t>
            </w:r>
          </w:p>
        </w:tc>
        <w:tc>
          <w:tcPr>
            <w:tcW w:w="965" w:type="dxa"/>
            <w:shd w:val="clear" w:color="auto" w:fill="auto"/>
            <w:noWrap/>
            <w:vAlign w:val="bottom"/>
            <w:hideMark/>
          </w:tcPr>
          <w:p w14:paraId="0A39FF61" w14:textId="77777777" w:rsidR="00FC4056" w:rsidRPr="00185AF4" w:rsidRDefault="00FC4056" w:rsidP="00567103">
            <w:pPr>
              <w:pStyle w:val="Tabletext"/>
              <w:tabs>
                <w:tab w:val="decimal" w:pos="327"/>
              </w:tabs>
              <w:rPr>
                <w:rFonts w:cs="Arial"/>
                <w:bCs/>
                <w:iCs/>
                <w:color w:val="AEC12D"/>
                <w:sz w:val="32"/>
                <w:szCs w:val="28"/>
              </w:rPr>
            </w:pPr>
            <w:r w:rsidRPr="00185AF4">
              <w:t>0.0002</w:t>
            </w:r>
          </w:p>
        </w:tc>
        <w:tc>
          <w:tcPr>
            <w:tcW w:w="998" w:type="dxa"/>
            <w:shd w:val="clear" w:color="auto" w:fill="auto"/>
            <w:noWrap/>
            <w:vAlign w:val="bottom"/>
            <w:hideMark/>
          </w:tcPr>
          <w:p w14:paraId="6E06D30C"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965" w:type="dxa"/>
            <w:shd w:val="clear" w:color="auto" w:fill="auto"/>
            <w:noWrap/>
            <w:vAlign w:val="bottom"/>
            <w:hideMark/>
          </w:tcPr>
          <w:p w14:paraId="16DB7703"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1042" w:type="dxa"/>
            <w:shd w:val="clear" w:color="auto" w:fill="auto"/>
            <w:noWrap/>
            <w:vAlign w:val="bottom"/>
            <w:hideMark/>
          </w:tcPr>
          <w:p w14:paraId="7C71671B"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888" w:type="dxa"/>
            <w:shd w:val="clear" w:color="auto" w:fill="auto"/>
            <w:noWrap/>
            <w:vAlign w:val="bottom"/>
            <w:hideMark/>
          </w:tcPr>
          <w:p w14:paraId="258D7FC8" w14:textId="77777777" w:rsidR="00FC4056" w:rsidRPr="00185AF4" w:rsidRDefault="00FC4056" w:rsidP="00567103">
            <w:pPr>
              <w:pStyle w:val="Tabletext"/>
              <w:tabs>
                <w:tab w:val="decimal" w:pos="327"/>
              </w:tabs>
              <w:rPr>
                <w:rFonts w:cs="Arial"/>
                <w:bCs/>
                <w:iCs/>
                <w:color w:val="AEC12D"/>
                <w:sz w:val="32"/>
                <w:szCs w:val="28"/>
              </w:rPr>
            </w:pPr>
            <w:r w:rsidRPr="00185AF4">
              <w:t>0.0001</w:t>
            </w:r>
          </w:p>
        </w:tc>
        <w:tc>
          <w:tcPr>
            <w:tcW w:w="1345" w:type="dxa"/>
            <w:shd w:val="clear" w:color="auto" w:fill="auto"/>
            <w:noWrap/>
            <w:vAlign w:val="bottom"/>
            <w:hideMark/>
          </w:tcPr>
          <w:p w14:paraId="406BD0A1"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693CE300" w14:textId="77777777" w:rsidTr="00B22A62">
        <w:trPr>
          <w:trHeight w:val="300"/>
        </w:trPr>
        <w:tc>
          <w:tcPr>
            <w:tcW w:w="950" w:type="dxa"/>
            <w:shd w:val="clear" w:color="auto" w:fill="auto"/>
            <w:noWrap/>
            <w:vAlign w:val="bottom"/>
            <w:hideMark/>
          </w:tcPr>
          <w:p w14:paraId="54448E62" w14:textId="77777777" w:rsidR="00FC4056" w:rsidRPr="00185AF4" w:rsidRDefault="00FC4056" w:rsidP="00567103">
            <w:pPr>
              <w:pStyle w:val="Tabletext"/>
              <w:rPr>
                <w:rFonts w:cs="Arial"/>
                <w:bCs/>
                <w:iCs/>
                <w:color w:val="AEC12D"/>
                <w:sz w:val="32"/>
                <w:szCs w:val="28"/>
              </w:rPr>
            </w:pPr>
            <w:r w:rsidRPr="00185AF4">
              <w:t>260</w:t>
            </w:r>
          </w:p>
        </w:tc>
        <w:tc>
          <w:tcPr>
            <w:tcW w:w="966" w:type="dxa"/>
            <w:shd w:val="clear" w:color="auto" w:fill="auto"/>
            <w:noWrap/>
            <w:vAlign w:val="bottom"/>
            <w:hideMark/>
          </w:tcPr>
          <w:p w14:paraId="65171B52"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642" w:type="dxa"/>
            <w:shd w:val="clear" w:color="auto" w:fill="auto"/>
            <w:noWrap/>
            <w:vAlign w:val="bottom"/>
            <w:hideMark/>
          </w:tcPr>
          <w:p w14:paraId="428001D7"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965" w:type="dxa"/>
            <w:shd w:val="clear" w:color="auto" w:fill="auto"/>
            <w:noWrap/>
            <w:vAlign w:val="bottom"/>
            <w:hideMark/>
          </w:tcPr>
          <w:p w14:paraId="43D361E8" w14:textId="77777777" w:rsidR="00FC4056" w:rsidRPr="00185AF4" w:rsidRDefault="00FC4056" w:rsidP="00567103">
            <w:pPr>
              <w:pStyle w:val="Tabletext"/>
              <w:tabs>
                <w:tab w:val="decimal" w:pos="327"/>
              </w:tabs>
            </w:pPr>
            <w:r w:rsidRPr="00185AF4">
              <w:t>0.0004</w:t>
            </w:r>
          </w:p>
        </w:tc>
        <w:tc>
          <w:tcPr>
            <w:tcW w:w="998" w:type="dxa"/>
            <w:shd w:val="clear" w:color="auto" w:fill="auto"/>
            <w:noWrap/>
            <w:vAlign w:val="bottom"/>
            <w:hideMark/>
          </w:tcPr>
          <w:p w14:paraId="1F5FE217"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3C7159E8"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042" w:type="dxa"/>
            <w:shd w:val="clear" w:color="auto" w:fill="auto"/>
            <w:noWrap/>
            <w:vAlign w:val="bottom"/>
            <w:hideMark/>
          </w:tcPr>
          <w:p w14:paraId="6392F30B"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888" w:type="dxa"/>
            <w:shd w:val="clear" w:color="auto" w:fill="auto"/>
            <w:noWrap/>
            <w:vAlign w:val="bottom"/>
            <w:hideMark/>
          </w:tcPr>
          <w:p w14:paraId="1782DE11"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345" w:type="dxa"/>
            <w:shd w:val="clear" w:color="auto" w:fill="auto"/>
            <w:noWrap/>
            <w:vAlign w:val="bottom"/>
            <w:hideMark/>
          </w:tcPr>
          <w:p w14:paraId="128DE953"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5634CA08" w14:textId="77777777" w:rsidTr="00B22A62">
        <w:trPr>
          <w:trHeight w:val="300"/>
        </w:trPr>
        <w:tc>
          <w:tcPr>
            <w:tcW w:w="950" w:type="dxa"/>
            <w:shd w:val="clear" w:color="auto" w:fill="auto"/>
            <w:noWrap/>
            <w:vAlign w:val="bottom"/>
            <w:hideMark/>
          </w:tcPr>
          <w:p w14:paraId="5FDD6CA3" w14:textId="77777777" w:rsidR="00FC4056" w:rsidRPr="00185AF4" w:rsidRDefault="00FC4056" w:rsidP="00567103">
            <w:pPr>
              <w:pStyle w:val="Tabletext"/>
              <w:rPr>
                <w:rFonts w:cs="Arial"/>
                <w:bCs/>
                <w:iCs/>
                <w:color w:val="AEC12D"/>
                <w:sz w:val="32"/>
                <w:szCs w:val="28"/>
              </w:rPr>
            </w:pPr>
            <w:r w:rsidRPr="00185AF4">
              <w:t>261</w:t>
            </w:r>
          </w:p>
        </w:tc>
        <w:tc>
          <w:tcPr>
            <w:tcW w:w="966" w:type="dxa"/>
            <w:shd w:val="clear" w:color="auto" w:fill="auto"/>
            <w:noWrap/>
            <w:vAlign w:val="bottom"/>
            <w:hideMark/>
          </w:tcPr>
          <w:p w14:paraId="4C9D89CC"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642" w:type="dxa"/>
            <w:shd w:val="clear" w:color="auto" w:fill="auto"/>
            <w:noWrap/>
            <w:vAlign w:val="bottom"/>
            <w:hideMark/>
          </w:tcPr>
          <w:p w14:paraId="52BC361E"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65" w:type="dxa"/>
            <w:shd w:val="clear" w:color="auto" w:fill="auto"/>
            <w:noWrap/>
            <w:vAlign w:val="bottom"/>
            <w:hideMark/>
          </w:tcPr>
          <w:p w14:paraId="19750307" w14:textId="77777777" w:rsidR="00FC4056" w:rsidRPr="00185AF4" w:rsidRDefault="00FC4056" w:rsidP="00567103">
            <w:pPr>
              <w:pStyle w:val="Tabletext"/>
              <w:tabs>
                <w:tab w:val="decimal" w:pos="327"/>
              </w:tabs>
              <w:rPr>
                <w:rFonts w:cs="Arial"/>
                <w:bCs/>
                <w:iCs/>
                <w:color w:val="AEC12D"/>
                <w:sz w:val="32"/>
                <w:szCs w:val="28"/>
              </w:rPr>
            </w:pPr>
            <w:r w:rsidRPr="00185AF4">
              <w:t>0.003</w:t>
            </w:r>
          </w:p>
        </w:tc>
        <w:tc>
          <w:tcPr>
            <w:tcW w:w="998" w:type="dxa"/>
            <w:shd w:val="clear" w:color="auto" w:fill="auto"/>
            <w:noWrap/>
            <w:vAlign w:val="bottom"/>
            <w:hideMark/>
          </w:tcPr>
          <w:p w14:paraId="3901ED20"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965" w:type="dxa"/>
            <w:shd w:val="clear" w:color="auto" w:fill="auto"/>
            <w:noWrap/>
            <w:vAlign w:val="bottom"/>
            <w:hideMark/>
          </w:tcPr>
          <w:p w14:paraId="19F2A657"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1042" w:type="dxa"/>
            <w:shd w:val="clear" w:color="auto" w:fill="auto"/>
            <w:noWrap/>
            <w:vAlign w:val="bottom"/>
            <w:hideMark/>
          </w:tcPr>
          <w:p w14:paraId="0CE4168C"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888" w:type="dxa"/>
            <w:shd w:val="clear" w:color="auto" w:fill="auto"/>
            <w:noWrap/>
            <w:vAlign w:val="bottom"/>
            <w:hideMark/>
          </w:tcPr>
          <w:p w14:paraId="2541C284" w14:textId="77777777" w:rsidR="00FC4056" w:rsidRPr="00185AF4" w:rsidRDefault="00FC4056" w:rsidP="00567103">
            <w:pPr>
              <w:pStyle w:val="Tabletext"/>
              <w:tabs>
                <w:tab w:val="decimal" w:pos="327"/>
              </w:tabs>
              <w:rPr>
                <w:rFonts w:cs="Arial"/>
                <w:bCs/>
                <w:iCs/>
                <w:color w:val="AEC12D"/>
                <w:sz w:val="32"/>
                <w:szCs w:val="28"/>
              </w:rPr>
            </w:pPr>
            <w:r w:rsidRPr="00185AF4">
              <w:t>0.0004</w:t>
            </w:r>
          </w:p>
        </w:tc>
        <w:tc>
          <w:tcPr>
            <w:tcW w:w="1345" w:type="dxa"/>
            <w:shd w:val="clear" w:color="auto" w:fill="auto"/>
            <w:noWrap/>
            <w:vAlign w:val="bottom"/>
            <w:hideMark/>
          </w:tcPr>
          <w:p w14:paraId="66D00AA2"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6ED53B09" w14:textId="77777777" w:rsidTr="00B22A62">
        <w:trPr>
          <w:trHeight w:val="300"/>
        </w:trPr>
        <w:tc>
          <w:tcPr>
            <w:tcW w:w="950" w:type="dxa"/>
            <w:shd w:val="clear" w:color="auto" w:fill="auto"/>
            <w:noWrap/>
            <w:vAlign w:val="bottom"/>
            <w:hideMark/>
          </w:tcPr>
          <w:p w14:paraId="4237854D" w14:textId="77777777" w:rsidR="00FC4056" w:rsidRPr="00185AF4" w:rsidRDefault="00FC4056" w:rsidP="00567103">
            <w:pPr>
              <w:pStyle w:val="Tabletext"/>
              <w:rPr>
                <w:rFonts w:cs="Arial"/>
                <w:bCs/>
                <w:iCs/>
                <w:color w:val="AEC12D"/>
                <w:sz w:val="32"/>
                <w:szCs w:val="28"/>
              </w:rPr>
            </w:pPr>
            <w:r w:rsidRPr="00185AF4">
              <w:t>262</w:t>
            </w:r>
          </w:p>
        </w:tc>
        <w:tc>
          <w:tcPr>
            <w:tcW w:w="966" w:type="dxa"/>
            <w:shd w:val="clear" w:color="auto" w:fill="auto"/>
            <w:noWrap/>
            <w:vAlign w:val="bottom"/>
            <w:hideMark/>
          </w:tcPr>
          <w:p w14:paraId="6701A021"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642" w:type="dxa"/>
            <w:shd w:val="clear" w:color="auto" w:fill="auto"/>
            <w:noWrap/>
            <w:vAlign w:val="bottom"/>
            <w:hideMark/>
          </w:tcPr>
          <w:p w14:paraId="446904EE"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65" w:type="dxa"/>
            <w:shd w:val="clear" w:color="auto" w:fill="auto"/>
            <w:noWrap/>
            <w:vAlign w:val="bottom"/>
            <w:hideMark/>
          </w:tcPr>
          <w:p w14:paraId="0BEEEA5E" w14:textId="77777777" w:rsidR="00FC4056" w:rsidRPr="00185AF4" w:rsidRDefault="00FC4056" w:rsidP="00567103">
            <w:pPr>
              <w:pStyle w:val="Tabletext"/>
              <w:tabs>
                <w:tab w:val="decimal" w:pos="327"/>
              </w:tabs>
              <w:rPr>
                <w:rFonts w:cs="Arial"/>
                <w:bCs/>
                <w:iCs/>
                <w:color w:val="AEC12D"/>
                <w:sz w:val="32"/>
                <w:szCs w:val="28"/>
              </w:rPr>
            </w:pPr>
            <w:r w:rsidRPr="00185AF4">
              <w:t>0.008</w:t>
            </w:r>
          </w:p>
        </w:tc>
        <w:tc>
          <w:tcPr>
            <w:tcW w:w="998" w:type="dxa"/>
            <w:shd w:val="clear" w:color="auto" w:fill="auto"/>
            <w:noWrap/>
            <w:vAlign w:val="bottom"/>
            <w:hideMark/>
          </w:tcPr>
          <w:p w14:paraId="67A1CBB2"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965" w:type="dxa"/>
            <w:shd w:val="clear" w:color="auto" w:fill="auto"/>
            <w:noWrap/>
            <w:vAlign w:val="bottom"/>
            <w:hideMark/>
          </w:tcPr>
          <w:p w14:paraId="45106AAB"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042" w:type="dxa"/>
            <w:shd w:val="clear" w:color="auto" w:fill="auto"/>
            <w:noWrap/>
            <w:vAlign w:val="bottom"/>
            <w:hideMark/>
          </w:tcPr>
          <w:p w14:paraId="21D8F764"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888" w:type="dxa"/>
            <w:shd w:val="clear" w:color="auto" w:fill="auto"/>
            <w:noWrap/>
            <w:vAlign w:val="bottom"/>
            <w:hideMark/>
          </w:tcPr>
          <w:p w14:paraId="1B9785EE"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345" w:type="dxa"/>
            <w:shd w:val="clear" w:color="auto" w:fill="auto"/>
            <w:noWrap/>
            <w:vAlign w:val="bottom"/>
            <w:hideMark/>
          </w:tcPr>
          <w:p w14:paraId="1EF9C3B2"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77DE6545" w14:textId="77777777" w:rsidTr="00B22A62">
        <w:trPr>
          <w:trHeight w:val="300"/>
        </w:trPr>
        <w:tc>
          <w:tcPr>
            <w:tcW w:w="950" w:type="dxa"/>
            <w:shd w:val="clear" w:color="auto" w:fill="auto"/>
            <w:noWrap/>
            <w:vAlign w:val="bottom"/>
            <w:hideMark/>
          </w:tcPr>
          <w:p w14:paraId="0546AB07" w14:textId="77777777" w:rsidR="00FC4056" w:rsidRPr="00185AF4" w:rsidRDefault="00FC4056" w:rsidP="00567103">
            <w:pPr>
              <w:pStyle w:val="Tabletext"/>
              <w:rPr>
                <w:rFonts w:cs="Arial"/>
                <w:bCs/>
                <w:iCs/>
                <w:color w:val="AEC12D"/>
                <w:sz w:val="32"/>
                <w:szCs w:val="28"/>
              </w:rPr>
            </w:pPr>
            <w:r w:rsidRPr="00185AF4">
              <w:t>263</w:t>
            </w:r>
          </w:p>
        </w:tc>
        <w:tc>
          <w:tcPr>
            <w:tcW w:w="966" w:type="dxa"/>
            <w:shd w:val="clear" w:color="auto" w:fill="auto"/>
            <w:noWrap/>
            <w:vAlign w:val="bottom"/>
            <w:hideMark/>
          </w:tcPr>
          <w:p w14:paraId="031BEE75"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1642" w:type="dxa"/>
            <w:shd w:val="clear" w:color="auto" w:fill="auto"/>
            <w:noWrap/>
            <w:vAlign w:val="bottom"/>
            <w:hideMark/>
          </w:tcPr>
          <w:p w14:paraId="6197B9D8" w14:textId="77777777" w:rsidR="00FC4056" w:rsidRPr="00185AF4" w:rsidRDefault="00FC4056" w:rsidP="00567103">
            <w:pPr>
              <w:pStyle w:val="Tabletext"/>
              <w:tabs>
                <w:tab w:val="decimal" w:pos="327"/>
              </w:tabs>
              <w:rPr>
                <w:rFonts w:cs="Arial"/>
                <w:bCs/>
                <w:iCs/>
                <w:color w:val="AEC12D"/>
                <w:sz w:val="32"/>
                <w:szCs w:val="28"/>
              </w:rPr>
            </w:pPr>
            <w:r w:rsidRPr="00185AF4">
              <w:t>0.01</w:t>
            </w:r>
          </w:p>
        </w:tc>
        <w:tc>
          <w:tcPr>
            <w:tcW w:w="965" w:type="dxa"/>
            <w:shd w:val="clear" w:color="auto" w:fill="auto"/>
            <w:noWrap/>
            <w:vAlign w:val="bottom"/>
            <w:hideMark/>
          </w:tcPr>
          <w:p w14:paraId="14C18E48" w14:textId="77777777" w:rsidR="00FC4056" w:rsidRPr="00185AF4" w:rsidRDefault="00FC4056" w:rsidP="00567103">
            <w:pPr>
              <w:pStyle w:val="Tabletext"/>
              <w:tabs>
                <w:tab w:val="decimal" w:pos="327"/>
              </w:tabs>
              <w:rPr>
                <w:rFonts w:cs="Arial"/>
                <w:bCs/>
                <w:iCs/>
                <w:color w:val="AEC12D"/>
                <w:sz w:val="32"/>
                <w:szCs w:val="28"/>
              </w:rPr>
            </w:pPr>
            <w:r w:rsidRPr="00185AF4">
              <w:t>0.008</w:t>
            </w:r>
          </w:p>
        </w:tc>
        <w:tc>
          <w:tcPr>
            <w:tcW w:w="998" w:type="dxa"/>
            <w:shd w:val="clear" w:color="auto" w:fill="auto"/>
            <w:noWrap/>
            <w:vAlign w:val="bottom"/>
            <w:hideMark/>
          </w:tcPr>
          <w:p w14:paraId="607C1F78"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965" w:type="dxa"/>
            <w:shd w:val="clear" w:color="auto" w:fill="auto"/>
            <w:noWrap/>
            <w:vAlign w:val="bottom"/>
            <w:hideMark/>
          </w:tcPr>
          <w:p w14:paraId="14D02B18"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042" w:type="dxa"/>
            <w:shd w:val="clear" w:color="auto" w:fill="auto"/>
            <w:noWrap/>
            <w:vAlign w:val="bottom"/>
            <w:hideMark/>
          </w:tcPr>
          <w:p w14:paraId="1111EBCC"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888" w:type="dxa"/>
            <w:shd w:val="clear" w:color="auto" w:fill="auto"/>
            <w:noWrap/>
            <w:vAlign w:val="bottom"/>
            <w:hideMark/>
          </w:tcPr>
          <w:p w14:paraId="778FADCC"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345" w:type="dxa"/>
            <w:shd w:val="clear" w:color="auto" w:fill="auto"/>
            <w:noWrap/>
            <w:vAlign w:val="bottom"/>
            <w:hideMark/>
          </w:tcPr>
          <w:p w14:paraId="5E0B7041"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4F5615DC" w14:textId="77777777" w:rsidTr="00B22A62">
        <w:trPr>
          <w:trHeight w:val="300"/>
        </w:trPr>
        <w:tc>
          <w:tcPr>
            <w:tcW w:w="950" w:type="dxa"/>
            <w:shd w:val="clear" w:color="auto" w:fill="auto"/>
            <w:noWrap/>
            <w:vAlign w:val="bottom"/>
            <w:hideMark/>
          </w:tcPr>
          <w:p w14:paraId="29E00B58" w14:textId="77777777" w:rsidR="00FC4056" w:rsidRPr="00185AF4" w:rsidRDefault="00FC4056" w:rsidP="00567103">
            <w:pPr>
              <w:pStyle w:val="Tabletext"/>
              <w:rPr>
                <w:rFonts w:cs="Arial"/>
                <w:bCs/>
                <w:iCs/>
                <w:color w:val="AEC12D"/>
                <w:sz w:val="32"/>
                <w:szCs w:val="28"/>
              </w:rPr>
            </w:pPr>
            <w:r w:rsidRPr="00185AF4">
              <w:t>288</w:t>
            </w:r>
          </w:p>
        </w:tc>
        <w:tc>
          <w:tcPr>
            <w:tcW w:w="966" w:type="dxa"/>
            <w:shd w:val="clear" w:color="auto" w:fill="auto"/>
            <w:noWrap/>
            <w:vAlign w:val="bottom"/>
            <w:hideMark/>
          </w:tcPr>
          <w:p w14:paraId="131FEB70"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1642" w:type="dxa"/>
            <w:shd w:val="clear" w:color="auto" w:fill="auto"/>
            <w:noWrap/>
            <w:vAlign w:val="bottom"/>
            <w:hideMark/>
          </w:tcPr>
          <w:p w14:paraId="4A97F191" w14:textId="77777777" w:rsidR="00FC4056" w:rsidRPr="00185AF4" w:rsidRDefault="00FC4056" w:rsidP="00567103">
            <w:pPr>
              <w:pStyle w:val="Tabletext"/>
              <w:tabs>
                <w:tab w:val="decimal" w:pos="327"/>
              </w:tabs>
              <w:rPr>
                <w:rFonts w:cs="Arial"/>
                <w:bCs/>
                <w:iCs/>
                <w:color w:val="AEC12D"/>
                <w:sz w:val="32"/>
                <w:szCs w:val="28"/>
              </w:rPr>
            </w:pPr>
            <w:r w:rsidRPr="00185AF4">
              <w:t>0.002</w:t>
            </w:r>
          </w:p>
        </w:tc>
        <w:tc>
          <w:tcPr>
            <w:tcW w:w="965" w:type="dxa"/>
            <w:shd w:val="clear" w:color="auto" w:fill="auto"/>
            <w:noWrap/>
            <w:vAlign w:val="bottom"/>
            <w:hideMark/>
          </w:tcPr>
          <w:p w14:paraId="421B2543" w14:textId="77777777" w:rsidR="00FC4056" w:rsidRPr="00185AF4" w:rsidRDefault="00FC4056" w:rsidP="00567103">
            <w:pPr>
              <w:pStyle w:val="Tabletext"/>
              <w:tabs>
                <w:tab w:val="decimal" w:pos="327"/>
              </w:tabs>
              <w:rPr>
                <w:rFonts w:cs="Arial"/>
                <w:bCs/>
                <w:iCs/>
                <w:color w:val="AEC12D"/>
                <w:sz w:val="32"/>
                <w:szCs w:val="28"/>
              </w:rPr>
            </w:pPr>
            <w:r w:rsidRPr="00185AF4">
              <w:t>0.001</w:t>
            </w:r>
          </w:p>
        </w:tc>
        <w:tc>
          <w:tcPr>
            <w:tcW w:w="998" w:type="dxa"/>
            <w:shd w:val="clear" w:color="auto" w:fill="auto"/>
            <w:noWrap/>
            <w:vAlign w:val="bottom"/>
            <w:hideMark/>
          </w:tcPr>
          <w:p w14:paraId="26715029"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965" w:type="dxa"/>
            <w:shd w:val="clear" w:color="auto" w:fill="auto"/>
            <w:noWrap/>
            <w:vAlign w:val="bottom"/>
            <w:hideMark/>
          </w:tcPr>
          <w:p w14:paraId="641D000C"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042" w:type="dxa"/>
            <w:shd w:val="clear" w:color="auto" w:fill="auto"/>
            <w:noWrap/>
            <w:vAlign w:val="bottom"/>
            <w:hideMark/>
          </w:tcPr>
          <w:p w14:paraId="4797AD51" w14:textId="77777777" w:rsidR="00FC4056" w:rsidRPr="00185AF4" w:rsidRDefault="00FC4056" w:rsidP="00567103">
            <w:pPr>
              <w:pStyle w:val="Tabletext"/>
              <w:tabs>
                <w:tab w:val="decimal" w:pos="327"/>
              </w:tabs>
            </w:pPr>
            <w:r w:rsidRPr="00185AF4">
              <w:t>0</w:t>
            </w:r>
          </w:p>
        </w:tc>
        <w:tc>
          <w:tcPr>
            <w:tcW w:w="888" w:type="dxa"/>
            <w:shd w:val="clear" w:color="auto" w:fill="auto"/>
            <w:noWrap/>
            <w:vAlign w:val="bottom"/>
            <w:hideMark/>
          </w:tcPr>
          <w:p w14:paraId="20E0D7EA" w14:textId="77777777" w:rsidR="00FC4056" w:rsidRPr="00185AF4" w:rsidRDefault="00FC4056" w:rsidP="00567103">
            <w:pPr>
              <w:pStyle w:val="Tabletext"/>
              <w:tabs>
                <w:tab w:val="decimal" w:pos="327"/>
              </w:tabs>
              <w:rPr>
                <w:rFonts w:cs="Arial"/>
                <w:bCs/>
                <w:iCs/>
                <w:color w:val="AEC12D"/>
                <w:sz w:val="32"/>
                <w:szCs w:val="28"/>
              </w:rPr>
            </w:pPr>
            <w:r w:rsidRPr="00185AF4">
              <w:t>0</w:t>
            </w:r>
          </w:p>
        </w:tc>
        <w:tc>
          <w:tcPr>
            <w:tcW w:w="1345" w:type="dxa"/>
            <w:shd w:val="clear" w:color="auto" w:fill="auto"/>
            <w:noWrap/>
            <w:vAlign w:val="bottom"/>
            <w:hideMark/>
          </w:tcPr>
          <w:p w14:paraId="6CC7FD87"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772100F8" w14:textId="77777777" w:rsidTr="00B22A62">
        <w:trPr>
          <w:trHeight w:val="300"/>
        </w:trPr>
        <w:tc>
          <w:tcPr>
            <w:tcW w:w="950" w:type="dxa"/>
            <w:tcBorders>
              <w:bottom w:val="single" w:sz="4" w:space="0" w:color="005A97"/>
            </w:tcBorders>
            <w:shd w:val="clear" w:color="auto" w:fill="auto"/>
            <w:noWrap/>
            <w:vAlign w:val="bottom"/>
            <w:hideMark/>
          </w:tcPr>
          <w:p w14:paraId="34916F77" w14:textId="77777777" w:rsidR="00FC4056" w:rsidRPr="00185AF4" w:rsidRDefault="00FC4056" w:rsidP="00567103">
            <w:pPr>
              <w:pStyle w:val="Tabletext"/>
              <w:rPr>
                <w:rFonts w:cs="Arial"/>
                <w:bCs/>
                <w:iCs/>
                <w:color w:val="AEC12D"/>
                <w:sz w:val="32"/>
                <w:szCs w:val="28"/>
              </w:rPr>
            </w:pPr>
            <w:r w:rsidRPr="00185AF4">
              <w:t>296</w:t>
            </w:r>
          </w:p>
        </w:tc>
        <w:tc>
          <w:tcPr>
            <w:tcW w:w="966" w:type="dxa"/>
            <w:tcBorders>
              <w:bottom w:val="single" w:sz="4" w:space="0" w:color="005A97"/>
            </w:tcBorders>
            <w:shd w:val="clear" w:color="auto" w:fill="auto"/>
            <w:noWrap/>
            <w:vAlign w:val="bottom"/>
            <w:hideMark/>
          </w:tcPr>
          <w:p w14:paraId="4A6DFA34" w14:textId="77777777" w:rsidR="00FC4056" w:rsidRPr="00185AF4" w:rsidRDefault="00FC4056" w:rsidP="00567103">
            <w:pPr>
              <w:pStyle w:val="Tabletext"/>
              <w:tabs>
                <w:tab w:val="decimal" w:pos="327"/>
              </w:tabs>
              <w:rPr>
                <w:rFonts w:cs="Arial"/>
                <w:bCs/>
                <w:iCs/>
                <w:color w:val="AEC12D"/>
                <w:sz w:val="32"/>
                <w:szCs w:val="28"/>
              </w:rPr>
            </w:pPr>
            <w:r w:rsidRPr="00185AF4">
              <w:t>0.09</w:t>
            </w:r>
          </w:p>
        </w:tc>
        <w:tc>
          <w:tcPr>
            <w:tcW w:w="1642" w:type="dxa"/>
            <w:tcBorders>
              <w:bottom w:val="single" w:sz="4" w:space="0" w:color="005A97"/>
            </w:tcBorders>
            <w:shd w:val="clear" w:color="auto" w:fill="auto"/>
            <w:noWrap/>
            <w:vAlign w:val="bottom"/>
            <w:hideMark/>
          </w:tcPr>
          <w:p w14:paraId="78246BC9" w14:textId="77777777" w:rsidR="00FC4056" w:rsidRPr="00185AF4" w:rsidRDefault="00FC4056" w:rsidP="00567103">
            <w:pPr>
              <w:pStyle w:val="Tabletext"/>
              <w:tabs>
                <w:tab w:val="decimal" w:pos="327"/>
              </w:tabs>
              <w:rPr>
                <w:rFonts w:cs="Arial"/>
                <w:bCs/>
                <w:iCs/>
                <w:color w:val="AEC12D"/>
                <w:sz w:val="32"/>
                <w:szCs w:val="28"/>
              </w:rPr>
            </w:pPr>
            <w:r w:rsidRPr="00185AF4">
              <w:t>0.09</w:t>
            </w:r>
          </w:p>
        </w:tc>
        <w:tc>
          <w:tcPr>
            <w:tcW w:w="965" w:type="dxa"/>
            <w:tcBorders>
              <w:bottom w:val="single" w:sz="4" w:space="0" w:color="005A97"/>
            </w:tcBorders>
            <w:shd w:val="clear" w:color="auto" w:fill="auto"/>
            <w:noWrap/>
            <w:vAlign w:val="bottom"/>
            <w:hideMark/>
          </w:tcPr>
          <w:p w14:paraId="2848087D" w14:textId="77777777" w:rsidR="00FC4056" w:rsidRPr="00185AF4" w:rsidRDefault="00FC4056" w:rsidP="00567103">
            <w:pPr>
              <w:pStyle w:val="Tabletext"/>
              <w:tabs>
                <w:tab w:val="decimal" w:pos="327"/>
              </w:tabs>
              <w:rPr>
                <w:rFonts w:cs="Arial"/>
                <w:bCs/>
                <w:iCs/>
                <w:color w:val="AEC12D"/>
                <w:sz w:val="32"/>
                <w:szCs w:val="28"/>
              </w:rPr>
            </w:pPr>
            <w:r w:rsidRPr="00185AF4">
              <w:t>0.08</w:t>
            </w:r>
          </w:p>
        </w:tc>
        <w:tc>
          <w:tcPr>
            <w:tcW w:w="998" w:type="dxa"/>
            <w:tcBorders>
              <w:bottom w:val="single" w:sz="4" w:space="0" w:color="005A97"/>
            </w:tcBorders>
            <w:shd w:val="clear" w:color="auto" w:fill="auto"/>
            <w:noWrap/>
            <w:vAlign w:val="bottom"/>
            <w:hideMark/>
          </w:tcPr>
          <w:p w14:paraId="6E7A70A9"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965" w:type="dxa"/>
            <w:tcBorders>
              <w:bottom w:val="single" w:sz="4" w:space="0" w:color="005A97"/>
            </w:tcBorders>
            <w:shd w:val="clear" w:color="auto" w:fill="auto"/>
            <w:noWrap/>
            <w:vAlign w:val="bottom"/>
            <w:hideMark/>
          </w:tcPr>
          <w:p w14:paraId="6A40E7A5"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1042" w:type="dxa"/>
            <w:tcBorders>
              <w:bottom w:val="single" w:sz="4" w:space="0" w:color="005A97"/>
            </w:tcBorders>
            <w:shd w:val="clear" w:color="auto" w:fill="auto"/>
            <w:noWrap/>
            <w:vAlign w:val="bottom"/>
            <w:hideMark/>
          </w:tcPr>
          <w:p w14:paraId="5703A67E"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888" w:type="dxa"/>
            <w:tcBorders>
              <w:bottom w:val="single" w:sz="4" w:space="0" w:color="005A97"/>
            </w:tcBorders>
            <w:shd w:val="clear" w:color="auto" w:fill="auto"/>
            <w:noWrap/>
            <w:vAlign w:val="bottom"/>
            <w:hideMark/>
          </w:tcPr>
          <w:p w14:paraId="42170BC9" w14:textId="77777777" w:rsidR="00FC4056" w:rsidRPr="00185AF4" w:rsidRDefault="00FC4056" w:rsidP="00567103">
            <w:pPr>
              <w:pStyle w:val="Tabletext"/>
              <w:tabs>
                <w:tab w:val="decimal" w:pos="327"/>
              </w:tabs>
              <w:rPr>
                <w:rFonts w:cs="Arial"/>
                <w:bCs/>
                <w:iCs/>
                <w:color w:val="AEC12D"/>
                <w:sz w:val="32"/>
                <w:szCs w:val="28"/>
              </w:rPr>
            </w:pPr>
            <w:r w:rsidRPr="00185AF4">
              <w:t>0.02</w:t>
            </w:r>
          </w:p>
        </w:tc>
        <w:tc>
          <w:tcPr>
            <w:tcW w:w="1345" w:type="dxa"/>
            <w:tcBorders>
              <w:bottom w:val="single" w:sz="4" w:space="0" w:color="005A97"/>
            </w:tcBorders>
            <w:shd w:val="clear" w:color="auto" w:fill="auto"/>
            <w:noWrap/>
            <w:vAlign w:val="bottom"/>
            <w:hideMark/>
          </w:tcPr>
          <w:p w14:paraId="092BF9F6" w14:textId="77777777" w:rsidR="00FC4056" w:rsidRPr="00185AF4" w:rsidRDefault="00FC4056" w:rsidP="00567103">
            <w:pPr>
              <w:pStyle w:val="Tabletext"/>
              <w:jc w:val="center"/>
              <w:rPr>
                <w:rFonts w:cs="Arial"/>
                <w:bCs/>
                <w:iCs/>
                <w:color w:val="AEC12D"/>
                <w:sz w:val="32"/>
                <w:szCs w:val="28"/>
              </w:rPr>
            </w:pPr>
            <w:r w:rsidRPr="00185AF4">
              <w:t>csg</w:t>
            </w:r>
          </w:p>
        </w:tc>
      </w:tr>
      <w:tr w:rsidR="00B22A62" w:rsidRPr="00185AF4" w14:paraId="18D0B034" w14:textId="77777777" w:rsidTr="00B22A62">
        <w:trPr>
          <w:trHeight w:val="300"/>
        </w:trPr>
        <w:tc>
          <w:tcPr>
            <w:tcW w:w="950" w:type="dxa"/>
            <w:tcBorders>
              <w:top w:val="single" w:sz="4" w:space="0" w:color="005A97"/>
              <w:right w:val="single" w:sz="4" w:space="0" w:color="FFFFFF"/>
            </w:tcBorders>
            <w:shd w:val="clear" w:color="auto" w:fill="005A97"/>
            <w:noWrap/>
            <w:hideMark/>
          </w:tcPr>
          <w:p w14:paraId="7791F9D8" w14:textId="77777777" w:rsidR="00567103" w:rsidRPr="00185AF4" w:rsidRDefault="00567103" w:rsidP="00B22A62">
            <w:pPr>
              <w:pStyle w:val="TableHeaderrow"/>
              <w:rPr>
                <w:rFonts w:cs="Arial"/>
                <w:iCs/>
                <w:color w:val="AEC12D"/>
                <w:sz w:val="32"/>
                <w:szCs w:val="28"/>
              </w:rPr>
            </w:pPr>
            <w:r w:rsidRPr="00185AF4">
              <w:t>Bloc_ID</w:t>
            </w:r>
          </w:p>
        </w:tc>
        <w:tc>
          <w:tcPr>
            <w:tcW w:w="966" w:type="dxa"/>
            <w:tcBorders>
              <w:top w:val="single" w:sz="4" w:space="0" w:color="005A97"/>
              <w:left w:val="single" w:sz="4" w:space="0" w:color="FFFFFF"/>
              <w:right w:val="single" w:sz="4" w:space="0" w:color="FFFFFF"/>
            </w:tcBorders>
            <w:shd w:val="clear" w:color="auto" w:fill="005A97"/>
            <w:noWrap/>
            <w:hideMark/>
          </w:tcPr>
          <w:p w14:paraId="362AD4F2" w14:textId="77777777" w:rsidR="00567103" w:rsidRPr="00185AF4" w:rsidRDefault="00567103" w:rsidP="00B22A62">
            <w:pPr>
              <w:pStyle w:val="TableHeaderrow"/>
              <w:rPr>
                <w:rFonts w:cs="Arial"/>
                <w:iCs/>
                <w:color w:val="AEC12D"/>
                <w:sz w:val="32"/>
                <w:szCs w:val="28"/>
              </w:rPr>
            </w:pPr>
            <w:r w:rsidRPr="00185AF4">
              <w:t>Dilwyn (Aq111)</w:t>
            </w:r>
          </w:p>
        </w:tc>
        <w:tc>
          <w:tcPr>
            <w:tcW w:w="1642" w:type="dxa"/>
            <w:tcBorders>
              <w:top w:val="single" w:sz="4" w:space="0" w:color="005A97"/>
              <w:left w:val="single" w:sz="4" w:space="0" w:color="FFFFFF"/>
              <w:right w:val="single" w:sz="4" w:space="0" w:color="FFFFFF"/>
            </w:tcBorders>
            <w:shd w:val="clear" w:color="auto" w:fill="005A97"/>
            <w:noWrap/>
            <w:hideMark/>
          </w:tcPr>
          <w:p w14:paraId="24381CF6" w14:textId="77777777" w:rsidR="00567103" w:rsidRPr="00185AF4" w:rsidRDefault="00567103" w:rsidP="00B22A62">
            <w:pPr>
              <w:pStyle w:val="TableHeaderrow"/>
            </w:pPr>
            <w:r w:rsidRPr="00185AF4">
              <w:t>Mepunga Form. / Older Volc (Aq111/Aq112)</w:t>
            </w:r>
          </w:p>
        </w:tc>
        <w:tc>
          <w:tcPr>
            <w:tcW w:w="965" w:type="dxa"/>
            <w:tcBorders>
              <w:top w:val="single" w:sz="4" w:space="0" w:color="005A97"/>
              <w:left w:val="single" w:sz="4" w:space="0" w:color="FFFFFF"/>
              <w:right w:val="single" w:sz="4" w:space="0" w:color="FFFFFF"/>
            </w:tcBorders>
            <w:shd w:val="clear" w:color="auto" w:fill="005A97"/>
            <w:noWrap/>
            <w:hideMark/>
          </w:tcPr>
          <w:p w14:paraId="17BBC311" w14:textId="77777777" w:rsidR="00567103" w:rsidRPr="00185AF4" w:rsidRDefault="00567103" w:rsidP="00B22A62">
            <w:pPr>
              <w:pStyle w:val="TableHeaderrow"/>
              <w:rPr>
                <w:rFonts w:cs="Arial"/>
                <w:iCs/>
                <w:color w:val="AEC12D"/>
                <w:sz w:val="32"/>
                <w:szCs w:val="28"/>
              </w:rPr>
            </w:pPr>
            <w:r w:rsidRPr="00185AF4">
              <w:t>Clifton From. (Aq 109)</w:t>
            </w:r>
          </w:p>
        </w:tc>
        <w:tc>
          <w:tcPr>
            <w:tcW w:w="998" w:type="dxa"/>
            <w:tcBorders>
              <w:top w:val="single" w:sz="4" w:space="0" w:color="005A97"/>
              <w:left w:val="single" w:sz="4" w:space="0" w:color="FFFFFF"/>
              <w:right w:val="single" w:sz="4" w:space="0" w:color="FFFFFF"/>
            </w:tcBorders>
            <w:shd w:val="clear" w:color="auto" w:fill="005A97"/>
            <w:noWrap/>
            <w:hideMark/>
          </w:tcPr>
          <w:p w14:paraId="19371169" w14:textId="77777777" w:rsidR="00567103" w:rsidRPr="00185AF4" w:rsidRDefault="00567103" w:rsidP="00B22A62">
            <w:pPr>
              <w:pStyle w:val="TableHeaderrow"/>
              <w:rPr>
                <w:rFonts w:cs="Arial"/>
                <w:iCs/>
                <w:color w:val="AEC12D"/>
                <w:sz w:val="32"/>
                <w:szCs w:val="28"/>
              </w:rPr>
            </w:pPr>
            <w:r w:rsidRPr="00185AF4">
              <w:t>Port Campbell (Aq107)</w:t>
            </w:r>
          </w:p>
        </w:tc>
        <w:tc>
          <w:tcPr>
            <w:tcW w:w="965" w:type="dxa"/>
            <w:tcBorders>
              <w:top w:val="single" w:sz="4" w:space="0" w:color="005A97"/>
              <w:left w:val="single" w:sz="4" w:space="0" w:color="FFFFFF"/>
              <w:right w:val="single" w:sz="4" w:space="0" w:color="FFFFFF"/>
            </w:tcBorders>
            <w:shd w:val="clear" w:color="auto" w:fill="005A97"/>
            <w:noWrap/>
            <w:hideMark/>
          </w:tcPr>
          <w:p w14:paraId="70A39F64" w14:textId="77777777" w:rsidR="00567103" w:rsidRPr="00185AF4" w:rsidRDefault="00567103" w:rsidP="00B22A62">
            <w:pPr>
              <w:pStyle w:val="TableHeaderrow"/>
              <w:rPr>
                <w:rFonts w:cs="Arial"/>
                <w:iCs/>
                <w:color w:val="AEC12D"/>
                <w:sz w:val="32"/>
                <w:szCs w:val="28"/>
              </w:rPr>
            </w:pPr>
            <w:r w:rsidRPr="00185AF4">
              <w:t>Aq100</w:t>
            </w:r>
          </w:p>
        </w:tc>
        <w:tc>
          <w:tcPr>
            <w:tcW w:w="1042" w:type="dxa"/>
            <w:tcBorders>
              <w:top w:val="single" w:sz="4" w:space="0" w:color="005A97"/>
              <w:left w:val="single" w:sz="4" w:space="0" w:color="FFFFFF"/>
              <w:right w:val="single" w:sz="4" w:space="0" w:color="FFFFFF"/>
            </w:tcBorders>
            <w:shd w:val="clear" w:color="auto" w:fill="005A97"/>
            <w:noWrap/>
            <w:hideMark/>
          </w:tcPr>
          <w:p w14:paraId="5026ACA6" w14:textId="77777777" w:rsidR="00567103" w:rsidRPr="00185AF4" w:rsidRDefault="00567103" w:rsidP="00B22A62">
            <w:pPr>
              <w:pStyle w:val="TableHeaderrow"/>
              <w:rPr>
                <w:rFonts w:cs="Arial"/>
                <w:iCs/>
                <w:color w:val="AEC12D"/>
                <w:sz w:val="32"/>
                <w:szCs w:val="28"/>
              </w:rPr>
            </w:pPr>
            <w:r w:rsidRPr="00185AF4">
              <w:t>Aq101</w:t>
            </w:r>
          </w:p>
        </w:tc>
        <w:tc>
          <w:tcPr>
            <w:tcW w:w="888" w:type="dxa"/>
            <w:tcBorders>
              <w:top w:val="single" w:sz="4" w:space="0" w:color="005A97"/>
              <w:left w:val="single" w:sz="4" w:space="0" w:color="FFFFFF"/>
              <w:right w:val="single" w:sz="4" w:space="0" w:color="FFFFFF"/>
            </w:tcBorders>
            <w:shd w:val="clear" w:color="auto" w:fill="005A97"/>
            <w:noWrap/>
            <w:hideMark/>
          </w:tcPr>
          <w:p w14:paraId="76BA36BD" w14:textId="77777777" w:rsidR="00567103" w:rsidRPr="00185AF4" w:rsidRDefault="00567103" w:rsidP="00B22A62">
            <w:pPr>
              <w:pStyle w:val="TableHeaderrow"/>
              <w:rPr>
                <w:rFonts w:cs="Arial"/>
                <w:iCs/>
                <w:color w:val="AEC12D"/>
                <w:sz w:val="32"/>
                <w:szCs w:val="28"/>
              </w:rPr>
            </w:pPr>
            <w:r w:rsidRPr="00185AF4">
              <w:t>Aq104</w:t>
            </w:r>
          </w:p>
        </w:tc>
        <w:tc>
          <w:tcPr>
            <w:tcW w:w="1345" w:type="dxa"/>
            <w:tcBorders>
              <w:top w:val="single" w:sz="4" w:space="0" w:color="005A97"/>
              <w:left w:val="single" w:sz="4" w:space="0" w:color="FFFFFF"/>
            </w:tcBorders>
            <w:shd w:val="clear" w:color="auto" w:fill="005A97"/>
            <w:noWrap/>
            <w:hideMark/>
          </w:tcPr>
          <w:p w14:paraId="60D2FA14" w14:textId="77777777" w:rsidR="00567103" w:rsidRPr="00185AF4" w:rsidRDefault="00567103" w:rsidP="00B22A62">
            <w:pPr>
              <w:pStyle w:val="TableHeaderrow"/>
              <w:rPr>
                <w:rFonts w:cs="Arial"/>
                <w:iCs/>
                <w:color w:val="AEC12D"/>
                <w:sz w:val="32"/>
                <w:szCs w:val="28"/>
              </w:rPr>
            </w:pPr>
            <w:r>
              <w:t>R</w:t>
            </w:r>
            <w:r w:rsidRPr="00185AF4">
              <w:t>esource</w:t>
            </w:r>
          </w:p>
        </w:tc>
      </w:tr>
      <w:tr w:rsidR="00FC4056" w:rsidRPr="00185AF4" w14:paraId="164E04D5" w14:textId="77777777" w:rsidTr="00B22A62">
        <w:trPr>
          <w:trHeight w:val="300"/>
        </w:trPr>
        <w:tc>
          <w:tcPr>
            <w:tcW w:w="950" w:type="dxa"/>
            <w:shd w:val="clear" w:color="auto" w:fill="auto"/>
            <w:noWrap/>
            <w:vAlign w:val="bottom"/>
            <w:hideMark/>
          </w:tcPr>
          <w:p w14:paraId="482F298C" w14:textId="77777777" w:rsidR="00FC4056" w:rsidRPr="00185AF4" w:rsidRDefault="00FC4056" w:rsidP="00567103">
            <w:pPr>
              <w:pStyle w:val="Tabletext"/>
              <w:rPr>
                <w:rFonts w:cs="Arial"/>
                <w:bCs/>
                <w:iCs/>
                <w:color w:val="AEC12D"/>
                <w:sz w:val="32"/>
                <w:szCs w:val="28"/>
              </w:rPr>
            </w:pPr>
            <w:r w:rsidRPr="00185AF4">
              <w:t>297</w:t>
            </w:r>
          </w:p>
        </w:tc>
        <w:tc>
          <w:tcPr>
            <w:tcW w:w="966" w:type="dxa"/>
            <w:shd w:val="clear" w:color="auto" w:fill="auto"/>
            <w:noWrap/>
            <w:vAlign w:val="bottom"/>
            <w:hideMark/>
          </w:tcPr>
          <w:p w14:paraId="5459B8A6" w14:textId="77777777" w:rsidR="00FC4056" w:rsidRPr="00185AF4" w:rsidRDefault="00FC4056" w:rsidP="00331966">
            <w:pPr>
              <w:pStyle w:val="Tabletext"/>
              <w:rPr>
                <w:rFonts w:cs="Arial"/>
                <w:bCs/>
                <w:iCs/>
                <w:color w:val="AEC12D"/>
                <w:sz w:val="32"/>
                <w:szCs w:val="28"/>
              </w:rPr>
            </w:pPr>
            <w:r w:rsidRPr="00185AF4">
              <w:t>0.02</w:t>
            </w:r>
          </w:p>
        </w:tc>
        <w:tc>
          <w:tcPr>
            <w:tcW w:w="1642" w:type="dxa"/>
            <w:shd w:val="clear" w:color="auto" w:fill="auto"/>
            <w:noWrap/>
            <w:vAlign w:val="bottom"/>
            <w:hideMark/>
          </w:tcPr>
          <w:p w14:paraId="110D9B83" w14:textId="77777777" w:rsidR="00FC4056" w:rsidRPr="00185AF4" w:rsidRDefault="00FC4056" w:rsidP="00331966">
            <w:pPr>
              <w:pStyle w:val="Tabletext"/>
              <w:rPr>
                <w:rFonts w:cs="Arial"/>
                <w:bCs/>
                <w:iCs/>
                <w:color w:val="AEC12D"/>
                <w:sz w:val="32"/>
                <w:szCs w:val="28"/>
              </w:rPr>
            </w:pPr>
            <w:r w:rsidRPr="00185AF4">
              <w:t>0.02</w:t>
            </w:r>
          </w:p>
        </w:tc>
        <w:tc>
          <w:tcPr>
            <w:tcW w:w="965" w:type="dxa"/>
            <w:shd w:val="clear" w:color="auto" w:fill="auto"/>
            <w:noWrap/>
            <w:vAlign w:val="bottom"/>
            <w:hideMark/>
          </w:tcPr>
          <w:p w14:paraId="5213B6F2" w14:textId="77777777" w:rsidR="00FC4056" w:rsidRPr="00185AF4" w:rsidRDefault="00FC4056" w:rsidP="00331966">
            <w:pPr>
              <w:pStyle w:val="Tabletext"/>
              <w:rPr>
                <w:rFonts w:cs="Arial"/>
                <w:bCs/>
                <w:iCs/>
                <w:color w:val="AEC12D"/>
                <w:sz w:val="32"/>
                <w:szCs w:val="28"/>
              </w:rPr>
            </w:pPr>
            <w:r w:rsidRPr="00185AF4">
              <w:t>0.01</w:t>
            </w:r>
          </w:p>
        </w:tc>
        <w:tc>
          <w:tcPr>
            <w:tcW w:w="998" w:type="dxa"/>
            <w:shd w:val="clear" w:color="auto" w:fill="auto"/>
            <w:noWrap/>
            <w:vAlign w:val="bottom"/>
            <w:hideMark/>
          </w:tcPr>
          <w:p w14:paraId="595E5142" w14:textId="77777777" w:rsidR="00FC4056" w:rsidRPr="00185AF4" w:rsidRDefault="00FC4056" w:rsidP="00331966">
            <w:pPr>
              <w:pStyle w:val="Tabletext"/>
              <w:rPr>
                <w:rFonts w:cs="Arial"/>
                <w:bCs/>
                <w:iCs/>
                <w:color w:val="AEC12D"/>
                <w:sz w:val="32"/>
                <w:szCs w:val="28"/>
              </w:rPr>
            </w:pPr>
            <w:r w:rsidRPr="00185AF4">
              <w:t>0.001</w:t>
            </w:r>
          </w:p>
        </w:tc>
        <w:tc>
          <w:tcPr>
            <w:tcW w:w="965" w:type="dxa"/>
            <w:shd w:val="clear" w:color="auto" w:fill="auto"/>
            <w:noWrap/>
            <w:vAlign w:val="bottom"/>
            <w:hideMark/>
          </w:tcPr>
          <w:p w14:paraId="126027AC" w14:textId="77777777" w:rsidR="00FC4056" w:rsidRPr="00185AF4" w:rsidRDefault="00FC4056" w:rsidP="00331966">
            <w:pPr>
              <w:pStyle w:val="Tabletext"/>
              <w:rPr>
                <w:rFonts w:cs="Arial"/>
                <w:bCs/>
                <w:iCs/>
                <w:color w:val="AEC12D"/>
                <w:sz w:val="32"/>
                <w:szCs w:val="28"/>
              </w:rPr>
            </w:pPr>
            <w:r w:rsidRPr="00185AF4">
              <w:t>0.001</w:t>
            </w:r>
          </w:p>
        </w:tc>
        <w:tc>
          <w:tcPr>
            <w:tcW w:w="1042" w:type="dxa"/>
            <w:shd w:val="clear" w:color="auto" w:fill="auto"/>
            <w:noWrap/>
            <w:vAlign w:val="bottom"/>
            <w:hideMark/>
          </w:tcPr>
          <w:p w14:paraId="0DDEAB08" w14:textId="77777777" w:rsidR="00FC4056" w:rsidRPr="00185AF4" w:rsidRDefault="00FC4056" w:rsidP="00331966">
            <w:pPr>
              <w:pStyle w:val="Tabletext"/>
              <w:rPr>
                <w:rFonts w:cs="Arial"/>
                <w:bCs/>
                <w:iCs/>
                <w:color w:val="AEC12D"/>
                <w:sz w:val="32"/>
                <w:szCs w:val="28"/>
              </w:rPr>
            </w:pPr>
            <w:r w:rsidRPr="00185AF4">
              <w:t>0.001</w:t>
            </w:r>
          </w:p>
        </w:tc>
        <w:tc>
          <w:tcPr>
            <w:tcW w:w="888" w:type="dxa"/>
            <w:shd w:val="clear" w:color="auto" w:fill="auto"/>
            <w:noWrap/>
            <w:vAlign w:val="bottom"/>
            <w:hideMark/>
          </w:tcPr>
          <w:p w14:paraId="32541891" w14:textId="77777777" w:rsidR="00FC4056" w:rsidRPr="00185AF4" w:rsidRDefault="00FC4056" w:rsidP="00331966">
            <w:pPr>
              <w:pStyle w:val="Tabletext"/>
              <w:rPr>
                <w:rFonts w:cs="Arial"/>
                <w:bCs/>
                <w:iCs/>
                <w:color w:val="AEC12D"/>
                <w:sz w:val="32"/>
                <w:szCs w:val="28"/>
              </w:rPr>
            </w:pPr>
            <w:r w:rsidRPr="00185AF4">
              <w:t>0.001</w:t>
            </w:r>
          </w:p>
        </w:tc>
        <w:tc>
          <w:tcPr>
            <w:tcW w:w="1345" w:type="dxa"/>
            <w:shd w:val="clear" w:color="auto" w:fill="auto"/>
            <w:noWrap/>
            <w:vAlign w:val="bottom"/>
            <w:hideMark/>
          </w:tcPr>
          <w:p w14:paraId="5F3F312A"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65663DA0" w14:textId="77777777" w:rsidTr="00B22A62">
        <w:trPr>
          <w:trHeight w:val="300"/>
        </w:trPr>
        <w:tc>
          <w:tcPr>
            <w:tcW w:w="950" w:type="dxa"/>
            <w:shd w:val="clear" w:color="auto" w:fill="auto"/>
            <w:noWrap/>
            <w:vAlign w:val="bottom"/>
            <w:hideMark/>
          </w:tcPr>
          <w:p w14:paraId="4A1C1A6C" w14:textId="77777777" w:rsidR="00FC4056" w:rsidRPr="00185AF4" w:rsidRDefault="00FC4056" w:rsidP="00567103">
            <w:pPr>
              <w:pStyle w:val="Tabletext"/>
              <w:rPr>
                <w:rFonts w:cs="Arial"/>
                <w:bCs/>
                <w:iCs/>
                <w:color w:val="AEC12D"/>
                <w:sz w:val="32"/>
                <w:szCs w:val="28"/>
              </w:rPr>
            </w:pPr>
            <w:r w:rsidRPr="00185AF4">
              <w:t>319</w:t>
            </w:r>
          </w:p>
        </w:tc>
        <w:tc>
          <w:tcPr>
            <w:tcW w:w="966" w:type="dxa"/>
            <w:shd w:val="clear" w:color="auto" w:fill="auto"/>
            <w:noWrap/>
            <w:vAlign w:val="bottom"/>
            <w:hideMark/>
          </w:tcPr>
          <w:p w14:paraId="332E802B" w14:textId="77777777" w:rsidR="00FC4056" w:rsidRPr="00185AF4" w:rsidRDefault="00FC4056" w:rsidP="00331966">
            <w:pPr>
              <w:pStyle w:val="Tabletext"/>
              <w:rPr>
                <w:rFonts w:cs="Arial"/>
                <w:bCs/>
                <w:iCs/>
                <w:color w:val="AEC12D"/>
                <w:sz w:val="32"/>
                <w:szCs w:val="28"/>
              </w:rPr>
            </w:pPr>
            <w:r w:rsidRPr="00185AF4">
              <w:t>0.0008</w:t>
            </w:r>
          </w:p>
        </w:tc>
        <w:tc>
          <w:tcPr>
            <w:tcW w:w="1642" w:type="dxa"/>
            <w:shd w:val="clear" w:color="auto" w:fill="auto"/>
            <w:noWrap/>
            <w:vAlign w:val="bottom"/>
            <w:hideMark/>
          </w:tcPr>
          <w:p w14:paraId="19F7D0C8" w14:textId="77777777" w:rsidR="00FC4056" w:rsidRPr="00185AF4" w:rsidRDefault="00FC4056" w:rsidP="00331966">
            <w:pPr>
              <w:pStyle w:val="Tabletext"/>
              <w:rPr>
                <w:rFonts w:cs="Arial"/>
                <w:bCs/>
                <w:iCs/>
                <w:color w:val="AEC12D"/>
                <w:sz w:val="32"/>
                <w:szCs w:val="28"/>
              </w:rPr>
            </w:pPr>
            <w:r w:rsidRPr="00185AF4">
              <w:t>0.0008</w:t>
            </w:r>
          </w:p>
        </w:tc>
        <w:tc>
          <w:tcPr>
            <w:tcW w:w="965" w:type="dxa"/>
            <w:shd w:val="clear" w:color="auto" w:fill="auto"/>
            <w:noWrap/>
            <w:vAlign w:val="bottom"/>
            <w:hideMark/>
          </w:tcPr>
          <w:p w14:paraId="5311565B" w14:textId="77777777" w:rsidR="00FC4056" w:rsidRPr="00185AF4" w:rsidRDefault="00FC4056" w:rsidP="00331966">
            <w:pPr>
              <w:pStyle w:val="Tabletext"/>
              <w:rPr>
                <w:rFonts w:cs="Arial"/>
                <w:bCs/>
                <w:iCs/>
                <w:color w:val="AEC12D"/>
                <w:sz w:val="32"/>
                <w:szCs w:val="28"/>
              </w:rPr>
            </w:pPr>
            <w:r w:rsidRPr="00185AF4">
              <w:t>0.0008</w:t>
            </w:r>
          </w:p>
        </w:tc>
        <w:tc>
          <w:tcPr>
            <w:tcW w:w="998" w:type="dxa"/>
            <w:shd w:val="clear" w:color="auto" w:fill="auto"/>
            <w:noWrap/>
            <w:vAlign w:val="bottom"/>
            <w:hideMark/>
          </w:tcPr>
          <w:p w14:paraId="5B2AC8C2" w14:textId="77777777" w:rsidR="00FC4056" w:rsidRPr="00185AF4" w:rsidRDefault="00FC4056" w:rsidP="00331966">
            <w:pPr>
              <w:pStyle w:val="Tabletext"/>
              <w:rPr>
                <w:rFonts w:cs="Arial"/>
                <w:bCs/>
                <w:iCs/>
                <w:color w:val="AEC12D"/>
                <w:sz w:val="32"/>
                <w:szCs w:val="28"/>
              </w:rPr>
            </w:pPr>
            <w:r w:rsidRPr="00185AF4">
              <w:t>0</w:t>
            </w:r>
          </w:p>
        </w:tc>
        <w:tc>
          <w:tcPr>
            <w:tcW w:w="965" w:type="dxa"/>
            <w:shd w:val="clear" w:color="auto" w:fill="auto"/>
            <w:noWrap/>
            <w:vAlign w:val="bottom"/>
            <w:hideMark/>
          </w:tcPr>
          <w:p w14:paraId="1364A34E" w14:textId="77777777" w:rsidR="00FC4056" w:rsidRPr="00185AF4" w:rsidRDefault="00FC4056" w:rsidP="00331966">
            <w:pPr>
              <w:pStyle w:val="Tabletext"/>
              <w:rPr>
                <w:rFonts w:cs="Arial"/>
                <w:bCs/>
                <w:iCs/>
                <w:color w:val="AEC12D"/>
                <w:sz w:val="32"/>
                <w:szCs w:val="28"/>
              </w:rPr>
            </w:pPr>
            <w:r w:rsidRPr="00185AF4">
              <w:t>0</w:t>
            </w:r>
          </w:p>
        </w:tc>
        <w:tc>
          <w:tcPr>
            <w:tcW w:w="1042" w:type="dxa"/>
            <w:shd w:val="clear" w:color="auto" w:fill="auto"/>
            <w:noWrap/>
            <w:vAlign w:val="bottom"/>
            <w:hideMark/>
          </w:tcPr>
          <w:p w14:paraId="16D99F3C" w14:textId="77777777" w:rsidR="00FC4056" w:rsidRPr="00185AF4" w:rsidRDefault="00FC4056" w:rsidP="00331966">
            <w:pPr>
              <w:pStyle w:val="Tabletext"/>
              <w:rPr>
                <w:rFonts w:cs="Arial"/>
                <w:bCs/>
                <w:iCs/>
                <w:color w:val="AEC12D"/>
                <w:sz w:val="32"/>
                <w:szCs w:val="28"/>
              </w:rPr>
            </w:pPr>
            <w:r w:rsidRPr="00185AF4">
              <w:t>0</w:t>
            </w:r>
          </w:p>
        </w:tc>
        <w:tc>
          <w:tcPr>
            <w:tcW w:w="888" w:type="dxa"/>
            <w:shd w:val="clear" w:color="auto" w:fill="auto"/>
            <w:noWrap/>
            <w:vAlign w:val="bottom"/>
            <w:hideMark/>
          </w:tcPr>
          <w:p w14:paraId="35BE879B" w14:textId="77777777" w:rsidR="00FC4056" w:rsidRPr="00185AF4" w:rsidRDefault="00FC4056" w:rsidP="00331966">
            <w:pPr>
              <w:pStyle w:val="Tabletext"/>
              <w:rPr>
                <w:rFonts w:cs="Arial"/>
                <w:bCs/>
                <w:iCs/>
                <w:color w:val="AEC12D"/>
                <w:sz w:val="32"/>
                <w:szCs w:val="28"/>
              </w:rPr>
            </w:pPr>
            <w:r w:rsidRPr="00185AF4">
              <w:t>0</w:t>
            </w:r>
          </w:p>
        </w:tc>
        <w:tc>
          <w:tcPr>
            <w:tcW w:w="1345" w:type="dxa"/>
            <w:shd w:val="clear" w:color="auto" w:fill="auto"/>
            <w:noWrap/>
            <w:vAlign w:val="bottom"/>
            <w:hideMark/>
          </w:tcPr>
          <w:p w14:paraId="696511BC"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47F809EC" w14:textId="77777777" w:rsidTr="00B22A62">
        <w:trPr>
          <w:trHeight w:val="300"/>
        </w:trPr>
        <w:tc>
          <w:tcPr>
            <w:tcW w:w="950" w:type="dxa"/>
            <w:shd w:val="clear" w:color="auto" w:fill="auto"/>
            <w:noWrap/>
            <w:vAlign w:val="bottom"/>
            <w:hideMark/>
          </w:tcPr>
          <w:p w14:paraId="1E570549" w14:textId="77777777" w:rsidR="00FC4056" w:rsidRPr="00185AF4" w:rsidRDefault="00FC4056" w:rsidP="00567103">
            <w:pPr>
              <w:pStyle w:val="Tabletext"/>
              <w:rPr>
                <w:rFonts w:cs="Arial"/>
                <w:bCs/>
                <w:iCs/>
                <w:color w:val="AEC12D"/>
                <w:sz w:val="32"/>
                <w:szCs w:val="28"/>
              </w:rPr>
            </w:pPr>
            <w:r w:rsidRPr="00185AF4">
              <w:t>320</w:t>
            </w:r>
          </w:p>
        </w:tc>
        <w:tc>
          <w:tcPr>
            <w:tcW w:w="966" w:type="dxa"/>
            <w:shd w:val="clear" w:color="auto" w:fill="auto"/>
            <w:noWrap/>
            <w:vAlign w:val="bottom"/>
            <w:hideMark/>
          </w:tcPr>
          <w:p w14:paraId="0B72730D" w14:textId="77777777" w:rsidR="00FC4056" w:rsidRPr="00185AF4" w:rsidRDefault="00FC4056" w:rsidP="00331966">
            <w:pPr>
              <w:pStyle w:val="Tabletext"/>
              <w:rPr>
                <w:rFonts w:cs="Arial"/>
                <w:bCs/>
                <w:iCs/>
                <w:color w:val="AEC12D"/>
                <w:sz w:val="32"/>
                <w:szCs w:val="28"/>
              </w:rPr>
            </w:pPr>
            <w:r w:rsidRPr="00185AF4">
              <w:t>0.003</w:t>
            </w:r>
          </w:p>
        </w:tc>
        <w:tc>
          <w:tcPr>
            <w:tcW w:w="1642" w:type="dxa"/>
            <w:shd w:val="clear" w:color="auto" w:fill="auto"/>
            <w:noWrap/>
            <w:vAlign w:val="bottom"/>
            <w:hideMark/>
          </w:tcPr>
          <w:p w14:paraId="40B46FAC" w14:textId="77777777" w:rsidR="00FC4056" w:rsidRPr="00185AF4" w:rsidRDefault="00FC4056" w:rsidP="00331966">
            <w:pPr>
              <w:pStyle w:val="Tabletext"/>
              <w:rPr>
                <w:rFonts w:cs="Arial"/>
                <w:bCs/>
                <w:iCs/>
                <w:color w:val="AEC12D"/>
                <w:sz w:val="32"/>
                <w:szCs w:val="28"/>
              </w:rPr>
            </w:pPr>
            <w:r w:rsidRPr="00185AF4">
              <w:t>0.003</w:t>
            </w:r>
          </w:p>
        </w:tc>
        <w:tc>
          <w:tcPr>
            <w:tcW w:w="965" w:type="dxa"/>
            <w:shd w:val="clear" w:color="auto" w:fill="auto"/>
            <w:noWrap/>
            <w:vAlign w:val="bottom"/>
            <w:hideMark/>
          </w:tcPr>
          <w:p w14:paraId="652CEAEE" w14:textId="77777777" w:rsidR="00FC4056" w:rsidRPr="00185AF4" w:rsidRDefault="00FC4056" w:rsidP="00331966">
            <w:pPr>
              <w:pStyle w:val="Tabletext"/>
              <w:rPr>
                <w:rFonts w:cs="Arial"/>
                <w:bCs/>
                <w:iCs/>
                <w:color w:val="AEC12D"/>
                <w:sz w:val="32"/>
                <w:szCs w:val="28"/>
              </w:rPr>
            </w:pPr>
            <w:r w:rsidRPr="00185AF4">
              <w:t>0.003</w:t>
            </w:r>
          </w:p>
        </w:tc>
        <w:tc>
          <w:tcPr>
            <w:tcW w:w="998" w:type="dxa"/>
            <w:shd w:val="clear" w:color="auto" w:fill="auto"/>
            <w:noWrap/>
            <w:vAlign w:val="bottom"/>
            <w:hideMark/>
          </w:tcPr>
          <w:p w14:paraId="073D9750" w14:textId="77777777" w:rsidR="00FC4056" w:rsidRPr="00185AF4" w:rsidRDefault="00FC4056" w:rsidP="00331966">
            <w:pPr>
              <w:pStyle w:val="Tabletext"/>
              <w:rPr>
                <w:rFonts w:cs="Arial"/>
                <w:bCs/>
                <w:iCs/>
                <w:color w:val="AEC12D"/>
                <w:sz w:val="32"/>
                <w:szCs w:val="28"/>
              </w:rPr>
            </w:pPr>
            <w:r w:rsidRPr="00185AF4">
              <w:t>0.0003</w:t>
            </w:r>
          </w:p>
        </w:tc>
        <w:tc>
          <w:tcPr>
            <w:tcW w:w="965" w:type="dxa"/>
            <w:shd w:val="clear" w:color="auto" w:fill="auto"/>
            <w:noWrap/>
            <w:vAlign w:val="bottom"/>
            <w:hideMark/>
          </w:tcPr>
          <w:p w14:paraId="60E28C49" w14:textId="77777777" w:rsidR="00FC4056" w:rsidRPr="00185AF4" w:rsidRDefault="00FC4056" w:rsidP="00331966">
            <w:pPr>
              <w:pStyle w:val="Tabletext"/>
              <w:rPr>
                <w:rFonts w:cs="Arial"/>
                <w:bCs/>
                <w:iCs/>
                <w:color w:val="AEC12D"/>
                <w:sz w:val="32"/>
                <w:szCs w:val="28"/>
              </w:rPr>
            </w:pPr>
            <w:r w:rsidRPr="00185AF4">
              <w:t>0.0003</w:t>
            </w:r>
          </w:p>
        </w:tc>
        <w:tc>
          <w:tcPr>
            <w:tcW w:w="1042" w:type="dxa"/>
            <w:shd w:val="clear" w:color="auto" w:fill="auto"/>
            <w:noWrap/>
            <w:vAlign w:val="bottom"/>
            <w:hideMark/>
          </w:tcPr>
          <w:p w14:paraId="6E2CBD82" w14:textId="77777777" w:rsidR="00FC4056" w:rsidRPr="00185AF4" w:rsidRDefault="00FC4056" w:rsidP="00331966">
            <w:pPr>
              <w:pStyle w:val="Tabletext"/>
              <w:rPr>
                <w:rFonts w:cs="Arial"/>
                <w:bCs/>
                <w:iCs/>
                <w:color w:val="AEC12D"/>
                <w:sz w:val="32"/>
                <w:szCs w:val="28"/>
              </w:rPr>
            </w:pPr>
            <w:r w:rsidRPr="00185AF4">
              <w:t>0.0003</w:t>
            </w:r>
          </w:p>
        </w:tc>
        <w:tc>
          <w:tcPr>
            <w:tcW w:w="888" w:type="dxa"/>
            <w:shd w:val="clear" w:color="auto" w:fill="auto"/>
            <w:noWrap/>
            <w:vAlign w:val="bottom"/>
            <w:hideMark/>
          </w:tcPr>
          <w:p w14:paraId="456F2122" w14:textId="77777777" w:rsidR="00FC4056" w:rsidRPr="00185AF4" w:rsidRDefault="00FC4056" w:rsidP="00331966">
            <w:pPr>
              <w:pStyle w:val="Tabletext"/>
              <w:rPr>
                <w:rFonts w:cs="Arial"/>
                <w:bCs/>
                <w:iCs/>
                <w:color w:val="AEC12D"/>
                <w:sz w:val="32"/>
                <w:szCs w:val="28"/>
              </w:rPr>
            </w:pPr>
            <w:r w:rsidRPr="00185AF4">
              <w:t>0.0003</w:t>
            </w:r>
          </w:p>
        </w:tc>
        <w:tc>
          <w:tcPr>
            <w:tcW w:w="1345" w:type="dxa"/>
            <w:shd w:val="clear" w:color="auto" w:fill="auto"/>
            <w:noWrap/>
            <w:vAlign w:val="bottom"/>
            <w:hideMark/>
          </w:tcPr>
          <w:p w14:paraId="5356E766"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26FCAF98" w14:textId="77777777" w:rsidTr="00B22A62">
        <w:trPr>
          <w:trHeight w:val="300"/>
        </w:trPr>
        <w:tc>
          <w:tcPr>
            <w:tcW w:w="950" w:type="dxa"/>
            <w:shd w:val="clear" w:color="auto" w:fill="auto"/>
            <w:noWrap/>
            <w:vAlign w:val="bottom"/>
            <w:hideMark/>
          </w:tcPr>
          <w:p w14:paraId="11A182B8" w14:textId="77777777" w:rsidR="00FC4056" w:rsidRPr="00185AF4" w:rsidRDefault="00FC4056" w:rsidP="00567103">
            <w:pPr>
              <w:pStyle w:val="Tabletext"/>
              <w:rPr>
                <w:rFonts w:cs="Arial"/>
                <w:bCs/>
                <w:iCs/>
                <w:color w:val="AEC12D"/>
                <w:sz w:val="32"/>
                <w:szCs w:val="28"/>
              </w:rPr>
            </w:pPr>
            <w:r w:rsidRPr="00185AF4">
              <w:t>321</w:t>
            </w:r>
          </w:p>
        </w:tc>
        <w:tc>
          <w:tcPr>
            <w:tcW w:w="966" w:type="dxa"/>
            <w:shd w:val="clear" w:color="auto" w:fill="auto"/>
            <w:noWrap/>
            <w:vAlign w:val="bottom"/>
            <w:hideMark/>
          </w:tcPr>
          <w:p w14:paraId="7C209A77" w14:textId="77777777" w:rsidR="00FC4056" w:rsidRPr="00185AF4" w:rsidRDefault="00FC4056" w:rsidP="00331966">
            <w:pPr>
              <w:pStyle w:val="Tabletext"/>
              <w:rPr>
                <w:rFonts w:cs="Arial"/>
                <w:bCs/>
                <w:iCs/>
                <w:color w:val="AEC12D"/>
                <w:sz w:val="32"/>
                <w:szCs w:val="28"/>
              </w:rPr>
            </w:pPr>
            <w:r w:rsidRPr="00185AF4">
              <w:t>0.003</w:t>
            </w:r>
          </w:p>
        </w:tc>
        <w:tc>
          <w:tcPr>
            <w:tcW w:w="1642" w:type="dxa"/>
            <w:shd w:val="clear" w:color="auto" w:fill="auto"/>
            <w:noWrap/>
            <w:vAlign w:val="bottom"/>
            <w:hideMark/>
          </w:tcPr>
          <w:p w14:paraId="09D2CE54" w14:textId="77777777" w:rsidR="00FC4056" w:rsidRPr="00185AF4" w:rsidRDefault="00FC4056" w:rsidP="00331966">
            <w:pPr>
              <w:pStyle w:val="Tabletext"/>
            </w:pPr>
            <w:r w:rsidRPr="00185AF4">
              <w:t>0.003</w:t>
            </w:r>
          </w:p>
        </w:tc>
        <w:tc>
          <w:tcPr>
            <w:tcW w:w="965" w:type="dxa"/>
            <w:shd w:val="clear" w:color="auto" w:fill="auto"/>
            <w:noWrap/>
            <w:vAlign w:val="bottom"/>
            <w:hideMark/>
          </w:tcPr>
          <w:p w14:paraId="7742332C" w14:textId="77777777" w:rsidR="00FC4056" w:rsidRPr="00185AF4" w:rsidRDefault="00FC4056" w:rsidP="00331966">
            <w:pPr>
              <w:pStyle w:val="Tabletext"/>
              <w:rPr>
                <w:rFonts w:cs="Arial"/>
                <w:bCs/>
                <w:iCs/>
                <w:color w:val="AEC12D"/>
                <w:sz w:val="32"/>
                <w:szCs w:val="28"/>
              </w:rPr>
            </w:pPr>
            <w:r w:rsidRPr="00185AF4">
              <w:t>0.003</w:t>
            </w:r>
          </w:p>
        </w:tc>
        <w:tc>
          <w:tcPr>
            <w:tcW w:w="998" w:type="dxa"/>
            <w:shd w:val="clear" w:color="auto" w:fill="auto"/>
            <w:noWrap/>
            <w:vAlign w:val="bottom"/>
            <w:hideMark/>
          </w:tcPr>
          <w:p w14:paraId="41B203D7" w14:textId="77777777" w:rsidR="00FC4056" w:rsidRPr="00185AF4" w:rsidRDefault="00FC4056" w:rsidP="00331966">
            <w:pPr>
              <w:pStyle w:val="Tabletext"/>
              <w:rPr>
                <w:rFonts w:cs="Arial"/>
                <w:bCs/>
                <w:iCs/>
                <w:color w:val="AEC12D"/>
                <w:sz w:val="32"/>
                <w:szCs w:val="28"/>
              </w:rPr>
            </w:pPr>
            <w:r w:rsidRPr="00185AF4">
              <w:t>0.0002</w:t>
            </w:r>
          </w:p>
        </w:tc>
        <w:tc>
          <w:tcPr>
            <w:tcW w:w="965" w:type="dxa"/>
            <w:shd w:val="clear" w:color="auto" w:fill="auto"/>
            <w:noWrap/>
            <w:vAlign w:val="bottom"/>
            <w:hideMark/>
          </w:tcPr>
          <w:p w14:paraId="654A1550" w14:textId="77777777" w:rsidR="00FC4056" w:rsidRPr="00185AF4" w:rsidRDefault="00FC4056" w:rsidP="00331966">
            <w:pPr>
              <w:pStyle w:val="Tabletext"/>
              <w:rPr>
                <w:rFonts w:cs="Arial"/>
                <w:bCs/>
                <w:iCs/>
                <w:color w:val="AEC12D"/>
                <w:sz w:val="32"/>
                <w:szCs w:val="28"/>
              </w:rPr>
            </w:pPr>
            <w:r w:rsidRPr="00185AF4">
              <w:t>0.0002</w:t>
            </w:r>
          </w:p>
        </w:tc>
        <w:tc>
          <w:tcPr>
            <w:tcW w:w="1042" w:type="dxa"/>
            <w:shd w:val="clear" w:color="auto" w:fill="auto"/>
            <w:noWrap/>
            <w:vAlign w:val="bottom"/>
            <w:hideMark/>
          </w:tcPr>
          <w:p w14:paraId="66207F78" w14:textId="77777777" w:rsidR="00FC4056" w:rsidRPr="00185AF4" w:rsidRDefault="00FC4056" w:rsidP="00331966">
            <w:pPr>
              <w:pStyle w:val="Tabletext"/>
              <w:rPr>
                <w:rFonts w:cs="Arial"/>
                <w:bCs/>
                <w:iCs/>
                <w:color w:val="AEC12D"/>
                <w:sz w:val="32"/>
                <w:szCs w:val="28"/>
              </w:rPr>
            </w:pPr>
            <w:r w:rsidRPr="00185AF4">
              <w:t>0.0002</w:t>
            </w:r>
          </w:p>
        </w:tc>
        <w:tc>
          <w:tcPr>
            <w:tcW w:w="888" w:type="dxa"/>
            <w:shd w:val="clear" w:color="auto" w:fill="auto"/>
            <w:noWrap/>
            <w:vAlign w:val="bottom"/>
            <w:hideMark/>
          </w:tcPr>
          <w:p w14:paraId="07C6FD88" w14:textId="77777777" w:rsidR="00FC4056" w:rsidRPr="00185AF4" w:rsidRDefault="00FC4056" w:rsidP="00331966">
            <w:pPr>
              <w:pStyle w:val="Tabletext"/>
              <w:rPr>
                <w:rFonts w:cs="Arial"/>
                <w:bCs/>
                <w:iCs/>
                <w:color w:val="AEC12D"/>
                <w:sz w:val="32"/>
                <w:szCs w:val="28"/>
              </w:rPr>
            </w:pPr>
            <w:r w:rsidRPr="00185AF4">
              <w:t>0.0002</w:t>
            </w:r>
          </w:p>
        </w:tc>
        <w:tc>
          <w:tcPr>
            <w:tcW w:w="1345" w:type="dxa"/>
            <w:shd w:val="clear" w:color="auto" w:fill="auto"/>
            <w:noWrap/>
            <w:vAlign w:val="bottom"/>
            <w:hideMark/>
          </w:tcPr>
          <w:p w14:paraId="77F90333"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34F9052C" w14:textId="77777777" w:rsidTr="00B22A62">
        <w:trPr>
          <w:trHeight w:val="300"/>
        </w:trPr>
        <w:tc>
          <w:tcPr>
            <w:tcW w:w="950" w:type="dxa"/>
            <w:shd w:val="clear" w:color="auto" w:fill="auto"/>
            <w:noWrap/>
            <w:vAlign w:val="bottom"/>
            <w:hideMark/>
          </w:tcPr>
          <w:p w14:paraId="46E91BA2" w14:textId="77777777" w:rsidR="00FC4056" w:rsidRPr="00185AF4" w:rsidRDefault="00FC4056" w:rsidP="00567103">
            <w:pPr>
              <w:pStyle w:val="Tabletext"/>
              <w:rPr>
                <w:rFonts w:cs="Arial"/>
                <w:bCs/>
                <w:iCs/>
                <w:color w:val="AEC12D"/>
                <w:sz w:val="32"/>
                <w:szCs w:val="28"/>
              </w:rPr>
            </w:pPr>
            <w:r w:rsidRPr="00185AF4">
              <w:t>322</w:t>
            </w:r>
          </w:p>
        </w:tc>
        <w:tc>
          <w:tcPr>
            <w:tcW w:w="966" w:type="dxa"/>
            <w:shd w:val="clear" w:color="auto" w:fill="auto"/>
            <w:noWrap/>
            <w:vAlign w:val="bottom"/>
            <w:hideMark/>
          </w:tcPr>
          <w:p w14:paraId="77D5DF47" w14:textId="77777777" w:rsidR="00FC4056" w:rsidRPr="00185AF4" w:rsidRDefault="00FC4056" w:rsidP="00331966">
            <w:pPr>
              <w:pStyle w:val="Tabletext"/>
              <w:rPr>
                <w:rFonts w:cs="Arial"/>
                <w:bCs/>
                <w:iCs/>
                <w:color w:val="AEC12D"/>
                <w:sz w:val="32"/>
                <w:szCs w:val="28"/>
              </w:rPr>
            </w:pPr>
            <w:r w:rsidRPr="00185AF4">
              <w:t>0.004</w:t>
            </w:r>
          </w:p>
        </w:tc>
        <w:tc>
          <w:tcPr>
            <w:tcW w:w="1642" w:type="dxa"/>
            <w:shd w:val="clear" w:color="auto" w:fill="auto"/>
            <w:noWrap/>
            <w:vAlign w:val="bottom"/>
            <w:hideMark/>
          </w:tcPr>
          <w:p w14:paraId="62E3A74B" w14:textId="77777777" w:rsidR="00FC4056" w:rsidRPr="00185AF4" w:rsidRDefault="00FC4056" w:rsidP="00331966">
            <w:pPr>
              <w:pStyle w:val="Tabletext"/>
              <w:rPr>
                <w:rFonts w:cs="Arial"/>
                <w:bCs/>
                <w:iCs/>
                <w:color w:val="AEC12D"/>
                <w:sz w:val="32"/>
                <w:szCs w:val="28"/>
              </w:rPr>
            </w:pPr>
            <w:r w:rsidRPr="00185AF4">
              <w:t>0.004</w:t>
            </w:r>
          </w:p>
        </w:tc>
        <w:tc>
          <w:tcPr>
            <w:tcW w:w="965" w:type="dxa"/>
            <w:shd w:val="clear" w:color="auto" w:fill="auto"/>
            <w:noWrap/>
            <w:vAlign w:val="bottom"/>
            <w:hideMark/>
          </w:tcPr>
          <w:p w14:paraId="5295D5DE" w14:textId="77777777" w:rsidR="00FC4056" w:rsidRPr="00185AF4" w:rsidRDefault="00FC4056" w:rsidP="00331966">
            <w:pPr>
              <w:pStyle w:val="Tabletext"/>
              <w:rPr>
                <w:rFonts w:cs="Arial"/>
                <w:bCs/>
                <w:iCs/>
                <w:color w:val="AEC12D"/>
                <w:sz w:val="32"/>
                <w:szCs w:val="28"/>
              </w:rPr>
            </w:pPr>
            <w:r w:rsidRPr="00185AF4">
              <w:t>0.004</w:t>
            </w:r>
          </w:p>
        </w:tc>
        <w:tc>
          <w:tcPr>
            <w:tcW w:w="998" w:type="dxa"/>
            <w:shd w:val="clear" w:color="auto" w:fill="auto"/>
            <w:noWrap/>
            <w:vAlign w:val="bottom"/>
            <w:hideMark/>
          </w:tcPr>
          <w:p w14:paraId="593A7585" w14:textId="77777777" w:rsidR="00FC4056" w:rsidRPr="00185AF4" w:rsidRDefault="00FC4056" w:rsidP="00331966">
            <w:pPr>
              <w:pStyle w:val="Tabletext"/>
              <w:rPr>
                <w:rFonts w:cs="Arial"/>
                <w:bCs/>
                <w:iCs/>
                <w:color w:val="AEC12D"/>
                <w:sz w:val="32"/>
                <w:szCs w:val="28"/>
              </w:rPr>
            </w:pPr>
            <w:r w:rsidRPr="00185AF4">
              <w:t>0.0004</w:t>
            </w:r>
          </w:p>
        </w:tc>
        <w:tc>
          <w:tcPr>
            <w:tcW w:w="965" w:type="dxa"/>
            <w:shd w:val="clear" w:color="auto" w:fill="auto"/>
            <w:noWrap/>
            <w:vAlign w:val="bottom"/>
            <w:hideMark/>
          </w:tcPr>
          <w:p w14:paraId="32BB6149" w14:textId="77777777" w:rsidR="00FC4056" w:rsidRPr="00185AF4" w:rsidRDefault="00FC4056" w:rsidP="00331966">
            <w:pPr>
              <w:pStyle w:val="Tabletext"/>
              <w:rPr>
                <w:rFonts w:cs="Arial"/>
                <w:bCs/>
                <w:iCs/>
                <w:color w:val="AEC12D"/>
                <w:sz w:val="32"/>
                <w:szCs w:val="28"/>
              </w:rPr>
            </w:pPr>
            <w:r w:rsidRPr="00185AF4">
              <w:t>0.0004</w:t>
            </w:r>
          </w:p>
        </w:tc>
        <w:tc>
          <w:tcPr>
            <w:tcW w:w="1042" w:type="dxa"/>
            <w:shd w:val="clear" w:color="auto" w:fill="auto"/>
            <w:noWrap/>
            <w:vAlign w:val="bottom"/>
            <w:hideMark/>
          </w:tcPr>
          <w:p w14:paraId="598FEB8F" w14:textId="77777777" w:rsidR="00FC4056" w:rsidRPr="00185AF4" w:rsidRDefault="00FC4056" w:rsidP="00331966">
            <w:pPr>
              <w:pStyle w:val="Tabletext"/>
            </w:pPr>
            <w:r w:rsidRPr="00185AF4">
              <w:t>0.0004</w:t>
            </w:r>
          </w:p>
        </w:tc>
        <w:tc>
          <w:tcPr>
            <w:tcW w:w="888" w:type="dxa"/>
            <w:shd w:val="clear" w:color="auto" w:fill="auto"/>
            <w:noWrap/>
            <w:vAlign w:val="bottom"/>
            <w:hideMark/>
          </w:tcPr>
          <w:p w14:paraId="014CB614" w14:textId="77777777" w:rsidR="00FC4056" w:rsidRPr="00185AF4" w:rsidRDefault="00FC4056" w:rsidP="00331966">
            <w:pPr>
              <w:pStyle w:val="Tabletext"/>
              <w:rPr>
                <w:rFonts w:cs="Arial"/>
                <w:bCs/>
                <w:iCs/>
                <w:color w:val="AEC12D"/>
                <w:sz w:val="32"/>
                <w:szCs w:val="28"/>
              </w:rPr>
            </w:pPr>
            <w:r w:rsidRPr="00185AF4">
              <w:t>0.0004</w:t>
            </w:r>
          </w:p>
        </w:tc>
        <w:tc>
          <w:tcPr>
            <w:tcW w:w="1345" w:type="dxa"/>
            <w:shd w:val="clear" w:color="auto" w:fill="auto"/>
            <w:noWrap/>
            <w:vAlign w:val="bottom"/>
            <w:hideMark/>
          </w:tcPr>
          <w:p w14:paraId="76F1CAAB"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65533301" w14:textId="77777777" w:rsidTr="00B22A62">
        <w:trPr>
          <w:trHeight w:val="300"/>
        </w:trPr>
        <w:tc>
          <w:tcPr>
            <w:tcW w:w="950" w:type="dxa"/>
            <w:shd w:val="clear" w:color="auto" w:fill="auto"/>
            <w:noWrap/>
            <w:vAlign w:val="bottom"/>
            <w:hideMark/>
          </w:tcPr>
          <w:p w14:paraId="50484260" w14:textId="77777777" w:rsidR="00FC4056" w:rsidRPr="00185AF4" w:rsidRDefault="00FC4056" w:rsidP="00567103">
            <w:pPr>
              <w:pStyle w:val="Tabletext"/>
              <w:rPr>
                <w:rFonts w:cs="Arial"/>
                <w:bCs/>
                <w:iCs/>
                <w:color w:val="AEC12D"/>
                <w:sz w:val="32"/>
                <w:szCs w:val="28"/>
              </w:rPr>
            </w:pPr>
            <w:r w:rsidRPr="00185AF4">
              <w:t>354</w:t>
            </w:r>
          </w:p>
        </w:tc>
        <w:tc>
          <w:tcPr>
            <w:tcW w:w="966" w:type="dxa"/>
            <w:shd w:val="clear" w:color="auto" w:fill="auto"/>
            <w:noWrap/>
            <w:vAlign w:val="bottom"/>
            <w:hideMark/>
          </w:tcPr>
          <w:p w14:paraId="7F272B19" w14:textId="77777777" w:rsidR="00FC4056" w:rsidRPr="00185AF4" w:rsidRDefault="00FC4056" w:rsidP="00331966">
            <w:pPr>
              <w:pStyle w:val="Tabletext"/>
              <w:rPr>
                <w:rFonts w:cs="Arial"/>
                <w:bCs/>
                <w:iCs/>
                <w:color w:val="AEC12D"/>
                <w:sz w:val="32"/>
                <w:szCs w:val="28"/>
              </w:rPr>
            </w:pPr>
            <w:r w:rsidRPr="00185AF4">
              <w:t>0.007</w:t>
            </w:r>
          </w:p>
        </w:tc>
        <w:tc>
          <w:tcPr>
            <w:tcW w:w="1642" w:type="dxa"/>
            <w:shd w:val="clear" w:color="auto" w:fill="auto"/>
            <w:noWrap/>
            <w:vAlign w:val="bottom"/>
            <w:hideMark/>
          </w:tcPr>
          <w:p w14:paraId="1CAD5033" w14:textId="77777777" w:rsidR="00FC4056" w:rsidRPr="00185AF4" w:rsidRDefault="00FC4056" w:rsidP="00331966">
            <w:pPr>
              <w:pStyle w:val="Tabletext"/>
              <w:rPr>
                <w:rFonts w:cs="Arial"/>
                <w:bCs/>
                <w:iCs/>
                <w:color w:val="AEC12D"/>
                <w:sz w:val="32"/>
                <w:szCs w:val="28"/>
              </w:rPr>
            </w:pPr>
            <w:r w:rsidRPr="00185AF4">
              <w:t>0.007</w:t>
            </w:r>
          </w:p>
        </w:tc>
        <w:tc>
          <w:tcPr>
            <w:tcW w:w="965" w:type="dxa"/>
            <w:shd w:val="clear" w:color="auto" w:fill="auto"/>
            <w:noWrap/>
            <w:vAlign w:val="bottom"/>
            <w:hideMark/>
          </w:tcPr>
          <w:p w14:paraId="3FEA8094" w14:textId="77777777" w:rsidR="00FC4056" w:rsidRPr="00185AF4" w:rsidRDefault="00FC4056" w:rsidP="00331966">
            <w:pPr>
              <w:pStyle w:val="Tabletext"/>
              <w:rPr>
                <w:rFonts w:cs="Arial"/>
                <w:bCs/>
                <w:iCs/>
                <w:color w:val="AEC12D"/>
                <w:sz w:val="32"/>
                <w:szCs w:val="28"/>
              </w:rPr>
            </w:pPr>
            <w:r w:rsidRPr="00185AF4">
              <w:t>0.007</w:t>
            </w:r>
          </w:p>
        </w:tc>
        <w:tc>
          <w:tcPr>
            <w:tcW w:w="998" w:type="dxa"/>
            <w:shd w:val="clear" w:color="auto" w:fill="auto"/>
            <w:noWrap/>
            <w:vAlign w:val="bottom"/>
            <w:hideMark/>
          </w:tcPr>
          <w:p w14:paraId="2253959E" w14:textId="77777777" w:rsidR="00FC4056" w:rsidRPr="00185AF4" w:rsidRDefault="00FC4056" w:rsidP="00331966">
            <w:pPr>
              <w:pStyle w:val="Tabletext"/>
              <w:rPr>
                <w:rFonts w:cs="Arial"/>
                <w:bCs/>
                <w:iCs/>
                <w:color w:val="AEC12D"/>
                <w:sz w:val="32"/>
                <w:szCs w:val="28"/>
              </w:rPr>
            </w:pPr>
            <w:r w:rsidRPr="00185AF4">
              <w:t>0.0007</w:t>
            </w:r>
          </w:p>
        </w:tc>
        <w:tc>
          <w:tcPr>
            <w:tcW w:w="965" w:type="dxa"/>
            <w:shd w:val="clear" w:color="auto" w:fill="auto"/>
            <w:noWrap/>
            <w:vAlign w:val="bottom"/>
            <w:hideMark/>
          </w:tcPr>
          <w:p w14:paraId="7B9F9ECB" w14:textId="77777777" w:rsidR="00FC4056" w:rsidRPr="00185AF4" w:rsidRDefault="00FC4056" w:rsidP="00331966">
            <w:pPr>
              <w:pStyle w:val="Tabletext"/>
              <w:rPr>
                <w:rFonts w:cs="Arial"/>
                <w:bCs/>
                <w:iCs/>
                <w:color w:val="AEC12D"/>
                <w:sz w:val="32"/>
                <w:szCs w:val="28"/>
              </w:rPr>
            </w:pPr>
            <w:r w:rsidRPr="00185AF4">
              <w:t>0.0007</w:t>
            </w:r>
          </w:p>
        </w:tc>
        <w:tc>
          <w:tcPr>
            <w:tcW w:w="1042" w:type="dxa"/>
            <w:shd w:val="clear" w:color="auto" w:fill="auto"/>
            <w:noWrap/>
            <w:vAlign w:val="bottom"/>
            <w:hideMark/>
          </w:tcPr>
          <w:p w14:paraId="359BCE21" w14:textId="77777777" w:rsidR="00FC4056" w:rsidRPr="00185AF4" w:rsidRDefault="00FC4056" w:rsidP="00331966">
            <w:pPr>
              <w:pStyle w:val="Tabletext"/>
              <w:rPr>
                <w:rFonts w:cs="Arial"/>
                <w:bCs/>
                <w:iCs/>
                <w:color w:val="AEC12D"/>
                <w:sz w:val="32"/>
                <w:szCs w:val="28"/>
              </w:rPr>
            </w:pPr>
            <w:r w:rsidRPr="00185AF4">
              <w:t>0.0007</w:t>
            </w:r>
          </w:p>
        </w:tc>
        <w:tc>
          <w:tcPr>
            <w:tcW w:w="888" w:type="dxa"/>
            <w:shd w:val="clear" w:color="auto" w:fill="auto"/>
            <w:noWrap/>
            <w:vAlign w:val="bottom"/>
            <w:hideMark/>
          </w:tcPr>
          <w:p w14:paraId="353F8F8C" w14:textId="77777777" w:rsidR="00FC4056" w:rsidRPr="00185AF4" w:rsidRDefault="00FC4056" w:rsidP="00331966">
            <w:pPr>
              <w:pStyle w:val="Tabletext"/>
              <w:rPr>
                <w:rFonts w:cs="Arial"/>
                <w:bCs/>
                <w:iCs/>
                <w:color w:val="AEC12D"/>
                <w:sz w:val="32"/>
                <w:szCs w:val="28"/>
              </w:rPr>
            </w:pPr>
            <w:r w:rsidRPr="00185AF4">
              <w:t>0.0007</w:t>
            </w:r>
          </w:p>
        </w:tc>
        <w:tc>
          <w:tcPr>
            <w:tcW w:w="1345" w:type="dxa"/>
            <w:shd w:val="clear" w:color="auto" w:fill="auto"/>
            <w:noWrap/>
            <w:vAlign w:val="bottom"/>
            <w:hideMark/>
          </w:tcPr>
          <w:p w14:paraId="6272B33E"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3696D19C" w14:textId="77777777" w:rsidTr="00B22A62">
        <w:trPr>
          <w:trHeight w:val="300"/>
        </w:trPr>
        <w:tc>
          <w:tcPr>
            <w:tcW w:w="950" w:type="dxa"/>
            <w:shd w:val="clear" w:color="auto" w:fill="auto"/>
            <w:noWrap/>
            <w:vAlign w:val="bottom"/>
            <w:hideMark/>
          </w:tcPr>
          <w:p w14:paraId="43D89344" w14:textId="77777777" w:rsidR="00FC4056" w:rsidRPr="00185AF4" w:rsidRDefault="00FC4056" w:rsidP="00567103">
            <w:pPr>
              <w:pStyle w:val="Tabletext"/>
              <w:rPr>
                <w:rFonts w:cs="Arial"/>
                <w:bCs/>
                <w:iCs/>
                <w:color w:val="AEC12D"/>
                <w:sz w:val="32"/>
                <w:szCs w:val="28"/>
              </w:rPr>
            </w:pPr>
            <w:r w:rsidRPr="00185AF4">
              <w:t>381</w:t>
            </w:r>
          </w:p>
        </w:tc>
        <w:tc>
          <w:tcPr>
            <w:tcW w:w="966" w:type="dxa"/>
            <w:shd w:val="clear" w:color="auto" w:fill="auto"/>
            <w:noWrap/>
            <w:vAlign w:val="bottom"/>
            <w:hideMark/>
          </w:tcPr>
          <w:p w14:paraId="669672BD" w14:textId="77777777" w:rsidR="00FC4056" w:rsidRPr="00185AF4" w:rsidRDefault="00FC4056" w:rsidP="00331966">
            <w:pPr>
              <w:pStyle w:val="Tabletext"/>
              <w:rPr>
                <w:rFonts w:cs="Arial"/>
                <w:bCs/>
                <w:iCs/>
                <w:color w:val="AEC12D"/>
                <w:sz w:val="32"/>
                <w:szCs w:val="28"/>
              </w:rPr>
            </w:pPr>
            <w:r w:rsidRPr="00185AF4">
              <w:t>0</w:t>
            </w:r>
          </w:p>
        </w:tc>
        <w:tc>
          <w:tcPr>
            <w:tcW w:w="1642" w:type="dxa"/>
            <w:shd w:val="clear" w:color="auto" w:fill="auto"/>
            <w:noWrap/>
            <w:vAlign w:val="bottom"/>
            <w:hideMark/>
          </w:tcPr>
          <w:p w14:paraId="34BCB11A" w14:textId="77777777" w:rsidR="00FC4056" w:rsidRPr="00185AF4" w:rsidRDefault="00FC4056" w:rsidP="00331966">
            <w:pPr>
              <w:pStyle w:val="Tabletext"/>
              <w:rPr>
                <w:rFonts w:cs="Arial"/>
                <w:bCs/>
                <w:iCs/>
                <w:color w:val="AEC12D"/>
                <w:sz w:val="32"/>
                <w:szCs w:val="28"/>
              </w:rPr>
            </w:pPr>
            <w:r w:rsidRPr="00185AF4">
              <w:t>0</w:t>
            </w:r>
          </w:p>
        </w:tc>
        <w:tc>
          <w:tcPr>
            <w:tcW w:w="965" w:type="dxa"/>
            <w:shd w:val="clear" w:color="auto" w:fill="auto"/>
            <w:noWrap/>
            <w:vAlign w:val="bottom"/>
            <w:hideMark/>
          </w:tcPr>
          <w:p w14:paraId="45E2F043" w14:textId="77777777" w:rsidR="00FC4056" w:rsidRPr="00185AF4" w:rsidRDefault="00FC4056" w:rsidP="00331966">
            <w:pPr>
              <w:pStyle w:val="Tabletext"/>
              <w:rPr>
                <w:rFonts w:cs="Arial"/>
                <w:bCs/>
                <w:iCs/>
                <w:color w:val="AEC12D"/>
                <w:sz w:val="32"/>
                <w:szCs w:val="28"/>
              </w:rPr>
            </w:pPr>
            <w:r w:rsidRPr="00185AF4">
              <w:t>0</w:t>
            </w:r>
          </w:p>
        </w:tc>
        <w:tc>
          <w:tcPr>
            <w:tcW w:w="998" w:type="dxa"/>
            <w:shd w:val="clear" w:color="auto" w:fill="auto"/>
            <w:noWrap/>
            <w:vAlign w:val="bottom"/>
            <w:hideMark/>
          </w:tcPr>
          <w:p w14:paraId="2E280E90" w14:textId="77777777" w:rsidR="00FC4056" w:rsidRPr="00185AF4" w:rsidRDefault="00FC4056" w:rsidP="00331966">
            <w:pPr>
              <w:pStyle w:val="Tabletext"/>
              <w:rPr>
                <w:rFonts w:cs="Arial"/>
                <w:bCs/>
                <w:iCs/>
                <w:color w:val="AEC12D"/>
                <w:sz w:val="32"/>
                <w:szCs w:val="28"/>
              </w:rPr>
            </w:pPr>
            <w:r w:rsidRPr="00185AF4">
              <w:t>0</w:t>
            </w:r>
          </w:p>
        </w:tc>
        <w:tc>
          <w:tcPr>
            <w:tcW w:w="965" w:type="dxa"/>
            <w:shd w:val="clear" w:color="auto" w:fill="auto"/>
            <w:noWrap/>
            <w:vAlign w:val="bottom"/>
            <w:hideMark/>
          </w:tcPr>
          <w:p w14:paraId="51C36415" w14:textId="77777777" w:rsidR="00FC4056" w:rsidRPr="00185AF4" w:rsidRDefault="00FC4056" w:rsidP="00331966">
            <w:pPr>
              <w:pStyle w:val="Tabletext"/>
              <w:rPr>
                <w:rFonts w:cs="Arial"/>
                <w:bCs/>
                <w:iCs/>
                <w:color w:val="AEC12D"/>
                <w:sz w:val="32"/>
                <w:szCs w:val="28"/>
              </w:rPr>
            </w:pPr>
            <w:r w:rsidRPr="00185AF4">
              <w:t>0</w:t>
            </w:r>
          </w:p>
        </w:tc>
        <w:tc>
          <w:tcPr>
            <w:tcW w:w="1042" w:type="dxa"/>
            <w:shd w:val="clear" w:color="auto" w:fill="auto"/>
            <w:noWrap/>
            <w:vAlign w:val="bottom"/>
            <w:hideMark/>
          </w:tcPr>
          <w:p w14:paraId="4FE35531" w14:textId="77777777" w:rsidR="00FC4056" w:rsidRPr="00185AF4" w:rsidRDefault="00FC4056" w:rsidP="00331966">
            <w:pPr>
              <w:pStyle w:val="Tabletext"/>
              <w:rPr>
                <w:rFonts w:cs="Arial"/>
                <w:bCs/>
                <w:iCs/>
                <w:color w:val="AEC12D"/>
                <w:sz w:val="32"/>
                <w:szCs w:val="28"/>
              </w:rPr>
            </w:pPr>
            <w:r w:rsidRPr="00185AF4">
              <w:t>0</w:t>
            </w:r>
          </w:p>
        </w:tc>
        <w:tc>
          <w:tcPr>
            <w:tcW w:w="888" w:type="dxa"/>
            <w:shd w:val="clear" w:color="auto" w:fill="auto"/>
            <w:noWrap/>
            <w:vAlign w:val="bottom"/>
            <w:hideMark/>
          </w:tcPr>
          <w:p w14:paraId="5F48114A" w14:textId="77777777" w:rsidR="00FC4056" w:rsidRPr="00185AF4" w:rsidRDefault="00FC4056" w:rsidP="00331966">
            <w:pPr>
              <w:pStyle w:val="Tabletext"/>
              <w:rPr>
                <w:rFonts w:cs="Arial"/>
                <w:bCs/>
                <w:iCs/>
                <w:color w:val="AEC12D"/>
                <w:sz w:val="32"/>
                <w:szCs w:val="28"/>
              </w:rPr>
            </w:pPr>
            <w:r w:rsidRPr="00185AF4">
              <w:t>0</w:t>
            </w:r>
          </w:p>
        </w:tc>
        <w:tc>
          <w:tcPr>
            <w:tcW w:w="1345" w:type="dxa"/>
            <w:shd w:val="clear" w:color="auto" w:fill="auto"/>
            <w:noWrap/>
            <w:vAlign w:val="bottom"/>
            <w:hideMark/>
          </w:tcPr>
          <w:p w14:paraId="6ACC3193"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75FA1001" w14:textId="77777777" w:rsidTr="00B22A62">
        <w:trPr>
          <w:trHeight w:val="300"/>
        </w:trPr>
        <w:tc>
          <w:tcPr>
            <w:tcW w:w="950" w:type="dxa"/>
            <w:shd w:val="clear" w:color="auto" w:fill="auto"/>
            <w:noWrap/>
            <w:vAlign w:val="bottom"/>
            <w:hideMark/>
          </w:tcPr>
          <w:p w14:paraId="52F4153A" w14:textId="77777777" w:rsidR="00FC4056" w:rsidRPr="00185AF4" w:rsidRDefault="00FC4056" w:rsidP="00567103">
            <w:pPr>
              <w:pStyle w:val="Tabletext"/>
              <w:rPr>
                <w:rFonts w:cs="Arial"/>
                <w:bCs/>
                <w:iCs/>
                <w:color w:val="AEC12D"/>
                <w:sz w:val="32"/>
                <w:szCs w:val="28"/>
              </w:rPr>
            </w:pPr>
            <w:r w:rsidRPr="00185AF4">
              <w:t>382</w:t>
            </w:r>
          </w:p>
        </w:tc>
        <w:tc>
          <w:tcPr>
            <w:tcW w:w="966" w:type="dxa"/>
            <w:shd w:val="clear" w:color="auto" w:fill="auto"/>
            <w:noWrap/>
            <w:vAlign w:val="bottom"/>
            <w:hideMark/>
          </w:tcPr>
          <w:p w14:paraId="78DF3DD0" w14:textId="77777777" w:rsidR="00FC4056" w:rsidRPr="00185AF4" w:rsidRDefault="00FC4056" w:rsidP="00331966">
            <w:pPr>
              <w:pStyle w:val="Tabletext"/>
              <w:rPr>
                <w:rFonts w:cs="Arial"/>
                <w:bCs/>
                <w:iCs/>
                <w:color w:val="AEC12D"/>
                <w:sz w:val="32"/>
                <w:szCs w:val="28"/>
              </w:rPr>
            </w:pPr>
            <w:r w:rsidRPr="00185AF4">
              <w:t>0</w:t>
            </w:r>
          </w:p>
        </w:tc>
        <w:tc>
          <w:tcPr>
            <w:tcW w:w="1642" w:type="dxa"/>
            <w:shd w:val="clear" w:color="auto" w:fill="auto"/>
            <w:noWrap/>
            <w:vAlign w:val="bottom"/>
            <w:hideMark/>
          </w:tcPr>
          <w:p w14:paraId="27535C69" w14:textId="77777777" w:rsidR="00FC4056" w:rsidRPr="00185AF4" w:rsidRDefault="00FC4056" w:rsidP="00331966">
            <w:pPr>
              <w:pStyle w:val="Tabletext"/>
              <w:rPr>
                <w:rFonts w:cs="Arial"/>
                <w:bCs/>
                <w:iCs/>
                <w:color w:val="AEC12D"/>
                <w:sz w:val="32"/>
                <w:szCs w:val="28"/>
              </w:rPr>
            </w:pPr>
            <w:r w:rsidRPr="00185AF4">
              <w:t>0</w:t>
            </w:r>
          </w:p>
        </w:tc>
        <w:tc>
          <w:tcPr>
            <w:tcW w:w="965" w:type="dxa"/>
            <w:shd w:val="clear" w:color="auto" w:fill="auto"/>
            <w:noWrap/>
            <w:vAlign w:val="bottom"/>
            <w:hideMark/>
          </w:tcPr>
          <w:p w14:paraId="440CE7C2" w14:textId="77777777" w:rsidR="00FC4056" w:rsidRPr="00185AF4" w:rsidRDefault="00FC4056" w:rsidP="00331966">
            <w:pPr>
              <w:pStyle w:val="Tabletext"/>
              <w:rPr>
                <w:rFonts w:cs="Arial"/>
                <w:bCs/>
                <w:iCs/>
                <w:color w:val="AEC12D"/>
                <w:sz w:val="32"/>
                <w:szCs w:val="28"/>
              </w:rPr>
            </w:pPr>
            <w:r w:rsidRPr="00185AF4">
              <w:t>0</w:t>
            </w:r>
          </w:p>
        </w:tc>
        <w:tc>
          <w:tcPr>
            <w:tcW w:w="998" w:type="dxa"/>
            <w:shd w:val="clear" w:color="auto" w:fill="auto"/>
            <w:noWrap/>
            <w:vAlign w:val="bottom"/>
            <w:hideMark/>
          </w:tcPr>
          <w:p w14:paraId="3E23DF7C" w14:textId="77777777" w:rsidR="00FC4056" w:rsidRPr="00185AF4" w:rsidRDefault="00FC4056" w:rsidP="00331966">
            <w:pPr>
              <w:pStyle w:val="Tabletext"/>
              <w:rPr>
                <w:rFonts w:cs="Arial"/>
                <w:bCs/>
                <w:iCs/>
                <w:color w:val="AEC12D"/>
                <w:sz w:val="32"/>
                <w:szCs w:val="28"/>
              </w:rPr>
            </w:pPr>
            <w:r w:rsidRPr="00185AF4">
              <w:t>0</w:t>
            </w:r>
          </w:p>
        </w:tc>
        <w:tc>
          <w:tcPr>
            <w:tcW w:w="965" w:type="dxa"/>
            <w:shd w:val="clear" w:color="auto" w:fill="auto"/>
            <w:noWrap/>
            <w:vAlign w:val="bottom"/>
            <w:hideMark/>
          </w:tcPr>
          <w:p w14:paraId="01416201" w14:textId="77777777" w:rsidR="00FC4056" w:rsidRPr="00185AF4" w:rsidRDefault="00FC4056" w:rsidP="00331966">
            <w:pPr>
              <w:pStyle w:val="Tabletext"/>
              <w:rPr>
                <w:rFonts w:cs="Arial"/>
                <w:bCs/>
                <w:iCs/>
                <w:color w:val="AEC12D"/>
                <w:sz w:val="32"/>
                <w:szCs w:val="28"/>
              </w:rPr>
            </w:pPr>
            <w:r w:rsidRPr="00185AF4">
              <w:t>0</w:t>
            </w:r>
          </w:p>
        </w:tc>
        <w:tc>
          <w:tcPr>
            <w:tcW w:w="1042" w:type="dxa"/>
            <w:shd w:val="clear" w:color="auto" w:fill="auto"/>
            <w:noWrap/>
            <w:vAlign w:val="bottom"/>
            <w:hideMark/>
          </w:tcPr>
          <w:p w14:paraId="44597E8E" w14:textId="77777777" w:rsidR="00FC4056" w:rsidRPr="00185AF4" w:rsidRDefault="00FC4056" w:rsidP="00331966">
            <w:pPr>
              <w:pStyle w:val="Tabletext"/>
              <w:rPr>
                <w:rFonts w:cs="Arial"/>
                <w:bCs/>
                <w:iCs/>
                <w:color w:val="AEC12D"/>
                <w:sz w:val="32"/>
                <w:szCs w:val="28"/>
              </w:rPr>
            </w:pPr>
            <w:r w:rsidRPr="00185AF4">
              <w:t>0</w:t>
            </w:r>
          </w:p>
        </w:tc>
        <w:tc>
          <w:tcPr>
            <w:tcW w:w="888" w:type="dxa"/>
            <w:shd w:val="clear" w:color="auto" w:fill="auto"/>
            <w:noWrap/>
            <w:vAlign w:val="bottom"/>
            <w:hideMark/>
          </w:tcPr>
          <w:p w14:paraId="3858DE49" w14:textId="77777777" w:rsidR="00FC4056" w:rsidRPr="00185AF4" w:rsidRDefault="00FC4056" w:rsidP="00331966">
            <w:pPr>
              <w:pStyle w:val="Tabletext"/>
              <w:rPr>
                <w:rFonts w:cs="Arial"/>
                <w:bCs/>
                <w:iCs/>
                <w:color w:val="AEC12D"/>
                <w:sz w:val="32"/>
                <w:szCs w:val="28"/>
              </w:rPr>
            </w:pPr>
            <w:r w:rsidRPr="00185AF4">
              <w:t>0</w:t>
            </w:r>
          </w:p>
        </w:tc>
        <w:tc>
          <w:tcPr>
            <w:tcW w:w="1345" w:type="dxa"/>
            <w:shd w:val="clear" w:color="auto" w:fill="auto"/>
            <w:noWrap/>
            <w:vAlign w:val="bottom"/>
            <w:hideMark/>
          </w:tcPr>
          <w:p w14:paraId="44546D83"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74717863" w14:textId="77777777" w:rsidTr="00B22A62">
        <w:trPr>
          <w:trHeight w:val="300"/>
        </w:trPr>
        <w:tc>
          <w:tcPr>
            <w:tcW w:w="950" w:type="dxa"/>
            <w:shd w:val="clear" w:color="auto" w:fill="auto"/>
            <w:noWrap/>
            <w:vAlign w:val="bottom"/>
            <w:hideMark/>
          </w:tcPr>
          <w:p w14:paraId="1544F944" w14:textId="77777777" w:rsidR="00FC4056" w:rsidRPr="00185AF4" w:rsidRDefault="00FC4056" w:rsidP="00567103">
            <w:pPr>
              <w:pStyle w:val="Tabletext"/>
              <w:rPr>
                <w:rFonts w:cs="Arial"/>
                <w:bCs/>
                <w:iCs/>
                <w:color w:val="AEC12D"/>
                <w:sz w:val="32"/>
                <w:szCs w:val="28"/>
              </w:rPr>
            </w:pPr>
            <w:r w:rsidRPr="00185AF4">
              <w:t>414</w:t>
            </w:r>
          </w:p>
        </w:tc>
        <w:tc>
          <w:tcPr>
            <w:tcW w:w="966" w:type="dxa"/>
            <w:shd w:val="clear" w:color="auto" w:fill="auto"/>
            <w:noWrap/>
            <w:vAlign w:val="bottom"/>
            <w:hideMark/>
          </w:tcPr>
          <w:p w14:paraId="121B65C5" w14:textId="77777777" w:rsidR="00FC4056" w:rsidRPr="00185AF4" w:rsidRDefault="00FC4056" w:rsidP="00331966">
            <w:pPr>
              <w:pStyle w:val="Tabletext"/>
              <w:rPr>
                <w:rFonts w:cs="Arial"/>
                <w:bCs/>
                <w:iCs/>
                <w:color w:val="AEC12D"/>
                <w:sz w:val="32"/>
                <w:szCs w:val="28"/>
              </w:rPr>
            </w:pPr>
            <w:r w:rsidRPr="00185AF4">
              <w:t>0</w:t>
            </w:r>
          </w:p>
        </w:tc>
        <w:tc>
          <w:tcPr>
            <w:tcW w:w="1642" w:type="dxa"/>
            <w:shd w:val="clear" w:color="auto" w:fill="auto"/>
            <w:noWrap/>
            <w:vAlign w:val="bottom"/>
            <w:hideMark/>
          </w:tcPr>
          <w:p w14:paraId="401BF5A8" w14:textId="77777777" w:rsidR="00FC4056" w:rsidRPr="00185AF4" w:rsidRDefault="00FC4056" w:rsidP="00331966">
            <w:pPr>
              <w:pStyle w:val="Tabletext"/>
              <w:rPr>
                <w:rFonts w:cs="Arial"/>
                <w:bCs/>
                <w:iCs/>
                <w:color w:val="AEC12D"/>
                <w:sz w:val="32"/>
                <w:szCs w:val="28"/>
              </w:rPr>
            </w:pPr>
            <w:r w:rsidRPr="00185AF4">
              <w:t>0</w:t>
            </w:r>
          </w:p>
        </w:tc>
        <w:tc>
          <w:tcPr>
            <w:tcW w:w="965" w:type="dxa"/>
            <w:shd w:val="clear" w:color="auto" w:fill="auto"/>
            <w:noWrap/>
            <w:vAlign w:val="bottom"/>
            <w:hideMark/>
          </w:tcPr>
          <w:p w14:paraId="0BAC05A0" w14:textId="77777777" w:rsidR="00FC4056" w:rsidRPr="00185AF4" w:rsidRDefault="00FC4056" w:rsidP="00331966">
            <w:pPr>
              <w:pStyle w:val="Tabletext"/>
              <w:rPr>
                <w:rFonts w:cs="Arial"/>
                <w:bCs/>
                <w:iCs/>
                <w:color w:val="AEC12D"/>
                <w:sz w:val="32"/>
                <w:szCs w:val="28"/>
              </w:rPr>
            </w:pPr>
            <w:r w:rsidRPr="00185AF4">
              <w:t>0</w:t>
            </w:r>
          </w:p>
        </w:tc>
        <w:tc>
          <w:tcPr>
            <w:tcW w:w="998" w:type="dxa"/>
            <w:shd w:val="clear" w:color="auto" w:fill="auto"/>
            <w:noWrap/>
            <w:vAlign w:val="bottom"/>
            <w:hideMark/>
          </w:tcPr>
          <w:p w14:paraId="61608B90" w14:textId="77777777" w:rsidR="00FC4056" w:rsidRPr="00185AF4" w:rsidRDefault="00FC4056" w:rsidP="00331966">
            <w:pPr>
              <w:pStyle w:val="Tabletext"/>
              <w:rPr>
                <w:rFonts w:cs="Arial"/>
                <w:bCs/>
                <w:iCs/>
                <w:color w:val="AEC12D"/>
                <w:sz w:val="32"/>
                <w:szCs w:val="28"/>
              </w:rPr>
            </w:pPr>
            <w:r w:rsidRPr="00185AF4">
              <w:t>0</w:t>
            </w:r>
          </w:p>
        </w:tc>
        <w:tc>
          <w:tcPr>
            <w:tcW w:w="965" w:type="dxa"/>
            <w:shd w:val="clear" w:color="auto" w:fill="auto"/>
            <w:noWrap/>
            <w:vAlign w:val="bottom"/>
            <w:hideMark/>
          </w:tcPr>
          <w:p w14:paraId="4FD6F53E" w14:textId="77777777" w:rsidR="00FC4056" w:rsidRPr="00185AF4" w:rsidRDefault="00FC4056" w:rsidP="00331966">
            <w:pPr>
              <w:pStyle w:val="Tabletext"/>
              <w:rPr>
                <w:rFonts w:cs="Arial"/>
                <w:bCs/>
                <w:iCs/>
                <w:color w:val="AEC12D"/>
                <w:sz w:val="32"/>
                <w:szCs w:val="28"/>
              </w:rPr>
            </w:pPr>
            <w:r w:rsidRPr="00185AF4">
              <w:t>0</w:t>
            </w:r>
          </w:p>
        </w:tc>
        <w:tc>
          <w:tcPr>
            <w:tcW w:w="1042" w:type="dxa"/>
            <w:shd w:val="clear" w:color="auto" w:fill="auto"/>
            <w:noWrap/>
            <w:vAlign w:val="bottom"/>
            <w:hideMark/>
          </w:tcPr>
          <w:p w14:paraId="048B34E0" w14:textId="77777777" w:rsidR="00FC4056" w:rsidRPr="00185AF4" w:rsidRDefault="00FC4056" w:rsidP="00331966">
            <w:pPr>
              <w:pStyle w:val="Tabletext"/>
              <w:rPr>
                <w:rFonts w:cs="Arial"/>
                <w:bCs/>
                <w:iCs/>
                <w:color w:val="AEC12D"/>
                <w:sz w:val="32"/>
                <w:szCs w:val="28"/>
              </w:rPr>
            </w:pPr>
            <w:r w:rsidRPr="00185AF4">
              <w:t>0</w:t>
            </w:r>
          </w:p>
        </w:tc>
        <w:tc>
          <w:tcPr>
            <w:tcW w:w="888" w:type="dxa"/>
            <w:shd w:val="clear" w:color="auto" w:fill="auto"/>
            <w:noWrap/>
            <w:vAlign w:val="bottom"/>
            <w:hideMark/>
          </w:tcPr>
          <w:p w14:paraId="6B7837AF" w14:textId="77777777" w:rsidR="00FC4056" w:rsidRPr="00185AF4" w:rsidRDefault="00FC4056" w:rsidP="00331966">
            <w:pPr>
              <w:pStyle w:val="Tabletext"/>
              <w:rPr>
                <w:rFonts w:cs="Arial"/>
                <w:bCs/>
                <w:iCs/>
                <w:color w:val="AEC12D"/>
                <w:sz w:val="32"/>
                <w:szCs w:val="28"/>
              </w:rPr>
            </w:pPr>
            <w:r w:rsidRPr="00185AF4">
              <w:t>0</w:t>
            </w:r>
          </w:p>
        </w:tc>
        <w:tc>
          <w:tcPr>
            <w:tcW w:w="1345" w:type="dxa"/>
            <w:shd w:val="clear" w:color="auto" w:fill="auto"/>
            <w:noWrap/>
            <w:vAlign w:val="bottom"/>
            <w:hideMark/>
          </w:tcPr>
          <w:p w14:paraId="7DFD2B42"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536043F6" w14:textId="77777777" w:rsidTr="00B22A62">
        <w:trPr>
          <w:trHeight w:val="300"/>
        </w:trPr>
        <w:tc>
          <w:tcPr>
            <w:tcW w:w="950" w:type="dxa"/>
            <w:shd w:val="clear" w:color="auto" w:fill="auto"/>
            <w:noWrap/>
            <w:vAlign w:val="bottom"/>
            <w:hideMark/>
          </w:tcPr>
          <w:p w14:paraId="40246015" w14:textId="77777777" w:rsidR="00FC4056" w:rsidRPr="00185AF4" w:rsidRDefault="00FC4056" w:rsidP="00567103">
            <w:pPr>
              <w:pStyle w:val="Tabletext"/>
              <w:rPr>
                <w:rFonts w:cs="Arial"/>
                <w:bCs/>
                <w:iCs/>
                <w:color w:val="AEC12D"/>
                <w:sz w:val="32"/>
                <w:szCs w:val="28"/>
              </w:rPr>
            </w:pPr>
            <w:r w:rsidRPr="00185AF4">
              <w:t>415</w:t>
            </w:r>
          </w:p>
        </w:tc>
        <w:tc>
          <w:tcPr>
            <w:tcW w:w="966" w:type="dxa"/>
            <w:shd w:val="clear" w:color="auto" w:fill="auto"/>
            <w:noWrap/>
            <w:vAlign w:val="bottom"/>
            <w:hideMark/>
          </w:tcPr>
          <w:p w14:paraId="4E86D1AE" w14:textId="77777777" w:rsidR="00FC4056" w:rsidRPr="00185AF4" w:rsidRDefault="00FC4056" w:rsidP="00331966">
            <w:pPr>
              <w:pStyle w:val="Tabletext"/>
              <w:rPr>
                <w:rFonts w:cs="Arial"/>
                <w:bCs/>
                <w:iCs/>
                <w:color w:val="AEC12D"/>
                <w:sz w:val="32"/>
                <w:szCs w:val="28"/>
              </w:rPr>
            </w:pPr>
            <w:r w:rsidRPr="00185AF4">
              <w:t>0.0002</w:t>
            </w:r>
          </w:p>
        </w:tc>
        <w:tc>
          <w:tcPr>
            <w:tcW w:w="1642" w:type="dxa"/>
            <w:shd w:val="clear" w:color="auto" w:fill="auto"/>
            <w:noWrap/>
            <w:vAlign w:val="bottom"/>
            <w:hideMark/>
          </w:tcPr>
          <w:p w14:paraId="2526E810" w14:textId="77777777" w:rsidR="00FC4056" w:rsidRPr="00185AF4" w:rsidRDefault="00FC4056" w:rsidP="00331966">
            <w:pPr>
              <w:pStyle w:val="Tabletext"/>
              <w:rPr>
                <w:rFonts w:cs="Arial"/>
                <w:bCs/>
                <w:iCs/>
                <w:color w:val="AEC12D"/>
                <w:sz w:val="32"/>
                <w:szCs w:val="28"/>
              </w:rPr>
            </w:pPr>
            <w:r w:rsidRPr="00185AF4">
              <w:t>0.0002</w:t>
            </w:r>
          </w:p>
        </w:tc>
        <w:tc>
          <w:tcPr>
            <w:tcW w:w="965" w:type="dxa"/>
            <w:shd w:val="clear" w:color="auto" w:fill="auto"/>
            <w:noWrap/>
            <w:vAlign w:val="bottom"/>
            <w:hideMark/>
          </w:tcPr>
          <w:p w14:paraId="60A17E35" w14:textId="77777777" w:rsidR="00FC4056" w:rsidRPr="00185AF4" w:rsidRDefault="00FC4056" w:rsidP="00331966">
            <w:pPr>
              <w:pStyle w:val="Tabletext"/>
              <w:rPr>
                <w:rFonts w:cs="Arial"/>
                <w:bCs/>
                <w:iCs/>
                <w:color w:val="AEC12D"/>
                <w:sz w:val="32"/>
                <w:szCs w:val="28"/>
              </w:rPr>
            </w:pPr>
            <w:r w:rsidRPr="00185AF4">
              <w:t>0.0001</w:t>
            </w:r>
          </w:p>
        </w:tc>
        <w:tc>
          <w:tcPr>
            <w:tcW w:w="998" w:type="dxa"/>
            <w:shd w:val="clear" w:color="auto" w:fill="auto"/>
            <w:noWrap/>
            <w:vAlign w:val="bottom"/>
            <w:hideMark/>
          </w:tcPr>
          <w:p w14:paraId="2E73B3A3" w14:textId="77777777" w:rsidR="00FC4056" w:rsidRPr="00185AF4" w:rsidRDefault="00FC4056" w:rsidP="00331966">
            <w:pPr>
              <w:pStyle w:val="Tabletext"/>
              <w:rPr>
                <w:rFonts w:cs="Arial"/>
                <w:bCs/>
                <w:iCs/>
                <w:color w:val="AEC12D"/>
                <w:sz w:val="32"/>
                <w:szCs w:val="28"/>
              </w:rPr>
            </w:pPr>
            <w:r w:rsidRPr="00185AF4">
              <w:t>0.0001</w:t>
            </w:r>
          </w:p>
        </w:tc>
        <w:tc>
          <w:tcPr>
            <w:tcW w:w="965" w:type="dxa"/>
            <w:shd w:val="clear" w:color="auto" w:fill="auto"/>
            <w:noWrap/>
            <w:vAlign w:val="bottom"/>
            <w:hideMark/>
          </w:tcPr>
          <w:p w14:paraId="27BF3BC6" w14:textId="77777777" w:rsidR="00FC4056" w:rsidRPr="00185AF4" w:rsidRDefault="00FC4056" w:rsidP="00331966">
            <w:pPr>
              <w:pStyle w:val="Tabletext"/>
              <w:rPr>
                <w:rFonts w:cs="Arial"/>
                <w:bCs/>
                <w:iCs/>
                <w:color w:val="AEC12D"/>
                <w:sz w:val="32"/>
                <w:szCs w:val="28"/>
              </w:rPr>
            </w:pPr>
            <w:r w:rsidRPr="00185AF4">
              <w:t>0.0001</w:t>
            </w:r>
          </w:p>
        </w:tc>
        <w:tc>
          <w:tcPr>
            <w:tcW w:w="1042" w:type="dxa"/>
            <w:shd w:val="clear" w:color="auto" w:fill="auto"/>
            <w:noWrap/>
            <w:vAlign w:val="bottom"/>
            <w:hideMark/>
          </w:tcPr>
          <w:p w14:paraId="6E64E050" w14:textId="77777777" w:rsidR="00FC4056" w:rsidRPr="00185AF4" w:rsidRDefault="00FC4056" w:rsidP="00331966">
            <w:pPr>
              <w:pStyle w:val="Tabletext"/>
              <w:rPr>
                <w:rFonts w:cs="Arial"/>
                <w:bCs/>
                <w:iCs/>
                <w:color w:val="AEC12D"/>
                <w:sz w:val="32"/>
                <w:szCs w:val="28"/>
              </w:rPr>
            </w:pPr>
            <w:r w:rsidRPr="00185AF4">
              <w:t>0.0001</w:t>
            </w:r>
          </w:p>
        </w:tc>
        <w:tc>
          <w:tcPr>
            <w:tcW w:w="888" w:type="dxa"/>
            <w:shd w:val="clear" w:color="auto" w:fill="auto"/>
            <w:noWrap/>
            <w:vAlign w:val="bottom"/>
            <w:hideMark/>
          </w:tcPr>
          <w:p w14:paraId="2EFE3E8C" w14:textId="77777777" w:rsidR="00FC4056" w:rsidRPr="00185AF4" w:rsidRDefault="00FC4056" w:rsidP="00331966">
            <w:pPr>
              <w:pStyle w:val="Tabletext"/>
              <w:rPr>
                <w:rFonts w:cs="Arial"/>
                <w:bCs/>
                <w:iCs/>
                <w:color w:val="AEC12D"/>
                <w:sz w:val="32"/>
                <w:szCs w:val="28"/>
              </w:rPr>
            </w:pPr>
            <w:r w:rsidRPr="00185AF4">
              <w:t>0.0001</w:t>
            </w:r>
          </w:p>
        </w:tc>
        <w:tc>
          <w:tcPr>
            <w:tcW w:w="1345" w:type="dxa"/>
            <w:shd w:val="clear" w:color="auto" w:fill="auto"/>
            <w:noWrap/>
            <w:vAlign w:val="bottom"/>
            <w:hideMark/>
          </w:tcPr>
          <w:p w14:paraId="6AB24079"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6DDB5B40" w14:textId="77777777" w:rsidTr="00B22A62">
        <w:trPr>
          <w:trHeight w:val="300"/>
        </w:trPr>
        <w:tc>
          <w:tcPr>
            <w:tcW w:w="950" w:type="dxa"/>
            <w:shd w:val="clear" w:color="auto" w:fill="auto"/>
            <w:noWrap/>
            <w:vAlign w:val="bottom"/>
            <w:hideMark/>
          </w:tcPr>
          <w:p w14:paraId="2F1C24B0" w14:textId="77777777" w:rsidR="00FC4056" w:rsidRPr="00185AF4" w:rsidRDefault="00FC4056" w:rsidP="00567103">
            <w:pPr>
              <w:pStyle w:val="Tabletext"/>
              <w:rPr>
                <w:rFonts w:cs="Arial"/>
                <w:bCs/>
                <w:iCs/>
                <w:color w:val="AEC12D"/>
                <w:sz w:val="32"/>
                <w:szCs w:val="28"/>
              </w:rPr>
            </w:pPr>
            <w:r w:rsidRPr="00185AF4">
              <w:t>416</w:t>
            </w:r>
          </w:p>
        </w:tc>
        <w:tc>
          <w:tcPr>
            <w:tcW w:w="966" w:type="dxa"/>
            <w:shd w:val="clear" w:color="auto" w:fill="auto"/>
            <w:noWrap/>
            <w:vAlign w:val="bottom"/>
            <w:hideMark/>
          </w:tcPr>
          <w:p w14:paraId="65B83220" w14:textId="77777777" w:rsidR="00FC4056" w:rsidRPr="00185AF4" w:rsidRDefault="00FC4056" w:rsidP="00331966">
            <w:pPr>
              <w:pStyle w:val="Tabletext"/>
              <w:rPr>
                <w:rFonts w:cs="Arial"/>
                <w:bCs/>
                <w:iCs/>
                <w:color w:val="AEC12D"/>
                <w:sz w:val="32"/>
                <w:szCs w:val="28"/>
              </w:rPr>
            </w:pPr>
            <w:r w:rsidRPr="00185AF4">
              <w:t>0.0002</w:t>
            </w:r>
          </w:p>
        </w:tc>
        <w:tc>
          <w:tcPr>
            <w:tcW w:w="1642" w:type="dxa"/>
            <w:shd w:val="clear" w:color="auto" w:fill="auto"/>
            <w:noWrap/>
            <w:vAlign w:val="bottom"/>
            <w:hideMark/>
          </w:tcPr>
          <w:p w14:paraId="6667ECAF" w14:textId="77777777" w:rsidR="00FC4056" w:rsidRPr="00185AF4" w:rsidRDefault="00FC4056" w:rsidP="00331966">
            <w:pPr>
              <w:pStyle w:val="Tabletext"/>
              <w:rPr>
                <w:rFonts w:cs="Arial"/>
                <w:bCs/>
                <w:iCs/>
                <w:color w:val="AEC12D"/>
                <w:sz w:val="32"/>
                <w:szCs w:val="28"/>
              </w:rPr>
            </w:pPr>
            <w:r w:rsidRPr="00185AF4">
              <w:t>0.0002</w:t>
            </w:r>
          </w:p>
        </w:tc>
        <w:tc>
          <w:tcPr>
            <w:tcW w:w="965" w:type="dxa"/>
            <w:shd w:val="clear" w:color="auto" w:fill="auto"/>
            <w:noWrap/>
            <w:vAlign w:val="bottom"/>
            <w:hideMark/>
          </w:tcPr>
          <w:p w14:paraId="3BEFE777" w14:textId="77777777" w:rsidR="00FC4056" w:rsidRPr="00185AF4" w:rsidRDefault="00FC4056" w:rsidP="00331966">
            <w:pPr>
              <w:pStyle w:val="Tabletext"/>
              <w:rPr>
                <w:rFonts w:cs="Arial"/>
                <w:bCs/>
                <w:iCs/>
                <w:color w:val="AEC12D"/>
                <w:sz w:val="32"/>
                <w:szCs w:val="28"/>
              </w:rPr>
            </w:pPr>
            <w:r w:rsidRPr="00185AF4">
              <w:t>0.0002</w:t>
            </w:r>
          </w:p>
        </w:tc>
        <w:tc>
          <w:tcPr>
            <w:tcW w:w="998" w:type="dxa"/>
            <w:shd w:val="clear" w:color="auto" w:fill="auto"/>
            <w:noWrap/>
            <w:vAlign w:val="bottom"/>
            <w:hideMark/>
          </w:tcPr>
          <w:p w14:paraId="7D8F9DAA" w14:textId="77777777" w:rsidR="00FC4056" w:rsidRPr="00185AF4" w:rsidRDefault="00FC4056" w:rsidP="00331966">
            <w:pPr>
              <w:pStyle w:val="Tabletext"/>
              <w:rPr>
                <w:rFonts w:cs="Arial"/>
                <w:bCs/>
                <w:iCs/>
                <w:color w:val="AEC12D"/>
                <w:sz w:val="32"/>
                <w:szCs w:val="28"/>
              </w:rPr>
            </w:pPr>
            <w:r w:rsidRPr="00185AF4">
              <w:t>0.0002</w:t>
            </w:r>
          </w:p>
        </w:tc>
        <w:tc>
          <w:tcPr>
            <w:tcW w:w="965" w:type="dxa"/>
            <w:shd w:val="clear" w:color="auto" w:fill="auto"/>
            <w:noWrap/>
            <w:vAlign w:val="bottom"/>
            <w:hideMark/>
          </w:tcPr>
          <w:p w14:paraId="09A07002" w14:textId="77777777" w:rsidR="00FC4056" w:rsidRPr="00185AF4" w:rsidRDefault="00FC4056" w:rsidP="00331966">
            <w:pPr>
              <w:pStyle w:val="Tabletext"/>
              <w:rPr>
                <w:rFonts w:cs="Arial"/>
                <w:bCs/>
                <w:iCs/>
                <w:color w:val="AEC12D"/>
                <w:sz w:val="32"/>
                <w:szCs w:val="28"/>
              </w:rPr>
            </w:pPr>
            <w:r w:rsidRPr="00185AF4">
              <w:t>0.0002</w:t>
            </w:r>
          </w:p>
        </w:tc>
        <w:tc>
          <w:tcPr>
            <w:tcW w:w="1042" w:type="dxa"/>
            <w:shd w:val="clear" w:color="auto" w:fill="auto"/>
            <w:noWrap/>
            <w:vAlign w:val="bottom"/>
            <w:hideMark/>
          </w:tcPr>
          <w:p w14:paraId="6AF5A9C2" w14:textId="77777777" w:rsidR="00FC4056" w:rsidRPr="00185AF4" w:rsidRDefault="00FC4056" w:rsidP="00331966">
            <w:pPr>
              <w:pStyle w:val="Tabletext"/>
              <w:rPr>
                <w:rFonts w:cs="Arial"/>
                <w:bCs/>
                <w:iCs/>
                <w:color w:val="AEC12D"/>
                <w:sz w:val="32"/>
                <w:szCs w:val="28"/>
              </w:rPr>
            </w:pPr>
            <w:r w:rsidRPr="00185AF4">
              <w:t>0.0002</w:t>
            </w:r>
          </w:p>
        </w:tc>
        <w:tc>
          <w:tcPr>
            <w:tcW w:w="888" w:type="dxa"/>
            <w:shd w:val="clear" w:color="auto" w:fill="auto"/>
            <w:noWrap/>
            <w:vAlign w:val="bottom"/>
            <w:hideMark/>
          </w:tcPr>
          <w:p w14:paraId="6D7E57AF" w14:textId="77777777" w:rsidR="00FC4056" w:rsidRPr="00185AF4" w:rsidRDefault="00FC4056" w:rsidP="00331966">
            <w:pPr>
              <w:pStyle w:val="Tabletext"/>
              <w:rPr>
                <w:rFonts w:cs="Arial"/>
                <w:bCs/>
                <w:iCs/>
                <w:color w:val="AEC12D"/>
                <w:sz w:val="32"/>
                <w:szCs w:val="28"/>
              </w:rPr>
            </w:pPr>
            <w:r w:rsidRPr="00185AF4">
              <w:t>0.0002</w:t>
            </w:r>
          </w:p>
        </w:tc>
        <w:tc>
          <w:tcPr>
            <w:tcW w:w="1345" w:type="dxa"/>
            <w:shd w:val="clear" w:color="auto" w:fill="auto"/>
            <w:noWrap/>
            <w:vAlign w:val="bottom"/>
            <w:hideMark/>
          </w:tcPr>
          <w:p w14:paraId="22F6B71B"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2E7A787B" w14:textId="77777777" w:rsidTr="00B22A62">
        <w:trPr>
          <w:trHeight w:val="300"/>
        </w:trPr>
        <w:tc>
          <w:tcPr>
            <w:tcW w:w="950" w:type="dxa"/>
            <w:shd w:val="clear" w:color="auto" w:fill="auto"/>
            <w:noWrap/>
            <w:vAlign w:val="bottom"/>
            <w:hideMark/>
          </w:tcPr>
          <w:p w14:paraId="13489B4B" w14:textId="77777777" w:rsidR="00FC4056" w:rsidRPr="00185AF4" w:rsidRDefault="00FC4056" w:rsidP="00567103">
            <w:pPr>
              <w:pStyle w:val="Tabletext"/>
              <w:rPr>
                <w:rFonts w:cs="Arial"/>
                <w:bCs/>
                <w:iCs/>
                <w:color w:val="AEC12D"/>
                <w:sz w:val="32"/>
                <w:szCs w:val="28"/>
              </w:rPr>
            </w:pPr>
            <w:r w:rsidRPr="00185AF4">
              <w:t>447</w:t>
            </w:r>
          </w:p>
        </w:tc>
        <w:tc>
          <w:tcPr>
            <w:tcW w:w="966" w:type="dxa"/>
            <w:shd w:val="clear" w:color="auto" w:fill="auto"/>
            <w:noWrap/>
            <w:vAlign w:val="bottom"/>
            <w:hideMark/>
          </w:tcPr>
          <w:p w14:paraId="637A3515" w14:textId="77777777" w:rsidR="00FC4056" w:rsidRPr="00185AF4" w:rsidRDefault="00FC4056" w:rsidP="00331966">
            <w:pPr>
              <w:pStyle w:val="Tabletext"/>
              <w:rPr>
                <w:rFonts w:cs="Arial"/>
                <w:bCs/>
                <w:iCs/>
                <w:color w:val="AEC12D"/>
                <w:sz w:val="32"/>
                <w:szCs w:val="28"/>
              </w:rPr>
            </w:pPr>
            <w:r w:rsidRPr="00185AF4">
              <w:t>0.0002</w:t>
            </w:r>
          </w:p>
        </w:tc>
        <w:tc>
          <w:tcPr>
            <w:tcW w:w="1642" w:type="dxa"/>
            <w:shd w:val="clear" w:color="auto" w:fill="auto"/>
            <w:noWrap/>
            <w:vAlign w:val="bottom"/>
            <w:hideMark/>
          </w:tcPr>
          <w:p w14:paraId="6253403E" w14:textId="77777777" w:rsidR="00FC4056" w:rsidRPr="00185AF4" w:rsidRDefault="00FC4056" w:rsidP="00331966">
            <w:pPr>
              <w:pStyle w:val="Tabletext"/>
              <w:rPr>
                <w:rFonts w:cs="Arial"/>
                <w:bCs/>
                <w:iCs/>
                <w:color w:val="AEC12D"/>
                <w:sz w:val="32"/>
                <w:szCs w:val="28"/>
              </w:rPr>
            </w:pPr>
            <w:r w:rsidRPr="00185AF4">
              <w:t>0.0002</w:t>
            </w:r>
          </w:p>
        </w:tc>
        <w:tc>
          <w:tcPr>
            <w:tcW w:w="965" w:type="dxa"/>
            <w:shd w:val="clear" w:color="auto" w:fill="auto"/>
            <w:noWrap/>
            <w:vAlign w:val="bottom"/>
            <w:hideMark/>
          </w:tcPr>
          <w:p w14:paraId="2ED46DA8" w14:textId="77777777" w:rsidR="00FC4056" w:rsidRPr="00185AF4" w:rsidRDefault="00FC4056" w:rsidP="00331966">
            <w:pPr>
              <w:pStyle w:val="Tabletext"/>
              <w:rPr>
                <w:rFonts w:cs="Arial"/>
                <w:bCs/>
                <w:iCs/>
                <w:color w:val="AEC12D"/>
                <w:sz w:val="32"/>
                <w:szCs w:val="28"/>
              </w:rPr>
            </w:pPr>
            <w:r w:rsidRPr="00185AF4">
              <w:t>0</w:t>
            </w:r>
          </w:p>
        </w:tc>
        <w:tc>
          <w:tcPr>
            <w:tcW w:w="998" w:type="dxa"/>
            <w:shd w:val="clear" w:color="auto" w:fill="auto"/>
            <w:noWrap/>
            <w:vAlign w:val="bottom"/>
            <w:hideMark/>
          </w:tcPr>
          <w:p w14:paraId="267F856C" w14:textId="77777777" w:rsidR="00FC4056" w:rsidRPr="00185AF4" w:rsidRDefault="00FC4056" w:rsidP="00331966">
            <w:pPr>
              <w:pStyle w:val="Tabletext"/>
              <w:rPr>
                <w:rFonts w:cs="Arial"/>
                <w:bCs/>
                <w:iCs/>
                <w:color w:val="AEC12D"/>
                <w:sz w:val="32"/>
                <w:szCs w:val="28"/>
              </w:rPr>
            </w:pPr>
            <w:r w:rsidRPr="00185AF4">
              <w:t>0</w:t>
            </w:r>
          </w:p>
        </w:tc>
        <w:tc>
          <w:tcPr>
            <w:tcW w:w="965" w:type="dxa"/>
            <w:shd w:val="clear" w:color="auto" w:fill="auto"/>
            <w:noWrap/>
            <w:vAlign w:val="bottom"/>
            <w:hideMark/>
          </w:tcPr>
          <w:p w14:paraId="052E4D57" w14:textId="77777777" w:rsidR="00FC4056" w:rsidRPr="00185AF4" w:rsidRDefault="00FC4056" w:rsidP="00331966">
            <w:pPr>
              <w:pStyle w:val="Tabletext"/>
              <w:rPr>
                <w:rFonts w:cs="Arial"/>
                <w:bCs/>
                <w:iCs/>
                <w:color w:val="AEC12D"/>
                <w:sz w:val="32"/>
                <w:szCs w:val="28"/>
              </w:rPr>
            </w:pPr>
            <w:r w:rsidRPr="00185AF4">
              <w:t>0</w:t>
            </w:r>
          </w:p>
        </w:tc>
        <w:tc>
          <w:tcPr>
            <w:tcW w:w="1042" w:type="dxa"/>
            <w:shd w:val="clear" w:color="auto" w:fill="auto"/>
            <w:noWrap/>
            <w:vAlign w:val="bottom"/>
            <w:hideMark/>
          </w:tcPr>
          <w:p w14:paraId="5C59B28F" w14:textId="77777777" w:rsidR="00FC4056" w:rsidRPr="00185AF4" w:rsidRDefault="00FC4056" w:rsidP="00331966">
            <w:pPr>
              <w:pStyle w:val="Tabletext"/>
              <w:rPr>
                <w:rFonts w:cs="Arial"/>
                <w:bCs/>
                <w:iCs/>
                <w:color w:val="AEC12D"/>
                <w:sz w:val="32"/>
                <w:szCs w:val="28"/>
              </w:rPr>
            </w:pPr>
            <w:r w:rsidRPr="00185AF4">
              <w:t>0</w:t>
            </w:r>
          </w:p>
        </w:tc>
        <w:tc>
          <w:tcPr>
            <w:tcW w:w="888" w:type="dxa"/>
            <w:shd w:val="clear" w:color="auto" w:fill="auto"/>
            <w:noWrap/>
            <w:vAlign w:val="bottom"/>
            <w:hideMark/>
          </w:tcPr>
          <w:p w14:paraId="7823FB60" w14:textId="77777777" w:rsidR="00FC4056" w:rsidRPr="00185AF4" w:rsidRDefault="00FC4056" w:rsidP="00331966">
            <w:pPr>
              <w:pStyle w:val="Tabletext"/>
              <w:rPr>
                <w:rFonts w:cs="Arial"/>
                <w:bCs/>
                <w:iCs/>
                <w:color w:val="AEC12D"/>
                <w:sz w:val="32"/>
                <w:szCs w:val="28"/>
              </w:rPr>
            </w:pPr>
            <w:r w:rsidRPr="00185AF4">
              <w:t>0</w:t>
            </w:r>
          </w:p>
        </w:tc>
        <w:tc>
          <w:tcPr>
            <w:tcW w:w="1345" w:type="dxa"/>
            <w:shd w:val="clear" w:color="auto" w:fill="auto"/>
            <w:noWrap/>
            <w:vAlign w:val="bottom"/>
            <w:hideMark/>
          </w:tcPr>
          <w:p w14:paraId="176F9381"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1FAAF546" w14:textId="77777777" w:rsidTr="00B22A62">
        <w:trPr>
          <w:trHeight w:val="300"/>
        </w:trPr>
        <w:tc>
          <w:tcPr>
            <w:tcW w:w="950" w:type="dxa"/>
            <w:shd w:val="clear" w:color="auto" w:fill="auto"/>
            <w:noWrap/>
            <w:vAlign w:val="bottom"/>
            <w:hideMark/>
          </w:tcPr>
          <w:p w14:paraId="2B6CDE80" w14:textId="77777777" w:rsidR="00FC4056" w:rsidRPr="00185AF4" w:rsidRDefault="00FC4056" w:rsidP="00567103">
            <w:pPr>
              <w:pStyle w:val="Tabletext"/>
              <w:rPr>
                <w:rFonts w:cs="Arial"/>
                <w:bCs/>
                <w:iCs/>
                <w:color w:val="AEC12D"/>
                <w:sz w:val="32"/>
                <w:szCs w:val="28"/>
              </w:rPr>
            </w:pPr>
            <w:r w:rsidRPr="00185AF4">
              <w:t>448</w:t>
            </w:r>
          </w:p>
        </w:tc>
        <w:tc>
          <w:tcPr>
            <w:tcW w:w="966" w:type="dxa"/>
            <w:shd w:val="clear" w:color="auto" w:fill="auto"/>
            <w:noWrap/>
            <w:vAlign w:val="bottom"/>
            <w:hideMark/>
          </w:tcPr>
          <w:p w14:paraId="0AA0A9D9" w14:textId="77777777" w:rsidR="00FC4056" w:rsidRPr="00185AF4" w:rsidRDefault="00FC4056" w:rsidP="00331966">
            <w:pPr>
              <w:pStyle w:val="Tabletext"/>
              <w:rPr>
                <w:rFonts w:cs="Arial"/>
                <w:bCs/>
                <w:iCs/>
                <w:color w:val="AEC12D"/>
                <w:sz w:val="32"/>
                <w:szCs w:val="28"/>
              </w:rPr>
            </w:pPr>
            <w:r w:rsidRPr="00185AF4">
              <w:t>0.001</w:t>
            </w:r>
          </w:p>
        </w:tc>
        <w:tc>
          <w:tcPr>
            <w:tcW w:w="1642" w:type="dxa"/>
            <w:shd w:val="clear" w:color="auto" w:fill="auto"/>
            <w:noWrap/>
            <w:vAlign w:val="bottom"/>
            <w:hideMark/>
          </w:tcPr>
          <w:p w14:paraId="50A09909" w14:textId="77777777" w:rsidR="00FC4056" w:rsidRPr="00185AF4" w:rsidRDefault="00FC4056" w:rsidP="00331966">
            <w:pPr>
              <w:pStyle w:val="Tabletext"/>
              <w:rPr>
                <w:rFonts w:cs="Arial"/>
                <w:bCs/>
                <w:iCs/>
                <w:color w:val="AEC12D"/>
                <w:sz w:val="32"/>
                <w:szCs w:val="28"/>
              </w:rPr>
            </w:pPr>
            <w:r w:rsidRPr="00185AF4">
              <w:t>0.001</w:t>
            </w:r>
          </w:p>
        </w:tc>
        <w:tc>
          <w:tcPr>
            <w:tcW w:w="965" w:type="dxa"/>
            <w:shd w:val="clear" w:color="auto" w:fill="auto"/>
            <w:noWrap/>
            <w:vAlign w:val="bottom"/>
            <w:hideMark/>
          </w:tcPr>
          <w:p w14:paraId="3C1BD8BE" w14:textId="77777777" w:rsidR="00FC4056" w:rsidRPr="00185AF4" w:rsidRDefault="00FC4056" w:rsidP="00331966">
            <w:pPr>
              <w:pStyle w:val="Tabletext"/>
              <w:rPr>
                <w:rFonts w:cs="Arial"/>
                <w:bCs/>
                <w:iCs/>
                <w:color w:val="AEC12D"/>
                <w:sz w:val="32"/>
                <w:szCs w:val="28"/>
              </w:rPr>
            </w:pPr>
            <w:r w:rsidRPr="00185AF4">
              <w:t>0.0007</w:t>
            </w:r>
          </w:p>
        </w:tc>
        <w:tc>
          <w:tcPr>
            <w:tcW w:w="998" w:type="dxa"/>
            <w:shd w:val="clear" w:color="auto" w:fill="auto"/>
            <w:noWrap/>
            <w:vAlign w:val="bottom"/>
            <w:hideMark/>
          </w:tcPr>
          <w:p w14:paraId="1356CF23" w14:textId="77777777" w:rsidR="00FC4056" w:rsidRPr="00185AF4" w:rsidRDefault="00FC4056" w:rsidP="00331966">
            <w:pPr>
              <w:pStyle w:val="Tabletext"/>
              <w:rPr>
                <w:rFonts w:cs="Arial"/>
                <w:bCs/>
                <w:iCs/>
                <w:color w:val="AEC12D"/>
                <w:sz w:val="32"/>
                <w:szCs w:val="28"/>
              </w:rPr>
            </w:pPr>
            <w:r w:rsidRPr="00185AF4">
              <w:t>0.0007</w:t>
            </w:r>
          </w:p>
        </w:tc>
        <w:tc>
          <w:tcPr>
            <w:tcW w:w="965" w:type="dxa"/>
            <w:shd w:val="clear" w:color="auto" w:fill="auto"/>
            <w:noWrap/>
            <w:vAlign w:val="bottom"/>
            <w:hideMark/>
          </w:tcPr>
          <w:p w14:paraId="04552A97" w14:textId="77777777" w:rsidR="00FC4056" w:rsidRPr="00185AF4" w:rsidRDefault="00FC4056" w:rsidP="00331966">
            <w:pPr>
              <w:pStyle w:val="Tabletext"/>
              <w:rPr>
                <w:rFonts w:cs="Arial"/>
                <w:bCs/>
                <w:iCs/>
                <w:color w:val="AEC12D"/>
                <w:sz w:val="32"/>
                <w:szCs w:val="28"/>
              </w:rPr>
            </w:pPr>
            <w:r w:rsidRPr="00185AF4">
              <w:t>0.0007</w:t>
            </w:r>
          </w:p>
        </w:tc>
        <w:tc>
          <w:tcPr>
            <w:tcW w:w="1042" w:type="dxa"/>
            <w:shd w:val="clear" w:color="auto" w:fill="auto"/>
            <w:noWrap/>
            <w:vAlign w:val="bottom"/>
            <w:hideMark/>
          </w:tcPr>
          <w:p w14:paraId="524F9129" w14:textId="77777777" w:rsidR="00FC4056" w:rsidRPr="00185AF4" w:rsidRDefault="00FC4056" w:rsidP="00331966">
            <w:pPr>
              <w:pStyle w:val="Tabletext"/>
              <w:rPr>
                <w:rFonts w:cs="Arial"/>
                <w:bCs/>
                <w:iCs/>
                <w:color w:val="AEC12D"/>
                <w:sz w:val="32"/>
                <w:szCs w:val="28"/>
              </w:rPr>
            </w:pPr>
            <w:r w:rsidRPr="00185AF4">
              <w:t>0.0007</w:t>
            </w:r>
          </w:p>
        </w:tc>
        <w:tc>
          <w:tcPr>
            <w:tcW w:w="888" w:type="dxa"/>
            <w:shd w:val="clear" w:color="auto" w:fill="auto"/>
            <w:noWrap/>
            <w:vAlign w:val="bottom"/>
            <w:hideMark/>
          </w:tcPr>
          <w:p w14:paraId="5180B579" w14:textId="77777777" w:rsidR="00FC4056" w:rsidRPr="00185AF4" w:rsidRDefault="00FC4056" w:rsidP="00331966">
            <w:pPr>
              <w:pStyle w:val="Tabletext"/>
              <w:rPr>
                <w:rFonts w:cs="Arial"/>
                <w:bCs/>
                <w:iCs/>
                <w:color w:val="AEC12D"/>
                <w:sz w:val="32"/>
                <w:szCs w:val="28"/>
              </w:rPr>
            </w:pPr>
            <w:r w:rsidRPr="00185AF4">
              <w:t>0.0007</w:t>
            </w:r>
          </w:p>
        </w:tc>
        <w:tc>
          <w:tcPr>
            <w:tcW w:w="1345" w:type="dxa"/>
            <w:shd w:val="clear" w:color="auto" w:fill="auto"/>
            <w:noWrap/>
            <w:vAlign w:val="bottom"/>
            <w:hideMark/>
          </w:tcPr>
          <w:p w14:paraId="51BECC28"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42978BE0" w14:textId="77777777" w:rsidTr="00B22A62">
        <w:trPr>
          <w:trHeight w:val="300"/>
        </w:trPr>
        <w:tc>
          <w:tcPr>
            <w:tcW w:w="950" w:type="dxa"/>
            <w:shd w:val="clear" w:color="auto" w:fill="auto"/>
            <w:noWrap/>
            <w:vAlign w:val="bottom"/>
            <w:hideMark/>
          </w:tcPr>
          <w:p w14:paraId="7C9030A1" w14:textId="77777777" w:rsidR="00FC4056" w:rsidRPr="00185AF4" w:rsidRDefault="00FC4056" w:rsidP="00567103">
            <w:pPr>
              <w:pStyle w:val="Tabletext"/>
              <w:rPr>
                <w:rFonts w:cs="Arial"/>
                <w:bCs/>
                <w:iCs/>
                <w:color w:val="AEC12D"/>
                <w:sz w:val="32"/>
                <w:szCs w:val="28"/>
              </w:rPr>
            </w:pPr>
            <w:r w:rsidRPr="00185AF4">
              <w:t>449</w:t>
            </w:r>
          </w:p>
        </w:tc>
        <w:tc>
          <w:tcPr>
            <w:tcW w:w="966" w:type="dxa"/>
            <w:shd w:val="clear" w:color="auto" w:fill="auto"/>
            <w:noWrap/>
            <w:vAlign w:val="bottom"/>
            <w:hideMark/>
          </w:tcPr>
          <w:p w14:paraId="42A68527" w14:textId="77777777" w:rsidR="00FC4056" w:rsidRPr="00185AF4" w:rsidRDefault="00FC4056" w:rsidP="00331966">
            <w:pPr>
              <w:pStyle w:val="Tabletext"/>
              <w:rPr>
                <w:rFonts w:cs="Arial"/>
                <w:bCs/>
                <w:iCs/>
                <w:color w:val="AEC12D"/>
                <w:sz w:val="32"/>
                <w:szCs w:val="28"/>
              </w:rPr>
            </w:pPr>
            <w:r w:rsidRPr="00185AF4">
              <w:t>0.002</w:t>
            </w:r>
          </w:p>
        </w:tc>
        <w:tc>
          <w:tcPr>
            <w:tcW w:w="1642" w:type="dxa"/>
            <w:shd w:val="clear" w:color="auto" w:fill="auto"/>
            <w:noWrap/>
            <w:vAlign w:val="bottom"/>
            <w:hideMark/>
          </w:tcPr>
          <w:p w14:paraId="094EFBF8" w14:textId="77777777" w:rsidR="00FC4056" w:rsidRPr="00185AF4" w:rsidRDefault="00FC4056" w:rsidP="00331966">
            <w:pPr>
              <w:pStyle w:val="Tabletext"/>
              <w:rPr>
                <w:rFonts w:cs="Arial"/>
                <w:bCs/>
                <w:iCs/>
                <w:color w:val="AEC12D"/>
                <w:sz w:val="32"/>
                <w:szCs w:val="28"/>
              </w:rPr>
            </w:pPr>
            <w:r w:rsidRPr="00185AF4">
              <w:t>0.002</w:t>
            </w:r>
          </w:p>
        </w:tc>
        <w:tc>
          <w:tcPr>
            <w:tcW w:w="965" w:type="dxa"/>
            <w:shd w:val="clear" w:color="auto" w:fill="auto"/>
            <w:noWrap/>
            <w:vAlign w:val="bottom"/>
            <w:hideMark/>
          </w:tcPr>
          <w:p w14:paraId="3625018E" w14:textId="77777777" w:rsidR="00FC4056" w:rsidRPr="00185AF4" w:rsidRDefault="00FC4056" w:rsidP="00331966">
            <w:pPr>
              <w:pStyle w:val="Tabletext"/>
              <w:rPr>
                <w:rFonts w:cs="Arial"/>
                <w:bCs/>
                <w:iCs/>
                <w:color w:val="AEC12D"/>
                <w:sz w:val="32"/>
                <w:szCs w:val="28"/>
              </w:rPr>
            </w:pPr>
            <w:r w:rsidRPr="00185AF4">
              <w:t>0.002</w:t>
            </w:r>
          </w:p>
        </w:tc>
        <w:tc>
          <w:tcPr>
            <w:tcW w:w="998" w:type="dxa"/>
            <w:shd w:val="clear" w:color="auto" w:fill="auto"/>
            <w:noWrap/>
            <w:vAlign w:val="bottom"/>
            <w:hideMark/>
          </w:tcPr>
          <w:p w14:paraId="44B981B9" w14:textId="77777777" w:rsidR="00FC4056" w:rsidRPr="00185AF4" w:rsidRDefault="00FC4056" w:rsidP="00331966">
            <w:pPr>
              <w:pStyle w:val="Tabletext"/>
              <w:rPr>
                <w:rFonts w:cs="Arial"/>
                <w:bCs/>
                <w:iCs/>
                <w:color w:val="AEC12D"/>
                <w:sz w:val="32"/>
                <w:szCs w:val="28"/>
              </w:rPr>
            </w:pPr>
            <w:r w:rsidRPr="00185AF4">
              <w:t>0.002</w:t>
            </w:r>
          </w:p>
        </w:tc>
        <w:tc>
          <w:tcPr>
            <w:tcW w:w="965" w:type="dxa"/>
            <w:shd w:val="clear" w:color="auto" w:fill="auto"/>
            <w:noWrap/>
            <w:vAlign w:val="bottom"/>
            <w:hideMark/>
          </w:tcPr>
          <w:p w14:paraId="1BB26795" w14:textId="77777777" w:rsidR="00FC4056" w:rsidRPr="00185AF4" w:rsidRDefault="00FC4056" w:rsidP="00331966">
            <w:pPr>
              <w:pStyle w:val="Tabletext"/>
            </w:pPr>
            <w:r w:rsidRPr="00185AF4">
              <w:t>0.002</w:t>
            </w:r>
          </w:p>
        </w:tc>
        <w:tc>
          <w:tcPr>
            <w:tcW w:w="1042" w:type="dxa"/>
            <w:shd w:val="clear" w:color="auto" w:fill="auto"/>
            <w:noWrap/>
            <w:vAlign w:val="bottom"/>
            <w:hideMark/>
          </w:tcPr>
          <w:p w14:paraId="263C7CA6" w14:textId="77777777" w:rsidR="00FC4056" w:rsidRPr="00185AF4" w:rsidRDefault="00FC4056" w:rsidP="00331966">
            <w:pPr>
              <w:pStyle w:val="Tabletext"/>
              <w:rPr>
                <w:rFonts w:cs="Arial"/>
                <w:bCs/>
                <w:iCs/>
                <w:color w:val="AEC12D"/>
                <w:sz w:val="32"/>
                <w:szCs w:val="28"/>
              </w:rPr>
            </w:pPr>
            <w:r w:rsidRPr="00185AF4">
              <w:t>0.002</w:t>
            </w:r>
          </w:p>
        </w:tc>
        <w:tc>
          <w:tcPr>
            <w:tcW w:w="888" w:type="dxa"/>
            <w:shd w:val="clear" w:color="auto" w:fill="auto"/>
            <w:noWrap/>
            <w:vAlign w:val="bottom"/>
            <w:hideMark/>
          </w:tcPr>
          <w:p w14:paraId="7986A4A6" w14:textId="77777777" w:rsidR="00FC4056" w:rsidRPr="00185AF4" w:rsidRDefault="00FC4056" w:rsidP="00331966">
            <w:pPr>
              <w:pStyle w:val="Tabletext"/>
              <w:rPr>
                <w:rFonts w:cs="Arial"/>
                <w:bCs/>
                <w:iCs/>
                <w:color w:val="AEC12D"/>
                <w:sz w:val="32"/>
                <w:szCs w:val="28"/>
              </w:rPr>
            </w:pPr>
            <w:r w:rsidRPr="00185AF4">
              <w:t>0.002</w:t>
            </w:r>
          </w:p>
        </w:tc>
        <w:tc>
          <w:tcPr>
            <w:tcW w:w="1345" w:type="dxa"/>
            <w:shd w:val="clear" w:color="auto" w:fill="auto"/>
            <w:noWrap/>
            <w:vAlign w:val="bottom"/>
            <w:hideMark/>
          </w:tcPr>
          <w:p w14:paraId="3D6764EC"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175D7728" w14:textId="77777777" w:rsidTr="00B22A62">
        <w:trPr>
          <w:trHeight w:val="300"/>
        </w:trPr>
        <w:tc>
          <w:tcPr>
            <w:tcW w:w="950" w:type="dxa"/>
            <w:shd w:val="clear" w:color="auto" w:fill="auto"/>
            <w:noWrap/>
            <w:vAlign w:val="bottom"/>
            <w:hideMark/>
          </w:tcPr>
          <w:p w14:paraId="4ADDD78E" w14:textId="77777777" w:rsidR="00FC4056" w:rsidRPr="00185AF4" w:rsidRDefault="00FC4056" w:rsidP="00567103">
            <w:pPr>
              <w:pStyle w:val="Tabletext"/>
              <w:rPr>
                <w:rFonts w:cs="Arial"/>
                <w:bCs/>
                <w:iCs/>
                <w:color w:val="AEC12D"/>
                <w:sz w:val="32"/>
                <w:szCs w:val="28"/>
              </w:rPr>
            </w:pPr>
            <w:r w:rsidRPr="00185AF4">
              <w:t>450</w:t>
            </w:r>
          </w:p>
        </w:tc>
        <w:tc>
          <w:tcPr>
            <w:tcW w:w="966" w:type="dxa"/>
            <w:shd w:val="clear" w:color="auto" w:fill="auto"/>
            <w:noWrap/>
            <w:vAlign w:val="bottom"/>
            <w:hideMark/>
          </w:tcPr>
          <w:p w14:paraId="3BA351DB" w14:textId="77777777" w:rsidR="00FC4056" w:rsidRPr="00185AF4" w:rsidRDefault="00FC4056" w:rsidP="00331966">
            <w:pPr>
              <w:pStyle w:val="Tabletext"/>
              <w:rPr>
                <w:rFonts w:cs="Arial"/>
                <w:bCs/>
                <w:iCs/>
                <w:color w:val="AEC12D"/>
                <w:sz w:val="32"/>
                <w:szCs w:val="28"/>
              </w:rPr>
            </w:pPr>
            <w:r w:rsidRPr="00185AF4">
              <w:t>0.002</w:t>
            </w:r>
          </w:p>
        </w:tc>
        <w:tc>
          <w:tcPr>
            <w:tcW w:w="1642" w:type="dxa"/>
            <w:shd w:val="clear" w:color="auto" w:fill="auto"/>
            <w:noWrap/>
            <w:vAlign w:val="bottom"/>
            <w:hideMark/>
          </w:tcPr>
          <w:p w14:paraId="03880E49" w14:textId="77777777" w:rsidR="00FC4056" w:rsidRPr="00185AF4" w:rsidRDefault="00FC4056" w:rsidP="00331966">
            <w:pPr>
              <w:pStyle w:val="Tabletext"/>
              <w:rPr>
                <w:rFonts w:cs="Arial"/>
                <w:bCs/>
                <w:iCs/>
                <w:color w:val="AEC12D"/>
                <w:sz w:val="32"/>
                <w:szCs w:val="28"/>
              </w:rPr>
            </w:pPr>
            <w:r w:rsidRPr="00185AF4">
              <w:t>0.002</w:t>
            </w:r>
          </w:p>
        </w:tc>
        <w:tc>
          <w:tcPr>
            <w:tcW w:w="965" w:type="dxa"/>
            <w:shd w:val="clear" w:color="auto" w:fill="auto"/>
            <w:noWrap/>
            <w:vAlign w:val="bottom"/>
            <w:hideMark/>
          </w:tcPr>
          <w:p w14:paraId="1598C430" w14:textId="77777777" w:rsidR="00FC4056" w:rsidRPr="00185AF4" w:rsidRDefault="00FC4056" w:rsidP="00331966">
            <w:pPr>
              <w:pStyle w:val="Tabletext"/>
              <w:rPr>
                <w:rFonts w:cs="Arial"/>
                <w:bCs/>
                <w:iCs/>
                <w:color w:val="AEC12D"/>
                <w:sz w:val="32"/>
                <w:szCs w:val="28"/>
              </w:rPr>
            </w:pPr>
            <w:r w:rsidRPr="00185AF4">
              <w:t>0.002</w:t>
            </w:r>
          </w:p>
        </w:tc>
        <w:tc>
          <w:tcPr>
            <w:tcW w:w="998" w:type="dxa"/>
            <w:shd w:val="clear" w:color="auto" w:fill="auto"/>
            <w:noWrap/>
            <w:vAlign w:val="bottom"/>
            <w:hideMark/>
          </w:tcPr>
          <w:p w14:paraId="20AB2BB9" w14:textId="77777777" w:rsidR="00FC4056" w:rsidRPr="00185AF4" w:rsidRDefault="00FC4056" w:rsidP="00331966">
            <w:pPr>
              <w:pStyle w:val="Tabletext"/>
              <w:rPr>
                <w:rFonts w:cs="Arial"/>
                <w:bCs/>
                <w:iCs/>
                <w:color w:val="AEC12D"/>
                <w:sz w:val="32"/>
                <w:szCs w:val="28"/>
              </w:rPr>
            </w:pPr>
            <w:r w:rsidRPr="00185AF4">
              <w:t>0.002</w:t>
            </w:r>
          </w:p>
        </w:tc>
        <w:tc>
          <w:tcPr>
            <w:tcW w:w="965" w:type="dxa"/>
            <w:shd w:val="clear" w:color="auto" w:fill="auto"/>
            <w:noWrap/>
            <w:vAlign w:val="bottom"/>
            <w:hideMark/>
          </w:tcPr>
          <w:p w14:paraId="61B91A38" w14:textId="77777777" w:rsidR="00FC4056" w:rsidRPr="00185AF4" w:rsidRDefault="00FC4056" w:rsidP="00331966">
            <w:pPr>
              <w:pStyle w:val="Tabletext"/>
              <w:rPr>
                <w:rFonts w:cs="Arial"/>
                <w:bCs/>
                <w:iCs/>
                <w:color w:val="AEC12D"/>
                <w:sz w:val="32"/>
                <w:szCs w:val="28"/>
              </w:rPr>
            </w:pPr>
            <w:r w:rsidRPr="00185AF4">
              <w:t>0.002</w:t>
            </w:r>
          </w:p>
        </w:tc>
        <w:tc>
          <w:tcPr>
            <w:tcW w:w="1042" w:type="dxa"/>
            <w:shd w:val="clear" w:color="auto" w:fill="auto"/>
            <w:noWrap/>
            <w:vAlign w:val="bottom"/>
            <w:hideMark/>
          </w:tcPr>
          <w:p w14:paraId="152FB129" w14:textId="77777777" w:rsidR="00FC4056" w:rsidRPr="00185AF4" w:rsidRDefault="00FC4056" w:rsidP="00331966">
            <w:pPr>
              <w:pStyle w:val="Tabletext"/>
              <w:rPr>
                <w:rFonts w:cs="Arial"/>
                <w:bCs/>
                <w:iCs/>
                <w:color w:val="AEC12D"/>
                <w:sz w:val="32"/>
                <w:szCs w:val="28"/>
              </w:rPr>
            </w:pPr>
            <w:r w:rsidRPr="00185AF4">
              <w:t>0.002</w:t>
            </w:r>
          </w:p>
        </w:tc>
        <w:tc>
          <w:tcPr>
            <w:tcW w:w="888" w:type="dxa"/>
            <w:shd w:val="clear" w:color="auto" w:fill="auto"/>
            <w:noWrap/>
            <w:vAlign w:val="bottom"/>
            <w:hideMark/>
          </w:tcPr>
          <w:p w14:paraId="61AC2B10" w14:textId="77777777" w:rsidR="00FC4056" w:rsidRPr="00185AF4" w:rsidRDefault="00FC4056" w:rsidP="00331966">
            <w:pPr>
              <w:pStyle w:val="Tabletext"/>
              <w:rPr>
                <w:rFonts w:cs="Arial"/>
                <w:bCs/>
                <w:iCs/>
                <w:color w:val="AEC12D"/>
                <w:sz w:val="32"/>
                <w:szCs w:val="28"/>
              </w:rPr>
            </w:pPr>
            <w:r w:rsidRPr="00185AF4">
              <w:t>0.002</w:t>
            </w:r>
          </w:p>
        </w:tc>
        <w:tc>
          <w:tcPr>
            <w:tcW w:w="1345" w:type="dxa"/>
            <w:shd w:val="clear" w:color="auto" w:fill="auto"/>
            <w:noWrap/>
            <w:vAlign w:val="bottom"/>
            <w:hideMark/>
          </w:tcPr>
          <w:p w14:paraId="24FCF55B"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5E0FA28B" w14:textId="77777777" w:rsidTr="00B22A62">
        <w:trPr>
          <w:trHeight w:val="300"/>
        </w:trPr>
        <w:tc>
          <w:tcPr>
            <w:tcW w:w="950" w:type="dxa"/>
            <w:shd w:val="clear" w:color="auto" w:fill="auto"/>
            <w:noWrap/>
            <w:vAlign w:val="bottom"/>
            <w:hideMark/>
          </w:tcPr>
          <w:p w14:paraId="77B0FDDD" w14:textId="77777777" w:rsidR="00FC4056" w:rsidRPr="00185AF4" w:rsidRDefault="00FC4056" w:rsidP="00567103">
            <w:pPr>
              <w:pStyle w:val="Tabletext"/>
              <w:rPr>
                <w:rFonts w:cs="Arial"/>
                <w:bCs/>
                <w:iCs/>
                <w:color w:val="AEC12D"/>
                <w:sz w:val="32"/>
                <w:szCs w:val="28"/>
              </w:rPr>
            </w:pPr>
            <w:r w:rsidRPr="00185AF4">
              <w:t>481</w:t>
            </w:r>
          </w:p>
        </w:tc>
        <w:tc>
          <w:tcPr>
            <w:tcW w:w="966" w:type="dxa"/>
            <w:shd w:val="clear" w:color="auto" w:fill="auto"/>
            <w:noWrap/>
            <w:vAlign w:val="bottom"/>
            <w:hideMark/>
          </w:tcPr>
          <w:p w14:paraId="5C07FA4C" w14:textId="77777777" w:rsidR="00FC4056" w:rsidRPr="00185AF4" w:rsidRDefault="00FC4056" w:rsidP="00331966">
            <w:pPr>
              <w:pStyle w:val="Tabletext"/>
              <w:rPr>
                <w:rFonts w:cs="Arial"/>
                <w:bCs/>
                <w:iCs/>
                <w:color w:val="AEC12D"/>
                <w:sz w:val="32"/>
                <w:szCs w:val="28"/>
              </w:rPr>
            </w:pPr>
            <w:r w:rsidRPr="00185AF4">
              <w:t>0.0002</w:t>
            </w:r>
          </w:p>
        </w:tc>
        <w:tc>
          <w:tcPr>
            <w:tcW w:w="1642" w:type="dxa"/>
            <w:shd w:val="clear" w:color="auto" w:fill="auto"/>
            <w:noWrap/>
            <w:vAlign w:val="bottom"/>
            <w:hideMark/>
          </w:tcPr>
          <w:p w14:paraId="391A2EEB" w14:textId="77777777" w:rsidR="00FC4056" w:rsidRPr="00185AF4" w:rsidRDefault="00FC4056" w:rsidP="00331966">
            <w:pPr>
              <w:pStyle w:val="Tabletext"/>
              <w:rPr>
                <w:rFonts w:cs="Arial"/>
                <w:bCs/>
                <w:iCs/>
                <w:color w:val="AEC12D"/>
                <w:sz w:val="32"/>
                <w:szCs w:val="28"/>
              </w:rPr>
            </w:pPr>
            <w:r w:rsidRPr="00185AF4">
              <w:t>0.0002</w:t>
            </w:r>
          </w:p>
        </w:tc>
        <w:tc>
          <w:tcPr>
            <w:tcW w:w="965" w:type="dxa"/>
            <w:shd w:val="clear" w:color="auto" w:fill="auto"/>
            <w:noWrap/>
            <w:vAlign w:val="bottom"/>
            <w:hideMark/>
          </w:tcPr>
          <w:p w14:paraId="3C86CA22" w14:textId="77777777" w:rsidR="00FC4056" w:rsidRPr="00185AF4" w:rsidRDefault="00FC4056" w:rsidP="00331966">
            <w:pPr>
              <w:pStyle w:val="Tabletext"/>
              <w:rPr>
                <w:rFonts w:cs="Arial"/>
                <w:bCs/>
                <w:iCs/>
                <w:color w:val="AEC12D"/>
                <w:sz w:val="32"/>
                <w:szCs w:val="28"/>
              </w:rPr>
            </w:pPr>
            <w:r w:rsidRPr="00185AF4">
              <w:t>0.0002</w:t>
            </w:r>
          </w:p>
        </w:tc>
        <w:tc>
          <w:tcPr>
            <w:tcW w:w="998" w:type="dxa"/>
            <w:shd w:val="clear" w:color="auto" w:fill="auto"/>
            <w:noWrap/>
            <w:vAlign w:val="bottom"/>
            <w:hideMark/>
          </w:tcPr>
          <w:p w14:paraId="1A054F3F" w14:textId="77777777" w:rsidR="00FC4056" w:rsidRPr="00185AF4" w:rsidRDefault="00FC4056" w:rsidP="00331966">
            <w:pPr>
              <w:pStyle w:val="Tabletext"/>
              <w:rPr>
                <w:rFonts w:cs="Arial"/>
                <w:bCs/>
                <w:iCs/>
                <w:color w:val="AEC12D"/>
                <w:sz w:val="32"/>
                <w:szCs w:val="28"/>
              </w:rPr>
            </w:pPr>
            <w:r w:rsidRPr="00185AF4">
              <w:t>0.0002</w:t>
            </w:r>
          </w:p>
        </w:tc>
        <w:tc>
          <w:tcPr>
            <w:tcW w:w="965" w:type="dxa"/>
            <w:shd w:val="clear" w:color="auto" w:fill="auto"/>
            <w:noWrap/>
            <w:vAlign w:val="bottom"/>
            <w:hideMark/>
          </w:tcPr>
          <w:p w14:paraId="58BDF602" w14:textId="77777777" w:rsidR="00FC4056" w:rsidRPr="00185AF4" w:rsidRDefault="00FC4056" w:rsidP="00331966">
            <w:pPr>
              <w:pStyle w:val="Tabletext"/>
              <w:rPr>
                <w:rFonts w:cs="Arial"/>
                <w:bCs/>
                <w:iCs/>
                <w:color w:val="AEC12D"/>
                <w:sz w:val="32"/>
                <w:szCs w:val="28"/>
              </w:rPr>
            </w:pPr>
            <w:r w:rsidRPr="00185AF4">
              <w:t>0.0002</w:t>
            </w:r>
          </w:p>
        </w:tc>
        <w:tc>
          <w:tcPr>
            <w:tcW w:w="1042" w:type="dxa"/>
            <w:shd w:val="clear" w:color="auto" w:fill="auto"/>
            <w:noWrap/>
            <w:vAlign w:val="bottom"/>
            <w:hideMark/>
          </w:tcPr>
          <w:p w14:paraId="0A938791" w14:textId="77777777" w:rsidR="00FC4056" w:rsidRPr="00185AF4" w:rsidRDefault="00FC4056" w:rsidP="00331966">
            <w:pPr>
              <w:pStyle w:val="Tabletext"/>
              <w:rPr>
                <w:rFonts w:cs="Arial"/>
                <w:bCs/>
                <w:iCs/>
                <w:color w:val="AEC12D"/>
                <w:sz w:val="32"/>
                <w:szCs w:val="28"/>
              </w:rPr>
            </w:pPr>
            <w:r w:rsidRPr="00185AF4">
              <w:t>0.0002</w:t>
            </w:r>
          </w:p>
        </w:tc>
        <w:tc>
          <w:tcPr>
            <w:tcW w:w="888" w:type="dxa"/>
            <w:shd w:val="clear" w:color="auto" w:fill="auto"/>
            <w:noWrap/>
            <w:vAlign w:val="bottom"/>
            <w:hideMark/>
          </w:tcPr>
          <w:p w14:paraId="58C47B2C" w14:textId="77777777" w:rsidR="00FC4056" w:rsidRPr="00185AF4" w:rsidRDefault="00FC4056" w:rsidP="00331966">
            <w:pPr>
              <w:pStyle w:val="Tabletext"/>
              <w:rPr>
                <w:rFonts w:cs="Arial"/>
                <w:bCs/>
                <w:iCs/>
                <w:color w:val="AEC12D"/>
                <w:sz w:val="32"/>
                <w:szCs w:val="28"/>
              </w:rPr>
            </w:pPr>
            <w:r w:rsidRPr="00185AF4">
              <w:t>0.0002</w:t>
            </w:r>
          </w:p>
        </w:tc>
        <w:tc>
          <w:tcPr>
            <w:tcW w:w="1345" w:type="dxa"/>
            <w:shd w:val="clear" w:color="auto" w:fill="auto"/>
            <w:noWrap/>
            <w:vAlign w:val="bottom"/>
            <w:hideMark/>
          </w:tcPr>
          <w:p w14:paraId="04B63B5A"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7C4587B0" w14:textId="77777777" w:rsidTr="00B22A62">
        <w:trPr>
          <w:trHeight w:val="300"/>
        </w:trPr>
        <w:tc>
          <w:tcPr>
            <w:tcW w:w="950" w:type="dxa"/>
            <w:shd w:val="clear" w:color="auto" w:fill="auto"/>
            <w:noWrap/>
            <w:vAlign w:val="bottom"/>
            <w:hideMark/>
          </w:tcPr>
          <w:p w14:paraId="18DB86D7" w14:textId="77777777" w:rsidR="00FC4056" w:rsidRPr="00185AF4" w:rsidRDefault="00FC4056" w:rsidP="00567103">
            <w:pPr>
              <w:pStyle w:val="Tabletext"/>
              <w:rPr>
                <w:rFonts w:cs="Arial"/>
                <w:bCs/>
                <w:iCs/>
                <w:color w:val="AEC12D"/>
                <w:sz w:val="32"/>
                <w:szCs w:val="28"/>
              </w:rPr>
            </w:pPr>
            <w:r w:rsidRPr="00185AF4">
              <w:t>482</w:t>
            </w:r>
          </w:p>
        </w:tc>
        <w:tc>
          <w:tcPr>
            <w:tcW w:w="966" w:type="dxa"/>
            <w:shd w:val="clear" w:color="auto" w:fill="auto"/>
            <w:noWrap/>
            <w:vAlign w:val="bottom"/>
            <w:hideMark/>
          </w:tcPr>
          <w:p w14:paraId="38D09F80" w14:textId="77777777" w:rsidR="00FC4056" w:rsidRPr="00185AF4" w:rsidRDefault="00FC4056" w:rsidP="00331966">
            <w:pPr>
              <w:pStyle w:val="Tabletext"/>
              <w:rPr>
                <w:rFonts w:cs="Arial"/>
                <w:bCs/>
                <w:iCs/>
                <w:color w:val="AEC12D"/>
                <w:sz w:val="32"/>
                <w:szCs w:val="28"/>
              </w:rPr>
            </w:pPr>
            <w:r w:rsidRPr="00185AF4">
              <w:t>0.001</w:t>
            </w:r>
          </w:p>
        </w:tc>
        <w:tc>
          <w:tcPr>
            <w:tcW w:w="1642" w:type="dxa"/>
            <w:shd w:val="clear" w:color="auto" w:fill="auto"/>
            <w:noWrap/>
            <w:vAlign w:val="bottom"/>
            <w:hideMark/>
          </w:tcPr>
          <w:p w14:paraId="3683D096" w14:textId="77777777" w:rsidR="00FC4056" w:rsidRPr="00185AF4" w:rsidRDefault="00FC4056" w:rsidP="00331966">
            <w:pPr>
              <w:pStyle w:val="Tabletext"/>
              <w:rPr>
                <w:rFonts w:cs="Arial"/>
                <w:bCs/>
                <w:iCs/>
                <w:color w:val="AEC12D"/>
                <w:sz w:val="32"/>
                <w:szCs w:val="28"/>
              </w:rPr>
            </w:pPr>
            <w:r w:rsidRPr="00185AF4">
              <w:t>0.001</w:t>
            </w:r>
          </w:p>
        </w:tc>
        <w:tc>
          <w:tcPr>
            <w:tcW w:w="965" w:type="dxa"/>
            <w:shd w:val="clear" w:color="auto" w:fill="auto"/>
            <w:noWrap/>
            <w:vAlign w:val="bottom"/>
            <w:hideMark/>
          </w:tcPr>
          <w:p w14:paraId="79E5D139" w14:textId="77777777" w:rsidR="00FC4056" w:rsidRPr="00185AF4" w:rsidRDefault="00FC4056" w:rsidP="00331966">
            <w:pPr>
              <w:pStyle w:val="Tabletext"/>
              <w:rPr>
                <w:rFonts w:cs="Arial"/>
                <w:bCs/>
                <w:iCs/>
                <w:color w:val="AEC12D"/>
                <w:sz w:val="32"/>
                <w:szCs w:val="28"/>
              </w:rPr>
            </w:pPr>
            <w:r w:rsidRPr="00185AF4">
              <w:t>0.001</w:t>
            </w:r>
          </w:p>
        </w:tc>
        <w:tc>
          <w:tcPr>
            <w:tcW w:w="998" w:type="dxa"/>
            <w:shd w:val="clear" w:color="auto" w:fill="auto"/>
            <w:noWrap/>
            <w:vAlign w:val="bottom"/>
            <w:hideMark/>
          </w:tcPr>
          <w:p w14:paraId="00986388" w14:textId="77777777" w:rsidR="00FC4056" w:rsidRPr="00185AF4" w:rsidRDefault="00FC4056" w:rsidP="00331966">
            <w:pPr>
              <w:pStyle w:val="Tabletext"/>
              <w:rPr>
                <w:rFonts w:cs="Arial"/>
                <w:bCs/>
                <w:iCs/>
                <w:color w:val="AEC12D"/>
                <w:sz w:val="32"/>
                <w:szCs w:val="28"/>
              </w:rPr>
            </w:pPr>
            <w:r w:rsidRPr="00185AF4">
              <w:t>0.001</w:t>
            </w:r>
          </w:p>
        </w:tc>
        <w:tc>
          <w:tcPr>
            <w:tcW w:w="965" w:type="dxa"/>
            <w:shd w:val="clear" w:color="auto" w:fill="auto"/>
            <w:noWrap/>
            <w:vAlign w:val="bottom"/>
            <w:hideMark/>
          </w:tcPr>
          <w:p w14:paraId="712F1A91" w14:textId="77777777" w:rsidR="00FC4056" w:rsidRPr="00185AF4" w:rsidRDefault="00FC4056" w:rsidP="00331966">
            <w:pPr>
              <w:pStyle w:val="Tabletext"/>
              <w:rPr>
                <w:rFonts w:cs="Arial"/>
                <w:bCs/>
                <w:iCs/>
                <w:color w:val="AEC12D"/>
                <w:sz w:val="32"/>
                <w:szCs w:val="28"/>
              </w:rPr>
            </w:pPr>
            <w:r w:rsidRPr="00185AF4">
              <w:t>0.001</w:t>
            </w:r>
          </w:p>
        </w:tc>
        <w:tc>
          <w:tcPr>
            <w:tcW w:w="1042" w:type="dxa"/>
            <w:shd w:val="clear" w:color="auto" w:fill="auto"/>
            <w:noWrap/>
            <w:vAlign w:val="bottom"/>
            <w:hideMark/>
          </w:tcPr>
          <w:p w14:paraId="371B156D" w14:textId="77777777" w:rsidR="00FC4056" w:rsidRPr="00185AF4" w:rsidRDefault="00FC4056" w:rsidP="00331966">
            <w:pPr>
              <w:pStyle w:val="Tabletext"/>
              <w:rPr>
                <w:rFonts w:cs="Arial"/>
                <w:bCs/>
                <w:iCs/>
                <w:color w:val="AEC12D"/>
                <w:sz w:val="32"/>
                <w:szCs w:val="28"/>
              </w:rPr>
            </w:pPr>
            <w:r w:rsidRPr="00185AF4">
              <w:t>0.001</w:t>
            </w:r>
          </w:p>
        </w:tc>
        <w:tc>
          <w:tcPr>
            <w:tcW w:w="888" w:type="dxa"/>
            <w:shd w:val="clear" w:color="auto" w:fill="auto"/>
            <w:noWrap/>
            <w:vAlign w:val="bottom"/>
            <w:hideMark/>
          </w:tcPr>
          <w:p w14:paraId="2511D96E" w14:textId="77777777" w:rsidR="00FC4056" w:rsidRPr="00185AF4" w:rsidRDefault="00FC4056" w:rsidP="00331966">
            <w:pPr>
              <w:pStyle w:val="Tabletext"/>
              <w:rPr>
                <w:rFonts w:cs="Arial"/>
                <w:bCs/>
                <w:iCs/>
                <w:color w:val="AEC12D"/>
                <w:sz w:val="32"/>
                <w:szCs w:val="28"/>
              </w:rPr>
            </w:pPr>
            <w:r w:rsidRPr="00185AF4">
              <w:t>0.001</w:t>
            </w:r>
          </w:p>
        </w:tc>
        <w:tc>
          <w:tcPr>
            <w:tcW w:w="1345" w:type="dxa"/>
            <w:shd w:val="clear" w:color="auto" w:fill="auto"/>
            <w:noWrap/>
            <w:vAlign w:val="bottom"/>
            <w:hideMark/>
          </w:tcPr>
          <w:p w14:paraId="38CF1AD7"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4F1C8167" w14:textId="77777777" w:rsidTr="00B22A62">
        <w:trPr>
          <w:trHeight w:val="300"/>
        </w:trPr>
        <w:tc>
          <w:tcPr>
            <w:tcW w:w="950" w:type="dxa"/>
            <w:shd w:val="clear" w:color="auto" w:fill="auto"/>
            <w:noWrap/>
            <w:vAlign w:val="bottom"/>
            <w:hideMark/>
          </w:tcPr>
          <w:p w14:paraId="1273661F" w14:textId="77777777" w:rsidR="00FC4056" w:rsidRPr="00185AF4" w:rsidRDefault="00FC4056" w:rsidP="00567103">
            <w:pPr>
              <w:pStyle w:val="Tabletext"/>
              <w:rPr>
                <w:rFonts w:cs="Arial"/>
                <w:bCs/>
                <w:iCs/>
                <w:color w:val="AEC12D"/>
                <w:sz w:val="32"/>
                <w:szCs w:val="28"/>
              </w:rPr>
            </w:pPr>
            <w:r w:rsidRPr="00185AF4">
              <w:t>483</w:t>
            </w:r>
          </w:p>
        </w:tc>
        <w:tc>
          <w:tcPr>
            <w:tcW w:w="966" w:type="dxa"/>
            <w:shd w:val="clear" w:color="auto" w:fill="auto"/>
            <w:noWrap/>
            <w:vAlign w:val="bottom"/>
            <w:hideMark/>
          </w:tcPr>
          <w:p w14:paraId="70217E6A" w14:textId="77777777" w:rsidR="00FC4056" w:rsidRPr="00185AF4" w:rsidRDefault="00FC4056" w:rsidP="00331966">
            <w:pPr>
              <w:pStyle w:val="Tabletext"/>
              <w:rPr>
                <w:rFonts w:cs="Arial"/>
                <w:bCs/>
                <w:iCs/>
                <w:color w:val="AEC12D"/>
                <w:sz w:val="32"/>
                <w:szCs w:val="28"/>
              </w:rPr>
            </w:pPr>
            <w:r w:rsidRPr="00185AF4">
              <w:t>0.005</w:t>
            </w:r>
          </w:p>
        </w:tc>
        <w:tc>
          <w:tcPr>
            <w:tcW w:w="1642" w:type="dxa"/>
            <w:shd w:val="clear" w:color="auto" w:fill="auto"/>
            <w:noWrap/>
            <w:vAlign w:val="bottom"/>
            <w:hideMark/>
          </w:tcPr>
          <w:p w14:paraId="4FFB8977" w14:textId="77777777" w:rsidR="00FC4056" w:rsidRPr="00185AF4" w:rsidRDefault="00FC4056" w:rsidP="00331966">
            <w:pPr>
              <w:pStyle w:val="Tabletext"/>
              <w:rPr>
                <w:rFonts w:cs="Arial"/>
                <w:bCs/>
                <w:iCs/>
                <w:color w:val="AEC12D"/>
                <w:sz w:val="32"/>
                <w:szCs w:val="28"/>
              </w:rPr>
            </w:pPr>
            <w:r w:rsidRPr="00185AF4">
              <w:t>0.005</w:t>
            </w:r>
          </w:p>
        </w:tc>
        <w:tc>
          <w:tcPr>
            <w:tcW w:w="965" w:type="dxa"/>
            <w:shd w:val="clear" w:color="auto" w:fill="auto"/>
            <w:noWrap/>
            <w:vAlign w:val="bottom"/>
            <w:hideMark/>
          </w:tcPr>
          <w:p w14:paraId="7FD575B7" w14:textId="77777777" w:rsidR="00FC4056" w:rsidRPr="00185AF4" w:rsidRDefault="00FC4056" w:rsidP="00331966">
            <w:pPr>
              <w:pStyle w:val="Tabletext"/>
              <w:rPr>
                <w:rFonts w:cs="Arial"/>
                <w:bCs/>
                <w:iCs/>
                <w:color w:val="AEC12D"/>
                <w:sz w:val="32"/>
                <w:szCs w:val="28"/>
              </w:rPr>
            </w:pPr>
            <w:r w:rsidRPr="00185AF4">
              <w:t>0.005</w:t>
            </w:r>
          </w:p>
        </w:tc>
        <w:tc>
          <w:tcPr>
            <w:tcW w:w="998" w:type="dxa"/>
            <w:shd w:val="clear" w:color="auto" w:fill="auto"/>
            <w:noWrap/>
            <w:vAlign w:val="bottom"/>
            <w:hideMark/>
          </w:tcPr>
          <w:p w14:paraId="3B11E55E" w14:textId="77777777" w:rsidR="00FC4056" w:rsidRPr="00185AF4" w:rsidRDefault="00FC4056" w:rsidP="00331966">
            <w:pPr>
              <w:pStyle w:val="Tabletext"/>
              <w:rPr>
                <w:rFonts w:cs="Arial"/>
                <w:bCs/>
                <w:iCs/>
                <w:color w:val="AEC12D"/>
                <w:sz w:val="32"/>
                <w:szCs w:val="28"/>
              </w:rPr>
            </w:pPr>
            <w:r w:rsidRPr="00185AF4">
              <w:t>0.005</w:t>
            </w:r>
          </w:p>
        </w:tc>
        <w:tc>
          <w:tcPr>
            <w:tcW w:w="965" w:type="dxa"/>
            <w:shd w:val="clear" w:color="auto" w:fill="auto"/>
            <w:noWrap/>
            <w:vAlign w:val="bottom"/>
            <w:hideMark/>
          </w:tcPr>
          <w:p w14:paraId="3899129A" w14:textId="77777777" w:rsidR="00FC4056" w:rsidRPr="00185AF4" w:rsidRDefault="00FC4056" w:rsidP="00331966">
            <w:pPr>
              <w:pStyle w:val="Tabletext"/>
              <w:rPr>
                <w:rFonts w:cs="Arial"/>
                <w:bCs/>
                <w:iCs/>
                <w:color w:val="AEC12D"/>
                <w:sz w:val="32"/>
                <w:szCs w:val="28"/>
              </w:rPr>
            </w:pPr>
            <w:r w:rsidRPr="00185AF4">
              <w:t>0.005</w:t>
            </w:r>
          </w:p>
        </w:tc>
        <w:tc>
          <w:tcPr>
            <w:tcW w:w="1042" w:type="dxa"/>
            <w:shd w:val="clear" w:color="auto" w:fill="auto"/>
            <w:noWrap/>
            <w:vAlign w:val="bottom"/>
            <w:hideMark/>
          </w:tcPr>
          <w:p w14:paraId="636B7469" w14:textId="77777777" w:rsidR="00FC4056" w:rsidRPr="00185AF4" w:rsidRDefault="00FC4056" w:rsidP="00331966">
            <w:pPr>
              <w:pStyle w:val="Tabletext"/>
              <w:rPr>
                <w:rFonts w:cs="Arial"/>
                <w:bCs/>
                <w:iCs/>
                <w:color w:val="AEC12D"/>
                <w:sz w:val="32"/>
                <w:szCs w:val="28"/>
              </w:rPr>
            </w:pPr>
            <w:r w:rsidRPr="00185AF4">
              <w:t>0.005</w:t>
            </w:r>
          </w:p>
        </w:tc>
        <w:tc>
          <w:tcPr>
            <w:tcW w:w="888" w:type="dxa"/>
            <w:shd w:val="clear" w:color="auto" w:fill="auto"/>
            <w:noWrap/>
            <w:vAlign w:val="bottom"/>
            <w:hideMark/>
          </w:tcPr>
          <w:p w14:paraId="2C5DD183" w14:textId="77777777" w:rsidR="00FC4056" w:rsidRPr="00185AF4" w:rsidRDefault="00FC4056" w:rsidP="00331966">
            <w:pPr>
              <w:pStyle w:val="Tabletext"/>
              <w:rPr>
                <w:rFonts w:cs="Arial"/>
                <w:bCs/>
                <w:iCs/>
                <w:color w:val="AEC12D"/>
                <w:sz w:val="32"/>
                <w:szCs w:val="28"/>
              </w:rPr>
            </w:pPr>
            <w:r w:rsidRPr="00185AF4">
              <w:t>0.005</w:t>
            </w:r>
          </w:p>
        </w:tc>
        <w:tc>
          <w:tcPr>
            <w:tcW w:w="1345" w:type="dxa"/>
            <w:shd w:val="clear" w:color="auto" w:fill="auto"/>
            <w:noWrap/>
            <w:vAlign w:val="bottom"/>
            <w:hideMark/>
          </w:tcPr>
          <w:p w14:paraId="263B619D"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5CB31A0B" w14:textId="77777777" w:rsidTr="00B22A62">
        <w:trPr>
          <w:trHeight w:val="300"/>
        </w:trPr>
        <w:tc>
          <w:tcPr>
            <w:tcW w:w="950" w:type="dxa"/>
            <w:shd w:val="clear" w:color="auto" w:fill="auto"/>
            <w:noWrap/>
            <w:vAlign w:val="bottom"/>
            <w:hideMark/>
          </w:tcPr>
          <w:p w14:paraId="139D1D32" w14:textId="77777777" w:rsidR="00FC4056" w:rsidRPr="00185AF4" w:rsidRDefault="00FC4056" w:rsidP="00567103">
            <w:pPr>
              <w:pStyle w:val="Tabletext"/>
              <w:rPr>
                <w:rFonts w:cs="Arial"/>
                <w:bCs/>
                <w:iCs/>
                <w:color w:val="AEC12D"/>
                <w:sz w:val="32"/>
                <w:szCs w:val="28"/>
              </w:rPr>
            </w:pPr>
            <w:r w:rsidRPr="00185AF4">
              <w:t>514</w:t>
            </w:r>
          </w:p>
        </w:tc>
        <w:tc>
          <w:tcPr>
            <w:tcW w:w="966" w:type="dxa"/>
            <w:shd w:val="clear" w:color="auto" w:fill="auto"/>
            <w:noWrap/>
            <w:vAlign w:val="bottom"/>
            <w:hideMark/>
          </w:tcPr>
          <w:p w14:paraId="0D75B34D" w14:textId="77777777" w:rsidR="00FC4056" w:rsidRPr="00185AF4" w:rsidRDefault="00FC4056" w:rsidP="00331966">
            <w:pPr>
              <w:pStyle w:val="Tabletext"/>
              <w:rPr>
                <w:rFonts w:cs="Arial"/>
                <w:bCs/>
                <w:iCs/>
                <w:color w:val="AEC12D"/>
                <w:sz w:val="32"/>
                <w:szCs w:val="28"/>
              </w:rPr>
            </w:pPr>
            <w:r w:rsidRPr="00185AF4">
              <w:t>0.0003</w:t>
            </w:r>
          </w:p>
        </w:tc>
        <w:tc>
          <w:tcPr>
            <w:tcW w:w="1642" w:type="dxa"/>
            <w:shd w:val="clear" w:color="auto" w:fill="auto"/>
            <w:noWrap/>
            <w:vAlign w:val="bottom"/>
            <w:hideMark/>
          </w:tcPr>
          <w:p w14:paraId="776C43EC" w14:textId="77777777" w:rsidR="00FC4056" w:rsidRPr="00185AF4" w:rsidRDefault="00FC4056" w:rsidP="00331966">
            <w:pPr>
              <w:pStyle w:val="Tabletext"/>
              <w:rPr>
                <w:rFonts w:cs="Arial"/>
                <w:bCs/>
                <w:iCs/>
                <w:color w:val="AEC12D"/>
                <w:sz w:val="32"/>
                <w:szCs w:val="28"/>
              </w:rPr>
            </w:pPr>
            <w:r w:rsidRPr="00185AF4">
              <w:t>0.0003</w:t>
            </w:r>
          </w:p>
        </w:tc>
        <w:tc>
          <w:tcPr>
            <w:tcW w:w="965" w:type="dxa"/>
            <w:shd w:val="clear" w:color="auto" w:fill="auto"/>
            <w:noWrap/>
            <w:vAlign w:val="bottom"/>
            <w:hideMark/>
          </w:tcPr>
          <w:p w14:paraId="0F76A25C" w14:textId="77777777" w:rsidR="00FC4056" w:rsidRPr="00185AF4" w:rsidRDefault="00FC4056" w:rsidP="00331966">
            <w:pPr>
              <w:pStyle w:val="Tabletext"/>
              <w:rPr>
                <w:rFonts w:cs="Arial"/>
                <w:bCs/>
                <w:iCs/>
                <w:color w:val="AEC12D"/>
                <w:sz w:val="32"/>
                <w:szCs w:val="28"/>
              </w:rPr>
            </w:pPr>
            <w:r w:rsidRPr="00185AF4">
              <w:t>0.0003</w:t>
            </w:r>
          </w:p>
        </w:tc>
        <w:tc>
          <w:tcPr>
            <w:tcW w:w="998" w:type="dxa"/>
            <w:shd w:val="clear" w:color="auto" w:fill="auto"/>
            <w:noWrap/>
            <w:vAlign w:val="bottom"/>
            <w:hideMark/>
          </w:tcPr>
          <w:p w14:paraId="553F4D02" w14:textId="77777777" w:rsidR="00FC4056" w:rsidRPr="00185AF4" w:rsidRDefault="00FC4056" w:rsidP="00331966">
            <w:pPr>
              <w:pStyle w:val="Tabletext"/>
              <w:rPr>
                <w:rFonts w:cs="Arial"/>
                <w:bCs/>
                <w:iCs/>
                <w:color w:val="AEC12D"/>
                <w:sz w:val="32"/>
                <w:szCs w:val="28"/>
              </w:rPr>
            </w:pPr>
            <w:r w:rsidRPr="00185AF4">
              <w:t>0.0003</w:t>
            </w:r>
          </w:p>
        </w:tc>
        <w:tc>
          <w:tcPr>
            <w:tcW w:w="965" w:type="dxa"/>
            <w:shd w:val="clear" w:color="auto" w:fill="auto"/>
            <w:noWrap/>
            <w:vAlign w:val="bottom"/>
            <w:hideMark/>
          </w:tcPr>
          <w:p w14:paraId="787A184B" w14:textId="77777777" w:rsidR="00FC4056" w:rsidRPr="00185AF4" w:rsidRDefault="00FC4056" w:rsidP="00331966">
            <w:pPr>
              <w:pStyle w:val="Tabletext"/>
              <w:rPr>
                <w:rFonts w:cs="Arial"/>
                <w:bCs/>
                <w:iCs/>
                <w:color w:val="AEC12D"/>
                <w:sz w:val="32"/>
                <w:szCs w:val="28"/>
              </w:rPr>
            </w:pPr>
            <w:r w:rsidRPr="00185AF4">
              <w:t>0.0003</w:t>
            </w:r>
          </w:p>
        </w:tc>
        <w:tc>
          <w:tcPr>
            <w:tcW w:w="1042" w:type="dxa"/>
            <w:shd w:val="clear" w:color="auto" w:fill="auto"/>
            <w:noWrap/>
            <w:vAlign w:val="bottom"/>
            <w:hideMark/>
          </w:tcPr>
          <w:p w14:paraId="7F02FBE4" w14:textId="77777777" w:rsidR="00FC4056" w:rsidRPr="00185AF4" w:rsidRDefault="00FC4056" w:rsidP="00331966">
            <w:pPr>
              <w:pStyle w:val="Tabletext"/>
              <w:rPr>
                <w:rFonts w:cs="Arial"/>
                <w:bCs/>
                <w:iCs/>
                <w:color w:val="AEC12D"/>
                <w:sz w:val="32"/>
                <w:szCs w:val="28"/>
              </w:rPr>
            </w:pPr>
            <w:r w:rsidRPr="00185AF4">
              <w:t>0.0003</w:t>
            </w:r>
          </w:p>
        </w:tc>
        <w:tc>
          <w:tcPr>
            <w:tcW w:w="888" w:type="dxa"/>
            <w:shd w:val="clear" w:color="auto" w:fill="auto"/>
            <w:noWrap/>
            <w:vAlign w:val="bottom"/>
            <w:hideMark/>
          </w:tcPr>
          <w:p w14:paraId="30864367" w14:textId="77777777" w:rsidR="00FC4056" w:rsidRPr="00185AF4" w:rsidRDefault="00FC4056" w:rsidP="00331966">
            <w:pPr>
              <w:pStyle w:val="Tabletext"/>
              <w:rPr>
                <w:rFonts w:cs="Arial"/>
                <w:bCs/>
                <w:iCs/>
                <w:color w:val="AEC12D"/>
                <w:sz w:val="32"/>
                <w:szCs w:val="28"/>
              </w:rPr>
            </w:pPr>
            <w:r w:rsidRPr="00185AF4">
              <w:t>0.0003</w:t>
            </w:r>
          </w:p>
        </w:tc>
        <w:tc>
          <w:tcPr>
            <w:tcW w:w="1345" w:type="dxa"/>
            <w:shd w:val="clear" w:color="auto" w:fill="auto"/>
            <w:noWrap/>
            <w:vAlign w:val="bottom"/>
            <w:hideMark/>
          </w:tcPr>
          <w:p w14:paraId="29D49DB6" w14:textId="77777777" w:rsidR="00FC4056" w:rsidRPr="00185AF4" w:rsidRDefault="00FC4056" w:rsidP="00567103">
            <w:pPr>
              <w:pStyle w:val="Tabletext"/>
              <w:jc w:val="center"/>
              <w:rPr>
                <w:rFonts w:cs="Arial"/>
                <w:bCs/>
                <w:iCs/>
                <w:color w:val="AEC12D"/>
                <w:sz w:val="32"/>
                <w:szCs w:val="28"/>
              </w:rPr>
            </w:pPr>
            <w:r w:rsidRPr="00185AF4">
              <w:t>csg</w:t>
            </w:r>
          </w:p>
        </w:tc>
      </w:tr>
      <w:tr w:rsidR="00FC4056" w:rsidRPr="00185AF4" w14:paraId="402FB261" w14:textId="77777777" w:rsidTr="00B22A62">
        <w:trPr>
          <w:trHeight w:val="300"/>
        </w:trPr>
        <w:tc>
          <w:tcPr>
            <w:tcW w:w="950" w:type="dxa"/>
            <w:shd w:val="clear" w:color="auto" w:fill="auto"/>
            <w:noWrap/>
            <w:vAlign w:val="bottom"/>
            <w:hideMark/>
          </w:tcPr>
          <w:p w14:paraId="5DFB0A69" w14:textId="77777777" w:rsidR="00FC4056" w:rsidRPr="00185AF4" w:rsidRDefault="00FC4056" w:rsidP="00567103">
            <w:pPr>
              <w:pStyle w:val="Tabletext"/>
              <w:rPr>
                <w:rFonts w:cs="Arial"/>
                <w:bCs/>
                <w:iCs/>
                <w:color w:val="AEC12D"/>
                <w:sz w:val="32"/>
                <w:szCs w:val="28"/>
              </w:rPr>
            </w:pPr>
            <w:r w:rsidRPr="00185AF4">
              <w:t>515</w:t>
            </w:r>
          </w:p>
        </w:tc>
        <w:tc>
          <w:tcPr>
            <w:tcW w:w="966" w:type="dxa"/>
            <w:shd w:val="clear" w:color="auto" w:fill="auto"/>
            <w:noWrap/>
            <w:vAlign w:val="bottom"/>
            <w:hideMark/>
          </w:tcPr>
          <w:p w14:paraId="02CB4600" w14:textId="77777777" w:rsidR="00FC4056" w:rsidRPr="00185AF4" w:rsidRDefault="00FC4056" w:rsidP="00331966">
            <w:pPr>
              <w:pStyle w:val="Tabletext"/>
              <w:rPr>
                <w:rFonts w:cs="Arial"/>
                <w:bCs/>
                <w:iCs/>
                <w:color w:val="AEC12D"/>
                <w:sz w:val="32"/>
                <w:szCs w:val="28"/>
              </w:rPr>
            </w:pPr>
            <w:r w:rsidRPr="00185AF4">
              <w:t>0.0008</w:t>
            </w:r>
          </w:p>
        </w:tc>
        <w:tc>
          <w:tcPr>
            <w:tcW w:w="1642" w:type="dxa"/>
            <w:shd w:val="clear" w:color="auto" w:fill="auto"/>
            <w:noWrap/>
            <w:vAlign w:val="bottom"/>
            <w:hideMark/>
          </w:tcPr>
          <w:p w14:paraId="4B491809" w14:textId="77777777" w:rsidR="00FC4056" w:rsidRPr="00185AF4" w:rsidRDefault="00FC4056" w:rsidP="00331966">
            <w:pPr>
              <w:pStyle w:val="Tabletext"/>
              <w:rPr>
                <w:rFonts w:cs="Arial"/>
                <w:bCs/>
                <w:iCs/>
                <w:color w:val="AEC12D"/>
                <w:sz w:val="32"/>
                <w:szCs w:val="28"/>
              </w:rPr>
            </w:pPr>
            <w:r w:rsidRPr="00185AF4">
              <w:t>0.0008</w:t>
            </w:r>
          </w:p>
        </w:tc>
        <w:tc>
          <w:tcPr>
            <w:tcW w:w="965" w:type="dxa"/>
            <w:shd w:val="clear" w:color="auto" w:fill="auto"/>
            <w:noWrap/>
            <w:vAlign w:val="bottom"/>
            <w:hideMark/>
          </w:tcPr>
          <w:p w14:paraId="4E2BE74A" w14:textId="77777777" w:rsidR="00FC4056" w:rsidRPr="00185AF4" w:rsidRDefault="00FC4056" w:rsidP="00331966">
            <w:pPr>
              <w:pStyle w:val="Tabletext"/>
              <w:rPr>
                <w:rFonts w:cs="Arial"/>
                <w:bCs/>
                <w:iCs/>
                <w:color w:val="AEC12D"/>
                <w:sz w:val="32"/>
                <w:szCs w:val="28"/>
              </w:rPr>
            </w:pPr>
            <w:r w:rsidRPr="00185AF4">
              <w:t>0.0008</w:t>
            </w:r>
          </w:p>
        </w:tc>
        <w:tc>
          <w:tcPr>
            <w:tcW w:w="998" w:type="dxa"/>
            <w:shd w:val="clear" w:color="auto" w:fill="auto"/>
            <w:noWrap/>
            <w:vAlign w:val="bottom"/>
            <w:hideMark/>
          </w:tcPr>
          <w:p w14:paraId="0554E072" w14:textId="77777777" w:rsidR="00FC4056" w:rsidRPr="00185AF4" w:rsidRDefault="00FC4056" w:rsidP="00331966">
            <w:pPr>
              <w:pStyle w:val="Tabletext"/>
              <w:rPr>
                <w:rFonts w:cs="Arial"/>
                <w:bCs/>
                <w:iCs/>
                <w:color w:val="AEC12D"/>
                <w:sz w:val="32"/>
                <w:szCs w:val="28"/>
              </w:rPr>
            </w:pPr>
            <w:r w:rsidRPr="00185AF4">
              <w:t>0.0008</w:t>
            </w:r>
          </w:p>
        </w:tc>
        <w:tc>
          <w:tcPr>
            <w:tcW w:w="965" w:type="dxa"/>
            <w:shd w:val="clear" w:color="auto" w:fill="auto"/>
            <w:noWrap/>
            <w:vAlign w:val="bottom"/>
            <w:hideMark/>
          </w:tcPr>
          <w:p w14:paraId="243331BC" w14:textId="77777777" w:rsidR="00FC4056" w:rsidRPr="00185AF4" w:rsidRDefault="00FC4056" w:rsidP="00331966">
            <w:pPr>
              <w:pStyle w:val="Tabletext"/>
            </w:pPr>
            <w:r w:rsidRPr="00185AF4">
              <w:t>0.0008</w:t>
            </w:r>
          </w:p>
        </w:tc>
        <w:tc>
          <w:tcPr>
            <w:tcW w:w="1042" w:type="dxa"/>
            <w:shd w:val="clear" w:color="auto" w:fill="auto"/>
            <w:noWrap/>
            <w:vAlign w:val="bottom"/>
            <w:hideMark/>
          </w:tcPr>
          <w:p w14:paraId="5B07B53D" w14:textId="77777777" w:rsidR="00FC4056" w:rsidRPr="00185AF4" w:rsidRDefault="00FC4056" w:rsidP="00331966">
            <w:pPr>
              <w:pStyle w:val="Tabletext"/>
              <w:rPr>
                <w:rFonts w:cs="Arial"/>
                <w:bCs/>
                <w:iCs/>
                <w:color w:val="AEC12D"/>
                <w:sz w:val="32"/>
                <w:szCs w:val="28"/>
              </w:rPr>
            </w:pPr>
            <w:r w:rsidRPr="00185AF4">
              <w:t>0.0008</w:t>
            </w:r>
          </w:p>
        </w:tc>
        <w:tc>
          <w:tcPr>
            <w:tcW w:w="888" w:type="dxa"/>
            <w:shd w:val="clear" w:color="auto" w:fill="auto"/>
            <w:noWrap/>
            <w:vAlign w:val="bottom"/>
            <w:hideMark/>
          </w:tcPr>
          <w:p w14:paraId="51C0CAFD" w14:textId="77777777" w:rsidR="00FC4056" w:rsidRPr="00185AF4" w:rsidRDefault="00FC4056" w:rsidP="00331966">
            <w:pPr>
              <w:pStyle w:val="Tabletext"/>
              <w:rPr>
                <w:rFonts w:cs="Arial"/>
                <w:bCs/>
                <w:iCs/>
                <w:color w:val="AEC12D"/>
                <w:sz w:val="32"/>
                <w:szCs w:val="28"/>
              </w:rPr>
            </w:pPr>
            <w:r w:rsidRPr="00185AF4">
              <w:t>0.0008</w:t>
            </w:r>
          </w:p>
        </w:tc>
        <w:tc>
          <w:tcPr>
            <w:tcW w:w="1345" w:type="dxa"/>
            <w:shd w:val="clear" w:color="auto" w:fill="auto"/>
            <w:noWrap/>
            <w:vAlign w:val="bottom"/>
            <w:hideMark/>
          </w:tcPr>
          <w:p w14:paraId="6C381FFA" w14:textId="77777777" w:rsidR="00FC4056" w:rsidRPr="00185AF4" w:rsidRDefault="00FC4056" w:rsidP="00567103">
            <w:pPr>
              <w:pStyle w:val="Tabletext"/>
              <w:jc w:val="center"/>
              <w:rPr>
                <w:rFonts w:cs="Arial"/>
                <w:bCs/>
                <w:iCs/>
                <w:color w:val="AEC12D"/>
                <w:sz w:val="32"/>
                <w:szCs w:val="28"/>
              </w:rPr>
            </w:pPr>
            <w:r w:rsidRPr="00185AF4">
              <w:t>csg</w:t>
            </w:r>
          </w:p>
        </w:tc>
      </w:tr>
    </w:tbl>
    <w:p w14:paraId="73E65032" w14:textId="77777777" w:rsidR="00567103" w:rsidRPr="00567103" w:rsidRDefault="00567103" w:rsidP="00567103">
      <w:bookmarkStart w:id="1140" w:name="_Toc420568749"/>
      <w:bookmarkStart w:id="1141" w:name="_Toc420571531"/>
      <w:bookmarkStart w:id="1142" w:name="_Toc420572213"/>
      <w:bookmarkStart w:id="1143" w:name="_Toc296767015"/>
    </w:p>
    <w:p w14:paraId="6E1A239F" w14:textId="5AD6F4A3" w:rsidR="00FC4056" w:rsidRDefault="00FC4056" w:rsidP="00567103">
      <w:pPr>
        <w:pStyle w:val="Heading4"/>
      </w:pPr>
      <w:r>
        <w:t>Sensitivity of the results to boundary condition</w:t>
      </w:r>
      <w:bookmarkEnd w:id="1140"/>
      <w:bookmarkEnd w:id="1141"/>
      <w:bookmarkEnd w:id="1142"/>
      <w:bookmarkEnd w:id="1143"/>
    </w:p>
    <w:p w14:paraId="4AF60F41" w14:textId="77777777" w:rsidR="00FC4056" w:rsidRDefault="00FC4056">
      <w:r>
        <w:t xml:space="preserve">As described above, in developing the block model approach a decision about the degree of connection with the “outside” aquifer was taken. A constant head boundary was chosen to represent the ability for the regional aquifer to contribute flow. The choice of a constant head boundary condition has the effect of reducing the drawdown compared with a no flow boundary or some other form of restriction to flow. </w:t>
      </w:r>
    </w:p>
    <w:p w14:paraId="5CB412FE" w14:textId="77777777" w:rsidR="00FC4056" w:rsidRDefault="00FC4056">
      <w:r>
        <w:t>To help assess the sensitivity of the effect of the boundary condition on the calculation of drawdown for a given set of aquifer properties the model was run with no flow boundaries and maintaining no recharge or infiltration processes. For no-flow boundaries around the edge of the models and no compensatory recharge from rainfall or surface water each block acts as a “bucket” of water that is never topped up by the usual groundwater processes. This provides an absolute upper end estimate of the water table drawdown.</w:t>
      </w:r>
      <w:r w:rsidDel="0072611D">
        <w:t xml:space="preserve"> </w:t>
      </w:r>
      <w:r>
        <w:t>This is considered to be quite extreme</w:t>
      </w:r>
      <w:r w:rsidRPr="0072611D">
        <w:t xml:space="preserve"> </w:t>
      </w:r>
      <w:r>
        <w:t>as lateral flow to all aquifer layers is likely because of the way in which the gas source pressure head has been defined and because the aquifer areas have lateral connection.</w:t>
      </w:r>
    </w:p>
    <w:p w14:paraId="03498713" w14:textId="77777777" w:rsidR="00FC4056" w:rsidRDefault="00FC4056">
      <w:r>
        <w:t>The drawdown for the no flow condition is presented in the following tables for each gas source.</w:t>
      </w:r>
    </w:p>
    <w:p w14:paraId="36CF8D7D" w14:textId="4CEB366B" w:rsidR="00FC4056" w:rsidRDefault="00FC4056">
      <w:r>
        <w:t>These results indicate that even with the most conservative of assumptions none of the drawdowns predicted would be above moderate effect</w:t>
      </w:r>
      <w:r w:rsidR="008573A4">
        <w:t xml:space="preserve">. </w:t>
      </w:r>
      <w:r>
        <w:t>All are less than 2 metres at the watertable aquifer.</w:t>
      </w:r>
    </w:p>
    <w:p w14:paraId="5373C6FC" w14:textId="77777777" w:rsidR="00FC4056" w:rsidRDefault="00FC4056"/>
    <w:p w14:paraId="01AAF54B" w14:textId="77777777" w:rsidR="00162B6E" w:rsidRDefault="00162B6E"/>
    <w:p w14:paraId="445D49BA" w14:textId="22E46BDA" w:rsidR="00B22A62" w:rsidRDefault="00B22A62">
      <w:pPr>
        <w:spacing w:after="200"/>
      </w:pPr>
      <w:r>
        <w:br w:type="page"/>
      </w:r>
    </w:p>
    <w:p w14:paraId="1BA58279" w14:textId="7D3C9141" w:rsidR="00FC4056" w:rsidRPr="00FB0996" w:rsidRDefault="00FC4056" w:rsidP="00B22A62">
      <w:pPr>
        <w:pStyle w:val="Tableheading"/>
        <w:rPr>
          <w:i/>
          <w:lang w:val="en-US" w:eastAsia="en-US"/>
        </w:rPr>
      </w:pPr>
      <w:r w:rsidRPr="00FB0996">
        <w:rPr>
          <w:lang w:val="en-US" w:eastAsia="en-US"/>
        </w:rPr>
        <w:t xml:space="preserve">Table </w:t>
      </w:r>
      <w:r w:rsidR="0005290A" w:rsidRPr="00FB0996">
        <w:rPr>
          <w:lang w:val="en-US" w:eastAsia="en-US"/>
        </w:rPr>
        <w:t>B</w:t>
      </w:r>
      <w:r w:rsidR="00FB0996" w:rsidRPr="00FB0996">
        <w:rPr>
          <w:lang w:val="en-US" w:eastAsia="en-US"/>
        </w:rPr>
        <w:t>4:</w:t>
      </w:r>
      <w:r w:rsidRPr="00FB0996">
        <w:rPr>
          <w:lang w:val="en-US" w:eastAsia="en-US"/>
        </w:rPr>
        <w:t xml:space="preserve"> </w:t>
      </w:r>
      <w:r w:rsidR="00331966">
        <w:rPr>
          <w:lang w:val="en-US" w:eastAsia="en-US"/>
        </w:rPr>
        <w:t xml:space="preserve"> </w:t>
      </w:r>
      <w:r w:rsidRPr="00FB0996">
        <w:rPr>
          <w:lang w:val="en-US" w:eastAsia="en-US"/>
        </w:rPr>
        <w:t>Drawdown in metres after 30 years with no-flow boundary condition on aquifers, coal seam gas case</w:t>
      </w:r>
      <w:r w:rsidR="00331966">
        <w:rPr>
          <w:lang w:val="en-US" w:eastAsia="en-US"/>
        </w:rPr>
        <w:t>.</w:t>
      </w:r>
    </w:p>
    <w:tbl>
      <w:tblPr>
        <w:tblW w:w="9854" w:type="dxa"/>
        <w:tblBorders>
          <w:bottom w:val="single" w:sz="4" w:space="0" w:color="005A97"/>
          <w:insideH w:val="single" w:sz="4" w:space="0" w:color="005A97"/>
          <w:insideV w:val="single" w:sz="4" w:space="0" w:color="005A97"/>
        </w:tblBorders>
        <w:tblLayout w:type="fixed"/>
        <w:tblCellMar>
          <w:left w:w="0" w:type="dxa"/>
          <w:right w:w="0" w:type="dxa"/>
        </w:tblCellMar>
        <w:tblLook w:val="04A0" w:firstRow="1" w:lastRow="0" w:firstColumn="1" w:lastColumn="0" w:noHBand="0" w:noVBand="1"/>
      </w:tblPr>
      <w:tblGrid>
        <w:gridCol w:w="1122"/>
        <w:gridCol w:w="1033"/>
        <w:gridCol w:w="2212"/>
        <w:gridCol w:w="1097"/>
        <w:gridCol w:w="1097"/>
        <w:gridCol w:w="1098"/>
        <w:gridCol w:w="1097"/>
        <w:gridCol w:w="1098"/>
      </w:tblGrid>
      <w:tr w:rsidR="00B22A62" w14:paraId="20D6CFDE" w14:textId="77777777" w:rsidTr="00B22A62">
        <w:tc>
          <w:tcPr>
            <w:tcW w:w="1122" w:type="dxa"/>
            <w:tcBorders>
              <w:top w:val="nil"/>
              <w:right w:val="single" w:sz="4" w:space="0" w:color="FFFFFF"/>
            </w:tcBorders>
            <w:shd w:val="clear" w:color="auto" w:fill="005A97"/>
            <w:noWrap/>
            <w:tcMar>
              <w:top w:w="0" w:type="dxa"/>
              <w:left w:w="108" w:type="dxa"/>
              <w:bottom w:w="0" w:type="dxa"/>
              <w:right w:w="108" w:type="dxa"/>
            </w:tcMar>
            <w:hideMark/>
          </w:tcPr>
          <w:p w14:paraId="6DD8DB9D" w14:textId="77777777" w:rsidR="00FC4056" w:rsidRDefault="00FC4056" w:rsidP="00B22A62">
            <w:pPr>
              <w:pStyle w:val="TableHeaderrow"/>
              <w:rPr>
                <w:rFonts w:eastAsiaTheme="minorHAnsi" w:cs="Arial"/>
                <w:iCs/>
                <w:color w:val="AEC12D"/>
                <w:sz w:val="32"/>
                <w:szCs w:val="28"/>
              </w:rPr>
            </w:pPr>
            <w:r>
              <w:t>Bloc_ID</w:t>
            </w:r>
          </w:p>
        </w:tc>
        <w:tc>
          <w:tcPr>
            <w:tcW w:w="1033"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336E0468" w14:textId="77777777" w:rsidR="00FC4056" w:rsidRDefault="00FC4056" w:rsidP="00B22A62">
            <w:pPr>
              <w:pStyle w:val="TableHeaderrow"/>
              <w:rPr>
                <w:rFonts w:eastAsiaTheme="minorHAnsi" w:cs="Arial"/>
                <w:iCs/>
                <w:color w:val="AEC12D"/>
                <w:sz w:val="32"/>
                <w:szCs w:val="28"/>
              </w:rPr>
            </w:pPr>
            <w:r>
              <w:t>Dilwyn (Aq111)</w:t>
            </w:r>
          </w:p>
        </w:tc>
        <w:tc>
          <w:tcPr>
            <w:tcW w:w="2212"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1EABD2B0" w14:textId="77777777" w:rsidR="00FC4056" w:rsidRDefault="00FC4056" w:rsidP="00B22A62">
            <w:pPr>
              <w:pStyle w:val="TableHeaderrow"/>
              <w:rPr>
                <w:rFonts w:eastAsiaTheme="minorHAnsi" w:cs="Arial"/>
                <w:iCs/>
                <w:color w:val="AEC12D"/>
                <w:sz w:val="32"/>
                <w:szCs w:val="28"/>
              </w:rPr>
            </w:pPr>
            <w:r>
              <w:t>Mepunga Form. / Older Volc (Aq111/Aq112)</w:t>
            </w:r>
          </w:p>
        </w:tc>
        <w:tc>
          <w:tcPr>
            <w:tcW w:w="1097"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40BE79A9" w14:textId="77777777" w:rsidR="00FC4056" w:rsidRDefault="00FC4056" w:rsidP="00B22A62">
            <w:pPr>
              <w:pStyle w:val="TableHeaderrow"/>
              <w:rPr>
                <w:rFonts w:eastAsiaTheme="minorHAnsi" w:cs="Arial"/>
                <w:iCs/>
                <w:color w:val="AEC12D"/>
                <w:sz w:val="32"/>
                <w:szCs w:val="28"/>
              </w:rPr>
            </w:pPr>
            <w:r>
              <w:t>Clifton From. (Aq 109)</w:t>
            </w:r>
          </w:p>
        </w:tc>
        <w:tc>
          <w:tcPr>
            <w:tcW w:w="1097"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664E2C6C" w14:textId="77777777" w:rsidR="00FC4056" w:rsidRDefault="00FC4056" w:rsidP="00B22A62">
            <w:pPr>
              <w:pStyle w:val="TableHeaderrow"/>
              <w:rPr>
                <w:rFonts w:eastAsiaTheme="minorHAnsi" w:cs="Arial"/>
                <w:iCs/>
                <w:color w:val="AEC12D"/>
                <w:sz w:val="32"/>
                <w:szCs w:val="28"/>
              </w:rPr>
            </w:pPr>
            <w:r>
              <w:t>Port Campbell (Aq107)</w:t>
            </w:r>
          </w:p>
        </w:tc>
        <w:tc>
          <w:tcPr>
            <w:tcW w:w="1098"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600B17E1" w14:textId="77777777" w:rsidR="00FC4056" w:rsidRDefault="00FC4056" w:rsidP="00B22A62">
            <w:pPr>
              <w:pStyle w:val="TableHeaderrow"/>
              <w:rPr>
                <w:rFonts w:eastAsiaTheme="minorHAnsi" w:cs="Arial"/>
                <w:iCs/>
                <w:color w:val="AEC12D"/>
                <w:sz w:val="32"/>
                <w:szCs w:val="28"/>
              </w:rPr>
            </w:pPr>
            <w:r>
              <w:t>Aq100</w:t>
            </w:r>
          </w:p>
        </w:tc>
        <w:tc>
          <w:tcPr>
            <w:tcW w:w="1097"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249FFB1E" w14:textId="77777777" w:rsidR="00FC4056" w:rsidRDefault="00FC4056" w:rsidP="00B22A62">
            <w:pPr>
              <w:pStyle w:val="TableHeaderrow"/>
              <w:rPr>
                <w:rFonts w:eastAsiaTheme="minorHAnsi" w:cs="Arial"/>
                <w:iCs/>
                <w:color w:val="AEC12D"/>
                <w:sz w:val="32"/>
                <w:szCs w:val="28"/>
              </w:rPr>
            </w:pPr>
            <w:r>
              <w:t>Aq101</w:t>
            </w:r>
          </w:p>
        </w:tc>
        <w:tc>
          <w:tcPr>
            <w:tcW w:w="1098" w:type="dxa"/>
            <w:tcBorders>
              <w:top w:val="nil"/>
              <w:left w:val="single" w:sz="4" w:space="0" w:color="FFFFFF"/>
            </w:tcBorders>
            <w:shd w:val="clear" w:color="auto" w:fill="005A97"/>
            <w:noWrap/>
            <w:tcMar>
              <w:top w:w="0" w:type="dxa"/>
              <w:left w:w="108" w:type="dxa"/>
              <w:bottom w:w="0" w:type="dxa"/>
              <w:right w:w="108" w:type="dxa"/>
            </w:tcMar>
            <w:hideMark/>
          </w:tcPr>
          <w:p w14:paraId="2871625A" w14:textId="77777777" w:rsidR="00FC4056" w:rsidRDefault="00FC4056" w:rsidP="00B22A62">
            <w:pPr>
              <w:pStyle w:val="TableHeaderrow"/>
              <w:rPr>
                <w:rFonts w:eastAsiaTheme="minorHAnsi" w:cs="Arial"/>
                <w:iCs/>
                <w:color w:val="AEC12D"/>
                <w:sz w:val="32"/>
                <w:szCs w:val="28"/>
              </w:rPr>
            </w:pPr>
            <w:r>
              <w:t>Aq104</w:t>
            </w:r>
          </w:p>
        </w:tc>
      </w:tr>
      <w:tr w:rsidR="00B22A62" w14:paraId="7FB4BCBA" w14:textId="77777777" w:rsidTr="00B22A62">
        <w:tc>
          <w:tcPr>
            <w:tcW w:w="1122" w:type="dxa"/>
            <w:noWrap/>
            <w:tcMar>
              <w:top w:w="0" w:type="dxa"/>
              <w:left w:w="108" w:type="dxa"/>
              <w:bottom w:w="0" w:type="dxa"/>
              <w:right w:w="108" w:type="dxa"/>
            </w:tcMar>
            <w:vAlign w:val="center"/>
            <w:hideMark/>
          </w:tcPr>
          <w:p w14:paraId="6BF141D3" w14:textId="77777777" w:rsidR="00FC4056" w:rsidRDefault="00FC4056" w:rsidP="00331966">
            <w:pPr>
              <w:pStyle w:val="Tabletext"/>
              <w:rPr>
                <w:rFonts w:eastAsiaTheme="minorHAnsi" w:cs="Arial"/>
                <w:bCs/>
                <w:iCs/>
                <w:color w:val="AEC12D"/>
                <w:sz w:val="32"/>
                <w:szCs w:val="28"/>
              </w:rPr>
            </w:pPr>
            <w:r>
              <w:t>516</w:t>
            </w:r>
          </w:p>
        </w:tc>
        <w:tc>
          <w:tcPr>
            <w:tcW w:w="1033" w:type="dxa"/>
            <w:noWrap/>
            <w:tcMar>
              <w:top w:w="0" w:type="dxa"/>
              <w:left w:w="108" w:type="dxa"/>
              <w:bottom w:w="0" w:type="dxa"/>
              <w:right w:w="108" w:type="dxa"/>
            </w:tcMar>
            <w:vAlign w:val="center"/>
            <w:hideMark/>
          </w:tcPr>
          <w:p w14:paraId="2177351D" w14:textId="77777777" w:rsidR="00FC4056" w:rsidRDefault="00FC4056" w:rsidP="00331966">
            <w:pPr>
              <w:pStyle w:val="Tabletext"/>
              <w:rPr>
                <w:rFonts w:eastAsiaTheme="minorHAnsi" w:cs="Arial"/>
                <w:bCs/>
                <w:iCs/>
                <w:color w:val="AEC12D"/>
                <w:sz w:val="32"/>
                <w:szCs w:val="28"/>
              </w:rPr>
            </w:pPr>
            <w:r>
              <w:t>0.01</w:t>
            </w:r>
          </w:p>
        </w:tc>
        <w:tc>
          <w:tcPr>
            <w:tcW w:w="2212" w:type="dxa"/>
            <w:noWrap/>
            <w:tcMar>
              <w:top w:w="0" w:type="dxa"/>
              <w:left w:w="108" w:type="dxa"/>
              <w:bottom w:w="0" w:type="dxa"/>
              <w:right w:w="108" w:type="dxa"/>
            </w:tcMar>
            <w:vAlign w:val="center"/>
            <w:hideMark/>
          </w:tcPr>
          <w:p w14:paraId="753D5DF1"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4E49E089"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0337B686"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0B61E27D"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453A848B"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70FB9CA1" w14:textId="77777777" w:rsidR="00FC4056" w:rsidRDefault="00FC4056" w:rsidP="00331966">
            <w:pPr>
              <w:pStyle w:val="Tabletext"/>
              <w:rPr>
                <w:rFonts w:eastAsiaTheme="minorHAnsi" w:cs="Arial"/>
                <w:bCs/>
                <w:iCs/>
                <w:color w:val="AEC12D"/>
                <w:sz w:val="32"/>
                <w:szCs w:val="28"/>
              </w:rPr>
            </w:pPr>
            <w:r>
              <w:t>0.01</w:t>
            </w:r>
          </w:p>
        </w:tc>
      </w:tr>
      <w:tr w:rsidR="00B22A62" w14:paraId="045B310C" w14:textId="77777777" w:rsidTr="00B22A62">
        <w:tc>
          <w:tcPr>
            <w:tcW w:w="1122" w:type="dxa"/>
            <w:noWrap/>
            <w:tcMar>
              <w:top w:w="0" w:type="dxa"/>
              <w:left w:w="108" w:type="dxa"/>
              <w:bottom w:w="0" w:type="dxa"/>
              <w:right w:w="108" w:type="dxa"/>
            </w:tcMar>
            <w:vAlign w:val="center"/>
            <w:hideMark/>
          </w:tcPr>
          <w:p w14:paraId="53B92F85" w14:textId="77777777" w:rsidR="00FC4056" w:rsidRDefault="00FC4056" w:rsidP="00331966">
            <w:pPr>
              <w:pStyle w:val="Tabletext"/>
              <w:rPr>
                <w:rFonts w:eastAsiaTheme="minorHAnsi" w:cs="Arial"/>
                <w:bCs/>
                <w:iCs/>
                <w:color w:val="AEC12D"/>
                <w:sz w:val="32"/>
                <w:szCs w:val="28"/>
              </w:rPr>
            </w:pPr>
            <w:r>
              <w:t>548</w:t>
            </w:r>
          </w:p>
        </w:tc>
        <w:tc>
          <w:tcPr>
            <w:tcW w:w="1033" w:type="dxa"/>
            <w:noWrap/>
            <w:tcMar>
              <w:top w:w="0" w:type="dxa"/>
              <w:left w:w="108" w:type="dxa"/>
              <w:bottom w:w="0" w:type="dxa"/>
              <w:right w:w="108" w:type="dxa"/>
            </w:tcMar>
            <w:vAlign w:val="center"/>
            <w:hideMark/>
          </w:tcPr>
          <w:p w14:paraId="0260D637" w14:textId="77777777" w:rsidR="00FC4056" w:rsidRDefault="00FC4056" w:rsidP="00331966">
            <w:pPr>
              <w:pStyle w:val="Tabletext"/>
              <w:rPr>
                <w:rFonts w:eastAsiaTheme="minorHAnsi" w:cs="Arial"/>
                <w:bCs/>
                <w:iCs/>
                <w:color w:val="AEC12D"/>
                <w:sz w:val="32"/>
                <w:szCs w:val="28"/>
              </w:rPr>
            </w:pPr>
            <w:r>
              <w:t>0.01</w:t>
            </w:r>
          </w:p>
        </w:tc>
        <w:tc>
          <w:tcPr>
            <w:tcW w:w="2212" w:type="dxa"/>
            <w:noWrap/>
            <w:tcMar>
              <w:top w:w="0" w:type="dxa"/>
              <w:left w:w="108" w:type="dxa"/>
              <w:bottom w:w="0" w:type="dxa"/>
              <w:right w:w="108" w:type="dxa"/>
            </w:tcMar>
            <w:vAlign w:val="center"/>
            <w:hideMark/>
          </w:tcPr>
          <w:p w14:paraId="5806A7BD"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125DDA80" w14:textId="77777777" w:rsidR="00FC4056" w:rsidRDefault="00FC4056" w:rsidP="00331966">
            <w:pPr>
              <w:pStyle w:val="Tabletext"/>
              <w:rPr>
                <w:rFonts w:eastAsiaTheme="minorHAnsi"/>
              </w:rPr>
            </w:pPr>
            <w:r>
              <w:t>0.01</w:t>
            </w:r>
          </w:p>
        </w:tc>
        <w:tc>
          <w:tcPr>
            <w:tcW w:w="1097" w:type="dxa"/>
            <w:noWrap/>
            <w:tcMar>
              <w:top w:w="0" w:type="dxa"/>
              <w:left w:w="108" w:type="dxa"/>
              <w:bottom w:w="0" w:type="dxa"/>
              <w:right w:w="108" w:type="dxa"/>
            </w:tcMar>
            <w:vAlign w:val="center"/>
            <w:hideMark/>
          </w:tcPr>
          <w:p w14:paraId="35942D01"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108F444D"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633BF5A4"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0E4B9336" w14:textId="77777777" w:rsidR="00FC4056" w:rsidRDefault="00FC4056" w:rsidP="00331966">
            <w:pPr>
              <w:pStyle w:val="Tabletext"/>
              <w:rPr>
                <w:rFonts w:eastAsiaTheme="minorHAnsi" w:cs="Arial"/>
                <w:bCs/>
                <w:iCs/>
                <w:color w:val="AEC12D"/>
                <w:sz w:val="32"/>
                <w:szCs w:val="28"/>
              </w:rPr>
            </w:pPr>
            <w:r>
              <w:t>0.01</w:t>
            </w:r>
          </w:p>
        </w:tc>
      </w:tr>
      <w:tr w:rsidR="00B22A62" w14:paraId="0F66DBBE" w14:textId="77777777" w:rsidTr="00B22A62">
        <w:tc>
          <w:tcPr>
            <w:tcW w:w="1122" w:type="dxa"/>
            <w:noWrap/>
            <w:tcMar>
              <w:top w:w="0" w:type="dxa"/>
              <w:left w:w="108" w:type="dxa"/>
              <w:bottom w:w="0" w:type="dxa"/>
              <w:right w:w="108" w:type="dxa"/>
            </w:tcMar>
            <w:vAlign w:val="center"/>
            <w:hideMark/>
          </w:tcPr>
          <w:p w14:paraId="39755634" w14:textId="77777777" w:rsidR="00FC4056" w:rsidRDefault="00FC4056" w:rsidP="00331966">
            <w:pPr>
              <w:pStyle w:val="Tabletext"/>
              <w:rPr>
                <w:rFonts w:eastAsiaTheme="minorHAnsi" w:cs="Arial"/>
                <w:bCs/>
                <w:iCs/>
                <w:color w:val="AEC12D"/>
                <w:sz w:val="32"/>
                <w:szCs w:val="28"/>
              </w:rPr>
            </w:pPr>
            <w:r>
              <w:t>227</w:t>
            </w:r>
          </w:p>
        </w:tc>
        <w:tc>
          <w:tcPr>
            <w:tcW w:w="1033" w:type="dxa"/>
            <w:noWrap/>
            <w:tcMar>
              <w:top w:w="0" w:type="dxa"/>
              <w:left w:w="108" w:type="dxa"/>
              <w:bottom w:w="0" w:type="dxa"/>
              <w:right w:w="108" w:type="dxa"/>
            </w:tcMar>
            <w:vAlign w:val="center"/>
            <w:hideMark/>
          </w:tcPr>
          <w:p w14:paraId="6578CF3F" w14:textId="77777777" w:rsidR="00FC4056" w:rsidRDefault="00FC4056" w:rsidP="00331966">
            <w:pPr>
              <w:pStyle w:val="Tabletext"/>
              <w:rPr>
                <w:rFonts w:eastAsiaTheme="minorHAnsi" w:cs="Arial"/>
                <w:bCs/>
                <w:iCs/>
                <w:color w:val="AEC12D"/>
                <w:sz w:val="32"/>
                <w:szCs w:val="28"/>
              </w:rPr>
            </w:pPr>
            <w:r>
              <w:t>0.006</w:t>
            </w:r>
          </w:p>
        </w:tc>
        <w:tc>
          <w:tcPr>
            <w:tcW w:w="2212" w:type="dxa"/>
            <w:noWrap/>
            <w:tcMar>
              <w:top w:w="0" w:type="dxa"/>
              <w:left w:w="108" w:type="dxa"/>
              <w:bottom w:w="0" w:type="dxa"/>
              <w:right w:w="108" w:type="dxa"/>
            </w:tcMar>
            <w:vAlign w:val="center"/>
            <w:hideMark/>
          </w:tcPr>
          <w:p w14:paraId="66B3933A" w14:textId="77777777" w:rsidR="00FC4056" w:rsidRDefault="00FC4056" w:rsidP="00331966">
            <w:pPr>
              <w:pStyle w:val="Tabletext"/>
              <w:rPr>
                <w:rFonts w:eastAsiaTheme="minorHAnsi" w:cs="Arial"/>
                <w:bCs/>
                <w:iCs/>
                <w:color w:val="AEC12D"/>
                <w:sz w:val="32"/>
                <w:szCs w:val="28"/>
              </w:rPr>
            </w:pPr>
            <w:r>
              <w:t>0.006</w:t>
            </w:r>
          </w:p>
        </w:tc>
        <w:tc>
          <w:tcPr>
            <w:tcW w:w="1097" w:type="dxa"/>
            <w:noWrap/>
            <w:tcMar>
              <w:top w:w="0" w:type="dxa"/>
              <w:left w:w="108" w:type="dxa"/>
              <w:bottom w:w="0" w:type="dxa"/>
              <w:right w:w="108" w:type="dxa"/>
            </w:tcMar>
            <w:vAlign w:val="center"/>
            <w:hideMark/>
          </w:tcPr>
          <w:p w14:paraId="12241521" w14:textId="77777777" w:rsidR="00FC4056" w:rsidRDefault="00FC4056" w:rsidP="00331966">
            <w:pPr>
              <w:pStyle w:val="Tabletext"/>
              <w:rPr>
                <w:rFonts w:eastAsiaTheme="minorHAnsi" w:cs="Arial"/>
                <w:bCs/>
                <w:iCs/>
                <w:color w:val="AEC12D"/>
                <w:sz w:val="32"/>
                <w:szCs w:val="28"/>
              </w:rPr>
            </w:pPr>
            <w:r>
              <w:t>0.004</w:t>
            </w:r>
          </w:p>
        </w:tc>
        <w:tc>
          <w:tcPr>
            <w:tcW w:w="1097" w:type="dxa"/>
            <w:noWrap/>
            <w:tcMar>
              <w:top w:w="0" w:type="dxa"/>
              <w:left w:w="108" w:type="dxa"/>
              <w:bottom w:w="0" w:type="dxa"/>
              <w:right w:w="108" w:type="dxa"/>
            </w:tcMar>
            <w:vAlign w:val="center"/>
            <w:hideMark/>
          </w:tcPr>
          <w:p w14:paraId="0D4B4C89" w14:textId="77777777" w:rsidR="00FC4056" w:rsidRDefault="00FC4056" w:rsidP="00331966">
            <w:pPr>
              <w:pStyle w:val="Tabletext"/>
              <w:rPr>
                <w:rFonts w:eastAsiaTheme="minorHAnsi" w:cs="Arial"/>
                <w:bCs/>
                <w:iCs/>
                <w:color w:val="AEC12D"/>
                <w:sz w:val="32"/>
                <w:szCs w:val="28"/>
              </w:rPr>
            </w:pPr>
            <w:r>
              <w:t>0.002</w:t>
            </w:r>
          </w:p>
        </w:tc>
        <w:tc>
          <w:tcPr>
            <w:tcW w:w="1098" w:type="dxa"/>
            <w:noWrap/>
            <w:tcMar>
              <w:top w:w="0" w:type="dxa"/>
              <w:left w:w="108" w:type="dxa"/>
              <w:bottom w:w="0" w:type="dxa"/>
              <w:right w:w="108" w:type="dxa"/>
            </w:tcMar>
            <w:vAlign w:val="center"/>
            <w:hideMark/>
          </w:tcPr>
          <w:p w14:paraId="1CC3EA6E" w14:textId="77777777" w:rsidR="00FC4056" w:rsidRDefault="00FC4056" w:rsidP="00331966">
            <w:pPr>
              <w:pStyle w:val="Tabletext"/>
              <w:rPr>
                <w:rFonts w:eastAsiaTheme="minorHAnsi" w:cs="Arial"/>
                <w:bCs/>
                <w:iCs/>
                <w:color w:val="AEC12D"/>
                <w:sz w:val="32"/>
                <w:szCs w:val="28"/>
              </w:rPr>
            </w:pPr>
            <w:r>
              <w:t>0.002</w:t>
            </w:r>
          </w:p>
        </w:tc>
        <w:tc>
          <w:tcPr>
            <w:tcW w:w="1097" w:type="dxa"/>
            <w:noWrap/>
            <w:tcMar>
              <w:top w:w="0" w:type="dxa"/>
              <w:left w:w="108" w:type="dxa"/>
              <w:bottom w:w="0" w:type="dxa"/>
              <w:right w:w="108" w:type="dxa"/>
            </w:tcMar>
            <w:vAlign w:val="center"/>
            <w:hideMark/>
          </w:tcPr>
          <w:p w14:paraId="23053C74" w14:textId="77777777" w:rsidR="00FC4056" w:rsidRDefault="00FC4056" w:rsidP="00331966">
            <w:pPr>
              <w:pStyle w:val="Tabletext"/>
              <w:rPr>
                <w:rFonts w:eastAsiaTheme="minorHAnsi" w:cs="Arial"/>
                <w:bCs/>
                <w:iCs/>
                <w:color w:val="AEC12D"/>
                <w:sz w:val="32"/>
                <w:szCs w:val="28"/>
              </w:rPr>
            </w:pPr>
            <w:r>
              <w:t>0.002</w:t>
            </w:r>
          </w:p>
        </w:tc>
        <w:tc>
          <w:tcPr>
            <w:tcW w:w="1098" w:type="dxa"/>
            <w:noWrap/>
            <w:tcMar>
              <w:top w:w="0" w:type="dxa"/>
              <w:left w:w="108" w:type="dxa"/>
              <w:bottom w:w="0" w:type="dxa"/>
              <w:right w:w="108" w:type="dxa"/>
            </w:tcMar>
            <w:vAlign w:val="center"/>
            <w:hideMark/>
          </w:tcPr>
          <w:p w14:paraId="1AECF45A" w14:textId="77777777" w:rsidR="00FC4056" w:rsidRDefault="00FC4056" w:rsidP="00331966">
            <w:pPr>
              <w:pStyle w:val="Tabletext"/>
              <w:rPr>
                <w:rFonts w:eastAsiaTheme="minorHAnsi" w:cs="Arial"/>
                <w:bCs/>
                <w:iCs/>
                <w:color w:val="AEC12D"/>
                <w:sz w:val="32"/>
                <w:szCs w:val="28"/>
              </w:rPr>
            </w:pPr>
            <w:r>
              <w:t>0.002</w:t>
            </w:r>
          </w:p>
        </w:tc>
      </w:tr>
      <w:tr w:rsidR="00B22A62" w14:paraId="64CC0075" w14:textId="77777777" w:rsidTr="00B22A62">
        <w:tc>
          <w:tcPr>
            <w:tcW w:w="1122" w:type="dxa"/>
            <w:noWrap/>
            <w:tcMar>
              <w:top w:w="0" w:type="dxa"/>
              <w:left w:w="108" w:type="dxa"/>
              <w:bottom w:w="0" w:type="dxa"/>
              <w:right w:w="108" w:type="dxa"/>
            </w:tcMar>
            <w:vAlign w:val="center"/>
            <w:hideMark/>
          </w:tcPr>
          <w:p w14:paraId="7808C097" w14:textId="77777777" w:rsidR="00FC4056" w:rsidRDefault="00FC4056" w:rsidP="00331966">
            <w:pPr>
              <w:pStyle w:val="Tabletext"/>
              <w:rPr>
                <w:rFonts w:eastAsiaTheme="minorHAnsi" w:cs="Arial"/>
                <w:bCs/>
                <w:iCs/>
                <w:color w:val="AEC12D"/>
                <w:sz w:val="32"/>
                <w:szCs w:val="28"/>
              </w:rPr>
            </w:pPr>
            <w:r>
              <w:t>260</w:t>
            </w:r>
          </w:p>
        </w:tc>
        <w:tc>
          <w:tcPr>
            <w:tcW w:w="1033" w:type="dxa"/>
            <w:noWrap/>
            <w:tcMar>
              <w:top w:w="0" w:type="dxa"/>
              <w:left w:w="108" w:type="dxa"/>
              <w:bottom w:w="0" w:type="dxa"/>
              <w:right w:w="108" w:type="dxa"/>
            </w:tcMar>
            <w:vAlign w:val="center"/>
            <w:hideMark/>
          </w:tcPr>
          <w:p w14:paraId="02D16662" w14:textId="77777777" w:rsidR="00FC4056" w:rsidRDefault="00FC4056" w:rsidP="00331966">
            <w:pPr>
              <w:pStyle w:val="Tabletext"/>
              <w:rPr>
                <w:rFonts w:eastAsiaTheme="minorHAnsi" w:cs="Arial"/>
                <w:bCs/>
                <w:iCs/>
                <w:color w:val="AEC12D"/>
                <w:sz w:val="32"/>
                <w:szCs w:val="28"/>
              </w:rPr>
            </w:pPr>
            <w:r>
              <w:t>0.003</w:t>
            </w:r>
          </w:p>
        </w:tc>
        <w:tc>
          <w:tcPr>
            <w:tcW w:w="2212" w:type="dxa"/>
            <w:noWrap/>
            <w:tcMar>
              <w:top w:w="0" w:type="dxa"/>
              <w:left w:w="108" w:type="dxa"/>
              <w:bottom w:w="0" w:type="dxa"/>
              <w:right w:w="108" w:type="dxa"/>
            </w:tcMar>
            <w:vAlign w:val="center"/>
            <w:hideMark/>
          </w:tcPr>
          <w:p w14:paraId="365164F1" w14:textId="77777777" w:rsidR="00FC4056" w:rsidRDefault="00FC4056" w:rsidP="00331966">
            <w:pPr>
              <w:pStyle w:val="Tabletext"/>
              <w:rPr>
                <w:rFonts w:eastAsiaTheme="minorHAnsi" w:cs="Arial"/>
                <w:bCs/>
                <w:iCs/>
                <w:color w:val="AEC12D"/>
                <w:sz w:val="32"/>
                <w:szCs w:val="28"/>
              </w:rPr>
            </w:pPr>
            <w:r>
              <w:t>0.003</w:t>
            </w:r>
          </w:p>
        </w:tc>
        <w:tc>
          <w:tcPr>
            <w:tcW w:w="1097" w:type="dxa"/>
            <w:noWrap/>
            <w:tcMar>
              <w:top w:w="0" w:type="dxa"/>
              <w:left w:w="108" w:type="dxa"/>
              <w:bottom w:w="0" w:type="dxa"/>
              <w:right w:w="108" w:type="dxa"/>
            </w:tcMar>
            <w:vAlign w:val="center"/>
            <w:hideMark/>
          </w:tcPr>
          <w:p w14:paraId="6B9A32E3" w14:textId="77777777" w:rsidR="00FC4056" w:rsidRDefault="00FC4056" w:rsidP="00331966">
            <w:pPr>
              <w:pStyle w:val="Tabletext"/>
              <w:rPr>
                <w:rFonts w:eastAsiaTheme="minorHAnsi" w:cs="Arial"/>
                <w:bCs/>
                <w:iCs/>
                <w:color w:val="AEC12D"/>
                <w:sz w:val="32"/>
                <w:szCs w:val="28"/>
              </w:rPr>
            </w:pPr>
            <w:r>
              <w:t>0.002</w:t>
            </w:r>
          </w:p>
        </w:tc>
        <w:tc>
          <w:tcPr>
            <w:tcW w:w="1097" w:type="dxa"/>
            <w:noWrap/>
            <w:tcMar>
              <w:top w:w="0" w:type="dxa"/>
              <w:left w:w="108" w:type="dxa"/>
              <w:bottom w:w="0" w:type="dxa"/>
              <w:right w:w="108" w:type="dxa"/>
            </w:tcMar>
            <w:vAlign w:val="center"/>
            <w:hideMark/>
          </w:tcPr>
          <w:p w14:paraId="159F2E4C" w14:textId="77777777" w:rsidR="00FC4056" w:rsidRDefault="00FC4056" w:rsidP="00331966">
            <w:pPr>
              <w:pStyle w:val="Tabletext"/>
              <w:rPr>
                <w:rFonts w:eastAsiaTheme="minorHAnsi" w:cs="Arial"/>
                <w:bCs/>
                <w:iCs/>
                <w:color w:val="AEC12D"/>
                <w:sz w:val="32"/>
                <w:szCs w:val="28"/>
              </w:rPr>
            </w:pPr>
            <w:r>
              <w:t>0.0005</w:t>
            </w:r>
          </w:p>
        </w:tc>
        <w:tc>
          <w:tcPr>
            <w:tcW w:w="1098" w:type="dxa"/>
            <w:noWrap/>
            <w:tcMar>
              <w:top w:w="0" w:type="dxa"/>
              <w:left w:w="108" w:type="dxa"/>
              <w:bottom w:w="0" w:type="dxa"/>
              <w:right w:w="108" w:type="dxa"/>
            </w:tcMar>
            <w:vAlign w:val="center"/>
            <w:hideMark/>
          </w:tcPr>
          <w:p w14:paraId="16BFC871" w14:textId="77777777" w:rsidR="00FC4056" w:rsidRDefault="00FC4056" w:rsidP="00331966">
            <w:pPr>
              <w:pStyle w:val="Tabletext"/>
              <w:rPr>
                <w:rFonts w:eastAsiaTheme="minorHAnsi" w:cs="Arial"/>
                <w:bCs/>
                <w:iCs/>
                <w:color w:val="AEC12D"/>
                <w:sz w:val="32"/>
                <w:szCs w:val="28"/>
              </w:rPr>
            </w:pPr>
            <w:r>
              <w:t>0.0005</w:t>
            </w:r>
          </w:p>
        </w:tc>
        <w:tc>
          <w:tcPr>
            <w:tcW w:w="1097" w:type="dxa"/>
            <w:noWrap/>
            <w:tcMar>
              <w:top w:w="0" w:type="dxa"/>
              <w:left w:w="108" w:type="dxa"/>
              <w:bottom w:w="0" w:type="dxa"/>
              <w:right w:w="108" w:type="dxa"/>
            </w:tcMar>
            <w:vAlign w:val="center"/>
            <w:hideMark/>
          </w:tcPr>
          <w:p w14:paraId="56795EAE" w14:textId="77777777" w:rsidR="00FC4056" w:rsidRDefault="00FC4056" w:rsidP="00331966">
            <w:pPr>
              <w:pStyle w:val="Tabletext"/>
              <w:rPr>
                <w:rFonts w:eastAsiaTheme="minorHAnsi" w:cs="Arial"/>
                <w:bCs/>
                <w:iCs/>
                <w:color w:val="AEC12D"/>
                <w:sz w:val="32"/>
                <w:szCs w:val="28"/>
              </w:rPr>
            </w:pPr>
            <w:r>
              <w:t>0.0005</w:t>
            </w:r>
          </w:p>
        </w:tc>
        <w:tc>
          <w:tcPr>
            <w:tcW w:w="1098" w:type="dxa"/>
            <w:noWrap/>
            <w:tcMar>
              <w:top w:w="0" w:type="dxa"/>
              <w:left w:w="108" w:type="dxa"/>
              <w:bottom w:w="0" w:type="dxa"/>
              <w:right w:w="108" w:type="dxa"/>
            </w:tcMar>
            <w:vAlign w:val="center"/>
            <w:hideMark/>
          </w:tcPr>
          <w:p w14:paraId="09322BEE" w14:textId="77777777" w:rsidR="00FC4056" w:rsidRDefault="00FC4056" w:rsidP="00331966">
            <w:pPr>
              <w:pStyle w:val="Tabletext"/>
              <w:rPr>
                <w:rFonts w:eastAsiaTheme="minorHAnsi" w:cs="Arial"/>
                <w:bCs/>
                <w:iCs/>
                <w:color w:val="AEC12D"/>
                <w:sz w:val="32"/>
                <w:szCs w:val="28"/>
              </w:rPr>
            </w:pPr>
            <w:r>
              <w:t>0.0005</w:t>
            </w:r>
          </w:p>
        </w:tc>
      </w:tr>
      <w:tr w:rsidR="00B22A62" w14:paraId="594EABC9" w14:textId="77777777" w:rsidTr="00B22A62">
        <w:tc>
          <w:tcPr>
            <w:tcW w:w="1122" w:type="dxa"/>
            <w:noWrap/>
            <w:tcMar>
              <w:top w:w="0" w:type="dxa"/>
              <w:left w:w="108" w:type="dxa"/>
              <w:bottom w:w="0" w:type="dxa"/>
              <w:right w:w="108" w:type="dxa"/>
            </w:tcMar>
            <w:vAlign w:val="center"/>
            <w:hideMark/>
          </w:tcPr>
          <w:p w14:paraId="013A6EC9" w14:textId="77777777" w:rsidR="00FC4056" w:rsidRDefault="00FC4056" w:rsidP="00331966">
            <w:pPr>
              <w:pStyle w:val="Tabletext"/>
              <w:rPr>
                <w:rFonts w:eastAsiaTheme="minorHAnsi" w:cs="Arial"/>
                <w:bCs/>
                <w:iCs/>
                <w:color w:val="AEC12D"/>
                <w:sz w:val="32"/>
                <w:szCs w:val="28"/>
              </w:rPr>
            </w:pPr>
            <w:r>
              <w:t>261</w:t>
            </w:r>
          </w:p>
        </w:tc>
        <w:tc>
          <w:tcPr>
            <w:tcW w:w="1033" w:type="dxa"/>
            <w:noWrap/>
            <w:tcMar>
              <w:top w:w="0" w:type="dxa"/>
              <w:left w:w="108" w:type="dxa"/>
              <w:bottom w:w="0" w:type="dxa"/>
              <w:right w:w="108" w:type="dxa"/>
            </w:tcMar>
            <w:vAlign w:val="center"/>
            <w:hideMark/>
          </w:tcPr>
          <w:p w14:paraId="39B8C62C" w14:textId="77777777" w:rsidR="00FC4056" w:rsidRDefault="00FC4056" w:rsidP="00331966">
            <w:pPr>
              <w:pStyle w:val="Tabletext"/>
              <w:rPr>
                <w:rFonts w:eastAsiaTheme="minorHAnsi" w:cs="Arial"/>
                <w:bCs/>
                <w:iCs/>
                <w:color w:val="AEC12D"/>
                <w:sz w:val="32"/>
                <w:szCs w:val="28"/>
              </w:rPr>
            </w:pPr>
            <w:r>
              <w:t>0.08</w:t>
            </w:r>
          </w:p>
        </w:tc>
        <w:tc>
          <w:tcPr>
            <w:tcW w:w="2212" w:type="dxa"/>
            <w:noWrap/>
            <w:tcMar>
              <w:top w:w="0" w:type="dxa"/>
              <w:left w:w="108" w:type="dxa"/>
              <w:bottom w:w="0" w:type="dxa"/>
              <w:right w:w="108" w:type="dxa"/>
            </w:tcMar>
            <w:vAlign w:val="center"/>
            <w:hideMark/>
          </w:tcPr>
          <w:p w14:paraId="009765D3" w14:textId="77777777" w:rsidR="00FC4056" w:rsidRDefault="00FC4056" w:rsidP="00331966">
            <w:pPr>
              <w:pStyle w:val="Tabletext"/>
              <w:rPr>
                <w:rFonts w:eastAsiaTheme="minorHAnsi" w:cs="Arial"/>
                <w:bCs/>
                <w:iCs/>
                <w:color w:val="AEC12D"/>
                <w:sz w:val="32"/>
                <w:szCs w:val="28"/>
              </w:rPr>
            </w:pPr>
            <w:r>
              <w:t>0.08</w:t>
            </w:r>
          </w:p>
        </w:tc>
        <w:tc>
          <w:tcPr>
            <w:tcW w:w="1097" w:type="dxa"/>
            <w:noWrap/>
            <w:tcMar>
              <w:top w:w="0" w:type="dxa"/>
              <w:left w:w="108" w:type="dxa"/>
              <w:bottom w:w="0" w:type="dxa"/>
              <w:right w:w="108" w:type="dxa"/>
            </w:tcMar>
            <w:vAlign w:val="center"/>
            <w:hideMark/>
          </w:tcPr>
          <w:p w14:paraId="4B29F471" w14:textId="77777777" w:rsidR="00FC4056" w:rsidRDefault="00FC4056" w:rsidP="00331966">
            <w:pPr>
              <w:pStyle w:val="Tabletext"/>
              <w:rPr>
                <w:rFonts w:eastAsiaTheme="minorHAnsi" w:cs="Arial"/>
                <w:bCs/>
                <w:iCs/>
                <w:color w:val="AEC12D"/>
                <w:sz w:val="32"/>
                <w:szCs w:val="28"/>
              </w:rPr>
            </w:pPr>
            <w:r>
              <w:t>0.06</w:t>
            </w:r>
          </w:p>
        </w:tc>
        <w:tc>
          <w:tcPr>
            <w:tcW w:w="1097" w:type="dxa"/>
            <w:noWrap/>
            <w:tcMar>
              <w:top w:w="0" w:type="dxa"/>
              <w:left w:w="108" w:type="dxa"/>
              <w:bottom w:w="0" w:type="dxa"/>
              <w:right w:w="108" w:type="dxa"/>
            </w:tcMar>
            <w:vAlign w:val="center"/>
            <w:hideMark/>
          </w:tcPr>
          <w:p w14:paraId="23937403" w14:textId="77777777" w:rsidR="00FC4056" w:rsidRDefault="00FC4056" w:rsidP="00331966">
            <w:pPr>
              <w:pStyle w:val="Tabletext"/>
              <w:rPr>
                <w:rFonts w:eastAsiaTheme="minorHAnsi" w:cs="Arial"/>
                <w:bCs/>
                <w:iCs/>
                <w:color w:val="AEC12D"/>
                <w:sz w:val="32"/>
                <w:szCs w:val="28"/>
              </w:rPr>
            </w:pPr>
            <w:r>
              <w:t>0.02</w:t>
            </w:r>
          </w:p>
        </w:tc>
        <w:tc>
          <w:tcPr>
            <w:tcW w:w="1098" w:type="dxa"/>
            <w:noWrap/>
            <w:tcMar>
              <w:top w:w="0" w:type="dxa"/>
              <w:left w:w="108" w:type="dxa"/>
              <w:bottom w:w="0" w:type="dxa"/>
              <w:right w:w="108" w:type="dxa"/>
            </w:tcMar>
            <w:vAlign w:val="center"/>
            <w:hideMark/>
          </w:tcPr>
          <w:p w14:paraId="6AD657AD" w14:textId="77777777" w:rsidR="00FC4056" w:rsidRDefault="00FC4056" w:rsidP="00331966">
            <w:pPr>
              <w:pStyle w:val="Tabletext"/>
              <w:rPr>
                <w:rFonts w:eastAsiaTheme="minorHAnsi" w:cs="Arial"/>
                <w:bCs/>
                <w:iCs/>
                <w:color w:val="AEC12D"/>
                <w:sz w:val="32"/>
                <w:szCs w:val="28"/>
              </w:rPr>
            </w:pPr>
            <w:r>
              <w:t>0.02</w:t>
            </w:r>
          </w:p>
        </w:tc>
        <w:tc>
          <w:tcPr>
            <w:tcW w:w="1097" w:type="dxa"/>
            <w:noWrap/>
            <w:tcMar>
              <w:top w:w="0" w:type="dxa"/>
              <w:left w:w="108" w:type="dxa"/>
              <w:bottom w:w="0" w:type="dxa"/>
              <w:right w:w="108" w:type="dxa"/>
            </w:tcMar>
            <w:vAlign w:val="center"/>
            <w:hideMark/>
          </w:tcPr>
          <w:p w14:paraId="3BEE77B7" w14:textId="77777777" w:rsidR="00FC4056" w:rsidRDefault="00FC4056" w:rsidP="00331966">
            <w:pPr>
              <w:pStyle w:val="Tabletext"/>
              <w:rPr>
                <w:rFonts w:eastAsiaTheme="minorHAnsi"/>
              </w:rPr>
            </w:pPr>
            <w:r>
              <w:t>0.02</w:t>
            </w:r>
          </w:p>
        </w:tc>
        <w:tc>
          <w:tcPr>
            <w:tcW w:w="1098" w:type="dxa"/>
            <w:noWrap/>
            <w:tcMar>
              <w:top w:w="0" w:type="dxa"/>
              <w:left w:w="108" w:type="dxa"/>
              <w:bottom w:w="0" w:type="dxa"/>
              <w:right w:w="108" w:type="dxa"/>
            </w:tcMar>
            <w:vAlign w:val="center"/>
            <w:hideMark/>
          </w:tcPr>
          <w:p w14:paraId="467388AA" w14:textId="77777777" w:rsidR="00FC4056" w:rsidRDefault="00FC4056" w:rsidP="00331966">
            <w:pPr>
              <w:pStyle w:val="Tabletext"/>
              <w:rPr>
                <w:rFonts w:eastAsiaTheme="minorHAnsi" w:cs="Arial"/>
                <w:bCs/>
                <w:iCs/>
                <w:color w:val="AEC12D"/>
                <w:sz w:val="32"/>
                <w:szCs w:val="28"/>
              </w:rPr>
            </w:pPr>
            <w:r>
              <w:t>0.02</w:t>
            </w:r>
          </w:p>
        </w:tc>
      </w:tr>
      <w:tr w:rsidR="00B22A62" w14:paraId="4E1C3E12" w14:textId="77777777" w:rsidTr="00B22A62">
        <w:tc>
          <w:tcPr>
            <w:tcW w:w="1122" w:type="dxa"/>
            <w:noWrap/>
            <w:tcMar>
              <w:top w:w="0" w:type="dxa"/>
              <w:left w:w="108" w:type="dxa"/>
              <w:bottom w:w="0" w:type="dxa"/>
              <w:right w:w="108" w:type="dxa"/>
            </w:tcMar>
            <w:vAlign w:val="center"/>
            <w:hideMark/>
          </w:tcPr>
          <w:p w14:paraId="3A21298B" w14:textId="77777777" w:rsidR="00FC4056" w:rsidRDefault="00FC4056" w:rsidP="00331966">
            <w:pPr>
              <w:pStyle w:val="Tabletext"/>
              <w:rPr>
                <w:rFonts w:eastAsiaTheme="minorHAnsi" w:cs="Arial"/>
                <w:bCs/>
                <w:iCs/>
                <w:color w:val="AEC12D"/>
                <w:sz w:val="32"/>
                <w:szCs w:val="28"/>
              </w:rPr>
            </w:pPr>
            <w:r>
              <w:t>262</w:t>
            </w:r>
          </w:p>
        </w:tc>
        <w:tc>
          <w:tcPr>
            <w:tcW w:w="1033" w:type="dxa"/>
            <w:noWrap/>
            <w:tcMar>
              <w:top w:w="0" w:type="dxa"/>
              <w:left w:w="108" w:type="dxa"/>
              <w:bottom w:w="0" w:type="dxa"/>
              <w:right w:w="108" w:type="dxa"/>
            </w:tcMar>
            <w:vAlign w:val="center"/>
            <w:hideMark/>
          </w:tcPr>
          <w:p w14:paraId="25438613" w14:textId="77777777" w:rsidR="00FC4056" w:rsidRDefault="00FC4056" w:rsidP="00331966">
            <w:pPr>
              <w:pStyle w:val="Tabletext"/>
              <w:rPr>
                <w:rFonts w:eastAsiaTheme="minorHAnsi" w:cs="Arial"/>
                <w:bCs/>
                <w:iCs/>
                <w:color w:val="AEC12D"/>
                <w:sz w:val="32"/>
                <w:szCs w:val="28"/>
              </w:rPr>
            </w:pPr>
            <w:r>
              <w:t>0.03</w:t>
            </w:r>
          </w:p>
        </w:tc>
        <w:tc>
          <w:tcPr>
            <w:tcW w:w="2212" w:type="dxa"/>
            <w:noWrap/>
            <w:tcMar>
              <w:top w:w="0" w:type="dxa"/>
              <w:left w:w="108" w:type="dxa"/>
              <w:bottom w:w="0" w:type="dxa"/>
              <w:right w:w="108" w:type="dxa"/>
            </w:tcMar>
            <w:vAlign w:val="center"/>
            <w:hideMark/>
          </w:tcPr>
          <w:p w14:paraId="2A7B52CE" w14:textId="77777777" w:rsidR="00FC4056" w:rsidRDefault="00FC4056" w:rsidP="00331966">
            <w:pPr>
              <w:pStyle w:val="Tabletext"/>
              <w:rPr>
                <w:rFonts w:eastAsiaTheme="minorHAnsi" w:cs="Arial"/>
                <w:bCs/>
                <w:iCs/>
                <w:color w:val="AEC12D"/>
                <w:sz w:val="32"/>
                <w:szCs w:val="28"/>
              </w:rPr>
            </w:pPr>
            <w:r>
              <w:t>0.03</w:t>
            </w:r>
          </w:p>
        </w:tc>
        <w:tc>
          <w:tcPr>
            <w:tcW w:w="1097" w:type="dxa"/>
            <w:noWrap/>
            <w:tcMar>
              <w:top w:w="0" w:type="dxa"/>
              <w:left w:w="108" w:type="dxa"/>
              <w:bottom w:w="0" w:type="dxa"/>
              <w:right w:w="108" w:type="dxa"/>
            </w:tcMar>
            <w:vAlign w:val="center"/>
            <w:hideMark/>
          </w:tcPr>
          <w:p w14:paraId="582482C0" w14:textId="77777777" w:rsidR="00FC4056" w:rsidRDefault="00FC4056" w:rsidP="00331966">
            <w:pPr>
              <w:pStyle w:val="Tabletext"/>
              <w:rPr>
                <w:rFonts w:eastAsiaTheme="minorHAnsi" w:cs="Arial"/>
                <w:bCs/>
                <w:iCs/>
                <w:color w:val="AEC12D"/>
                <w:sz w:val="32"/>
                <w:szCs w:val="28"/>
              </w:rPr>
            </w:pPr>
            <w:r>
              <w:t>0.02</w:t>
            </w:r>
          </w:p>
        </w:tc>
        <w:tc>
          <w:tcPr>
            <w:tcW w:w="1097" w:type="dxa"/>
            <w:noWrap/>
            <w:tcMar>
              <w:top w:w="0" w:type="dxa"/>
              <w:left w:w="108" w:type="dxa"/>
              <w:bottom w:w="0" w:type="dxa"/>
              <w:right w:w="108" w:type="dxa"/>
            </w:tcMar>
            <w:vAlign w:val="center"/>
            <w:hideMark/>
          </w:tcPr>
          <w:p w14:paraId="0BB8D865"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4D524999"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68DE412E"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3177704E" w14:textId="77777777" w:rsidR="00FC4056" w:rsidRDefault="00FC4056" w:rsidP="00331966">
            <w:pPr>
              <w:pStyle w:val="Tabletext"/>
              <w:rPr>
                <w:rFonts w:eastAsiaTheme="minorHAnsi" w:cs="Arial"/>
                <w:bCs/>
                <w:iCs/>
                <w:color w:val="AEC12D"/>
                <w:sz w:val="32"/>
                <w:szCs w:val="28"/>
              </w:rPr>
            </w:pPr>
            <w:r>
              <w:t>0.01</w:t>
            </w:r>
          </w:p>
        </w:tc>
      </w:tr>
      <w:tr w:rsidR="00B22A62" w14:paraId="03C5FD60" w14:textId="77777777" w:rsidTr="00B22A62">
        <w:tc>
          <w:tcPr>
            <w:tcW w:w="1122" w:type="dxa"/>
            <w:noWrap/>
            <w:tcMar>
              <w:top w:w="0" w:type="dxa"/>
              <w:left w:w="108" w:type="dxa"/>
              <w:bottom w:w="0" w:type="dxa"/>
              <w:right w:w="108" w:type="dxa"/>
            </w:tcMar>
            <w:vAlign w:val="center"/>
            <w:hideMark/>
          </w:tcPr>
          <w:p w14:paraId="2C861B4C" w14:textId="77777777" w:rsidR="00FC4056" w:rsidRDefault="00FC4056" w:rsidP="00331966">
            <w:pPr>
              <w:pStyle w:val="Tabletext"/>
              <w:rPr>
                <w:rFonts w:eastAsiaTheme="minorHAnsi" w:cs="Arial"/>
                <w:bCs/>
                <w:iCs/>
                <w:color w:val="AEC12D"/>
                <w:sz w:val="32"/>
                <w:szCs w:val="28"/>
              </w:rPr>
            </w:pPr>
            <w:r>
              <w:t>263</w:t>
            </w:r>
          </w:p>
        </w:tc>
        <w:tc>
          <w:tcPr>
            <w:tcW w:w="1033" w:type="dxa"/>
            <w:noWrap/>
            <w:tcMar>
              <w:top w:w="0" w:type="dxa"/>
              <w:left w:w="108" w:type="dxa"/>
              <w:bottom w:w="0" w:type="dxa"/>
              <w:right w:w="108" w:type="dxa"/>
            </w:tcMar>
            <w:vAlign w:val="center"/>
            <w:hideMark/>
          </w:tcPr>
          <w:p w14:paraId="2FD1F586" w14:textId="77777777" w:rsidR="00FC4056" w:rsidRDefault="00FC4056" w:rsidP="00331966">
            <w:pPr>
              <w:pStyle w:val="Tabletext"/>
              <w:rPr>
                <w:rFonts w:eastAsiaTheme="minorHAnsi" w:cs="Arial"/>
                <w:bCs/>
                <w:iCs/>
                <w:color w:val="AEC12D"/>
                <w:sz w:val="32"/>
                <w:szCs w:val="28"/>
              </w:rPr>
            </w:pPr>
            <w:r>
              <w:t>0.03</w:t>
            </w:r>
          </w:p>
        </w:tc>
        <w:tc>
          <w:tcPr>
            <w:tcW w:w="2212" w:type="dxa"/>
            <w:noWrap/>
            <w:tcMar>
              <w:top w:w="0" w:type="dxa"/>
              <w:left w:w="108" w:type="dxa"/>
              <w:bottom w:w="0" w:type="dxa"/>
              <w:right w:w="108" w:type="dxa"/>
            </w:tcMar>
            <w:vAlign w:val="center"/>
            <w:hideMark/>
          </w:tcPr>
          <w:p w14:paraId="24C4D106" w14:textId="77777777" w:rsidR="00FC4056" w:rsidRDefault="00FC4056" w:rsidP="00331966">
            <w:pPr>
              <w:pStyle w:val="Tabletext"/>
              <w:rPr>
                <w:rFonts w:eastAsiaTheme="minorHAnsi" w:cs="Arial"/>
                <w:bCs/>
                <w:iCs/>
                <w:color w:val="AEC12D"/>
                <w:sz w:val="32"/>
                <w:szCs w:val="28"/>
              </w:rPr>
            </w:pPr>
            <w:r>
              <w:t>0.03</w:t>
            </w:r>
          </w:p>
        </w:tc>
        <w:tc>
          <w:tcPr>
            <w:tcW w:w="1097" w:type="dxa"/>
            <w:noWrap/>
            <w:tcMar>
              <w:top w:w="0" w:type="dxa"/>
              <w:left w:w="108" w:type="dxa"/>
              <w:bottom w:w="0" w:type="dxa"/>
              <w:right w:w="108" w:type="dxa"/>
            </w:tcMar>
            <w:vAlign w:val="center"/>
            <w:hideMark/>
          </w:tcPr>
          <w:p w14:paraId="2D93A7A0" w14:textId="77777777" w:rsidR="00FC4056" w:rsidRDefault="00FC4056" w:rsidP="00331966">
            <w:pPr>
              <w:pStyle w:val="Tabletext"/>
              <w:rPr>
                <w:rFonts w:eastAsiaTheme="minorHAnsi" w:cs="Arial"/>
                <w:bCs/>
                <w:iCs/>
                <w:color w:val="AEC12D"/>
                <w:sz w:val="32"/>
                <w:szCs w:val="28"/>
              </w:rPr>
            </w:pPr>
            <w:r>
              <w:t>0.02</w:t>
            </w:r>
          </w:p>
        </w:tc>
        <w:tc>
          <w:tcPr>
            <w:tcW w:w="1097" w:type="dxa"/>
            <w:noWrap/>
            <w:tcMar>
              <w:top w:w="0" w:type="dxa"/>
              <w:left w:w="108" w:type="dxa"/>
              <w:bottom w:w="0" w:type="dxa"/>
              <w:right w:w="108" w:type="dxa"/>
            </w:tcMar>
            <w:vAlign w:val="center"/>
            <w:hideMark/>
          </w:tcPr>
          <w:p w14:paraId="149273CD" w14:textId="77777777" w:rsidR="00FC4056" w:rsidRDefault="00FC4056" w:rsidP="00331966">
            <w:pPr>
              <w:pStyle w:val="Tabletext"/>
              <w:rPr>
                <w:rFonts w:eastAsiaTheme="minorHAnsi" w:cs="Arial"/>
                <w:bCs/>
                <w:iCs/>
                <w:color w:val="AEC12D"/>
                <w:sz w:val="32"/>
                <w:szCs w:val="28"/>
              </w:rPr>
            </w:pPr>
            <w:r>
              <w:t>0.009</w:t>
            </w:r>
          </w:p>
        </w:tc>
        <w:tc>
          <w:tcPr>
            <w:tcW w:w="1098" w:type="dxa"/>
            <w:noWrap/>
            <w:tcMar>
              <w:top w:w="0" w:type="dxa"/>
              <w:left w:w="108" w:type="dxa"/>
              <w:bottom w:w="0" w:type="dxa"/>
              <w:right w:w="108" w:type="dxa"/>
            </w:tcMar>
            <w:vAlign w:val="center"/>
            <w:hideMark/>
          </w:tcPr>
          <w:p w14:paraId="51714EAC" w14:textId="77777777" w:rsidR="00FC4056" w:rsidRDefault="00FC4056" w:rsidP="00331966">
            <w:pPr>
              <w:pStyle w:val="Tabletext"/>
              <w:rPr>
                <w:rFonts w:eastAsiaTheme="minorHAnsi" w:cs="Arial"/>
                <w:bCs/>
                <w:iCs/>
                <w:color w:val="AEC12D"/>
                <w:sz w:val="32"/>
                <w:szCs w:val="28"/>
              </w:rPr>
            </w:pPr>
            <w:r>
              <w:t>0.009</w:t>
            </w:r>
          </w:p>
        </w:tc>
        <w:tc>
          <w:tcPr>
            <w:tcW w:w="1097" w:type="dxa"/>
            <w:noWrap/>
            <w:tcMar>
              <w:top w:w="0" w:type="dxa"/>
              <w:left w:w="108" w:type="dxa"/>
              <w:bottom w:w="0" w:type="dxa"/>
              <w:right w:w="108" w:type="dxa"/>
            </w:tcMar>
            <w:vAlign w:val="center"/>
            <w:hideMark/>
          </w:tcPr>
          <w:p w14:paraId="02E3F61A" w14:textId="77777777" w:rsidR="00FC4056" w:rsidRDefault="00FC4056" w:rsidP="00331966">
            <w:pPr>
              <w:pStyle w:val="Tabletext"/>
              <w:rPr>
                <w:rFonts w:eastAsiaTheme="minorHAnsi" w:cs="Arial"/>
                <w:bCs/>
                <w:iCs/>
                <w:color w:val="AEC12D"/>
                <w:sz w:val="32"/>
                <w:szCs w:val="28"/>
              </w:rPr>
            </w:pPr>
            <w:r>
              <w:t>0.009</w:t>
            </w:r>
          </w:p>
        </w:tc>
        <w:tc>
          <w:tcPr>
            <w:tcW w:w="1098" w:type="dxa"/>
            <w:noWrap/>
            <w:tcMar>
              <w:top w:w="0" w:type="dxa"/>
              <w:left w:w="108" w:type="dxa"/>
              <w:bottom w:w="0" w:type="dxa"/>
              <w:right w:w="108" w:type="dxa"/>
            </w:tcMar>
            <w:vAlign w:val="center"/>
            <w:hideMark/>
          </w:tcPr>
          <w:p w14:paraId="7E650035" w14:textId="77777777" w:rsidR="00FC4056" w:rsidRDefault="00FC4056" w:rsidP="00331966">
            <w:pPr>
              <w:pStyle w:val="Tabletext"/>
              <w:rPr>
                <w:rFonts w:eastAsiaTheme="minorHAnsi" w:cs="Arial"/>
                <w:bCs/>
                <w:iCs/>
                <w:color w:val="AEC12D"/>
                <w:sz w:val="32"/>
                <w:szCs w:val="28"/>
              </w:rPr>
            </w:pPr>
            <w:r>
              <w:t>0.009</w:t>
            </w:r>
          </w:p>
        </w:tc>
      </w:tr>
      <w:tr w:rsidR="00B22A62" w14:paraId="76786087" w14:textId="77777777" w:rsidTr="00B22A62">
        <w:tc>
          <w:tcPr>
            <w:tcW w:w="1122" w:type="dxa"/>
            <w:noWrap/>
            <w:tcMar>
              <w:top w:w="0" w:type="dxa"/>
              <w:left w:w="108" w:type="dxa"/>
              <w:bottom w:w="0" w:type="dxa"/>
              <w:right w:w="108" w:type="dxa"/>
            </w:tcMar>
            <w:vAlign w:val="center"/>
            <w:hideMark/>
          </w:tcPr>
          <w:p w14:paraId="5D96098A" w14:textId="77777777" w:rsidR="00FC4056" w:rsidRDefault="00FC4056" w:rsidP="00331966">
            <w:pPr>
              <w:pStyle w:val="Tabletext"/>
              <w:rPr>
                <w:rFonts w:eastAsiaTheme="minorHAnsi" w:cs="Arial"/>
                <w:bCs/>
                <w:iCs/>
                <w:color w:val="AEC12D"/>
                <w:sz w:val="32"/>
                <w:szCs w:val="28"/>
              </w:rPr>
            </w:pPr>
            <w:r>
              <w:t>288</w:t>
            </w:r>
          </w:p>
        </w:tc>
        <w:tc>
          <w:tcPr>
            <w:tcW w:w="1033" w:type="dxa"/>
            <w:noWrap/>
            <w:tcMar>
              <w:top w:w="0" w:type="dxa"/>
              <w:left w:w="108" w:type="dxa"/>
              <w:bottom w:w="0" w:type="dxa"/>
              <w:right w:w="108" w:type="dxa"/>
            </w:tcMar>
            <w:vAlign w:val="center"/>
            <w:hideMark/>
          </w:tcPr>
          <w:p w14:paraId="5FF8DFC7" w14:textId="77777777" w:rsidR="00FC4056" w:rsidRDefault="00FC4056" w:rsidP="00331966">
            <w:pPr>
              <w:pStyle w:val="Tabletext"/>
              <w:rPr>
                <w:rFonts w:eastAsiaTheme="minorHAnsi" w:cs="Arial"/>
                <w:bCs/>
                <w:iCs/>
                <w:color w:val="AEC12D"/>
                <w:sz w:val="32"/>
                <w:szCs w:val="28"/>
              </w:rPr>
            </w:pPr>
            <w:r>
              <w:t>0.03</w:t>
            </w:r>
          </w:p>
        </w:tc>
        <w:tc>
          <w:tcPr>
            <w:tcW w:w="2212" w:type="dxa"/>
            <w:noWrap/>
            <w:tcMar>
              <w:top w:w="0" w:type="dxa"/>
              <w:left w:w="108" w:type="dxa"/>
              <w:bottom w:w="0" w:type="dxa"/>
              <w:right w:w="108" w:type="dxa"/>
            </w:tcMar>
            <w:vAlign w:val="center"/>
            <w:hideMark/>
          </w:tcPr>
          <w:p w14:paraId="69ADBDAA" w14:textId="77777777" w:rsidR="00FC4056" w:rsidRDefault="00FC4056" w:rsidP="00331966">
            <w:pPr>
              <w:pStyle w:val="Tabletext"/>
              <w:rPr>
                <w:rFonts w:eastAsiaTheme="minorHAnsi" w:cs="Arial"/>
                <w:bCs/>
                <w:iCs/>
                <w:color w:val="AEC12D"/>
                <w:sz w:val="32"/>
                <w:szCs w:val="28"/>
              </w:rPr>
            </w:pPr>
            <w:r>
              <w:t>0.03</w:t>
            </w:r>
          </w:p>
        </w:tc>
        <w:tc>
          <w:tcPr>
            <w:tcW w:w="1097" w:type="dxa"/>
            <w:noWrap/>
            <w:tcMar>
              <w:top w:w="0" w:type="dxa"/>
              <w:left w:w="108" w:type="dxa"/>
              <w:bottom w:w="0" w:type="dxa"/>
              <w:right w:w="108" w:type="dxa"/>
            </w:tcMar>
            <w:vAlign w:val="center"/>
            <w:hideMark/>
          </w:tcPr>
          <w:p w14:paraId="495223EF" w14:textId="77777777" w:rsidR="00FC4056" w:rsidRDefault="00FC4056" w:rsidP="00331966">
            <w:pPr>
              <w:pStyle w:val="Tabletext"/>
              <w:rPr>
                <w:rFonts w:eastAsiaTheme="minorHAnsi" w:cs="Arial"/>
                <w:bCs/>
                <w:iCs/>
                <w:color w:val="AEC12D"/>
                <w:sz w:val="32"/>
                <w:szCs w:val="28"/>
              </w:rPr>
            </w:pPr>
            <w:r>
              <w:t>0.02</w:t>
            </w:r>
          </w:p>
        </w:tc>
        <w:tc>
          <w:tcPr>
            <w:tcW w:w="1097" w:type="dxa"/>
            <w:noWrap/>
            <w:tcMar>
              <w:top w:w="0" w:type="dxa"/>
              <w:left w:w="108" w:type="dxa"/>
              <w:bottom w:w="0" w:type="dxa"/>
              <w:right w:w="108" w:type="dxa"/>
            </w:tcMar>
            <w:vAlign w:val="center"/>
            <w:hideMark/>
          </w:tcPr>
          <w:p w14:paraId="6F39675B"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083EFE9B"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73BA2D0A"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485EC355" w14:textId="77777777" w:rsidR="00FC4056" w:rsidRDefault="00FC4056" w:rsidP="00331966">
            <w:pPr>
              <w:pStyle w:val="Tabletext"/>
              <w:rPr>
                <w:rFonts w:eastAsiaTheme="minorHAnsi" w:cs="Arial"/>
                <w:bCs/>
                <w:iCs/>
                <w:color w:val="AEC12D"/>
                <w:sz w:val="32"/>
                <w:szCs w:val="28"/>
              </w:rPr>
            </w:pPr>
            <w:r>
              <w:t>0.01</w:t>
            </w:r>
          </w:p>
        </w:tc>
      </w:tr>
      <w:tr w:rsidR="00B22A62" w14:paraId="2C7ED020" w14:textId="77777777" w:rsidTr="00B22A62">
        <w:tc>
          <w:tcPr>
            <w:tcW w:w="1122" w:type="dxa"/>
            <w:noWrap/>
            <w:tcMar>
              <w:top w:w="0" w:type="dxa"/>
              <w:left w:w="108" w:type="dxa"/>
              <w:bottom w:w="0" w:type="dxa"/>
              <w:right w:w="108" w:type="dxa"/>
            </w:tcMar>
            <w:vAlign w:val="center"/>
            <w:hideMark/>
          </w:tcPr>
          <w:p w14:paraId="031C1448" w14:textId="77777777" w:rsidR="00FC4056" w:rsidRDefault="00FC4056" w:rsidP="00331966">
            <w:pPr>
              <w:pStyle w:val="Tabletext"/>
              <w:rPr>
                <w:rFonts w:eastAsiaTheme="minorHAnsi" w:cs="Arial"/>
                <w:bCs/>
                <w:iCs/>
                <w:color w:val="AEC12D"/>
                <w:sz w:val="32"/>
                <w:szCs w:val="28"/>
              </w:rPr>
            </w:pPr>
            <w:r>
              <w:t>296</w:t>
            </w:r>
          </w:p>
        </w:tc>
        <w:tc>
          <w:tcPr>
            <w:tcW w:w="1033" w:type="dxa"/>
            <w:noWrap/>
            <w:tcMar>
              <w:top w:w="0" w:type="dxa"/>
              <w:left w:w="108" w:type="dxa"/>
              <w:bottom w:w="0" w:type="dxa"/>
              <w:right w:w="108" w:type="dxa"/>
            </w:tcMar>
            <w:vAlign w:val="center"/>
            <w:hideMark/>
          </w:tcPr>
          <w:p w14:paraId="6742BD95" w14:textId="77777777" w:rsidR="00FC4056" w:rsidRDefault="00FC4056" w:rsidP="00331966">
            <w:pPr>
              <w:pStyle w:val="Tabletext"/>
              <w:rPr>
                <w:rFonts w:eastAsiaTheme="minorHAnsi" w:cs="Arial"/>
                <w:bCs/>
                <w:iCs/>
                <w:color w:val="AEC12D"/>
                <w:sz w:val="32"/>
                <w:szCs w:val="28"/>
              </w:rPr>
            </w:pPr>
            <w:r>
              <w:t>0.15</w:t>
            </w:r>
          </w:p>
        </w:tc>
        <w:tc>
          <w:tcPr>
            <w:tcW w:w="2212" w:type="dxa"/>
            <w:noWrap/>
            <w:tcMar>
              <w:top w:w="0" w:type="dxa"/>
              <w:left w:w="108" w:type="dxa"/>
              <w:bottom w:w="0" w:type="dxa"/>
              <w:right w:w="108" w:type="dxa"/>
            </w:tcMar>
            <w:vAlign w:val="center"/>
            <w:hideMark/>
          </w:tcPr>
          <w:p w14:paraId="066FFC83" w14:textId="77777777" w:rsidR="00FC4056" w:rsidRDefault="00FC4056" w:rsidP="00331966">
            <w:pPr>
              <w:pStyle w:val="Tabletext"/>
              <w:rPr>
                <w:rFonts w:eastAsiaTheme="minorHAnsi" w:cs="Arial"/>
                <w:bCs/>
                <w:iCs/>
                <w:color w:val="AEC12D"/>
                <w:sz w:val="32"/>
                <w:szCs w:val="28"/>
              </w:rPr>
            </w:pPr>
            <w:r>
              <w:t>0.15</w:t>
            </w:r>
          </w:p>
        </w:tc>
        <w:tc>
          <w:tcPr>
            <w:tcW w:w="1097" w:type="dxa"/>
            <w:noWrap/>
            <w:tcMar>
              <w:top w:w="0" w:type="dxa"/>
              <w:left w:w="108" w:type="dxa"/>
              <w:bottom w:w="0" w:type="dxa"/>
              <w:right w:w="108" w:type="dxa"/>
            </w:tcMar>
            <w:vAlign w:val="center"/>
            <w:hideMark/>
          </w:tcPr>
          <w:p w14:paraId="1136EFFB" w14:textId="77777777" w:rsidR="00FC4056" w:rsidRDefault="00FC4056" w:rsidP="00331966">
            <w:pPr>
              <w:pStyle w:val="Tabletext"/>
              <w:rPr>
                <w:rFonts w:eastAsiaTheme="minorHAnsi" w:cs="Arial"/>
                <w:bCs/>
                <w:iCs/>
                <w:color w:val="AEC12D"/>
                <w:sz w:val="32"/>
                <w:szCs w:val="28"/>
              </w:rPr>
            </w:pPr>
            <w:r>
              <w:t>0.14</w:t>
            </w:r>
          </w:p>
        </w:tc>
        <w:tc>
          <w:tcPr>
            <w:tcW w:w="1097" w:type="dxa"/>
            <w:noWrap/>
            <w:tcMar>
              <w:top w:w="0" w:type="dxa"/>
              <w:left w:w="108" w:type="dxa"/>
              <w:bottom w:w="0" w:type="dxa"/>
              <w:right w:w="108" w:type="dxa"/>
            </w:tcMar>
            <w:vAlign w:val="center"/>
            <w:hideMark/>
          </w:tcPr>
          <w:p w14:paraId="03A1211E" w14:textId="77777777" w:rsidR="00FC4056" w:rsidRDefault="00FC4056" w:rsidP="00331966">
            <w:pPr>
              <w:pStyle w:val="Tabletext"/>
              <w:rPr>
                <w:rFonts w:eastAsiaTheme="minorHAnsi" w:cs="Arial"/>
                <w:bCs/>
                <w:iCs/>
                <w:color w:val="AEC12D"/>
                <w:sz w:val="32"/>
                <w:szCs w:val="28"/>
              </w:rPr>
            </w:pPr>
            <w:r>
              <w:t>0.05</w:t>
            </w:r>
          </w:p>
        </w:tc>
        <w:tc>
          <w:tcPr>
            <w:tcW w:w="1098" w:type="dxa"/>
            <w:noWrap/>
            <w:tcMar>
              <w:top w:w="0" w:type="dxa"/>
              <w:left w:w="108" w:type="dxa"/>
              <w:bottom w:w="0" w:type="dxa"/>
              <w:right w:w="108" w:type="dxa"/>
            </w:tcMar>
            <w:vAlign w:val="center"/>
            <w:hideMark/>
          </w:tcPr>
          <w:p w14:paraId="57802076" w14:textId="77777777" w:rsidR="00FC4056" w:rsidRDefault="00FC4056" w:rsidP="00331966">
            <w:pPr>
              <w:pStyle w:val="Tabletext"/>
              <w:rPr>
                <w:rFonts w:eastAsiaTheme="minorHAnsi" w:cs="Arial"/>
                <w:bCs/>
                <w:iCs/>
                <w:color w:val="AEC12D"/>
                <w:sz w:val="32"/>
                <w:szCs w:val="28"/>
              </w:rPr>
            </w:pPr>
            <w:r>
              <w:t>0.05</w:t>
            </w:r>
          </w:p>
        </w:tc>
        <w:tc>
          <w:tcPr>
            <w:tcW w:w="1097" w:type="dxa"/>
            <w:noWrap/>
            <w:tcMar>
              <w:top w:w="0" w:type="dxa"/>
              <w:left w:w="108" w:type="dxa"/>
              <w:bottom w:w="0" w:type="dxa"/>
              <w:right w:w="108" w:type="dxa"/>
            </w:tcMar>
            <w:vAlign w:val="center"/>
            <w:hideMark/>
          </w:tcPr>
          <w:p w14:paraId="696A4148" w14:textId="77777777" w:rsidR="00FC4056" w:rsidRDefault="00FC4056" w:rsidP="00331966">
            <w:pPr>
              <w:pStyle w:val="Tabletext"/>
              <w:rPr>
                <w:rFonts w:eastAsiaTheme="minorHAnsi" w:cs="Arial"/>
                <w:bCs/>
                <w:iCs/>
                <w:color w:val="AEC12D"/>
                <w:sz w:val="32"/>
                <w:szCs w:val="28"/>
              </w:rPr>
            </w:pPr>
            <w:r>
              <w:t>0.05</w:t>
            </w:r>
          </w:p>
        </w:tc>
        <w:tc>
          <w:tcPr>
            <w:tcW w:w="1098" w:type="dxa"/>
            <w:noWrap/>
            <w:tcMar>
              <w:top w:w="0" w:type="dxa"/>
              <w:left w:w="108" w:type="dxa"/>
              <w:bottom w:w="0" w:type="dxa"/>
              <w:right w:w="108" w:type="dxa"/>
            </w:tcMar>
            <w:vAlign w:val="center"/>
            <w:hideMark/>
          </w:tcPr>
          <w:p w14:paraId="2C574F02" w14:textId="77777777" w:rsidR="00FC4056" w:rsidRDefault="00FC4056" w:rsidP="00331966">
            <w:pPr>
              <w:pStyle w:val="Tabletext"/>
              <w:rPr>
                <w:rFonts w:eastAsiaTheme="minorHAnsi" w:cs="Arial"/>
                <w:bCs/>
                <w:iCs/>
                <w:color w:val="AEC12D"/>
                <w:sz w:val="32"/>
                <w:szCs w:val="28"/>
              </w:rPr>
            </w:pPr>
            <w:r>
              <w:t>0.05</w:t>
            </w:r>
          </w:p>
        </w:tc>
      </w:tr>
      <w:tr w:rsidR="00B22A62" w14:paraId="62090493" w14:textId="77777777" w:rsidTr="00B22A62">
        <w:tc>
          <w:tcPr>
            <w:tcW w:w="1122" w:type="dxa"/>
            <w:noWrap/>
            <w:tcMar>
              <w:top w:w="0" w:type="dxa"/>
              <w:left w:w="108" w:type="dxa"/>
              <w:bottom w:w="0" w:type="dxa"/>
              <w:right w:w="108" w:type="dxa"/>
            </w:tcMar>
            <w:vAlign w:val="center"/>
            <w:hideMark/>
          </w:tcPr>
          <w:p w14:paraId="180331A5" w14:textId="77777777" w:rsidR="00FC4056" w:rsidRDefault="00FC4056" w:rsidP="00331966">
            <w:pPr>
              <w:pStyle w:val="Tabletext"/>
              <w:rPr>
                <w:rFonts w:eastAsiaTheme="minorHAnsi" w:cs="Arial"/>
                <w:bCs/>
                <w:iCs/>
                <w:color w:val="AEC12D"/>
                <w:sz w:val="32"/>
                <w:szCs w:val="28"/>
              </w:rPr>
            </w:pPr>
            <w:r>
              <w:t>297</w:t>
            </w:r>
          </w:p>
        </w:tc>
        <w:tc>
          <w:tcPr>
            <w:tcW w:w="1033" w:type="dxa"/>
            <w:noWrap/>
            <w:tcMar>
              <w:top w:w="0" w:type="dxa"/>
              <w:left w:w="108" w:type="dxa"/>
              <w:bottom w:w="0" w:type="dxa"/>
              <w:right w:w="108" w:type="dxa"/>
            </w:tcMar>
            <w:vAlign w:val="center"/>
            <w:hideMark/>
          </w:tcPr>
          <w:p w14:paraId="4D944E7F" w14:textId="77777777" w:rsidR="00FC4056" w:rsidRDefault="00FC4056" w:rsidP="00331966">
            <w:pPr>
              <w:pStyle w:val="Tabletext"/>
              <w:rPr>
                <w:rFonts w:eastAsiaTheme="minorHAnsi" w:cs="Arial"/>
                <w:bCs/>
                <w:iCs/>
                <w:color w:val="AEC12D"/>
                <w:sz w:val="32"/>
                <w:szCs w:val="28"/>
              </w:rPr>
            </w:pPr>
            <w:r>
              <w:t>0.14</w:t>
            </w:r>
          </w:p>
        </w:tc>
        <w:tc>
          <w:tcPr>
            <w:tcW w:w="2212" w:type="dxa"/>
            <w:noWrap/>
            <w:tcMar>
              <w:top w:w="0" w:type="dxa"/>
              <w:left w:w="108" w:type="dxa"/>
              <w:bottom w:w="0" w:type="dxa"/>
              <w:right w:w="108" w:type="dxa"/>
            </w:tcMar>
            <w:vAlign w:val="center"/>
            <w:hideMark/>
          </w:tcPr>
          <w:p w14:paraId="4D9449E2" w14:textId="77777777" w:rsidR="00FC4056" w:rsidRDefault="00FC4056" w:rsidP="00331966">
            <w:pPr>
              <w:pStyle w:val="Tabletext"/>
              <w:rPr>
                <w:rFonts w:eastAsiaTheme="minorHAnsi" w:cs="Arial"/>
                <w:bCs/>
                <w:iCs/>
                <w:color w:val="AEC12D"/>
                <w:sz w:val="32"/>
                <w:szCs w:val="28"/>
              </w:rPr>
            </w:pPr>
            <w:r>
              <w:t>0.14</w:t>
            </w:r>
          </w:p>
        </w:tc>
        <w:tc>
          <w:tcPr>
            <w:tcW w:w="1097" w:type="dxa"/>
            <w:noWrap/>
            <w:tcMar>
              <w:top w:w="0" w:type="dxa"/>
              <w:left w:w="108" w:type="dxa"/>
              <w:bottom w:w="0" w:type="dxa"/>
              <w:right w:w="108" w:type="dxa"/>
            </w:tcMar>
            <w:vAlign w:val="center"/>
            <w:hideMark/>
          </w:tcPr>
          <w:p w14:paraId="4CE34495" w14:textId="77777777" w:rsidR="00FC4056" w:rsidRDefault="00FC4056" w:rsidP="00331966">
            <w:pPr>
              <w:pStyle w:val="Tabletext"/>
              <w:rPr>
                <w:rFonts w:eastAsiaTheme="minorHAnsi" w:cs="Arial"/>
                <w:bCs/>
                <w:iCs/>
                <w:color w:val="AEC12D"/>
                <w:sz w:val="32"/>
                <w:szCs w:val="28"/>
              </w:rPr>
            </w:pPr>
            <w:r>
              <w:t>0.12</w:t>
            </w:r>
          </w:p>
        </w:tc>
        <w:tc>
          <w:tcPr>
            <w:tcW w:w="1097" w:type="dxa"/>
            <w:noWrap/>
            <w:tcMar>
              <w:top w:w="0" w:type="dxa"/>
              <w:left w:w="108" w:type="dxa"/>
              <w:bottom w:w="0" w:type="dxa"/>
              <w:right w:w="108" w:type="dxa"/>
            </w:tcMar>
            <w:vAlign w:val="center"/>
            <w:hideMark/>
          </w:tcPr>
          <w:p w14:paraId="45CAEE08" w14:textId="77777777" w:rsidR="00FC4056" w:rsidRDefault="00FC4056" w:rsidP="00331966">
            <w:pPr>
              <w:pStyle w:val="Tabletext"/>
              <w:rPr>
                <w:rFonts w:eastAsiaTheme="minorHAnsi" w:cs="Arial"/>
                <w:bCs/>
                <w:iCs/>
                <w:color w:val="AEC12D"/>
                <w:sz w:val="32"/>
                <w:szCs w:val="28"/>
              </w:rPr>
            </w:pPr>
            <w:r>
              <w:t>0.05</w:t>
            </w:r>
          </w:p>
        </w:tc>
        <w:tc>
          <w:tcPr>
            <w:tcW w:w="1098" w:type="dxa"/>
            <w:noWrap/>
            <w:tcMar>
              <w:top w:w="0" w:type="dxa"/>
              <w:left w:w="108" w:type="dxa"/>
              <w:bottom w:w="0" w:type="dxa"/>
              <w:right w:w="108" w:type="dxa"/>
            </w:tcMar>
            <w:vAlign w:val="center"/>
            <w:hideMark/>
          </w:tcPr>
          <w:p w14:paraId="151A83F2" w14:textId="77777777" w:rsidR="00FC4056" w:rsidRDefault="00FC4056" w:rsidP="00331966">
            <w:pPr>
              <w:pStyle w:val="Tabletext"/>
              <w:rPr>
                <w:rFonts w:eastAsiaTheme="minorHAnsi" w:cs="Arial"/>
                <w:bCs/>
                <w:iCs/>
                <w:color w:val="AEC12D"/>
                <w:sz w:val="32"/>
                <w:szCs w:val="28"/>
              </w:rPr>
            </w:pPr>
            <w:r>
              <w:t>0.05</w:t>
            </w:r>
          </w:p>
        </w:tc>
        <w:tc>
          <w:tcPr>
            <w:tcW w:w="1097" w:type="dxa"/>
            <w:noWrap/>
            <w:tcMar>
              <w:top w:w="0" w:type="dxa"/>
              <w:left w:w="108" w:type="dxa"/>
              <w:bottom w:w="0" w:type="dxa"/>
              <w:right w:w="108" w:type="dxa"/>
            </w:tcMar>
            <w:vAlign w:val="center"/>
            <w:hideMark/>
          </w:tcPr>
          <w:p w14:paraId="3544A8FE" w14:textId="77777777" w:rsidR="00FC4056" w:rsidRDefault="00FC4056" w:rsidP="00331966">
            <w:pPr>
              <w:pStyle w:val="Tabletext"/>
              <w:rPr>
                <w:rFonts w:eastAsiaTheme="minorHAnsi" w:cs="Arial"/>
                <w:bCs/>
                <w:iCs/>
                <w:color w:val="AEC12D"/>
                <w:sz w:val="32"/>
                <w:szCs w:val="28"/>
              </w:rPr>
            </w:pPr>
            <w:r>
              <w:t>0.05</w:t>
            </w:r>
          </w:p>
        </w:tc>
        <w:tc>
          <w:tcPr>
            <w:tcW w:w="1098" w:type="dxa"/>
            <w:noWrap/>
            <w:tcMar>
              <w:top w:w="0" w:type="dxa"/>
              <w:left w:w="108" w:type="dxa"/>
              <w:bottom w:w="0" w:type="dxa"/>
              <w:right w:w="108" w:type="dxa"/>
            </w:tcMar>
            <w:vAlign w:val="center"/>
            <w:hideMark/>
          </w:tcPr>
          <w:p w14:paraId="2613D617" w14:textId="77777777" w:rsidR="00FC4056" w:rsidRDefault="00FC4056" w:rsidP="00331966">
            <w:pPr>
              <w:pStyle w:val="Tabletext"/>
              <w:rPr>
                <w:rFonts w:eastAsiaTheme="minorHAnsi" w:cs="Arial"/>
                <w:bCs/>
                <w:iCs/>
                <w:color w:val="AEC12D"/>
                <w:sz w:val="32"/>
                <w:szCs w:val="28"/>
              </w:rPr>
            </w:pPr>
            <w:r>
              <w:t>0.05</w:t>
            </w:r>
          </w:p>
        </w:tc>
      </w:tr>
      <w:tr w:rsidR="00B22A62" w14:paraId="242367A4" w14:textId="77777777" w:rsidTr="00B22A62">
        <w:tc>
          <w:tcPr>
            <w:tcW w:w="1122" w:type="dxa"/>
            <w:noWrap/>
            <w:tcMar>
              <w:top w:w="0" w:type="dxa"/>
              <w:left w:w="108" w:type="dxa"/>
              <w:bottom w:w="0" w:type="dxa"/>
              <w:right w:w="108" w:type="dxa"/>
            </w:tcMar>
            <w:vAlign w:val="center"/>
            <w:hideMark/>
          </w:tcPr>
          <w:p w14:paraId="0F015B8A" w14:textId="77777777" w:rsidR="00FC4056" w:rsidRDefault="00FC4056" w:rsidP="00331966">
            <w:pPr>
              <w:pStyle w:val="Tabletext"/>
              <w:rPr>
                <w:rFonts w:eastAsiaTheme="minorHAnsi" w:cs="Arial"/>
                <w:bCs/>
                <w:iCs/>
                <w:color w:val="AEC12D"/>
                <w:sz w:val="32"/>
                <w:szCs w:val="28"/>
              </w:rPr>
            </w:pPr>
            <w:r>
              <w:t>319</w:t>
            </w:r>
          </w:p>
        </w:tc>
        <w:tc>
          <w:tcPr>
            <w:tcW w:w="1033" w:type="dxa"/>
            <w:noWrap/>
            <w:tcMar>
              <w:top w:w="0" w:type="dxa"/>
              <w:left w:w="108" w:type="dxa"/>
              <w:bottom w:w="0" w:type="dxa"/>
              <w:right w:w="108" w:type="dxa"/>
            </w:tcMar>
            <w:vAlign w:val="center"/>
            <w:hideMark/>
          </w:tcPr>
          <w:p w14:paraId="42217255" w14:textId="77777777" w:rsidR="00FC4056" w:rsidRDefault="00FC4056" w:rsidP="00331966">
            <w:pPr>
              <w:pStyle w:val="Tabletext"/>
              <w:rPr>
                <w:rFonts w:eastAsiaTheme="minorHAnsi" w:cs="Arial"/>
                <w:bCs/>
                <w:iCs/>
                <w:color w:val="AEC12D"/>
                <w:sz w:val="32"/>
                <w:szCs w:val="28"/>
              </w:rPr>
            </w:pPr>
            <w:r>
              <w:t>0.01</w:t>
            </w:r>
          </w:p>
        </w:tc>
        <w:tc>
          <w:tcPr>
            <w:tcW w:w="2212" w:type="dxa"/>
            <w:noWrap/>
            <w:tcMar>
              <w:top w:w="0" w:type="dxa"/>
              <w:left w:w="108" w:type="dxa"/>
              <w:bottom w:w="0" w:type="dxa"/>
              <w:right w:w="108" w:type="dxa"/>
            </w:tcMar>
            <w:vAlign w:val="center"/>
            <w:hideMark/>
          </w:tcPr>
          <w:p w14:paraId="182BFF5F"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6AF0A6D7"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2D3D8350" w14:textId="77777777" w:rsidR="00FC4056" w:rsidRDefault="00FC4056" w:rsidP="00331966">
            <w:pPr>
              <w:pStyle w:val="Tabletext"/>
              <w:rPr>
                <w:rFonts w:eastAsiaTheme="minorHAnsi" w:cs="Arial"/>
                <w:bCs/>
                <w:iCs/>
                <w:color w:val="AEC12D"/>
                <w:sz w:val="32"/>
                <w:szCs w:val="28"/>
              </w:rPr>
            </w:pPr>
            <w:r>
              <w:t>0.007</w:t>
            </w:r>
          </w:p>
        </w:tc>
        <w:tc>
          <w:tcPr>
            <w:tcW w:w="1098" w:type="dxa"/>
            <w:noWrap/>
            <w:tcMar>
              <w:top w:w="0" w:type="dxa"/>
              <w:left w:w="108" w:type="dxa"/>
              <w:bottom w:w="0" w:type="dxa"/>
              <w:right w:w="108" w:type="dxa"/>
            </w:tcMar>
            <w:vAlign w:val="center"/>
            <w:hideMark/>
          </w:tcPr>
          <w:p w14:paraId="2BE35B9F" w14:textId="77777777" w:rsidR="00FC4056" w:rsidRDefault="00FC4056" w:rsidP="00331966">
            <w:pPr>
              <w:pStyle w:val="Tabletext"/>
              <w:rPr>
                <w:rFonts w:eastAsiaTheme="minorHAnsi" w:cs="Arial"/>
                <w:bCs/>
                <w:iCs/>
                <w:color w:val="AEC12D"/>
                <w:sz w:val="32"/>
                <w:szCs w:val="28"/>
              </w:rPr>
            </w:pPr>
            <w:r>
              <w:t>0.007</w:t>
            </w:r>
          </w:p>
        </w:tc>
        <w:tc>
          <w:tcPr>
            <w:tcW w:w="1097" w:type="dxa"/>
            <w:noWrap/>
            <w:tcMar>
              <w:top w:w="0" w:type="dxa"/>
              <w:left w:w="108" w:type="dxa"/>
              <w:bottom w:w="0" w:type="dxa"/>
              <w:right w:w="108" w:type="dxa"/>
            </w:tcMar>
            <w:vAlign w:val="center"/>
            <w:hideMark/>
          </w:tcPr>
          <w:p w14:paraId="4C3EA825" w14:textId="77777777" w:rsidR="00FC4056" w:rsidRDefault="00FC4056" w:rsidP="00331966">
            <w:pPr>
              <w:pStyle w:val="Tabletext"/>
              <w:rPr>
                <w:rFonts w:eastAsiaTheme="minorHAnsi" w:cs="Arial"/>
                <w:bCs/>
                <w:iCs/>
                <w:color w:val="AEC12D"/>
                <w:sz w:val="32"/>
                <w:szCs w:val="28"/>
              </w:rPr>
            </w:pPr>
            <w:r>
              <w:t>0.007</w:t>
            </w:r>
          </w:p>
        </w:tc>
        <w:tc>
          <w:tcPr>
            <w:tcW w:w="1098" w:type="dxa"/>
            <w:noWrap/>
            <w:tcMar>
              <w:top w:w="0" w:type="dxa"/>
              <w:left w:w="108" w:type="dxa"/>
              <w:bottom w:w="0" w:type="dxa"/>
              <w:right w:w="108" w:type="dxa"/>
            </w:tcMar>
            <w:vAlign w:val="center"/>
            <w:hideMark/>
          </w:tcPr>
          <w:p w14:paraId="1AC574ED" w14:textId="77777777" w:rsidR="00FC4056" w:rsidRDefault="00FC4056" w:rsidP="00331966">
            <w:pPr>
              <w:pStyle w:val="Tabletext"/>
              <w:rPr>
                <w:rFonts w:eastAsiaTheme="minorHAnsi" w:cs="Arial"/>
                <w:bCs/>
                <w:iCs/>
                <w:color w:val="AEC12D"/>
                <w:sz w:val="32"/>
                <w:szCs w:val="28"/>
              </w:rPr>
            </w:pPr>
            <w:r>
              <w:t>0.007</w:t>
            </w:r>
          </w:p>
        </w:tc>
      </w:tr>
      <w:tr w:rsidR="00B22A62" w14:paraId="378DEBFF" w14:textId="77777777" w:rsidTr="00B22A62">
        <w:tc>
          <w:tcPr>
            <w:tcW w:w="1122" w:type="dxa"/>
            <w:noWrap/>
            <w:tcMar>
              <w:top w:w="0" w:type="dxa"/>
              <w:left w:w="108" w:type="dxa"/>
              <w:bottom w:w="0" w:type="dxa"/>
              <w:right w:w="108" w:type="dxa"/>
            </w:tcMar>
            <w:vAlign w:val="center"/>
            <w:hideMark/>
          </w:tcPr>
          <w:p w14:paraId="7D4BB340" w14:textId="77777777" w:rsidR="00FC4056" w:rsidRDefault="00FC4056" w:rsidP="00331966">
            <w:pPr>
              <w:pStyle w:val="Tabletext"/>
              <w:rPr>
                <w:rFonts w:eastAsiaTheme="minorHAnsi" w:cs="Arial"/>
                <w:bCs/>
                <w:iCs/>
                <w:color w:val="AEC12D"/>
                <w:sz w:val="32"/>
                <w:szCs w:val="28"/>
              </w:rPr>
            </w:pPr>
            <w:r>
              <w:t>320</w:t>
            </w:r>
          </w:p>
        </w:tc>
        <w:tc>
          <w:tcPr>
            <w:tcW w:w="1033" w:type="dxa"/>
            <w:noWrap/>
            <w:tcMar>
              <w:top w:w="0" w:type="dxa"/>
              <w:left w:w="108" w:type="dxa"/>
              <w:bottom w:w="0" w:type="dxa"/>
              <w:right w:w="108" w:type="dxa"/>
            </w:tcMar>
            <w:vAlign w:val="center"/>
            <w:hideMark/>
          </w:tcPr>
          <w:p w14:paraId="5C2892B0" w14:textId="77777777" w:rsidR="00FC4056" w:rsidRDefault="00FC4056" w:rsidP="00331966">
            <w:pPr>
              <w:pStyle w:val="Tabletext"/>
              <w:rPr>
                <w:rFonts w:eastAsiaTheme="minorHAnsi" w:cs="Arial"/>
                <w:bCs/>
                <w:iCs/>
                <w:color w:val="AEC12D"/>
                <w:sz w:val="32"/>
                <w:szCs w:val="28"/>
              </w:rPr>
            </w:pPr>
            <w:r>
              <w:t>0.03</w:t>
            </w:r>
          </w:p>
        </w:tc>
        <w:tc>
          <w:tcPr>
            <w:tcW w:w="2212" w:type="dxa"/>
            <w:noWrap/>
            <w:tcMar>
              <w:top w:w="0" w:type="dxa"/>
              <w:left w:w="108" w:type="dxa"/>
              <w:bottom w:w="0" w:type="dxa"/>
              <w:right w:w="108" w:type="dxa"/>
            </w:tcMar>
            <w:vAlign w:val="center"/>
            <w:hideMark/>
          </w:tcPr>
          <w:p w14:paraId="1B904E1F" w14:textId="77777777" w:rsidR="00FC4056" w:rsidRDefault="00FC4056" w:rsidP="00331966">
            <w:pPr>
              <w:pStyle w:val="Tabletext"/>
              <w:rPr>
                <w:rFonts w:eastAsiaTheme="minorHAnsi" w:cs="Arial"/>
                <w:bCs/>
                <w:iCs/>
                <w:color w:val="AEC12D"/>
                <w:sz w:val="32"/>
                <w:szCs w:val="28"/>
              </w:rPr>
            </w:pPr>
            <w:r>
              <w:t>0.03</w:t>
            </w:r>
          </w:p>
        </w:tc>
        <w:tc>
          <w:tcPr>
            <w:tcW w:w="1097" w:type="dxa"/>
            <w:noWrap/>
            <w:tcMar>
              <w:top w:w="0" w:type="dxa"/>
              <w:left w:w="108" w:type="dxa"/>
              <w:bottom w:w="0" w:type="dxa"/>
              <w:right w:w="108" w:type="dxa"/>
            </w:tcMar>
            <w:vAlign w:val="center"/>
            <w:hideMark/>
          </w:tcPr>
          <w:p w14:paraId="0A11A91F" w14:textId="77777777" w:rsidR="00FC4056" w:rsidRDefault="00FC4056" w:rsidP="00331966">
            <w:pPr>
              <w:pStyle w:val="Tabletext"/>
              <w:rPr>
                <w:rFonts w:eastAsiaTheme="minorHAnsi" w:cs="Arial"/>
                <w:bCs/>
                <w:iCs/>
                <w:color w:val="AEC12D"/>
                <w:sz w:val="32"/>
                <w:szCs w:val="28"/>
              </w:rPr>
            </w:pPr>
            <w:r>
              <w:t>0.03</w:t>
            </w:r>
          </w:p>
        </w:tc>
        <w:tc>
          <w:tcPr>
            <w:tcW w:w="1097" w:type="dxa"/>
            <w:noWrap/>
            <w:tcMar>
              <w:top w:w="0" w:type="dxa"/>
              <w:left w:w="108" w:type="dxa"/>
              <w:bottom w:w="0" w:type="dxa"/>
              <w:right w:w="108" w:type="dxa"/>
            </w:tcMar>
            <w:vAlign w:val="center"/>
            <w:hideMark/>
          </w:tcPr>
          <w:p w14:paraId="6291C408"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0D1A4279"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4374CE16"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7312E952" w14:textId="77777777" w:rsidR="00FC4056" w:rsidRDefault="00FC4056" w:rsidP="00331966">
            <w:pPr>
              <w:pStyle w:val="Tabletext"/>
              <w:rPr>
                <w:rFonts w:eastAsiaTheme="minorHAnsi" w:cs="Arial"/>
                <w:bCs/>
                <w:iCs/>
                <w:color w:val="AEC12D"/>
                <w:sz w:val="32"/>
                <w:szCs w:val="28"/>
              </w:rPr>
            </w:pPr>
            <w:r>
              <w:t>0.01</w:t>
            </w:r>
          </w:p>
        </w:tc>
      </w:tr>
      <w:tr w:rsidR="00B22A62" w14:paraId="23C1C97C" w14:textId="77777777" w:rsidTr="00B22A62">
        <w:tc>
          <w:tcPr>
            <w:tcW w:w="1122" w:type="dxa"/>
            <w:noWrap/>
            <w:tcMar>
              <w:top w:w="0" w:type="dxa"/>
              <w:left w:w="108" w:type="dxa"/>
              <w:bottom w:w="0" w:type="dxa"/>
              <w:right w:w="108" w:type="dxa"/>
            </w:tcMar>
            <w:vAlign w:val="center"/>
            <w:hideMark/>
          </w:tcPr>
          <w:p w14:paraId="5AA35D31" w14:textId="77777777" w:rsidR="00FC4056" w:rsidRDefault="00FC4056" w:rsidP="00331966">
            <w:pPr>
              <w:pStyle w:val="Tabletext"/>
              <w:rPr>
                <w:rFonts w:eastAsiaTheme="minorHAnsi" w:cs="Arial"/>
                <w:bCs/>
                <w:iCs/>
                <w:color w:val="AEC12D"/>
                <w:sz w:val="32"/>
                <w:szCs w:val="28"/>
              </w:rPr>
            </w:pPr>
            <w:r>
              <w:t>321</w:t>
            </w:r>
          </w:p>
        </w:tc>
        <w:tc>
          <w:tcPr>
            <w:tcW w:w="1033" w:type="dxa"/>
            <w:noWrap/>
            <w:tcMar>
              <w:top w:w="0" w:type="dxa"/>
              <w:left w:w="108" w:type="dxa"/>
              <w:bottom w:w="0" w:type="dxa"/>
              <w:right w:w="108" w:type="dxa"/>
            </w:tcMar>
            <w:vAlign w:val="center"/>
            <w:hideMark/>
          </w:tcPr>
          <w:p w14:paraId="483B0C8C" w14:textId="77777777" w:rsidR="00FC4056" w:rsidRDefault="00FC4056" w:rsidP="00331966">
            <w:pPr>
              <w:pStyle w:val="Tabletext"/>
              <w:rPr>
                <w:rFonts w:eastAsiaTheme="minorHAnsi" w:cs="Arial"/>
                <w:bCs/>
                <w:iCs/>
                <w:color w:val="AEC12D"/>
                <w:sz w:val="32"/>
                <w:szCs w:val="28"/>
              </w:rPr>
            </w:pPr>
            <w:r>
              <w:t>0.02</w:t>
            </w:r>
          </w:p>
        </w:tc>
        <w:tc>
          <w:tcPr>
            <w:tcW w:w="2212" w:type="dxa"/>
            <w:noWrap/>
            <w:tcMar>
              <w:top w:w="0" w:type="dxa"/>
              <w:left w:w="108" w:type="dxa"/>
              <w:bottom w:w="0" w:type="dxa"/>
              <w:right w:w="108" w:type="dxa"/>
            </w:tcMar>
            <w:vAlign w:val="center"/>
            <w:hideMark/>
          </w:tcPr>
          <w:p w14:paraId="1C5D3858" w14:textId="77777777" w:rsidR="00FC4056" w:rsidRDefault="00FC4056" w:rsidP="00331966">
            <w:pPr>
              <w:pStyle w:val="Tabletext"/>
              <w:rPr>
                <w:rFonts w:eastAsiaTheme="minorHAnsi" w:cs="Arial"/>
                <w:bCs/>
                <w:iCs/>
                <w:color w:val="AEC12D"/>
                <w:sz w:val="32"/>
                <w:szCs w:val="28"/>
              </w:rPr>
            </w:pPr>
            <w:r>
              <w:t>0.02</w:t>
            </w:r>
          </w:p>
        </w:tc>
        <w:tc>
          <w:tcPr>
            <w:tcW w:w="1097" w:type="dxa"/>
            <w:noWrap/>
            <w:tcMar>
              <w:top w:w="0" w:type="dxa"/>
              <w:left w:w="108" w:type="dxa"/>
              <w:bottom w:w="0" w:type="dxa"/>
              <w:right w:w="108" w:type="dxa"/>
            </w:tcMar>
            <w:vAlign w:val="center"/>
            <w:hideMark/>
          </w:tcPr>
          <w:p w14:paraId="3F474782" w14:textId="77777777" w:rsidR="00FC4056" w:rsidRDefault="00FC4056" w:rsidP="00331966">
            <w:pPr>
              <w:pStyle w:val="Tabletext"/>
              <w:rPr>
                <w:rFonts w:eastAsiaTheme="minorHAnsi" w:cs="Arial"/>
                <w:bCs/>
                <w:iCs/>
                <w:color w:val="AEC12D"/>
                <w:sz w:val="32"/>
                <w:szCs w:val="28"/>
              </w:rPr>
            </w:pPr>
            <w:r>
              <w:t>0.02</w:t>
            </w:r>
          </w:p>
        </w:tc>
        <w:tc>
          <w:tcPr>
            <w:tcW w:w="1097" w:type="dxa"/>
            <w:noWrap/>
            <w:tcMar>
              <w:top w:w="0" w:type="dxa"/>
              <w:left w:w="108" w:type="dxa"/>
              <w:bottom w:w="0" w:type="dxa"/>
              <w:right w:w="108" w:type="dxa"/>
            </w:tcMar>
            <w:vAlign w:val="center"/>
            <w:hideMark/>
          </w:tcPr>
          <w:p w14:paraId="2C8F2144"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09FBFBC8"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22F6E579"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74CE272C" w14:textId="77777777" w:rsidR="00FC4056" w:rsidRDefault="00FC4056" w:rsidP="00331966">
            <w:pPr>
              <w:pStyle w:val="Tabletext"/>
              <w:rPr>
                <w:rFonts w:eastAsiaTheme="minorHAnsi" w:cs="Arial"/>
                <w:bCs/>
                <w:iCs/>
                <w:color w:val="AEC12D"/>
                <w:sz w:val="32"/>
                <w:szCs w:val="28"/>
              </w:rPr>
            </w:pPr>
            <w:r>
              <w:t>0.01</w:t>
            </w:r>
          </w:p>
        </w:tc>
      </w:tr>
      <w:tr w:rsidR="00B22A62" w14:paraId="06777121" w14:textId="77777777" w:rsidTr="00B22A62">
        <w:tc>
          <w:tcPr>
            <w:tcW w:w="1122" w:type="dxa"/>
            <w:noWrap/>
            <w:tcMar>
              <w:top w:w="0" w:type="dxa"/>
              <w:left w:w="108" w:type="dxa"/>
              <w:bottom w:w="0" w:type="dxa"/>
              <w:right w:w="108" w:type="dxa"/>
            </w:tcMar>
            <w:vAlign w:val="center"/>
            <w:hideMark/>
          </w:tcPr>
          <w:p w14:paraId="5C5B4F52" w14:textId="77777777" w:rsidR="00FC4056" w:rsidRDefault="00FC4056" w:rsidP="00331966">
            <w:pPr>
              <w:pStyle w:val="Tabletext"/>
              <w:rPr>
                <w:rFonts w:eastAsiaTheme="minorHAnsi" w:cs="Arial"/>
                <w:bCs/>
                <w:iCs/>
                <w:color w:val="AEC12D"/>
                <w:sz w:val="32"/>
                <w:szCs w:val="28"/>
              </w:rPr>
            </w:pPr>
            <w:r>
              <w:t>322</w:t>
            </w:r>
          </w:p>
        </w:tc>
        <w:tc>
          <w:tcPr>
            <w:tcW w:w="1033" w:type="dxa"/>
            <w:noWrap/>
            <w:tcMar>
              <w:top w:w="0" w:type="dxa"/>
              <w:left w:w="108" w:type="dxa"/>
              <w:bottom w:w="0" w:type="dxa"/>
              <w:right w:w="108" w:type="dxa"/>
            </w:tcMar>
            <w:vAlign w:val="center"/>
            <w:hideMark/>
          </w:tcPr>
          <w:p w14:paraId="35FEDC40" w14:textId="77777777" w:rsidR="00FC4056" w:rsidRDefault="00FC4056" w:rsidP="00331966">
            <w:pPr>
              <w:pStyle w:val="Tabletext"/>
              <w:rPr>
                <w:rFonts w:eastAsiaTheme="minorHAnsi" w:cs="Arial"/>
                <w:bCs/>
                <w:iCs/>
                <w:color w:val="AEC12D"/>
                <w:sz w:val="32"/>
                <w:szCs w:val="28"/>
              </w:rPr>
            </w:pPr>
            <w:r>
              <w:t>0.03</w:t>
            </w:r>
          </w:p>
        </w:tc>
        <w:tc>
          <w:tcPr>
            <w:tcW w:w="2212" w:type="dxa"/>
            <w:noWrap/>
            <w:tcMar>
              <w:top w:w="0" w:type="dxa"/>
              <w:left w:w="108" w:type="dxa"/>
              <w:bottom w:w="0" w:type="dxa"/>
              <w:right w:w="108" w:type="dxa"/>
            </w:tcMar>
            <w:vAlign w:val="center"/>
            <w:hideMark/>
          </w:tcPr>
          <w:p w14:paraId="0D544677" w14:textId="77777777" w:rsidR="00FC4056" w:rsidRDefault="00FC4056" w:rsidP="00331966">
            <w:pPr>
              <w:pStyle w:val="Tabletext"/>
              <w:rPr>
                <w:rFonts w:eastAsiaTheme="minorHAnsi" w:cs="Arial"/>
                <w:bCs/>
                <w:iCs/>
                <w:color w:val="AEC12D"/>
                <w:sz w:val="32"/>
                <w:szCs w:val="28"/>
              </w:rPr>
            </w:pPr>
            <w:r>
              <w:t>0.03</w:t>
            </w:r>
          </w:p>
        </w:tc>
        <w:tc>
          <w:tcPr>
            <w:tcW w:w="1097" w:type="dxa"/>
            <w:noWrap/>
            <w:tcMar>
              <w:top w:w="0" w:type="dxa"/>
              <w:left w:w="108" w:type="dxa"/>
              <w:bottom w:w="0" w:type="dxa"/>
              <w:right w:w="108" w:type="dxa"/>
            </w:tcMar>
            <w:vAlign w:val="center"/>
            <w:hideMark/>
          </w:tcPr>
          <w:p w14:paraId="751FF415" w14:textId="77777777" w:rsidR="00FC4056" w:rsidRDefault="00FC4056" w:rsidP="00331966">
            <w:pPr>
              <w:pStyle w:val="Tabletext"/>
              <w:rPr>
                <w:rFonts w:eastAsiaTheme="minorHAnsi" w:cs="Arial"/>
                <w:bCs/>
                <w:iCs/>
                <w:color w:val="AEC12D"/>
                <w:sz w:val="32"/>
                <w:szCs w:val="28"/>
              </w:rPr>
            </w:pPr>
            <w:r>
              <w:t>0.03</w:t>
            </w:r>
          </w:p>
        </w:tc>
        <w:tc>
          <w:tcPr>
            <w:tcW w:w="1097" w:type="dxa"/>
            <w:noWrap/>
            <w:tcMar>
              <w:top w:w="0" w:type="dxa"/>
              <w:left w:w="108" w:type="dxa"/>
              <w:bottom w:w="0" w:type="dxa"/>
              <w:right w:w="108" w:type="dxa"/>
            </w:tcMar>
            <w:vAlign w:val="center"/>
            <w:hideMark/>
          </w:tcPr>
          <w:p w14:paraId="65E3B3F3" w14:textId="77777777" w:rsidR="00FC4056" w:rsidRDefault="00FC4056" w:rsidP="00331966">
            <w:pPr>
              <w:pStyle w:val="Tabletext"/>
              <w:rPr>
                <w:rFonts w:eastAsiaTheme="minorHAnsi" w:cs="Arial"/>
                <w:bCs/>
                <w:iCs/>
                <w:color w:val="AEC12D"/>
                <w:sz w:val="32"/>
                <w:szCs w:val="28"/>
              </w:rPr>
            </w:pPr>
            <w:r>
              <w:t>0.02</w:t>
            </w:r>
          </w:p>
        </w:tc>
        <w:tc>
          <w:tcPr>
            <w:tcW w:w="1098" w:type="dxa"/>
            <w:noWrap/>
            <w:tcMar>
              <w:top w:w="0" w:type="dxa"/>
              <w:left w:w="108" w:type="dxa"/>
              <w:bottom w:w="0" w:type="dxa"/>
              <w:right w:w="108" w:type="dxa"/>
            </w:tcMar>
            <w:vAlign w:val="center"/>
            <w:hideMark/>
          </w:tcPr>
          <w:p w14:paraId="6B7B67E3" w14:textId="77777777" w:rsidR="00FC4056" w:rsidRDefault="00FC4056" w:rsidP="00331966">
            <w:pPr>
              <w:pStyle w:val="Tabletext"/>
              <w:rPr>
                <w:rFonts w:eastAsiaTheme="minorHAnsi" w:cs="Arial"/>
                <w:bCs/>
                <w:iCs/>
                <w:color w:val="AEC12D"/>
                <w:sz w:val="32"/>
                <w:szCs w:val="28"/>
              </w:rPr>
            </w:pPr>
            <w:r>
              <w:t>0.02</w:t>
            </w:r>
          </w:p>
        </w:tc>
        <w:tc>
          <w:tcPr>
            <w:tcW w:w="1097" w:type="dxa"/>
            <w:noWrap/>
            <w:tcMar>
              <w:top w:w="0" w:type="dxa"/>
              <w:left w:w="108" w:type="dxa"/>
              <w:bottom w:w="0" w:type="dxa"/>
              <w:right w:w="108" w:type="dxa"/>
            </w:tcMar>
            <w:vAlign w:val="center"/>
            <w:hideMark/>
          </w:tcPr>
          <w:p w14:paraId="784D5DE8" w14:textId="77777777" w:rsidR="00FC4056" w:rsidRDefault="00FC4056" w:rsidP="00331966">
            <w:pPr>
              <w:pStyle w:val="Tabletext"/>
              <w:rPr>
                <w:rFonts w:eastAsiaTheme="minorHAnsi" w:cs="Arial"/>
                <w:bCs/>
                <w:iCs/>
                <w:color w:val="AEC12D"/>
                <w:sz w:val="32"/>
                <w:szCs w:val="28"/>
              </w:rPr>
            </w:pPr>
            <w:r>
              <w:t>0.02</w:t>
            </w:r>
          </w:p>
        </w:tc>
        <w:tc>
          <w:tcPr>
            <w:tcW w:w="1098" w:type="dxa"/>
            <w:noWrap/>
            <w:tcMar>
              <w:top w:w="0" w:type="dxa"/>
              <w:left w:w="108" w:type="dxa"/>
              <w:bottom w:w="0" w:type="dxa"/>
              <w:right w:w="108" w:type="dxa"/>
            </w:tcMar>
            <w:vAlign w:val="center"/>
            <w:hideMark/>
          </w:tcPr>
          <w:p w14:paraId="4B188371" w14:textId="77777777" w:rsidR="00FC4056" w:rsidRDefault="00FC4056" w:rsidP="00331966">
            <w:pPr>
              <w:pStyle w:val="Tabletext"/>
              <w:rPr>
                <w:rFonts w:eastAsiaTheme="minorHAnsi" w:cs="Arial"/>
                <w:bCs/>
                <w:iCs/>
                <w:color w:val="AEC12D"/>
                <w:sz w:val="32"/>
                <w:szCs w:val="28"/>
              </w:rPr>
            </w:pPr>
            <w:r>
              <w:t>0.02</w:t>
            </w:r>
          </w:p>
        </w:tc>
      </w:tr>
      <w:tr w:rsidR="00B22A62" w14:paraId="3C9D3C59" w14:textId="77777777" w:rsidTr="00B22A62">
        <w:tc>
          <w:tcPr>
            <w:tcW w:w="1122" w:type="dxa"/>
            <w:noWrap/>
            <w:tcMar>
              <w:top w:w="0" w:type="dxa"/>
              <w:left w:w="108" w:type="dxa"/>
              <w:bottom w:w="0" w:type="dxa"/>
              <w:right w:w="108" w:type="dxa"/>
            </w:tcMar>
            <w:vAlign w:val="center"/>
            <w:hideMark/>
          </w:tcPr>
          <w:p w14:paraId="2F3BA1C2" w14:textId="77777777" w:rsidR="00FC4056" w:rsidRDefault="00FC4056" w:rsidP="00331966">
            <w:pPr>
              <w:pStyle w:val="Tabletext"/>
              <w:rPr>
                <w:rFonts w:eastAsiaTheme="minorHAnsi" w:cs="Arial"/>
                <w:bCs/>
                <w:iCs/>
                <w:color w:val="AEC12D"/>
                <w:sz w:val="32"/>
                <w:szCs w:val="28"/>
              </w:rPr>
            </w:pPr>
            <w:r>
              <w:t>354</w:t>
            </w:r>
          </w:p>
        </w:tc>
        <w:tc>
          <w:tcPr>
            <w:tcW w:w="1033" w:type="dxa"/>
            <w:noWrap/>
            <w:tcMar>
              <w:top w:w="0" w:type="dxa"/>
              <w:left w:w="108" w:type="dxa"/>
              <w:bottom w:w="0" w:type="dxa"/>
              <w:right w:w="108" w:type="dxa"/>
            </w:tcMar>
            <w:vAlign w:val="center"/>
            <w:hideMark/>
          </w:tcPr>
          <w:p w14:paraId="1DB94DBF" w14:textId="77777777" w:rsidR="00FC4056" w:rsidRDefault="00FC4056" w:rsidP="00331966">
            <w:pPr>
              <w:pStyle w:val="Tabletext"/>
              <w:rPr>
                <w:rFonts w:eastAsiaTheme="minorHAnsi" w:cs="Arial"/>
                <w:bCs/>
                <w:iCs/>
                <w:color w:val="AEC12D"/>
                <w:sz w:val="32"/>
                <w:szCs w:val="28"/>
              </w:rPr>
            </w:pPr>
            <w:r>
              <w:t>0.05</w:t>
            </w:r>
          </w:p>
        </w:tc>
        <w:tc>
          <w:tcPr>
            <w:tcW w:w="2212" w:type="dxa"/>
            <w:noWrap/>
            <w:tcMar>
              <w:top w:w="0" w:type="dxa"/>
              <w:left w:w="108" w:type="dxa"/>
              <w:bottom w:w="0" w:type="dxa"/>
              <w:right w:w="108" w:type="dxa"/>
            </w:tcMar>
            <w:vAlign w:val="center"/>
            <w:hideMark/>
          </w:tcPr>
          <w:p w14:paraId="68E849B0" w14:textId="77777777" w:rsidR="00FC4056" w:rsidRDefault="00FC4056" w:rsidP="00331966">
            <w:pPr>
              <w:pStyle w:val="Tabletext"/>
              <w:rPr>
                <w:rFonts w:eastAsiaTheme="minorHAnsi" w:cs="Arial"/>
                <w:bCs/>
                <w:iCs/>
                <w:color w:val="AEC12D"/>
                <w:sz w:val="32"/>
                <w:szCs w:val="28"/>
              </w:rPr>
            </w:pPr>
            <w:r>
              <w:t>0.05</w:t>
            </w:r>
          </w:p>
        </w:tc>
        <w:tc>
          <w:tcPr>
            <w:tcW w:w="1097" w:type="dxa"/>
            <w:noWrap/>
            <w:tcMar>
              <w:top w:w="0" w:type="dxa"/>
              <w:left w:w="108" w:type="dxa"/>
              <w:bottom w:w="0" w:type="dxa"/>
              <w:right w:w="108" w:type="dxa"/>
            </w:tcMar>
            <w:vAlign w:val="center"/>
            <w:hideMark/>
          </w:tcPr>
          <w:p w14:paraId="325FD2B5" w14:textId="77777777" w:rsidR="00FC4056" w:rsidRDefault="00FC4056" w:rsidP="00331966">
            <w:pPr>
              <w:pStyle w:val="Tabletext"/>
              <w:rPr>
                <w:rFonts w:eastAsiaTheme="minorHAnsi" w:cs="Arial"/>
                <w:bCs/>
                <w:iCs/>
                <w:color w:val="AEC12D"/>
                <w:sz w:val="32"/>
                <w:szCs w:val="28"/>
              </w:rPr>
            </w:pPr>
            <w:r>
              <w:t>0.05</w:t>
            </w:r>
          </w:p>
        </w:tc>
        <w:tc>
          <w:tcPr>
            <w:tcW w:w="1097" w:type="dxa"/>
            <w:noWrap/>
            <w:tcMar>
              <w:top w:w="0" w:type="dxa"/>
              <w:left w:w="108" w:type="dxa"/>
              <w:bottom w:w="0" w:type="dxa"/>
              <w:right w:w="108" w:type="dxa"/>
            </w:tcMar>
            <w:vAlign w:val="center"/>
            <w:hideMark/>
          </w:tcPr>
          <w:p w14:paraId="21234791" w14:textId="77777777" w:rsidR="00FC4056" w:rsidRDefault="00FC4056" w:rsidP="00331966">
            <w:pPr>
              <w:pStyle w:val="Tabletext"/>
              <w:rPr>
                <w:rFonts w:eastAsiaTheme="minorHAnsi" w:cs="Arial"/>
                <w:bCs/>
                <w:iCs/>
                <w:color w:val="AEC12D"/>
                <w:sz w:val="32"/>
                <w:szCs w:val="28"/>
              </w:rPr>
            </w:pPr>
            <w:r>
              <w:t>0.03</w:t>
            </w:r>
          </w:p>
        </w:tc>
        <w:tc>
          <w:tcPr>
            <w:tcW w:w="1098" w:type="dxa"/>
            <w:noWrap/>
            <w:tcMar>
              <w:top w:w="0" w:type="dxa"/>
              <w:left w:w="108" w:type="dxa"/>
              <w:bottom w:w="0" w:type="dxa"/>
              <w:right w:w="108" w:type="dxa"/>
            </w:tcMar>
            <w:vAlign w:val="center"/>
            <w:hideMark/>
          </w:tcPr>
          <w:p w14:paraId="617D4909" w14:textId="77777777" w:rsidR="00FC4056" w:rsidRDefault="00FC4056" w:rsidP="00331966">
            <w:pPr>
              <w:pStyle w:val="Tabletext"/>
              <w:rPr>
                <w:rFonts w:eastAsiaTheme="minorHAnsi" w:cs="Arial"/>
                <w:bCs/>
                <w:iCs/>
                <w:color w:val="AEC12D"/>
                <w:sz w:val="32"/>
                <w:szCs w:val="28"/>
              </w:rPr>
            </w:pPr>
            <w:r>
              <w:t>0.03</w:t>
            </w:r>
          </w:p>
        </w:tc>
        <w:tc>
          <w:tcPr>
            <w:tcW w:w="1097" w:type="dxa"/>
            <w:noWrap/>
            <w:tcMar>
              <w:top w:w="0" w:type="dxa"/>
              <w:left w:w="108" w:type="dxa"/>
              <w:bottom w:w="0" w:type="dxa"/>
              <w:right w:w="108" w:type="dxa"/>
            </w:tcMar>
            <w:vAlign w:val="center"/>
            <w:hideMark/>
          </w:tcPr>
          <w:p w14:paraId="1E67C36D" w14:textId="77777777" w:rsidR="00FC4056" w:rsidRDefault="00FC4056" w:rsidP="00331966">
            <w:pPr>
              <w:pStyle w:val="Tabletext"/>
              <w:rPr>
                <w:rFonts w:eastAsiaTheme="minorHAnsi" w:cs="Arial"/>
                <w:bCs/>
                <w:iCs/>
                <w:color w:val="AEC12D"/>
                <w:sz w:val="32"/>
                <w:szCs w:val="28"/>
              </w:rPr>
            </w:pPr>
            <w:r>
              <w:t>0.03</w:t>
            </w:r>
          </w:p>
        </w:tc>
        <w:tc>
          <w:tcPr>
            <w:tcW w:w="1098" w:type="dxa"/>
            <w:noWrap/>
            <w:tcMar>
              <w:top w:w="0" w:type="dxa"/>
              <w:left w:w="108" w:type="dxa"/>
              <w:bottom w:w="0" w:type="dxa"/>
              <w:right w:w="108" w:type="dxa"/>
            </w:tcMar>
            <w:vAlign w:val="center"/>
            <w:hideMark/>
          </w:tcPr>
          <w:p w14:paraId="0DC0E852" w14:textId="77777777" w:rsidR="00FC4056" w:rsidRDefault="00FC4056" w:rsidP="00331966">
            <w:pPr>
              <w:pStyle w:val="Tabletext"/>
              <w:rPr>
                <w:rFonts w:eastAsiaTheme="minorHAnsi" w:cs="Arial"/>
                <w:bCs/>
                <w:iCs/>
                <w:color w:val="AEC12D"/>
                <w:sz w:val="32"/>
                <w:szCs w:val="28"/>
              </w:rPr>
            </w:pPr>
            <w:r>
              <w:t>0.03</w:t>
            </w:r>
          </w:p>
        </w:tc>
      </w:tr>
      <w:tr w:rsidR="00B22A62" w14:paraId="1115CA96" w14:textId="77777777" w:rsidTr="00B22A62">
        <w:tc>
          <w:tcPr>
            <w:tcW w:w="1122" w:type="dxa"/>
            <w:noWrap/>
            <w:tcMar>
              <w:top w:w="0" w:type="dxa"/>
              <w:left w:w="108" w:type="dxa"/>
              <w:bottom w:w="0" w:type="dxa"/>
              <w:right w:w="108" w:type="dxa"/>
            </w:tcMar>
            <w:vAlign w:val="center"/>
            <w:hideMark/>
          </w:tcPr>
          <w:p w14:paraId="772102C3" w14:textId="77777777" w:rsidR="00FC4056" w:rsidRDefault="00FC4056" w:rsidP="00331966">
            <w:pPr>
              <w:pStyle w:val="Tabletext"/>
              <w:rPr>
                <w:rFonts w:eastAsiaTheme="minorHAnsi" w:cs="Arial"/>
                <w:bCs/>
                <w:iCs/>
                <w:color w:val="AEC12D"/>
                <w:sz w:val="32"/>
                <w:szCs w:val="28"/>
              </w:rPr>
            </w:pPr>
            <w:r>
              <w:t>381</w:t>
            </w:r>
          </w:p>
        </w:tc>
        <w:tc>
          <w:tcPr>
            <w:tcW w:w="1033" w:type="dxa"/>
            <w:noWrap/>
            <w:tcMar>
              <w:top w:w="0" w:type="dxa"/>
              <w:left w:w="108" w:type="dxa"/>
              <w:bottom w:w="0" w:type="dxa"/>
              <w:right w:w="108" w:type="dxa"/>
            </w:tcMar>
            <w:vAlign w:val="center"/>
            <w:hideMark/>
          </w:tcPr>
          <w:p w14:paraId="4873EA46" w14:textId="77777777" w:rsidR="00FC4056" w:rsidRDefault="00FC4056" w:rsidP="00331966">
            <w:pPr>
              <w:pStyle w:val="Tabletext"/>
              <w:rPr>
                <w:rFonts w:eastAsiaTheme="minorHAnsi" w:cs="Arial"/>
                <w:bCs/>
                <w:iCs/>
                <w:color w:val="AEC12D"/>
                <w:sz w:val="32"/>
                <w:szCs w:val="28"/>
              </w:rPr>
            </w:pPr>
            <w:r>
              <w:t>0.0008</w:t>
            </w:r>
          </w:p>
        </w:tc>
        <w:tc>
          <w:tcPr>
            <w:tcW w:w="2212" w:type="dxa"/>
            <w:noWrap/>
            <w:tcMar>
              <w:top w:w="0" w:type="dxa"/>
              <w:left w:w="108" w:type="dxa"/>
              <w:bottom w:w="0" w:type="dxa"/>
              <w:right w:w="108" w:type="dxa"/>
            </w:tcMar>
            <w:vAlign w:val="center"/>
            <w:hideMark/>
          </w:tcPr>
          <w:p w14:paraId="21EF6DCD" w14:textId="77777777" w:rsidR="00FC4056" w:rsidRDefault="00FC4056" w:rsidP="00331966">
            <w:pPr>
              <w:pStyle w:val="Tabletext"/>
              <w:rPr>
                <w:rFonts w:eastAsiaTheme="minorHAnsi" w:cs="Arial"/>
                <w:bCs/>
                <w:iCs/>
                <w:color w:val="AEC12D"/>
                <w:sz w:val="32"/>
                <w:szCs w:val="28"/>
              </w:rPr>
            </w:pPr>
            <w:r>
              <w:t>0.0008</w:t>
            </w:r>
          </w:p>
        </w:tc>
        <w:tc>
          <w:tcPr>
            <w:tcW w:w="1097" w:type="dxa"/>
            <w:noWrap/>
            <w:tcMar>
              <w:top w:w="0" w:type="dxa"/>
              <w:left w:w="108" w:type="dxa"/>
              <w:bottom w:w="0" w:type="dxa"/>
              <w:right w:w="108" w:type="dxa"/>
            </w:tcMar>
            <w:vAlign w:val="center"/>
            <w:hideMark/>
          </w:tcPr>
          <w:p w14:paraId="79541A4D" w14:textId="77777777" w:rsidR="00FC4056" w:rsidRDefault="00FC4056" w:rsidP="00331966">
            <w:pPr>
              <w:pStyle w:val="Tabletext"/>
              <w:rPr>
                <w:rFonts w:eastAsiaTheme="minorHAnsi" w:cs="Arial"/>
                <w:bCs/>
                <w:iCs/>
                <w:color w:val="AEC12D"/>
                <w:sz w:val="32"/>
                <w:szCs w:val="28"/>
              </w:rPr>
            </w:pPr>
            <w:r>
              <w:t>0.0007</w:t>
            </w:r>
          </w:p>
        </w:tc>
        <w:tc>
          <w:tcPr>
            <w:tcW w:w="1097" w:type="dxa"/>
            <w:noWrap/>
            <w:tcMar>
              <w:top w:w="0" w:type="dxa"/>
              <w:left w:w="108" w:type="dxa"/>
              <w:bottom w:w="0" w:type="dxa"/>
              <w:right w:w="108" w:type="dxa"/>
            </w:tcMar>
            <w:vAlign w:val="center"/>
            <w:hideMark/>
          </w:tcPr>
          <w:p w14:paraId="2A81EB18" w14:textId="77777777" w:rsidR="00FC4056" w:rsidRDefault="00FC4056" w:rsidP="00331966">
            <w:pPr>
              <w:pStyle w:val="Tabletext"/>
              <w:rPr>
                <w:rFonts w:eastAsiaTheme="minorHAnsi" w:cs="Arial"/>
                <w:bCs/>
                <w:iCs/>
                <w:color w:val="AEC12D"/>
                <w:sz w:val="32"/>
                <w:szCs w:val="28"/>
              </w:rPr>
            </w:pPr>
            <w:r>
              <w:t>0.0006</w:t>
            </w:r>
          </w:p>
        </w:tc>
        <w:tc>
          <w:tcPr>
            <w:tcW w:w="1098" w:type="dxa"/>
            <w:noWrap/>
            <w:tcMar>
              <w:top w:w="0" w:type="dxa"/>
              <w:left w:w="108" w:type="dxa"/>
              <w:bottom w:w="0" w:type="dxa"/>
              <w:right w:w="108" w:type="dxa"/>
            </w:tcMar>
            <w:vAlign w:val="center"/>
            <w:hideMark/>
          </w:tcPr>
          <w:p w14:paraId="5524B994" w14:textId="77777777" w:rsidR="00FC4056" w:rsidRDefault="00FC4056" w:rsidP="00331966">
            <w:pPr>
              <w:pStyle w:val="Tabletext"/>
              <w:rPr>
                <w:rFonts w:eastAsiaTheme="minorHAnsi" w:cs="Arial"/>
                <w:bCs/>
                <w:iCs/>
                <w:color w:val="AEC12D"/>
                <w:sz w:val="32"/>
                <w:szCs w:val="28"/>
              </w:rPr>
            </w:pPr>
            <w:r>
              <w:t>0.0006</w:t>
            </w:r>
          </w:p>
        </w:tc>
        <w:tc>
          <w:tcPr>
            <w:tcW w:w="1097" w:type="dxa"/>
            <w:noWrap/>
            <w:tcMar>
              <w:top w:w="0" w:type="dxa"/>
              <w:left w:w="108" w:type="dxa"/>
              <w:bottom w:w="0" w:type="dxa"/>
              <w:right w:w="108" w:type="dxa"/>
            </w:tcMar>
            <w:vAlign w:val="center"/>
            <w:hideMark/>
          </w:tcPr>
          <w:p w14:paraId="7CF05600" w14:textId="77777777" w:rsidR="00FC4056" w:rsidRDefault="00FC4056" w:rsidP="00331966">
            <w:pPr>
              <w:pStyle w:val="Tabletext"/>
              <w:rPr>
                <w:rFonts w:eastAsiaTheme="minorHAnsi" w:cs="Arial"/>
                <w:bCs/>
                <w:iCs/>
                <w:color w:val="AEC12D"/>
                <w:sz w:val="32"/>
                <w:szCs w:val="28"/>
              </w:rPr>
            </w:pPr>
            <w:r>
              <w:t>0.0006</w:t>
            </w:r>
          </w:p>
        </w:tc>
        <w:tc>
          <w:tcPr>
            <w:tcW w:w="1098" w:type="dxa"/>
            <w:noWrap/>
            <w:tcMar>
              <w:top w:w="0" w:type="dxa"/>
              <w:left w:w="108" w:type="dxa"/>
              <w:bottom w:w="0" w:type="dxa"/>
              <w:right w:w="108" w:type="dxa"/>
            </w:tcMar>
            <w:vAlign w:val="center"/>
            <w:hideMark/>
          </w:tcPr>
          <w:p w14:paraId="2B204C24" w14:textId="77777777" w:rsidR="00FC4056" w:rsidRDefault="00FC4056" w:rsidP="00331966">
            <w:pPr>
              <w:pStyle w:val="Tabletext"/>
              <w:rPr>
                <w:rFonts w:eastAsiaTheme="minorHAnsi" w:cs="Arial"/>
                <w:bCs/>
                <w:iCs/>
                <w:color w:val="AEC12D"/>
                <w:sz w:val="32"/>
                <w:szCs w:val="28"/>
              </w:rPr>
            </w:pPr>
            <w:r>
              <w:t>0.0006</w:t>
            </w:r>
          </w:p>
        </w:tc>
      </w:tr>
      <w:tr w:rsidR="00B22A62" w14:paraId="61F2A1C8" w14:textId="77777777" w:rsidTr="00B22A62">
        <w:tc>
          <w:tcPr>
            <w:tcW w:w="1122" w:type="dxa"/>
            <w:noWrap/>
            <w:tcMar>
              <w:top w:w="0" w:type="dxa"/>
              <w:left w:w="108" w:type="dxa"/>
              <w:bottom w:w="0" w:type="dxa"/>
              <w:right w:w="108" w:type="dxa"/>
            </w:tcMar>
            <w:vAlign w:val="center"/>
            <w:hideMark/>
          </w:tcPr>
          <w:p w14:paraId="0C09973D" w14:textId="77777777" w:rsidR="00FC4056" w:rsidRDefault="00FC4056" w:rsidP="00331966">
            <w:pPr>
              <w:pStyle w:val="Tabletext"/>
              <w:rPr>
                <w:rFonts w:eastAsiaTheme="minorHAnsi" w:cs="Arial"/>
                <w:bCs/>
                <w:iCs/>
                <w:color w:val="AEC12D"/>
                <w:sz w:val="32"/>
                <w:szCs w:val="28"/>
              </w:rPr>
            </w:pPr>
            <w:r>
              <w:t>382</w:t>
            </w:r>
          </w:p>
        </w:tc>
        <w:tc>
          <w:tcPr>
            <w:tcW w:w="1033" w:type="dxa"/>
            <w:noWrap/>
            <w:tcMar>
              <w:top w:w="0" w:type="dxa"/>
              <w:left w:w="108" w:type="dxa"/>
              <w:bottom w:w="0" w:type="dxa"/>
              <w:right w:w="108" w:type="dxa"/>
            </w:tcMar>
            <w:vAlign w:val="center"/>
            <w:hideMark/>
          </w:tcPr>
          <w:p w14:paraId="66FBC238" w14:textId="77777777" w:rsidR="00FC4056" w:rsidRDefault="00FC4056" w:rsidP="00331966">
            <w:pPr>
              <w:pStyle w:val="Tabletext"/>
              <w:rPr>
                <w:rFonts w:eastAsiaTheme="minorHAnsi" w:cs="Arial"/>
                <w:bCs/>
                <w:iCs/>
                <w:color w:val="AEC12D"/>
                <w:sz w:val="32"/>
                <w:szCs w:val="28"/>
              </w:rPr>
            </w:pPr>
            <w:r>
              <w:t>0.002</w:t>
            </w:r>
          </w:p>
        </w:tc>
        <w:tc>
          <w:tcPr>
            <w:tcW w:w="2212" w:type="dxa"/>
            <w:noWrap/>
            <w:tcMar>
              <w:top w:w="0" w:type="dxa"/>
              <w:left w:w="108" w:type="dxa"/>
              <w:bottom w:w="0" w:type="dxa"/>
              <w:right w:w="108" w:type="dxa"/>
            </w:tcMar>
            <w:vAlign w:val="center"/>
            <w:hideMark/>
          </w:tcPr>
          <w:p w14:paraId="6356CDFC" w14:textId="77777777" w:rsidR="00FC4056" w:rsidRDefault="00FC4056" w:rsidP="00331966">
            <w:pPr>
              <w:pStyle w:val="Tabletext"/>
              <w:rPr>
                <w:rFonts w:eastAsiaTheme="minorHAnsi" w:cs="Arial"/>
                <w:bCs/>
                <w:iCs/>
                <w:color w:val="AEC12D"/>
                <w:sz w:val="32"/>
                <w:szCs w:val="28"/>
              </w:rPr>
            </w:pPr>
            <w:r>
              <w:t>0.002</w:t>
            </w:r>
          </w:p>
        </w:tc>
        <w:tc>
          <w:tcPr>
            <w:tcW w:w="1097" w:type="dxa"/>
            <w:noWrap/>
            <w:tcMar>
              <w:top w:w="0" w:type="dxa"/>
              <w:left w:w="108" w:type="dxa"/>
              <w:bottom w:w="0" w:type="dxa"/>
              <w:right w:w="108" w:type="dxa"/>
            </w:tcMar>
            <w:vAlign w:val="center"/>
            <w:hideMark/>
          </w:tcPr>
          <w:p w14:paraId="14292F1D"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0B013AF6" w14:textId="77777777" w:rsidR="00FC4056" w:rsidRDefault="00FC4056" w:rsidP="00331966">
            <w:pPr>
              <w:pStyle w:val="Tabletext"/>
              <w:rPr>
                <w:rFonts w:eastAsiaTheme="minorHAnsi" w:cs="Arial"/>
                <w:bCs/>
                <w:iCs/>
                <w:color w:val="AEC12D"/>
                <w:sz w:val="32"/>
                <w:szCs w:val="28"/>
              </w:rPr>
            </w:pPr>
            <w:r>
              <w:t>0.001</w:t>
            </w:r>
          </w:p>
        </w:tc>
        <w:tc>
          <w:tcPr>
            <w:tcW w:w="1098" w:type="dxa"/>
            <w:noWrap/>
            <w:tcMar>
              <w:top w:w="0" w:type="dxa"/>
              <w:left w:w="108" w:type="dxa"/>
              <w:bottom w:w="0" w:type="dxa"/>
              <w:right w:w="108" w:type="dxa"/>
            </w:tcMar>
            <w:vAlign w:val="center"/>
            <w:hideMark/>
          </w:tcPr>
          <w:p w14:paraId="493FB786"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2C706673" w14:textId="77777777" w:rsidR="00FC4056" w:rsidRDefault="00FC4056" w:rsidP="00331966">
            <w:pPr>
              <w:pStyle w:val="Tabletext"/>
              <w:rPr>
                <w:rFonts w:eastAsiaTheme="minorHAnsi" w:cs="Arial"/>
                <w:bCs/>
                <w:iCs/>
                <w:color w:val="AEC12D"/>
                <w:sz w:val="32"/>
                <w:szCs w:val="28"/>
              </w:rPr>
            </w:pPr>
            <w:r>
              <w:t>0.001</w:t>
            </w:r>
          </w:p>
        </w:tc>
        <w:tc>
          <w:tcPr>
            <w:tcW w:w="1098" w:type="dxa"/>
            <w:noWrap/>
            <w:tcMar>
              <w:top w:w="0" w:type="dxa"/>
              <w:left w:w="108" w:type="dxa"/>
              <w:bottom w:w="0" w:type="dxa"/>
              <w:right w:w="108" w:type="dxa"/>
            </w:tcMar>
            <w:vAlign w:val="center"/>
            <w:hideMark/>
          </w:tcPr>
          <w:p w14:paraId="6F170A4A" w14:textId="77777777" w:rsidR="00FC4056" w:rsidRDefault="00FC4056" w:rsidP="00331966">
            <w:pPr>
              <w:pStyle w:val="Tabletext"/>
              <w:rPr>
                <w:rFonts w:eastAsiaTheme="minorHAnsi" w:cs="Arial"/>
                <w:bCs/>
                <w:iCs/>
                <w:color w:val="AEC12D"/>
                <w:sz w:val="32"/>
                <w:szCs w:val="28"/>
              </w:rPr>
            </w:pPr>
            <w:r>
              <w:t>0.001</w:t>
            </w:r>
          </w:p>
        </w:tc>
      </w:tr>
      <w:tr w:rsidR="00B22A62" w14:paraId="0C47C70C" w14:textId="77777777" w:rsidTr="00B22A62">
        <w:tc>
          <w:tcPr>
            <w:tcW w:w="1122" w:type="dxa"/>
            <w:noWrap/>
            <w:tcMar>
              <w:top w:w="0" w:type="dxa"/>
              <w:left w:w="108" w:type="dxa"/>
              <w:bottom w:w="0" w:type="dxa"/>
              <w:right w:w="108" w:type="dxa"/>
            </w:tcMar>
            <w:vAlign w:val="center"/>
            <w:hideMark/>
          </w:tcPr>
          <w:p w14:paraId="34355AE3" w14:textId="77777777" w:rsidR="00FC4056" w:rsidRDefault="00FC4056" w:rsidP="00331966">
            <w:pPr>
              <w:pStyle w:val="Tabletext"/>
              <w:rPr>
                <w:rFonts w:eastAsiaTheme="minorHAnsi" w:cs="Arial"/>
                <w:bCs/>
                <w:iCs/>
                <w:color w:val="AEC12D"/>
                <w:sz w:val="32"/>
                <w:szCs w:val="28"/>
              </w:rPr>
            </w:pPr>
            <w:r>
              <w:t>414</w:t>
            </w:r>
          </w:p>
        </w:tc>
        <w:tc>
          <w:tcPr>
            <w:tcW w:w="1033" w:type="dxa"/>
            <w:noWrap/>
            <w:tcMar>
              <w:top w:w="0" w:type="dxa"/>
              <w:left w:w="108" w:type="dxa"/>
              <w:bottom w:w="0" w:type="dxa"/>
              <w:right w:w="108" w:type="dxa"/>
            </w:tcMar>
            <w:vAlign w:val="center"/>
            <w:hideMark/>
          </w:tcPr>
          <w:p w14:paraId="7DEC7926" w14:textId="77777777" w:rsidR="00FC4056" w:rsidRDefault="00FC4056" w:rsidP="00331966">
            <w:pPr>
              <w:pStyle w:val="Tabletext"/>
              <w:rPr>
                <w:rFonts w:eastAsiaTheme="minorHAnsi" w:cs="Arial"/>
                <w:bCs/>
                <w:iCs/>
                <w:color w:val="AEC12D"/>
                <w:sz w:val="32"/>
                <w:szCs w:val="28"/>
              </w:rPr>
            </w:pPr>
            <w:r>
              <w:t>0.001</w:t>
            </w:r>
          </w:p>
        </w:tc>
        <w:tc>
          <w:tcPr>
            <w:tcW w:w="2212" w:type="dxa"/>
            <w:noWrap/>
            <w:tcMar>
              <w:top w:w="0" w:type="dxa"/>
              <w:left w:w="108" w:type="dxa"/>
              <w:bottom w:w="0" w:type="dxa"/>
              <w:right w:w="108" w:type="dxa"/>
            </w:tcMar>
            <w:vAlign w:val="center"/>
            <w:hideMark/>
          </w:tcPr>
          <w:p w14:paraId="73F099F7"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704F9FF9" w14:textId="77777777" w:rsidR="00FC4056" w:rsidRDefault="00FC4056" w:rsidP="00331966">
            <w:pPr>
              <w:pStyle w:val="Tabletext"/>
              <w:rPr>
                <w:rFonts w:eastAsiaTheme="minorHAnsi" w:cs="Arial"/>
                <w:bCs/>
                <w:iCs/>
                <w:color w:val="AEC12D"/>
                <w:sz w:val="32"/>
                <w:szCs w:val="28"/>
              </w:rPr>
            </w:pPr>
            <w:r>
              <w:t>0.0009</w:t>
            </w:r>
          </w:p>
        </w:tc>
        <w:tc>
          <w:tcPr>
            <w:tcW w:w="1097" w:type="dxa"/>
            <w:noWrap/>
            <w:tcMar>
              <w:top w:w="0" w:type="dxa"/>
              <w:left w:w="108" w:type="dxa"/>
              <w:bottom w:w="0" w:type="dxa"/>
              <w:right w:w="108" w:type="dxa"/>
            </w:tcMar>
            <w:vAlign w:val="center"/>
            <w:hideMark/>
          </w:tcPr>
          <w:p w14:paraId="39B90E6A" w14:textId="77777777" w:rsidR="00FC4056" w:rsidRDefault="00FC4056" w:rsidP="00331966">
            <w:pPr>
              <w:pStyle w:val="Tabletext"/>
              <w:rPr>
                <w:rFonts w:eastAsiaTheme="minorHAnsi" w:cs="Arial"/>
                <w:bCs/>
                <w:iCs/>
                <w:color w:val="AEC12D"/>
                <w:sz w:val="32"/>
                <w:szCs w:val="28"/>
              </w:rPr>
            </w:pPr>
            <w:r>
              <w:t>0.0009</w:t>
            </w:r>
          </w:p>
        </w:tc>
        <w:tc>
          <w:tcPr>
            <w:tcW w:w="1098" w:type="dxa"/>
            <w:noWrap/>
            <w:tcMar>
              <w:top w:w="0" w:type="dxa"/>
              <w:left w:w="108" w:type="dxa"/>
              <w:bottom w:w="0" w:type="dxa"/>
              <w:right w:w="108" w:type="dxa"/>
            </w:tcMar>
            <w:vAlign w:val="center"/>
            <w:hideMark/>
          </w:tcPr>
          <w:p w14:paraId="0B6AD533" w14:textId="77777777" w:rsidR="00FC4056" w:rsidRDefault="00FC4056" w:rsidP="00331966">
            <w:pPr>
              <w:pStyle w:val="Tabletext"/>
              <w:rPr>
                <w:rFonts w:eastAsiaTheme="minorHAnsi" w:cs="Arial"/>
                <w:bCs/>
                <w:iCs/>
                <w:color w:val="AEC12D"/>
                <w:sz w:val="32"/>
                <w:szCs w:val="28"/>
              </w:rPr>
            </w:pPr>
            <w:r>
              <w:t>0.0009</w:t>
            </w:r>
          </w:p>
        </w:tc>
        <w:tc>
          <w:tcPr>
            <w:tcW w:w="1097" w:type="dxa"/>
            <w:noWrap/>
            <w:tcMar>
              <w:top w:w="0" w:type="dxa"/>
              <w:left w:w="108" w:type="dxa"/>
              <w:bottom w:w="0" w:type="dxa"/>
              <w:right w:w="108" w:type="dxa"/>
            </w:tcMar>
            <w:vAlign w:val="center"/>
            <w:hideMark/>
          </w:tcPr>
          <w:p w14:paraId="1C81AD18" w14:textId="77777777" w:rsidR="00FC4056" w:rsidRDefault="00FC4056" w:rsidP="00331966">
            <w:pPr>
              <w:pStyle w:val="Tabletext"/>
              <w:rPr>
                <w:rFonts w:eastAsiaTheme="minorHAnsi" w:cs="Arial"/>
                <w:bCs/>
                <w:iCs/>
                <w:color w:val="AEC12D"/>
                <w:sz w:val="32"/>
                <w:szCs w:val="28"/>
              </w:rPr>
            </w:pPr>
            <w:r>
              <w:t>0.0009</w:t>
            </w:r>
          </w:p>
        </w:tc>
        <w:tc>
          <w:tcPr>
            <w:tcW w:w="1098" w:type="dxa"/>
            <w:noWrap/>
            <w:tcMar>
              <w:top w:w="0" w:type="dxa"/>
              <w:left w:w="108" w:type="dxa"/>
              <w:bottom w:w="0" w:type="dxa"/>
              <w:right w:w="108" w:type="dxa"/>
            </w:tcMar>
            <w:vAlign w:val="center"/>
            <w:hideMark/>
          </w:tcPr>
          <w:p w14:paraId="35DA2199" w14:textId="77777777" w:rsidR="00FC4056" w:rsidRDefault="00FC4056" w:rsidP="00331966">
            <w:pPr>
              <w:pStyle w:val="Tabletext"/>
              <w:rPr>
                <w:rFonts w:eastAsiaTheme="minorHAnsi" w:cs="Arial"/>
                <w:bCs/>
                <w:iCs/>
                <w:color w:val="AEC12D"/>
                <w:sz w:val="32"/>
                <w:szCs w:val="28"/>
              </w:rPr>
            </w:pPr>
            <w:r>
              <w:t>0.0009</w:t>
            </w:r>
          </w:p>
        </w:tc>
      </w:tr>
      <w:tr w:rsidR="00B22A62" w14:paraId="7E7A520C" w14:textId="77777777" w:rsidTr="00B22A62">
        <w:tc>
          <w:tcPr>
            <w:tcW w:w="1122" w:type="dxa"/>
            <w:noWrap/>
            <w:tcMar>
              <w:top w:w="0" w:type="dxa"/>
              <w:left w:w="108" w:type="dxa"/>
              <w:bottom w:w="0" w:type="dxa"/>
              <w:right w:w="108" w:type="dxa"/>
            </w:tcMar>
            <w:vAlign w:val="center"/>
            <w:hideMark/>
          </w:tcPr>
          <w:p w14:paraId="38ABD061" w14:textId="77777777" w:rsidR="00FC4056" w:rsidRDefault="00FC4056" w:rsidP="00331966">
            <w:pPr>
              <w:pStyle w:val="Tabletext"/>
              <w:rPr>
                <w:rFonts w:eastAsiaTheme="minorHAnsi" w:cs="Arial"/>
                <w:bCs/>
                <w:iCs/>
                <w:color w:val="AEC12D"/>
                <w:sz w:val="32"/>
                <w:szCs w:val="28"/>
              </w:rPr>
            </w:pPr>
            <w:r>
              <w:t>415</w:t>
            </w:r>
          </w:p>
        </w:tc>
        <w:tc>
          <w:tcPr>
            <w:tcW w:w="1033" w:type="dxa"/>
            <w:noWrap/>
            <w:tcMar>
              <w:top w:w="0" w:type="dxa"/>
              <w:left w:w="108" w:type="dxa"/>
              <w:bottom w:w="0" w:type="dxa"/>
              <w:right w:w="108" w:type="dxa"/>
            </w:tcMar>
            <w:vAlign w:val="center"/>
            <w:hideMark/>
          </w:tcPr>
          <w:p w14:paraId="3265FBD8" w14:textId="77777777" w:rsidR="00FC4056" w:rsidRDefault="00FC4056" w:rsidP="00331966">
            <w:pPr>
              <w:pStyle w:val="Tabletext"/>
              <w:rPr>
                <w:rFonts w:eastAsiaTheme="minorHAnsi" w:cs="Arial"/>
                <w:bCs/>
                <w:iCs/>
                <w:color w:val="AEC12D"/>
                <w:sz w:val="32"/>
                <w:szCs w:val="28"/>
              </w:rPr>
            </w:pPr>
            <w:r>
              <w:t>0.0007</w:t>
            </w:r>
          </w:p>
        </w:tc>
        <w:tc>
          <w:tcPr>
            <w:tcW w:w="2212" w:type="dxa"/>
            <w:noWrap/>
            <w:tcMar>
              <w:top w:w="0" w:type="dxa"/>
              <w:left w:w="108" w:type="dxa"/>
              <w:bottom w:w="0" w:type="dxa"/>
              <w:right w:w="108" w:type="dxa"/>
            </w:tcMar>
            <w:vAlign w:val="center"/>
            <w:hideMark/>
          </w:tcPr>
          <w:p w14:paraId="0D7B68CF" w14:textId="77777777" w:rsidR="00FC4056" w:rsidRDefault="00FC4056" w:rsidP="00331966">
            <w:pPr>
              <w:pStyle w:val="Tabletext"/>
              <w:rPr>
                <w:rFonts w:eastAsiaTheme="minorHAnsi" w:cs="Arial"/>
                <w:bCs/>
                <w:iCs/>
                <w:color w:val="AEC12D"/>
                <w:sz w:val="32"/>
                <w:szCs w:val="28"/>
              </w:rPr>
            </w:pPr>
            <w:r>
              <w:t>0.0007</w:t>
            </w:r>
          </w:p>
        </w:tc>
        <w:tc>
          <w:tcPr>
            <w:tcW w:w="1097" w:type="dxa"/>
            <w:noWrap/>
            <w:tcMar>
              <w:top w:w="0" w:type="dxa"/>
              <w:left w:w="108" w:type="dxa"/>
              <w:bottom w:w="0" w:type="dxa"/>
              <w:right w:w="108" w:type="dxa"/>
            </w:tcMar>
            <w:vAlign w:val="center"/>
            <w:hideMark/>
          </w:tcPr>
          <w:p w14:paraId="527090C9" w14:textId="77777777" w:rsidR="00FC4056" w:rsidRDefault="00FC4056" w:rsidP="00331966">
            <w:pPr>
              <w:pStyle w:val="Tabletext"/>
              <w:rPr>
                <w:rFonts w:eastAsiaTheme="minorHAnsi" w:cs="Arial"/>
                <w:bCs/>
                <w:iCs/>
                <w:color w:val="AEC12D"/>
                <w:sz w:val="32"/>
                <w:szCs w:val="28"/>
              </w:rPr>
            </w:pPr>
            <w:r>
              <w:t>0.0007</w:t>
            </w:r>
          </w:p>
        </w:tc>
        <w:tc>
          <w:tcPr>
            <w:tcW w:w="1097" w:type="dxa"/>
            <w:noWrap/>
            <w:tcMar>
              <w:top w:w="0" w:type="dxa"/>
              <w:left w:w="108" w:type="dxa"/>
              <w:bottom w:w="0" w:type="dxa"/>
              <w:right w:w="108" w:type="dxa"/>
            </w:tcMar>
            <w:vAlign w:val="center"/>
            <w:hideMark/>
          </w:tcPr>
          <w:p w14:paraId="436F42B7" w14:textId="77777777" w:rsidR="00FC4056" w:rsidRDefault="00FC4056" w:rsidP="00331966">
            <w:pPr>
              <w:pStyle w:val="Tabletext"/>
              <w:rPr>
                <w:rFonts w:eastAsiaTheme="minorHAnsi" w:cs="Arial"/>
                <w:bCs/>
                <w:iCs/>
                <w:color w:val="AEC12D"/>
                <w:sz w:val="32"/>
                <w:szCs w:val="28"/>
              </w:rPr>
            </w:pPr>
            <w:r>
              <w:t>0.0007</w:t>
            </w:r>
          </w:p>
        </w:tc>
        <w:tc>
          <w:tcPr>
            <w:tcW w:w="1098" w:type="dxa"/>
            <w:noWrap/>
            <w:tcMar>
              <w:top w:w="0" w:type="dxa"/>
              <w:left w:w="108" w:type="dxa"/>
              <w:bottom w:w="0" w:type="dxa"/>
              <w:right w:w="108" w:type="dxa"/>
            </w:tcMar>
            <w:vAlign w:val="center"/>
            <w:hideMark/>
          </w:tcPr>
          <w:p w14:paraId="1E5F3C33" w14:textId="77777777" w:rsidR="00FC4056" w:rsidRDefault="00FC4056" w:rsidP="00331966">
            <w:pPr>
              <w:pStyle w:val="Tabletext"/>
              <w:rPr>
                <w:rFonts w:eastAsiaTheme="minorHAnsi" w:cs="Arial"/>
                <w:bCs/>
                <w:iCs/>
                <w:color w:val="AEC12D"/>
                <w:sz w:val="32"/>
                <w:szCs w:val="28"/>
              </w:rPr>
            </w:pPr>
            <w:r>
              <w:t>0.0007</w:t>
            </w:r>
          </w:p>
        </w:tc>
        <w:tc>
          <w:tcPr>
            <w:tcW w:w="1097" w:type="dxa"/>
            <w:noWrap/>
            <w:tcMar>
              <w:top w:w="0" w:type="dxa"/>
              <w:left w:w="108" w:type="dxa"/>
              <w:bottom w:w="0" w:type="dxa"/>
              <w:right w:w="108" w:type="dxa"/>
            </w:tcMar>
            <w:vAlign w:val="center"/>
            <w:hideMark/>
          </w:tcPr>
          <w:p w14:paraId="46954293" w14:textId="77777777" w:rsidR="00FC4056" w:rsidRDefault="00FC4056" w:rsidP="00331966">
            <w:pPr>
              <w:pStyle w:val="Tabletext"/>
              <w:rPr>
                <w:rFonts w:eastAsiaTheme="minorHAnsi" w:cs="Arial"/>
                <w:bCs/>
                <w:iCs/>
                <w:color w:val="AEC12D"/>
                <w:sz w:val="32"/>
                <w:szCs w:val="28"/>
              </w:rPr>
            </w:pPr>
            <w:r>
              <w:t>0.0007</w:t>
            </w:r>
          </w:p>
        </w:tc>
        <w:tc>
          <w:tcPr>
            <w:tcW w:w="1098" w:type="dxa"/>
            <w:noWrap/>
            <w:tcMar>
              <w:top w:w="0" w:type="dxa"/>
              <w:left w:w="108" w:type="dxa"/>
              <w:bottom w:w="0" w:type="dxa"/>
              <w:right w:w="108" w:type="dxa"/>
            </w:tcMar>
            <w:vAlign w:val="center"/>
            <w:hideMark/>
          </w:tcPr>
          <w:p w14:paraId="6727D745" w14:textId="77777777" w:rsidR="00FC4056" w:rsidRDefault="00FC4056" w:rsidP="00331966">
            <w:pPr>
              <w:pStyle w:val="Tabletext"/>
              <w:rPr>
                <w:rFonts w:eastAsiaTheme="minorHAnsi" w:cs="Arial"/>
                <w:bCs/>
                <w:iCs/>
                <w:color w:val="AEC12D"/>
                <w:sz w:val="32"/>
                <w:szCs w:val="28"/>
              </w:rPr>
            </w:pPr>
            <w:r>
              <w:t>0.0007</w:t>
            </w:r>
          </w:p>
        </w:tc>
      </w:tr>
      <w:tr w:rsidR="00B22A62" w14:paraId="508D0DD5" w14:textId="77777777" w:rsidTr="00B22A62">
        <w:tc>
          <w:tcPr>
            <w:tcW w:w="1122" w:type="dxa"/>
            <w:noWrap/>
            <w:tcMar>
              <w:top w:w="0" w:type="dxa"/>
              <w:left w:w="108" w:type="dxa"/>
              <w:bottom w:w="0" w:type="dxa"/>
              <w:right w:w="108" w:type="dxa"/>
            </w:tcMar>
            <w:vAlign w:val="center"/>
            <w:hideMark/>
          </w:tcPr>
          <w:p w14:paraId="35AA8A59" w14:textId="77777777" w:rsidR="00FC4056" w:rsidRDefault="00FC4056" w:rsidP="00331966">
            <w:pPr>
              <w:pStyle w:val="Tabletext"/>
              <w:rPr>
                <w:rFonts w:eastAsiaTheme="minorHAnsi" w:cs="Arial"/>
                <w:bCs/>
                <w:iCs/>
                <w:color w:val="AEC12D"/>
                <w:sz w:val="32"/>
                <w:szCs w:val="28"/>
              </w:rPr>
            </w:pPr>
            <w:r>
              <w:t>416</w:t>
            </w:r>
          </w:p>
        </w:tc>
        <w:tc>
          <w:tcPr>
            <w:tcW w:w="1033" w:type="dxa"/>
            <w:noWrap/>
            <w:tcMar>
              <w:top w:w="0" w:type="dxa"/>
              <w:left w:w="108" w:type="dxa"/>
              <w:bottom w:w="0" w:type="dxa"/>
              <w:right w:w="108" w:type="dxa"/>
            </w:tcMar>
            <w:vAlign w:val="center"/>
            <w:hideMark/>
          </w:tcPr>
          <w:p w14:paraId="6A8A5910" w14:textId="77777777" w:rsidR="00FC4056" w:rsidRDefault="00FC4056" w:rsidP="00331966">
            <w:pPr>
              <w:pStyle w:val="Tabletext"/>
              <w:rPr>
                <w:rFonts w:eastAsiaTheme="minorHAnsi" w:cs="Arial"/>
                <w:bCs/>
                <w:iCs/>
                <w:color w:val="AEC12D"/>
                <w:sz w:val="32"/>
                <w:szCs w:val="28"/>
              </w:rPr>
            </w:pPr>
            <w:r>
              <w:t>0.002</w:t>
            </w:r>
          </w:p>
        </w:tc>
        <w:tc>
          <w:tcPr>
            <w:tcW w:w="2212" w:type="dxa"/>
            <w:noWrap/>
            <w:tcMar>
              <w:top w:w="0" w:type="dxa"/>
              <w:left w:w="108" w:type="dxa"/>
              <w:bottom w:w="0" w:type="dxa"/>
              <w:right w:w="108" w:type="dxa"/>
            </w:tcMar>
            <w:vAlign w:val="center"/>
            <w:hideMark/>
          </w:tcPr>
          <w:p w14:paraId="5887A7C2" w14:textId="77777777" w:rsidR="00FC4056" w:rsidRDefault="00FC4056" w:rsidP="00331966">
            <w:pPr>
              <w:pStyle w:val="Tabletext"/>
              <w:rPr>
                <w:rFonts w:eastAsiaTheme="minorHAnsi" w:cs="Arial"/>
                <w:bCs/>
                <w:iCs/>
                <w:color w:val="AEC12D"/>
                <w:sz w:val="32"/>
                <w:szCs w:val="28"/>
              </w:rPr>
            </w:pPr>
            <w:r>
              <w:t>0.002</w:t>
            </w:r>
          </w:p>
        </w:tc>
        <w:tc>
          <w:tcPr>
            <w:tcW w:w="1097" w:type="dxa"/>
            <w:noWrap/>
            <w:tcMar>
              <w:top w:w="0" w:type="dxa"/>
              <w:left w:w="108" w:type="dxa"/>
              <w:bottom w:w="0" w:type="dxa"/>
              <w:right w:w="108" w:type="dxa"/>
            </w:tcMar>
            <w:vAlign w:val="center"/>
            <w:hideMark/>
          </w:tcPr>
          <w:p w14:paraId="673B9B5C"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74C4091C" w14:textId="77777777" w:rsidR="00FC4056" w:rsidRDefault="00FC4056" w:rsidP="00331966">
            <w:pPr>
              <w:pStyle w:val="Tabletext"/>
              <w:rPr>
                <w:rFonts w:eastAsiaTheme="minorHAnsi" w:cs="Arial"/>
                <w:bCs/>
                <w:iCs/>
                <w:color w:val="AEC12D"/>
                <w:sz w:val="32"/>
                <w:szCs w:val="28"/>
              </w:rPr>
            </w:pPr>
            <w:r>
              <w:t>0.001</w:t>
            </w:r>
          </w:p>
        </w:tc>
        <w:tc>
          <w:tcPr>
            <w:tcW w:w="1098" w:type="dxa"/>
            <w:noWrap/>
            <w:tcMar>
              <w:top w:w="0" w:type="dxa"/>
              <w:left w:w="108" w:type="dxa"/>
              <w:bottom w:w="0" w:type="dxa"/>
              <w:right w:w="108" w:type="dxa"/>
            </w:tcMar>
            <w:vAlign w:val="center"/>
            <w:hideMark/>
          </w:tcPr>
          <w:p w14:paraId="1F9E7E92"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1E6A6335" w14:textId="77777777" w:rsidR="00FC4056" w:rsidRDefault="00FC4056" w:rsidP="00331966">
            <w:pPr>
              <w:pStyle w:val="Tabletext"/>
              <w:rPr>
                <w:rFonts w:eastAsiaTheme="minorHAnsi" w:cs="Arial"/>
                <w:bCs/>
                <w:iCs/>
                <w:color w:val="AEC12D"/>
                <w:sz w:val="32"/>
                <w:szCs w:val="28"/>
              </w:rPr>
            </w:pPr>
            <w:r>
              <w:t>0.001</w:t>
            </w:r>
          </w:p>
        </w:tc>
        <w:tc>
          <w:tcPr>
            <w:tcW w:w="1098" w:type="dxa"/>
            <w:noWrap/>
            <w:tcMar>
              <w:top w:w="0" w:type="dxa"/>
              <w:left w:w="108" w:type="dxa"/>
              <w:bottom w:w="0" w:type="dxa"/>
              <w:right w:w="108" w:type="dxa"/>
            </w:tcMar>
            <w:vAlign w:val="center"/>
            <w:hideMark/>
          </w:tcPr>
          <w:p w14:paraId="726CBC9F" w14:textId="77777777" w:rsidR="00FC4056" w:rsidRDefault="00FC4056" w:rsidP="00331966">
            <w:pPr>
              <w:pStyle w:val="Tabletext"/>
              <w:rPr>
                <w:rFonts w:eastAsiaTheme="minorHAnsi" w:cs="Arial"/>
                <w:bCs/>
                <w:iCs/>
                <w:color w:val="AEC12D"/>
                <w:sz w:val="32"/>
                <w:szCs w:val="28"/>
              </w:rPr>
            </w:pPr>
            <w:r>
              <w:t>0.001</w:t>
            </w:r>
          </w:p>
        </w:tc>
      </w:tr>
      <w:tr w:rsidR="00B22A62" w14:paraId="58743307" w14:textId="77777777" w:rsidTr="00B22A62">
        <w:tc>
          <w:tcPr>
            <w:tcW w:w="1122" w:type="dxa"/>
            <w:noWrap/>
            <w:tcMar>
              <w:top w:w="0" w:type="dxa"/>
              <w:left w:w="108" w:type="dxa"/>
              <w:bottom w:w="0" w:type="dxa"/>
              <w:right w:w="108" w:type="dxa"/>
            </w:tcMar>
            <w:vAlign w:val="center"/>
            <w:hideMark/>
          </w:tcPr>
          <w:p w14:paraId="4E5877C6" w14:textId="77777777" w:rsidR="00FC4056" w:rsidRDefault="00FC4056" w:rsidP="00331966">
            <w:pPr>
              <w:pStyle w:val="Tabletext"/>
              <w:rPr>
                <w:rFonts w:eastAsiaTheme="minorHAnsi" w:cs="Arial"/>
                <w:bCs/>
                <w:iCs/>
                <w:color w:val="AEC12D"/>
                <w:sz w:val="32"/>
                <w:szCs w:val="28"/>
              </w:rPr>
            </w:pPr>
            <w:r>
              <w:t>447</w:t>
            </w:r>
          </w:p>
        </w:tc>
        <w:tc>
          <w:tcPr>
            <w:tcW w:w="1033" w:type="dxa"/>
            <w:noWrap/>
            <w:tcMar>
              <w:top w:w="0" w:type="dxa"/>
              <w:left w:w="108" w:type="dxa"/>
              <w:bottom w:w="0" w:type="dxa"/>
              <w:right w:w="108" w:type="dxa"/>
            </w:tcMar>
            <w:vAlign w:val="center"/>
            <w:hideMark/>
          </w:tcPr>
          <w:p w14:paraId="32F7C724" w14:textId="77777777" w:rsidR="00FC4056" w:rsidRDefault="00FC4056" w:rsidP="00331966">
            <w:pPr>
              <w:pStyle w:val="Tabletext"/>
              <w:rPr>
                <w:rFonts w:eastAsiaTheme="minorHAnsi" w:cs="Arial"/>
                <w:bCs/>
                <w:iCs/>
                <w:color w:val="AEC12D"/>
                <w:sz w:val="32"/>
                <w:szCs w:val="28"/>
              </w:rPr>
            </w:pPr>
            <w:r>
              <w:t>0.002</w:t>
            </w:r>
          </w:p>
        </w:tc>
        <w:tc>
          <w:tcPr>
            <w:tcW w:w="2212" w:type="dxa"/>
            <w:noWrap/>
            <w:tcMar>
              <w:top w:w="0" w:type="dxa"/>
              <w:left w:w="108" w:type="dxa"/>
              <w:bottom w:w="0" w:type="dxa"/>
              <w:right w:w="108" w:type="dxa"/>
            </w:tcMar>
            <w:vAlign w:val="center"/>
            <w:hideMark/>
          </w:tcPr>
          <w:p w14:paraId="669F6C3E" w14:textId="77777777" w:rsidR="00FC4056" w:rsidRDefault="00FC4056" w:rsidP="00331966">
            <w:pPr>
              <w:pStyle w:val="Tabletext"/>
              <w:rPr>
                <w:rFonts w:eastAsiaTheme="minorHAnsi" w:cs="Arial"/>
                <w:bCs/>
                <w:iCs/>
                <w:color w:val="AEC12D"/>
                <w:sz w:val="32"/>
                <w:szCs w:val="28"/>
              </w:rPr>
            </w:pPr>
            <w:r>
              <w:t>0.002</w:t>
            </w:r>
          </w:p>
        </w:tc>
        <w:tc>
          <w:tcPr>
            <w:tcW w:w="1097" w:type="dxa"/>
            <w:noWrap/>
            <w:tcMar>
              <w:top w:w="0" w:type="dxa"/>
              <w:left w:w="108" w:type="dxa"/>
              <w:bottom w:w="0" w:type="dxa"/>
              <w:right w:w="108" w:type="dxa"/>
            </w:tcMar>
            <w:vAlign w:val="center"/>
            <w:hideMark/>
          </w:tcPr>
          <w:p w14:paraId="0D088142"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1A5388B0" w14:textId="77777777" w:rsidR="00FC4056" w:rsidRDefault="00FC4056" w:rsidP="00331966">
            <w:pPr>
              <w:pStyle w:val="Tabletext"/>
              <w:rPr>
                <w:rFonts w:eastAsiaTheme="minorHAnsi" w:cs="Arial"/>
                <w:bCs/>
                <w:iCs/>
                <w:color w:val="AEC12D"/>
                <w:sz w:val="32"/>
                <w:szCs w:val="28"/>
              </w:rPr>
            </w:pPr>
            <w:r>
              <w:t>0.001</w:t>
            </w:r>
          </w:p>
        </w:tc>
        <w:tc>
          <w:tcPr>
            <w:tcW w:w="1098" w:type="dxa"/>
            <w:noWrap/>
            <w:tcMar>
              <w:top w:w="0" w:type="dxa"/>
              <w:left w:w="108" w:type="dxa"/>
              <w:bottom w:w="0" w:type="dxa"/>
              <w:right w:w="108" w:type="dxa"/>
            </w:tcMar>
            <w:vAlign w:val="center"/>
            <w:hideMark/>
          </w:tcPr>
          <w:p w14:paraId="11AF74E6"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13244E6F" w14:textId="77777777" w:rsidR="00FC4056" w:rsidRDefault="00FC4056" w:rsidP="00331966">
            <w:pPr>
              <w:pStyle w:val="Tabletext"/>
              <w:rPr>
                <w:rFonts w:eastAsiaTheme="minorHAnsi" w:cs="Arial"/>
                <w:bCs/>
                <w:iCs/>
                <w:color w:val="AEC12D"/>
                <w:sz w:val="32"/>
                <w:szCs w:val="28"/>
              </w:rPr>
            </w:pPr>
            <w:r>
              <w:t>0.001</w:t>
            </w:r>
          </w:p>
        </w:tc>
        <w:tc>
          <w:tcPr>
            <w:tcW w:w="1098" w:type="dxa"/>
            <w:noWrap/>
            <w:tcMar>
              <w:top w:w="0" w:type="dxa"/>
              <w:left w:w="108" w:type="dxa"/>
              <w:bottom w:w="0" w:type="dxa"/>
              <w:right w:w="108" w:type="dxa"/>
            </w:tcMar>
            <w:vAlign w:val="center"/>
            <w:hideMark/>
          </w:tcPr>
          <w:p w14:paraId="72E1B89C" w14:textId="77777777" w:rsidR="00FC4056" w:rsidRDefault="00FC4056" w:rsidP="00331966">
            <w:pPr>
              <w:pStyle w:val="Tabletext"/>
              <w:rPr>
                <w:rFonts w:eastAsiaTheme="minorHAnsi" w:cs="Arial"/>
                <w:bCs/>
                <w:iCs/>
                <w:color w:val="AEC12D"/>
                <w:sz w:val="32"/>
                <w:szCs w:val="28"/>
              </w:rPr>
            </w:pPr>
            <w:r>
              <w:t>0.001</w:t>
            </w:r>
          </w:p>
        </w:tc>
      </w:tr>
      <w:tr w:rsidR="00B22A62" w14:paraId="05A7B2C5" w14:textId="77777777" w:rsidTr="00B22A62">
        <w:tc>
          <w:tcPr>
            <w:tcW w:w="1122" w:type="dxa"/>
            <w:noWrap/>
            <w:tcMar>
              <w:top w:w="0" w:type="dxa"/>
              <w:left w:w="108" w:type="dxa"/>
              <w:bottom w:w="0" w:type="dxa"/>
              <w:right w:w="108" w:type="dxa"/>
            </w:tcMar>
            <w:vAlign w:val="center"/>
            <w:hideMark/>
          </w:tcPr>
          <w:p w14:paraId="7CD68535" w14:textId="77777777" w:rsidR="00FC4056" w:rsidRDefault="00FC4056" w:rsidP="00331966">
            <w:pPr>
              <w:pStyle w:val="Tabletext"/>
              <w:rPr>
                <w:rFonts w:eastAsiaTheme="minorHAnsi" w:cs="Arial"/>
                <w:bCs/>
                <w:iCs/>
                <w:color w:val="AEC12D"/>
                <w:sz w:val="32"/>
                <w:szCs w:val="28"/>
              </w:rPr>
            </w:pPr>
            <w:r>
              <w:t>448</w:t>
            </w:r>
          </w:p>
        </w:tc>
        <w:tc>
          <w:tcPr>
            <w:tcW w:w="1033" w:type="dxa"/>
            <w:noWrap/>
            <w:tcMar>
              <w:top w:w="0" w:type="dxa"/>
              <w:left w:w="108" w:type="dxa"/>
              <w:bottom w:w="0" w:type="dxa"/>
              <w:right w:w="108" w:type="dxa"/>
            </w:tcMar>
            <w:vAlign w:val="center"/>
            <w:hideMark/>
          </w:tcPr>
          <w:p w14:paraId="4CC13126" w14:textId="77777777" w:rsidR="00FC4056" w:rsidRDefault="00FC4056" w:rsidP="00331966">
            <w:pPr>
              <w:pStyle w:val="Tabletext"/>
              <w:rPr>
                <w:rFonts w:eastAsiaTheme="minorHAnsi" w:cs="Arial"/>
                <w:bCs/>
                <w:iCs/>
                <w:color w:val="AEC12D"/>
                <w:sz w:val="32"/>
                <w:szCs w:val="28"/>
              </w:rPr>
            </w:pPr>
            <w:r>
              <w:t>0.005</w:t>
            </w:r>
          </w:p>
        </w:tc>
        <w:tc>
          <w:tcPr>
            <w:tcW w:w="2212" w:type="dxa"/>
            <w:noWrap/>
            <w:tcMar>
              <w:top w:w="0" w:type="dxa"/>
              <w:left w:w="108" w:type="dxa"/>
              <w:bottom w:w="0" w:type="dxa"/>
              <w:right w:w="108" w:type="dxa"/>
            </w:tcMar>
            <w:vAlign w:val="center"/>
            <w:hideMark/>
          </w:tcPr>
          <w:p w14:paraId="2A87520D"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24638EFF" w14:textId="77777777" w:rsidR="00FC4056" w:rsidRDefault="00FC4056" w:rsidP="00331966">
            <w:pPr>
              <w:pStyle w:val="Tabletext"/>
              <w:rPr>
                <w:rFonts w:eastAsiaTheme="minorHAnsi" w:cs="Arial"/>
                <w:bCs/>
                <w:iCs/>
                <w:color w:val="AEC12D"/>
                <w:sz w:val="32"/>
                <w:szCs w:val="28"/>
              </w:rPr>
            </w:pPr>
            <w:r>
              <w:t>0.004</w:t>
            </w:r>
          </w:p>
        </w:tc>
        <w:tc>
          <w:tcPr>
            <w:tcW w:w="1097" w:type="dxa"/>
            <w:noWrap/>
            <w:tcMar>
              <w:top w:w="0" w:type="dxa"/>
              <w:left w:w="108" w:type="dxa"/>
              <w:bottom w:w="0" w:type="dxa"/>
              <w:right w:w="108" w:type="dxa"/>
            </w:tcMar>
            <w:vAlign w:val="center"/>
            <w:hideMark/>
          </w:tcPr>
          <w:p w14:paraId="1A71910D" w14:textId="77777777" w:rsidR="00FC4056" w:rsidRDefault="00FC4056" w:rsidP="00331966">
            <w:pPr>
              <w:pStyle w:val="Tabletext"/>
              <w:rPr>
                <w:rFonts w:eastAsiaTheme="minorHAnsi" w:cs="Arial"/>
                <w:bCs/>
                <w:iCs/>
                <w:color w:val="AEC12D"/>
                <w:sz w:val="32"/>
                <w:szCs w:val="28"/>
              </w:rPr>
            </w:pPr>
            <w:r>
              <w:t>0.004</w:t>
            </w:r>
          </w:p>
        </w:tc>
        <w:tc>
          <w:tcPr>
            <w:tcW w:w="1098" w:type="dxa"/>
            <w:noWrap/>
            <w:tcMar>
              <w:top w:w="0" w:type="dxa"/>
              <w:left w:w="108" w:type="dxa"/>
              <w:bottom w:w="0" w:type="dxa"/>
              <w:right w:w="108" w:type="dxa"/>
            </w:tcMar>
            <w:vAlign w:val="center"/>
            <w:hideMark/>
          </w:tcPr>
          <w:p w14:paraId="11D64CFC" w14:textId="77777777" w:rsidR="00FC4056" w:rsidRDefault="00FC4056" w:rsidP="00331966">
            <w:pPr>
              <w:pStyle w:val="Tabletext"/>
              <w:rPr>
                <w:rFonts w:eastAsiaTheme="minorHAnsi" w:cs="Arial"/>
                <w:bCs/>
                <w:iCs/>
                <w:color w:val="AEC12D"/>
                <w:sz w:val="32"/>
                <w:szCs w:val="28"/>
              </w:rPr>
            </w:pPr>
            <w:r>
              <w:t>0.004</w:t>
            </w:r>
          </w:p>
        </w:tc>
        <w:tc>
          <w:tcPr>
            <w:tcW w:w="1097" w:type="dxa"/>
            <w:noWrap/>
            <w:tcMar>
              <w:top w:w="0" w:type="dxa"/>
              <w:left w:w="108" w:type="dxa"/>
              <w:bottom w:w="0" w:type="dxa"/>
              <w:right w:w="108" w:type="dxa"/>
            </w:tcMar>
            <w:vAlign w:val="center"/>
            <w:hideMark/>
          </w:tcPr>
          <w:p w14:paraId="655407EE" w14:textId="77777777" w:rsidR="00FC4056" w:rsidRDefault="00FC4056" w:rsidP="00331966">
            <w:pPr>
              <w:pStyle w:val="Tabletext"/>
              <w:rPr>
                <w:rFonts w:eastAsiaTheme="minorHAnsi" w:cs="Arial"/>
                <w:bCs/>
                <w:iCs/>
                <w:color w:val="AEC12D"/>
                <w:sz w:val="32"/>
                <w:szCs w:val="28"/>
              </w:rPr>
            </w:pPr>
            <w:r>
              <w:t>0.004</w:t>
            </w:r>
          </w:p>
        </w:tc>
        <w:tc>
          <w:tcPr>
            <w:tcW w:w="1098" w:type="dxa"/>
            <w:noWrap/>
            <w:tcMar>
              <w:top w:w="0" w:type="dxa"/>
              <w:left w:w="108" w:type="dxa"/>
              <w:bottom w:w="0" w:type="dxa"/>
              <w:right w:w="108" w:type="dxa"/>
            </w:tcMar>
            <w:vAlign w:val="center"/>
            <w:hideMark/>
          </w:tcPr>
          <w:p w14:paraId="63C131FD" w14:textId="77777777" w:rsidR="00FC4056" w:rsidRDefault="00FC4056" w:rsidP="00331966">
            <w:pPr>
              <w:pStyle w:val="Tabletext"/>
              <w:rPr>
                <w:rFonts w:eastAsiaTheme="minorHAnsi" w:cs="Arial"/>
                <w:bCs/>
                <w:iCs/>
                <w:color w:val="AEC12D"/>
                <w:sz w:val="32"/>
                <w:szCs w:val="28"/>
              </w:rPr>
            </w:pPr>
            <w:r>
              <w:t>0.004</w:t>
            </w:r>
          </w:p>
        </w:tc>
      </w:tr>
      <w:tr w:rsidR="00B22A62" w14:paraId="0372D084" w14:textId="77777777" w:rsidTr="00B22A62">
        <w:tc>
          <w:tcPr>
            <w:tcW w:w="1122" w:type="dxa"/>
            <w:noWrap/>
            <w:tcMar>
              <w:top w:w="0" w:type="dxa"/>
              <w:left w:w="108" w:type="dxa"/>
              <w:bottom w:w="0" w:type="dxa"/>
              <w:right w:w="108" w:type="dxa"/>
            </w:tcMar>
            <w:vAlign w:val="center"/>
            <w:hideMark/>
          </w:tcPr>
          <w:p w14:paraId="0D81ECB6" w14:textId="77777777" w:rsidR="00FC4056" w:rsidRDefault="00FC4056" w:rsidP="00331966">
            <w:pPr>
              <w:pStyle w:val="Tabletext"/>
              <w:rPr>
                <w:rFonts w:eastAsiaTheme="minorHAnsi" w:cs="Arial"/>
                <w:bCs/>
                <w:iCs/>
                <w:color w:val="AEC12D"/>
                <w:sz w:val="32"/>
                <w:szCs w:val="28"/>
              </w:rPr>
            </w:pPr>
            <w:r>
              <w:t>449</w:t>
            </w:r>
          </w:p>
        </w:tc>
        <w:tc>
          <w:tcPr>
            <w:tcW w:w="1033" w:type="dxa"/>
            <w:noWrap/>
            <w:tcMar>
              <w:top w:w="0" w:type="dxa"/>
              <w:left w:w="108" w:type="dxa"/>
              <w:bottom w:w="0" w:type="dxa"/>
              <w:right w:w="108" w:type="dxa"/>
            </w:tcMar>
            <w:vAlign w:val="center"/>
            <w:hideMark/>
          </w:tcPr>
          <w:p w14:paraId="4C62BDFC" w14:textId="77777777" w:rsidR="00FC4056" w:rsidRDefault="00FC4056" w:rsidP="00331966">
            <w:pPr>
              <w:pStyle w:val="Tabletext"/>
              <w:rPr>
                <w:rFonts w:eastAsiaTheme="minorHAnsi" w:cs="Arial"/>
                <w:bCs/>
                <w:iCs/>
                <w:color w:val="AEC12D"/>
                <w:sz w:val="32"/>
                <w:szCs w:val="28"/>
              </w:rPr>
            </w:pPr>
            <w:r>
              <w:t>0.005</w:t>
            </w:r>
          </w:p>
        </w:tc>
        <w:tc>
          <w:tcPr>
            <w:tcW w:w="2212" w:type="dxa"/>
            <w:noWrap/>
            <w:tcMar>
              <w:top w:w="0" w:type="dxa"/>
              <w:left w:w="108" w:type="dxa"/>
              <w:bottom w:w="0" w:type="dxa"/>
              <w:right w:w="108" w:type="dxa"/>
            </w:tcMar>
            <w:vAlign w:val="center"/>
            <w:hideMark/>
          </w:tcPr>
          <w:p w14:paraId="031F4B69"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629CACF8"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2FA49E48" w14:textId="77777777" w:rsidR="00FC4056" w:rsidRDefault="00FC4056" w:rsidP="00331966">
            <w:pPr>
              <w:pStyle w:val="Tabletext"/>
              <w:rPr>
                <w:rFonts w:eastAsiaTheme="minorHAnsi" w:cs="Arial"/>
                <w:bCs/>
                <w:iCs/>
                <w:color w:val="AEC12D"/>
                <w:sz w:val="32"/>
                <w:szCs w:val="28"/>
              </w:rPr>
            </w:pPr>
            <w:r>
              <w:t>0.005</w:t>
            </w:r>
          </w:p>
        </w:tc>
        <w:tc>
          <w:tcPr>
            <w:tcW w:w="1098" w:type="dxa"/>
            <w:noWrap/>
            <w:tcMar>
              <w:top w:w="0" w:type="dxa"/>
              <w:left w:w="108" w:type="dxa"/>
              <w:bottom w:w="0" w:type="dxa"/>
              <w:right w:w="108" w:type="dxa"/>
            </w:tcMar>
            <w:vAlign w:val="center"/>
            <w:hideMark/>
          </w:tcPr>
          <w:p w14:paraId="5959081F"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4799708B" w14:textId="77777777" w:rsidR="00FC4056" w:rsidRDefault="00FC4056" w:rsidP="00331966">
            <w:pPr>
              <w:pStyle w:val="Tabletext"/>
              <w:rPr>
                <w:rFonts w:eastAsiaTheme="minorHAnsi" w:cs="Arial"/>
                <w:bCs/>
                <w:iCs/>
                <w:color w:val="AEC12D"/>
                <w:sz w:val="32"/>
                <w:szCs w:val="28"/>
              </w:rPr>
            </w:pPr>
            <w:r>
              <w:t>0.005</w:t>
            </w:r>
          </w:p>
        </w:tc>
        <w:tc>
          <w:tcPr>
            <w:tcW w:w="1098" w:type="dxa"/>
            <w:noWrap/>
            <w:tcMar>
              <w:top w:w="0" w:type="dxa"/>
              <w:left w:w="108" w:type="dxa"/>
              <w:bottom w:w="0" w:type="dxa"/>
              <w:right w:w="108" w:type="dxa"/>
            </w:tcMar>
            <w:vAlign w:val="center"/>
            <w:hideMark/>
          </w:tcPr>
          <w:p w14:paraId="647F51D2" w14:textId="77777777" w:rsidR="00FC4056" w:rsidRDefault="00FC4056" w:rsidP="00331966">
            <w:pPr>
              <w:pStyle w:val="Tabletext"/>
              <w:rPr>
                <w:rFonts w:eastAsiaTheme="minorHAnsi" w:cs="Arial"/>
                <w:bCs/>
                <w:iCs/>
                <w:color w:val="AEC12D"/>
                <w:sz w:val="32"/>
                <w:szCs w:val="28"/>
              </w:rPr>
            </w:pPr>
            <w:r>
              <w:t>0.005</w:t>
            </w:r>
          </w:p>
        </w:tc>
      </w:tr>
      <w:tr w:rsidR="00B22A62" w14:paraId="65FD8E28" w14:textId="77777777" w:rsidTr="00B22A62">
        <w:tc>
          <w:tcPr>
            <w:tcW w:w="1122" w:type="dxa"/>
            <w:noWrap/>
            <w:tcMar>
              <w:top w:w="0" w:type="dxa"/>
              <w:left w:w="108" w:type="dxa"/>
              <w:bottom w:w="0" w:type="dxa"/>
              <w:right w:w="108" w:type="dxa"/>
            </w:tcMar>
            <w:vAlign w:val="center"/>
            <w:hideMark/>
          </w:tcPr>
          <w:p w14:paraId="66B608A8" w14:textId="77777777" w:rsidR="00FC4056" w:rsidRDefault="00FC4056" w:rsidP="00331966">
            <w:pPr>
              <w:pStyle w:val="Tabletext"/>
              <w:rPr>
                <w:rFonts w:eastAsiaTheme="minorHAnsi" w:cs="Arial"/>
                <w:bCs/>
                <w:iCs/>
                <w:color w:val="AEC12D"/>
                <w:sz w:val="32"/>
                <w:szCs w:val="28"/>
              </w:rPr>
            </w:pPr>
            <w:r>
              <w:t>450</w:t>
            </w:r>
          </w:p>
        </w:tc>
        <w:tc>
          <w:tcPr>
            <w:tcW w:w="1033" w:type="dxa"/>
            <w:noWrap/>
            <w:tcMar>
              <w:top w:w="0" w:type="dxa"/>
              <w:left w:w="108" w:type="dxa"/>
              <w:bottom w:w="0" w:type="dxa"/>
              <w:right w:w="108" w:type="dxa"/>
            </w:tcMar>
            <w:vAlign w:val="center"/>
            <w:hideMark/>
          </w:tcPr>
          <w:p w14:paraId="7076F16A" w14:textId="77777777" w:rsidR="00FC4056" w:rsidRDefault="00FC4056" w:rsidP="00331966">
            <w:pPr>
              <w:pStyle w:val="Tabletext"/>
              <w:rPr>
                <w:rFonts w:eastAsiaTheme="minorHAnsi" w:cs="Arial"/>
                <w:bCs/>
                <w:iCs/>
                <w:color w:val="AEC12D"/>
                <w:sz w:val="32"/>
                <w:szCs w:val="28"/>
              </w:rPr>
            </w:pPr>
            <w:r>
              <w:t>0.006</w:t>
            </w:r>
          </w:p>
        </w:tc>
        <w:tc>
          <w:tcPr>
            <w:tcW w:w="2212" w:type="dxa"/>
            <w:noWrap/>
            <w:tcMar>
              <w:top w:w="0" w:type="dxa"/>
              <w:left w:w="108" w:type="dxa"/>
              <w:bottom w:w="0" w:type="dxa"/>
              <w:right w:w="108" w:type="dxa"/>
            </w:tcMar>
            <w:vAlign w:val="center"/>
            <w:hideMark/>
          </w:tcPr>
          <w:p w14:paraId="1E186E4A" w14:textId="77777777" w:rsidR="00FC4056" w:rsidRDefault="00FC4056" w:rsidP="00331966">
            <w:pPr>
              <w:pStyle w:val="Tabletext"/>
              <w:rPr>
                <w:rFonts w:eastAsiaTheme="minorHAnsi" w:cs="Arial"/>
                <w:bCs/>
                <w:iCs/>
                <w:color w:val="AEC12D"/>
                <w:sz w:val="32"/>
                <w:szCs w:val="28"/>
              </w:rPr>
            </w:pPr>
            <w:r>
              <w:t>0.006</w:t>
            </w:r>
          </w:p>
        </w:tc>
        <w:tc>
          <w:tcPr>
            <w:tcW w:w="1097" w:type="dxa"/>
            <w:noWrap/>
            <w:tcMar>
              <w:top w:w="0" w:type="dxa"/>
              <w:left w:w="108" w:type="dxa"/>
              <w:bottom w:w="0" w:type="dxa"/>
              <w:right w:w="108" w:type="dxa"/>
            </w:tcMar>
            <w:vAlign w:val="center"/>
            <w:hideMark/>
          </w:tcPr>
          <w:p w14:paraId="2A4BCD3F"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390DC4DA" w14:textId="77777777" w:rsidR="00FC4056" w:rsidRDefault="00FC4056" w:rsidP="00331966">
            <w:pPr>
              <w:pStyle w:val="Tabletext"/>
              <w:rPr>
                <w:rFonts w:eastAsiaTheme="minorHAnsi" w:cs="Arial"/>
                <w:bCs/>
                <w:iCs/>
                <w:color w:val="AEC12D"/>
                <w:sz w:val="32"/>
                <w:szCs w:val="28"/>
              </w:rPr>
            </w:pPr>
            <w:r>
              <w:t>0.005</w:t>
            </w:r>
          </w:p>
        </w:tc>
        <w:tc>
          <w:tcPr>
            <w:tcW w:w="1098" w:type="dxa"/>
            <w:noWrap/>
            <w:tcMar>
              <w:top w:w="0" w:type="dxa"/>
              <w:left w:w="108" w:type="dxa"/>
              <w:bottom w:w="0" w:type="dxa"/>
              <w:right w:w="108" w:type="dxa"/>
            </w:tcMar>
            <w:vAlign w:val="center"/>
            <w:hideMark/>
          </w:tcPr>
          <w:p w14:paraId="6045A64D"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6B09C045" w14:textId="77777777" w:rsidR="00FC4056" w:rsidRDefault="00FC4056" w:rsidP="00331966">
            <w:pPr>
              <w:pStyle w:val="Tabletext"/>
              <w:rPr>
                <w:rFonts w:eastAsiaTheme="minorHAnsi" w:cs="Arial"/>
                <w:bCs/>
                <w:iCs/>
                <w:color w:val="AEC12D"/>
                <w:sz w:val="32"/>
                <w:szCs w:val="28"/>
              </w:rPr>
            </w:pPr>
            <w:r>
              <w:t>0.005</w:t>
            </w:r>
          </w:p>
        </w:tc>
        <w:tc>
          <w:tcPr>
            <w:tcW w:w="1098" w:type="dxa"/>
            <w:noWrap/>
            <w:tcMar>
              <w:top w:w="0" w:type="dxa"/>
              <w:left w:w="108" w:type="dxa"/>
              <w:bottom w:w="0" w:type="dxa"/>
              <w:right w:w="108" w:type="dxa"/>
            </w:tcMar>
            <w:vAlign w:val="center"/>
            <w:hideMark/>
          </w:tcPr>
          <w:p w14:paraId="70221146" w14:textId="77777777" w:rsidR="00FC4056" w:rsidRDefault="00FC4056" w:rsidP="00331966">
            <w:pPr>
              <w:pStyle w:val="Tabletext"/>
              <w:rPr>
                <w:rFonts w:eastAsiaTheme="minorHAnsi" w:cs="Arial"/>
                <w:bCs/>
                <w:iCs/>
                <w:color w:val="AEC12D"/>
                <w:sz w:val="32"/>
                <w:szCs w:val="28"/>
              </w:rPr>
            </w:pPr>
            <w:r>
              <w:t>0.005</w:t>
            </w:r>
          </w:p>
        </w:tc>
      </w:tr>
      <w:tr w:rsidR="00B22A62" w14:paraId="1F4079D4" w14:textId="77777777" w:rsidTr="00B22A62">
        <w:tc>
          <w:tcPr>
            <w:tcW w:w="1122" w:type="dxa"/>
            <w:noWrap/>
            <w:tcMar>
              <w:top w:w="0" w:type="dxa"/>
              <w:left w:w="108" w:type="dxa"/>
              <w:bottom w:w="0" w:type="dxa"/>
              <w:right w:w="108" w:type="dxa"/>
            </w:tcMar>
            <w:vAlign w:val="center"/>
            <w:hideMark/>
          </w:tcPr>
          <w:p w14:paraId="4B438BBE" w14:textId="77777777" w:rsidR="00FC4056" w:rsidRDefault="00FC4056" w:rsidP="00331966">
            <w:pPr>
              <w:pStyle w:val="Tabletext"/>
              <w:rPr>
                <w:rFonts w:eastAsiaTheme="minorHAnsi" w:cs="Arial"/>
                <w:bCs/>
                <w:iCs/>
                <w:color w:val="AEC12D"/>
                <w:sz w:val="32"/>
                <w:szCs w:val="28"/>
              </w:rPr>
            </w:pPr>
            <w:r>
              <w:t>481</w:t>
            </w:r>
          </w:p>
        </w:tc>
        <w:tc>
          <w:tcPr>
            <w:tcW w:w="1033" w:type="dxa"/>
            <w:noWrap/>
            <w:tcMar>
              <w:top w:w="0" w:type="dxa"/>
              <w:left w:w="108" w:type="dxa"/>
              <w:bottom w:w="0" w:type="dxa"/>
              <w:right w:w="108" w:type="dxa"/>
            </w:tcMar>
            <w:vAlign w:val="center"/>
            <w:hideMark/>
          </w:tcPr>
          <w:p w14:paraId="7954D17C" w14:textId="77777777" w:rsidR="00FC4056" w:rsidRDefault="00FC4056" w:rsidP="00331966">
            <w:pPr>
              <w:pStyle w:val="Tabletext"/>
              <w:rPr>
                <w:rFonts w:eastAsiaTheme="minorHAnsi" w:cs="Arial"/>
                <w:bCs/>
                <w:iCs/>
                <w:color w:val="AEC12D"/>
                <w:sz w:val="32"/>
                <w:szCs w:val="28"/>
              </w:rPr>
            </w:pPr>
            <w:r>
              <w:t>0.001</w:t>
            </w:r>
          </w:p>
        </w:tc>
        <w:tc>
          <w:tcPr>
            <w:tcW w:w="2212" w:type="dxa"/>
            <w:noWrap/>
            <w:tcMar>
              <w:top w:w="0" w:type="dxa"/>
              <w:left w:w="108" w:type="dxa"/>
              <w:bottom w:w="0" w:type="dxa"/>
              <w:right w:w="108" w:type="dxa"/>
            </w:tcMar>
            <w:vAlign w:val="center"/>
            <w:hideMark/>
          </w:tcPr>
          <w:p w14:paraId="45F57D9B"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75E06B03"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3D764BC6" w14:textId="77777777" w:rsidR="00FC4056" w:rsidRDefault="00FC4056" w:rsidP="00331966">
            <w:pPr>
              <w:pStyle w:val="Tabletext"/>
              <w:rPr>
                <w:rFonts w:eastAsiaTheme="minorHAnsi" w:cs="Arial"/>
                <w:bCs/>
                <w:iCs/>
                <w:color w:val="AEC12D"/>
                <w:sz w:val="32"/>
                <w:szCs w:val="28"/>
              </w:rPr>
            </w:pPr>
            <w:r>
              <w:t>0.001</w:t>
            </w:r>
          </w:p>
        </w:tc>
        <w:tc>
          <w:tcPr>
            <w:tcW w:w="1098" w:type="dxa"/>
            <w:noWrap/>
            <w:tcMar>
              <w:top w:w="0" w:type="dxa"/>
              <w:left w:w="108" w:type="dxa"/>
              <w:bottom w:w="0" w:type="dxa"/>
              <w:right w:w="108" w:type="dxa"/>
            </w:tcMar>
            <w:vAlign w:val="center"/>
            <w:hideMark/>
          </w:tcPr>
          <w:p w14:paraId="7E45C42A" w14:textId="77777777" w:rsidR="00FC4056" w:rsidRDefault="00FC4056" w:rsidP="00331966">
            <w:pPr>
              <w:pStyle w:val="Tabletext"/>
              <w:rPr>
                <w:rFonts w:eastAsiaTheme="minorHAnsi" w:cs="Arial"/>
                <w:bCs/>
                <w:iCs/>
                <w:color w:val="AEC12D"/>
                <w:sz w:val="32"/>
                <w:szCs w:val="28"/>
              </w:rPr>
            </w:pPr>
            <w:r>
              <w:t>0.001</w:t>
            </w:r>
          </w:p>
        </w:tc>
        <w:tc>
          <w:tcPr>
            <w:tcW w:w="1097" w:type="dxa"/>
            <w:noWrap/>
            <w:tcMar>
              <w:top w:w="0" w:type="dxa"/>
              <w:left w:w="108" w:type="dxa"/>
              <w:bottom w:w="0" w:type="dxa"/>
              <w:right w:w="108" w:type="dxa"/>
            </w:tcMar>
            <w:vAlign w:val="center"/>
            <w:hideMark/>
          </w:tcPr>
          <w:p w14:paraId="55838C46" w14:textId="77777777" w:rsidR="00FC4056" w:rsidRDefault="00FC4056" w:rsidP="00331966">
            <w:pPr>
              <w:pStyle w:val="Tabletext"/>
              <w:rPr>
                <w:rFonts w:eastAsiaTheme="minorHAnsi" w:cs="Arial"/>
                <w:bCs/>
                <w:iCs/>
                <w:color w:val="AEC12D"/>
                <w:sz w:val="32"/>
                <w:szCs w:val="28"/>
              </w:rPr>
            </w:pPr>
            <w:r>
              <w:t>0.001</w:t>
            </w:r>
          </w:p>
        </w:tc>
        <w:tc>
          <w:tcPr>
            <w:tcW w:w="1098" w:type="dxa"/>
            <w:noWrap/>
            <w:tcMar>
              <w:top w:w="0" w:type="dxa"/>
              <w:left w:w="108" w:type="dxa"/>
              <w:bottom w:w="0" w:type="dxa"/>
              <w:right w:w="108" w:type="dxa"/>
            </w:tcMar>
            <w:vAlign w:val="center"/>
            <w:hideMark/>
          </w:tcPr>
          <w:p w14:paraId="32A92D6D" w14:textId="77777777" w:rsidR="00FC4056" w:rsidRDefault="00FC4056" w:rsidP="00331966">
            <w:pPr>
              <w:pStyle w:val="Tabletext"/>
              <w:rPr>
                <w:rFonts w:eastAsiaTheme="minorHAnsi" w:cs="Arial"/>
                <w:bCs/>
                <w:iCs/>
                <w:color w:val="AEC12D"/>
                <w:sz w:val="32"/>
                <w:szCs w:val="28"/>
              </w:rPr>
            </w:pPr>
            <w:r>
              <w:t>0.001</w:t>
            </w:r>
          </w:p>
        </w:tc>
      </w:tr>
      <w:tr w:rsidR="00B22A62" w14:paraId="69D317B6" w14:textId="77777777" w:rsidTr="00B22A62">
        <w:tc>
          <w:tcPr>
            <w:tcW w:w="1122" w:type="dxa"/>
            <w:noWrap/>
            <w:tcMar>
              <w:top w:w="0" w:type="dxa"/>
              <w:left w:w="108" w:type="dxa"/>
              <w:bottom w:w="0" w:type="dxa"/>
              <w:right w:w="108" w:type="dxa"/>
            </w:tcMar>
            <w:vAlign w:val="center"/>
            <w:hideMark/>
          </w:tcPr>
          <w:p w14:paraId="078E7B95" w14:textId="77777777" w:rsidR="00FC4056" w:rsidRDefault="00FC4056" w:rsidP="00331966">
            <w:pPr>
              <w:pStyle w:val="Tabletext"/>
              <w:rPr>
                <w:rFonts w:eastAsiaTheme="minorHAnsi" w:cs="Arial"/>
                <w:bCs/>
                <w:iCs/>
                <w:color w:val="AEC12D"/>
                <w:sz w:val="32"/>
                <w:szCs w:val="28"/>
              </w:rPr>
            </w:pPr>
            <w:r>
              <w:t>482</w:t>
            </w:r>
          </w:p>
        </w:tc>
        <w:tc>
          <w:tcPr>
            <w:tcW w:w="1033" w:type="dxa"/>
            <w:noWrap/>
            <w:tcMar>
              <w:top w:w="0" w:type="dxa"/>
              <w:left w:w="108" w:type="dxa"/>
              <w:bottom w:w="0" w:type="dxa"/>
              <w:right w:w="108" w:type="dxa"/>
            </w:tcMar>
            <w:vAlign w:val="center"/>
            <w:hideMark/>
          </w:tcPr>
          <w:p w14:paraId="0027B423" w14:textId="77777777" w:rsidR="00FC4056" w:rsidRDefault="00FC4056" w:rsidP="00331966">
            <w:pPr>
              <w:pStyle w:val="Tabletext"/>
              <w:rPr>
                <w:rFonts w:eastAsiaTheme="minorHAnsi" w:cs="Arial"/>
                <w:bCs/>
                <w:iCs/>
                <w:color w:val="AEC12D"/>
                <w:sz w:val="32"/>
                <w:szCs w:val="28"/>
              </w:rPr>
            </w:pPr>
            <w:r>
              <w:t>0.005</w:t>
            </w:r>
          </w:p>
        </w:tc>
        <w:tc>
          <w:tcPr>
            <w:tcW w:w="2212" w:type="dxa"/>
            <w:noWrap/>
            <w:tcMar>
              <w:top w:w="0" w:type="dxa"/>
              <w:left w:w="108" w:type="dxa"/>
              <w:bottom w:w="0" w:type="dxa"/>
              <w:right w:w="108" w:type="dxa"/>
            </w:tcMar>
            <w:vAlign w:val="center"/>
            <w:hideMark/>
          </w:tcPr>
          <w:p w14:paraId="0E364E40"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5464B52F"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36879C4E" w14:textId="77777777" w:rsidR="00FC4056" w:rsidRDefault="00FC4056" w:rsidP="00331966">
            <w:pPr>
              <w:pStyle w:val="Tabletext"/>
              <w:rPr>
                <w:rFonts w:eastAsiaTheme="minorHAnsi" w:cs="Arial"/>
                <w:bCs/>
                <w:iCs/>
                <w:color w:val="AEC12D"/>
                <w:sz w:val="32"/>
                <w:szCs w:val="28"/>
              </w:rPr>
            </w:pPr>
            <w:r>
              <w:t>0.005</w:t>
            </w:r>
          </w:p>
        </w:tc>
        <w:tc>
          <w:tcPr>
            <w:tcW w:w="1098" w:type="dxa"/>
            <w:noWrap/>
            <w:tcMar>
              <w:top w:w="0" w:type="dxa"/>
              <w:left w:w="108" w:type="dxa"/>
              <w:bottom w:w="0" w:type="dxa"/>
              <w:right w:w="108" w:type="dxa"/>
            </w:tcMar>
            <w:vAlign w:val="center"/>
            <w:hideMark/>
          </w:tcPr>
          <w:p w14:paraId="0B842C4A"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68A3BF17" w14:textId="77777777" w:rsidR="00FC4056" w:rsidRDefault="00FC4056" w:rsidP="00331966">
            <w:pPr>
              <w:pStyle w:val="Tabletext"/>
              <w:rPr>
                <w:rFonts w:eastAsiaTheme="minorHAnsi" w:cs="Arial"/>
                <w:bCs/>
                <w:iCs/>
                <w:color w:val="AEC12D"/>
                <w:sz w:val="32"/>
                <w:szCs w:val="28"/>
              </w:rPr>
            </w:pPr>
            <w:r>
              <w:t>0.005</w:t>
            </w:r>
          </w:p>
        </w:tc>
        <w:tc>
          <w:tcPr>
            <w:tcW w:w="1098" w:type="dxa"/>
            <w:noWrap/>
            <w:tcMar>
              <w:top w:w="0" w:type="dxa"/>
              <w:left w:w="108" w:type="dxa"/>
              <w:bottom w:w="0" w:type="dxa"/>
              <w:right w:w="108" w:type="dxa"/>
            </w:tcMar>
            <w:vAlign w:val="center"/>
            <w:hideMark/>
          </w:tcPr>
          <w:p w14:paraId="6CE6B5A3" w14:textId="77777777" w:rsidR="00FC4056" w:rsidRDefault="00FC4056" w:rsidP="00331966">
            <w:pPr>
              <w:pStyle w:val="Tabletext"/>
              <w:rPr>
                <w:rFonts w:eastAsiaTheme="minorHAnsi" w:cs="Arial"/>
                <w:bCs/>
                <w:iCs/>
                <w:color w:val="AEC12D"/>
                <w:sz w:val="32"/>
                <w:szCs w:val="28"/>
              </w:rPr>
            </w:pPr>
            <w:r>
              <w:t>0.005</w:t>
            </w:r>
          </w:p>
        </w:tc>
      </w:tr>
      <w:tr w:rsidR="00B22A62" w14:paraId="6E7D82DF" w14:textId="77777777" w:rsidTr="00B22A62">
        <w:tc>
          <w:tcPr>
            <w:tcW w:w="1122" w:type="dxa"/>
            <w:noWrap/>
            <w:tcMar>
              <w:top w:w="0" w:type="dxa"/>
              <w:left w:w="108" w:type="dxa"/>
              <w:bottom w:w="0" w:type="dxa"/>
              <w:right w:w="108" w:type="dxa"/>
            </w:tcMar>
            <w:vAlign w:val="center"/>
            <w:hideMark/>
          </w:tcPr>
          <w:p w14:paraId="624197BA" w14:textId="77777777" w:rsidR="00FC4056" w:rsidRDefault="00FC4056" w:rsidP="00331966">
            <w:pPr>
              <w:pStyle w:val="Tabletext"/>
              <w:rPr>
                <w:rFonts w:eastAsiaTheme="minorHAnsi" w:cs="Arial"/>
                <w:bCs/>
                <w:iCs/>
                <w:color w:val="AEC12D"/>
                <w:sz w:val="32"/>
                <w:szCs w:val="28"/>
              </w:rPr>
            </w:pPr>
            <w:r>
              <w:t>483</w:t>
            </w:r>
          </w:p>
        </w:tc>
        <w:tc>
          <w:tcPr>
            <w:tcW w:w="1033" w:type="dxa"/>
            <w:noWrap/>
            <w:tcMar>
              <w:top w:w="0" w:type="dxa"/>
              <w:left w:w="108" w:type="dxa"/>
              <w:bottom w:w="0" w:type="dxa"/>
              <w:right w:w="108" w:type="dxa"/>
            </w:tcMar>
            <w:vAlign w:val="center"/>
            <w:hideMark/>
          </w:tcPr>
          <w:p w14:paraId="0966A905" w14:textId="77777777" w:rsidR="00FC4056" w:rsidRDefault="00FC4056" w:rsidP="00331966">
            <w:pPr>
              <w:pStyle w:val="Tabletext"/>
              <w:rPr>
                <w:rFonts w:eastAsiaTheme="minorHAnsi" w:cs="Arial"/>
                <w:bCs/>
                <w:iCs/>
                <w:color w:val="AEC12D"/>
                <w:sz w:val="32"/>
                <w:szCs w:val="28"/>
              </w:rPr>
            </w:pPr>
            <w:r>
              <w:t>0.01</w:t>
            </w:r>
          </w:p>
        </w:tc>
        <w:tc>
          <w:tcPr>
            <w:tcW w:w="2212" w:type="dxa"/>
            <w:noWrap/>
            <w:tcMar>
              <w:top w:w="0" w:type="dxa"/>
              <w:left w:w="108" w:type="dxa"/>
              <w:bottom w:w="0" w:type="dxa"/>
              <w:right w:w="108" w:type="dxa"/>
            </w:tcMar>
            <w:vAlign w:val="center"/>
            <w:hideMark/>
          </w:tcPr>
          <w:p w14:paraId="426ECE40" w14:textId="77777777" w:rsidR="00FC4056" w:rsidRDefault="00FC4056" w:rsidP="00331966">
            <w:pPr>
              <w:pStyle w:val="Tabletext"/>
              <w:rPr>
                <w:rFonts w:eastAsiaTheme="minorHAnsi"/>
              </w:rPr>
            </w:pPr>
            <w:r>
              <w:t>0.01</w:t>
            </w:r>
          </w:p>
        </w:tc>
        <w:tc>
          <w:tcPr>
            <w:tcW w:w="1097" w:type="dxa"/>
            <w:noWrap/>
            <w:tcMar>
              <w:top w:w="0" w:type="dxa"/>
              <w:left w:w="108" w:type="dxa"/>
              <w:bottom w:w="0" w:type="dxa"/>
              <w:right w:w="108" w:type="dxa"/>
            </w:tcMar>
            <w:vAlign w:val="center"/>
            <w:hideMark/>
          </w:tcPr>
          <w:p w14:paraId="2FEB5840"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72A55169"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4B3111E5" w14:textId="77777777" w:rsidR="00FC4056" w:rsidRDefault="00FC4056" w:rsidP="00331966">
            <w:pPr>
              <w:pStyle w:val="Tabletext"/>
              <w:rPr>
                <w:rFonts w:eastAsiaTheme="minorHAnsi" w:cs="Arial"/>
                <w:bCs/>
                <w:iCs/>
                <w:color w:val="AEC12D"/>
                <w:sz w:val="32"/>
                <w:szCs w:val="28"/>
              </w:rPr>
            </w:pPr>
            <w:r>
              <w:t>0.01</w:t>
            </w:r>
          </w:p>
        </w:tc>
        <w:tc>
          <w:tcPr>
            <w:tcW w:w="1097" w:type="dxa"/>
            <w:noWrap/>
            <w:tcMar>
              <w:top w:w="0" w:type="dxa"/>
              <w:left w:w="108" w:type="dxa"/>
              <w:bottom w:w="0" w:type="dxa"/>
              <w:right w:w="108" w:type="dxa"/>
            </w:tcMar>
            <w:vAlign w:val="center"/>
            <w:hideMark/>
          </w:tcPr>
          <w:p w14:paraId="3488557C" w14:textId="77777777" w:rsidR="00FC4056" w:rsidRDefault="00FC4056" w:rsidP="00331966">
            <w:pPr>
              <w:pStyle w:val="Tabletext"/>
              <w:rPr>
                <w:rFonts w:eastAsiaTheme="minorHAnsi" w:cs="Arial"/>
                <w:bCs/>
                <w:iCs/>
                <w:color w:val="AEC12D"/>
                <w:sz w:val="32"/>
                <w:szCs w:val="28"/>
              </w:rPr>
            </w:pPr>
            <w:r>
              <w:t>0.01</w:t>
            </w:r>
          </w:p>
        </w:tc>
        <w:tc>
          <w:tcPr>
            <w:tcW w:w="1098" w:type="dxa"/>
            <w:noWrap/>
            <w:tcMar>
              <w:top w:w="0" w:type="dxa"/>
              <w:left w:w="108" w:type="dxa"/>
              <w:bottom w:w="0" w:type="dxa"/>
              <w:right w:w="108" w:type="dxa"/>
            </w:tcMar>
            <w:vAlign w:val="center"/>
            <w:hideMark/>
          </w:tcPr>
          <w:p w14:paraId="6D4440F9" w14:textId="77777777" w:rsidR="00FC4056" w:rsidRDefault="00FC4056" w:rsidP="00331966">
            <w:pPr>
              <w:pStyle w:val="Tabletext"/>
              <w:rPr>
                <w:rFonts w:eastAsiaTheme="minorHAnsi" w:cs="Arial"/>
                <w:bCs/>
                <w:iCs/>
                <w:color w:val="AEC12D"/>
                <w:sz w:val="32"/>
                <w:szCs w:val="28"/>
              </w:rPr>
            </w:pPr>
            <w:r>
              <w:t>0.01</w:t>
            </w:r>
          </w:p>
        </w:tc>
      </w:tr>
      <w:tr w:rsidR="00B22A62" w14:paraId="23C6EA71" w14:textId="77777777" w:rsidTr="00B22A62">
        <w:tc>
          <w:tcPr>
            <w:tcW w:w="1122" w:type="dxa"/>
            <w:noWrap/>
            <w:tcMar>
              <w:top w:w="0" w:type="dxa"/>
              <w:left w:w="108" w:type="dxa"/>
              <w:bottom w:w="0" w:type="dxa"/>
              <w:right w:w="108" w:type="dxa"/>
            </w:tcMar>
            <w:vAlign w:val="center"/>
            <w:hideMark/>
          </w:tcPr>
          <w:p w14:paraId="60128CF0" w14:textId="77777777" w:rsidR="00FC4056" w:rsidRDefault="00FC4056" w:rsidP="00331966">
            <w:pPr>
              <w:pStyle w:val="Tabletext"/>
              <w:rPr>
                <w:rFonts w:eastAsiaTheme="minorHAnsi" w:cs="Arial"/>
                <w:bCs/>
                <w:iCs/>
                <w:color w:val="AEC12D"/>
                <w:sz w:val="32"/>
                <w:szCs w:val="28"/>
              </w:rPr>
            </w:pPr>
            <w:r>
              <w:t>514</w:t>
            </w:r>
          </w:p>
        </w:tc>
        <w:tc>
          <w:tcPr>
            <w:tcW w:w="1033" w:type="dxa"/>
            <w:noWrap/>
            <w:tcMar>
              <w:top w:w="0" w:type="dxa"/>
              <w:left w:w="108" w:type="dxa"/>
              <w:bottom w:w="0" w:type="dxa"/>
              <w:right w:w="108" w:type="dxa"/>
            </w:tcMar>
            <w:vAlign w:val="center"/>
            <w:hideMark/>
          </w:tcPr>
          <w:p w14:paraId="42B5AAA1" w14:textId="77777777" w:rsidR="00FC4056" w:rsidRDefault="00FC4056" w:rsidP="00331966">
            <w:pPr>
              <w:pStyle w:val="Tabletext"/>
              <w:rPr>
                <w:rFonts w:eastAsiaTheme="minorHAnsi" w:cs="Arial"/>
                <w:bCs/>
                <w:iCs/>
                <w:color w:val="AEC12D"/>
                <w:sz w:val="32"/>
                <w:szCs w:val="28"/>
              </w:rPr>
            </w:pPr>
            <w:r>
              <w:t>0.005</w:t>
            </w:r>
          </w:p>
        </w:tc>
        <w:tc>
          <w:tcPr>
            <w:tcW w:w="2212" w:type="dxa"/>
            <w:noWrap/>
            <w:tcMar>
              <w:top w:w="0" w:type="dxa"/>
              <w:left w:w="108" w:type="dxa"/>
              <w:bottom w:w="0" w:type="dxa"/>
              <w:right w:w="108" w:type="dxa"/>
            </w:tcMar>
            <w:vAlign w:val="center"/>
            <w:hideMark/>
          </w:tcPr>
          <w:p w14:paraId="4E5FBB5A"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49A355DE"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1A220E40" w14:textId="77777777" w:rsidR="00FC4056" w:rsidRDefault="00FC4056" w:rsidP="00331966">
            <w:pPr>
              <w:pStyle w:val="Tabletext"/>
              <w:rPr>
                <w:rFonts w:eastAsiaTheme="minorHAnsi" w:cs="Arial"/>
                <w:bCs/>
                <w:iCs/>
                <w:color w:val="AEC12D"/>
                <w:sz w:val="32"/>
                <w:szCs w:val="28"/>
              </w:rPr>
            </w:pPr>
            <w:r>
              <w:t>0.005</w:t>
            </w:r>
          </w:p>
        </w:tc>
        <w:tc>
          <w:tcPr>
            <w:tcW w:w="1098" w:type="dxa"/>
            <w:noWrap/>
            <w:tcMar>
              <w:top w:w="0" w:type="dxa"/>
              <w:left w:w="108" w:type="dxa"/>
              <w:bottom w:w="0" w:type="dxa"/>
              <w:right w:w="108" w:type="dxa"/>
            </w:tcMar>
            <w:vAlign w:val="center"/>
            <w:hideMark/>
          </w:tcPr>
          <w:p w14:paraId="2789769B" w14:textId="77777777" w:rsidR="00FC4056" w:rsidRDefault="00FC4056" w:rsidP="00331966">
            <w:pPr>
              <w:pStyle w:val="Tabletext"/>
              <w:rPr>
                <w:rFonts w:eastAsiaTheme="minorHAnsi" w:cs="Arial"/>
                <w:bCs/>
                <w:iCs/>
                <w:color w:val="AEC12D"/>
                <w:sz w:val="32"/>
                <w:szCs w:val="28"/>
              </w:rPr>
            </w:pPr>
            <w:r>
              <w:t>0.005</w:t>
            </w:r>
          </w:p>
        </w:tc>
        <w:tc>
          <w:tcPr>
            <w:tcW w:w="1097" w:type="dxa"/>
            <w:noWrap/>
            <w:tcMar>
              <w:top w:w="0" w:type="dxa"/>
              <w:left w:w="108" w:type="dxa"/>
              <w:bottom w:w="0" w:type="dxa"/>
              <w:right w:w="108" w:type="dxa"/>
            </w:tcMar>
            <w:vAlign w:val="center"/>
            <w:hideMark/>
          </w:tcPr>
          <w:p w14:paraId="5F97EB7A" w14:textId="77777777" w:rsidR="00FC4056" w:rsidRDefault="00FC4056" w:rsidP="00331966">
            <w:pPr>
              <w:pStyle w:val="Tabletext"/>
              <w:rPr>
                <w:rFonts w:eastAsiaTheme="minorHAnsi" w:cs="Arial"/>
                <w:bCs/>
                <w:iCs/>
                <w:color w:val="AEC12D"/>
                <w:sz w:val="32"/>
                <w:szCs w:val="28"/>
              </w:rPr>
            </w:pPr>
            <w:r>
              <w:t>0.005</w:t>
            </w:r>
          </w:p>
        </w:tc>
        <w:tc>
          <w:tcPr>
            <w:tcW w:w="1098" w:type="dxa"/>
            <w:noWrap/>
            <w:tcMar>
              <w:top w:w="0" w:type="dxa"/>
              <w:left w:w="108" w:type="dxa"/>
              <w:bottom w:w="0" w:type="dxa"/>
              <w:right w:w="108" w:type="dxa"/>
            </w:tcMar>
            <w:vAlign w:val="center"/>
            <w:hideMark/>
          </w:tcPr>
          <w:p w14:paraId="623198FC" w14:textId="77777777" w:rsidR="00FC4056" w:rsidRDefault="00FC4056" w:rsidP="00331966">
            <w:pPr>
              <w:pStyle w:val="Tabletext"/>
              <w:rPr>
                <w:rFonts w:eastAsiaTheme="minorHAnsi" w:cs="Arial"/>
                <w:bCs/>
                <w:iCs/>
                <w:color w:val="AEC12D"/>
                <w:sz w:val="32"/>
                <w:szCs w:val="28"/>
              </w:rPr>
            </w:pPr>
            <w:r>
              <w:t>0.005</w:t>
            </w:r>
          </w:p>
        </w:tc>
      </w:tr>
      <w:tr w:rsidR="00B22A62" w14:paraId="462FEDDB" w14:textId="77777777" w:rsidTr="00B22A62">
        <w:tc>
          <w:tcPr>
            <w:tcW w:w="1122" w:type="dxa"/>
            <w:noWrap/>
            <w:tcMar>
              <w:top w:w="0" w:type="dxa"/>
              <w:left w:w="108" w:type="dxa"/>
              <w:bottom w:w="0" w:type="dxa"/>
              <w:right w:w="108" w:type="dxa"/>
            </w:tcMar>
            <w:vAlign w:val="center"/>
            <w:hideMark/>
          </w:tcPr>
          <w:p w14:paraId="211CC44C" w14:textId="77777777" w:rsidR="00FC4056" w:rsidRDefault="00FC4056" w:rsidP="00331966">
            <w:pPr>
              <w:pStyle w:val="Tabletext"/>
              <w:rPr>
                <w:rFonts w:eastAsiaTheme="minorHAnsi" w:cs="Arial"/>
                <w:bCs/>
                <w:iCs/>
                <w:color w:val="AEC12D"/>
                <w:sz w:val="32"/>
                <w:szCs w:val="28"/>
              </w:rPr>
            </w:pPr>
            <w:r>
              <w:t>515</w:t>
            </w:r>
          </w:p>
        </w:tc>
        <w:tc>
          <w:tcPr>
            <w:tcW w:w="1033" w:type="dxa"/>
            <w:noWrap/>
            <w:tcMar>
              <w:top w:w="0" w:type="dxa"/>
              <w:left w:w="108" w:type="dxa"/>
              <w:bottom w:w="0" w:type="dxa"/>
              <w:right w:w="108" w:type="dxa"/>
            </w:tcMar>
            <w:vAlign w:val="center"/>
            <w:hideMark/>
          </w:tcPr>
          <w:p w14:paraId="67A369E1" w14:textId="77777777" w:rsidR="00FC4056" w:rsidRDefault="00FC4056" w:rsidP="00331966">
            <w:pPr>
              <w:pStyle w:val="Tabletext"/>
              <w:rPr>
                <w:rFonts w:eastAsiaTheme="minorHAnsi" w:cs="Arial"/>
                <w:bCs/>
                <w:iCs/>
                <w:color w:val="AEC12D"/>
                <w:sz w:val="32"/>
                <w:szCs w:val="28"/>
              </w:rPr>
            </w:pPr>
            <w:r>
              <w:t>0.006</w:t>
            </w:r>
          </w:p>
        </w:tc>
        <w:tc>
          <w:tcPr>
            <w:tcW w:w="2212" w:type="dxa"/>
            <w:noWrap/>
            <w:tcMar>
              <w:top w:w="0" w:type="dxa"/>
              <w:left w:w="108" w:type="dxa"/>
              <w:bottom w:w="0" w:type="dxa"/>
              <w:right w:w="108" w:type="dxa"/>
            </w:tcMar>
            <w:vAlign w:val="center"/>
            <w:hideMark/>
          </w:tcPr>
          <w:p w14:paraId="0321C784" w14:textId="77777777" w:rsidR="00FC4056" w:rsidRDefault="00FC4056" w:rsidP="00331966">
            <w:pPr>
              <w:pStyle w:val="Tabletext"/>
              <w:rPr>
                <w:rFonts w:eastAsiaTheme="minorHAnsi" w:cs="Arial"/>
                <w:bCs/>
                <w:iCs/>
                <w:color w:val="AEC12D"/>
                <w:sz w:val="32"/>
                <w:szCs w:val="28"/>
              </w:rPr>
            </w:pPr>
            <w:r>
              <w:t>0.006</w:t>
            </w:r>
          </w:p>
        </w:tc>
        <w:tc>
          <w:tcPr>
            <w:tcW w:w="1097" w:type="dxa"/>
            <w:noWrap/>
            <w:tcMar>
              <w:top w:w="0" w:type="dxa"/>
              <w:left w:w="108" w:type="dxa"/>
              <w:bottom w:w="0" w:type="dxa"/>
              <w:right w:w="108" w:type="dxa"/>
            </w:tcMar>
            <w:vAlign w:val="center"/>
            <w:hideMark/>
          </w:tcPr>
          <w:p w14:paraId="41EFC036" w14:textId="77777777" w:rsidR="00FC4056" w:rsidRDefault="00FC4056" w:rsidP="00331966">
            <w:pPr>
              <w:pStyle w:val="Tabletext"/>
              <w:rPr>
                <w:rFonts w:eastAsiaTheme="minorHAnsi" w:cs="Arial"/>
                <w:bCs/>
                <w:iCs/>
                <w:color w:val="AEC12D"/>
                <w:sz w:val="32"/>
                <w:szCs w:val="28"/>
              </w:rPr>
            </w:pPr>
            <w:r>
              <w:t>0.006</w:t>
            </w:r>
          </w:p>
        </w:tc>
        <w:tc>
          <w:tcPr>
            <w:tcW w:w="1097" w:type="dxa"/>
            <w:noWrap/>
            <w:tcMar>
              <w:top w:w="0" w:type="dxa"/>
              <w:left w:w="108" w:type="dxa"/>
              <w:bottom w:w="0" w:type="dxa"/>
              <w:right w:w="108" w:type="dxa"/>
            </w:tcMar>
            <w:vAlign w:val="center"/>
            <w:hideMark/>
          </w:tcPr>
          <w:p w14:paraId="25ADA65F" w14:textId="77777777" w:rsidR="00FC4056" w:rsidRDefault="00FC4056" w:rsidP="00331966">
            <w:pPr>
              <w:pStyle w:val="Tabletext"/>
              <w:rPr>
                <w:rFonts w:eastAsiaTheme="minorHAnsi" w:cs="Arial"/>
                <w:bCs/>
                <w:iCs/>
                <w:color w:val="AEC12D"/>
                <w:sz w:val="32"/>
                <w:szCs w:val="28"/>
              </w:rPr>
            </w:pPr>
            <w:r>
              <w:t>0.006</w:t>
            </w:r>
          </w:p>
        </w:tc>
        <w:tc>
          <w:tcPr>
            <w:tcW w:w="1098" w:type="dxa"/>
            <w:noWrap/>
            <w:tcMar>
              <w:top w:w="0" w:type="dxa"/>
              <w:left w:w="108" w:type="dxa"/>
              <w:bottom w:w="0" w:type="dxa"/>
              <w:right w:w="108" w:type="dxa"/>
            </w:tcMar>
            <w:vAlign w:val="center"/>
            <w:hideMark/>
          </w:tcPr>
          <w:p w14:paraId="11D45152" w14:textId="77777777" w:rsidR="00FC4056" w:rsidRDefault="00FC4056" w:rsidP="00331966">
            <w:pPr>
              <w:pStyle w:val="Tabletext"/>
              <w:rPr>
                <w:rFonts w:eastAsiaTheme="minorHAnsi" w:cs="Arial"/>
                <w:bCs/>
                <w:iCs/>
                <w:color w:val="AEC12D"/>
                <w:sz w:val="32"/>
                <w:szCs w:val="28"/>
              </w:rPr>
            </w:pPr>
            <w:r>
              <w:t>0.006</w:t>
            </w:r>
          </w:p>
        </w:tc>
        <w:tc>
          <w:tcPr>
            <w:tcW w:w="1097" w:type="dxa"/>
            <w:noWrap/>
            <w:tcMar>
              <w:top w:w="0" w:type="dxa"/>
              <w:left w:w="108" w:type="dxa"/>
              <w:bottom w:w="0" w:type="dxa"/>
              <w:right w:w="108" w:type="dxa"/>
            </w:tcMar>
            <w:vAlign w:val="center"/>
            <w:hideMark/>
          </w:tcPr>
          <w:p w14:paraId="19408338" w14:textId="77777777" w:rsidR="00FC4056" w:rsidRDefault="00FC4056" w:rsidP="00331966">
            <w:pPr>
              <w:pStyle w:val="Tabletext"/>
              <w:rPr>
                <w:rFonts w:eastAsiaTheme="minorHAnsi" w:cs="Arial"/>
                <w:bCs/>
                <w:iCs/>
                <w:color w:val="AEC12D"/>
                <w:sz w:val="32"/>
                <w:szCs w:val="28"/>
              </w:rPr>
            </w:pPr>
            <w:r>
              <w:t>0.006</w:t>
            </w:r>
          </w:p>
        </w:tc>
        <w:tc>
          <w:tcPr>
            <w:tcW w:w="1098" w:type="dxa"/>
            <w:noWrap/>
            <w:tcMar>
              <w:top w:w="0" w:type="dxa"/>
              <w:left w:w="108" w:type="dxa"/>
              <w:bottom w:w="0" w:type="dxa"/>
              <w:right w:w="108" w:type="dxa"/>
            </w:tcMar>
            <w:vAlign w:val="center"/>
            <w:hideMark/>
          </w:tcPr>
          <w:p w14:paraId="5AF6B94F" w14:textId="77777777" w:rsidR="00FC4056" w:rsidRDefault="00FC4056" w:rsidP="00331966">
            <w:pPr>
              <w:pStyle w:val="Tabletext"/>
              <w:rPr>
                <w:rFonts w:eastAsiaTheme="minorHAnsi" w:cs="Arial"/>
                <w:bCs/>
                <w:iCs/>
                <w:color w:val="AEC12D"/>
                <w:sz w:val="32"/>
                <w:szCs w:val="28"/>
              </w:rPr>
            </w:pPr>
            <w:r>
              <w:t>0.006</w:t>
            </w:r>
          </w:p>
        </w:tc>
      </w:tr>
    </w:tbl>
    <w:p w14:paraId="37C4C273" w14:textId="77777777" w:rsidR="00FC4056" w:rsidRDefault="00FC4056" w:rsidP="00331966">
      <w:pPr>
        <w:pStyle w:val="Tabletext"/>
      </w:pPr>
    </w:p>
    <w:p w14:paraId="07CEB054" w14:textId="77777777" w:rsidR="00670BE8" w:rsidRDefault="00670BE8" w:rsidP="00331966">
      <w:pPr>
        <w:pStyle w:val="Tabletext"/>
      </w:pPr>
    </w:p>
    <w:p w14:paraId="0442562E" w14:textId="77777777" w:rsidR="00331966" w:rsidRDefault="00331966">
      <w:pPr>
        <w:spacing w:after="200"/>
        <w:rPr>
          <w:rFonts w:eastAsia="Calibri"/>
          <w:b/>
          <w:sz w:val="18"/>
          <w:szCs w:val="18"/>
          <w:lang w:val="en-US" w:eastAsia="en-US"/>
        </w:rPr>
      </w:pPr>
      <w:r>
        <w:rPr>
          <w:b/>
          <w:lang w:val="en-US"/>
        </w:rPr>
        <w:br w:type="page"/>
      </w:r>
    </w:p>
    <w:p w14:paraId="12649218" w14:textId="6E752492" w:rsidR="00FC4056" w:rsidRPr="00FB0996" w:rsidRDefault="00FC4056" w:rsidP="00B22A62">
      <w:pPr>
        <w:pStyle w:val="Tableheading"/>
        <w:rPr>
          <w:i/>
          <w:lang w:val="en-US"/>
        </w:rPr>
      </w:pPr>
      <w:r w:rsidRPr="00FB0996">
        <w:rPr>
          <w:lang w:val="en-US"/>
        </w:rPr>
        <w:t xml:space="preserve">Table </w:t>
      </w:r>
      <w:r w:rsidR="00E543D7" w:rsidRPr="00FB0996">
        <w:rPr>
          <w:lang w:val="en-US"/>
        </w:rPr>
        <w:t>B</w:t>
      </w:r>
      <w:r w:rsidR="00FB0996" w:rsidRPr="00FB0996">
        <w:rPr>
          <w:lang w:val="en-US"/>
        </w:rPr>
        <w:t>5:</w:t>
      </w:r>
      <w:r w:rsidRPr="00FB0996">
        <w:rPr>
          <w:lang w:val="en-US"/>
        </w:rPr>
        <w:t xml:space="preserve"> </w:t>
      </w:r>
      <w:r w:rsidR="00331966">
        <w:rPr>
          <w:lang w:val="en-US"/>
        </w:rPr>
        <w:t xml:space="preserve"> </w:t>
      </w:r>
      <w:r w:rsidRPr="00FB0996">
        <w:rPr>
          <w:lang w:val="en-US"/>
        </w:rPr>
        <w:t xml:space="preserve">Drawdown in metres after 30 years with no-flow boundary condition on aquifers, </w:t>
      </w:r>
      <w:r w:rsidR="00B22A62">
        <w:rPr>
          <w:lang w:val="en-US"/>
        </w:rPr>
        <w:br/>
      </w:r>
      <w:r w:rsidRPr="00FB0996">
        <w:rPr>
          <w:lang w:val="en-US"/>
        </w:rPr>
        <w:t>shale case</w:t>
      </w:r>
      <w:r w:rsidR="00331966">
        <w:rPr>
          <w:lang w:val="en-US"/>
        </w:rPr>
        <w:t>.</w:t>
      </w:r>
    </w:p>
    <w:tbl>
      <w:tblPr>
        <w:tblW w:w="9781" w:type="dxa"/>
        <w:tblInd w:w="108" w:type="dxa"/>
        <w:tblBorders>
          <w:bottom w:val="single" w:sz="4" w:space="0" w:color="005A97"/>
          <w:insideH w:val="single" w:sz="4" w:space="0" w:color="005A97"/>
          <w:insideV w:val="single" w:sz="4" w:space="0" w:color="005A97"/>
        </w:tblBorders>
        <w:tblLayout w:type="fixed"/>
        <w:tblCellMar>
          <w:left w:w="0" w:type="dxa"/>
          <w:right w:w="0" w:type="dxa"/>
        </w:tblCellMar>
        <w:tblLook w:val="04A0" w:firstRow="1" w:lastRow="0" w:firstColumn="1" w:lastColumn="0" w:noHBand="0" w:noVBand="1"/>
      </w:tblPr>
      <w:tblGrid>
        <w:gridCol w:w="960"/>
        <w:gridCol w:w="960"/>
        <w:gridCol w:w="2333"/>
        <w:gridCol w:w="1105"/>
        <w:gridCol w:w="1106"/>
        <w:gridCol w:w="1105"/>
        <w:gridCol w:w="1106"/>
        <w:gridCol w:w="1106"/>
      </w:tblGrid>
      <w:tr w:rsidR="00B22A62" w14:paraId="536512CB" w14:textId="77777777" w:rsidTr="00B22A62">
        <w:trPr>
          <w:trHeight w:val="300"/>
        </w:trPr>
        <w:tc>
          <w:tcPr>
            <w:tcW w:w="960" w:type="dxa"/>
            <w:tcBorders>
              <w:top w:val="nil"/>
              <w:right w:val="single" w:sz="4" w:space="0" w:color="FFFFFF"/>
            </w:tcBorders>
            <w:shd w:val="clear" w:color="auto" w:fill="005A97"/>
            <w:noWrap/>
            <w:tcMar>
              <w:top w:w="0" w:type="dxa"/>
              <w:left w:w="108" w:type="dxa"/>
              <w:bottom w:w="0" w:type="dxa"/>
              <w:right w:w="108" w:type="dxa"/>
            </w:tcMar>
            <w:hideMark/>
          </w:tcPr>
          <w:p w14:paraId="78C69C51" w14:textId="7B7CAB68" w:rsidR="00FC4056" w:rsidRDefault="00331966" w:rsidP="00B22A62">
            <w:pPr>
              <w:pStyle w:val="TableHeaderrow"/>
              <w:rPr>
                <w:rFonts w:eastAsiaTheme="minorHAnsi" w:cstheme="majorBidi"/>
                <w:color w:val="0079CD" w:themeColor="text1" w:themeTint="D8"/>
                <w:sz w:val="21"/>
                <w:szCs w:val="21"/>
              </w:rPr>
            </w:pPr>
            <w:r>
              <w:t>Bloc_ID</w:t>
            </w:r>
          </w:p>
        </w:tc>
        <w:tc>
          <w:tcPr>
            <w:tcW w:w="960"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7667D060" w14:textId="77777777" w:rsidR="00FC4056" w:rsidRDefault="00FC4056" w:rsidP="00B22A62">
            <w:pPr>
              <w:pStyle w:val="TableHeaderrow"/>
              <w:rPr>
                <w:rFonts w:eastAsiaTheme="minorHAnsi" w:cstheme="majorBidi"/>
                <w:color w:val="0079CD" w:themeColor="text1" w:themeTint="D8"/>
                <w:sz w:val="21"/>
                <w:szCs w:val="21"/>
              </w:rPr>
            </w:pPr>
            <w:r>
              <w:t>Dilwyn (Aq111)</w:t>
            </w:r>
          </w:p>
        </w:tc>
        <w:tc>
          <w:tcPr>
            <w:tcW w:w="2333"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07B1E3F2" w14:textId="77777777" w:rsidR="00FC4056" w:rsidRDefault="00FC4056" w:rsidP="00B22A62">
            <w:pPr>
              <w:pStyle w:val="TableHeaderrow"/>
              <w:rPr>
                <w:rFonts w:eastAsiaTheme="minorHAnsi" w:cstheme="majorBidi"/>
                <w:color w:val="0079CD" w:themeColor="text1" w:themeTint="D8"/>
                <w:sz w:val="21"/>
                <w:szCs w:val="21"/>
              </w:rPr>
            </w:pPr>
            <w:r>
              <w:t>Mepunga Form. / Older Volc (Aq111/Aq112)</w:t>
            </w:r>
          </w:p>
        </w:tc>
        <w:tc>
          <w:tcPr>
            <w:tcW w:w="1105"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4E827223" w14:textId="77777777" w:rsidR="00FC4056" w:rsidRDefault="00FC4056" w:rsidP="00B22A62">
            <w:pPr>
              <w:pStyle w:val="TableHeaderrow"/>
              <w:rPr>
                <w:rFonts w:eastAsiaTheme="minorHAnsi" w:cstheme="majorBidi"/>
                <w:color w:val="0079CD" w:themeColor="text1" w:themeTint="D8"/>
                <w:sz w:val="21"/>
                <w:szCs w:val="21"/>
              </w:rPr>
            </w:pPr>
            <w:r>
              <w:t>Clifton From. (Aq 109)</w:t>
            </w:r>
          </w:p>
        </w:tc>
        <w:tc>
          <w:tcPr>
            <w:tcW w:w="1106"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7D617D88" w14:textId="77777777" w:rsidR="00FC4056" w:rsidRDefault="00FC4056" w:rsidP="00B22A62">
            <w:pPr>
              <w:pStyle w:val="TableHeaderrow"/>
              <w:rPr>
                <w:rFonts w:eastAsiaTheme="minorHAnsi" w:cstheme="majorBidi"/>
                <w:color w:val="0079CD" w:themeColor="text1" w:themeTint="D8"/>
                <w:sz w:val="21"/>
                <w:szCs w:val="21"/>
              </w:rPr>
            </w:pPr>
            <w:r>
              <w:t>Port Campbell (Aq107)</w:t>
            </w:r>
          </w:p>
        </w:tc>
        <w:tc>
          <w:tcPr>
            <w:tcW w:w="1105"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2019BBED" w14:textId="77777777" w:rsidR="00FC4056" w:rsidRDefault="00FC4056" w:rsidP="00B22A62">
            <w:pPr>
              <w:pStyle w:val="TableHeaderrow"/>
              <w:rPr>
                <w:rFonts w:eastAsiaTheme="minorHAnsi" w:cstheme="majorBidi"/>
                <w:color w:val="0079CD" w:themeColor="text1" w:themeTint="D8"/>
                <w:sz w:val="21"/>
                <w:szCs w:val="21"/>
              </w:rPr>
            </w:pPr>
            <w:r>
              <w:t>Aq100</w:t>
            </w:r>
          </w:p>
        </w:tc>
        <w:tc>
          <w:tcPr>
            <w:tcW w:w="1106"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164B2DC5" w14:textId="77777777" w:rsidR="00FC4056" w:rsidRDefault="00FC4056" w:rsidP="00B22A62">
            <w:pPr>
              <w:pStyle w:val="TableHeaderrow"/>
              <w:rPr>
                <w:rFonts w:eastAsiaTheme="minorHAnsi" w:cstheme="majorBidi"/>
                <w:color w:val="0079CD" w:themeColor="text1" w:themeTint="D8"/>
                <w:sz w:val="21"/>
                <w:szCs w:val="21"/>
              </w:rPr>
            </w:pPr>
            <w:r>
              <w:t>Aq101</w:t>
            </w:r>
          </w:p>
        </w:tc>
        <w:tc>
          <w:tcPr>
            <w:tcW w:w="1106" w:type="dxa"/>
            <w:tcBorders>
              <w:top w:val="nil"/>
              <w:left w:val="single" w:sz="4" w:space="0" w:color="FFFFFF"/>
            </w:tcBorders>
            <w:shd w:val="clear" w:color="auto" w:fill="005A97"/>
            <w:noWrap/>
            <w:tcMar>
              <w:top w:w="0" w:type="dxa"/>
              <w:left w:w="108" w:type="dxa"/>
              <w:bottom w:w="0" w:type="dxa"/>
              <w:right w:w="108" w:type="dxa"/>
            </w:tcMar>
            <w:hideMark/>
          </w:tcPr>
          <w:p w14:paraId="5D279AA8" w14:textId="77777777" w:rsidR="00FC4056" w:rsidRDefault="00FC4056" w:rsidP="00B22A62">
            <w:pPr>
              <w:pStyle w:val="TableHeaderrow"/>
              <w:rPr>
                <w:rFonts w:eastAsiaTheme="minorHAnsi" w:cstheme="majorBidi"/>
                <w:color w:val="0079CD" w:themeColor="text1" w:themeTint="D8"/>
                <w:sz w:val="21"/>
                <w:szCs w:val="21"/>
              </w:rPr>
            </w:pPr>
            <w:r>
              <w:t>Aq104</w:t>
            </w:r>
          </w:p>
        </w:tc>
      </w:tr>
      <w:tr w:rsidR="00FC4056" w14:paraId="51179E21" w14:textId="77777777" w:rsidTr="00B22A62">
        <w:tc>
          <w:tcPr>
            <w:tcW w:w="960" w:type="dxa"/>
            <w:noWrap/>
            <w:tcMar>
              <w:top w:w="0" w:type="dxa"/>
              <w:left w:w="108" w:type="dxa"/>
              <w:bottom w:w="0" w:type="dxa"/>
              <w:right w:w="108" w:type="dxa"/>
            </w:tcMar>
            <w:vAlign w:val="bottom"/>
            <w:hideMark/>
          </w:tcPr>
          <w:p w14:paraId="678EE7EF" w14:textId="77777777" w:rsidR="00FC4056" w:rsidRDefault="00FC4056" w:rsidP="00331966">
            <w:pPr>
              <w:pStyle w:val="Tabletext"/>
              <w:spacing w:before="20" w:after="20"/>
              <w:rPr>
                <w:rFonts w:eastAsiaTheme="minorHAnsi" w:cs="Arial"/>
                <w:bCs/>
                <w:iCs/>
                <w:color w:val="AEC12D"/>
                <w:sz w:val="32"/>
                <w:szCs w:val="28"/>
              </w:rPr>
            </w:pPr>
            <w:r>
              <w:t>514</w:t>
            </w:r>
          </w:p>
        </w:tc>
        <w:tc>
          <w:tcPr>
            <w:tcW w:w="960" w:type="dxa"/>
            <w:noWrap/>
            <w:tcMar>
              <w:top w:w="0" w:type="dxa"/>
              <w:left w:w="108" w:type="dxa"/>
              <w:bottom w:w="0" w:type="dxa"/>
              <w:right w:w="108" w:type="dxa"/>
            </w:tcMar>
            <w:vAlign w:val="bottom"/>
            <w:hideMark/>
          </w:tcPr>
          <w:p w14:paraId="7064B521" w14:textId="77777777" w:rsidR="00FC4056" w:rsidRDefault="00FC4056" w:rsidP="00331966">
            <w:pPr>
              <w:pStyle w:val="Tabletext"/>
              <w:spacing w:before="20" w:after="20"/>
              <w:rPr>
                <w:rFonts w:eastAsiaTheme="minorHAnsi" w:cs="Arial"/>
                <w:bCs/>
                <w:iCs/>
                <w:color w:val="AEC12D"/>
                <w:sz w:val="32"/>
                <w:szCs w:val="28"/>
              </w:rPr>
            </w:pPr>
            <w:r>
              <w:t>0.005</w:t>
            </w:r>
          </w:p>
        </w:tc>
        <w:tc>
          <w:tcPr>
            <w:tcW w:w="2333" w:type="dxa"/>
            <w:noWrap/>
            <w:tcMar>
              <w:top w:w="0" w:type="dxa"/>
              <w:left w:w="108" w:type="dxa"/>
              <w:bottom w:w="0" w:type="dxa"/>
              <w:right w:w="108" w:type="dxa"/>
            </w:tcMar>
            <w:vAlign w:val="bottom"/>
            <w:hideMark/>
          </w:tcPr>
          <w:p w14:paraId="6285B61C" w14:textId="77777777" w:rsidR="00FC4056" w:rsidRDefault="00FC4056" w:rsidP="00331966">
            <w:pPr>
              <w:pStyle w:val="Tabletext"/>
              <w:spacing w:before="20" w:after="20"/>
              <w:rPr>
                <w:rFonts w:eastAsiaTheme="minorHAnsi" w:cs="Arial"/>
                <w:bCs/>
                <w:iCs/>
                <w:color w:val="AEC12D"/>
                <w:sz w:val="32"/>
                <w:szCs w:val="28"/>
              </w:rPr>
            </w:pPr>
            <w:r>
              <w:t>0.005</w:t>
            </w:r>
          </w:p>
        </w:tc>
        <w:tc>
          <w:tcPr>
            <w:tcW w:w="1105" w:type="dxa"/>
            <w:noWrap/>
            <w:tcMar>
              <w:top w:w="0" w:type="dxa"/>
              <w:left w:w="108" w:type="dxa"/>
              <w:bottom w:w="0" w:type="dxa"/>
              <w:right w:w="108" w:type="dxa"/>
            </w:tcMar>
            <w:vAlign w:val="bottom"/>
            <w:hideMark/>
          </w:tcPr>
          <w:p w14:paraId="3EA84B6E" w14:textId="77777777" w:rsidR="00FC4056" w:rsidRDefault="00FC4056" w:rsidP="00331966">
            <w:pPr>
              <w:pStyle w:val="Tabletext"/>
              <w:spacing w:before="20" w:after="20"/>
              <w:rPr>
                <w:rFonts w:eastAsiaTheme="minorHAnsi" w:cs="Arial"/>
                <w:bCs/>
                <w:iCs/>
                <w:color w:val="AEC12D"/>
                <w:sz w:val="32"/>
                <w:szCs w:val="28"/>
              </w:rPr>
            </w:pPr>
            <w:r>
              <w:t>0.005</w:t>
            </w:r>
          </w:p>
        </w:tc>
        <w:tc>
          <w:tcPr>
            <w:tcW w:w="1106" w:type="dxa"/>
            <w:noWrap/>
            <w:tcMar>
              <w:top w:w="0" w:type="dxa"/>
              <w:left w:w="108" w:type="dxa"/>
              <w:bottom w:w="0" w:type="dxa"/>
              <w:right w:w="108" w:type="dxa"/>
            </w:tcMar>
            <w:vAlign w:val="bottom"/>
            <w:hideMark/>
          </w:tcPr>
          <w:p w14:paraId="59628D15" w14:textId="77777777" w:rsidR="00FC4056" w:rsidRDefault="00FC4056" w:rsidP="00331966">
            <w:pPr>
              <w:pStyle w:val="Tabletext"/>
              <w:spacing w:before="20" w:after="20"/>
              <w:rPr>
                <w:rFonts w:eastAsiaTheme="minorHAnsi" w:cs="Arial"/>
                <w:bCs/>
                <w:iCs/>
                <w:color w:val="AEC12D"/>
                <w:sz w:val="32"/>
                <w:szCs w:val="28"/>
              </w:rPr>
            </w:pPr>
            <w:r>
              <w:t>0.005</w:t>
            </w:r>
          </w:p>
        </w:tc>
        <w:tc>
          <w:tcPr>
            <w:tcW w:w="1105" w:type="dxa"/>
            <w:noWrap/>
            <w:tcMar>
              <w:top w:w="0" w:type="dxa"/>
              <w:left w:w="108" w:type="dxa"/>
              <w:bottom w:w="0" w:type="dxa"/>
              <w:right w:w="108" w:type="dxa"/>
            </w:tcMar>
            <w:vAlign w:val="bottom"/>
            <w:hideMark/>
          </w:tcPr>
          <w:p w14:paraId="34CB3B77" w14:textId="77777777" w:rsidR="00FC4056" w:rsidRDefault="00FC4056" w:rsidP="00331966">
            <w:pPr>
              <w:pStyle w:val="Tabletext"/>
              <w:spacing w:before="20" w:after="20"/>
              <w:rPr>
                <w:rFonts w:eastAsiaTheme="minorHAnsi" w:cs="Arial"/>
                <w:bCs/>
                <w:iCs/>
                <w:color w:val="AEC12D"/>
                <w:sz w:val="32"/>
                <w:szCs w:val="28"/>
              </w:rPr>
            </w:pPr>
            <w:r>
              <w:t>0.005</w:t>
            </w:r>
          </w:p>
        </w:tc>
        <w:tc>
          <w:tcPr>
            <w:tcW w:w="1106" w:type="dxa"/>
            <w:noWrap/>
            <w:tcMar>
              <w:top w:w="0" w:type="dxa"/>
              <w:left w:w="108" w:type="dxa"/>
              <w:bottom w:w="0" w:type="dxa"/>
              <w:right w:w="108" w:type="dxa"/>
            </w:tcMar>
            <w:vAlign w:val="bottom"/>
            <w:hideMark/>
          </w:tcPr>
          <w:p w14:paraId="73B52017" w14:textId="77777777" w:rsidR="00FC4056" w:rsidRDefault="00FC4056" w:rsidP="00331966">
            <w:pPr>
              <w:pStyle w:val="Tabletext"/>
              <w:spacing w:before="20" w:after="20"/>
              <w:rPr>
                <w:rFonts w:eastAsiaTheme="minorHAnsi" w:cs="Arial"/>
                <w:bCs/>
                <w:iCs/>
                <w:color w:val="AEC12D"/>
                <w:sz w:val="32"/>
                <w:szCs w:val="28"/>
              </w:rPr>
            </w:pPr>
            <w:r>
              <w:t>0.005</w:t>
            </w:r>
          </w:p>
        </w:tc>
        <w:tc>
          <w:tcPr>
            <w:tcW w:w="1106" w:type="dxa"/>
            <w:noWrap/>
            <w:tcMar>
              <w:top w:w="0" w:type="dxa"/>
              <w:left w:w="108" w:type="dxa"/>
              <w:bottom w:w="0" w:type="dxa"/>
              <w:right w:w="108" w:type="dxa"/>
            </w:tcMar>
            <w:vAlign w:val="bottom"/>
            <w:hideMark/>
          </w:tcPr>
          <w:p w14:paraId="069D06B9" w14:textId="77777777" w:rsidR="00FC4056" w:rsidRDefault="00FC4056" w:rsidP="00331966">
            <w:pPr>
              <w:pStyle w:val="Tabletext"/>
              <w:spacing w:before="20" w:after="20"/>
              <w:rPr>
                <w:rFonts w:eastAsiaTheme="minorHAnsi" w:cs="Arial"/>
                <w:bCs/>
                <w:iCs/>
                <w:color w:val="AEC12D"/>
                <w:sz w:val="32"/>
                <w:szCs w:val="28"/>
              </w:rPr>
            </w:pPr>
            <w:r>
              <w:t>0.005</w:t>
            </w:r>
          </w:p>
        </w:tc>
      </w:tr>
      <w:tr w:rsidR="00FC4056" w14:paraId="5BC081FE" w14:textId="77777777" w:rsidTr="00B22A62">
        <w:tc>
          <w:tcPr>
            <w:tcW w:w="960" w:type="dxa"/>
            <w:noWrap/>
            <w:tcMar>
              <w:top w:w="0" w:type="dxa"/>
              <w:left w:w="108" w:type="dxa"/>
              <w:bottom w:w="0" w:type="dxa"/>
              <w:right w:w="108" w:type="dxa"/>
            </w:tcMar>
            <w:vAlign w:val="bottom"/>
            <w:hideMark/>
          </w:tcPr>
          <w:p w14:paraId="121A374D" w14:textId="77777777" w:rsidR="00FC4056" w:rsidRDefault="00FC4056" w:rsidP="00331966">
            <w:pPr>
              <w:pStyle w:val="Tabletext"/>
              <w:spacing w:before="20" w:after="20"/>
              <w:rPr>
                <w:rFonts w:eastAsiaTheme="minorHAnsi" w:cs="Arial"/>
                <w:bCs/>
                <w:iCs/>
                <w:color w:val="AEC12D"/>
                <w:sz w:val="32"/>
                <w:szCs w:val="28"/>
              </w:rPr>
            </w:pPr>
            <w:r>
              <w:t>546</w:t>
            </w:r>
          </w:p>
        </w:tc>
        <w:tc>
          <w:tcPr>
            <w:tcW w:w="960" w:type="dxa"/>
            <w:noWrap/>
            <w:tcMar>
              <w:top w:w="0" w:type="dxa"/>
              <w:left w:w="108" w:type="dxa"/>
              <w:bottom w:w="0" w:type="dxa"/>
              <w:right w:w="108" w:type="dxa"/>
            </w:tcMar>
            <w:vAlign w:val="bottom"/>
            <w:hideMark/>
          </w:tcPr>
          <w:p w14:paraId="12C83A40" w14:textId="77777777" w:rsidR="00FC4056" w:rsidRDefault="00FC4056" w:rsidP="00331966">
            <w:pPr>
              <w:pStyle w:val="Tabletext"/>
              <w:spacing w:before="20" w:after="20"/>
              <w:rPr>
                <w:rFonts w:eastAsiaTheme="minorHAnsi"/>
              </w:rPr>
            </w:pPr>
            <w:r>
              <w:t>0.006</w:t>
            </w:r>
          </w:p>
        </w:tc>
        <w:tc>
          <w:tcPr>
            <w:tcW w:w="2333" w:type="dxa"/>
            <w:noWrap/>
            <w:tcMar>
              <w:top w:w="0" w:type="dxa"/>
              <w:left w:w="108" w:type="dxa"/>
              <w:bottom w:w="0" w:type="dxa"/>
              <w:right w:w="108" w:type="dxa"/>
            </w:tcMar>
            <w:vAlign w:val="bottom"/>
            <w:hideMark/>
          </w:tcPr>
          <w:p w14:paraId="266F6259" w14:textId="77777777" w:rsidR="00FC4056" w:rsidRDefault="00FC4056" w:rsidP="00331966">
            <w:pPr>
              <w:pStyle w:val="Tabletext"/>
              <w:spacing w:before="20" w:after="20"/>
              <w:rPr>
                <w:rFonts w:eastAsiaTheme="minorHAnsi" w:cs="Arial"/>
                <w:bCs/>
                <w:iCs/>
                <w:color w:val="AEC12D"/>
                <w:sz w:val="32"/>
                <w:szCs w:val="28"/>
              </w:rPr>
            </w:pPr>
            <w:r>
              <w:t>0.006</w:t>
            </w:r>
          </w:p>
        </w:tc>
        <w:tc>
          <w:tcPr>
            <w:tcW w:w="1105" w:type="dxa"/>
            <w:noWrap/>
            <w:tcMar>
              <w:top w:w="0" w:type="dxa"/>
              <w:left w:w="108" w:type="dxa"/>
              <w:bottom w:w="0" w:type="dxa"/>
              <w:right w:w="108" w:type="dxa"/>
            </w:tcMar>
            <w:vAlign w:val="bottom"/>
            <w:hideMark/>
          </w:tcPr>
          <w:p w14:paraId="1A1CB38C"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5A20B2B6" w14:textId="77777777" w:rsidR="00FC4056" w:rsidRDefault="00FC4056" w:rsidP="00331966">
            <w:pPr>
              <w:pStyle w:val="Tabletext"/>
              <w:spacing w:before="20" w:after="20"/>
              <w:rPr>
                <w:rFonts w:eastAsiaTheme="minorHAnsi" w:cs="Arial"/>
                <w:bCs/>
                <w:iCs/>
                <w:color w:val="AEC12D"/>
                <w:sz w:val="32"/>
                <w:szCs w:val="28"/>
              </w:rPr>
            </w:pPr>
            <w:r>
              <w:t>0.006</w:t>
            </w:r>
          </w:p>
        </w:tc>
        <w:tc>
          <w:tcPr>
            <w:tcW w:w="1105" w:type="dxa"/>
            <w:noWrap/>
            <w:tcMar>
              <w:top w:w="0" w:type="dxa"/>
              <w:left w:w="108" w:type="dxa"/>
              <w:bottom w:w="0" w:type="dxa"/>
              <w:right w:w="108" w:type="dxa"/>
            </w:tcMar>
            <w:vAlign w:val="bottom"/>
            <w:hideMark/>
          </w:tcPr>
          <w:p w14:paraId="3374DA71"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24ECF13A"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30EEFF2F" w14:textId="77777777" w:rsidR="00FC4056" w:rsidRDefault="00FC4056" w:rsidP="00331966">
            <w:pPr>
              <w:pStyle w:val="Tabletext"/>
              <w:spacing w:before="20" w:after="20"/>
              <w:rPr>
                <w:rFonts w:eastAsiaTheme="minorHAnsi" w:cs="Arial"/>
                <w:bCs/>
                <w:iCs/>
                <w:color w:val="AEC12D"/>
                <w:sz w:val="32"/>
                <w:szCs w:val="28"/>
              </w:rPr>
            </w:pPr>
            <w:r>
              <w:t>0.006</w:t>
            </w:r>
          </w:p>
        </w:tc>
      </w:tr>
      <w:tr w:rsidR="00FC4056" w14:paraId="6E2FC4A7" w14:textId="77777777" w:rsidTr="00B22A62">
        <w:tc>
          <w:tcPr>
            <w:tcW w:w="960" w:type="dxa"/>
            <w:noWrap/>
            <w:tcMar>
              <w:top w:w="0" w:type="dxa"/>
              <w:left w:w="108" w:type="dxa"/>
              <w:bottom w:w="0" w:type="dxa"/>
              <w:right w:w="108" w:type="dxa"/>
            </w:tcMar>
            <w:vAlign w:val="bottom"/>
            <w:hideMark/>
          </w:tcPr>
          <w:p w14:paraId="0347D7E7" w14:textId="77777777" w:rsidR="00FC4056" w:rsidRDefault="00FC4056" w:rsidP="00331966">
            <w:pPr>
              <w:pStyle w:val="Tabletext"/>
              <w:spacing w:before="20" w:after="20"/>
              <w:rPr>
                <w:rFonts w:eastAsiaTheme="minorHAnsi" w:cs="Arial"/>
                <w:bCs/>
                <w:iCs/>
                <w:color w:val="AEC12D"/>
                <w:sz w:val="32"/>
                <w:szCs w:val="28"/>
              </w:rPr>
            </w:pPr>
            <w:r>
              <w:t>547</w:t>
            </w:r>
          </w:p>
        </w:tc>
        <w:tc>
          <w:tcPr>
            <w:tcW w:w="960" w:type="dxa"/>
            <w:noWrap/>
            <w:tcMar>
              <w:top w:w="0" w:type="dxa"/>
              <w:left w:w="108" w:type="dxa"/>
              <w:bottom w:w="0" w:type="dxa"/>
              <w:right w:w="108" w:type="dxa"/>
            </w:tcMar>
            <w:vAlign w:val="bottom"/>
            <w:hideMark/>
          </w:tcPr>
          <w:p w14:paraId="7632583C" w14:textId="77777777" w:rsidR="00FC4056" w:rsidRDefault="00FC4056" w:rsidP="00331966">
            <w:pPr>
              <w:pStyle w:val="Tabletext"/>
              <w:spacing w:before="20" w:after="20"/>
              <w:rPr>
                <w:rFonts w:eastAsiaTheme="minorHAnsi" w:cs="Arial"/>
                <w:bCs/>
                <w:iCs/>
                <w:color w:val="AEC12D"/>
                <w:sz w:val="32"/>
                <w:szCs w:val="28"/>
              </w:rPr>
            </w:pPr>
            <w:r>
              <w:t>0.006</w:t>
            </w:r>
          </w:p>
        </w:tc>
        <w:tc>
          <w:tcPr>
            <w:tcW w:w="2333" w:type="dxa"/>
            <w:noWrap/>
            <w:tcMar>
              <w:top w:w="0" w:type="dxa"/>
              <w:left w:w="108" w:type="dxa"/>
              <w:bottom w:w="0" w:type="dxa"/>
              <w:right w:w="108" w:type="dxa"/>
            </w:tcMar>
            <w:vAlign w:val="bottom"/>
            <w:hideMark/>
          </w:tcPr>
          <w:p w14:paraId="046FF329" w14:textId="77777777" w:rsidR="00FC4056" w:rsidRDefault="00FC4056" w:rsidP="00331966">
            <w:pPr>
              <w:pStyle w:val="Tabletext"/>
              <w:spacing w:before="20" w:after="20"/>
              <w:rPr>
                <w:rFonts w:eastAsiaTheme="minorHAnsi" w:cs="Arial"/>
                <w:bCs/>
                <w:iCs/>
                <w:color w:val="AEC12D"/>
                <w:sz w:val="32"/>
                <w:szCs w:val="28"/>
              </w:rPr>
            </w:pPr>
            <w:r>
              <w:t>0.006</w:t>
            </w:r>
          </w:p>
        </w:tc>
        <w:tc>
          <w:tcPr>
            <w:tcW w:w="1105" w:type="dxa"/>
            <w:noWrap/>
            <w:tcMar>
              <w:top w:w="0" w:type="dxa"/>
              <w:left w:w="108" w:type="dxa"/>
              <w:bottom w:w="0" w:type="dxa"/>
              <w:right w:w="108" w:type="dxa"/>
            </w:tcMar>
            <w:vAlign w:val="bottom"/>
            <w:hideMark/>
          </w:tcPr>
          <w:p w14:paraId="55D00B97"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29597354" w14:textId="77777777" w:rsidR="00FC4056" w:rsidRDefault="00FC4056" w:rsidP="00331966">
            <w:pPr>
              <w:pStyle w:val="Tabletext"/>
              <w:spacing w:before="20" w:after="20"/>
              <w:rPr>
                <w:rFonts w:eastAsiaTheme="minorHAnsi" w:cs="Arial"/>
                <w:bCs/>
                <w:iCs/>
                <w:color w:val="AEC12D"/>
                <w:sz w:val="32"/>
                <w:szCs w:val="28"/>
              </w:rPr>
            </w:pPr>
            <w:r>
              <w:t>0.006</w:t>
            </w:r>
          </w:p>
        </w:tc>
        <w:tc>
          <w:tcPr>
            <w:tcW w:w="1105" w:type="dxa"/>
            <w:noWrap/>
            <w:tcMar>
              <w:top w:w="0" w:type="dxa"/>
              <w:left w:w="108" w:type="dxa"/>
              <w:bottom w:w="0" w:type="dxa"/>
              <w:right w:w="108" w:type="dxa"/>
            </w:tcMar>
            <w:vAlign w:val="bottom"/>
            <w:hideMark/>
          </w:tcPr>
          <w:p w14:paraId="67AA1E54"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045A5AEE"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195F0AD8" w14:textId="77777777" w:rsidR="00FC4056" w:rsidRDefault="00FC4056" w:rsidP="00331966">
            <w:pPr>
              <w:pStyle w:val="Tabletext"/>
              <w:spacing w:before="20" w:after="20"/>
              <w:rPr>
                <w:rFonts w:eastAsiaTheme="minorHAnsi" w:cs="Arial"/>
                <w:bCs/>
                <w:iCs/>
                <w:color w:val="AEC12D"/>
                <w:sz w:val="32"/>
                <w:szCs w:val="28"/>
              </w:rPr>
            </w:pPr>
            <w:r>
              <w:t>0.006</w:t>
            </w:r>
          </w:p>
        </w:tc>
      </w:tr>
      <w:tr w:rsidR="00FC4056" w14:paraId="68ADACC8" w14:textId="77777777" w:rsidTr="00B22A62">
        <w:tc>
          <w:tcPr>
            <w:tcW w:w="960" w:type="dxa"/>
            <w:noWrap/>
            <w:tcMar>
              <w:top w:w="0" w:type="dxa"/>
              <w:left w:w="108" w:type="dxa"/>
              <w:bottom w:w="0" w:type="dxa"/>
              <w:right w:w="108" w:type="dxa"/>
            </w:tcMar>
            <w:vAlign w:val="bottom"/>
            <w:hideMark/>
          </w:tcPr>
          <w:p w14:paraId="39981FBF" w14:textId="77777777" w:rsidR="00FC4056" w:rsidRDefault="00FC4056" w:rsidP="00331966">
            <w:pPr>
              <w:pStyle w:val="Tabletext"/>
              <w:spacing w:before="20" w:after="20"/>
              <w:rPr>
                <w:rFonts w:eastAsiaTheme="minorHAnsi" w:cs="Arial"/>
                <w:bCs/>
                <w:iCs/>
                <w:color w:val="AEC12D"/>
                <w:sz w:val="32"/>
                <w:szCs w:val="28"/>
              </w:rPr>
            </w:pPr>
            <w:r>
              <w:t>548</w:t>
            </w:r>
          </w:p>
        </w:tc>
        <w:tc>
          <w:tcPr>
            <w:tcW w:w="960" w:type="dxa"/>
            <w:noWrap/>
            <w:tcMar>
              <w:top w:w="0" w:type="dxa"/>
              <w:left w:w="108" w:type="dxa"/>
              <w:bottom w:w="0" w:type="dxa"/>
              <w:right w:w="108" w:type="dxa"/>
            </w:tcMar>
            <w:vAlign w:val="bottom"/>
            <w:hideMark/>
          </w:tcPr>
          <w:p w14:paraId="1C06BD94" w14:textId="77777777" w:rsidR="00FC4056" w:rsidRDefault="00FC4056" w:rsidP="00331966">
            <w:pPr>
              <w:pStyle w:val="Tabletext"/>
              <w:spacing w:before="20" w:after="20"/>
              <w:rPr>
                <w:rFonts w:eastAsiaTheme="minorHAnsi" w:cs="Arial"/>
                <w:bCs/>
                <w:iCs/>
                <w:color w:val="AEC12D"/>
                <w:sz w:val="32"/>
                <w:szCs w:val="28"/>
              </w:rPr>
            </w:pPr>
            <w:r>
              <w:t>0.01</w:t>
            </w:r>
          </w:p>
        </w:tc>
        <w:tc>
          <w:tcPr>
            <w:tcW w:w="2333" w:type="dxa"/>
            <w:noWrap/>
            <w:tcMar>
              <w:top w:w="0" w:type="dxa"/>
              <w:left w:w="108" w:type="dxa"/>
              <w:bottom w:w="0" w:type="dxa"/>
              <w:right w:w="108" w:type="dxa"/>
            </w:tcMar>
            <w:vAlign w:val="bottom"/>
            <w:hideMark/>
          </w:tcPr>
          <w:p w14:paraId="49A38C6A" w14:textId="77777777" w:rsidR="00FC4056" w:rsidRDefault="00FC4056" w:rsidP="00331966">
            <w:pPr>
              <w:pStyle w:val="Tabletext"/>
              <w:spacing w:before="20" w:after="20"/>
              <w:rPr>
                <w:rFonts w:eastAsiaTheme="minorHAnsi" w:cs="Arial"/>
                <w:bCs/>
                <w:iCs/>
                <w:color w:val="AEC12D"/>
                <w:sz w:val="32"/>
                <w:szCs w:val="28"/>
              </w:rPr>
            </w:pPr>
            <w:r>
              <w:t>0.01</w:t>
            </w:r>
          </w:p>
        </w:tc>
        <w:tc>
          <w:tcPr>
            <w:tcW w:w="1105" w:type="dxa"/>
            <w:noWrap/>
            <w:tcMar>
              <w:top w:w="0" w:type="dxa"/>
              <w:left w:w="108" w:type="dxa"/>
              <w:bottom w:w="0" w:type="dxa"/>
              <w:right w:w="108" w:type="dxa"/>
            </w:tcMar>
            <w:vAlign w:val="bottom"/>
            <w:hideMark/>
          </w:tcPr>
          <w:p w14:paraId="224E9A72" w14:textId="77777777" w:rsidR="00FC4056" w:rsidRDefault="00FC4056" w:rsidP="00331966">
            <w:pPr>
              <w:pStyle w:val="Tabletext"/>
              <w:spacing w:before="20" w:after="20"/>
              <w:rPr>
                <w:rFonts w:eastAsiaTheme="minorHAnsi" w:cs="Arial"/>
                <w:bCs/>
                <w:iCs/>
                <w:color w:val="AEC12D"/>
                <w:sz w:val="32"/>
                <w:szCs w:val="28"/>
              </w:rPr>
            </w:pPr>
            <w:r>
              <w:t>0.01</w:t>
            </w:r>
          </w:p>
        </w:tc>
        <w:tc>
          <w:tcPr>
            <w:tcW w:w="1106" w:type="dxa"/>
            <w:noWrap/>
            <w:tcMar>
              <w:top w:w="0" w:type="dxa"/>
              <w:left w:w="108" w:type="dxa"/>
              <w:bottom w:w="0" w:type="dxa"/>
              <w:right w:w="108" w:type="dxa"/>
            </w:tcMar>
            <w:vAlign w:val="bottom"/>
            <w:hideMark/>
          </w:tcPr>
          <w:p w14:paraId="3C87DC62" w14:textId="77777777" w:rsidR="00FC4056" w:rsidRDefault="00FC4056" w:rsidP="00331966">
            <w:pPr>
              <w:pStyle w:val="Tabletext"/>
              <w:spacing w:before="20" w:after="20"/>
              <w:rPr>
                <w:rFonts w:eastAsiaTheme="minorHAnsi" w:cs="Arial"/>
                <w:bCs/>
                <w:iCs/>
                <w:color w:val="AEC12D"/>
                <w:sz w:val="32"/>
                <w:szCs w:val="28"/>
              </w:rPr>
            </w:pPr>
            <w:r>
              <w:t>0.01</w:t>
            </w:r>
          </w:p>
        </w:tc>
        <w:tc>
          <w:tcPr>
            <w:tcW w:w="1105" w:type="dxa"/>
            <w:noWrap/>
            <w:tcMar>
              <w:top w:w="0" w:type="dxa"/>
              <w:left w:w="108" w:type="dxa"/>
              <w:bottom w:w="0" w:type="dxa"/>
              <w:right w:w="108" w:type="dxa"/>
            </w:tcMar>
            <w:vAlign w:val="bottom"/>
            <w:hideMark/>
          </w:tcPr>
          <w:p w14:paraId="431E74B1" w14:textId="77777777" w:rsidR="00FC4056" w:rsidRDefault="00FC4056" w:rsidP="00331966">
            <w:pPr>
              <w:pStyle w:val="Tabletext"/>
              <w:spacing w:before="20" w:after="20"/>
              <w:rPr>
                <w:rFonts w:eastAsiaTheme="minorHAnsi" w:cs="Arial"/>
                <w:bCs/>
                <w:iCs/>
                <w:color w:val="AEC12D"/>
                <w:sz w:val="32"/>
                <w:szCs w:val="28"/>
              </w:rPr>
            </w:pPr>
            <w:r>
              <w:t>0.01</w:t>
            </w:r>
          </w:p>
        </w:tc>
        <w:tc>
          <w:tcPr>
            <w:tcW w:w="1106" w:type="dxa"/>
            <w:noWrap/>
            <w:tcMar>
              <w:top w:w="0" w:type="dxa"/>
              <w:left w:w="108" w:type="dxa"/>
              <w:bottom w:w="0" w:type="dxa"/>
              <w:right w:w="108" w:type="dxa"/>
            </w:tcMar>
            <w:vAlign w:val="bottom"/>
            <w:hideMark/>
          </w:tcPr>
          <w:p w14:paraId="026F8305" w14:textId="77777777" w:rsidR="00FC4056" w:rsidRDefault="00FC4056" w:rsidP="00331966">
            <w:pPr>
              <w:pStyle w:val="Tabletext"/>
              <w:spacing w:before="20" w:after="20"/>
              <w:rPr>
                <w:rFonts w:eastAsiaTheme="minorHAnsi" w:cs="Arial"/>
                <w:bCs/>
                <w:iCs/>
                <w:color w:val="AEC12D"/>
                <w:sz w:val="32"/>
                <w:szCs w:val="28"/>
              </w:rPr>
            </w:pPr>
            <w:r>
              <w:t>0.01</w:t>
            </w:r>
          </w:p>
        </w:tc>
        <w:tc>
          <w:tcPr>
            <w:tcW w:w="1106" w:type="dxa"/>
            <w:noWrap/>
            <w:tcMar>
              <w:top w:w="0" w:type="dxa"/>
              <w:left w:w="108" w:type="dxa"/>
              <w:bottom w:w="0" w:type="dxa"/>
              <w:right w:w="108" w:type="dxa"/>
            </w:tcMar>
            <w:vAlign w:val="bottom"/>
            <w:hideMark/>
          </w:tcPr>
          <w:p w14:paraId="0B020CB2" w14:textId="77777777" w:rsidR="00FC4056" w:rsidRDefault="00FC4056" w:rsidP="00331966">
            <w:pPr>
              <w:pStyle w:val="Tabletext"/>
              <w:spacing w:before="20" w:after="20"/>
              <w:rPr>
                <w:rFonts w:eastAsiaTheme="minorHAnsi" w:cs="Arial"/>
                <w:bCs/>
                <w:iCs/>
                <w:color w:val="AEC12D"/>
                <w:sz w:val="32"/>
                <w:szCs w:val="28"/>
              </w:rPr>
            </w:pPr>
            <w:r>
              <w:t>0.01</w:t>
            </w:r>
          </w:p>
        </w:tc>
      </w:tr>
      <w:tr w:rsidR="00FC4056" w14:paraId="1F0BA266" w14:textId="77777777" w:rsidTr="00B22A62">
        <w:tc>
          <w:tcPr>
            <w:tcW w:w="960" w:type="dxa"/>
            <w:noWrap/>
            <w:tcMar>
              <w:top w:w="0" w:type="dxa"/>
              <w:left w:w="108" w:type="dxa"/>
              <w:bottom w:w="0" w:type="dxa"/>
              <w:right w:w="108" w:type="dxa"/>
            </w:tcMar>
            <w:vAlign w:val="bottom"/>
            <w:hideMark/>
          </w:tcPr>
          <w:p w14:paraId="69CA5441" w14:textId="77777777" w:rsidR="00FC4056" w:rsidRDefault="00FC4056" w:rsidP="00331966">
            <w:pPr>
              <w:pStyle w:val="Tabletext"/>
              <w:spacing w:before="20" w:after="20"/>
              <w:rPr>
                <w:rFonts w:eastAsiaTheme="minorHAnsi" w:cs="Arial"/>
                <w:bCs/>
                <w:iCs/>
                <w:color w:val="AEC12D"/>
                <w:sz w:val="32"/>
                <w:szCs w:val="28"/>
              </w:rPr>
            </w:pPr>
            <w:r>
              <w:t>580</w:t>
            </w:r>
          </w:p>
        </w:tc>
        <w:tc>
          <w:tcPr>
            <w:tcW w:w="960" w:type="dxa"/>
            <w:noWrap/>
            <w:tcMar>
              <w:top w:w="0" w:type="dxa"/>
              <w:left w:w="108" w:type="dxa"/>
              <w:bottom w:w="0" w:type="dxa"/>
              <w:right w:w="108" w:type="dxa"/>
            </w:tcMar>
            <w:vAlign w:val="bottom"/>
            <w:hideMark/>
          </w:tcPr>
          <w:p w14:paraId="120F29D7" w14:textId="77777777" w:rsidR="00FC4056" w:rsidRDefault="00FC4056" w:rsidP="00331966">
            <w:pPr>
              <w:pStyle w:val="Tabletext"/>
              <w:spacing w:before="20" w:after="20"/>
              <w:rPr>
                <w:rFonts w:eastAsiaTheme="minorHAnsi" w:cs="Arial"/>
                <w:bCs/>
                <w:iCs/>
                <w:color w:val="AEC12D"/>
                <w:sz w:val="32"/>
                <w:szCs w:val="28"/>
              </w:rPr>
            </w:pPr>
            <w:r>
              <w:t>0.01</w:t>
            </w:r>
          </w:p>
        </w:tc>
        <w:tc>
          <w:tcPr>
            <w:tcW w:w="2333" w:type="dxa"/>
            <w:noWrap/>
            <w:tcMar>
              <w:top w:w="0" w:type="dxa"/>
              <w:left w:w="108" w:type="dxa"/>
              <w:bottom w:w="0" w:type="dxa"/>
              <w:right w:w="108" w:type="dxa"/>
            </w:tcMar>
            <w:vAlign w:val="bottom"/>
            <w:hideMark/>
          </w:tcPr>
          <w:p w14:paraId="6AC4E9FB" w14:textId="77777777" w:rsidR="00FC4056" w:rsidRDefault="00FC4056" w:rsidP="00331966">
            <w:pPr>
              <w:pStyle w:val="Tabletext"/>
              <w:spacing w:before="20" w:after="20"/>
              <w:rPr>
                <w:rFonts w:eastAsiaTheme="minorHAnsi" w:cs="Arial"/>
                <w:bCs/>
                <w:iCs/>
                <w:color w:val="AEC12D"/>
                <w:sz w:val="32"/>
                <w:szCs w:val="28"/>
              </w:rPr>
            </w:pPr>
            <w:r>
              <w:t>0.01</w:t>
            </w:r>
          </w:p>
        </w:tc>
        <w:tc>
          <w:tcPr>
            <w:tcW w:w="1105" w:type="dxa"/>
            <w:noWrap/>
            <w:tcMar>
              <w:top w:w="0" w:type="dxa"/>
              <w:left w:w="108" w:type="dxa"/>
              <w:bottom w:w="0" w:type="dxa"/>
              <w:right w:w="108" w:type="dxa"/>
            </w:tcMar>
            <w:vAlign w:val="bottom"/>
            <w:hideMark/>
          </w:tcPr>
          <w:p w14:paraId="1F5129F6" w14:textId="77777777" w:rsidR="00FC4056" w:rsidRDefault="00FC4056" w:rsidP="00331966">
            <w:pPr>
              <w:pStyle w:val="Tabletext"/>
              <w:spacing w:before="20" w:after="20"/>
              <w:rPr>
                <w:rFonts w:eastAsiaTheme="minorHAnsi" w:cs="Arial"/>
                <w:bCs/>
                <w:iCs/>
                <w:color w:val="AEC12D"/>
                <w:sz w:val="32"/>
                <w:szCs w:val="28"/>
              </w:rPr>
            </w:pPr>
            <w:r>
              <w:t>0.01</w:t>
            </w:r>
          </w:p>
        </w:tc>
        <w:tc>
          <w:tcPr>
            <w:tcW w:w="1106" w:type="dxa"/>
            <w:noWrap/>
            <w:tcMar>
              <w:top w:w="0" w:type="dxa"/>
              <w:left w:w="108" w:type="dxa"/>
              <w:bottom w:w="0" w:type="dxa"/>
              <w:right w:w="108" w:type="dxa"/>
            </w:tcMar>
            <w:vAlign w:val="bottom"/>
            <w:hideMark/>
          </w:tcPr>
          <w:p w14:paraId="07C38BE0" w14:textId="77777777" w:rsidR="00FC4056" w:rsidRDefault="00FC4056" w:rsidP="00331966">
            <w:pPr>
              <w:pStyle w:val="Tabletext"/>
              <w:spacing w:before="20" w:after="20"/>
              <w:rPr>
                <w:rFonts w:eastAsiaTheme="minorHAnsi" w:cs="Arial"/>
                <w:bCs/>
                <w:iCs/>
                <w:color w:val="AEC12D"/>
                <w:sz w:val="32"/>
                <w:szCs w:val="28"/>
              </w:rPr>
            </w:pPr>
            <w:r>
              <w:t>0.01</w:t>
            </w:r>
          </w:p>
        </w:tc>
        <w:tc>
          <w:tcPr>
            <w:tcW w:w="1105" w:type="dxa"/>
            <w:noWrap/>
            <w:tcMar>
              <w:top w:w="0" w:type="dxa"/>
              <w:left w:w="108" w:type="dxa"/>
              <w:bottom w:w="0" w:type="dxa"/>
              <w:right w:w="108" w:type="dxa"/>
            </w:tcMar>
            <w:vAlign w:val="bottom"/>
            <w:hideMark/>
          </w:tcPr>
          <w:p w14:paraId="73D9CB1E" w14:textId="77777777" w:rsidR="00FC4056" w:rsidRDefault="00FC4056" w:rsidP="00331966">
            <w:pPr>
              <w:pStyle w:val="Tabletext"/>
              <w:spacing w:before="20" w:after="20"/>
              <w:rPr>
                <w:rFonts w:eastAsiaTheme="minorHAnsi" w:cs="Arial"/>
                <w:bCs/>
                <w:iCs/>
                <w:color w:val="AEC12D"/>
                <w:sz w:val="32"/>
                <w:szCs w:val="28"/>
              </w:rPr>
            </w:pPr>
            <w:r>
              <w:t>0.01</w:t>
            </w:r>
          </w:p>
        </w:tc>
        <w:tc>
          <w:tcPr>
            <w:tcW w:w="1106" w:type="dxa"/>
            <w:noWrap/>
            <w:tcMar>
              <w:top w:w="0" w:type="dxa"/>
              <w:left w:w="108" w:type="dxa"/>
              <w:bottom w:w="0" w:type="dxa"/>
              <w:right w:w="108" w:type="dxa"/>
            </w:tcMar>
            <w:vAlign w:val="bottom"/>
            <w:hideMark/>
          </w:tcPr>
          <w:p w14:paraId="05522754" w14:textId="77777777" w:rsidR="00FC4056" w:rsidRDefault="00FC4056" w:rsidP="00331966">
            <w:pPr>
              <w:pStyle w:val="Tabletext"/>
              <w:spacing w:before="20" w:after="20"/>
              <w:rPr>
                <w:rFonts w:eastAsiaTheme="minorHAnsi" w:cs="Arial"/>
                <w:bCs/>
                <w:iCs/>
                <w:color w:val="AEC12D"/>
                <w:sz w:val="32"/>
                <w:szCs w:val="28"/>
              </w:rPr>
            </w:pPr>
            <w:r>
              <w:t>0.01</w:t>
            </w:r>
          </w:p>
        </w:tc>
        <w:tc>
          <w:tcPr>
            <w:tcW w:w="1106" w:type="dxa"/>
            <w:noWrap/>
            <w:tcMar>
              <w:top w:w="0" w:type="dxa"/>
              <w:left w:w="108" w:type="dxa"/>
              <w:bottom w:w="0" w:type="dxa"/>
              <w:right w:w="108" w:type="dxa"/>
            </w:tcMar>
            <w:vAlign w:val="bottom"/>
            <w:hideMark/>
          </w:tcPr>
          <w:p w14:paraId="3BBB6482" w14:textId="77777777" w:rsidR="00FC4056" w:rsidRDefault="00FC4056" w:rsidP="00331966">
            <w:pPr>
              <w:pStyle w:val="Tabletext"/>
              <w:spacing w:before="20" w:after="20"/>
              <w:rPr>
                <w:rFonts w:eastAsiaTheme="minorHAnsi" w:cs="Arial"/>
                <w:bCs/>
                <w:iCs/>
                <w:color w:val="AEC12D"/>
                <w:sz w:val="32"/>
                <w:szCs w:val="28"/>
              </w:rPr>
            </w:pPr>
            <w:r>
              <w:t>0.01</w:t>
            </w:r>
          </w:p>
        </w:tc>
      </w:tr>
      <w:tr w:rsidR="00FC4056" w14:paraId="6DA92692" w14:textId="77777777" w:rsidTr="00B22A62">
        <w:tc>
          <w:tcPr>
            <w:tcW w:w="960" w:type="dxa"/>
            <w:noWrap/>
            <w:tcMar>
              <w:top w:w="0" w:type="dxa"/>
              <w:left w:w="108" w:type="dxa"/>
              <w:bottom w:w="0" w:type="dxa"/>
              <w:right w:w="108" w:type="dxa"/>
            </w:tcMar>
            <w:vAlign w:val="bottom"/>
            <w:hideMark/>
          </w:tcPr>
          <w:p w14:paraId="1C61EE5C" w14:textId="77777777" w:rsidR="00FC4056" w:rsidRDefault="00FC4056" w:rsidP="00331966">
            <w:pPr>
              <w:pStyle w:val="Tabletext"/>
              <w:spacing w:before="20" w:after="20"/>
              <w:rPr>
                <w:rFonts w:eastAsiaTheme="minorHAnsi" w:cs="Arial"/>
                <w:bCs/>
                <w:iCs/>
                <w:color w:val="AEC12D"/>
                <w:sz w:val="32"/>
                <w:szCs w:val="28"/>
              </w:rPr>
            </w:pPr>
            <w:r>
              <w:t>581</w:t>
            </w:r>
          </w:p>
        </w:tc>
        <w:tc>
          <w:tcPr>
            <w:tcW w:w="960" w:type="dxa"/>
            <w:noWrap/>
            <w:tcMar>
              <w:top w:w="0" w:type="dxa"/>
              <w:left w:w="108" w:type="dxa"/>
              <w:bottom w:w="0" w:type="dxa"/>
              <w:right w:w="108" w:type="dxa"/>
            </w:tcMar>
            <w:vAlign w:val="bottom"/>
            <w:hideMark/>
          </w:tcPr>
          <w:p w14:paraId="740207F3" w14:textId="77777777" w:rsidR="00FC4056" w:rsidRDefault="00FC4056" w:rsidP="00331966">
            <w:pPr>
              <w:pStyle w:val="Tabletext"/>
              <w:spacing w:before="20" w:after="20"/>
              <w:rPr>
                <w:rFonts w:eastAsiaTheme="minorHAnsi"/>
              </w:rPr>
            </w:pPr>
            <w:r>
              <w:t>0.007</w:t>
            </w:r>
          </w:p>
        </w:tc>
        <w:tc>
          <w:tcPr>
            <w:tcW w:w="2333" w:type="dxa"/>
            <w:noWrap/>
            <w:tcMar>
              <w:top w:w="0" w:type="dxa"/>
              <w:left w:w="108" w:type="dxa"/>
              <w:bottom w:w="0" w:type="dxa"/>
              <w:right w:w="108" w:type="dxa"/>
            </w:tcMar>
            <w:vAlign w:val="bottom"/>
            <w:hideMark/>
          </w:tcPr>
          <w:p w14:paraId="0CF7EEE4" w14:textId="77777777" w:rsidR="00FC4056" w:rsidRDefault="00FC4056" w:rsidP="00331966">
            <w:pPr>
              <w:pStyle w:val="Tabletext"/>
              <w:spacing w:before="20" w:after="20"/>
              <w:rPr>
                <w:rFonts w:eastAsiaTheme="minorHAnsi" w:cs="Arial"/>
                <w:bCs/>
                <w:iCs/>
                <w:color w:val="AEC12D"/>
                <w:sz w:val="32"/>
                <w:szCs w:val="28"/>
              </w:rPr>
            </w:pPr>
            <w:r>
              <w:t>0.007</w:t>
            </w:r>
          </w:p>
        </w:tc>
        <w:tc>
          <w:tcPr>
            <w:tcW w:w="1105" w:type="dxa"/>
            <w:noWrap/>
            <w:tcMar>
              <w:top w:w="0" w:type="dxa"/>
              <w:left w:w="108" w:type="dxa"/>
              <w:bottom w:w="0" w:type="dxa"/>
              <w:right w:w="108" w:type="dxa"/>
            </w:tcMar>
            <w:vAlign w:val="bottom"/>
            <w:hideMark/>
          </w:tcPr>
          <w:p w14:paraId="1E944CD0" w14:textId="77777777" w:rsidR="00FC4056" w:rsidRDefault="00FC4056" w:rsidP="00331966">
            <w:pPr>
              <w:pStyle w:val="Tabletext"/>
              <w:spacing w:before="20" w:after="20"/>
              <w:rPr>
                <w:rFonts w:eastAsiaTheme="minorHAnsi" w:cs="Arial"/>
                <w:bCs/>
                <w:iCs/>
                <w:color w:val="AEC12D"/>
                <w:sz w:val="32"/>
                <w:szCs w:val="28"/>
              </w:rPr>
            </w:pPr>
            <w:r>
              <w:t>0.007</w:t>
            </w:r>
          </w:p>
        </w:tc>
        <w:tc>
          <w:tcPr>
            <w:tcW w:w="1106" w:type="dxa"/>
            <w:noWrap/>
            <w:tcMar>
              <w:top w:w="0" w:type="dxa"/>
              <w:left w:w="108" w:type="dxa"/>
              <w:bottom w:w="0" w:type="dxa"/>
              <w:right w:w="108" w:type="dxa"/>
            </w:tcMar>
            <w:vAlign w:val="bottom"/>
            <w:hideMark/>
          </w:tcPr>
          <w:p w14:paraId="3A5392F1" w14:textId="77777777" w:rsidR="00FC4056" w:rsidRDefault="00FC4056" w:rsidP="00331966">
            <w:pPr>
              <w:pStyle w:val="Tabletext"/>
              <w:spacing w:before="20" w:after="20"/>
              <w:rPr>
                <w:rFonts w:eastAsiaTheme="minorHAnsi" w:cs="Arial"/>
                <w:bCs/>
                <w:iCs/>
                <w:color w:val="AEC12D"/>
                <w:sz w:val="32"/>
                <w:szCs w:val="28"/>
              </w:rPr>
            </w:pPr>
            <w:r>
              <w:t>0.007</w:t>
            </w:r>
          </w:p>
        </w:tc>
        <w:tc>
          <w:tcPr>
            <w:tcW w:w="1105" w:type="dxa"/>
            <w:noWrap/>
            <w:tcMar>
              <w:top w:w="0" w:type="dxa"/>
              <w:left w:w="108" w:type="dxa"/>
              <w:bottom w:w="0" w:type="dxa"/>
              <w:right w:w="108" w:type="dxa"/>
            </w:tcMar>
            <w:vAlign w:val="bottom"/>
            <w:hideMark/>
          </w:tcPr>
          <w:p w14:paraId="3338F70D" w14:textId="77777777" w:rsidR="00FC4056" w:rsidRDefault="00FC4056" w:rsidP="00331966">
            <w:pPr>
              <w:pStyle w:val="Tabletext"/>
              <w:spacing w:before="20" w:after="20"/>
              <w:rPr>
                <w:rFonts w:eastAsiaTheme="minorHAnsi" w:cs="Arial"/>
                <w:bCs/>
                <w:iCs/>
                <w:color w:val="AEC12D"/>
                <w:sz w:val="32"/>
                <w:szCs w:val="28"/>
              </w:rPr>
            </w:pPr>
            <w:r>
              <w:t>0.007</w:t>
            </w:r>
          </w:p>
        </w:tc>
        <w:tc>
          <w:tcPr>
            <w:tcW w:w="1106" w:type="dxa"/>
            <w:noWrap/>
            <w:tcMar>
              <w:top w:w="0" w:type="dxa"/>
              <w:left w:w="108" w:type="dxa"/>
              <w:bottom w:w="0" w:type="dxa"/>
              <w:right w:w="108" w:type="dxa"/>
            </w:tcMar>
            <w:vAlign w:val="bottom"/>
            <w:hideMark/>
          </w:tcPr>
          <w:p w14:paraId="2B6A7CD9" w14:textId="77777777" w:rsidR="00FC4056" w:rsidRDefault="00FC4056" w:rsidP="00331966">
            <w:pPr>
              <w:pStyle w:val="Tabletext"/>
              <w:spacing w:before="20" w:after="20"/>
              <w:rPr>
                <w:rFonts w:eastAsiaTheme="minorHAnsi" w:cs="Arial"/>
                <w:bCs/>
                <w:iCs/>
                <w:color w:val="AEC12D"/>
                <w:sz w:val="32"/>
                <w:szCs w:val="28"/>
              </w:rPr>
            </w:pPr>
            <w:r>
              <w:t>0.007</w:t>
            </w:r>
          </w:p>
        </w:tc>
        <w:tc>
          <w:tcPr>
            <w:tcW w:w="1106" w:type="dxa"/>
            <w:noWrap/>
            <w:tcMar>
              <w:top w:w="0" w:type="dxa"/>
              <w:left w:w="108" w:type="dxa"/>
              <w:bottom w:w="0" w:type="dxa"/>
              <w:right w:w="108" w:type="dxa"/>
            </w:tcMar>
            <w:vAlign w:val="bottom"/>
            <w:hideMark/>
          </w:tcPr>
          <w:p w14:paraId="2F44637B" w14:textId="77777777" w:rsidR="00FC4056" w:rsidRDefault="00FC4056" w:rsidP="00331966">
            <w:pPr>
              <w:pStyle w:val="Tabletext"/>
              <w:spacing w:before="20" w:after="20"/>
              <w:rPr>
                <w:rFonts w:eastAsiaTheme="minorHAnsi" w:cs="Arial"/>
                <w:bCs/>
                <w:iCs/>
                <w:color w:val="AEC12D"/>
                <w:sz w:val="32"/>
                <w:szCs w:val="28"/>
              </w:rPr>
            </w:pPr>
            <w:r>
              <w:t>0.007</w:t>
            </w:r>
          </w:p>
        </w:tc>
      </w:tr>
      <w:tr w:rsidR="00FC4056" w14:paraId="12E29BCB" w14:textId="77777777" w:rsidTr="00B22A62">
        <w:tc>
          <w:tcPr>
            <w:tcW w:w="960" w:type="dxa"/>
            <w:noWrap/>
            <w:tcMar>
              <w:top w:w="0" w:type="dxa"/>
              <w:left w:w="108" w:type="dxa"/>
              <w:bottom w:w="0" w:type="dxa"/>
              <w:right w:w="108" w:type="dxa"/>
            </w:tcMar>
            <w:vAlign w:val="bottom"/>
            <w:hideMark/>
          </w:tcPr>
          <w:p w14:paraId="0D39946C" w14:textId="77777777" w:rsidR="00FC4056" w:rsidRDefault="00FC4056" w:rsidP="00331966">
            <w:pPr>
              <w:pStyle w:val="Tabletext"/>
              <w:spacing w:before="20" w:after="20"/>
              <w:rPr>
                <w:rFonts w:eastAsiaTheme="minorHAnsi" w:cs="Arial"/>
                <w:bCs/>
                <w:iCs/>
                <w:color w:val="AEC12D"/>
                <w:sz w:val="32"/>
                <w:szCs w:val="28"/>
              </w:rPr>
            </w:pPr>
            <w:r>
              <w:t>445</w:t>
            </w:r>
          </w:p>
        </w:tc>
        <w:tc>
          <w:tcPr>
            <w:tcW w:w="960" w:type="dxa"/>
            <w:noWrap/>
            <w:tcMar>
              <w:top w:w="0" w:type="dxa"/>
              <w:left w:w="108" w:type="dxa"/>
              <w:bottom w:w="0" w:type="dxa"/>
              <w:right w:w="108" w:type="dxa"/>
            </w:tcMar>
            <w:vAlign w:val="bottom"/>
            <w:hideMark/>
          </w:tcPr>
          <w:p w14:paraId="74FF9D91" w14:textId="77777777" w:rsidR="00FC4056" w:rsidRDefault="00FC4056" w:rsidP="00331966">
            <w:pPr>
              <w:pStyle w:val="Tabletext"/>
              <w:spacing w:before="20" w:after="20"/>
              <w:rPr>
                <w:rFonts w:eastAsiaTheme="minorHAnsi" w:cs="Arial"/>
                <w:bCs/>
                <w:iCs/>
                <w:color w:val="AEC12D"/>
                <w:sz w:val="32"/>
                <w:szCs w:val="28"/>
              </w:rPr>
            </w:pPr>
            <w:r>
              <w:t>0.0003</w:t>
            </w:r>
          </w:p>
        </w:tc>
        <w:tc>
          <w:tcPr>
            <w:tcW w:w="2333" w:type="dxa"/>
            <w:noWrap/>
            <w:tcMar>
              <w:top w:w="0" w:type="dxa"/>
              <w:left w:w="108" w:type="dxa"/>
              <w:bottom w:w="0" w:type="dxa"/>
              <w:right w:w="108" w:type="dxa"/>
            </w:tcMar>
            <w:vAlign w:val="bottom"/>
            <w:hideMark/>
          </w:tcPr>
          <w:p w14:paraId="0D4CB592" w14:textId="77777777" w:rsidR="00FC4056" w:rsidRDefault="00FC4056" w:rsidP="00331966">
            <w:pPr>
              <w:pStyle w:val="Tabletext"/>
              <w:spacing w:before="20" w:after="20"/>
              <w:rPr>
                <w:rFonts w:eastAsiaTheme="minorHAnsi" w:cs="Arial"/>
                <w:bCs/>
                <w:iCs/>
                <w:color w:val="AEC12D"/>
                <w:sz w:val="32"/>
                <w:szCs w:val="28"/>
              </w:rPr>
            </w:pPr>
            <w:r>
              <w:t>0.0003</w:t>
            </w:r>
          </w:p>
        </w:tc>
        <w:tc>
          <w:tcPr>
            <w:tcW w:w="1105" w:type="dxa"/>
            <w:noWrap/>
            <w:tcMar>
              <w:top w:w="0" w:type="dxa"/>
              <w:left w:w="108" w:type="dxa"/>
              <w:bottom w:w="0" w:type="dxa"/>
              <w:right w:w="108" w:type="dxa"/>
            </w:tcMar>
            <w:vAlign w:val="bottom"/>
            <w:hideMark/>
          </w:tcPr>
          <w:p w14:paraId="52DE591C" w14:textId="77777777" w:rsidR="00FC4056" w:rsidRDefault="00FC4056" w:rsidP="00331966">
            <w:pPr>
              <w:pStyle w:val="Tabletext"/>
              <w:spacing w:before="20" w:after="20"/>
              <w:rPr>
                <w:rFonts w:eastAsiaTheme="minorHAnsi" w:cs="Arial"/>
                <w:bCs/>
                <w:iCs/>
                <w:color w:val="AEC12D"/>
                <w:sz w:val="32"/>
                <w:szCs w:val="28"/>
              </w:rPr>
            </w:pPr>
            <w:r>
              <w:t>0.0002</w:t>
            </w:r>
          </w:p>
        </w:tc>
        <w:tc>
          <w:tcPr>
            <w:tcW w:w="1106" w:type="dxa"/>
            <w:noWrap/>
            <w:tcMar>
              <w:top w:w="0" w:type="dxa"/>
              <w:left w:w="108" w:type="dxa"/>
              <w:bottom w:w="0" w:type="dxa"/>
              <w:right w:w="108" w:type="dxa"/>
            </w:tcMar>
            <w:vAlign w:val="bottom"/>
            <w:hideMark/>
          </w:tcPr>
          <w:p w14:paraId="370D746B" w14:textId="77777777" w:rsidR="00FC4056" w:rsidRDefault="00FC4056" w:rsidP="00331966">
            <w:pPr>
              <w:pStyle w:val="Tabletext"/>
              <w:spacing w:before="20" w:after="20"/>
              <w:rPr>
                <w:rFonts w:eastAsiaTheme="minorHAnsi" w:cs="Arial"/>
                <w:bCs/>
                <w:iCs/>
                <w:color w:val="AEC12D"/>
                <w:sz w:val="32"/>
                <w:szCs w:val="28"/>
              </w:rPr>
            </w:pPr>
            <w:r>
              <w:t>0.0002</w:t>
            </w:r>
          </w:p>
        </w:tc>
        <w:tc>
          <w:tcPr>
            <w:tcW w:w="1105" w:type="dxa"/>
            <w:noWrap/>
            <w:tcMar>
              <w:top w:w="0" w:type="dxa"/>
              <w:left w:w="108" w:type="dxa"/>
              <w:bottom w:w="0" w:type="dxa"/>
              <w:right w:w="108" w:type="dxa"/>
            </w:tcMar>
            <w:vAlign w:val="bottom"/>
            <w:hideMark/>
          </w:tcPr>
          <w:p w14:paraId="1A380045" w14:textId="77777777" w:rsidR="00FC4056" w:rsidRDefault="00FC4056" w:rsidP="00331966">
            <w:pPr>
              <w:pStyle w:val="Tabletext"/>
              <w:spacing w:before="20" w:after="20"/>
              <w:rPr>
                <w:rFonts w:eastAsiaTheme="minorHAnsi" w:cs="Arial"/>
                <w:bCs/>
                <w:iCs/>
                <w:color w:val="AEC12D"/>
                <w:sz w:val="32"/>
                <w:szCs w:val="28"/>
              </w:rPr>
            </w:pPr>
            <w:r>
              <w:t>0.0002</w:t>
            </w:r>
          </w:p>
        </w:tc>
        <w:tc>
          <w:tcPr>
            <w:tcW w:w="1106" w:type="dxa"/>
            <w:noWrap/>
            <w:tcMar>
              <w:top w:w="0" w:type="dxa"/>
              <w:left w:w="108" w:type="dxa"/>
              <w:bottom w:w="0" w:type="dxa"/>
              <w:right w:w="108" w:type="dxa"/>
            </w:tcMar>
            <w:vAlign w:val="bottom"/>
            <w:hideMark/>
          </w:tcPr>
          <w:p w14:paraId="716F10E9" w14:textId="77777777" w:rsidR="00FC4056" w:rsidRDefault="00FC4056" w:rsidP="00331966">
            <w:pPr>
              <w:pStyle w:val="Tabletext"/>
              <w:spacing w:before="20" w:after="20"/>
              <w:rPr>
                <w:rFonts w:eastAsiaTheme="minorHAnsi" w:cs="Arial"/>
                <w:bCs/>
                <w:iCs/>
                <w:color w:val="AEC12D"/>
                <w:sz w:val="32"/>
                <w:szCs w:val="28"/>
              </w:rPr>
            </w:pPr>
            <w:r>
              <w:t>0.0002</w:t>
            </w:r>
          </w:p>
        </w:tc>
        <w:tc>
          <w:tcPr>
            <w:tcW w:w="1106" w:type="dxa"/>
            <w:noWrap/>
            <w:tcMar>
              <w:top w:w="0" w:type="dxa"/>
              <w:left w:w="108" w:type="dxa"/>
              <w:bottom w:w="0" w:type="dxa"/>
              <w:right w:w="108" w:type="dxa"/>
            </w:tcMar>
            <w:vAlign w:val="bottom"/>
            <w:hideMark/>
          </w:tcPr>
          <w:p w14:paraId="4CE89D2D" w14:textId="77777777" w:rsidR="00FC4056" w:rsidRDefault="00FC4056" w:rsidP="00331966">
            <w:pPr>
              <w:pStyle w:val="Tabletext"/>
              <w:spacing w:before="20" w:after="20"/>
              <w:rPr>
                <w:rFonts w:eastAsiaTheme="minorHAnsi" w:cs="Arial"/>
                <w:bCs/>
                <w:iCs/>
                <w:color w:val="AEC12D"/>
                <w:sz w:val="32"/>
                <w:szCs w:val="28"/>
              </w:rPr>
            </w:pPr>
            <w:r>
              <w:t>0.0002</w:t>
            </w:r>
          </w:p>
        </w:tc>
      </w:tr>
      <w:tr w:rsidR="00FC4056" w14:paraId="685ADE40" w14:textId="77777777" w:rsidTr="00B22A62">
        <w:tc>
          <w:tcPr>
            <w:tcW w:w="960" w:type="dxa"/>
            <w:noWrap/>
            <w:tcMar>
              <w:top w:w="0" w:type="dxa"/>
              <w:left w:w="108" w:type="dxa"/>
              <w:bottom w:w="0" w:type="dxa"/>
              <w:right w:w="108" w:type="dxa"/>
            </w:tcMar>
            <w:vAlign w:val="bottom"/>
            <w:hideMark/>
          </w:tcPr>
          <w:p w14:paraId="1A7F896C" w14:textId="77777777" w:rsidR="00FC4056" w:rsidRDefault="00FC4056" w:rsidP="00331966">
            <w:pPr>
              <w:pStyle w:val="Tabletext"/>
              <w:spacing w:before="20" w:after="20"/>
              <w:rPr>
                <w:rFonts w:eastAsiaTheme="minorHAnsi" w:cs="Arial"/>
                <w:bCs/>
                <w:iCs/>
                <w:color w:val="AEC12D"/>
                <w:sz w:val="32"/>
                <w:szCs w:val="28"/>
              </w:rPr>
            </w:pPr>
            <w:r>
              <w:t>446</w:t>
            </w:r>
          </w:p>
        </w:tc>
        <w:tc>
          <w:tcPr>
            <w:tcW w:w="960" w:type="dxa"/>
            <w:noWrap/>
            <w:tcMar>
              <w:top w:w="0" w:type="dxa"/>
              <w:left w:w="108" w:type="dxa"/>
              <w:bottom w:w="0" w:type="dxa"/>
              <w:right w:w="108" w:type="dxa"/>
            </w:tcMar>
            <w:vAlign w:val="bottom"/>
            <w:hideMark/>
          </w:tcPr>
          <w:p w14:paraId="29C7C36F" w14:textId="77777777" w:rsidR="00FC4056" w:rsidRDefault="00FC4056" w:rsidP="00331966">
            <w:pPr>
              <w:pStyle w:val="Tabletext"/>
              <w:spacing w:before="20" w:after="20"/>
              <w:rPr>
                <w:rFonts w:eastAsiaTheme="minorHAnsi" w:cs="Arial"/>
                <w:bCs/>
                <w:iCs/>
                <w:color w:val="AEC12D"/>
                <w:sz w:val="32"/>
                <w:szCs w:val="28"/>
              </w:rPr>
            </w:pPr>
            <w:r>
              <w:t>0.0005</w:t>
            </w:r>
          </w:p>
        </w:tc>
        <w:tc>
          <w:tcPr>
            <w:tcW w:w="2333" w:type="dxa"/>
            <w:noWrap/>
            <w:tcMar>
              <w:top w:w="0" w:type="dxa"/>
              <w:left w:w="108" w:type="dxa"/>
              <w:bottom w:w="0" w:type="dxa"/>
              <w:right w:w="108" w:type="dxa"/>
            </w:tcMar>
            <w:vAlign w:val="bottom"/>
            <w:hideMark/>
          </w:tcPr>
          <w:p w14:paraId="6FA152F0" w14:textId="77777777" w:rsidR="00FC4056" w:rsidRDefault="00FC4056" w:rsidP="00331966">
            <w:pPr>
              <w:pStyle w:val="Tabletext"/>
              <w:spacing w:before="20" w:after="20"/>
              <w:rPr>
                <w:rFonts w:eastAsiaTheme="minorHAnsi" w:cs="Arial"/>
                <w:bCs/>
                <w:iCs/>
                <w:color w:val="AEC12D"/>
                <w:sz w:val="32"/>
                <w:szCs w:val="28"/>
              </w:rPr>
            </w:pPr>
            <w:r>
              <w:t>0.0005</w:t>
            </w:r>
          </w:p>
        </w:tc>
        <w:tc>
          <w:tcPr>
            <w:tcW w:w="1105" w:type="dxa"/>
            <w:noWrap/>
            <w:tcMar>
              <w:top w:w="0" w:type="dxa"/>
              <w:left w:w="108" w:type="dxa"/>
              <w:bottom w:w="0" w:type="dxa"/>
              <w:right w:w="108" w:type="dxa"/>
            </w:tcMar>
            <w:vAlign w:val="bottom"/>
            <w:hideMark/>
          </w:tcPr>
          <w:p w14:paraId="1AF7A452" w14:textId="77777777" w:rsidR="00FC4056" w:rsidRDefault="00FC4056" w:rsidP="00331966">
            <w:pPr>
              <w:pStyle w:val="Tabletext"/>
              <w:spacing w:before="20" w:after="20"/>
              <w:rPr>
                <w:rFonts w:eastAsiaTheme="minorHAnsi" w:cs="Arial"/>
                <w:bCs/>
                <w:iCs/>
                <w:color w:val="AEC12D"/>
                <w:sz w:val="32"/>
                <w:szCs w:val="28"/>
              </w:rPr>
            </w:pPr>
            <w:r>
              <w:t>0.0004</w:t>
            </w:r>
          </w:p>
        </w:tc>
        <w:tc>
          <w:tcPr>
            <w:tcW w:w="1106" w:type="dxa"/>
            <w:noWrap/>
            <w:tcMar>
              <w:top w:w="0" w:type="dxa"/>
              <w:left w:w="108" w:type="dxa"/>
              <w:bottom w:w="0" w:type="dxa"/>
              <w:right w:w="108" w:type="dxa"/>
            </w:tcMar>
            <w:vAlign w:val="bottom"/>
            <w:hideMark/>
          </w:tcPr>
          <w:p w14:paraId="29679D41" w14:textId="77777777" w:rsidR="00FC4056" w:rsidRDefault="00FC4056" w:rsidP="00331966">
            <w:pPr>
              <w:pStyle w:val="Tabletext"/>
              <w:spacing w:before="20" w:after="20"/>
              <w:rPr>
                <w:rFonts w:eastAsiaTheme="minorHAnsi" w:cs="Arial"/>
                <w:bCs/>
                <w:iCs/>
                <w:color w:val="AEC12D"/>
                <w:sz w:val="32"/>
                <w:szCs w:val="28"/>
              </w:rPr>
            </w:pPr>
            <w:r>
              <w:t>0.0004</w:t>
            </w:r>
          </w:p>
        </w:tc>
        <w:tc>
          <w:tcPr>
            <w:tcW w:w="1105" w:type="dxa"/>
            <w:noWrap/>
            <w:tcMar>
              <w:top w:w="0" w:type="dxa"/>
              <w:left w:w="108" w:type="dxa"/>
              <w:bottom w:w="0" w:type="dxa"/>
              <w:right w:w="108" w:type="dxa"/>
            </w:tcMar>
            <w:vAlign w:val="bottom"/>
            <w:hideMark/>
          </w:tcPr>
          <w:p w14:paraId="07089AB0" w14:textId="77777777" w:rsidR="00FC4056" w:rsidRDefault="00FC4056" w:rsidP="00331966">
            <w:pPr>
              <w:pStyle w:val="Tabletext"/>
              <w:spacing w:before="20" w:after="20"/>
              <w:rPr>
                <w:rFonts w:eastAsiaTheme="minorHAnsi" w:cs="Arial"/>
                <w:bCs/>
                <w:iCs/>
                <w:color w:val="AEC12D"/>
                <w:sz w:val="32"/>
                <w:szCs w:val="28"/>
              </w:rPr>
            </w:pPr>
            <w:r>
              <w:t>0.0004</w:t>
            </w:r>
          </w:p>
        </w:tc>
        <w:tc>
          <w:tcPr>
            <w:tcW w:w="1106" w:type="dxa"/>
            <w:noWrap/>
            <w:tcMar>
              <w:top w:w="0" w:type="dxa"/>
              <w:left w:w="108" w:type="dxa"/>
              <w:bottom w:w="0" w:type="dxa"/>
              <w:right w:w="108" w:type="dxa"/>
            </w:tcMar>
            <w:vAlign w:val="bottom"/>
            <w:hideMark/>
          </w:tcPr>
          <w:p w14:paraId="7022FDC5" w14:textId="77777777" w:rsidR="00FC4056" w:rsidRDefault="00FC4056" w:rsidP="00331966">
            <w:pPr>
              <w:pStyle w:val="Tabletext"/>
              <w:spacing w:before="20" w:after="20"/>
              <w:rPr>
                <w:rFonts w:eastAsiaTheme="minorHAnsi" w:cs="Arial"/>
                <w:bCs/>
                <w:iCs/>
                <w:color w:val="AEC12D"/>
                <w:sz w:val="32"/>
                <w:szCs w:val="28"/>
              </w:rPr>
            </w:pPr>
            <w:r>
              <w:t>0.0004</w:t>
            </w:r>
          </w:p>
        </w:tc>
        <w:tc>
          <w:tcPr>
            <w:tcW w:w="1106" w:type="dxa"/>
            <w:noWrap/>
            <w:tcMar>
              <w:top w:w="0" w:type="dxa"/>
              <w:left w:w="108" w:type="dxa"/>
              <w:bottom w:w="0" w:type="dxa"/>
              <w:right w:w="108" w:type="dxa"/>
            </w:tcMar>
            <w:vAlign w:val="bottom"/>
            <w:hideMark/>
          </w:tcPr>
          <w:p w14:paraId="096E5260" w14:textId="77777777" w:rsidR="00FC4056" w:rsidRDefault="00FC4056" w:rsidP="00331966">
            <w:pPr>
              <w:pStyle w:val="Tabletext"/>
              <w:spacing w:before="20" w:after="20"/>
              <w:rPr>
                <w:rFonts w:eastAsiaTheme="minorHAnsi" w:cs="Arial"/>
                <w:bCs/>
                <w:iCs/>
                <w:color w:val="AEC12D"/>
                <w:sz w:val="32"/>
                <w:szCs w:val="28"/>
              </w:rPr>
            </w:pPr>
            <w:r>
              <w:t>0.0004</w:t>
            </w:r>
          </w:p>
        </w:tc>
      </w:tr>
      <w:tr w:rsidR="00FC4056" w14:paraId="2A8B32E7" w14:textId="77777777" w:rsidTr="00B22A62">
        <w:tc>
          <w:tcPr>
            <w:tcW w:w="960" w:type="dxa"/>
            <w:noWrap/>
            <w:tcMar>
              <w:top w:w="0" w:type="dxa"/>
              <w:left w:w="108" w:type="dxa"/>
              <w:bottom w:w="0" w:type="dxa"/>
              <w:right w:w="108" w:type="dxa"/>
            </w:tcMar>
            <w:vAlign w:val="bottom"/>
            <w:hideMark/>
          </w:tcPr>
          <w:p w14:paraId="010D31FE" w14:textId="77777777" w:rsidR="00FC4056" w:rsidRDefault="00FC4056" w:rsidP="00331966">
            <w:pPr>
              <w:pStyle w:val="Tabletext"/>
              <w:spacing w:before="20" w:after="20"/>
              <w:rPr>
                <w:rFonts w:eastAsiaTheme="minorHAnsi" w:cs="Arial"/>
                <w:bCs/>
                <w:iCs/>
                <w:color w:val="AEC12D"/>
                <w:sz w:val="32"/>
                <w:szCs w:val="28"/>
              </w:rPr>
            </w:pPr>
            <w:r>
              <w:t>447</w:t>
            </w:r>
          </w:p>
        </w:tc>
        <w:tc>
          <w:tcPr>
            <w:tcW w:w="960" w:type="dxa"/>
            <w:noWrap/>
            <w:tcMar>
              <w:top w:w="0" w:type="dxa"/>
              <w:left w:w="108" w:type="dxa"/>
              <w:bottom w:w="0" w:type="dxa"/>
              <w:right w:w="108" w:type="dxa"/>
            </w:tcMar>
            <w:vAlign w:val="bottom"/>
            <w:hideMark/>
          </w:tcPr>
          <w:p w14:paraId="72439099" w14:textId="77777777" w:rsidR="00FC4056" w:rsidRDefault="00FC4056" w:rsidP="00331966">
            <w:pPr>
              <w:pStyle w:val="Tabletext"/>
              <w:spacing w:before="20" w:after="20"/>
              <w:rPr>
                <w:rFonts w:eastAsiaTheme="minorHAnsi" w:cs="Arial"/>
                <w:bCs/>
                <w:iCs/>
                <w:color w:val="AEC12D"/>
                <w:sz w:val="32"/>
                <w:szCs w:val="28"/>
              </w:rPr>
            </w:pPr>
            <w:r>
              <w:t>0.002</w:t>
            </w:r>
          </w:p>
        </w:tc>
        <w:tc>
          <w:tcPr>
            <w:tcW w:w="2333" w:type="dxa"/>
            <w:noWrap/>
            <w:tcMar>
              <w:top w:w="0" w:type="dxa"/>
              <w:left w:w="108" w:type="dxa"/>
              <w:bottom w:w="0" w:type="dxa"/>
              <w:right w:w="108" w:type="dxa"/>
            </w:tcMar>
            <w:vAlign w:val="bottom"/>
            <w:hideMark/>
          </w:tcPr>
          <w:p w14:paraId="250F27AF" w14:textId="77777777" w:rsidR="00FC4056" w:rsidRDefault="00FC4056" w:rsidP="00331966">
            <w:pPr>
              <w:pStyle w:val="Tabletext"/>
              <w:spacing w:before="20" w:after="20"/>
              <w:rPr>
                <w:rFonts w:eastAsiaTheme="minorHAnsi" w:cs="Arial"/>
                <w:bCs/>
                <w:iCs/>
                <w:color w:val="AEC12D"/>
                <w:sz w:val="32"/>
                <w:szCs w:val="28"/>
              </w:rPr>
            </w:pPr>
            <w:r>
              <w:t>0.002</w:t>
            </w:r>
          </w:p>
        </w:tc>
        <w:tc>
          <w:tcPr>
            <w:tcW w:w="1105" w:type="dxa"/>
            <w:noWrap/>
            <w:tcMar>
              <w:top w:w="0" w:type="dxa"/>
              <w:left w:w="108" w:type="dxa"/>
              <w:bottom w:w="0" w:type="dxa"/>
              <w:right w:w="108" w:type="dxa"/>
            </w:tcMar>
            <w:vAlign w:val="bottom"/>
            <w:hideMark/>
          </w:tcPr>
          <w:p w14:paraId="51722B61" w14:textId="77777777" w:rsidR="00FC4056" w:rsidRDefault="00FC4056" w:rsidP="00331966">
            <w:pPr>
              <w:pStyle w:val="Tabletext"/>
              <w:spacing w:before="20" w:after="20"/>
              <w:rPr>
                <w:rFonts w:eastAsiaTheme="minorHAnsi" w:cs="Arial"/>
                <w:bCs/>
                <w:iCs/>
                <w:color w:val="AEC12D"/>
                <w:sz w:val="32"/>
                <w:szCs w:val="28"/>
              </w:rPr>
            </w:pPr>
            <w:r>
              <w:t>0.001</w:t>
            </w:r>
          </w:p>
        </w:tc>
        <w:tc>
          <w:tcPr>
            <w:tcW w:w="1106" w:type="dxa"/>
            <w:noWrap/>
            <w:tcMar>
              <w:top w:w="0" w:type="dxa"/>
              <w:left w:w="108" w:type="dxa"/>
              <w:bottom w:w="0" w:type="dxa"/>
              <w:right w:w="108" w:type="dxa"/>
            </w:tcMar>
            <w:vAlign w:val="bottom"/>
            <w:hideMark/>
          </w:tcPr>
          <w:p w14:paraId="23F71B08" w14:textId="77777777" w:rsidR="00FC4056" w:rsidRDefault="00FC4056" w:rsidP="00331966">
            <w:pPr>
              <w:pStyle w:val="Tabletext"/>
              <w:spacing w:before="20" w:after="20"/>
              <w:rPr>
                <w:rFonts w:eastAsiaTheme="minorHAnsi" w:cs="Arial"/>
                <w:bCs/>
                <w:iCs/>
                <w:color w:val="AEC12D"/>
                <w:sz w:val="32"/>
                <w:szCs w:val="28"/>
              </w:rPr>
            </w:pPr>
            <w:r>
              <w:t>0.001</w:t>
            </w:r>
          </w:p>
        </w:tc>
        <w:tc>
          <w:tcPr>
            <w:tcW w:w="1105" w:type="dxa"/>
            <w:noWrap/>
            <w:tcMar>
              <w:top w:w="0" w:type="dxa"/>
              <w:left w:w="108" w:type="dxa"/>
              <w:bottom w:w="0" w:type="dxa"/>
              <w:right w:w="108" w:type="dxa"/>
            </w:tcMar>
            <w:vAlign w:val="bottom"/>
            <w:hideMark/>
          </w:tcPr>
          <w:p w14:paraId="59D4BFDF" w14:textId="77777777" w:rsidR="00FC4056" w:rsidRDefault="00FC4056" w:rsidP="00331966">
            <w:pPr>
              <w:pStyle w:val="Tabletext"/>
              <w:spacing w:before="20" w:after="20"/>
              <w:rPr>
                <w:rFonts w:eastAsiaTheme="minorHAnsi" w:cs="Arial"/>
                <w:bCs/>
                <w:iCs/>
                <w:color w:val="AEC12D"/>
                <w:sz w:val="32"/>
                <w:szCs w:val="28"/>
              </w:rPr>
            </w:pPr>
            <w:r>
              <w:t>0.001</w:t>
            </w:r>
          </w:p>
        </w:tc>
        <w:tc>
          <w:tcPr>
            <w:tcW w:w="1106" w:type="dxa"/>
            <w:noWrap/>
            <w:tcMar>
              <w:top w:w="0" w:type="dxa"/>
              <w:left w:w="108" w:type="dxa"/>
              <w:bottom w:w="0" w:type="dxa"/>
              <w:right w:w="108" w:type="dxa"/>
            </w:tcMar>
            <w:vAlign w:val="bottom"/>
            <w:hideMark/>
          </w:tcPr>
          <w:p w14:paraId="51D1B02B" w14:textId="77777777" w:rsidR="00FC4056" w:rsidRDefault="00FC4056" w:rsidP="00331966">
            <w:pPr>
              <w:pStyle w:val="Tabletext"/>
              <w:spacing w:before="20" w:after="20"/>
              <w:rPr>
                <w:rFonts w:eastAsiaTheme="minorHAnsi" w:cs="Arial"/>
                <w:bCs/>
                <w:iCs/>
                <w:color w:val="AEC12D"/>
                <w:sz w:val="32"/>
                <w:szCs w:val="28"/>
              </w:rPr>
            </w:pPr>
            <w:r>
              <w:t>0.001</w:t>
            </w:r>
          </w:p>
        </w:tc>
        <w:tc>
          <w:tcPr>
            <w:tcW w:w="1106" w:type="dxa"/>
            <w:noWrap/>
            <w:tcMar>
              <w:top w:w="0" w:type="dxa"/>
              <w:left w:w="108" w:type="dxa"/>
              <w:bottom w:w="0" w:type="dxa"/>
              <w:right w:w="108" w:type="dxa"/>
            </w:tcMar>
            <w:vAlign w:val="bottom"/>
            <w:hideMark/>
          </w:tcPr>
          <w:p w14:paraId="74603982" w14:textId="77777777" w:rsidR="00FC4056" w:rsidRDefault="00FC4056" w:rsidP="00331966">
            <w:pPr>
              <w:pStyle w:val="Tabletext"/>
              <w:spacing w:before="20" w:after="20"/>
              <w:rPr>
                <w:rFonts w:eastAsiaTheme="minorHAnsi" w:cs="Arial"/>
                <w:bCs/>
                <w:iCs/>
                <w:color w:val="AEC12D"/>
                <w:sz w:val="32"/>
                <w:szCs w:val="28"/>
              </w:rPr>
            </w:pPr>
            <w:r>
              <w:t>0.001</w:t>
            </w:r>
          </w:p>
        </w:tc>
      </w:tr>
      <w:tr w:rsidR="00FC4056" w14:paraId="65CBE8FB" w14:textId="77777777" w:rsidTr="00B22A62">
        <w:tc>
          <w:tcPr>
            <w:tcW w:w="960" w:type="dxa"/>
            <w:noWrap/>
            <w:tcMar>
              <w:top w:w="0" w:type="dxa"/>
              <w:left w:w="108" w:type="dxa"/>
              <w:bottom w:w="0" w:type="dxa"/>
              <w:right w:w="108" w:type="dxa"/>
            </w:tcMar>
            <w:vAlign w:val="bottom"/>
            <w:hideMark/>
          </w:tcPr>
          <w:p w14:paraId="392C995E" w14:textId="77777777" w:rsidR="00FC4056" w:rsidRDefault="00FC4056" w:rsidP="00331966">
            <w:pPr>
              <w:pStyle w:val="Tabletext"/>
              <w:spacing w:before="20" w:after="20"/>
              <w:rPr>
                <w:rFonts w:eastAsiaTheme="minorHAnsi" w:cs="Arial"/>
                <w:bCs/>
                <w:iCs/>
                <w:color w:val="AEC12D"/>
                <w:sz w:val="32"/>
                <w:szCs w:val="28"/>
              </w:rPr>
            </w:pPr>
            <w:r>
              <w:t>480</w:t>
            </w:r>
          </w:p>
        </w:tc>
        <w:tc>
          <w:tcPr>
            <w:tcW w:w="960" w:type="dxa"/>
            <w:noWrap/>
            <w:tcMar>
              <w:top w:w="0" w:type="dxa"/>
              <w:left w:w="108" w:type="dxa"/>
              <w:bottom w:w="0" w:type="dxa"/>
              <w:right w:w="108" w:type="dxa"/>
            </w:tcMar>
            <w:vAlign w:val="bottom"/>
            <w:hideMark/>
          </w:tcPr>
          <w:p w14:paraId="7F046FA1" w14:textId="77777777" w:rsidR="00FC4056" w:rsidRDefault="00FC4056" w:rsidP="00331966">
            <w:pPr>
              <w:pStyle w:val="Tabletext"/>
              <w:spacing w:before="20" w:after="20"/>
              <w:rPr>
                <w:rFonts w:eastAsiaTheme="minorHAnsi" w:cs="Arial"/>
                <w:bCs/>
                <w:iCs/>
                <w:color w:val="AEC12D"/>
                <w:sz w:val="32"/>
                <w:szCs w:val="28"/>
              </w:rPr>
            </w:pPr>
            <w:r>
              <w:t>0.006</w:t>
            </w:r>
          </w:p>
        </w:tc>
        <w:tc>
          <w:tcPr>
            <w:tcW w:w="2333" w:type="dxa"/>
            <w:noWrap/>
            <w:tcMar>
              <w:top w:w="0" w:type="dxa"/>
              <w:left w:w="108" w:type="dxa"/>
              <w:bottom w:w="0" w:type="dxa"/>
              <w:right w:w="108" w:type="dxa"/>
            </w:tcMar>
            <w:vAlign w:val="bottom"/>
            <w:hideMark/>
          </w:tcPr>
          <w:p w14:paraId="683B7470" w14:textId="77777777" w:rsidR="00FC4056" w:rsidRDefault="00FC4056" w:rsidP="00331966">
            <w:pPr>
              <w:pStyle w:val="Tabletext"/>
              <w:spacing w:before="20" w:after="20"/>
              <w:rPr>
                <w:rFonts w:eastAsiaTheme="minorHAnsi" w:cs="Arial"/>
                <w:bCs/>
                <w:iCs/>
                <w:color w:val="AEC12D"/>
                <w:sz w:val="32"/>
                <w:szCs w:val="28"/>
              </w:rPr>
            </w:pPr>
            <w:r>
              <w:t>0.006</w:t>
            </w:r>
          </w:p>
        </w:tc>
        <w:tc>
          <w:tcPr>
            <w:tcW w:w="1105" w:type="dxa"/>
            <w:noWrap/>
            <w:tcMar>
              <w:top w:w="0" w:type="dxa"/>
              <w:left w:w="108" w:type="dxa"/>
              <w:bottom w:w="0" w:type="dxa"/>
              <w:right w:w="108" w:type="dxa"/>
            </w:tcMar>
            <w:vAlign w:val="bottom"/>
            <w:hideMark/>
          </w:tcPr>
          <w:p w14:paraId="4BEEDDC1"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25BE12A0" w14:textId="77777777" w:rsidR="00FC4056" w:rsidRDefault="00FC4056" w:rsidP="00331966">
            <w:pPr>
              <w:pStyle w:val="Tabletext"/>
              <w:spacing w:before="20" w:after="20"/>
              <w:rPr>
                <w:rFonts w:eastAsiaTheme="minorHAnsi" w:cs="Arial"/>
                <w:bCs/>
                <w:iCs/>
                <w:color w:val="AEC12D"/>
                <w:sz w:val="32"/>
                <w:szCs w:val="28"/>
              </w:rPr>
            </w:pPr>
            <w:r>
              <w:t>0.006</w:t>
            </w:r>
          </w:p>
        </w:tc>
        <w:tc>
          <w:tcPr>
            <w:tcW w:w="1105" w:type="dxa"/>
            <w:noWrap/>
            <w:tcMar>
              <w:top w:w="0" w:type="dxa"/>
              <w:left w:w="108" w:type="dxa"/>
              <w:bottom w:w="0" w:type="dxa"/>
              <w:right w:w="108" w:type="dxa"/>
            </w:tcMar>
            <w:vAlign w:val="bottom"/>
            <w:hideMark/>
          </w:tcPr>
          <w:p w14:paraId="07DD51FB"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509EB318"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7349804C" w14:textId="77777777" w:rsidR="00FC4056" w:rsidRDefault="00FC4056" w:rsidP="00331966">
            <w:pPr>
              <w:pStyle w:val="Tabletext"/>
              <w:spacing w:before="20" w:after="20"/>
              <w:rPr>
                <w:rFonts w:eastAsiaTheme="minorHAnsi" w:cs="Arial"/>
                <w:bCs/>
                <w:iCs/>
                <w:color w:val="AEC12D"/>
                <w:sz w:val="32"/>
                <w:szCs w:val="28"/>
              </w:rPr>
            </w:pPr>
            <w:r>
              <w:t>0.006</w:t>
            </w:r>
          </w:p>
        </w:tc>
      </w:tr>
      <w:tr w:rsidR="00FC4056" w14:paraId="1723BA65" w14:textId="77777777" w:rsidTr="00B22A62">
        <w:tc>
          <w:tcPr>
            <w:tcW w:w="960" w:type="dxa"/>
            <w:noWrap/>
            <w:tcMar>
              <w:top w:w="0" w:type="dxa"/>
              <w:left w:w="108" w:type="dxa"/>
              <w:bottom w:w="0" w:type="dxa"/>
              <w:right w:w="108" w:type="dxa"/>
            </w:tcMar>
            <w:vAlign w:val="bottom"/>
            <w:hideMark/>
          </w:tcPr>
          <w:p w14:paraId="5AB5CB4F" w14:textId="77777777" w:rsidR="00FC4056" w:rsidRDefault="00FC4056" w:rsidP="00331966">
            <w:pPr>
              <w:pStyle w:val="Tabletext"/>
              <w:spacing w:before="20" w:after="20"/>
              <w:rPr>
                <w:rFonts w:eastAsiaTheme="minorHAnsi" w:cs="Arial"/>
                <w:bCs/>
                <w:iCs/>
                <w:color w:val="AEC12D"/>
                <w:sz w:val="32"/>
                <w:szCs w:val="28"/>
              </w:rPr>
            </w:pPr>
            <w:r>
              <w:t>481</w:t>
            </w:r>
          </w:p>
        </w:tc>
        <w:tc>
          <w:tcPr>
            <w:tcW w:w="960" w:type="dxa"/>
            <w:noWrap/>
            <w:tcMar>
              <w:top w:w="0" w:type="dxa"/>
              <w:left w:w="108" w:type="dxa"/>
              <w:bottom w:w="0" w:type="dxa"/>
              <w:right w:w="108" w:type="dxa"/>
            </w:tcMar>
            <w:vAlign w:val="bottom"/>
            <w:hideMark/>
          </w:tcPr>
          <w:p w14:paraId="0B4585A5" w14:textId="77777777" w:rsidR="00FC4056" w:rsidRDefault="00FC4056" w:rsidP="00331966">
            <w:pPr>
              <w:pStyle w:val="Tabletext"/>
              <w:spacing w:before="20" w:after="20"/>
              <w:rPr>
                <w:rFonts w:eastAsiaTheme="minorHAnsi" w:cs="Arial"/>
                <w:bCs/>
                <w:iCs/>
                <w:color w:val="AEC12D"/>
                <w:sz w:val="32"/>
                <w:szCs w:val="28"/>
              </w:rPr>
            </w:pPr>
            <w:r>
              <w:t>0.001</w:t>
            </w:r>
          </w:p>
        </w:tc>
        <w:tc>
          <w:tcPr>
            <w:tcW w:w="2333" w:type="dxa"/>
            <w:noWrap/>
            <w:tcMar>
              <w:top w:w="0" w:type="dxa"/>
              <w:left w:w="108" w:type="dxa"/>
              <w:bottom w:w="0" w:type="dxa"/>
              <w:right w:w="108" w:type="dxa"/>
            </w:tcMar>
            <w:vAlign w:val="bottom"/>
            <w:hideMark/>
          </w:tcPr>
          <w:p w14:paraId="0524CCA8" w14:textId="77777777" w:rsidR="00FC4056" w:rsidRDefault="00FC4056" w:rsidP="00331966">
            <w:pPr>
              <w:pStyle w:val="Tabletext"/>
              <w:spacing w:before="20" w:after="20"/>
              <w:rPr>
                <w:rFonts w:eastAsiaTheme="minorHAnsi" w:cs="Arial"/>
                <w:bCs/>
                <w:iCs/>
                <w:color w:val="AEC12D"/>
                <w:sz w:val="32"/>
                <w:szCs w:val="28"/>
              </w:rPr>
            </w:pPr>
            <w:r>
              <w:t>0.001</w:t>
            </w:r>
          </w:p>
        </w:tc>
        <w:tc>
          <w:tcPr>
            <w:tcW w:w="1105" w:type="dxa"/>
            <w:noWrap/>
            <w:tcMar>
              <w:top w:w="0" w:type="dxa"/>
              <w:left w:w="108" w:type="dxa"/>
              <w:bottom w:w="0" w:type="dxa"/>
              <w:right w:w="108" w:type="dxa"/>
            </w:tcMar>
            <w:vAlign w:val="bottom"/>
            <w:hideMark/>
          </w:tcPr>
          <w:p w14:paraId="6FCC07F8" w14:textId="77777777" w:rsidR="00FC4056" w:rsidRDefault="00FC4056" w:rsidP="00331966">
            <w:pPr>
              <w:pStyle w:val="Tabletext"/>
              <w:spacing w:before="20" w:after="20"/>
              <w:rPr>
                <w:rFonts w:eastAsiaTheme="minorHAnsi" w:cs="Arial"/>
                <w:bCs/>
                <w:iCs/>
                <w:color w:val="AEC12D"/>
                <w:sz w:val="32"/>
                <w:szCs w:val="28"/>
              </w:rPr>
            </w:pPr>
            <w:r>
              <w:t>0.001</w:t>
            </w:r>
          </w:p>
        </w:tc>
        <w:tc>
          <w:tcPr>
            <w:tcW w:w="1106" w:type="dxa"/>
            <w:noWrap/>
            <w:tcMar>
              <w:top w:w="0" w:type="dxa"/>
              <w:left w:w="108" w:type="dxa"/>
              <w:bottom w:w="0" w:type="dxa"/>
              <w:right w:w="108" w:type="dxa"/>
            </w:tcMar>
            <w:vAlign w:val="bottom"/>
            <w:hideMark/>
          </w:tcPr>
          <w:p w14:paraId="015AA51E" w14:textId="77777777" w:rsidR="00FC4056" w:rsidRDefault="00FC4056" w:rsidP="00331966">
            <w:pPr>
              <w:pStyle w:val="Tabletext"/>
              <w:spacing w:before="20" w:after="20"/>
              <w:rPr>
                <w:rFonts w:eastAsiaTheme="minorHAnsi" w:cs="Arial"/>
                <w:bCs/>
                <w:iCs/>
                <w:color w:val="AEC12D"/>
                <w:sz w:val="32"/>
                <w:szCs w:val="28"/>
              </w:rPr>
            </w:pPr>
            <w:r>
              <w:t>0.001</w:t>
            </w:r>
          </w:p>
        </w:tc>
        <w:tc>
          <w:tcPr>
            <w:tcW w:w="1105" w:type="dxa"/>
            <w:noWrap/>
            <w:tcMar>
              <w:top w:w="0" w:type="dxa"/>
              <w:left w:w="108" w:type="dxa"/>
              <w:bottom w:w="0" w:type="dxa"/>
              <w:right w:w="108" w:type="dxa"/>
            </w:tcMar>
            <w:vAlign w:val="bottom"/>
            <w:hideMark/>
          </w:tcPr>
          <w:p w14:paraId="0D7D124B" w14:textId="77777777" w:rsidR="00FC4056" w:rsidRDefault="00FC4056" w:rsidP="00331966">
            <w:pPr>
              <w:pStyle w:val="Tabletext"/>
              <w:spacing w:before="20" w:after="20"/>
              <w:rPr>
                <w:rFonts w:eastAsiaTheme="minorHAnsi" w:cs="Arial"/>
                <w:bCs/>
                <w:iCs/>
                <w:color w:val="AEC12D"/>
                <w:sz w:val="32"/>
                <w:szCs w:val="28"/>
              </w:rPr>
            </w:pPr>
            <w:r>
              <w:t>0.001</w:t>
            </w:r>
          </w:p>
        </w:tc>
        <w:tc>
          <w:tcPr>
            <w:tcW w:w="1106" w:type="dxa"/>
            <w:noWrap/>
            <w:tcMar>
              <w:top w:w="0" w:type="dxa"/>
              <w:left w:w="108" w:type="dxa"/>
              <w:bottom w:w="0" w:type="dxa"/>
              <w:right w:w="108" w:type="dxa"/>
            </w:tcMar>
            <w:vAlign w:val="bottom"/>
            <w:hideMark/>
          </w:tcPr>
          <w:p w14:paraId="1233890A" w14:textId="77777777" w:rsidR="00FC4056" w:rsidRDefault="00FC4056" w:rsidP="00331966">
            <w:pPr>
              <w:pStyle w:val="Tabletext"/>
              <w:spacing w:before="20" w:after="20"/>
              <w:rPr>
                <w:rFonts w:eastAsiaTheme="minorHAnsi" w:cs="Arial"/>
                <w:bCs/>
                <w:iCs/>
                <w:color w:val="AEC12D"/>
                <w:sz w:val="32"/>
                <w:szCs w:val="28"/>
              </w:rPr>
            </w:pPr>
            <w:r>
              <w:t>0.001</w:t>
            </w:r>
          </w:p>
        </w:tc>
        <w:tc>
          <w:tcPr>
            <w:tcW w:w="1106" w:type="dxa"/>
            <w:noWrap/>
            <w:tcMar>
              <w:top w:w="0" w:type="dxa"/>
              <w:left w:w="108" w:type="dxa"/>
              <w:bottom w:w="0" w:type="dxa"/>
              <w:right w:w="108" w:type="dxa"/>
            </w:tcMar>
            <w:vAlign w:val="bottom"/>
            <w:hideMark/>
          </w:tcPr>
          <w:p w14:paraId="5E1CEFAD" w14:textId="77777777" w:rsidR="00FC4056" w:rsidRDefault="00FC4056" w:rsidP="00331966">
            <w:pPr>
              <w:pStyle w:val="Tabletext"/>
              <w:spacing w:before="20" w:after="20"/>
              <w:rPr>
                <w:rFonts w:eastAsiaTheme="minorHAnsi" w:cs="Arial"/>
                <w:bCs/>
                <w:iCs/>
                <w:color w:val="AEC12D"/>
                <w:sz w:val="32"/>
                <w:szCs w:val="28"/>
              </w:rPr>
            </w:pPr>
            <w:r>
              <w:t>0.001</w:t>
            </w:r>
          </w:p>
        </w:tc>
      </w:tr>
      <w:tr w:rsidR="00FC4056" w14:paraId="2011C83C" w14:textId="77777777" w:rsidTr="00B22A62">
        <w:tc>
          <w:tcPr>
            <w:tcW w:w="960" w:type="dxa"/>
            <w:noWrap/>
            <w:tcMar>
              <w:top w:w="0" w:type="dxa"/>
              <w:left w:w="108" w:type="dxa"/>
              <w:bottom w:w="0" w:type="dxa"/>
              <w:right w:w="108" w:type="dxa"/>
            </w:tcMar>
            <w:vAlign w:val="bottom"/>
            <w:hideMark/>
          </w:tcPr>
          <w:p w14:paraId="50B27E32" w14:textId="77777777" w:rsidR="00FC4056" w:rsidRDefault="00FC4056" w:rsidP="00331966">
            <w:pPr>
              <w:pStyle w:val="Tabletext"/>
              <w:spacing w:before="20" w:after="20"/>
              <w:rPr>
                <w:rFonts w:eastAsiaTheme="minorHAnsi" w:cs="Arial"/>
                <w:bCs/>
                <w:iCs/>
                <w:color w:val="AEC12D"/>
                <w:sz w:val="32"/>
                <w:szCs w:val="28"/>
              </w:rPr>
            </w:pPr>
            <w:r>
              <w:t>513</w:t>
            </w:r>
          </w:p>
        </w:tc>
        <w:tc>
          <w:tcPr>
            <w:tcW w:w="960" w:type="dxa"/>
            <w:noWrap/>
            <w:tcMar>
              <w:top w:w="0" w:type="dxa"/>
              <w:left w:w="108" w:type="dxa"/>
              <w:bottom w:w="0" w:type="dxa"/>
              <w:right w:w="108" w:type="dxa"/>
            </w:tcMar>
            <w:vAlign w:val="bottom"/>
            <w:hideMark/>
          </w:tcPr>
          <w:p w14:paraId="6AA02545" w14:textId="77777777" w:rsidR="00FC4056" w:rsidRDefault="00FC4056" w:rsidP="00331966">
            <w:pPr>
              <w:pStyle w:val="Tabletext"/>
              <w:spacing w:before="20" w:after="20"/>
              <w:rPr>
                <w:rFonts w:eastAsiaTheme="minorHAnsi" w:cs="Arial"/>
                <w:bCs/>
                <w:iCs/>
                <w:color w:val="AEC12D"/>
                <w:sz w:val="32"/>
                <w:szCs w:val="28"/>
              </w:rPr>
            </w:pPr>
            <w:r>
              <w:t>0.006</w:t>
            </w:r>
          </w:p>
        </w:tc>
        <w:tc>
          <w:tcPr>
            <w:tcW w:w="2333" w:type="dxa"/>
            <w:noWrap/>
            <w:tcMar>
              <w:top w:w="0" w:type="dxa"/>
              <w:left w:w="108" w:type="dxa"/>
              <w:bottom w:w="0" w:type="dxa"/>
              <w:right w:w="108" w:type="dxa"/>
            </w:tcMar>
            <w:vAlign w:val="bottom"/>
            <w:hideMark/>
          </w:tcPr>
          <w:p w14:paraId="1CC2B17E" w14:textId="77777777" w:rsidR="00FC4056" w:rsidRDefault="00FC4056" w:rsidP="00331966">
            <w:pPr>
              <w:pStyle w:val="Tabletext"/>
              <w:spacing w:before="20" w:after="20"/>
              <w:rPr>
                <w:rFonts w:eastAsiaTheme="minorHAnsi" w:cs="Arial"/>
                <w:bCs/>
                <w:iCs/>
                <w:color w:val="AEC12D"/>
                <w:sz w:val="32"/>
                <w:szCs w:val="28"/>
              </w:rPr>
            </w:pPr>
            <w:r>
              <w:t>0.006</w:t>
            </w:r>
          </w:p>
        </w:tc>
        <w:tc>
          <w:tcPr>
            <w:tcW w:w="1105" w:type="dxa"/>
            <w:noWrap/>
            <w:tcMar>
              <w:top w:w="0" w:type="dxa"/>
              <w:left w:w="108" w:type="dxa"/>
              <w:bottom w:w="0" w:type="dxa"/>
              <w:right w:w="108" w:type="dxa"/>
            </w:tcMar>
            <w:vAlign w:val="bottom"/>
            <w:hideMark/>
          </w:tcPr>
          <w:p w14:paraId="741FF80D"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097BFD4B" w14:textId="77777777" w:rsidR="00FC4056" w:rsidRDefault="00FC4056" w:rsidP="00331966">
            <w:pPr>
              <w:pStyle w:val="Tabletext"/>
              <w:spacing w:before="20" w:after="20"/>
              <w:rPr>
                <w:rFonts w:eastAsiaTheme="minorHAnsi" w:cs="Arial"/>
                <w:bCs/>
                <w:iCs/>
                <w:color w:val="AEC12D"/>
                <w:sz w:val="32"/>
                <w:szCs w:val="28"/>
              </w:rPr>
            </w:pPr>
            <w:r>
              <w:t>0.006</w:t>
            </w:r>
          </w:p>
        </w:tc>
        <w:tc>
          <w:tcPr>
            <w:tcW w:w="1105" w:type="dxa"/>
            <w:noWrap/>
            <w:tcMar>
              <w:top w:w="0" w:type="dxa"/>
              <w:left w:w="108" w:type="dxa"/>
              <w:bottom w:w="0" w:type="dxa"/>
              <w:right w:w="108" w:type="dxa"/>
            </w:tcMar>
            <w:vAlign w:val="bottom"/>
            <w:hideMark/>
          </w:tcPr>
          <w:p w14:paraId="74B0CF61"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3E10B1BA" w14:textId="77777777" w:rsidR="00FC4056" w:rsidRDefault="00FC4056" w:rsidP="00331966">
            <w:pPr>
              <w:pStyle w:val="Tabletext"/>
              <w:spacing w:before="20" w:after="20"/>
              <w:rPr>
                <w:rFonts w:eastAsiaTheme="minorHAnsi" w:cs="Arial"/>
                <w:bCs/>
                <w:iCs/>
                <w:color w:val="AEC12D"/>
                <w:sz w:val="32"/>
                <w:szCs w:val="28"/>
              </w:rPr>
            </w:pPr>
            <w:r>
              <w:t>0.006</w:t>
            </w:r>
          </w:p>
        </w:tc>
        <w:tc>
          <w:tcPr>
            <w:tcW w:w="1106" w:type="dxa"/>
            <w:noWrap/>
            <w:tcMar>
              <w:top w:w="0" w:type="dxa"/>
              <w:left w:w="108" w:type="dxa"/>
              <w:bottom w:w="0" w:type="dxa"/>
              <w:right w:w="108" w:type="dxa"/>
            </w:tcMar>
            <w:vAlign w:val="bottom"/>
            <w:hideMark/>
          </w:tcPr>
          <w:p w14:paraId="217EFF38" w14:textId="77777777" w:rsidR="00FC4056" w:rsidRDefault="00FC4056" w:rsidP="00331966">
            <w:pPr>
              <w:pStyle w:val="Tabletext"/>
              <w:spacing w:before="20" w:after="20"/>
              <w:rPr>
                <w:rFonts w:eastAsiaTheme="minorHAnsi" w:cs="Arial"/>
                <w:bCs/>
                <w:iCs/>
                <w:color w:val="AEC12D"/>
                <w:sz w:val="32"/>
                <w:szCs w:val="28"/>
              </w:rPr>
            </w:pPr>
            <w:r>
              <w:t>0.006</w:t>
            </w:r>
          </w:p>
        </w:tc>
      </w:tr>
    </w:tbl>
    <w:p w14:paraId="20CBE6B0" w14:textId="77777777" w:rsidR="00670BE8" w:rsidRDefault="00670BE8">
      <w:pPr>
        <w:rPr>
          <w:rFonts w:eastAsiaTheme="minorHAnsi"/>
          <w:lang w:eastAsia="en-US"/>
        </w:rPr>
      </w:pPr>
    </w:p>
    <w:p w14:paraId="32975030" w14:textId="1F08DEFD" w:rsidR="00FC4056" w:rsidRPr="003F558C" w:rsidRDefault="00FC4056" w:rsidP="00B22A62">
      <w:pPr>
        <w:pStyle w:val="Tableheading"/>
        <w:rPr>
          <w:i/>
          <w:lang w:val="en-US" w:eastAsia="en-US"/>
        </w:rPr>
      </w:pPr>
      <w:r w:rsidRPr="003F558C">
        <w:rPr>
          <w:lang w:val="en-US" w:eastAsia="en-US"/>
        </w:rPr>
        <w:t>Table</w:t>
      </w:r>
      <w:r w:rsidR="00E543D7" w:rsidRPr="003F558C">
        <w:rPr>
          <w:lang w:val="en-US" w:eastAsia="en-US"/>
        </w:rPr>
        <w:t xml:space="preserve"> B</w:t>
      </w:r>
      <w:r w:rsidR="003F558C" w:rsidRPr="003F558C">
        <w:rPr>
          <w:lang w:val="en-US" w:eastAsia="en-US"/>
        </w:rPr>
        <w:t>6:</w:t>
      </w:r>
      <w:r w:rsidR="00331966">
        <w:rPr>
          <w:lang w:val="en-US" w:eastAsia="en-US"/>
        </w:rPr>
        <w:t xml:space="preserve"> </w:t>
      </w:r>
      <w:r w:rsidRPr="003F558C">
        <w:rPr>
          <w:lang w:val="en-US" w:eastAsia="en-US"/>
        </w:rPr>
        <w:t xml:space="preserve"> Drawdown in metres after 30 years with no-flow boundary condition on aquifers, </w:t>
      </w:r>
      <w:r w:rsidR="00B22A62">
        <w:rPr>
          <w:lang w:val="en-US" w:eastAsia="en-US"/>
        </w:rPr>
        <w:br/>
      </w:r>
      <w:r w:rsidRPr="003F558C">
        <w:rPr>
          <w:lang w:val="en-US" w:eastAsia="en-US"/>
        </w:rPr>
        <w:t>tight gas case</w:t>
      </w:r>
      <w:r w:rsidR="00331966">
        <w:rPr>
          <w:lang w:val="en-US" w:eastAsia="en-US"/>
        </w:rPr>
        <w:t>.</w:t>
      </w:r>
    </w:p>
    <w:tbl>
      <w:tblPr>
        <w:tblW w:w="9923" w:type="dxa"/>
        <w:tblInd w:w="108" w:type="dxa"/>
        <w:tblBorders>
          <w:bottom w:val="single" w:sz="4" w:space="0" w:color="005A97"/>
          <w:insideH w:val="single" w:sz="4" w:space="0" w:color="005A97"/>
          <w:insideV w:val="single" w:sz="4" w:space="0" w:color="005A97"/>
        </w:tblBorders>
        <w:tblLayout w:type="fixed"/>
        <w:tblCellMar>
          <w:left w:w="0" w:type="dxa"/>
          <w:right w:w="0" w:type="dxa"/>
        </w:tblCellMar>
        <w:tblLook w:val="04A0" w:firstRow="1" w:lastRow="0" w:firstColumn="1" w:lastColumn="0" w:noHBand="0" w:noVBand="1"/>
      </w:tblPr>
      <w:tblGrid>
        <w:gridCol w:w="960"/>
        <w:gridCol w:w="960"/>
        <w:gridCol w:w="2333"/>
        <w:gridCol w:w="1134"/>
        <w:gridCol w:w="1134"/>
        <w:gridCol w:w="1134"/>
        <w:gridCol w:w="1134"/>
        <w:gridCol w:w="1134"/>
      </w:tblGrid>
      <w:tr w:rsidR="00B22A62" w14:paraId="15566139" w14:textId="77777777" w:rsidTr="00B22A62">
        <w:trPr>
          <w:trHeight w:val="300"/>
        </w:trPr>
        <w:tc>
          <w:tcPr>
            <w:tcW w:w="960" w:type="dxa"/>
            <w:tcBorders>
              <w:top w:val="nil"/>
              <w:bottom w:val="single" w:sz="4" w:space="0" w:color="FFFFFF"/>
              <w:right w:val="single" w:sz="4" w:space="0" w:color="FFFFFF"/>
            </w:tcBorders>
            <w:shd w:val="clear" w:color="auto" w:fill="005A97"/>
            <w:noWrap/>
            <w:tcMar>
              <w:top w:w="0" w:type="dxa"/>
              <w:left w:w="108" w:type="dxa"/>
              <w:bottom w:w="0" w:type="dxa"/>
              <w:right w:w="108" w:type="dxa"/>
            </w:tcMar>
            <w:hideMark/>
          </w:tcPr>
          <w:p w14:paraId="06AEE932" w14:textId="2BA20A48" w:rsidR="00FC4056" w:rsidRPr="00331966" w:rsidRDefault="00331966" w:rsidP="00B22A62">
            <w:pPr>
              <w:pStyle w:val="TableHeaderrow"/>
              <w:rPr>
                <w:rFonts w:eastAsiaTheme="minorHAnsi" w:cstheme="majorBidi"/>
                <w:color w:val="0079CD" w:themeColor="text1" w:themeTint="D8"/>
                <w:sz w:val="21"/>
                <w:szCs w:val="21"/>
              </w:rPr>
            </w:pPr>
            <w:r w:rsidRPr="00331966">
              <w:t>Bloc_ID</w:t>
            </w:r>
          </w:p>
        </w:tc>
        <w:tc>
          <w:tcPr>
            <w:tcW w:w="960" w:type="dxa"/>
            <w:tcBorders>
              <w:top w:val="nil"/>
              <w:left w:val="single" w:sz="4" w:space="0" w:color="FFFFFF"/>
              <w:bottom w:val="single" w:sz="4" w:space="0" w:color="FFFFFF"/>
              <w:right w:val="single" w:sz="4" w:space="0" w:color="FFFFFF"/>
            </w:tcBorders>
            <w:shd w:val="clear" w:color="auto" w:fill="005A97"/>
            <w:noWrap/>
            <w:tcMar>
              <w:top w:w="0" w:type="dxa"/>
              <w:left w:w="108" w:type="dxa"/>
              <w:bottom w:w="0" w:type="dxa"/>
              <w:right w:w="108" w:type="dxa"/>
            </w:tcMar>
            <w:hideMark/>
          </w:tcPr>
          <w:p w14:paraId="7F34E9AB" w14:textId="77777777" w:rsidR="00FC4056" w:rsidRDefault="00FC4056" w:rsidP="00B22A62">
            <w:pPr>
              <w:pStyle w:val="TableHeaderrow"/>
              <w:rPr>
                <w:rFonts w:eastAsiaTheme="minorHAnsi" w:cstheme="majorBidi"/>
                <w:color w:val="0079CD" w:themeColor="text1" w:themeTint="D8"/>
                <w:sz w:val="21"/>
                <w:szCs w:val="21"/>
              </w:rPr>
            </w:pPr>
            <w:r>
              <w:t>Dilwyn (Aq111)</w:t>
            </w:r>
          </w:p>
        </w:tc>
        <w:tc>
          <w:tcPr>
            <w:tcW w:w="2333" w:type="dxa"/>
            <w:tcBorders>
              <w:top w:val="nil"/>
              <w:left w:val="single" w:sz="4" w:space="0" w:color="FFFFFF"/>
              <w:bottom w:val="single" w:sz="4" w:space="0" w:color="FFFFFF"/>
              <w:right w:val="single" w:sz="4" w:space="0" w:color="FFFFFF"/>
            </w:tcBorders>
            <w:shd w:val="clear" w:color="auto" w:fill="005A97"/>
            <w:noWrap/>
            <w:tcMar>
              <w:top w:w="0" w:type="dxa"/>
              <w:left w:w="108" w:type="dxa"/>
              <w:bottom w:w="0" w:type="dxa"/>
              <w:right w:w="108" w:type="dxa"/>
            </w:tcMar>
            <w:hideMark/>
          </w:tcPr>
          <w:p w14:paraId="2BF54267" w14:textId="77777777" w:rsidR="00FC4056" w:rsidRDefault="00FC4056" w:rsidP="00B22A62">
            <w:pPr>
              <w:pStyle w:val="TableHeaderrow"/>
              <w:rPr>
                <w:rFonts w:eastAsiaTheme="minorHAnsi" w:cstheme="majorBidi"/>
                <w:color w:val="0079CD" w:themeColor="text1" w:themeTint="D8"/>
                <w:sz w:val="21"/>
                <w:szCs w:val="21"/>
              </w:rPr>
            </w:pPr>
            <w:r>
              <w:t>Mepunga Form. / Older Volc (Aq111/Aq112)</w:t>
            </w:r>
          </w:p>
        </w:tc>
        <w:tc>
          <w:tcPr>
            <w:tcW w:w="1134" w:type="dxa"/>
            <w:tcBorders>
              <w:top w:val="nil"/>
              <w:left w:val="single" w:sz="4" w:space="0" w:color="FFFFFF"/>
              <w:bottom w:val="single" w:sz="4" w:space="0" w:color="FFFFFF"/>
              <w:right w:val="single" w:sz="4" w:space="0" w:color="FFFFFF"/>
            </w:tcBorders>
            <w:shd w:val="clear" w:color="auto" w:fill="005A97"/>
            <w:noWrap/>
            <w:tcMar>
              <w:top w:w="0" w:type="dxa"/>
              <w:left w:w="108" w:type="dxa"/>
              <w:bottom w:w="0" w:type="dxa"/>
              <w:right w:w="108" w:type="dxa"/>
            </w:tcMar>
            <w:hideMark/>
          </w:tcPr>
          <w:p w14:paraId="7B0137DD" w14:textId="77777777" w:rsidR="00FC4056" w:rsidRDefault="00FC4056" w:rsidP="00B22A62">
            <w:pPr>
              <w:pStyle w:val="TableHeaderrow"/>
              <w:rPr>
                <w:rFonts w:eastAsiaTheme="minorHAnsi" w:cstheme="majorBidi"/>
                <w:color w:val="0079CD" w:themeColor="text1" w:themeTint="D8"/>
                <w:sz w:val="21"/>
                <w:szCs w:val="21"/>
              </w:rPr>
            </w:pPr>
            <w:r>
              <w:t>Clifton From. (Aq 109)</w:t>
            </w:r>
          </w:p>
        </w:tc>
        <w:tc>
          <w:tcPr>
            <w:tcW w:w="1134" w:type="dxa"/>
            <w:tcBorders>
              <w:top w:val="nil"/>
              <w:left w:val="single" w:sz="4" w:space="0" w:color="FFFFFF"/>
              <w:bottom w:val="single" w:sz="4" w:space="0" w:color="FFFFFF"/>
              <w:right w:val="single" w:sz="4" w:space="0" w:color="FFFFFF"/>
            </w:tcBorders>
            <w:shd w:val="clear" w:color="auto" w:fill="005A97"/>
            <w:noWrap/>
            <w:tcMar>
              <w:top w:w="0" w:type="dxa"/>
              <w:left w:w="108" w:type="dxa"/>
              <w:bottom w:w="0" w:type="dxa"/>
              <w:right w:w="108" w:type="dxa"/>
            </w:tcMar>
            <w:hideMark/>
          </w:tcPr>
          <w:p w14:paraId="78C9204E" w14:textId="77777777" w:rsidR="00FC4056" w:rsidRDefault="00FC4056" w:rsidP="00B22A62">
            <w:pPr>
              <w:pStyle w:val="TableHeaderrow"/>
              <w:rPr>
                <w:rFonts w:eastAsiaTheme="minorHAnsi" w:cstheme="majorBidi"/>
                <w:color w:val="0079CD" w:themeColor="text1" w:themeTint="D8"/>
                <w:sz w:val="21"/>
                <w:szCs w:val="21"/>
              </w:rPr>
            </w:pPr>
            <w:r>
              <w:t>Port Campbell (Aq107)</w:t>
            </w:r>
          </w:p>
        </w:tc>
        <w:tc>
          <w:tcPr>
            <w:tcW w:w="1134" w:type="dxa"/>
            <w:tcBorders>
              <w:top w:val="nil"/>
              <w:left w:val="single" w:sz="4" w:space="0" w:color="FFFFFF"/>
              <w:bottom w:val="single" w:sz="4" w:space="0" w:color="FFFFFF"/>
              <w:right w:val="single" w:sz="4" w:space="0" w:color="FFFFFF"/>
            </w:tcBorders>
            <w:shd w:val="clear" w:color="auto" w:fill="005A97"/>
            <w:noWrap/>
            <w:tcMar>
              <w:top w:w="0" w:type="dxa"/>
              <w:left w:w="108" w:type="dxa"/>
              <w:bottom w:w="0" w:type="dxa"/>
              <w:right w:w="108" w:type="dxa"/>
            </w:tcMar>
            <w:hideMark/>
          </w:tcPr>
          <w:p w14:paraId="56E93650" w14:textId="77777777" w:rsidR="00FC4056" w:rsidRDefault="00FC4056" w:rsidP="00B22A62">
            <w:pPr>
              <w:pStyle w:val="TableHeaderrow"/>
              <w:rPr>
                <w:rFonts w:eastAsiaTheme="minorHAnsi" w:cstheme="majorBidi"/>
                <w:color w:val="0079CD" w:themeColor="text1" w:themeTint="D8"/>
                <w:sz w:val="21"/>
                <w:szCs w:val="21"/>
              </w:rPr>
            </w:pPr>
            <w:r>
              <w:t>Aq100</w:t>
            </w:r>
          </w:p>
        </w:tc>
        <w:tc>
          <w:tcPr>
            <w:tcW w:w="1134" w:type="dxa"/>
            <w:tcBorders>
              <w:top w:val="nil"/>
              <w:left w:val="single" w:sz="4" w:space="0" w:color="FFFFFF"/>
              <w:bottom w:val="single" w:sz="4" w:space="0" w:color="FFFFFF"/>
              <w:right w:val="single" w:sz="4" w:space="0" w:color="FFFFFF"/>
            </w:tcBorders>
            <w:shd w:val="clear" w:color="auto" w:fill="005A97"/>
            <w:noWrap/>
            <w:tcMar>
              <w:top w:w="0" w:type="dxa"/>
              <w:left w:w="108" w:type="dxa"/>
              <w:bottom w:w="0" w:type="dxa"/>
              <w:right w:w="108" w:type="dxa"/>
            </w:tcMar>
            <w:hideMark/>
          </w:tcPr>
          <w:p w14:paraId="4BD57D25" w14:textId="77777777" w:rsidR="00FC4056" w:rsidRDefault="00FC4056" w:rsidP="00B22A62">
            <w:pPr>
              <w:pStyle w:val="TableHeaderrow"/>
              <w:rPr>
                <w:rFonts w:eastAsiaTheme="minorHAnsi" w:cstheme="majorBidi"/>
                <w:color w:val="0079CD" w:themeColor="text1" w:themeTint="D8"/>
                <w:sz w:val="21"/>
                <w:szCs w:val="21"/>
              </w:rPr>
            </w:pPr>
            <w:r>
              <w:t>Aq101</w:t>
            </w:r>
          </w:p>
        </w:tc>
        <w:tc>
          <w:tcPr>
            <w:tcW w:w="1134" w:type="dxa"/>
            <w:tcBorders>
              <w:top w:val="nil"/>
              <w:left w:val="single" w:sz="4" w:space="0" w:color="FFFFFF"/>
              <w:bottom w:val="single" w:sz="4" w:space="0" w:color="FFFFFF"/>
            </w:tcBorders>
            <w:shd w:val="clear" w:color="auto" w:fill="005A97"/>
            <w:noWrap/>
            <w:tcMar>
              <w:top w:w="0" w:type="dxa"/>
              <w:left w:w="108" w:type="dxa"/>
              <w:bottom w:w="0" w:type="dxa"/>
              <w:right w:w="108" w:type="dxa"/>
            </w:tcMar>
            <w:hideMark/>
          </w:tcPr>
          <w:p w14:paraId="582EC55D" w14:textId="77777777" w:rsidR="00FC4056" w:rsidRDefault="00FC4056" w:rsidP="00B22A62">
            <w:pPr>
              <w:pStyle w:val="TableHeaderrow"/>
              <w:rPr>
                <w:rFonts w:eastAsiaTheme="minorHAnsi" w:cstheme="majorBidi"/>
                <w:color w:val="0079CD" w:themeColor="text1" w:themeTint="D8"/>
                <w:sz w:val="21"/>
                <w:szCs w:val="21"/>
              </w:rPr>
            </w:pPr>
            <w:r>
              <w:t>Aq104</w:t>
            </w:r>
          </w:p>
        </w:tc>
      </w:tr>
      <w:tr w:rsidR="00FC4056" w14:paraId="2F85DEB7" w14:textId="77777777" w:rsidTr="00B22A62">
        <w:tc>
          <w:tcPr>
            <w:tcW w:w="960" w:type="dxa"/>
            <w:tcBorders>
              <w:top w:val="single" w:sz="4" w:space="0" w:color="FFFFFF"/>
            </w:tcBorders>
            <w:noWrap/>
            <w:tcMar>
              <w:top w:w="0" w:type="dxa"/>
              <w:left w:w="108" w:type="dxa"/>
              <w:bottom w:w="0" w:type="dxa"/>
              <w:right w:w="108" w:type="dxa"/>
            </w:tcMar>
            <w:vAlign w:val="bottom"/>
            <w:hideMark/>
          </w:tcPr>
          <w:p w14:paraId="2DDC726B" w14:textId="77777777" w:rsidR="00FC4056" w:rsidRDefault="00FC4056" w:rsidP="00331966">
            <w:pPr>
              <w:pStyle w:val="Tabletext"/>
              <w:spacing w:before="20" w:after="20"/>
              <w:rPr>
                <w:rFonts w:eastAsiaTheme="minorHAnsi"/>
              </w:rPr>
            </w:pPr>
            <w:r>
              <w:t>123</w:t>
            </w:r>
          </w:p>
        </w:tc>
        <w:tc>
          <w:tcPr>
            <w:tcW w:w="960" w:type="dxa"/>
            <w:tcBorders>
              <w:top w:val="single" w:sz="4" w:space="0" w:color="FFFFFF"/>
            </w:tcBorders>
            <w:noWrap/>
            <w:tcMar>
              <w:top w:w="0" w:type="dxa"/>
              <w:left w:w="108" w:type="dxa"/>
              <w:bottom w:w="0" w:type="dxa"/>
              <w:right w:w="108" w:type="dxa"/>
            </w:tcMar>
            <w:vAlign w:val="bottom"/>
            <w:hideMark/>
          </w:tcPr>
          <w:p w14:paraId="7D1E3AE0" w14:textId="77777777" w:rsidR="00FC4056" w:rsidRDefault="00FC4056" w:rsidP="00331966">
            <w:pPr>
              <w:pStyle w:val="Tabletext"/>
              <w:spacing w:before="20" w:after="20"/>
              <w:rPr>
                <w:rFonts w:eastAsiaTheme="minorHAnsi" w:cs="Arial"/>
                <w:bCs/>
                <w:iCs/>
                <w:color w:val="AEC12D"/>
                <w:sz w:val="32"/>
                <w:szCs w:val="28"/>
              </w:rPr>
            </w:pPr>
            <w:r>
              <w:t>0.009</w:t>
            </w:r>
          </w:p>
        </w:tc>
        <w:tc>
          <w:tcPr>
            <w:tcW w:w="2333" w:type="dxa"/>
            <w:tcBorders>
              <w:top w:val="single" w:sz="4" w:space="0" w:color="FFFFFF"/>
            </w:tcBorders>
            <w:noWrap/>
            <w:tcMar>
              <w:top w:w="0" w:type="dxa"/>
              <w:left w:w="108" w:type="dxa"/>
              <w:bottom w:w="0" w:type="dxa"/>
              <w:right w:w="108" w:type="dxa"/>
            </w:tcMar>
            <w:vAlign w:val="bottom"/>
            <w:hideMark/>
          </w:tcPr>
          <w:p w14:paraId="0BC59292" w14:textId="77777777" w:rsidR="00FC4056" w:rsidRDefault="00FC4056" w:rsidP="00331966">
            <w:pPr>
              <w:pStyle w:val="Tabletext"/>
              <w:spacing w:before="20" w:after="20"/>
              <w:rPr>
                <w:rFonts w:eastAsiaTheme="minorHAnsi" w:cs="Arial"/>
                <w:bCs/>
                <w:iCs/>
                <w:color w:val="AEC12D"/>
                <w:sz w:val="32"/>
                <w:szCs w:val="28"/>
              </w:rPr>
            </w:pPr>
            <w:r>
              <w:t>0.009</w:t>
            </w:r>
          </w:p>
        </w:tc>
        <w:tc>
          <w:tcPr>
            <w:tcW w:w="1134" w:type="dxa"/>
            <w:tcBorders>
              <w:top w:val="single" w:sz="4" w:space="0" w:color="FFFFFF"/>
            </w:tcBorders>
            <w:noWrap/>
            <w:tcMar>
              <w:top w:w="0" w:type="dxa"/>
              <w:left w:w="108" w:type="dxa"/>
              <w:bottom w:w="0" w:type="dxa"/>
              <w:right w:w="108" w:type="dxa"/>
            </w:tcMar>
            <w:vAlign w:val="bottom"/>
            <w:hideMark/>
          </w:tcPr>
          <w:p w14:paraId="3594B3CC" w14:textId="77777777" w:rsidR="00FC4056" w:rsidRDefault="00FC4056" w:rsidP="00331966">
            <w:pPr>
              <w:pStyle w:val="Tabletext"/>
              <w:spacing w:before="20" w:after="20"/>
              <w:rPr>
                <w:rFonts w:eastAsiaTheme="minorHAnsi" w:cs="Arial"/>
                <w:bCs/>
                <w:iCs/>
                <w:color w:val="AEC12D"/>
                <w:sz w:val="32"/>
                <w:szCs w:val="28"/>
              </w:rPr>
            </w:pPr>
            <w:r>
              <w:t>0.006</w:t>
            </w:r>
          </w:p>
        </w:tc>
        <w:tc>
          <w:tcPr>
            <w:tcW w:w="1134" w:type="dxa"/>
            <w:tcBorders>
              <w:top w:val="single" w:sz="4" w:space="0" w:color="FFFFFF"/>
            </w:tcBorders>
            <w:noWrap/>
            <w:tcMar>
              <w:top w:w="0" w:type="dxa"/>
              <w:left w:w="108" w:type="dxa"/>
              <w:bottom w:w="0" w:type="dxa"/>
              <w:right w:w="108" w:type="dxa"/>
            </w:tcMar>
            <w:vAlign w:val="bottom"/>
            <w:hideMark/>
          </w:tcPr>
          <w:p w14:paraId="24C25AE6" w14:textId="77777777" w:rsidR="00FC4056" w:rsidRDefault="00FC4056" w:rsidP="00331966">
            <w:pPr>
              <w:pStyle w:val="Tabletext"/>
              <w:spacing w:before="20" w:after="20"/>
              <w:rPr>
                <w:rFonts w:eastAsiaTheme="minorHAnsi" w:cs="Arial"/>
                <w:bCs/>
                <w:iCs/>
                <w:color w:val="AEC12D"/>
                <w:sz w:val="32"/>
                <w:szCs w:val="28"/>
              </w:rPr>
            </w:pPr>
            <w:r>
              <w:t>0.004</w:t>
            </w:r>
          </w:p>
        </w:tc>
        <w:tc>
          <w:tcPr>
            <w:tcW w:w="1134" w:type="dxa"/>
            <w:tcBorders>
              <w:top w:val="single" w:sz="4" w:space="0" w:color="FFFFFF"/>
            </w:tcBorders>
            <w:noWrap/>
            <w:tcMar>
              <w:top w:w="0" w:type="dxa"/>
              <w:left w:w="108" w:type="dxa"/>
              <w:bottom w:w="0" w:type="dxa"/>
              <w:right w:w="108" w:type="dxa"/>
            </w:tcMar>
            <w:vAlign w:val="bottom"/>
            <w:hideMark/>
          </w:tcPr>
          <w:p w14:paraId="4F25EF76" w14:textId="77777777" w:rsidR="00FC4056" w:rsidRDefault="00FC4056" w:rsidP="00331966">
            <w:pPr>
              <w:pStyle w:val="Tabletext"/>
              <w:spacing w:before="20" w:after="20"/>
              <w:rPr>
                <w:rFonts w:eastAsiaTheme="minorHAnsi" w:cs="Arial"/>
                <w:bCs/>
                <w:iCs/>
                <w:color w:val="AEC12D"/>
                <w:sz w:val="32"/>
                <w:szCs w:val="28"/>
              </w:rPr>
            </w:pPr>
            <w:r>
              <w:t>0.004</w:t>
            </w:r>
          </w:p>
        </w:tc>
        <w:tc>
          <w:tcPr>
            <w:tcW w:w="1134" w:type="dxa"/>
            <w:tcBorders>
              <w:top w:val="single" w:sz="4" w:space="0" w:color="FFFFFF"/>
            </w:tcBorders>
            <w:noWrap/>
            <w:tcMar>
              <w:top w:w="0" w:type="dxa"/>
              <w:left w:w="108" w:type="dxa"/>
              <w:bottom w:w="0" w:type="dxa"/>
              <w:right w:w="108" w:type="dxa"/>
            </w:tcMar>
            <w:vAlign w:val="bottom"/>
            <w:hideMark/>
          </w:tcPr>
          <w:p w14:paraId="7D606DC3" w14:textId="77777777" w:rsidR="00FC4056" w:rsidRDefault="00FC4056" w:rsidP="00331966">
            <w:pPr>
              <w:pStyle w:val="Tabletext"/>
              <w:spacing w:before="20" w:after="20"/>
              <w:rPr>
                <w:rFonts w:eastAsiaTheme="minorHAnsi" w:cs="Arial"/>
                <w:bCs/>
                <w:iCs/>
                <w:color w:val="AEC12D"/>
                <w:sz w:val="32"/>
                <w:szCs w:val="28"/>
              </w:rPr>
            </w:pPr>
            <w:r>
              <w:t>0.004</w:t>
            </w:r>
          </w:p>
        </w:tc>
        <w:tc>
          <w:tcPr>
            <w:tcW w:w="1134" w:type="dxa"/>
            <w:tcBorders>
              <w:top w:val="single" w:sz="4" w:space="0" w:color="FFFFFF"/>
            </w:tcBorders>
            <w:noWrap/>
            <w:tcMar>
              <w:top w:w="0" w:type="dxa"/>
              <w:left w:w="108" w:type="dxa"/>
              <w:bottom w:w="0" w:type="dxa"/>
              <w:right w:w="108" w:type="dxa"/>
            </w:tcMar>
            <w:vAlign w:val="bottom"/>
            <w:hideMark/>
          </w:tcPr>
          <w:p w14:paraId="775FC141" w14:textId="77777777" w:rsidR="00FC4056" w:rsidRDefault="00FC4056" w:rsidP="00331966">
            <w:pPr>
              <w:pStyle w:val="Tabletext"/>
              <w:spacing w:before="20" w:after="20"/>
              <w:rPr>
                <w:rFonts w:eastAsiaTheme="minorHAnsi" w:cs="Arial"/>
                <w:bCs/>
                <w:iCs/>
                <w:color w:val="AEC12D"/>
                <w:sz w:val="32"/>
                <w:szCs w:val="28"/>
              </w:rPr>
            </w:pPr>
            <w:r>
              <w:t>0.004</w:t>
            </w:r>
          </w:p>
        </w:tc>
      </w:tr>
      <w:tr w:rsidR="00FC4056" w14:paraId="4D700373" w14:textId="77777777" w:rsidTr="00B22A62">
        <w:tc>
          <w:tcPr>
            <w:tcW w:w="960" w:type="dxa"/>
            <w:noWrap/>
            <w:tcMar>
              <w:top w:w="0" w:type="dxa"/>
              <w:left w:w="108" w:type="dxa"/>
              <w:bottom w:w="0" w:type="dxa"/>
              <w:right w:w="108" w:type="dxa"/>
            </w:tcMar>
            <w:vAlign w:val="bottom"/>
            <w:hideMark/>
          </w:tcPr>
          <w:p w14:paraId="3DBDCEF3" w14:textId="77777777" w:rsidR="00FC4056" w:rsidRDefault="00FC4056" w:rsidP="00331966">
            <w:pPr>
              <w:pStyle w:val="Tabletext"/>
              <w:spacing w:before="20" w:after="20"/>
              <w:rPr>
                <w:rFonts w:eastAsiaTheme="minorHAnsi" w:cs="Arial"/>
                <w:bCs/>
                <w:iCs/>
                <w:color w:val="AEC12D"/>
                <w:sz w:val="32"/>
                <w:szCs w:val="28"/>
              </w:rPr>
            </w:pPr>
            <w:r>
              <w:t>124</w:t>
            </w:r>
          </w:p>
        </w:tc>
        <w:tc>
          <w:tcPr>
            <w:tcW w:w="960" w:type="dxa"/>
            <w:noWrap/>
            <w:tcMar>
              <w:top w:w="0" w:type="dxa"/>
              <w:left w:w="108" w:type="dxa"/>
              <w:bottom w:w="0" w:type="dxa"/>
              <w:right w:w="108" w:type="dxa"/>
            </w:tcMar>
            <w:vAlign w:val="bottom"/>
            <w:hideMark/>
          </w:tcPr>
          <w:p w14:paraId="35B90A28" w14:textId="77777777" w:rsidR="00FC4056" w:rsidRDefault="00FC4056" w:rsidP="00331966">
            <w:pPr>
              <w:pStyle w:val="Tabletext"/>
              <w:spacing w:before="20" w:after="20"/>
              <w:rPr>
                <w:rFonts w:eastAsiaTheme="minorHAnsi" w:cs="Arial"/>
                <w:bCs/>
                <w:iCs/>
                <w:color w:val="AEC12D"/>
                <w:sz w:val="32"/>
                <w:szCs w:val="28"/>
              </w:rPr>
            </w:pPr>
            <w:r>
              <w:t>0.04</w:t>
            </w:r>
          </w:p>
        </w:tc>
        <w:tc>
          <w:tcPr>
            <w:tcW w:w="2333" w:type="dxa"/>
            <w:noWrap/>
            <w:tcMar>
              <w:top w:w="0" w:type="dxa"/>
              <w:left w:w="108" w:type="dxa"/>
              <w:bottom w:w="0" w:type="dxa"/>
              <w:right w:w="108" w:type="dxa"/>
            </w:tcMar>
            <w:vAlign w:val="bottom"/>
            <w:hideMark/>
          </w:tcPr>
          <w:p w14:paraId="16C77E1F" w14:textId="77777777" w:rsidR="00FC4056" w:rsidRDefault="00FC4056" w:rsidP="00331966">
            <w:pPr>
              <w:pStyle w:val="Tabletext"/>
              <w:spacing w:before="20" w:after="20"/>
              <w:rPr>
                <w:rFonts w:eastAsiaTheme="minorHAnsi" w:cs="Arial"/>
                <w:bCs/>
                <w:iCs/>
                <w:color w:val="AEC12D"/>
                <w:sz w:val="32"/>
                <w:szCs w:val="28"/>
              </w:rPr>
            </w:pPr>
            <w:r>
              <w:t>0.04</w:t>
            </w:r>
          </w:p>
        </w:tc>
        <w:tc>
          <w:tcPr>
            <w:tcW w:w="1134" w:type="dxa"/>
            <w:noWrap/>
            <w:tcMar>
              <w:top w:w="0" w:type="dxa"/>
              <w:left w:w="108" w:type="dxa"/>
              <w:bottom w:w="0" w:type="dxa"/>
              <w:right w:w="108" w:type="dxa"/>
            </w:tcMar>
            <w:vAlign w:val="bottom"/>
            <w:hideMark/>
          </w:tcPr>
          <w:p w14:paraId="7E3E19B7" w14:textId="77777777" w:rsidR="00FC4056" w:rsidRDefault="00FC4056" w:rsidP="00331966">
            <w:pPr>
              <w:pStyle w:val="Tabletext"/>
              <w:spacing w:before="20" w:after="20"/>
              <w:rPr>
                <w:rFonts w:eastAsiaTheme="minorHAnsi" w:cs="Arial"/>
                <w:bCs/>
                <w:iCs/>
                <w:color w:val="AEC12D"/>
                <w:sz w:val="32"/>
                <w:szCs w:val="28"/>
              </w:rPr>
            </w:pPr>
            <w:r>
              <w:t>0.03</w:t>
            </w:r>
          </w:p>
        </w:tc>
        <w:tc>
          <w:tcPr>
            <w:tcW w:w="1134" w:type="dxa"/>
            <w:noWrap/>
            <w:tcMar>
              <w:top w:w="0" w:type="dxa"/>
              <w:left w:w="108" w:type="dxa"/>
              <w:bottom w:w="0" w:type="dxa"/>
              <w:right w:w="108" w:type="dxa"/>
            </w:tcMar>
            <w:vAlign w:val="bottom"/>
            <w:hideMark/>
          </w:tcPr>
          <w:p w14:paraId="2F6D7300" w14:textId="77777777" w:rsidR="00FC4056" w:rsidRDefault="00FC4056" w:rsidP="00331966">
            <w:pPr>
              <w:pStyle w:val="Tabletext"/>
              <w:spacing w:before="20" w:after="20"/>
              <w:rPr>
                <w:rFonts w:eastAsiaTheme="minorHAnsi" w:cs="Arial"/>
                <w:bCs/>
                <w:iCs/>
                <w:color w:val="AEC12D"/>
                <w:sz w:val="32"/>
                <w:szCs w:val="28"/>
              </w:rPr>
            </w:pPr>
            <w:r>
              <w:t>0.02</w:t>
            </w:r>
          </w:p>
        </w:tc>
        <w:tc>
          <w:tcPr>
            <w:tcW w:w="1134" w:type="dxa"/>
            <w:noWrap/>
            <w:tcMar>
              <w:top w:w="0" w:type="dxa"/>
              <w:left w:w="108" w:type="dxa"/>
              <w:bottom w:w="0" w:type="dxa"/>
              <w:right w:w="108" w:type="dxa"/>
            </w:tcMar>
            <w:vAlign w:val="bottom"/>
            <w:hideMark/>
          </w:tcPr>
          <w:p w14:paraId="14E181AC" w14:textId="77777777" w:rsidR="00FC4056" w:rsidRDefault="00FC4056" w:rsidP="00331966">
            <w:pPr>
              <w:pStyle w:val="Tabletext"/>
              <w:spacing w:before="20" w:after="20"/>
              <w:rPr>
                <w:rFonts w:eastAsiaTheme="minorHAnsi" w:cs="Arial"/>
                <w:bCs/>
                <w:iCs/>
                <w:color w:val="AEC12D"/>
                <w:sz w:val="32"/>
                <w:szCs w:val="28"/>
              </w:rPr>
            </w:pPr>
            <w:r>
              <w:t>0.02</w:t>
            </w:r>
          </w:p>
        </w:tc>
        <w:tc>
          <w:tcPr>
            <w:tcW w:w="1134" w:type="dxa"/>
            <w:noWrap/>
            <w:tcMar>
              <w:top w:w="0" w:type="dxa"/>
              <w:left w:w="108" w:type="dxa"/>
              <w:bottom w:w="0" w:type="dxa"/>
              <w:right w:w="108" w:type="dxa"/>
            </w:tcMar>
            <w:vAlign w:val="bottom"/>
            <w:hideMark/>
          </w:tcPr>
          <w:p w14:paraId="2A385F94" w14:textId="77777777" w:rsidR="00FC4056" w:rsidRDefault="00FC4056" w:rsidP="00331966">
            <w:pPr>
              <w:pStyle w:val="Tabletext"/>
              <w:spacing w:before="20" w:after="20"/>
              <w:rPr>
                <w:rFonts w:eastAsiaTheme="minorHAnsi" w:cs="Arial"/>
                <w:bCs/>
                <w:iCs/>
                <w:color w:val="AEC12D"/>
                <w:sz w:val="32"/>
                <w:szCs w:val="28"/>
              </w:rPr>
            </w:pPr>
            <w:r>
              <w:t>0.02</w:t>
            </w:r>
          </w:p>
        </w:tc>
        <w:tc>
          <w:tcPr>
            <w:tcW w:w="1134" w:type="dxa"/>
            <w:noWrap/>
            <w:tcMar>
              <w:top w:w="0" w:type="dxa"/>
              <w:left w:w="108" w:type="dxa"/>
              <w:bottom w:w="0" w:type="dxa"/>
              <w:right w:w="108" w:type="dxa"/>
            </w:tcMar>
            <w:vAlign w:val="bottom"/>
            <w:hideMark/>
          </w:tcPr>
          <w:p w14:paraId="4FB77E2A" w14:textId="77777777" w:rsidR="00FC4056" w:rsidRDefault="00FC4056" w:rsidP="00331966">
            <w:pPr>
              <w:pStyle w:val="Tabletext"/>
              <w:spacing w:before="20" w:after="20"/>
              <w:rPr>
                <w:rFonts w:eastAsiaTheme="minorHAnsi" w:cs="Arial"/>
                <w:bCs/>
                <w:iCs/>
                <w:color w:val="AEC12D"/>
                <w:sz w:val="32"/>
                <w:szCs w:val="28"/>
              </w:rPr>
            </w:pPr>
            <w:r>
              <w:t>0.02</w:t>
            </w:r>
          </w:p>
        </w:tc>
      </w:tr>
      <w:tr w:rsidR="00FC4056" w14:paraId="753B6E42" w14:textId="77777777" w:rsidTr="00B22A62">
        <w:tc>
          <w:tcPr>
            <w:tcW w:w="960" w:type="dxa"/>
            <w:noWrap/>
            <w:tcMar>
              <w:top w:w="0" w:type="dxa"/>
              <w:left w:w="108" w:type="dxa"/>
              <w:bottom w:w="0" w:type="dxa"/>
              <w:right w:w="108" w:type="dxa"/>
            </w:tcMar>
            <w:vAlign w:val="bottom"/>
            <w:hideMark/>
          </w:tcPr>
          <w:p w14:paraId="5D4125B9" w14:textId="77777777" w:rsidR="00FC4056" w:rsidRDefault="00FC4056" w:rsidP="00331966">
            <w:pPr>
              <w:pStyle w:val="Tabletext"/>
              <w:spacing w:before="20" w:after="20"/>
              <w:rPr>
                <w:rFonts w:eastAsiaTheme="minorHAnsi" w:cs="Arial"/>
                <w:bCs/>
                <w:iCs/>
                <w:color w:val="AEC12D"/>
                <w:sz w:val="32"/>
                <w:szCs w:val="28"/>
              </w:rPr>
            </w:pPr>
            <w:r>
              <w:t>154</w:t>
            </w:r>
          </w:p>
        </w:tc>
        <w:tc>
          <w:tcPr>
            <w:tcW w:w="960" w:type="dxa"/>
            <w:noWrap/>
            <w:tcMar>
              <w:top w:w="0" w:type="dxa"/>
              <w:left w:w="108" w:type="dxa"/>
              <w:bottom w:w="0" w:type="dxa"/>
              <w:right w:w="108" w:type="dxa"/>
            </w:tcMar>
            <w:vAlign w:val="bottom"/>
            <w:hideMark/>
          </w:tcPr>
          <w:p w14:paraId="275106F8" w14:textId="77777777" w:rsidR="00FC4056" w:rsidRDefault="00FC4056" w:rsidP="00331966">
            <w:pPr>
              <w:pStyle w:val="Tabletext"/>
              <w:spacing w:before="20" w:after="20"/>
              <w:rPr>
                <w:rFonts w:eastAsiaTheme="minorHAnsi" w:cs="Arial"/>
                <w:bCs/>
                <w:iCs/>
                <w:color w:val="AEC12D"/>
                <w:sz w:val="32"/>
                <w:szCs w:val="28"/>
              </w:rPr>
            </w:pPr>
            <w:r>
              <w:t>1.2</w:t>
            </w:r>
          </w:p>
        </w:tc>
        <w:tc>
          <w:tcPr>
            <w:tcW w:w="2333" w:type="dxa"/>
            <w:noWrap/>
            <w:tcMar>
              <w:top w:w="0" w:type="dxa"/>
              <w:left w:w="108" w:type="dxa"/>
              <w:bottom w:w="0" w:type="dxa"/>
              <w:right w:w="108" w:type="dxa"/>
            </w:tcMar>
            <w:vAlign w:val="bottom"/>
            <w:hideMark/>
          </w:tcPr>
          <w:p w14:paraId="6A852CFC" w14:textId="77777777" w:rsidR="00FC4056" w:rsidRDefault="00FC4056" w:rsidP="00331966">
            <w:pPr>
              <w:pStyle w:val="Tabletext"/>
              <w:spacing w:before="20" w:after="20"/>
              <w:rPr>
                <w:rFonts w:eastAsiaTheme="minorHAnsi" w:cs="Arial"/>
                <w:bCs/>
                <w:iCs/>
                <w:color w:val="AEC12D"/>
                <w:sz w:val="32"/>
                <w:szCs w:val="28"/>
              </w:rPr>
            </w:pPr>
            <w:r>
              <w:t>1.2</w:t>
            </w:r>
          </w:p>
        </w:tc>
        <w:tc>
          <w:tcPr>
            <w:tcW w:w="1134" w:type="dxa"/>
            <w:noWrap/>
            <w:tcMar>
              <w:top w:w="0" w:type="dxa"/>
              <w:left w:w="108" w:type="dxa"/>
              <w:bottom w:w="0" w:type="dxa"/>
              <w:right w:w="108" w:type="dxa"/>
            </w:tcMar>
            <w:vAlign w:val="bottom"/>
            <w:hideMark/>
          </w:tcPr>
          <w:p w14:paraId="121BB809" w14:textId="77777777" w:rsidR="00FC4056" w:rsidRDefault="00FC4056" w:rsidP="00331966">
            <w:pPr>
              <w:pStyle w:val="Tabletext"/>
              <w:spacing w:before="20" w:after="20"/>
              <w:rPr>
                <w:rFonts w:eastAsiaTheme="minorHAnsi" w:cs="Arial"/>
                <w:bCs/>
                <w:iCs/>
                <w:color w:val="AEC12D"/>
                <w:sz w:val="32"/>
                <w:szCs w:val="28"/>
              </w:rPr>
            </w:pPr>
            <w:r>
              <w:t>1</w:t>
            </w:r>
          </w:p>
        </w:tc>
        <w:tc>
          <w:tcPr>
            <w:tcW w:w="1134" w:type="dxa"/>
            <w:noWrap/>
            <w:tcMar>
              <w:top w:w="0" w:type="dxa"/>
              <w:left w:w="108" w:type="dxa"/>
              <w:bottom w:w="0" w:type="dxa"/>
              <w:right w:w="108" w:type="dxa"/>
            </w:tcMar>
            <w:vAlign w:val="bottom"/>
            <w:hideMark/>
          </w:tcPr>
          <w:p w14:paraId="4C6FE7BE" w14:textId="77777777" w:rsidR="00FC4056" w:rsidRDefault="00FC4056" w:rsidP="00331966">
            <w:pPr>
              <w:pStyle w:val="Tabletext"/>
              <w:spacing w:before="20" w:after="20"/>
              <w:rPr>
                <w:rFonts w:eastAsiaTheme="minorHAnsi" w:cs="Arial"/>
                <w:bCs/>
                <w:iCs/>
                <w:color w:val="AEC12D"/>
                <w:sz w:val="32"/>
                <w:szCs w:val="28"/>
              </w:rPr>
            </w:pPr>
            <w:r>
              <w:t>0.39</w:t>
            </w:r>
          </w:p>
        </w:tc>
        <w:tc>
          <w:tcPr>
            <w:tcW w:w="1134" w:type="dxa"/>
            <w:noWrap/>
            <w:tcMar>
              <w:top w:w="0" w:type="dxa"/>
              <w:left w:w="108" w:type="dxa"/>
              <w:bottom w:w="0" w:type="dxa"/>
              <w:right w:w="108" w:type="dxa"/>
            </w:tcMar>
            <w:vAlign w:val="bottom"/>
            <w:hideMark/>
          </w:tcPr>
          <w:p w14:paraId="7C1A3FE2" w14:textId="77777777" w:rsidR="00FC4056" w:rsidRDefault="00FC4056" w:rsidP="00331966">
            <w:pPr>
              <w:pStyle w:val="Tabletext"/>
              <w:spacing w:before="20" w:after="20"/>
              <w:rPr>
                <w:rFonts w:eastAsiaTheme="minorHAnsi" w:cs="Arial"/>
                <w:bCs/>
                <w:iCs/>
                <w:color w:val="AEC12D"/>
                <w:sz w:val="32"/>
                <w:szCs w:val="28"/>
              </w:rPr>
            </w:pPr>
            <w:r>
              <w:t>0.39</w:t>
            </w:r>
          </w:p>
        </w:tc>
        <w:tc>
          <w:tcPr>
            <w:tcW w:w="1134" w:type="dxa"/>
            <w:noWrap/>
            <w:tcMar>
              <w:top w:w="0" w:type="dxa"/>
              <w:left w:w="108" w:type="dxa"/>
              <w:bottom w:w="0" w:type="dxa"/>
              <w:right w:w="108" w:type="dxa"/>
            </w:tcMar>
            <w:vAlign w:val="bottom"/>
            <w:hideMark/>
          </w:tcPr>
          <w:p w14:paraId="1611B578" w14:textId="77777777" w:rsidR="00FC4056" w:rsidRDefault="00FC4056" w:rsidP="00331966">
            <w:pPr>
              <w:pStyle w:val="Tabletext"/>
              <w:spacing w:before="20" w:after="20"/>
              <w:rPr>
                <w:rFonts w:eastAsiaTheme="minorHAnsi" w:cs="Arial"/>
                <w:bCs/>
                <w:iCs/>
                <w:color w:val="AEC12D"/>
                <w:sz w:val="32"/>
                <w:szCs w:val="28"/>
              </w:rPr>
            </w:pPr>
            <w:r>
              <w:t>0.39</w:t>
            </w:r>
          </w:p>
        </w:tc>
        <w:tc>
          <w:tcPr>
            <w:tcW w:w="1134" w:type="dxa"/>
            <w:noWrap/>
            <w:tcMar>
              <w:top w:w="0" w:type="dxa"/>
              <w:left w:w="108" w:type="dxa"/>
              <w:bottom w:w="0" w:type="dxa"/>
              <w:right w:w="108" w:type="dxa"/>
            </w:tcMar>
            <w:vAlign w:val="bottom"/>
            <w:hideMark/>
          </w:tcPr>
          <w:p w14:paraId="406B7384" w14:textId="77777777" w:rsidR="00FC4056" w:rsidRDefault="00FC4056" w:rsidP="00331966">
            <w:pPr>
              <w:pStyle w:val="Tabletext"/>
              <w:spacing w:before="20" w:after="20"/>
              <w:rPr>
                <w:rFonts w:eastAsiaTheme="minorHAnsi" w:cs="Arial"/>
                <w:bCs/>
                <w:iCs/>
                <w:color w:val="AEC12D"/>
                <w:sz w:val="32"/>
                <w:szCs w:val="28"/>
              </w:rPr>
            </w:pPr>
            <w:r>
              <w:t>0.39</w:t>
            </w:r>
          </w:p>
        </w:tc>
      </w:tr>
      <w:tr w:rsidR="00FC4056" w14:paraId="71556D50" w14:textId="77777777" w:rsidTr="00B22A62">
        <w:tc>
          <w:tcPr>
            <w:tcW w:w="960" w:type="dxa"/>
            <w:noWrap/>
            <w:tcMar>
              <w:top w:w="0" w:type="dxa"/>
              <w:left w:w="108" w:type="dxa"/>
              <w:bottom w:w="0" w:type="dxa"/>
              <w:right w:w="108" w:type="dxa"/>
            </w:tcMar>
            <w:vAlign w:val="bottom"/>
            <w:hideMark/>
          </w:tcPr>
          <w:p w14:paraId="0401DBFB" w14:textId="77777777" w:rsidR="00FC4056" w:rsidRDefault="00FC4056" w:rsidP="00331966">
            <w:pPr>
              <w:pStyle w:val="Tabletext"/>
              <w:spacing w:before="20" w:after="20"/>
              <w:rPr>
                <w:rFonts w:eastAsiaTheme="minorHAnsi" w:cs="Arial"/>
                <w:bCs/>
                <w:iCs/>
                <w:color w:val="AEC12D"/>
                <w:sz w:val="32"/>
                <w:szCs w:val="28"/>
              </w:rPr>
            </w:pPr>
            <w:r>
              <w:t>155</w:t>
            </w:r>
          </w:p>
        </w:tc>
        <w:tc>
          <w:tcPr>
            <w:tcW w:w="960" w:type="dxa"/>
            <w:noWrap/>
            <w:tcMar>
              <w:top w:w="0" w:type="dxa"/>
              <w:left w:w="108" w:type="dxa"/>
              <w:bottom w:w="0" w:type="dxa"/>
              <w:right w:w="108" w:type="dxa"/>
            </w:tcMar>
            <w:vAlign w:val="bottom"/>
            <w:hideMark/>
          </w:tcPr>
          <w:p w14:paraId="5660E55A" w14:textId="77777777" w:rsidR="00FC4056" w:rsidRDefault="00FC4056" w:rsidP="00331966">
            <w:pPr>
              <w:pStyle w:val="Tabletext"/>
              <w:spacing w:before="20" w:after="20"/>
              <w:rPr>
                <w:rFonts w:eastAsiaTheme="minorHAnsi" w:cs="Arial"/>
                <w:bCs/>
                <w:iCs/>
                <w:color w:val="AEC12D"/>
                <w:sz w:val="32"/>
                <w:szCs w:val="28"/>
              </w:rPr>
            </w:pPr>
            <w:r>
              <w:t>0.52</w:t>
            </w:r>
          </w:p>
        </w:tc>
        <w:tc>
          <w:tcPr>
            <w:tcW w:w="2333" w:type="dxa"/>
            <w:noWrap/>
            <w:tcMar>
              <w:top w:w="0" w:type="dxa"/>
              <w:left w:w="108" w:type="dxa"/>
              <w:bottom w:w="0" w:type="dxa"/>
              <w:right w:w="108" w:type="dxa"/>
            </w:tcMar>
            <w:vAlign w:val="bottom"/>
            <w:hideMark/>
          </w:tcPr>
          <w:p w14:paraId="5E4B9E3C" w14:textId="77777777" w:rsidR="00FC4056" w:rsidRDefault="00FC4056" w:rsidP="00331966">
            <w:pPr>
              <w:pStyle w:val="Tabletext"/>
              <w:spacing w:before="20" w:after="20"/>
              <w:rPr>
                <w:rFonts w:eastAsiaTheme="minorHAnsi" w:cs="Arial"/>
                <w:bCs/>
                <w:iCs/>
                <w:color w:val="AEC12D"/>
                <w:sz w:val="32"/>
                <w:szCs w:val="28"/>
              </w:rPr>
            </w:pPr>
            <w:r>
              <w:t>0.52</w:t>
            </w:r>
          </w:p>
        </w:tc>
        <w:tc>
          <w:tcPr>
            <w:tcW w:w="1134" w:type="dxa"/>
            <w:noWrap/>
            <w:tcMar>
              <w:top w:w="0" w:type="dxa"/>
              <w:left w:w="108" w:type="dxa"/>
              <w:bottom w:w="0" w:type="dxa"/>
              <w:right w:w="108" w:type="dxa"/>
            </w:tcMar>
            <w:vAlign w:val="bottom"/>
            <w:hideMark/>
          </w:tcPr>
          <w:p w14:paraId="16025D42" w14:textId="77777777" w:rsidR="00FC4056" w:rsidRDefault="00FC4056" w:rsidP="00331966">
            <w:pPr>
              <w:pStyle w:val="Tabletext"/>
              <w:spacing w:before="20" w:after="20"/>
              <w:rPr>
                <w:rFonts w:eastAsiaTheme="minorHAnsi" w:cs="Arial"/>
                <w:bCs/>
                <w:iCs/>
                <w:color w:val="AEC12D"/>
                <w:sz w:val="32"/>
                <w:szCs w:val="28"/>
              </w:rPr>
            </w:pPr>
            <w:r>
              <w:t>0.4</w:t>
            </w:r>
          </w:p>
        </w:tc>
        <w:tc>
          <w:tcPr>
            <w:tcW w:w="1134" w:type="dxa"/>
            <w:noWrap/>
            <w:tcMar>
              <w:top w:w="0" w:type="dxa"/>
              <w:left w:w="108" w:type="dxa"/>
              <w:bottom w:w="0" w:type="dxa"/>
              <w:right w:w="108" w:type="dxa"/>
            </w:tcMar>
            <w:vAlign w:val="bottom"/>
            <w:hideMark/>
          </w:tcPr>
          <w:p w14:paraId="73C0714F" w14:textId="77777777" w:rsidR="00FC4056" w:rsidRDefault="00FC4056" w:rsidP="00331966">
            <w:pPr>
              <w:pStyle w:val="Tabletext"/>
              <w:spacing w:before="20" w:after="20"/>
              <w:rPr>
                <w:rFonts w:eastAsiaTheme="minorHAnsi" w:cs="Arial"/>
                <w:bCs/>
                <w:iCs/>
                <w:color w:val="AEC12D"/>
                <w:sz w:val="32"/>
                <w:szCs w:val="28"/>
              </w:rPr>
            </w:pPr>
            <w:r>
              <w:t>0.15</w:t>
            </w:r>
          </w:p>
        </w:tc>
        <w:tc>
          <w:tcPr>
            <w:tcW w:w="1134" w:type="dxa"/>
            <w:noWrap/>
            <w:tcMar>
              <w:top w:w="0" w:type="dxa"/>
              <w:left w:w="108" w:type="dxa"/>
              <w:bottom w:w="0" w:type="dxa"/>
              <w:right w:w="108" w:type="dxa"/>
            </w:tcMar>
            <w:vAlign w:val="bottom"/>
            <w:hideMark/>
          </w:tcPr>
          <w:p w14:paraId="38C7D6B7" w14:textId="77777777" w:rsidR="00FC4056" w:rsidRDefault="00FC4056" w:rsidP="00331966">
            <w:pPr>
              <w:pStyle w:val="Tabletext"/>
              <w:spacing w:before="20" w:after="20"/>
              <w:rPr>
                <w:rFonts w:eastAsiaTheme="minorHAnsi" w:cs="Arial"/>
                <w:bCs/>
                <w:iCs/>
                <w:color w:val="AEC12D"/>
                <w:sz w:val="32"/>
                <w:szCs w:val="28"/>
              </w:rPr>
            </w:pPr>
            <w:r>
              <w:t>0.15</w:t>
            </w:r>
          </w:p>
        </w:tc>
        <w:tc>
          <w:tcPr>
            <w:tcW w:w="1134" w:type="dxa"/>
            <w:noWrap/>
            <w:tcMar>
              <w:top w:w="0" w:type="dxa"/>
              <w:left w:w="108" w:type="dxa"/>
              <w:bottom w:w="0" w:type="dxa"/>
              <w:right w:w="108" w:type="dxa"/>
            </w:tcMar>
            <w:vAlign w:val="bottom"/>
            <w:hideMark/>
          </w:tcPr>
          <w:p w14:paraId="6584FD6D" w14:textId="77777777" w:rsidR="00FC4056" w:rsidRDefault="00FC4056" w:rsidP="00331966">
            <w:pPr>
              <w:pStyle w:val="Tabletext"/>
              <w:spacing w:before="20" w:after="20"/>
              <w:rPr>
                <w:rFonts w:eastAsiaTheme="minorHAnsi" w:cs="Arial"/>
                <w:bCs/>
                <w:iCs/>
                <w:color w:val="AEC12D"/>
                <w:sz w:val="32"/>
                <w:szCs w:val="28"/>
              </w:rPr>
            </w:pPr>
            <w:r>
              <w:t>0.15</w:t>
            </w:r>
          </w:p>
        </w:tc>
        <w:tc>
          <w:tcPr>
            <w:tcW w:w="1134" w:type="dxa"/>
            <w:noWrap/>
            <w:tcMar>
              <w:top w:w="0" w:type="dxa"/>
              <w:left w:w="108" w:type="dxa"/>
              <w:bottom w:w="0" w:type="dxa"/>
              <w:right w:w="108" w:type="dxa"/>
            </w:tcMar>
            <w:vAlign w:val="bottom"/>
            <w:hideMark/>
          </w:tcPr>
          <w:p w14:paraId="39FB1B5C" w14:textId="77777777" w:rsidR="00FC4056" w:rsidRDefault="00FC4056" w:rsidP="00331966">
            <w:pPr>
              <w:pStyle w:val="Tabletext"/>
              <w:spacing w:before="20" w:after="20"/>
              <w:rPr>
                <w:rFonts w:eastAsiaTheme="minorHAnsi" w:cs="Arial"/>
                <w:bCs/>
                <w:iCs/>
                <w:color w:val="AEC12D"/>
                <w:sz w:val="32"/>
                <w:szCs w:val="28"/>
              </w:rPr>
            </w:pPr>
            <w:r>
              <w:t>0.15</w:t>
            </w:r>
          </w:p>
        </w:tc>
      </w:tr>
      <w:tr w:rsidR="00FC4056" w14:paraId="0339F02C" w14:textId="77777777" w:rsidTr="00B22A62">
        <w:tc>
          <w:tcPr>
            <w:tcW w:w="960" w:type="dxa"/>
            <w:noWrap/>
            <w:tcMar>
              <w:top w:w="0" w:type="dxa"/>
              <w:left w:w="108" w:type="dxa"/>
              <w:bottom w:w="0" w:type="dxa"/>
              <w:right w:w="108" w:type="dxa"/>
            </w:tcMar>
            <w:vAlign w:val="bottom"/>
            <w:hideMark/>
          </w:tcPr>
          <w:p w14:paraId="754F8E8B" w14:textId="77777777" w:rsidR="00FC4056" w:rsidRDefault="00FC4056" w:rsidP="00331966">
            <w:pPr>
              <w:pStyle w:val="Tabletext"/>
              <w:spacing w:before="20" w:after="20"/>
              <w:rPr>
                <w:rFonts w:eastAsiaTheme="minorHAnsi" w:cs="Arial"/>
                <w:bCs/>
                <w:iCs/>
                <w:color w:val="AEC12D"/>
                <w:sz w:val="32"/>
                <w:szCs w:val="28"/>
              </w:rPr>
            </w:pPr>
            <w:r>
              <w:t>156</w:t>
            </w:r>
          </w:p>
        </w:tc>
        <w:tc>
          <w:tcPr>
            <w:tcW w:w="960" w:type="dxa"/>
            <w:noWrap/>
            <w:tcMar>
              <w:top w:w="0" w:type="dxa"/>
              <w:left w:w="108" w:type="dxa"/>
              <w:bottom w:w="0" w:type="dxa"/>
              <w:right w:w="108" w:type="dxa"/>
            </w:tcMar>
            <w:vAlign w:val="bottom"/>
            <w:hideMark/>
          </w:tcPr>
          <w:p w14:paraId="081C6DB3" w14:textId="77777777" w:rsidR="00FC4056" w:rsidRDefault="00FC4056" w:rsidP="00331966">
            <w:pPr>
              <w:pStyle w:val="Tabletext"/>
              <w:spacing w:before="20" w:after="20"/>
              <w:rPr>
                <w:rFonts w:eastAsiaTheme="minorHAnsi" w:cs="Arial"/>
                <w:bCs/>
                <w:iCs/>
                <w:color w:val="AEC12D"/>
                <w:sz w:val="32"/>
                <w:szCs w:val="28"/>
              </w:rPr>
            </w:pPr>
            <w:r>
              <w:t>0.005</w:t>
            </w:r>
          </w:p>
        </w:tc>
        <w:tc>
          <w:tcPr>
            <w:tcW w:w="2333" w:type="dxa"/>
            <w:noWrap/>
            <w:tcMar>
              <w:top w:w="0" w:type="dxa"/>
              <w:left w:w="108" w:type="dxa"/>
              <w:bottom w:w="0" w:type="dxa"/>
              <w:right w:w="108" w:type="dxa"/>
            </w:tcMar>
            <w:vAlign w:val="bottom"/>
            <w:hideMark/>
          </w:tcPr>
          <w:p w14:paraId="45A9219A" w14:textId="77777777" w:rsidR="00FC4056" w:rsidRDefault="00FC4056" w:rsidP="00331966">
            <w:pPr>
              <w:pStyle w:val="Tabletext"/>
              <w:spacing w:before="20" w:after="20"/>
              <w:rPr>
                <w:rFonts w:eastAsiaTheme="minorHAnsi" w:cs="Arial"/>
                <w:bCs/>
                <w:iCs/>
                <w:color w:val="AEC12D"/>
                <w:sz w:val="32"/>
                <w:szCs w:val="28"/>
              </w:rPr>
            </w:pPr>
            <w:r>
              <w:t>0.005</w:t>
            </w:r>
          </w:p>
        </w:tc>
        <w:tc>
          <w:tcPr>
            <w:tcW w:w="1134" w:type="dxa"/>
            <w:noWrap/>
            <w:tcMar>
              <w:top w:w="0" w:type="dxa"/>
              <w:left w:w="108" w:type="dxa"/>
              <w:bottom w:w="0" w:type="dxa"/>
              <w:right w:w="108" w:type="dxa"/>
            </w:tcMar>
            <w:vAlign w:val="bottom"/>
            <w:hideMark/>
          </w:tcPr>
          <w:p w14:paraId="047AE5EB" w14:textId="77777777" w:rsidR="00FC4056" w:rsidRDefault="00FC4056" w:rsidP="00331966">
            <w:pPr>
              <w:pStyle w:val="Tabletext"/>
              <w:spacing w:before="20" w:after="20"/>
              <w:rPr>
                <w:rFonts w:eastAsiaTheme="minorHAnsi" w:cs="Arial"/>
                <w:bCs/>
                <w:iCs/>
                <w:color w:val="AEC12D"/>
                <w:sz w:val="32"/>
                <w:szCs w:val="28"/>
              </w:rPr>
            </w:pPr>
            <w:r>
              <w:t>0.004</w:t>
            </w:r>
          </w:p>
        </w:tc>
        <w:tc>
          <w:tcPr>
            <w:tcW w:w="1134" w:type="dxa"/>
            <w:noWrap/>
            <w:tcMar>
              <w:top w:w="0" w:type="dxa"/>
              <w:left w:w="108" w:type="dxa"/>
              <w:bottom w:w="0" w:type="dxa"/>
              <w:right w:w="108" w:type="dxa"/>
            </w:tcMar>
            <w:vAlign w:val="bottom"/>
            <w:hideMark/>
          </w:tcPr>
          <w:p w14:paraId="79D31B18" w14:textId="77777777" w:rsidR="00FC4056" w:rsidRDefault="00FC4056" w:rsidP="00331966">
            <w:pPr>
              <w:pStyle w:val="Tabletext"/>
              <w:spacing w:before="20" w:after="20"/>
              <w:rPr>
                <w:rFonts w:eastAsiaTheme="minorHAnsi" w:cs="Arial"/>
                <w:bCs/>
                <w:iCs/>
                <w:color w:val="AEC12D"/>
                <w:sz w:val="32"/>
                <w:szCs w:val="28"/>
              </w:rPr>
            </w:pPr>
            <w:r>
              <w:t>0.002</w:t>
            </w:r>
          </w:p>
        </w:tc>
        <w:tc>
          <w:tcPr>
            <w:tcW w:w="1134" w:type="dxa"/>
            <w:noWrap/>
            <w:tcMar>
              <w:top w:w="0" w:type="dxa"/>
              <w:left w:w="108" w:type="dxa"/>
              <w:bottom w:w="0" w:type="dxa"/>
              <w:right w:w="108" w:type="dxa"/>
            </w:tcMar>
            <w:vAlign w:val="bottom"/>
            <w:hideMark/>
          </w:tcPr>
          <w:p w14:paraId="32C366CC" w14:textId="77777777" w:rsidR="00FC4056" w:rsidRDefault="00FC4056" w:rsidP="00331966">
            <w:pPr>
              <w:pStyle w:val="Tabletext"/>
              <w:spacing w:before="20" w:after="20"/>
              <w:rPr>
                <w:rFonts w:eastAsiaTheme="minorHAnsi" w:cs="Arial"/>
                <w:bCs/>
                <w:iCs/>
                <w:color w:val="AEC12D"/>
                <w:sz w:val="32"/>
                <w:szCs w:val="28"/>
              </w:rPr>
            </w:pPr>
            <w:r>
              <w:t>0.002</w:t>
            </w:r>
          </w:p>
        </w:tc>
        <w:tc>
          <w:tcPr>
            <w:tcW w:w="1134" w:type="dxa"/>
            <w:noWrap/>
            <w:tcMar>
              <w:top w:w="0" w:type="dxa"/>
              <w:left w:w="108" w:type="dxa"/>
              <w:bottom w:w="0" w:type="dxa"/>
              <w:right w:w="108" w:type="dxa"/>
            </w:tcMar>
            <w:vAlign w:val="bottom"/>
            <w:hideMark/>
          </w:tcPr>
          <w:p w14:paraId="0D4B7C59" w14:textId="77777777" w:rsidR="00FC4056" w:rsidRDefault="00FC4056" w:rsidP="00331966">
            <w:pPr>
              <w:pStyle w:val="Tabletext"/>
              <w:spacing w:before="20" w:after="20"/>
              <w:rPr>
                <w:rFonts w:eastAsiaTheme="minorHAnsi" w:cs="Arial"/>
                <w:bCs/>
                <w:iCs/>
                <w:color w:val="AEC12D"/>
                <w:sz w:val="32"/>
                <w:szCs w:val="28"/>
              </w:rPr>
            </w:pPr>
            <w:r>
              <w:t>0.002</w:t>
            </w:r>
          </w:p>
        </w:tc>
        <w:tc>
          <w:tcPr>
            <w:tcW w:w="1134" w:type="dxa"/>
            <w:noWrap/>
            <w:tcMar>
              <w:top w:w="0" w:type="dxa"/>
              <w:left w:w="108" w:type="dxa"/>
              <w:bottom w:w="0" w:type="dxa"/>
              <w:right w:w="108" w:type="dxa"/>
            </w:tcMar>
            <w:vAlign w:val="bottom"/>
            <w:hideMark/>
          </w:tcPr>
          <w:p w14:paraId="23EE2CD0" w14:textId="77777777" w:rsidR="00FC4056" w:rsidRDefault="00FC4056" w:rsidP="00331966">
            <w:pPr>
              <w:pStyle w:val="Tabletext"/>
              <w:spacing w:before="20" w:after="20"/>
              <w:rPr>
                <w:rFonts w:eastAsiaTheme="minorHAnsi" w:cs="Arial"/>
                <w:bCs/>
                <w:iCs/>
                <w:color w:val="AEC12D"/>
                <w:sz w:val="32"/>
                <w:szCs w:val="28"/>
              </w:rPr>
            </w:pPr>
            <w:r>
              <w:t>0.002</w:t>
            </w:r>
          </w:p>
        </w:tc>
      </w:tr>
      <w:tr w:rsidR="00FC4056" w14:paraId="205BE60C" w14:textId="77777777" w:rsidTr="00B22A62">
        <w:tc>
          <w:tcPr>
            <w:tcW w:w="960" w:type="dxa"/>
            <w:noWrap/>
            <w:tcMar>
              <w:top w:w="0" w:type="dxa"/>
              <w:left w:w="108" w:type="dxa"/>
              <w:bottom w:w="0" w:type="dxa"/>
              <w:right w:w="108" w:type="dxa"/>
            </w:tcMar>
            <w:vAlign w:val="bottom"/>
            <w:hideMark/>
          </w:tcPr>
          <w:p w14:paraId="60BF7BD5" w14:textId="77777777" w:rsidR="00FC4056" w:rsidRDefault="00FC4056" w:rsidP="00331966">
            <w:pPr>
              <w:pStyle w:val="Tabletext"/>
              <w:spacing w:before="20" w:after="20"/>
              <w:rPr>
                <w:rFonts w:eastAsiaTheme="minorHAnsi" w:cs="Arial"/>
                <w:bCs/>
                <w:iCs/>
                <w:color w:val="AEC12D"/>
                <w:sz w:val="32"/>
                <w:szCs w:val="28"/>
              </w:rPr>
            </w:pPr>
            <w:r>
              <w:t>157</w:t>
            </w:r>
          </w:p>
        </w:tc>
        <w:tc>
          <w:tcPr>
            <w:tcW w:w="960" w:type="dxa"/>
            <w:noWrap/>
            <w:tcMar>
              <w:top w:w="0" w:type="dxa"/>
              <w:left w:w="108" w:type="dxa"/>
              <w:bottom w:w="0" w:type="dxa"/>
              <w:right w:w="108" w:type="dxa"/>
            </w:tcMar>
            <w:vAlign w:val="bottom"/>
            <w:hideMark/>
          </w:tcPr>
          <w:p w14:paraId="2CFE8EE5" w14:textId="77777777" w:rsidR="00FC4056" w:rsidRDefault="00FC4056" w:rsidP="00331966">
            <w:pPr>
              <w:pStyle w:val="Tabletext"/>
              <w:spacing w:before="20" w:after="20"/>
              <w:rPr>
                <w:rFonts w:eastAsiaTheme="minorHAnsi" w:cs="Arial"/>
                <w:bCs/>
                <w:iCs/>
                <w:color w:val="AEC12D"/>
                <w:sz w:val="32"/>
                <w:szCs w:val="28"/>
              </w:rPr>
            </w:pPr>
            <w:r>
              <w:t>0.13</w:t>
            </w:r>
          </w:p>
        </w:tc>
        <w:tc>
          <w:tcPr>
            <w:tcW w:w="2333" w:type="dxa"/>
            <w:noWrap/>
            <w:tcMar>
              <w:top w:w="0" w:type="dxa"/>
              <w:left w:w="108" w:type="dxa"/>
              <w:bottom w:w="0" w:type="dxa"/>
              <w:right w:w="108" w:type="dxa"/>
            </w:tcMar>
            <w:vAlign w:val="bottom"/>
            <w:hideMark/>
          </w:tcPr>
          <w:p w14:paraId="3CBCC2FB" w14:textId="77777777" w:rsidR="00FC4056" w:rsidRDefault="00FC4056" w:rsidP="00331966">
            <w:pPr>
              <w:pStyle w:val="Tabletext"/>
              <w:spacing w:before="20" w:after="20"/>
              <w:rPr>
                <w:rFonts w:eastAsiaTheme="minorHAnsi" w:cs="Arial"/>
                <w:bCs/>
                <w:iCs/>
                <w:color w:val="AEC12D"/>
                <w:sz w:val="32"/>
                <w:szCs w:val="28"/>
              </w:rPr>
            </w:pPr>
            <w:r>
              <w:t>0.13</w:t>
            </w:r>
          </w:p>
        </w:tc>
        <w:tc>
          <w:tcPr>
            <w:tcW w:w="1134" w:type="dxa"/>
            <w:noWrap/>
            <w:tcMar>
              <w:top w:w="0" w:type="dxa"/>
              <w:left w:w="108" w:type="dxa"/>
              <w:bottom w:w="0" w:type="dxa"/>
              <w:right w:w="108" w:type="dxa"/>
            </w:tcMar>
            <w:vAlign w:val="bottom"/>
            <w:hideMark/>
          </w:tcPr>
          <w:p w14:paraId="3090DE38" w14:textId="77777777" w:rsidR="00FC4056" w:rsidRDefault="00FC4056" w:rsidP="00331966">
            <w:pPr>
              <w:pStyle w:val="Tabletext"/>
              <w:spacing w:before="20" w:after="20"/>
              <w:rPr>
                <w:rFonts w:eastAsiaTheme="minorHAnsi" w:cs="Arial"/>
                <w:bCs/>
                <w:iCs/>
                <w:color w:val="AEC12D"/>
                <w:sz w:val="32"/>
                <w:szCs w:val="28"/>
              </w:rPr>
            </w:pPr>
            <w:r>
              <w:t>0.09</w:t>
            </w:r>
          </w:p>
        </w:tc>
        <w:tc>
          <w:tcPr>
            <w:tcW w:w="1134" w:type="dxa"/>
            <w:noWrap/>
            <w:tcMar>
              <w:top w:w="0" w:type="dxa"/>
              <w:left w:w="108" w:type="dxa"/>
              <w:bottom w:w="0" w:type="dxa"/>
              <w:right w:w="108" w:type="dxa"/>
            </w:tcMar>
            <w:vAlign w:val="bottom"/>
            <w:hideMark/>
          </w:tcPr>
          <w:p w14:paraId="40A9C550" w14:textId="77777777" w:rsidR="00FC4056" w:rsidRDefault="00FC4056" w:rsidP="00331966">
            <w:pPr>
              <w:pStyle w:val="Tabletext"/>
              <w:spacing w:before="20" w:after="20"/>
              <w:rPr>
                <w:rFonts w:eastAsiaTheme="minorHAnsi" w:cs="Arial"/>
                <w:bCs/>
                <w:iCs/>
                <w:color w:val="AEC12D"/>
                <w:sz w:val="32"/>
                <w:szCs w:val="28"/>
              </w:rPr>
            </w:pPr>
            <w:r>
              <w:t>0.06</w:t>
            </w:r>
          </w:p>
        </w:tc>
        <w:tc>
          <w:tcPr>
            <w:tcW w:w="1134" w:type="dxa"/>
            <w:noWrap/>
            <w:tcMar>
              <w:top w:w="0" w:type="dxa"/>
              <w:left w:w="108" w:type="dxa"/>
              <w:bottom w:w="0" w:type="dxa"/>
              <w:right w:w="108" w:type="dxa"/>
            </w:tcMar>
            <w:vAlign w:val="bottom"/>
            <w:hideMark/>
          </w:tcPr>
          <w:p w14:paraId="4C036607" w14:textId="77777777" w:rsidR="00FC4056" w:rsidRDefault="00FC4056" w:rsidP="00331966">
            <w:pPr>
              <w:pStyle w:val="Tabletext"/>
              <w:spacing w:before="20" w:after="20"/>
              <w:rPr>
                <w:rFonts w:eastAsiaTheme="minorHAnsi" w:cs="Arial"/>
                <w:bCs/>
                <w:iCs/>
                <w:color w:val="AEC12D"/>
                <w:sz w:val="32"/>
                <w:szCs w:val="28"/>
              </w:rPr>
            </w:pPr>
            <w:r>
              <w:t>0.06</w:t>
            </w:r>
          </w:p>
        </w:tc>
        <w:tc>
          <w:tcPr>
            <w:tcW w:w="1134" w:type="dxa"/>
            <w:noWrap/>
            <w:tcMar>
              <w:top w:w="0" w:type="dxa"/>
              <w:left w:w="108" w:type="dxa"/>
              <w:bottom w:w="0" w:type="dxa"/>
              <w:right w:w="108" w:type="dxa"/>
            </w:tcMar>
            <w:vAlign w:val="bottom"/>
            <w:hideMark/>
          </w:tcPr>
          <w:p w14:paraId="396DFDD3" w14:textId="77777777" w:rsidR="00FC4056" w:rsidRDefault="00FC4056" w:rsidP="00331966">
            <w:pPr>
              <w:pStyle w:val="Tabletext"/>
              <w:spacing w:before="20" w:after="20"/>
              <w:rPr>
                <w:rFonts w:eastAsiaTheme="minorHAnsi" w:cs="Arial"/>
                <w:bCs/>
                <w:iCs/>
                <w:color w:val="AEC12D"/>
                <w:sz w:val="32"/>
                <w:szCs w:val="28"/>
              </w:rPr>
            </w:pPr>
            <w:r>
              <w:t>0.06</w:t>
            </w:r>
          </w:p>
        </w:tc>
        <w:tc>
          <w:tcPr>
            <w:tcW w:w="1134" w:type="dxa"/>
            <w:noWrap/>
            <w:tcMar>
              <w:top w:w="0" w:type="dxa"/>
              <w:left w:w="108" w:type="dxa"/>
              <w:bottom w:w="0" w:type="dxa"/>
              <w:right w:w="108" w:type="dxa"/>
            </w:tcMar>
            <w:vAlign w:val="bottom"/>
            <w:hideMark/>
          </w:tcPr>
          <w:p w14:paraId="4BAF54FA" w14:textId="77777777" w:rsidR="00FC4056" w:rsidRDefault="00FC4056" w:rsidP="00331966">
            <w:pPr>
              <w:pStyle w:val="Tabletext"/>
              <w:spacing w:before="20" w:after="20"/>
              <w:rPr>
                <w:rFonts w:eastAsiaTheme="minorHAnsi" w:cs="Arial"/>
                <w:bCs/>
                <w:iCs/>
                <w:color w:val="AEC12D"/>
                <w:sz w:val="32"/>
                <w:szCs w:val="28"/>
              </w:rPr>
            </w:pPr>
            <w:r>
              <w:t>0.06</w:t>
            </w:r>
          </w:p>
        </w:tc>
      </w:tr>
      <w:tr w:rsidR="00FC4056" w14:paraId="50F21115" w14:textId="77777777" w:rsidTr="00B22A62">
        <w:tc>
          <w:tcPr>
            <w:tcW w:w="960" w:type="dxa"/>
            <w:noWrap/>
            <w:tcMar>
              <w:top w:w="0" w:type="dxa"/>
              <w:left w:w="108" w:type="dxa"/>
              <w:bottom w:w="0" w:type="dxa"/>
              <w:right w:w="108" w:type="dxa"/>
            </w:tcMar>
            <w:vAlign w:val="bottom"/>
            <w:hideMark/>
          </w:tcPr>
          <w:p w14:paraId="00950B11" w14:textId="77777777" w:rsidR="00FC4056" w:rsidRDefault="00FC4056" w:rsidP="00331966">
            <w:pPr>
              <w:pStyle w:val="Tabletext"/>
              <w:spacing w:before="20" w:after="20"/>
              <w:rPr>
                <w:rFonts w:eastAsiaTheme="minorHAnsi" w:cs="Arial"/>
                <w:bCs/>
                <w:iCs/>
                <w:color w:val="AEC12D"/>
                <w:sz w:val="32"/>
                <w:szCs w:val="28"/>
              </w:rPr>
            </w:pPr>
            <w:r>
              <w:t>158</w:t>
            </w:r>
          </w:p>
        </w:tc>
        <w:tc>
          <w:tcPr>
            <w:tcW w:w="960" w:type="dxa"/>
            <w:noWrap/>
            <w:tcMar>
              <w:top w:w="0" w:type="dxa"/>
              <w:left w:w="108" w:type="dxa"/>
              <w:bottom w:w="0" w:type="dxa"/>
              <w:right w:w="108" w:type="dxa"/>
            </w:tcMar>
            <w:vAlign w:val="bottom"/>
            <w:hideMark/>
          </w:tcPr>
          <w:p w14:paraId="70D64132" w14:textId="77777777" w:rsidR="00FC4056" w:rsidRDefault="00FC4056" w:rsidP="00331966">
            <w:pPr>
              <w:pStyle w:val="Tabletext"/>
              <w:spacing w:before="20" w:after="20"/>
              <w:rPr>
                <w:rFonts w:eastAsiaTheme="minorHAnsi" w:cs="Arial"/>
                <w:bCs/>
                <w:iCs/>
                <w:color w:val="AEC12D"/>
                <w:sz w:val="32"/>
                <w:szCs w:val="28"/>
              </w:rPr>
            </w:pPr>
            <w:r>
              <w:t>1.1</w:t>
            </w:r>
          </w:p>
        </w:tc>
        <w:tc>
          <w:tcPr>
            <w:tcW w:w="2333" w:type="dxa"/>
            <w:noWrap/>
            <w:tcMar>
              <w:top w:w="0" w:type="dxa"/>
              <w:left w:w="108" w:type="dxa"/>
              <w:bottom w:w="0" w:type="dxa"/>
              <w:right w:w="108" w:type="dxa"/>
            </w:tcMar>
            <w:vAlign w:val="bottom"/>
            <w:hideMark/>
          </w:tcPr>
          <w:p w14:paraId="669019F1" w14:textId="77777777" w:rsidR="00FC4056" w:rsidRDefault="00FC4056" w:rsidP="00331966">
            <w:pPr>
              <w:pStyle w:val="Tabletext"/>
              <w:spacing w:before="20" w:after="20"/>
              <w:rPr>
                <w:rFonts w:eastAsiaTheme="minorHAnsi" w:cs="Arial"/>
                <w:bCs/>
                <w:iCs/>
                <w:color w:val="AEC12D"/>
                <w:sz w:val="32"/>
                <w:szCs w:val="28"/>
              </w:rPr>
            </w:pPr>
            <w:r>
              <w:t>1.1</w:t>
            </w:r>
          </w:p>
        </w:tc>
        <w:tc>
          <w:tcPr>
            <w:tcW w:w="1134" w:type="dxa"/>
            <w:noWrap/>
            <w:tcMar>
              <w:top w:w="0" w:type="dxa"/>
              <w:left w:w="108" w:type="dxa"/>
              <w:bottom w:w="0" w:type="dxa"/>
              <w:right w:w="108" w:type="dxa"/>
            </w:tcMar>
            <w:vAlign w:val="bottom"/>
            <w:hideMark/>
          </w:tcPr>
          <w:p w14:paraId="414024D1" w14:textId="77777777" w:rsidR="00FC4056" w:rsidRDefault="00FC4056" w:rsidP="00331966">
            <w:pPr>
              <w:pStyle w:val="Tabletext"/>
              <w:spacing w:before="20" w:after="20"/>
              <w:rPr>
                <w:rFonts w:eastAsiaTheme="minorHAnsi" w:cs="Arial"/>
                <w:bCs/>
                <w:iCs/>
                <w:color w:val="AEC12D"/>
                <w:sz w:val="32"/>
                <w:szCs w:val="28"/>
              </w:rPr>
            </w:pPr>
            <w:r>
              <w:t>0.88</w:t>
            </w:r>
          </w:p>
        </w:tc>
        <w:tc>
          <w:tcPr>
            <w:tcW w:w="1134" w:type="dxa"/>
            <w:noWrap/>
            <w:tcMar>
              <w:top w:w="0" w:type="dxa"/>
              <w:left w:w="108" w:type="dxa"/>
              <w:bottom w:w="0" w:type="dxa"/>
              <w:right w:w="108" w:type="dxa"/>
            </w:tcMar>
            <w:vAlign w:val="bottom"/>
            <w:hideMark/>
          </w:tcPr>
          <w:p w14:paraId="54D13FD7" w14:textId="77777777" w:rsidR="00FC4056" w:rsidRDefault="00FC4056" w:rsidP="00331966">
            <w:pPr>
              <w:pStyle w:val="Tabletext"/>
              <w:spacing w:before="20" w:after="20"/>
              <w:rPr>
                <w:rFonts w:eastAsiaTheme="minorHAnsi" w:cs="Arial"/>
                <w:bCs/>
                <w:iCs/>
                <w:color w:val="AEC12D"/>
                <w:sz w:val="32"/>
                <w:szCs w:val="28"/>
              </w:rPr>
            </w:pPr>
            <w:r>
              <w:t>0.79</w:t>
            </w:r>
          </w:p>
        </w:tc>
        <w:tc>
          <w:tcPr>
            <w:tcW w:w="1134" w:type="dxa"/>
            <w:noWrap/>
            <w:tcMar>
              <w:top w:w="0" w:type="dxa"/>
              <w:left w:w="108" w:type="dxa"/>
              <w:bottom w:w="0" w:type="dxa"/>
              <w:right w:w="108" w:type="dxa"/>
            </w:tcMar>
            <w:vAlign w:val="bottom"/>
            <w:hideMark/>
          </w:tcPr>
          <w:p w14:paraId="7A8AF3BE" w14:textId="77777777" w:rsidR="00FC4056" w:rsidRDefault="00FC4056" w:rsidP="00331966">
            <w:pPr>
              <w:pStyle w:val="Tabletext"/>
              <w:spacing w:before="20" w:after="20"/>
              <w:rPr>
                <w:rFonts w:eastAsiaTheme="minorHAnsi" w:cs="Arial"/>
                <w:bCs/>
                <w:iCs/>
                <w:color w:val="AEC12D"/>
                <w:sz w:val="32"/>
                <w:szCs w:val="28"/>
              </w:rPr>
            </w:pPr>
            <w:r>
              <w:t>0.79</w:t>
            </w:r>
          </w:p>
        </w:tc>
        <w:tc>
          <w:tcPr>
            <w:tcW w:w="1134" w:type="dxa"/>
            <w:noWrap/>
            <w:tcMar>
              <w:top w:w="0" w:type="dxa"/>
              <w:left w:w="108" w:type="dxa"/>
              <w:bottom w:w="0" w:type="dxa"/>
              <w:right w:w="108" w:type="dxa"/>
            </w:tcMar>
            <w:vAlign w:val="bottom"/>
            <w:hideMark/>
          </w:tcPr>
          <w:p w14:paraId="3FB5BBA8" w14:textId="77777777" w:rsidR="00FC4056" w:rsidRDefault="00FC4056" w:rsidP="00331966">
            <w:pPr>
              <w:pStyle w:val="Tabletext"/>
              <w:spacing w:before="20" w:after="20"/>
              <w:rPr>
                <w:rFonts w:eastAsiaTheme="minorHAnsi" w:cs="Arial"/>
                <w:bCs/>
                <w:iCs/>
                <w:color w:val="AEC12D"/>
                <w:sz w:val="32"/>
                <w:szCs w:val="28"/>
              </w:rPr>
            </w:pPr>
            <w:r>
              <w:t>0.79</w:t>
            </w:r>
          </w:p>
        </w:tc>
        <w:tc>
          <w:tcPr>
            <w:tcW w:w="1134" w:type="dxa"/>
            <w:noWrap/>
            <w:tcMar>
              <w:top w:w="0" w:type="dxa"/>
              <w:left w:w="108" w:type="dxa"/>
              <w:bottom w:w="0" w:type="dxa"/>
              <w:right w:w="108" w:type="dxa"/>
            </w:tcMar>
            <w:vAlign w:val="bottom"/>
            <w:hideMark/>
          </w:tcPr>
          <w:p w14:paraId="39ECEAA2" w14:textId="77777777" w:rsidR="00FC4056" w:rsidRDefault="00FC4056" w:rsidP="00331966">
            <w:pPr>
              <w:pStyle w:val="Tabletext"/>
              <w:spacing w:before="20" w:after="20"/>
              <w:rPr>
                <w:rFonts w:eastAsiaTheme="minorHAnsi" w:cs="Arial"/>
                <w:bCs/>
                <w:iCs/>
                <w:color w:val="AEC12D"/>
                <w:sz w:val="32"/>
                <w:szCs w:val="28"/>
              </w:rPr>
            </w:pPr>
            <w:r>
              <w:t>0.79</w:t>
            </w:r>
          </w:p>
        </w:tc>
      </w:tr>
      <w:tr w:rsidR="00FC4056" w14:paraId="7988A961" w14:textId="77777777" w:rsidTr="00B22A62">
        <w:tc>
          <w:tcPr>
            <w:tcW w:w="960" w:type="dxa"/>
            <w:noWrap/>
            <w:tcMar>
              <w:top w:w="0" w:type="dxa"/>
              <w:left w:w="108" w:type="dxa"/>
              <w:bottom w:w="0" w:type="dxa"/>
              <w:right w:w="108" w:type="dxa"/>
            </w:tcMar>
            <w:vAlign w:val="bottom"/>
            <w:hideMark/>
          </w:tcPr>
          <w:p w14:paraId="7186305D" w14:textId="77777777" w:rsidR="00FC4056" w:rsidRDefault="00FC4056" w:rsidP="00331966">
            <w:pPr>
              <w:pStyle w:val="Tabletext"/>
              <w:spacing w:before="20" w:after="20"/>
              <w:rPr>
                <w:rFonts w:eastAsiaTheme="minorHAnsi" w:cs="Arial"/>
                <w:bCs/>
                <w:iCs/>
                <w:color w:val="AEC12D"/>
                <w:sz w:val="32"/>
                <w:szCs w:val="28"/>
              </w:rPr>
            </w:pPr>
            <w:r>
              <w:t>188</w:t>
            </w:r>
          </w:p>
        </w:tc>
        <w:tc>
          <w:tcPr>
            <w:tcW w:w="960" w:type="dxa"/>
            <w:noWrap/>
            <w:tcMar>
              <w:top w:w="0" w:type="dxa"/>
              <w:left w:w="108" w:type="dxa"/>
              <w:bottom w:w="0" w:type="dxa"/>
              <w:right w:w="108" w:type="dxa"/>
            </w:tcMar>
            <w:vAlign w:val="bottom"/>
            <w:hideMark/>
          </w:tcPr>
          <w:p w14:paraId="43FA428A" w14:textId="77777777" w:rsidR="00FC4056" w:rsidRDefault="00FC4056" w:rsidP="00331966">
            <w:pPr>
              <w:pStyle w:val="Tabletext"/>
              <w:spacing w:before="20" w:after="20"/>
              <w:rPr>
                <w:rFonts w:eastAsiaTheme="minorHAnsi" w:cs="Arial"/>
                <w:bCs/>
                <w:iCs/>
                <w:color w:val="AEC12D"/>
                <w:sz w:val="32"/>
                <w:szCs w:val="28"/>
              </w:rPr>
            </w:pPr>
            <w:r>
              <w:t>0.76</w:t>
            </w:r>
          </w:p>
        </w:tc>
        <w:tc>
          <w:tcPr>
            <w:tcW w:w="2333" w:type="dxa"/>
            <w:noWrap/>
            <w:tcMar>
              <w:top w:w="0" w:type="dxa"/>
              <w:left w:w="108" w:type="dxa"/>
              <w:bottom w:w="0" w:type="dxa"/>
              <w:right w:w="108" w:type="dxa"/>
            </w:tcMar>
            <w:vAlign w:val="bottom"/>
            <w:hideMark/>
          </w:tcPr>
          <w:p w14:paraId="72D79167" w14:textId="77777777" w:rsidR="00FC4056" w:rsidRDefault="00FC4056" w:rsidP="00331966">
            <w:pPr>
              <w:pStyle w:val="Tabletext"/>
              <w:spacing w:before="20" w:after="20"/>
              <w:rPr>
                <w:rFonts w:eastAsiaTheme="minorHAnsi" w:cs="Arial"/>
                <w:bCs/>
                <w:iCs/>
                <w:color w:val="AEC12D"/>
                <w:sz w:val="32"/>
                <w:szCs w:val="28"/>
              </w:rPr>
            </w:pPr>
            <w:r>
              <w:t>0.76</w:t>
            </w:r>
          </w:p>
        </w:tc>
        <w:tc>
          <w:tcPr>
            <w:tcW w:w="1134" w:type="dxa"/>
            <w:noWrap/>
            <w:tcMar>
              <w:top w:w="0" w:type="dxa"/>
              <w:left w:w="108" w:type="dxa"/>
              <w:bottom w:w="0" w:type="dxa"/>
              <w:right w:w="108" w:type="dxa"/>
            </w:tcMar>
            <w:vAlign w:val="bottom"/>
            <w:hideMark/>
          </w:tcPr>
          <w:p w14:paraId="52F2247D" w14:textId="77777777" w:rsidR="00FC4056" w:rsidRDefault="00FC4056" w:rsidP="00331966">
            <w:pPr>
              <w:pStyle w:val="Tabletext"/>
              <w:spacing w:before="20" w:after="20"/>
              <w:rPr>
                <w:rFonts w:eastAsiaTheme="minorHAnsi" w:cs="Arial"/>
                <w:bCs/>
                <w:iCs/>
                <w:color w:val="AEC12D"/>
                <w:sz w:val="32"/>
                <w:szCs w:val="28"/>
              </w:rPr>
            </w:pPr>
            <w:r>
              <w:t>0.63</w:t>
            </w:r>
          </w:p>
        </w:tc>
        <w:tc>
          <w:tcPr>
            <w:tcW w:w="1134" w:type="dxa"/>
            <w:noWrap/>
            <w:tcMar>
              <w:top w:w="0" w:type="dxa"/>
              <w:left w:w="108" w:type="dxa"/>
              <w:bottom w:w="0" w:type="dxa"/>
              <w:right w:w="108" w:type="dxa"/>
            </w:tcMar>
            <w:vAlign w:val="bottom"/>
            <w:hideMark/>
          </w:tcPr>
          <w:p w14:paraId="2E6EA3DB" w14:textId="77777777" w:rsidR="00FC4056" w:rsidRDefault="00FC4056" w:rsidP="00331966">
            <w:pPr>
              <w:pStyle w:val="Tabletext"/>
              <w:spacing w:before="20" w:after="20"/>
              <w:rPr>
                <w:rFonts w:eastAsiaTheme="minorHAnsi" w:cs="Arial"/>
                <w:bCs/>
                <w:iCs/>
                <w:color w:val="AEC12D"/>
                <w:sz w:val="32"/>
                <w:szCs w:val="28"/>
              </w:rPr>
            </w:pPr>
            <w:r>
              <w:t>0.23</w:t>
            </w:r>
          </w:p>
        </w:tc>
        <w:tc>
          <w:tcPr>
            <w:tcW w:w="1134" w:type="dxa"/>
            <w:noWrap/>
            <w:tcMar>
              <w:top w:w="0" w:type="dxa"/>
              <w:left w:w="108" w:type="dxa"/>
              <w:bottom w:w="0" w:type="dxa"/>
              <w:right w:w="108" w:type="dxa"/>
            </w:tcMar>
            <w:vAlign w:val="bottom"/>
            <w:hideMark/>
          </w:tcPr>
          <w:p w14:paraId="6590D73B" w14:textId="77777777" w:rsidR="00FC4056" w:rsidRDefault="00FC4056" w:rsidP="00331966">
            <w:pPr>
              <w:pStyle w:val="Tabletext"/>
              <w:spacing w:before="20" w:after="20"/>
              <w:rPr>
                <w:rFonts w:eastAsiaTheme="minorHAnsi" w:cs="Arial"/>
                <w:bCs/>
                <w:iCs/>
                <w:color w:val="AEC12D"/>
                <w:sz w:val="32"/>
                <w:szCs w:val="28"/>
              </w:rPr>
            </w:pPr>
            <w:r>
              <w:t>0.23</w:t>
            </w:r>
          </w:p>
        </w:tc>
        <w:tc>
          <w:tcPr>
            <w:tcW w:w="1134" w:type="dxa"/>
            <w:noWrap/>
            <w:tcMar>
              <w:top w:w="0" w:type="dxa"/>
              <w:left w:w="108" w:type="dxa"/>
              <w:bottom w:w="0" w:type="dxa"/>
              <w:right w:w="108" w:type="dxa"/>
            </w:tcMar>
            <w:vAlign w:val="bottom"/>
            <w:hideMark/>
          </w:tcPr>
          <w:p w14:paraId="009DE800" w14:textId="77777777" w:rsidR="00FC4056" w:rsidRDefault="00FC4056" w:rsidP="00331966">
            <w:pPr>
              <w:pStyle w:val="Tabletext"/>
              <w:spacing w:before="20" w:after="20"/>
              <w:rPr>
                <w:rFonts w:eastAsiaTheme="minorHAnsi" w:cs="Arial"/>
                <w:bCs/>
                <w:iCs/>
                <w:color w:val="AEC12D"/>
                <w:sz w:val="32"/>
                <w:szCs w:val="28"/>
              </w:rPr>
            </w:pPr>
            <w:r>
              <w:t>0.23</w:t>
            </w:r>
          </w:p>
        </w:tc>
        <w:tc>
          <w:tcPr>
            <w:tcW w:w="1134" w:type="dxa"/>
            <w:noWrap/>
            <w:tcMar>
              <w:top w:w="0" w:type="dxa"/>
              <w:left w:w="108" w:type="dxa"/>
              <w:bottom w:w="0" w:type="dxa"/>
              <w:right w:w="108" w:type="dxa"/>
            </w:tcMar>
            <w:vAlign w:val="bottom"/>
            <w:hideMark/>
          </w:tcPr>
          <w:p w14:paraId="44D9FB40" w14:textId="77777777" w:rsidR="00FC4056" w:rsidRDefault="00FC4056" w:rsidP="00331966">
            <w:pPr>
              <w:pStyle w:val="Tabletext"/>
              <w:spacing w:before="20" w:after="20"/>
              <w:rPr>
                <w:rFonts w:eastAsiaTheme="minorHAnsi" w:cs="Arial"/>
                <w:bCs/>
                <w:iCs/>
                <w:color w:val="AEC12D"/>
                <w:sz w:val="32"/>
                <w:szCs w:val="28"/>
              </w:rPr>
            </w:pPr>
            <w:r>
              <w:t>0.23</w:t>
            </w:r>
          </w:p>
        </w:tc>
      </w:tr>
      <w:tr w:rsidR="00FC4056" w14:paraId="75CEEE16" w14:textId="77777777" w:rsidTr="00B22A62">
        <w:tc>
          <w:tcPr>
            <w:tcW w:w="960" w:type="dxa"/>
            <w:noWrap/>
            <w:tcMar>
              <w:top w:w="0" w:type="dxa"/>
              <w:left w:w="108" w:type="dxa"/>
              <w:bottom w:w="0" w:type="dxa"/>
              <w:right w:w="108" w:type="dxa"/>
            </w:tcMar>
            <w:vAlign w:val="bottom"/>
            <w:hideMark/>
          </w:tcPr>
          <w:p w14:paraId="0AD6DF75" w14:textId="77777777" w:rsidR="00FC4056" w:rsidRDefault="00FC4056" w:rsidP="00331966">
            <w:pPr>
              <w:pStyle w:val="Tabletext"/>
              <w:spacing w:before="20" w:after="20"/>
              <w:rPr>
                <w:rFonts w:eastAsiaTheme="minorHAnsi" w:cs="Arial"/>
                <w:bCs/>
                <w:iCs/>
                <w:color w:val="AEC12D"/>
                <w:sz w:val="32"/>
                <w:szCs w:val="28"/>
              </w:rPr>
            </w:pPr>
            <w:r>
              <w:t>189</w:t>
            </w:r>
          </w:p>
        </w:tc>
        <w:tc>
          <w:tcPr>
            <w:tcW w:w="960" w:type="dxa"/>
            <w:noWrap/>
            <w:tcMar>
              <w:top w:w="0" w:type="dxa"/>
              <w:left w:w="108" w:type="dxa"/>
              <w:bottom w:w="0" w:type="dxa"/>
              <w:right w:w="108" w:type="dxa"/>
            </w:tcMar>
            <w:vAlign w:val="bottom"/>
            <w:hideMark/>
          </w:tcPr>
          <w:p w14:paraId="704750A9" w14:textId="77777777" w:rsidR="00FC4056" w:rsidRDefault="00FC4056" w:rsidP="00331966">
            <w:pPr>
              <w:pStyle w:val="Tabletext"/>
              <w:spacing w:before="20" w:after="20"/>
              <w:rPr>
                <w:rFonts w:eastAsiaTheme="minorHAnsi" w:cs="Arial"/>
                <w:bCs/>
                <w:iCs/>
                <w:color w:val="AEC12D"/>
                <w:sz w:val="32"/>
                <w:szCs w:val="28"/>
              </w:rPr>
            </w:pPr>
            <w:r>
              <w:t>3.8</w:t>
            </w:r>
          </w:p>
        </w:tc>
        <w:tc>
          <w:tcPr>
            <w:tcW w:w="2333" w:type="dxa"/>
            <w:noWrap/>
            <w:tcMar>
              <w:top w:w="0" w:type="dxa"/>
              <w:left w:w="108" w:type="dxa"/>
              <w:bottom w:w="0" w:type="dxa"/>
              <w:right w:w="108" w:type="dxa"/>
            </w:tcMar>
            <w:vAlign w:val="bottom"/>
            <w:hideMark/>
          </w:tcPr>
          <w:p w14:paraId="7AEE5655" w14:textId="77777777" w:rsidR="00FC4056" w:rsidRDefault="00FC4056" w:rsidP="00331966">
            <w:pPr>
              <w:pStyle w:val="Tabletext"/>
              <w:spacing w:before="20" w:after="20"/>
              <w:rPr>
                <w:rFonts w:eastAsiaTheme="minorHAnsi" w:cs="Arial"/>
                <w:bCs/>
                <w:iCs/>
                <w:color w:val="AEC12D"/>
                <w:sz w:val="32"/>
                <w:szCs w:val="28"/>
              </w:rPr>
            </w:pPr>
            <w:r>
              <w:t>3.8</w:t>
            </w:r>
          </w:p>
        </w:tc>
        <w:tc>
          <w:tcPr>
            <w:tcW w:w="1134" w:type="dxa"/>
            <w:noWrap/>
            <w:tcMar>
              <w:top w:w="0" w:type="dxa"/>
              <w:left w:w="108" w:type="dxa"/>
              <w:bottom w:w="0" w:type="dxa"/>
              <w:right w:w="108" w:type="dxa"/>
            </w:tcMar>
            <w:vAlign w:val="bottom"/>
            <w:hideMark/>
          </w:tcPr>
          <w:p w14:paraId="2472ED26" w14:textId="77777777" w:rsidR="00FC4056" w:rsidRDefault="00FC4056" w:rsidP="00331966">
            <w:pPr>
              <w:pStyle w:val="Tabletext"/>
              <w:spacing w:before="20" w:after="20"/>
              <w:rPr>
                <w:rFonts w:eastAsiaTheme="minorHAnsi" w:cs="Arial"/>
                <w:bCs/>
                <w:iCs/>
                <w:color w:val="AEC12D"/>
                <w:sz w:val="32"/>
                <w:szCs w:val="28"/>
              </w:rPr>
            </w:pPr>
            <w:r>
              <w:t>3.2</w:t>
            </w:r>
          </w:p>
        </w:tc>
        <w:tc>
          <w:tcPr>
            <w:tcW w:w="1134" w:type="dxa"/>
            <w:noWrap/>
            <w:tcMar>
              <w:top w:w="0" w:type="dxa"/>
              <w:left w:w="108" w:type="dxa"/>
              <w:bottom w:w="0" w:type="dxa"/>
              <w:right w:w="108" w:type="dxa"/>
            </w:tcMar>
            <w:vAlign w:val="bottom"/>
            <w:hideMark/>
          </w:tcPr>
          <w:p w14:paraId="68007E6E" w14:textId="77777777" w:rsidR="00FC4056" w:rsidRDefault="00FC4056" w:rsidP="00331966">
            <w:pPr>
              <w:pStyle w:val="Tabletext"/>
              <w:spacing w:before="20" w:after="20"/>
              <w:rPr>
                <w:rFonts w:eastAsiaTheme="minorHAnsi" w:cs="Arial"/>
                <w:bCs/>
                <w:iCs/>
                <w:color w:val="AEC12D"/>
                <w:sz w:val="32"/>
                <w:szCs w:val="28"/>
              </w:rPr>
            </w:pPr>
            <w:r>
              <w:t>1.5</w:t>
            </w:r>
          </w:p>
        </w:tc>
        <w:tc>
          <w:tcPr>
            <w:tcW w:w="1134" w:type="dxa"/>
            <w:noWrap/>
            <w:tcMar>
              <w:top w:w="0" w:type="dxa"/>
              <w:left w:w="108" w:type="dxa"/>
              <w:bottom w:w="0" w:type="dxa"/>
              <w:right w:w="108" w:type="dxa"/>
            </w:tcMar>
            <w:vAlign w:val="bottom"/>
            <w:hideMark/>
          </w:tcPr>
          <w:p w14:paraId="75FF2191" w14:textId="77777777" w:rsidR="00FC4056" w:rsidRDefault="00FC4056" w:rsidP="00331966">
            <w:pPr>
              <w:pStyle w:val="Tabletext"/>
              <w:spacing w:before="20" w:after="20"/>
              <w:rPr>
                <w:rFonts w:eastAsiaTheme="minorHAnsi" w:cs="Arial"/>
                <w:bCs/>
                <w:iCs/>
                <w:color w:val="AEC12D"/>
                <w:sz w:val="32"/>
                <w:szCs w:val="28"/>
              </w:rPr>
            </w:pPr>
            <w:r>
              <w:t>1.5</w:t>
            </w:r>
          </w:p>
        </w:tc>
        <w:tc>
          <w:tcPr>
            <w:tcW w:w="1134" w:type="dxa"/>
            <w:noWrap/>
            <w:tcMar>
              <w:top w:w="0" w:type="dxa"/>
              <w:left w:w="108" w:type="dxa"/>
              <w:bottom w:w="0" w:type="dxa"/>
              <w:right w:w="108" w:type="dxa"/>
            </w:tcMar>
            <w:vAlign w:val="bottom"/>
            <w:hideMark/>
          </w:tcPr>
          <w:p w14:paraId="57B7AF2F" w14:textId="77777777" w:rsidR="00FC4056" w:rsidRDefault="00FC4056" w:rsidP="00331966">
            <w:pPr>
              <w:pStyle w:val="Tabletext"/>
              <w:spacing w:before="20" w:after="20"/>
              <w:rPr>
                <w:rFonts w:eastAsiaTheme="minorHAnsi" w:cs="Arial"/>
                <w:bCs/>
                <w:iCs/>
                <w:color w:val="AEC12D"/>
                <w:sz w:val="32"/>
                <w:szCs w:val="28"/>
              </w:rPr>
            </w:pPr>
            <w:r>
              <w:t>1.5</w:t>
            </w:r>
          </w:p>
        </w:tc>
        <w:tc>
          <w:tcPr>
            <w:tcW w:w="1134" w:type="dxa"/>
            <w:noWrap/>
            <w:tcMar>
              <w:top w:w="0" w:type="dxa"/>
              <w:left w:w="108" w:type="dxa"/>
              <w:bottom w:w="0" w:type="dxa"/>
              <w:right w:w="108" w:type="dxa"/>
            </w:tcMar>
            <w:vAlign w:val="bottom"/>
            <w:hideMark/>
          </w:tcPr>
          <w:p w14:paraId="3CC8937D" w14:textId="77777777" w:rsidR="00FC4056" w:rsidRDefault="00FC4056" w:rsidP="00331966">
            <w:pPr>
              <w:pStyle w:val="Tabletext"/>
              <w:spacing w:before="20" w:after="20"/>
              <w:rPr>
                <w:rFonts w:eastAsiaTheme="minorHAnsi" w:cs="Arial"/>
                <w:bCs/>
                <w:iCs/>
                <w:color w:val="AEC12D"/>
                <w:sz w:val="32"/>
                <w:szCs w:val="28"/>
              </w:rPr>
            </w:pPr>
            <w:r>
              <w:t>1.5</w:t>
            </w:r>
          </w:p>
        </w:tc>
      </w:tr>
      <w:tr w:rsidR="00FC4056" w14:paraId="327F36FF" w14:textId="77777777" w:rsidTr="00B22A62">
        <w:tc>
          <w:tcPr>
            <w:tcW w:w="960" w:type="dxa"/>
            <w:noWrap/>
            <w:tcMar>
              <w:top w:w="0" w:type="dxa"/>
              <w:left w:w="108" w:type="dxa"/>
              <w:bottom w:w="0" w:type="dxa"/>
              <w:right w:w="108" w:type="dxa"/>
            </w:tcMar>
            <w:vAlign w:val="bottom"/>
            <w:hideMark/>
          </w:tcPr>
          <w:p w14:paraId="1E90AD5E" w14:textId="77777777" w:rsidR="00FC4056" w:rsidRDefault="00FC4056" w:rsidP="00331966">
            <w:pPr>
              <w:pStyle w:val="Tabletext"/>
              <w:spacing w:before="20" w:after="20"/>
              <w:rPr>
                <w:rFonts w:eastAsiaTheme="minorHAnsi" w:cs="Arial"/>
                <w:bCs/>
                <w:iCs/>
                <w:color w:val="AEC12D"/>
                <w:sz w:val="32"/>
                <w:szCs w:val="28"/>
              </w:rPr>
            </w:pPr>
            <w:r>
              <w:t>190</w:t>
            </w:r>
          </w:p>
        </w:tc>
        <w:tc>
          <w:tcPr>
            <w:tcW w:w="960" w:type="dxa"/>
            <w:noWrap/>
            <w:tcMar>
              <w:top w:w="0" w:type="dxa"/>
              <w:left w:w="108" w:type="dxa"/>
              <w:bottom w:w="0" w:type="dxa"/>
              <w:right w:w="108" w:type="dxa"/>
            </w:tcMar>
            <w:vAlign w:val="bottom"/>
            <w:hideMark/>
          </w:tcPr>
          <w:p w14:paraId="2F57ADDD" w14:textId="77777777" w:rsidR="00FC4056" w:rsidRDefault="00FC4056" w:rsidP="00331966">
            <w:pPr>
              <w:pStyle w:val="Tabletext"/>
              <w:spacing w:before="20" w:after="20"/>
              <w:rPr>
                <w:rFonts w:eastAsiaTheme="minorHAnsi" w:cs="Arial"/>
                <w:bCs/>
                <w:iCs/>
                <w:color w:val="AEC12D"/>
                <w:sz w:val="32"/>
                <w:szCs w:val="28"/>
              </w:rPr>
            </w:pPr>
            <w:r>
              <w:t>0.82</w:t>
            </w:r>
          </w:p>
        </w:tc>
        <w:tc>
          <w:tcPr>
            <w:tcW w:w="2333" w:type="dxa"/>
            <w:noWrap/>
            <w:tcMar>
              <w:top w:w="0" w:type="dxa"/>
              <w:left w:w="108" w:type="dxa"/>
              <w:bottom w:w="0" w:type="dxa"/>
              <w:right w:w="108" w:type="dxa"/>
            </w:tcMar>
            <w:vAlign w:val="bottom"/>
            <w:hideMark/>
          </w:tcPr>
          <w:p w14:paraId="51B5D266" w14:textId="77777777" w:rsidR="00FC4056" w:rsidRDefault="00FC4056" w:rsidP="00331966">
            <w:pPr>
              <w:pStyle w:val="Tabletext"/>
              <w:spacing w:before="20" w:after="20"/>
              <w:rPr>
                <w:rFonts w:eastAsiaTheme="minorHAnsi" w:cs="Arial"/>
                <w:bCs/>
                <w:iCs/>
                <w:color w:val="AEC12D"/>
                <w:sz w:val="32"/>
                <w:szCs w:val="28"/>
              </w:rPr>
            </w:pPr>
            <w:r>
              <w:t>0.82</w:t>
            </w:r>
          </w:p>
        </w:tc>
        <w:tc>
          <w:tcPr>
            <w:tcW w:w="1134" w:type="dxa"/>
            <w:noWrap/>
            <w:tcMar>
              <w:top w:w="0" w:type="dxa"/>
              <w:left w:w="108" w:type="dxa"/>
              <w:bottom w:w="0" w:type="dxa"/>
              <w:right w:w="108" w:type="dxa"/>
            </w:tcMar>
            <w:vAlign w:val="bottom"/>
            <w:hideMark/>
          </w:tcPr>
          <w:p w14:paraId="47556819" w14:textId="77777777" w:rsidR="00FC4056" w:rsidRDefault="00FC4056" w:rsidP="00331966">
            <w:pPr>
              <w:pStyle w:val="Tabletext"/>
              <w:spacing w:before="20" w:after="20"/>
              <w:rPr>
                <w:rFonts w:eastAsiaTheme="minorHAnsi" w:cs="Arial"/>
                <w:bCs/>
                <w:iCs/>
                <w:color w:val="AEC12D"/>
                <w:sz w:val="32"/>
                <w:szCs w:val="28"/>
              </w:rPr>
            </w:pPr>
            <w:r>
              <w:t>0.66</w:t>
            </w:r>
          </w:p>
        </w:tc>
        <w:tc>
          <w:tcPr>
            <w:tcW w:w="1134" w:type="dxa"/>
            <w:noWrap/>
            <w:tcMar>
              <w:top w:w="0" w:type="dxa"/>
              <w:left w:w="108" w:type="dxa"/>
              <w:bottom w:w="0" w:type="dxa"/>
              <w:right w:w="108" w:type="dxa"/>
            </w:tcMar>
            <w:vAlign w:val="bottom"/>
            <w:hideMark/>
          </w:tcPr>
          <w:p w14:paraId="32876724" w14:textId="77777777" w:rsidR="00FC4056" w:rsidRDefault="00FC4056" w:rsidP="00331966">
            <w:pPr>
              <w:pStyle w:val="Tabletext"/>
              <w:spacing w:before="20" w:after="20"/>
              <w:rPr>
                <w:rFonts w:eastAsiaTheme="minorHAnsi" w:cs="Arial"/>
                <w:bCs/>
                <w:iCs/>
                <w:color w:val="AEC12D"/>
                <w:sz w:val="32"/>
                <w:szCs w:val="28"/>
              </w:rPr>
            </w:pPr>
            <w:r>
              <w:t>0.32</w:t>
            </w:r>
          </w:p>
        </w:tc>
        <w:tc>
          <w:tcPr>
            <w:tcW w:w="1134" w:type="dxa"/>
            <w:noWrap/>
            <w:tcMar>
              <w:top w:w="0" w:type="dxa"/>
              <w:left w:w="108" w:type="dxa"/>
              <w:bottom w:w="0" w:type="dxa"/>
              <w:right w:w="108" w:type="dxa"/>
            </w:tcMar>
            <w:vAlign w:val="bottom"/>
            <w:hideMark/>
          </w:tcPr>
          <w:p w14:paraId="0F8CA4AD" w14:textId="77777777" w:rsidR="00FC4056" w:rsidRDefault="00FC4056" w:rsidP="00331966">
            <w:pPr>
              <w:pStyle w:val="Tabletext"/>
              <w:spacing w:before="20" w:after="20"/>
              <w:rPr>
                <w:rFonts w:eastAsiaTheme="minorHAnsi" w:cs="Arial"/>
                <w:bCs/>
                <w:iCs/>
                <w:color w:val="AEC12D"/>
                <w:sz w:val="32"/>
                <w:szCs w:val="28"/>
              </w:rPr>
            </w:pPr>
            <w:r>
              <w:t>0.32</w:t>
            </w:r>
          </w:p>
        </w:tc>
        <w:tc>
          <w:tcPr>
            <w:tcW w:w="1134" w:type="dxa"/>
            <w:noWrap/>
            <w:tcMar>
              <w:top w:w="0" w:type="dxa"/>
              <w:left w:w="108" w:type="dxa"/>
              <w:bottom w:w="0" w:type="dxa"/>
              <w:right w:w="108" w:type="dxa"/>
            </w:tcMar>
            <w:vAlign w:val="bottom"/>
            <w:hideMark/>
          </w:tcPr>
          <w:p w14:paraId="21963719" w14:textId="77777777" w:rsidR="00FC4056" w:rsidRDefault="00FC4056" w:rsidP="00331966">
            <w:pPr>
              <w:pStyle w:val="Tabletext"/>
              <w:spacing w:before="20" w:after="20"/>
              <w:rPr>
                <w:rFonts w:eastAsiaTheme="minorHAnsi" w:cs="Arial"/>
                <w:bCs/>
                <w:iCs/>
                <w:color w:val="AEC12D"/>
                <w:sz w:val="32"/>
                <w:szCs w:val="28"/>
              </w:rPr>
            </w:pPr>
            <w:r>
              <w:t>0.32</w:t>
            </w:r>
          </w:p>
        </w:tc>
        <w:tc>
          <w:tcPr>
            <w:tcW w:w="1134" w:type="dxa"/>
            <w:noWrap/>
            <w:tcMar>
              <w:top w:w="0" w:type="dxa"/>
              <w:left w:w="108" w:type="dxa"/>
              <w:bottom w:w="0" w:type="dxa"/>
              <w:right w:w="108" w:type="dxa"/>
            </w:tcMar>
            <w:vAlign w:val="bottom"/>
            <w:hideMark/>
          </w:tcPr>
          <w:p w14:paraId="1ACC810B" w14:textId="77777777" w:rsidR="00FC4056" w:rsidRDefault="00FC4056" w:rsidP="00331966">
            <w:pPr>
              <w:pStyle w:val="Tabletext"/>
              <w:spacing w:before="20" w:after="20"/>
              <w:rPr>
                <w:rFonts w:eastAsiaTheme="minorHAnsi" w:cs="Arial"/>
                <w:bCs/>
                <w:iCs/>
                <w:color w:val="AEC12D"/>
                <w:sz w:val="32"/>
                <w:szCs w:val="28"/>
              </w:rPr>
            </w:pPr>
            <w:r>
              <w:t>0.32</w:t>
            </w:r>
          </w:p>
        </w:tc>
      </w:tr>
      <w:tr w:rsidR="00FC4056" w14:paraId="44EFA011" w14:textId="77777777" w:rsidTr="00B22A62">
        <w:tc>
          <w:tcPr>
            <w:tcW w:w="960" w:type="dxa"/>
            <w:noWrap/>
            <w:tcMar>
              <w:top w:w="0" w:type="dxa"/>
              <w:left w:w="108" w:type="dxa"/>
              <w:bottom w:w="0" w:type="dxa"/>
              <w:right w:w="108" w:type="dxa"/>
            </w:tcMar>
            <w:vAlign w:val="bottom"/>
            <w:hideMark/>
          </w:tcPr>
          <w:p w14:paraId="556DB0B9" w14:textId="77777777" w:rsidR="00FC4056" w:rsidRDefault="00FC4056" w:rsidP="00331966">
            <w:pPr>
              <w:pStyle w:val="Tabletext"/>
              <w:spacing w:before="20" w:after="20"/>
              <w:rPr>
                <w:rFonts w:eastAsiaTheme="minorHAnsi" w:cs="Arial"/>
                <w:bCs/>
                <w:iCs/>
                <w:color w:val="AEC12D"/>
                <w:sz w:val="32"/>
                <w:szCs w:val="28"/>
              </w:rPr>
            </w:pPr>
            <w:r>
              <w:t>191</w:t>
            </w:r>
          </w:p>
        </w:tc>
        <w:tc>
          <w:tcPr>
            <w:tcW w:w="960" w:type="dxa"/>
            <w:noWrap/>
            <w:tcMar>
              <w:top w:w="0" w:type="dxa"/>
              <w:left w:w="108" w:type="dxa"/>
              <w:bottom w:w="0" w:type="dxa"/>
              <w:right w:w="108" w:type="dxa"/>
            </w:tcMar>
            <w:vAlign w:val="bottom"/>
            <w:hideMark/>
          </w:tcPr>
          <w:p w14:paraId="6C218C1C" w14:textId="77777777" w:rsidR="00FC4056" w:rsidRDefault="00FC4056" w:rsidP="00331966">
            <w:pPr>
              <w:pStyle w:val="Tabletext"/>
              <w:spacing w:before="20" w:after="20"/>
              <w:rPr>
                <w:rFonts w:eastAsiaTheme="minorHAnsi" w:cs="Arial"/>
                <w:bCs/>
                <w:iCs/>
                <w:color w:val="AEC12D"/>
                <w:sz w:val="32"/>
                <w:szCs w:val="28"/>
              </w:rPr>
            </w:pPr>
            <w:r>
              <w:t>1.2</w:t>
            </w:r>
          </w:p>
        </w:tc>
        <w:tc>
          <w:tcPr>
            <w:tcW w:w="2333" w:type="dxa"/>
            <w:noWrap/>
            <w:tcMar>
              <w:top w:w="0" w:type="dxa"/>
              <w:left w:w="108" w:type="dxa"/>
              <w:bottom w:w="0" w:type="dxa"/>
              <w:right w:w="108" w:type="dxa"/>
            </w:tcMar>
            <w:vAlign w:val="bottom"/>
            <w:hideMark/>
          </w:tcPr>
          <w:p w14:paraId="5E090562" w14:textId="77777777" w:rsidR="00FC4056" w:rsidRDefault="00FC4056" w:rsidP="00331966">
            <w:pPr>
              <w:pStyle w:val="Tabletext"/>
              <w:spacing w:before="20" w:after="20"/>
              <w:rPr>
                <w:rFonts w:eastAsiaTheme="minorHAnsi" w:cs="Arial"/>
                <w:bCs/>
                <w:iCs/>
                <w:color w:val="AEC12D"/>
                <w:sz w:val="32"/>
                <w:szCs w:val="28"/>
              </w:rPr>
            </w:pPr>
            <w:r>
              <w:t>1.2</w:t>
            </w:r>
          </w:p>
        </w:tc>
        <w:tc>
          <w:tcPr>
            <w:tcW w:w="1134" w:type="dxa"/>
            <w:noWrap/>
            <w:tcMar>
              <w:top w:w="0" w:type="dxa"/>
              <w:left w:w="108" w:type="dxa"/>
              <w:bottom w:w="0" w:type="dxa"/>
              <w:right w:w="108" w:type="dxa"/>
            </w:tcMar>
            <w:vAlign w:val="bottom"/>
            <w:hideMark/>
          </w:tcPr>
          <w:p w14:paraId="1B205A25" w14:textId="77777777" w:rsidR="00FC4056" w:rsidRDefault="00FC4056" w:rsidP="00331966">
            <w:pPr>
              <w:pStyle w:val="Tabletext"/>
              <w:spacing w:before="20" w:after="20"/>
              <w:rPr>
                <w:rFonts w:eastAsiaTheme="minorHAnsi" w:cs="Arial"/>
                <w:bCs/>
                <w:iCs/>
                <w:color w:val="AEC12D"/>
                <w:sz w:val="32"/>
                <w:szCs w:val="28"/>
              </w:rPr>
            </w:pPr>
            <w:r>
              <w:t>0.99</w:t>
            </w:r>
          </w:p>
        </w:tc>
        <w:tc>
          <w:tcPr>
            <w:tcW w:w="1134" w:type="dxa"/>
            <w:noWrap/>
            <w:tcMar>
              <w:top w:w="0" w:type="dxa"/>
              <w:left w:w="108" w:type="dxa"/>
              <w:bottom w:w="0" w:type="dxa"/>
              <w:right w:w="108" w:type="dxa"/>
            </w:tcMar>
            <w:vAlign w:val="bottom"/>
            <w:hideMark/>
          </w:tcPr>
          <w:p w14:paraId="432EF33D" w14:textId="77777777" w:rsidR="00FC4056" w:rsidRDefault="00FC4056" w:rsidP="00331966">
            <w:pPr>
              <w:pStyle w:val="Tabletext"/>
              <w:spacing w:before="20" w:after="20"/>
              <w:rPr>
                <w:rFonts w:eastAsiaTheme="minorHAnsi" w:cs="Arial"/>
                <w:bCs/>
                <w:iCs/>
                <w:color w:val="AEC12D"/>
                <w:sz w:val="32"/>
                <w:szCs w:val="28"/>
              </w:rPr>
            </w:pPr>
            <w:r>
              <w:t>0.66</w:t>
            </w:r>
          </w:p>
        </w:tc>
        <w:tc>
          <w:tcPr>
            <w:tcW w:w="1134" w:type="dxa"/>
            <w:noWrap/>
            <w:tcMar>
              <w:top w:w="0" w:type="dxa"/>
              <w:left w:w="108" w:type="dxa"/>
              <w:bottom w:w="0" w:type="dxa"/>
              <w:right w:w="108" w:type="dxa"/>
            </w:tcMar>
            <w:vAlign w:val="bottom"/>
            <w:hideMark/>
          </w:tcPr>
          <w:p w14:paraId="7B365508" w14:textId="77777777" w:rsidR="00FC4056" w:rsidRDefault="00FC4056" w:rsidP="00331966">
            <w:pPr>
              <w:pStyle w:val="Tabletext"/>
              <w:spacing w:before="20" w:after="20"/>
              <w:rPr>
                <w:rFonts w:eastAsiaTheme="minorHAnsi" w:cs="Arial"/>
                <w:bCs/>
                <w:iCs/>
                <w:color w:val="AEC12D"/>
                <w:sz w:val="32"/>
                <w:szCs w:val="28"/>
              </w:rPr>
            </w:pPr>
            <w:r>
              <w:t>0.66</w:t>
            </w:r>
          </w:p>
        </w:tc>
        <w:tc>
          <w:tcPr>
            <w:tcW w:w="1134" w:type="dxa"/>
            <w:noWrap/>
            <w:tcMar>
              <w:top w:w="0" w:type="dxa"/>
              <w:left w:w="108" w:type="dxa"/>
              <w:bottom w:w="0" w:type="dxa"/>
              <w:right w:w="108" w:type="dxa"/>
            </w:tcMar>
            <w:vAlign w:val="bottom"/>
            <w:hideMark/>
          </w:tcPr>
          <w:p w14:paraId="6E6906FE" w14:textId="77777777" w:rsidR="00FC4056" w:rsidRDefault="00FC4056" w:rsidP="00331966">
            <w:pPr>
              <w:pStyle w:val="Tabletext"/>
              <w:spacing w:before="20" w:after="20"/>
              <w:rPr>
                <w:rFonts w:eastAsiaTheme="minorHAnsi"/>
              </w:rPr>
            </w:pPr>
            <w:r>
              <w:t>0.66</w:t>
            </w:r>
          </w:p>
        </w:tc>
        <w:tc>
          <w:tcPr>
            <w:tcW w:w="1134" w:type="dxa"/>
            <w:noWrap/>
            <w:tcMar>
              <w:top w:w="0" w:type="dxa"/>
              <w:left w:w="108" w:type="dxa"/>
              <w:bottom w:w="0" w:type="dxa"/>
              <w:right w:w="108" w:type="dxa"/>
            </w:tcMar>
            <w:vAlign w:val="bottom"/>
            <w:hideMark/>
          </w:tcPr>
          <w:p w14:paraId="4E3E3E7A" w14:textId="77777777" w:rsidR="00FC4056" w:rsidRDefault="00FC4056" w:rsidP="00331966">
            <w:pPr>
              <w:pStyle w:val="Tabletext"/>
              <w:spacing w:before="20" w:after="20"/>
              <w:rPr>
                <w:rFonts w:eastAsiaTheme="minorHAnsi" w:cs="Arial"/>
                <w:bCs/>
                <w:iCs/>
                <w:color w:val="AEC12D"/>
                <w:sz w:val="32"/>
                <w:szCs w:val="28"/>
              </w:rPr>
            </w:pPr>
            <w:r>
              <w:t>0.66</w:t>
            </w:r>
          </w:p>
        </w:tc>
      </w:tr>
      <w:tr w:rsidR="00FC4056" w14:paraId="7BC4856C" w14:textId="77777777" w:rsidTr="00B22A62">
        <w:tc>
          <w:tcPr>
            <w:tcW w:w="960" w:type="dxa"/>
            <w:noWrap/>
            <w:tcMar>
              <w:top w:w="0" w:type="dxa"/>
              <w:left w:w="108" w:type="dxa"/>
              <w:bottom w:w="0" w:type="dxa"/>
              <w:right w:w="108" w:type="dxa"/>
            </w:tcMar>
            <w:vAlign w:val="bottom"/>
            <w:hideMark/>
          </w:tcPr>
          <w:p w14:paraId="37DC8C89" w14:textId="77777777" w:rsidR="00FC4056" w:rsidRDefault="00FC4056" w:rsidP="00331966">
            <w:pPr>
              <w:pStyle w:val="Tabletext"/>
              <w:spacing w:before="20" w:after="20"/>
              <w:rPr>
                <w:rFonts w:eastAsiaTheme="minorHAnsi" w:cs="Arial"/>
                <w:bCs/>
                <w:iCs/>
                <w:color w:val="AEC12D"/>
                <w:sz w:val="32"/>
                <w:szCs w:val="28"/>
              </w:rPr>
            </w:pPr>
            <w:r>
              <w:t>192</w:t>
            </w:r>
          </w:p>
        </w:tc>
        <w:tc>
          <w:tcPr>
            <w:tcW w:w="960" w:type="dxa"/>
            <w:noWrap/>
            <w:tcMar>
              <w:top w:w="0" w:type="dxa"/>
              <w:left w:w="108" w:type="dxa"/>
              <w:bottom w:w="0" w:type="dxa"/>
              <w:right w:w="108" w:type="dxa"/>
            </w:tcMar>
            <w:vAlign w:val="bottom"/>
            <w:hideMark/>
          </w:tcPr>
          <w:p w14:paraId="23082DE0" w14:textId="77777777" w:rsidR="00FC4056" w:rsidRDefault="00FC4056" w:rsidP="00331966">
            <w:pPr>
              <w:pStyle w:val="Tabletext"/>
              <w:spacing w:before="20" w:after="20"/>
              <w:rPr>
                <w:rFonts w:eastAsiaTheme="minorHAnsi" w:cs="Arial"/>
                <w:bCs/>
                <w:iCs/>
                <w:color w:val="AEC12D"/>
                <w:sz w:val="32"/>
                <w:szCs w:val="28"/>
              </w:rPr>
            </w:pPr>
            <w:r>
              <w:t>1.9</w:t>
            </w:r>
          </w:p>
        </w:tc>
        <w:tc>
          <w:tcPr>
            <w:tcW w:w="2333" w:type="dxa"/>
            <w:noWrap/>
            <w:tcMar>
              <w:top w:w="0" w:type="dxa"/>
              <w:left w:w="108" w:type="dxa"/>
              <w:bottom w:w="0" w:type="dxa"/>
              <w:right w:w="108" w:type="dxa"/>
            </w:tcMar>
            <w:vAlign w:val="bottom"/>
            <w:hideMark/>
          </w:tcPr>
          <w:p w14:paraId="0BD4B681" w14:textId="77777777" w:rsidR="00FC4056" w:rsidRDefault="00FC4056" w:rsidP="00331966">
            <w:pPr>
              <w:pStyle w:val="Tabletext"/>
              <w:spacing w:before="20" w:after="20"/>
              <w:rPr>
                <w:rFonts w:eastAsiaTheme="minorHAnsi" w:cs="Arial"/>
                <w:bCs/>
                <w:iCs/>
                <w:color w:val="AEC12D"/>
                <w:sz w:val="32"/>
                <w:szCs w:val="28"/>
              </w:rPr>
            </w:pPr>
            <w:r>
              <w:t>1.9</w:t>
            </w:r>
          </w:p>
        </w:tc>
        <w:tc>
          <w:tcPr>
            <w:tcW w:w="1134" w:type="dxa"/>
            <w:noWrap/>
            <w:tcMar>
              <w:top w:w="0" w:type="dxa"/>
              <w:left w:w="108" w:type="dxa"/>
              <w:bottom w:w="0" w:type="dxa"/>
              <w:right w:w="108" w:type="dxa"/>
            </w:tcMar>
            <w:vAlign w:val="bottom"/>
            <w:hideMark/>
          </w:tcPr>
          <w:p w14:paraId="7A6A3B51" w14:textId="77777777" w:rsidR="00FC4056" w:rsidRDefault="00FC4056" w:rsidP="00331966">
            <w:pPr>
              <w:pStyle w:val="Tabletext"/>
              <w:spacing w:before="20" w:after="20"/>
              <w:rPr>
                <w:rFonts w:eastAsiaTheme="minorHAnsi" w:cs="Arial"/>
                <w:bCs/>
                <w:iCs/>
                <w:color w:val="AEC12D"/>
                <w:sz w:val="32"/>
                <w:szCs w:val="28"/>
              </w:rPr>
            </w:pPr>
            <w:r>
              <w:t>1.7</w:t>
            </w:r>
          </w:p>
        </w:tc>
        <w:tc>
          <w:tcPr>
            <w:tcW w:w="1134" w:type="dxa"/>
            <w:noWrap/>
            <w:tcMar>
              <w:top w:w="0" w:type="dxa"/>
              <w:left w:w="108" w:type="dxa"/>
              <w:bottom w:w="0" w:type="dxa"/>
              <w:right w:w="108" w:type="dxa"/>
            </w:tcMar>
            <w:vAlign w:val="bottom"/>
            <w:hideMark/>
          </w:tcPr>
          <w:p w14:paraId="58728511" w14:textId="77777777" w:rsidR="00FC4056" w:rsidRDefault="00FC4056" w:rsidP="00331966">
            <w:pPr>
              <w:pStyle w:val="Tabletext"/>
              <w:spacing w:before="20" w:after="20"/>
              <w:rPr>
                <w:rFonts w:eastAsiaTheme="minorHAnsi" w:cs="Arial"/>
                <w:bCs/>
                <w:iCs/>
                <w:color w:val="AEC12D"/>
                <w:sz w:val="32"/>
                <w:szCs w:val="28"/>
              </w:rPr>
            </w:pPr>
            <w:r>
              <w:t>1.2</w:t>
            </w:r>
          </w:p>
        </w:tc>
        <w:tc>
          <w:tcPr>
            <w:tcW w:w="1134" w:type="dxa"/>
            <w:noWrap/>
            <w:tcMar>
              <w:top w:w="0" w:type="dxa"/>
              <w:left w:w="108" w:type="dxa"/>
              <w:bottom w:w="0" w:type="dxa"/>
              <w:right w:w="108" w:type="dxa"/>
            </w:tcMar>
            <w:vAlign w:val="bottom"/>
            <w:hideMark/>
          </w:tcPr>
          <w:p w14:paraId="3C67B392" w14:textId="77777777" w:rsidR="00FC4056" w:rsidRDefault="00FC4056" w:rsidP="00331966">
            <w:pPr>
              <w:pStyle w:val="Tabletext"/>
              <w:spacing w:before="20" w:after="20"/>
              <w:rPr>
                <w:rFonts w:eastAsiaTheme="minorHAnsi" w:cs="Arial"/>
                <w:bCs/>
                <w:iCs/>
                <w:color w:val="AEC12D"/>
                <w:sz w:val="32"/>
                <w:szCs w:val="28"/>
              </w:rPr>
            </w:pPr>
            <w:r>
              <w:t>1.2</w:t>
            </w:r>
          </w:p>
        </w:tc>
        <w:tc>
          <w:tcPr>
            <w:tcW w:w="1134" w:type="dxa"/>
            <w:noWrap/>
            <w:tcMar>
              <w:top w:w="0" w:type="dxa"/>
              <w:left w:w="108" w:type="dxa"/>
              <w:bottom w:w="0" w:type="dxa"/>
              <w:right w:w="108" w:type="dxa"/>
            </w:tcMar>
            <w:vAlign w:val="bottom"/>
            <w:hideMark/>
          </w:tcPr>
          <w:p w14:paraId="7160AC12" w14:textId="77777777" w:rsidR="00FC4056" w:rsidRDefault="00FC4056" w:rsidP="00331966">
            <w:pPr>
              <w:pStyle w:val="Tabletext"/>
              <w:spacing w:before="20" w:after="20"/>
              <w:rPr>
                <w:rFonts w:eastAsiaTheme="minorHAnsi" w:cs="Arial"/>
                <w:bCs/>
                <w:iCs/>
                <w:color w:val="AEC12D"/>
                <w:sz w:val="32"/>
                <w:szCs w:val="28"/>
              </w:rPr>
            </w:pPr>
            <w:r>
              <w:t>1.2</w:t>
            </w:r>
          </w:p>
        </w:tc>
        <w:tc>
          <w:tcPr>
            <w:tcW w:w="1134" w:type="dxa"/>
            <w:noWrap/>
            <w:tcMar>
              <w:top w:w="0" w:type="dxa"/>
              <w:left w:w="108" w:type="dxa"/>
              <w:bottom w:w="0" w:type="dxa"/>
              <w:right w:w="108" w:type="dxa"/>
            </w:tcMar>
            <w:vAlign w:val="bottom"/>
            <w:hideMark/>
          </w:tcPr>
          <w:p w14:paraId="24B62C0C" w14:textId="77777777" w:rsidR="00FC4056" w:rsidRDefault="00FC4056" w:rsidP="00331966">
            <w:pPr>
              <w:pStyle w:val="Tabletext"/>
              <w:spacing w:before="20" w:after="20"/>
              <w:rPr>
                <w:rFonts w:eastAsiaTheme="minorHAnsi" w:cs="Arial"/>
                <w:bCs/>
                <w:iCs/>
                <w:color w:val="AEC12D"/>
                <w:sz w:val="32"/>
                <w:szCs w:val="28"/>
              </w:rPr>
            </w:pPr>
            <w:r>
              <w:t>1.2</w:t>
            </w:r>
          </w:p>
        </w:tc>
      </w:tr>
      <w:tr w:rsidR="00FC4056" w14:paraId="775CC222" w14:textId="77777777" w:rsidTr="00B22A62">
        <w:tc>
          <w:tcPr>
            <w:tcW w:w="960" w:type="dxa"/>
            <w:noWrap/>
            <w:tcMar>
              <w:top w:w="0" w:type="dxa"/>
              <w:left w:w="108" w:type="dxa"/>
              <w:bottom w:w="0" w:type="dxa"/>
              <w:right w:w="108" w:type="dxa"/>
            </w:tcMar>
            <w:vAlign w:val="bottom"/>
            <w:hideMark/>
          </w:tcPr>
          <w:p w14:paraId="3D3F81DC" w14:textId="77777777" w:rsidR="00FC4056" w:rsidRDefault="00FC4056" w:rsidP="00331966">
            <w:pPr>
              <w:pStyle w:val="Tabletext"/>
              <w:spacing w:before="20" w:after="20"/>
              <w:rPr>
                <w:rFonts w:eastAsiaTheme="minorHAnsi" w:cs="Arial"/>
                <w:bCs/>
                <w:iCs/>
                <w:color w:val="AEC12D"/>
                <w:sz w:val="32"/>
                <w:szCs w:val="28"/>
              </w:rPr>
            </w:pPr>
            <w:r>
              <w:t>222</w:t>
            </w:r>
          </w:p>
        </w:tc>
        <w:tc>
          <w:tcPr>
            <w:tcW w:w="960" w:type="dxa"/>
            <w:noWrap/>
            <w:tcMar>
              <w:top w:w="0" w:type="dxa"/>
              <w:left w:w="108" w:type="dxa"/>
              <w:bottom w:w="0" w:type="dxa"/>
              <w:right w:w="108" w:type="dxa"/>
            </w:tcMar>
            <w:vAlign w:val="bottom"/>
            <w:hideMark/>
          </w:tcPr>
          <w:p w14:paraId="4865B7E7" w14:textId="77777777" w:rsidR="00FC4056" w:rsidRDefault="00FC4056" w:rsidP="00331966">
            <w:pPr>
              <w:pStyle w:val="Tabletext"/>
              <w:spacing w:before="20" w:after="20"/>
              <w:rPr>
                <w:rFonts w:eastAsiaTheme="minorHAnsi" w:cs="Arial"/>
                <w:bCs/>
                <w:iCs/>
                <w:color w:val="AEC12D"/>
                <w:sz w:val="32"/>
                <w:szCs w:val="28"/>
              </w:rPr>
            </w:pPr>
            <w:r>
              <w:t>1.7</w:t>
            </w:r>
          </w:p>
        </w:tc>
        <w:tc>
          <w:tcPr>
            <w:tcW w:w="2333" w:type="dxa"/>
            <w:noWrap/>
            <w:tcMar>
              <w:top w:w="0" w:type="dxa"/>
              <w:left w:w="108" w:type="dxa"/>
              <w:bottom w:w="0" w:type="dxa"/>
              <w:right w:w="108" w:type="dxa"/>
            </w:tcMar>
            <w:vAlign w:val="bottom"/>
            <w:hideMark/>
          </w:tcPr>
          <w:p w14:paraId="014CF0BD" w14:textId="77777777" w:rsidR="00FC4056" w:rsidRDefault="00FC4056" w:rsidP="00331966">
            <w:pPr>
              <w:pStyle w:val="Tabletext"/>
              <w:spacing w:before="20" w:after="20"/>
              <w:rPr>
                <w:rFonts w:eastAsiaTheme="minorHAnsi" w:cs="Arial"/>
                <w:bCs/>
                <w:iCs/>
                <w:color w:val="AEC12D"/>
                <w:sz w:val="32"/>
                <w:szCs w:val="28"/>
              </w:rPr>
            </w:pPr>
            <w:r>
              <w:t>1.7</w:t>
            </w:r>
          </w:p>
        </w:tc>
        <w:tc>
          <w:tcPr>
            <w:tcW w:w="1134" w:type="dxa"/>
            <w:noWrap/>
            <w:tcMar>
              <w:top w:w="0" w:type="dxa"/>
              <w:left w:w="108" w:type="dxa"/>
              <w:bottom w:w="0" w:type="dxa"/>
              <w:right w:w="108" w:type="dxa"/>
            </w:tcMar>
            <w:vAlign w:val="bottom"/>
            <w:hideMark/>
          </w:tcPr>
          <w:p w14:paraId="7FBC31A3" w14:textId="77777777" w:rsidR="00FC4056" w:rsidRDefault="00FC4056" w:rsidP="00331966">
            <w:pPr>
              <w:pStyle w:val="Tabletext"/>
              <w:spacing w:before="20" w:after="20"/>
              <w:rPr>
                <w:rFonts w:eastAsiaTheme="minorHAnsi" w:cs="Arial"/>
                <w:bCs/>
                <w:iCs/>
                <w:color w:val="AEC12D"/>
                <w:sz w:val="32"/>
                <w:szCs w:val="28"/>
              </w:rPr>
            </w:pPr>
            <w:r>
              <w:t>1.4</w:t>
            </w:r>
          </w:p>
        </w:tc>
        <w:tc>
          <w:tcPr>
            <w:tcW w:w="1134" w:type="dxa"/>
            <w:noWrap/>
            <w:tcMar>
              <w:top w:w="0" w:type="dxa"/>
              <w:left w:w="108" w:type="dxa"/>
              <w:bottom w:w="0" w:type="dxa"/>
              <w:right w:w="108" w:type="dxa"/>
            </w:tcMar>
            <w:vAlign w:val="bottom"/>
            <w:hideMark/>
          </w:tcPr>
          <w:p w14:paraId="71C93625" w14:textId="77777777" w:rsidR="00FC4056" w:rsidRDefault="00FC4056" w:rsidP="00331966">
            <w:pPr>
              <w:pStyle w:val="Tabletext"/>
              <w:spacing w:before="20" w:after="20"/>
              <w:rPr>
                <w:rFonts w:eastAsiaTheme="minorHAnsi" w:cs="Arial"/>
                <w:bCs/>
                <w:iCs/>
                <w:color w:val="AEC12D"/>
                <w:sz w:val="32"/>
                <w:szCs w:val="28"/>
              </w:rPr>
            </w:pPr>
            <w:r>
              <w:t>0.57</w:t>
            </w:r>
          </w:p>
        </w:tc>
        <w:tc>
          <w:tcPr>
            <w:tcW w:w="1134" w:type="dxa"/>
            <w:noWrap/>
            <w:tcMar>
              <w:top w:w="0" w:type="dxa"/>
              <w:left w:w="108" w:type="dxa"/>
              <w:bottom w:w="0" w:type="dxa"/>
              <w:right w:w="108" w:type="dxa"/>
            </w:tcMar>
            <w:vAlign w:val="bottom"/>
            <w:hideMark/>
          </w:tcPr>
          <w:p w14:paraId="4F2F1F74" w14:textId="77777777" w:rsidR="00FC4056" w:rsidRDefault="00FC4056" w:rsidP="00331966">
            <w:pPr>
              <w:pStyle w:val="Tabletext"/>
              <w:spacing w:before="20" w:after="20"/>
              <w:rPr>
                <w:rFonts w:eastAsiaTheme="minorHAnsi" w:cs="Arial"/>
                <w:bCs/>
                <w:iCs/>
                <w:color w:val="AEC12D"/>
                <w:sz w:val="32"/>
                <w:szCs w:val="28"/>
              </w:rPr>
            </w:pPr>
            <w:r>
              <w:t>0.57</w:t>
            </w:r>
          </w:p>
        </w:tc>
        <w:tc>
          <w:tcPr>
            <w:tcW w:w="1134" w:type="dxa"/>
            <w:noWrap/>
            <w:tcMar>
              <w:top w:w="0" w:type="dxa"/>
              <w:left w:w="108" w:type="dxa"/>
              <w:bottom w:w="0" w:type="dxa"/>
              <w:right w:w="108" w:type="dxa"/>
            </w:tcMar>
            <w:vAlign w:val="bottom"/>
            <w:hideMark/>
          </w:tcPr>
          <w:p w14:paraId="5DD68246" w14:textId="77777777" w:rsidR="00FC4056" w:rsidRDefault="00FC4056" w:rsidP="00331966">
            <w:pPr>
              <w:pStyle w:val="Tabletext"/>
              <w:spacing w:before="20" w:after="20"/>
              <w:rPr>
                <w:rFonts w:eastAsiaTheme="minorHAnsi" w:cs="Arial"/>
                <w:bCs/>
                <w:iCs/>
                <w:color w:val="AEC12D"/>
                <w:sz w:val="32"/>
                <w:szCs w:val="28"/>
              </w:rPr>
            </w:pPr>
            <w:r>
              <w:t>0.57</w:t>
            </w:r>
          </w:p>
        </w:tc>
        <w:tc>
          <w:tcPr>
            <w:tcW w:w="1134" w:type="dxa"/>
            <w:noWrap/>
            <w:tcMar>
              <w:top w:w="0" w:type="dxa"/>
              <w:left w:w="108" w:type="dxa"/>
              <w:bottom w:w="0" w:type="dxa"/>
              <w:right w:w="108" w:type="dxa"/>
            </w:tcMar>
            <w:vAlign w:val="bottom"/>
            <w:hideMark/>
          </w:tcPr>
          <w:p w14:paraId="0950AF2B" w14:textId="77777777" w:rsidR="00FC4056" w:rsidRDefault="00FC4056" w:rsidP="00331966">
            <w:pPr>
              <w:pStyle w:val="Tabletext"/>
              <w:spacing w:before="20" w:after="20"/>
              <w:rPr>
                <w:rFonts w:eastAsiaTheme="minorHAnsi" w:cs="Arial"/>
                <w:bCs/>
                <w:iCs/>
                <w:color w:val="AEC12D"/>
                <w:sz w:val="32"/>
                <w:szCs w:val="28"/>
              </w:rPr>
            </w:pPr>
            <w:r>
              <w:t>0.57</w:t>
            </w:r>
          </w:p>
        </w:tc>
      </w:tr>
      <w:tr w:rsidR="00FC4056" w14:paraId="55931896" w14:textId="77777777" w:rsidTr="00B22A62">
        <w:tc>
          <w:tcPr>
            <w:tcW w:w="960" w:type="dxa"/>
            <w:noWrap/>
            <w:tcMar>
              <w:top w:w="0" w:type="dxa"/>
              <w:left w:w="108" w:type="dxa"/>
              <w:bottom w:w="0" w:type="dxa"/>
              <w:right w:w="108" w:type="dxa"/>
            </w:tcMar>
            <w:vAlign w:val="bottom"/>
            <w:hideMark/>
          </w:tcPr>
          <w:p w14:paraId="3C90976D" w14:textId="77777777" w:rsidR="00FC4056" w:rsidRDefault="00FC4056" w:rsidP="00331966">
            <w:pPr>
              <w:pStyle w:val="Tabletext"/>
              <w:spacing w:before="20" w:after="20"/>
              <w:rPr>
                <w:rFonts w:eastAsiaTheme="minorHAnsi" w:cs="Arial"/>
                <w:bCs/>
                <w:iCs/>
                <w:color w:val="AEC12D"/>
                <w:sz w:val="32"/>
                <w:szCs w:val="28"/>
              </w:rPr>
            </w:pPr>
            <w:r>
              <w:t>223</w:t>
            </w:r>
          </w:p>
        </w:tc>
        <w:tc>
          <w:tcPr>
            <w:tcW w:w="960" w:type="dxa"/>
            <w:noWrap/>
            <w:tcMar>
              <w:top w:w="0" w:type="dxa"/>
              <w:left w:w="108" w:type="dxa"/>
              <w:bottom w:w="0" w:type="dxa"/>
              <w:right w:w="108" w:type="dxa"/>
            </w:tcMar>
            <w:vAlign w:val="bottom"/>
            <w:hideMark/>
          </w:tcPr>
          <w:p w14:paraId="120DFADB" w14:textId="77777777" w:rsidR="00FC4056" w:rsidRDefault="00FC4056" w:rsidP="00331966">
            <w:pPr>
              <w:pStyle w:val="Tabletext"/>
              <w:spacing w:before="20" w:after="20"/>
              <w:rPr>
                <w:rFonts w:eastAsiaTheme="minorHAnsi" w:cs="Arial"/>
                <w:bCs/>
                <w:iCs/>
                <w:color w:val="AEC12D"/>
                <w:sz w:val="32"/>
                <w:szCs w:val="28"/>
              </w:rPr>
            </w:pPr>
            <w:r>
              <w:t>1.5</w:t>
            </w:r>
          </w:p>
        </w:tc>
        <w:tc>
          <w:tcPr>
            <w:tcW w:w="2333" w:type="dxa"/>
            <w:noWrap/>
            <w:tcMar>
              <w:top w:w="0" w:type="dxa"/>
              <w:left w:w="108" w:type="dxa"/>
              <w:bottom w:w="0" w:type="dxa"/>
              <w:right w:w="108" w:type="dxa"/>
            </w:tcMar>
            <w:vAlign w:val="bottom"/>
            <w:hideMark/>
          </w:tcPr>
          <w:p w14:paraId="3D5D5742" w14:textId="77777777" w:rsidR="00FC4056" w:rsidRDefault="00FC4056" w:rsidP="00331966">
            <w:pPr>
              <w:pStyle w:val="Tabletext"/>
              <w:spacing w:before="20" w:after="20"/>
              <w:rPr>
                <w:rFonts w:eastAsiaTheme="minorHAnsi" w:cs="Arial"/>
                <w:bCs/>
                <w:iCs/>
                <w:color w:val="AEC12D"/>
                <w:sz w:val="32"/>
                <w:szCs w:val="28"/>
              </w:rPr>
            </w:pPr>
            <w:r>
              <w:t>1.5</w:t>
            </w:r>
          </w:p>
        </w:tc>
        <w:tc>
          <w:tcPr>
            <w:tcW w:w="1134" w:type="dxa"/>
            <w:noWrap/>
            <w:tcMar>
              <w:top w:w="0" w:type="dxa"/>
              <w:left w:w="108" w:type="dxa"/>
              <w:bottom w:w="0" w:type="dxa"/>
              <w:right w:w="108" w:type="dxa"/>
            </w:tcMar>
            <w:vAlign w:val="bottom"/>
            <w:hideMark/>
          </w:tcPr>
          <w:p w14:paraId="40E9658E" w14:textId="77777777" w:rsidR="00FC4056" w:rsidRDefault="00FC4056" w:rsidP="00331966">
            <w:pPr>
              <w:pStyle w:val="Tabletext"/>
              <w:spacing w:before="20" w:after="20"/>
              <w:rPr>
                <w:rFonts w:eastAsiaTheme="minorHAnsi" w:cs="Arial"/>
                <w:bCs/>
                <w:iCs/>
                <w:color w:val="AEC12D"/>
                <w:sz w:val="32"/>
                <w:szCs w:val="28"/>
              </w:rPr>
            </w:pPr>
            <w:r>
              <w:t>1.1</w:t>
            </w:r>
          </w:p>
        </w:tc>
        <w:tc>
          <w:tcPr>
            <w:tcW w:w="1134" w:type="dxa"/>
            <w:noWrap/>
            <w:tcMar>
              <w:top w:w="0" w:type="dxa"/>
              <w:left w:w="108" w:type="dxa"/>
              <w:bottom w:w="0" w:type="dxa"/>
              <w:right w:w="108" w:type="dxa"/>
            </w:tcMar>
            <w:vAlign w:val="bottom"/>
            <w:hideMark/>
          </w:tcPr>
          <w:p w14:paraId="54E9C59C" w14:textId="77777777" w:rsidR="00FC4056" w:rsidRDefault="00FC4056" w:rsidP="00331966">
            <w:pPr>
              <w:pStyle w:val="Tabletext"/>
              <w:spacing w:before="20" w:after="20"/>
              <w:rPr>
                <w:rFonts w:eastAsiaTheme="minorHAnsi" w:cs="Arial"/>
                <w:bCs/>
                <w:iCs/>
                <w:color w:val="AEC12D"/>
                <w:sz w:val="32"/>
                <w:szCs w:val="28"/>
              </w:rPr>
            </w:pPr>
            <w:r>
              <w:t>0.46</w:t>
            </w:r>
          </w:p>
        </w:tc>
        <w:tc>
          <w:tcPr>
            <w:tcW w:w="1134" w:type="dxa"/>
            <w:noWrap/>
            <w:tcMar>
              <w:top w:w="0" w:type="dxa"/>
              <w:left w:w="108" w:type="dxa"/>
              <w:bottom w:w="0" w:type="dxa"/>
              <w:right w:w="108" w:type="dxa"/>
            </w:tcMar>
            <w:vAlign w:val="bottom"/>
            <w:hideMark/>
          </w:tcPr>
          <w:p w14:paraId="274EE763" w14:textId="77777777" w:rsidR="00FC4056" w:rsidRDefault="00FC4056" w:rsidP="00331966">
            <w:pPr>
              <w:pStyle w:val="Tabletext"/>
              <w:spacing w:before="20" w:after="20"/>
              <w:rPr>
                <w:rFonts w:eastAsiaTheme="minorHAnsi" w:cs="Arial"/>
                <w:bCs/>
                <w:iCs/>
                <w:color w:val="AEC12D"/>
                <w:sz w:val="32"/>
                <w:szCs w:val="28"/>
              </w:rPr>
            </w:pPr>
            <w:r>
              <w:t>0.46</w:t>
            </w:r>
          </w:p>
        </w:tc>
        <w:tc>
          <w:tcPr>
            <w:tcW w:w="1134" w:type="dxa"/>
            <w:noWrap/>
            <w:tcMar>
              <w:top w:w="0" w:type="dxa"/>
              <w:left w:w="108" w:type="dxa"/>
              <w:bottom w:w="0" w:type="dxa"/>
              <w:right w:w="108" w:type="dxa"/>
            </w:tcMar>
            <w:vAlign w:val="bottom"/>
            <w:hideMark/>
          </w:tcPr>
          <w:p w14:paraId="190F8228" w14:textId="77777777" w:rsidR="00FC4056" w:rsidRDefault="00FC4056" w:rsidP="00331966">
            <w:pPr>
              <w:pStyle w:val="Tabletext"/>
              <w:spacing w:before="20" w:after="20"/>
              <w:rPr>
                <w:rFonts w:eastAsiaTheme="minorHAnsi" w:cs="Arial"/>
                <w:bCs/>
                <w:iCs/>
                <w:color w:val="AEC12D"/>
                <w:sz w:val="32"/>
                <w:szCs w:val="28"/>
              </w:rPr>
            </w:pPr>
            <w:r>
              <w:t>0.46</w:t>
            </w:r>
          </w:p>
        </w:tc>
        <w:tc>
          <w:tcPr>
            <w:tcW w:w="1134" w:type="dxa"/>
            <w:noWrap/>
            <w:tcMar>
              <w:top w:w="0" w:type="dxa"/>
              <w:left w:w="108" w:type="dxa"/>
              <w:bottom w:w="0" w:type="dxa"/>
              <w:right w:w="108" w:type="dxa"/>
            </w:tcMar>
            <w:vAlign w:val="bottom"/>
            <w:hideMark/>
          </w:tcPr>
          <w:p w14:paraId="0300ED0F" w14:textId="77777777" w:rsidR="00FC4056" w:rsidRDefault="00FC4056" w:rsidP="00331966">
            <w:pPr>
              <w:pStyle w:val="Tabletext"/>
              <w:spacing w:before="20" w:after="20"/>
              <w:rPr>
                <w:rFonts w:eastAsiaTheme="minorHAnsi" w:cs="Arial"/>
                <w:bCs/>
                <w:iCs/>
                <w:color w:val="AEC12D"/>
                <w:sz w:val="32"/>
                <w:szCs w:val="28"/>
              </w:rPr>
            </w:pPr>
            <w:r>
              <w:t>0.46</w:t>
            </w:r>
          </w:p>
        </w:tc>
      </w:tr>
      <w:tr w:rsidR="00FC4056" w14:paraId="2FD53B23" w14:textId="77777777" w:rsidTr="00B22A62">
        <w:tc>
          <w:tcPr>
            <w:tcW w:w="960" w:type="dxa"/>
            <w:noWrap/>
            <w:tcMar>
              <w:top w:w="0" w:type="dxa"/>
              <w:left w:w="108" w:type="dxa"/>
              <w:bottom w:w="0" w:type="dxa"/>
              <w:right w:w="108" w:type="dxa"/>
            </w:tcMar>
            <w:vAlign w:val="bottom"/>
            <w:hideMark/>
          </w:tcPr>
          <w:p w14:paraId="07231EEB" w14:textId="77777777" w:rsidR="00FC4056" w:rsidRDefault="00FC4056" w:rsidP="00331966">
            <w:pPr>
              <w:pStyle w:val="Tabletext"/>
              <w:spacing w:before="20" w:after="20"/>
              <w:rPr>
                <w:rFonts w:eastAsiaTheme="minorHAnsi" w:cs="Arial"/>
                <w:bCs/>
                <w:iCs/>
                <w:color w:val="AEC12D"/>
                <w:sz w:val="32"/>
                <w:szCs w:val="28"/>
              </w:rPr>
            </w:pPr>
            <w:r>
              <w:t>224</w:t>
            </w:r>
          </w:p>
        </w:tc>
        <w:tc>
          <w:tcPr>
            <w:tcW w:w="960" w:type="dxa"/>
            <w:noWrap/>
            <w:tcMar>
              <w:top w:w="0" w:type="dxa"/>
              <w:left w:w="108" w:type="dxa"/>
              <w:bottom w:w="0" w:type="dxa"/>
              <w:right w:w="108" w:type="dxa"/>
            </w:tcMar>
            <w:vAlign w:val="bottom"/>
            <w:hideMark/>
          </w:tcPr>
          <w:p w14:paraId="6965E17B" w14:textId="77777777" w:rsidR="00FC4056" w:rsidRDefault="00FC4056" w:rsidP="00331966">
            <w:pPr>
              <w:pStyle w:val="Tabletext"/>
              <w:spacing w:before="20" w:after="20"/>
              <w:rPr>
                <w:rFonts w:eastAsiaTheme="minorHAnsi" w:cs="Arial"/>
                <w:bCs/>
                <w:iCs/>
                <w:color w:val="AEC12D"/>
                <w:sz w:val="32"/>
                <w:szCs w:val="28"/>
              </w:rPr>
            </w:pPr>
            <w:r>
              <w:t>0.97</w:t>
            </w:r>
          </w:p>
        </w:tc>
        <w:tc>
          <w:tcPr>
            <w:tcW w:w="2333" w:type="dxa"/>
            <w:noWrap/>
            <w:tcMar>
              <w:top w:w="0" w:type="dxa"/>
              <w:left w:w="108" w:type="dxa"/>
              <w:bottom w:w="0" w:type="dxa"/>
              <w:right w:w="108" w:type="dxa"/>
            </w:tcMar>
            <w:vAlign w:val="bottom"/>
            <w:hideMark/>
          </w:tcPr>
          <w:p w14:paraId="048809CC" w14:textId="77777777" w:rsidR="00FC4056" w:rsidRDefault="00FC4056" w:rsidP="00331966">
            <w:pPr>
              <w:pStyle w:val="Tabletext"/>
              <w:spacing w:before="20" w:after="20"/>
              <w:rPr>
                <w:rFonts w:eastAsiaTheme="minorHAnsi" w:cs="Arial"/>
                <w:bCs/>
                <w:iCs/>
                <w:color w:val="AEC12D"/>
                <w:sz w:val="32"/>
                <w:szCs w:val="28"/>
              </w:rPr>
            </w:pPr>
            <w:r>
              <w:t>0.97</w:t>
            </w:r>
          </w:p>
        </w:tc>
        <w:tc>
          <w:tcPr>
            <w:tcW w:w="1134" w:type="dxa"/>
            <w:noWrap/>
            <w:tcMar>
              <w:top w:w="0" w:type="dxa"/>
              <w:left w:w="108" w:type="dxa"/>
              <w:bottom w:w="0" w:type="dxa"/>
              <w:right w:w="108" w:type="dxa"/>
            </w:tcMar>
            <w:vAlign w:val="bottom"/>
            <w:hideMark/>
          </w:tcPr>
          <w:p w14:paraId="71EC8FFA" w14:textId="77777777" w:rsidR="00FC4056" w:rsidRDefault="00FC4056" w:rsidP="00331966">
            <w:pPr>
              <w:pStyle w:val="Tabletext"/>
              <w:spacing w:before="20" w:after="20"/>
              <w:rPr>
                <w:rFonts w:eastAsiaTheme="minorHAnsi" w:cs="Arial"/>
                <w:bCs/>
                <w:iCs/>
                <w:color w:val="AEC12D"/>
                <w:sz w:val="32"/>
                <w:szCs w:val="28"/>
              </w:rPr>
            </w:pPr>
            <w:r>
              <w:t>0.78</w:t>
            </w:r>
          </w:p>
        </w:tc>
        <w:tc>
          <w:tcPr>
            <w:tcW w:w="1134" w:type="dxa"/>
            <w:noWrap/>
            <w:tcMar>
              <w:top w:w="0" w:type="dxa"/>
              <w:left w:w="108" w:type="dxa"/>
              <w:bottom w:w="0" w:type="dxa"/>
              <w:right w:w="108" w:type="dxa"/>
            </w:tcMar>
            <w:vAlign w:val="bottom"/>
            <w:hideMark/>
          </w:tcPr>
          <w:p w14:paraId="1B5C64DB" w14:textId="77777777" w:rsidR="00FC4056" w:rsidRDefault="00FC4056" w:rsidP="00331966">
            <w:pPr>
              <w:pStyle w:val="Tabletext"/>
              <w:spacing w:before="20" w:after="20"/>
              <w:rPr>
                <w:rFonts w:eastAsiaTheme="minorHAnsi" w:cs="Arial"/>
                <w:bCs/>
                <w:iCs/>
                <w:color w:val="AEC12D"/>
                <w:sz w:val="32"/>
                <w:szCs w:val="28"/>
              </w:rPr>
            </w:pPr>
            <w:r>
              <w:t>0.34</w:t>
            </w:r>
          </w:p>
        </w:tc>
        <w:tc>
          <w:tcPr>
            <w:tcW w:w="1134" w:type="dxa"/>
            <w:noWrap/>
            <w:tcMar>
              <w:top w:w="0" w:type="dxa"/>
              <w:left w:w="108" w:type="dxa"/>
              <w:bottom w:w="0" w:type="dxa"/>
              <w:right w:w="108" w:type="dxa"/>
            </w:tcMar>
            <w:vAlign w:val="bottom"/>
            <w:hideMark/>
          </w:tcPr>
          <w:p w14:paraId="4295E2C6" w14:textId="77777777" w:rsidR="00FC4056" w:rsidRDefault="00FC4056" w:rsidP="00331966">
            <w:pPr>
              <w:pStyle w:val="Tabletext"/>
              <w:spacing w:before="20" w:after="20"/>
              <w:rPr>
                <w:rFonts w:eastAsiaTheme="minorHAnsi" w:cs="Arial"/>
                <w:bCs/>
                <w:iCs/>
                <w:color w:val="AEC12D"/>
                <w:sz w:val="32"/>
                <w:szCs w:val="28"/>
              </w:rPr>
            </w:pPr>
            <w:r>
              <w:t>0.34</w:t>
            </w:r>
          </w:p>
        </w:tc>
        <w:tc>
          <w:tcPr>
            <w:tcW w:w="1134" w:type="dxa"/>
            <w:noWrap/>
            <w:tcMar>
              <w:top w:w="0" w:type="dxa"/>
              <w:left w:w="108" w:type="dxa"/>
              <w:bottom w:w="0" w:type="dxa"/>
              <w:right w:w="108" w:type="dxa"/>
            </w:tcMar>
            <w:vAlign w:val="bottom"/>
            <w:hideMark/>
          </w:tcPr>
          <w:p w14:paraId="0B29AF22" w14:textId="77777777" w:rsidR="00FC4056" w:rsidRDefault="00FC4056" w:rsidP="00331966">
            <w:pPr>
              <w:pStyle w:val="Tabletext"/>
              <w:spacing w:before="20" w:after="20"/>
              <w:rPr>
                <w:rFonts w:eastAsiaTheme="minorHAnsi"/>
              </w:rPr>
            </w:pPr>
            <w:r>
              <w:t>0.34</w:t>
            </w:r>
          </w:p>
        </w:tc>
        <w:tc>
          <w:tcPr>
            <w:tcW w:w="1134" w:type="dxa"/>
            <w:noWrap/>
            <w:tcMar>
              <w:top w:w="0" w:type="dxa"/>
              <w:left w:w="108" w:type="dxa"/>
              <w:bottom w:w="0" w:type="dxa"/>
              <w:right w:w="108" w:type="dxa"/>
            </w:tcMar>
            <w:vAlign w:val="bottom"/>
            <w:hideMark/>
          </w:tcPr>
          <w:p w14:paraId="59305FBA" w14:textId="77777777" w:rsidR="00FC4056" w:rsidRDefault="00FC4056" w:rsidP="00331966">
            <w:pPr>
              <w:pStyle w:val="Tabletext"/>
              <w:spacing w:before="20" w:after="20"/>
              <w:rPr>
                <w:rFonts w:eastAsiaTheme="minorHAnsi" w:cs="Arial"/>
                <w:bCs/>
                <w:iCs/>
                <w:color w:val="AEC12D"/>
                <w:sz w:val="32"/>
                <w:szCs w:val="28"/>
              </w:rPr>
            </w:pPr>
            <w:r>
              <w:t>0.34</w:t>
            </w:r>
          </w:p>
        </w:tc>
      </w:tr>
    </w:tbl>
    <w:p w14:paraId="66057D16" w14:textId="77777777" w:rsidR="00331966" w:rsidRDefault="00331966" w:rsidP="00FC4056">
      <w:pPr>
        <w:pStyle w:val="Caption"/>
        <w:keepNext/>
        <w:rPr>
          <w:b/>
          <w:i w:val="0"/>
          <w:lang w:val="en-US" w:eastAsia="en-US"/>
        </w:rPr>
      </w:pPr>
    </w:p>
    <w:p w14:paraId="27B58CCE" w14:textId="7FF0E7CB" w:rsidR="00FC4056" w:rsidRPr="003F558C" w:rsidRDefault="00FC4056" w:rsidP="00B22A62">
      <w:pPr>
        <w:pStyle w:val="Tableheading"/>
        <w:rPr>
          <w:i/>
          <w:lang w:val="en-US" w:eastAsia="en-US"/>
        </w:rPr>
      </w:pPr>
      <w:r w:rsidRPr="003F558C">
        <w:rPr>
          <w:lang w:val="en-US" w:eastAsia="en-US"/>
        </w:rPr>
        <w:t xml:space="preserve">Table </w:t>
      </w:r>
      <w:r w:rsidR="00E543D7" w:rsidRPr="003F558C">
        <w:rPr>
          <w:lang w:val="en-US" w:eastAsia="en-US"/>
        </w:rPr>
        <w:t>B</w:t>
      </w:r>
      <w:r w:rsidR="003F558C" w:rsidRPr="003F558C">
        <w:rPr>
          <w:lang w:val="en-US" w:eastAsia="en-US"/>
        </w:rPr>
        <w:t>7:</w:t>
      </w:r>
      <w:r w:rsidRPr="003F558C">
        <w:rPr>
          <w:lang w:val="en-US" w:eastAsia="en-US"/>
        </w:rPr>
        <w:t xml:space="preserve"> Drawdown in metres after 30 years with no-flow boundary condition on aquifers, conventional gas case</w:t>
      </w:r>
      <w:r w:rsidR="00331966">
        <w:rPr>
          <w:lang w:val="en-US" w:eastAsia="en-US"/>
        </w:rPr>
        <w:t>.</w:t>
      </w:r>
    </w:p>
    <w:tbl>
      <w:tblPr>
        <w:tblW w:w="9923" w:type="dxa"/>
        <w:tblInd w:w="108" w:type="dxa"/>
        <w:tblBorders>
          <w:bottom w:val="single" w:sz="4" w:space="0" w:color="005A97"/>
          <w:insideH w:val="single" w:sz="4" w:space="0" w:color="005A97"/>
          <w:insideV w:val="single" w:sz="4" w:space="0" w:color="005A97"/>
        </w:tblBorders>
        <w:tblCellMar>
          <w:left w:w="0" w:type="dxa"/>
          <w:right w:w="0" w:type="dxa"/>
        </w:tblCellMar>
        <w:tblLook w:val="04A0" w:firstRow="1" w:lastRow="0" w:firstColumn="1" w:lastColumn="0" w:noHBand="0" w:noVBand="1"/>
      </w:tblPr>
      <w:tblGrid>
        <w:gridCol w:w="960"/>
        <w:gridCol w:w="960"/>
        <w:gridCol w:w="2333"/>
        <w:gridCol w:w="1134"/>
        <w:gridCol w:w="1134"/>
        <w:gridCol w:w="1134"/>
        <w:gridCol w:w="1134"/>
        <w:gridCol w:w="1134"/>
      </w:tblGrid>
      <w:tr w:rsidR="00FC4056" w14:paraId="0985F0B7" w14:textId="77777777" w:rsidTr="00B22A62">
        <w:trPr>
          <w:trHeight w:val="300"/>
        </w:trPr>
        <w:tc>
          <w:tcPr>
            <w:tcW w:w="960" w:type="dxa"/>
            <w:tcBorders>
              <w:top w:val="nil"/>
              <w:right w:val="single" w:sz="4" w:space="0" w:color="FFFFFF"/>
            </w:tcBorders>
            <w:shd w:val="clear" w:color="auto" w:fill="005A97"/>
            <w:noWrap/>
            <w:tcMar>
              <w:top w:w="0" w:type="dxa"/>
              <w:left w:w="108" w:type="dxa"/>
              <w:bottom w:w="0" w:type="dxa"/>
              <w:right w:w="108" w:type="dxa"/>
            </w:tcMar>
            <w:hideMark/>
          </w:tcPr>
          <w:p w14:paraId="1D880D54" w14:textId="78C8B295" w:rsidR="00FC4056" w:rsidRDefault="00331966" w:rsidP="00B22A62">
            <w:pPr>
              <w:pStyle w:val="TableHeaderrow"/>
              <w:rPr>
                <w:rFonts w:eastAsiaTheme="minorHAnsi" w:cstheme="majorBidi"/>
                <w:color w:val="0079CD" w:themeColor="text1" w:themeTint="D8"/>
                <w:sz w:val="21"/>
                <w:szCs w:val="21"/>
              </w:rPr>
            </w:pPr>
            <w:r>
              <w:t>Bloc_ID</w:t>
            </w:r>
          </w:p>
        </w:tc>
        <w:tc>
          <w:tcPr>
            <w:tcW w:w="960"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077417FA" w14:textId="77777777" w:rsidR="00FC4056" w:rsidRDefault="00FC4056" w:rsidP="00B22A62">
            <w:pPr>
              <w:pStyle w:val="TableHeaderrow"/>
              <w:rPr>
                <w:rFonts w:eastAsiaTheme="minorHAnsi" w:cstheme="majorBidi"/>
                <w:color w:val="0079CD" w:themeColor="text1" w:themeTint="D8"/>
                <w:sz w:val="21"/>
                <w:szCs w:val="21"/>
              </w:rPr>
            </w:pPr>
            <w:r>
              <w:t>Dilwyn (Aq111)</w:t>
            </w:r>
          </w:p>
        </w:tc>
        <w:tc>
          <w:tcPr>
            <w:tcW w:w="2333"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0BC877BD" w14:textId="77777777" w:rsidR="00FC4056" w:rsidRDefault="00FC4056" w:rsidP="00B22A62">
            <w:pPr>
              <w:pStyle w:val="TableHeaderrow"/>
              <w:rPr>
                <w:rFonts w:eastAsiaTheme="minorHAnsi" w:cstheme="majorBidi"/>
                <w:color w:val="0079CD" w:themeColor="text1" w:themeTint="D8"/>
                <w:sz w:val="21"/>
                <w:szCs w:val="21"/>
              </w:rPr>
            </w:pPr>
            <w:r>
              <w:t>Mepunga Form. / Older Volc (Aq111/Aq112)</w:t>
            </w:r>
          </w:p>
        </w:tc>
        <w:tc>
          <w:tcPr>
            <w:tcW w:w="1134"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24A63DB1" w14:textId="77777777" w:rsidR="00FC4056" w:rsidRDefault="00FC4056" w:rsidP="00B22A62">
            <w:pPr>
              <w:pStyle w:val="TableHeaderrow"/>
              <w:rPr>
                <w:rFonts w:eastAsiaTheme="minorHAnsi" w:cstheme="majorBidi"/>
                <w:color w:val="0079CD" w:themeColor="text1" w:themeTint="D8"/>
                <w:sz w:val="21"/>
                <w:szCs w:val="21"/>
              </w:rPr>
            </w:pPr>
            <w:r>
              <w:t>Clifton From. (Aq 109)</w:t>
            </w:r>
          </w:p>
        </w:tc>
        <w:tc>
          <w:tcPr>
            <w:tcW w:w="1134"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18997357" w14:textId="77777777" w:rsidR="00FC4056" w:rsidRDefault="00FC4056" w:rsidP="00B22A62">
            <w:pPr>
              <w:pStyle w:val="TableHeaderrow"/>
              <w:rPr>
                <w:rFonts w:eastAsiaTheme="minorHAnsi" w:cstheme="majorBidi"/>
                <w:color w:val="0079CD" w:themeColor="text1" w:themeTint="D8"/>
                <w:sz w:val="21"/>
                <w:szCs w:val="21"/>
              </w:rPr>
            </w:pPr>
            <w:r>
              <w:t>Port Campbell (Aq107)</w:t>
            </w:r>
          </w:p>
        </w:tc>
        <w:tc>
          <w:tcPr>
            <w:tcW w:w="1134"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51EA8162" w14:textId="77777777" w:rsidR="00FC4056" w:rsidRDefault="00FC4056" w:rsidP="00B22A62">
            <w:pPr>
              <w:pStyle w:val="TableHeaderrow"/>
              <w:rPr>
                <w:rFonts w:eastAsiaTheme="minorHAnsi" w:cstheme="majorBidi"/>
                <w:color w:val="0079CD" w:themeColor="text1" w:themeTint="D8"/>
                <w:sz w:val="21"/>
                <w:szCs w:val="21"/>
              </w:rPr>
            </w:pPr>
            <w:r>
              <w:t>Aq100</w:t>
            </w:r>
          </w:p>
        </w:tc>
        <w:tc>
          <w:tcPr>
            <w:tcW w:w="1134" w:type="dxa"/>
            <w:tcBorders>
              <w:top w:val="nil"/>
              <w:left w:val="single" w:sz="4" w:space="0" w:color="FFFFFF"/>
              <w:right w:val="single" w:sz="4" w:space="0" w:color="FFFFFF"/>
            </w:tcBorders>
            <w:shd w:val="clear" w:color="auto" w:fill="005A97"/>
            <w:noWrap/>
            <w:tcMar>
              <w:top w:w="0" w:type="dxa"/>
              <w:left w:w="108" w:type="dxa"/>
              <w:bottom w:w="0" w:type="dxa"/>
              <w:right w:w="108" w:type="dxa"/>
            </w:tcMar>
            <w:hideMark/>
          </w:tcPr>
          <w:p w14:paraId="2C726FF5" w14:textId="77777777" w:rsidR="00FC4056" w:rsidRDefault="00FC4056" w:rsidP="00B22A62">
            <w:pPr>
              <w:pStyle w:val="TableHeaderrow"/>
              <w:rPr>
                <w:rFonts w:eastAsiaTheme="minorHAnsi" w:cstheme="majorBidi"/>
                <w:color w:val="0079CD" w:themeColor="text1" w:themeTint="D8"/>
                <w:sz w:val="21"/>
                <w:szCs w:val="21"/>
              </w:rPr>
            </w:pPr>
            <w:r>
              <w:t>Aq101</w:t>
            </w:r>
          </w:p>
        </w:tc>
        <w:tc>
          <w:tcPr>
            <w:tcW w:w="1134" w:type="dxa"/>
            <w:tcBorders>
              <w:top w:val="nil"/>
              <w:left w:val="single" w:sz="4" w:space="0" w:color="FFFFFF"/>
            </w:tcBorders>
            <w:shd w:val="clear" w:color="auto" w:fill="005A97"/>
            <w:noWrap/>
            <w:tcMar>
              <w:top w:w="0" w:type="dxa"/>
              <w:left w:w="108" w:type="dxa"/>
              <w:bottom w:w="0" w:type="dxa"/>
              <w:right w:w="108" w:type="dxa"/>
            </w:tcMar>
            <w:hideMark/>
          </w:tcPr>
          <w:p w14:paraId="3D3DDE4C" w14:textId="77777777" w:rsidR="00FC4056" w:rsidRDefault="00FC4056" w:rsidP="00B22A62">
            <w:pPr>
              <w:pStyle w:val="TableHeaderrow"/>
              <w:rPr>
                <w:rFonts w:eastAsiaTheme="minorHAnsi" w:cstheme="majorBidi"/>
                <w:color w:val="0079CD" w:themeColor="text1" w:themeTint="D8"/>
                <w:sz w:val="21"/>
                <w:szCs w:val="21"/>
              </w:rPr>
            </w:pPr>
            <w:r>
              <w:t>Aq104</w:t>
            </w:r>
          </w:p>
        </w:tc>
      </w:tr>
      <w:tr w:rsidR="00FC4056" w14:paraId="15B40BFB" w14:textId="77777777" w:rsidTr="00B22A62">
        <w:trPr>
          <w:trHeight w:val="300"/>
        </w:trPr>
        <w:tc>
          <w:tcPr>
            <w:tcW w:w="960" w:type="dxa"/>
            <w:noWrap/>
            <w:tcMar>
              <w:top w:w="0" w:type="dxa"/>
              <w:left w:w="108" w:type="dxa"/>
              <w:bottom w:w="0" w:type="dxa"/>
              <w:right w:w="108" w:type="dxa"/>
            </w:tcMar>
            <w:vAlign w:val="bottom"/>
            <w:hideMark/>
          </w:tcPr>
          <w:p w14:paraId="72704D8E" w14:textId="77777777" w:rsidR="00FC4056" w:rsidRDefault="00FC4056" w:rsidP="00331966">
            <w:pPr>
              <w:pStyle w:val="Tabletext"/>
              <w:rPr>
                <w:rFonts w:eastAsiaTheme="minorHAnsi" w:cs="Arial"/>
                <w:bCs/>
                <w:iCs/>
                <w:color w:val="AEC12D"/>
                <w:sz w:val="32"/>
                <w:szCs w:val="28"/>
              </w:rPr>
            </w:pPr>
            <w:r>
              <w:t>156</w:t>
            </w:r>
          </w:p>
        </w:tc>
        <w:tc>
          <w:tcPr>
            <w:tcW w:w="960" w:type="dxa"/>
            <w:noWrap/>
            <w:tcMar>
              <w:top w:w="0" w:type="dxa"/>
              <w:left w:w="108" w:type="dxa"/>
              <w:bottom w:w="0" w:type="dxa"/>
              <w:right w:w="108" w:type="dxa"/>
            </w:tcMar>
            <w:vAlign w:val="bottom"/>
            <w:hideMark/>
          </w:tcPr>
          <w:p w14:paraId="595C3FD0" w14:textId="77777777" w:rsidR="00FC4056" w:rsidRDefault="00FC4056" w:rsidP="00331966">
            <w:pPr>
              <w:pStyle w:val="Tabletext"/>
              <w:rPr>
                <w:rFonts w:eastAsiaTheme="minorHAnsi" w:cs="Arial"/>
                <w:bCs/>
                <w:iCs/>
                <w:color w:val="AEC12D"/>
                <w:sz w:val="32"/>
                <w:szCs w:val="28"/>
              </w:rPr>
            </w:pPr>
            <w:r>
              <w:t>0.005</w:t>
            </w:r>
          </w:p>
        </w:tc>
        <w:tc>
          <w:tcPr>
            <w:tcW w:w="2333" w:type="dxa"/>
            <w:noWrap/>
            <w:tcMar>
              <w:top w:w="0" w:type="dxa"/>
              <w:left w:w="108" w:type="dxa"/>
              <w:bottom w:w="0" w:type="dxa"/>
              <w:right w:w="108" w:type="dxa"/>
            </w:tcMar>
            <w:vAlign w:val="bottom"/>
            <w:hideMark/>
          </w:tcPr>
          <w:p w14:paraId="4308F8BC" w14:textId="77777777" w:rsidR="00FC4056" w:rsidRDefault="00FC4056" w:rsidP="00331966">
            <w:pPr>
              <w:pStyle w:val="Tabletext"/>
              <w:rPr>
                <w:rFonts w:eastAsiaTheme="minorHAnsi" w:cs="Arial"/>
                <w:bCs/>
                <w:iCs/>
                <w:color w:val="AEC12D"/>
                <w:sz w:val="32"/>
                <w:szCs w:val="28"/>
              </w:rPr>
            </w:pPr>
            <w:r>
              <w:t>0.005</w:t>
            </w:r>
          </w:p>
        </w:tc>
        <w:tc>
          <w:tcPr>
            <w:tcW w:w="1134" w:type="dxa"/>
            <w:noWrap/>
            <w:tcMar>
              <w:top w:w="0" w:type="dxa"/>
              <w:left w:w="108" w:type="dxa"/>
              <w:bottom w:w="0" w:type="dxa"/>
              <w:right w:w="108" w:type="dxa"/>
            </w:tcMar>
            <w:vAlign w:val="bottom"/>
            <w:hideMark/>
          </w:tcPr>
          <w:p w14:paraId="4A3B2CE5" w14:textId="77777777" w:rsidR="00FC4056" w:rsidRDefault="00FC4056" w:rsidP="00331966">
            <w:pPr>
              <w:pStyle w:val="Tabletext"/>
              <w:rPr>
                <w:rFonts w:eastAsiaTheme="minorHAnsi" w:cs="Arial"/>
                <w:bCs/>
                <w:iCs/>
                <w:color w:val="AEC12D"/>
                <w:sz w:val="32"/>
                <w:szCs w:val="28"/>
              </w:rPr>
            </w:pPr>
            <w:r>
              <w:t>0.004</w:t>
            </w:r>
          </w:p>
        </w:tc>
        <w:tc>
          <w:tcPr>
            <w:tcW w:w="1134" w:type="dxa"/>
            <w:noWrap/>
            <w:tcMar>
              <w:top w:w="0" w:type="dxa"/>
              <w:left w:w="108" w:type="dxa"/>
              <w:bottom w:w="0" w:type="dxa"/>
              <w:right w:w="108" w:type="dxa"/>
            </w:tcMar>
            <w:vAlign w:val="bottom"/>
            <w:hideMark/>
          </w:tcPr>
          <w:p w14:paraId="5B363CE8" w14:textId="77777777" w:rsidR="00FC4056" w:rsidRDefault="00FC4056" w:rsidP="00331966">
            <w:pPr>
              <w:pStyle w:val="Tabletext"/>
              <w:rPr>
                <w:rFonts w:eastAsiaTheme="minorHAnsi" w:cs="Arial"/>
                <w:bCs/>
                <w:iCs/>
                <w:color w:val="AEC12D"/>
                <w:sz w:val="32"/>
                <w:szCs w:val="28"/>
              </w:rPr>
            </w:pPr>
            <w:r>
              <w:t>0.002</w:t>
            </w:r>
          </w:p>
        </w:tc>
        <w:tc>
          <w:tcPr>
            <w:tcW w:w="1134" w:type="dxa"/>
            <w:noWrap/>
            <w:tcMar>
              <w:top w:w="0" w:type="dxa"/>
              <w:left w:w="108" w:type="dxa"/>
              <w:bottom w:w="0" w:type="dxa"/>
              <w:right w:w="108" w:type="dxa"/>
            </w:tcMar>
            <w:vAlign w:val="bottom"/>
            <w:hideMark/>
          </w:tcPr>
          <w:p w14:paraId="4ACB89D1" w14:textId="77777777" w:rsidR="00FC4056" w:rsidRDefault="00FC4056" w:rsidP="00331966">
            <w:pPr>
              <w:pStyle w:val="Tabletext"/>
              <w:rPr>
                <w:rFonts w:eastAsiaTheme="minorHAnsi" w:cs="Arial"/>
                <w:bCs/>
                <w:iCs/>
                <w:color w:val="AEC12D"/>
                <w:sz w:val="32"/>
                <w:szCs w:val="28"/>
              </w:rPr>
            </w:pPr>
            <w:r>
              <w:t>0.002</w:t>
            </w:r>
          </w:p>
        </w:tc>
        <w:tc>
          <w:tcPr>
            <w:tcW w:w="1134" w:type="dxa"/>
            <w:noWrap/>
            <w:tcMar>
              <w:top w:w="0" w:type="dxa"/>
              <w:left w:w="108" w:type="dxa"/>
              <w:bottom w:w="0" w:type="dxa"/>
              <w:right w:w="108" w:type="dxa"/>
            </w:tcMar>
            <w:vAlign w:val="bottom"/>
            <w:hideMark/>
          </w:tcPr>
          <w:p w14:paraId="7D72E23A" w14:textId="77777777" w:rsidR="00FC4056" w:rsidRDefault="00FC4056" w:rsidP="00331966">
            <w:pPr>
              <w:pStyle w:val="Tabletext"/>
              <w:rPr>
                <w:rFonts w:eastAsiaTheme="minorHAnsi" w:cs="Arial"/>
                <w:bCs/>
                <w:iCs/>
                <w:color w:val="AEC12D"/>
                <w:sz w:val="32"/>
                <w:szCs w:val="28"/>
              </w:rPr>
            </w:pPr>
            <w:r>
              <w:t>0.002</w:t>
            </w:r>
          </w:p>
        </w:tc>
        <w:tc>
          <w:tcPr>
            <w:tcW w:w="1134" w:type="dxa"/>
            <w:noWrap/>
            <w:tcMar>
              <w:top w:w="0" w:type="dxa"/>
              <w:left w:w="108" w:type="dxa"/>
              <w:bottom w:w="0" w:type="dxa"/>
              <w:right w:w="108" w:type="dxa"/>
            </w:tcMar>
            <w:vAlign w:val="bottom"/>
            <w:hideMark/>
          </w:tcPr>
          <w:p w14:paraId="3B5DB9F7" w14:textId="77777777" w:rsidR="00FC4056" w:rsidRDefault="00FC4056" w:rsidP="00331966">
            <w:pPr>
              <w:pStyle w:val="Tabletext"/>
              <w:rPr>
                <w:rFonts w:eastAsiaTheme="minorHAnsi" w:cs="Arial"/>
                <w:bCs/>
                <w:iCs/>
                <w:color w:val="AEC12D"/>
                <w:sz w:val="32"/>
                <w:szCs w:val="28"/>
              </w:rPr>
            </w:pPr>
            <w:r>
              <w:t>0.002</w:t>
            </w:r>
          </w:p>
        </w:tc>
      </w:tr>
    </w:tbl>
    <w:p w14:paraId="373C4818" w14:textId="77777777" w:rsidR="00FC4056" w:rsidRDefault="00FC4056"/>
    <w:p w14:paraId="495DB4AB" w14:textId="77777777" w:rsidR="00670BE8" w:rsidRDefault="00670BE8"/>
    <w:p w14:paraId="5240B64D" w14:textId="77777777" w:rsidR="00331966" w:rsidRDefault="00331966">
      <w:pPr>
        <w:spacing w:after="200"/>
        <w:rPr>
          <w:b/>
        </w:rPr>
      </w:pPr>
      <w:bookmarkStart w:id="1144" w:name="_Toc420568750"/>
      <w:bookmarkStart w:id="1145" w:name="_Toc420571532"/>
      <w:bookmarkStart w:id="1146" w:name="_Toc420572214"/>
      <w:bookmarkStart w:id="1147" w:name="_Toc296767016"/>
      <w:r>
        <w:br w:type="page"/>
      </w:r>
    </w:p>
    <w:p w14:paraId="4FC62D6C" w14:textId="4F7B8F99" w:rsidR="00FC4056" w:rsidRDefault="00FC4056" w:rsidP="00567103">
      <w:pPr>
        <w:pStyle w:val="Heading4"/>
      </w:pPr>
      <w:r>
        <w:t>Sensitivity of the results to coal seam gas formation depth</w:t>
      </w:r>
      <w:bookmarkEnd w:id="1144"/>
      <w:bookmarkEnd w:id="1145"/>
      <w:bookmarkEnd w:id="1146"/>
      <w:bookmarkEnd w:id="1147"/>
    </w:p>
    <w:p w14:paraId="00C95E7B" w14:textId="77777777" w:rsidR="00FC4056" w:rsidRDefault="00FC4056">
      <w:r>
        <w:t xml:space="preserve">In addition to the general sensitivity tests described above an additional assessment of the sensitivity of the drawdown results for the coal seam gas scenario was undertaken. The results reported in the main body of the report use the best available surfaces for the geology layers. As there has been limited exploration for coal seam gas in the Otway region to date there is some uncertainty in the depth of the coal seam gas source and the associated geological surfaces used for this assessment. To test the effect of shallower source on the drawdown predicted by the block model all coal seam gas block models were adjusted so that top of the prospective coal seam gas zone (source) was 300 metres shallower than in the base case. The purpose of this was to see if the drawdown results were heavily affected by a shallower coal seam gas source. This change of 300m was considered to represent a reasonable upper limit on the prospective depth for coal seam gas in the Otway region, based on current information. Not all areas would be as shallow as this, but this change was applied to all areas to see how it affected drawdown. </w:t>
      </w:r>
    </w:p>
    <w:p w14:paraId="483A4AC8" w14:textId="77777777" w:rsidR="00FC4056" w:rsidRDefault="00FC4056">
      <w:r>
        <w:t>For the sensitivity test for coal seam gas, the adjusted depth to the top of the prospective gas source across the block models was between 569 metres and 1661 metres. This compares with the original range of 869 metres to 1961 metres depth. The overlying Tertiary age aquifer sequence thickness was not changed, and as result the thickness of low permeability ‘hydrogeological basement’ between the prospective gas source and Tertiary aquifers was reduced by 300 m. As with the original models the target drawdown was set to the top of the coal seam gas source zone. All other aspects of the block models were left as they were for the main drawdown estimates.</w:t>
      </w:r>
    </w:p>
    <w:p w14:paraId="7F53BA0A" w14:textId="77777777" w:rsidR="00FC4056" w:rsidRDefault="00FC4056">
      <w:r>
        <w:t>The drawdown that results from this change is greater than originally predicted, as was expected, as follows:</w:t>
      </w:r>
    </w:p>
    <w:p w14:paraId="7B159E4F" w14:textId="77777777" w:rsidR="00712DFC" w:rsidRDefault="00FC4056" w:rsidP="00712DFC">
      <w:pPr>
        <w:pStyle w:val="ListParagraph"/>
        <w:numPr>
          <w:ilvl w:val="0"/>
          <w:numId w:val="85"/>
        </w:numPr>
      </w:pPr>
      <w:r>
        <w:t>The watertable drawdown is between zero and 0.1 metres for all blocks, with the exception of one (</w:t>
      </w:r>
      <w:r w:rsidRPr="00307812">
        <w:t>block 296)</w:t>
      </w:r>
      <w:r>
        <w:t xml:space="preserve"> where the drawdown is up to 0.18 metres. The single block with a calculated drawdown that is over 0.1m has a range of watertable depth across the block. As a result there is likely to be some areas of moderate potential impact within this block for surface water users and ecosystems</w:t>
      </w:r>
      <w:r w:rsidR="008573A4">
        <w:t xml:space="preserve">. </w:t>
      </w:r>
      <w:r>
        <w:t>All other blocks are calculated to remain at low impact for surface water users and ecosystems.</w:t>
      </w:r>
    </w:p>
    <w:p w14:paraId="22A26FCA" w14:textId="07672826" w:rsidR="00FC4056" w:rsidRDefault="00FC4056" w:rsidP="00712DFC">
      <w:pPr>
        <w:pStyle w:val="ListParagraph"/>
        <w:numPr>
          <w:ilvl w:val="0"/>
          <w:numId w:val="85"/>
        </w:numPr>
      </w:pPr>
      <w:r>
        <w:t>The drawdown in the deepest aquifer (the Dilwyn and equivalent units) ranges from 0.0001 metre to 0.73 metres. All of which represents a low potential for impact on groundwater users.</w:t>
      </w:r>
    </w:p>
    <w:p w14:paraId="4A0A5D9A" w14:textId="203B45E4" w:rsidR="00FC4056" w:rsidRDefault="00FC4056">
      <w:r>
        <w:t>It is concluded that the block modelling results are not materially affected with a 300 m shallower prospective coal seam gas source. The depth to gas source is a key variable in determining the potential impact and, as discussed elsewhere in this report, remains an area for future data gathering to improve the impact assessment.</w:t>
      </w:r>
    </w:p>
    <w:p w14:paraId="415643AC" w14:textId="3AA507A1" w:rsidR="00FC4056" w:rsidRPr="002D5A6F" w:rsidRDefault="00E543D7" w:rsidP="00D91C19">
      <w:pPr>
        <w:pStyle w:val="Head2app"/>
      </w:pPr>
      <w:bookmarkStart w:id="1148" w:name="_Toc420490822"/>
      <w:bookmarkStart w:id="1149" w:name="_Toc420567116"/>
      <w:bookmarkStart w:id="1150" w:name="_Toc420567507"/>
      <w:bookmarkStart w:id="1151" w:name="_Toc420568751"/>
      <w:bookmarkStart w:id="1152" w:name="_Toc420571533"/>
      <w:bookmarkStart w:id="1153" w:name="_Toc420572215"/>
      <w:bookmarkStart w:id="1154" w:name="_Toc296767017"/>
      <w:bookmarkStart w:id="1155" w:name="_Toc296770475"/>
      <w:bookmarkStart w:id="1156" w:name="_Toc423018299"/>
      <w:r>
        <w:t>B3</w:t>
      </w:r>
      <w:r w:rsidR="00D91C19">
        <w:tab/>
      </w:r>
      <w:r w:rsidR="0022740D">
        <w:t>Chemical</w:t>
      </w:r>
      <w:r w:rsidR="00FC4056">
        <w:t xml:space="preserve"> contamination </w:t>
      </w:r>
      <w:r w:rsidR="0022740D">
        <w:t xml:space="preserve">of groundwater </w:t>
      </w:r>
      <w:r w:rsidR="00FC4056">
        <w:t>from h</w:t>
      </w:r>
      <w:r w:rsidR="00FC4056" w:rsidRPr="002D5A6F">
        <w:t>ydraulic fracturing</w:t>
      </w:r>
      <w:bookmarkEnd w:id="1148"/>
      <w:r w:rsidR="0022740D">
        <w:t xml:space="preserve"> fluids</w:t>
      </w:r>
      <w:bookmarkEnd w:id="1149"/>
      <w:bookmarkEnd w:id="1150"/>
      <w:bookmarkEnd w:id="1151"/>
      <w:bookmarkEnd w:id="1152"/>
      <w:bookmarkEnd w:id="1153"/>
      <w:bookmarkEnd w:id="1154"/>
      <w:bookmarkEnd w:id="1155"/>
      <w:bookmarkEnd w:id="1156"/>
    </w:p>
    <w:p w14:paraId="256EF6BA" w14:textId="77777777" w:rsidR="00FC4056" w:rsidRDefault="00FC4056">
      <w:r>
        <w:t>T</w:t>
      </w:r>
      <w:r w:rsidRPr="001F1101">
        <w:t xml:space="preserve">he approach to </w:t>
      </w:r>
      <w:r>
        <w:t xml:space="preserve">assessing risks associated with groundwater contamination resulting from </w:t>
      </w:r>
      <w:r w:rsidRPr="001F1101">
        <w:t xml:space="preserve">hydraulic fracturing </w:t>
      </w:r>
      <w:r>
        <w:t>assumes</w:t>
      </w:r>
      <w:r w:rsidRPr="001F1101">
        <w:t xml:space="preserve"> that hydraulic fracturing is conducted according to the appropriate regulatory guidelines and that relevant controls are likely to be in place during a fracture episode</w:t>
      </w:r>
      <w:r>
        <w:t>.</w:t>
      </w:r>
    </w:p>
    <w:p w14:paraId="2CFBFDDC" w14:textId="77777777" w:rsidR="00FC4056" w:rsidRDefault="00FC4056">
      <w:r>
        <w:t>The impact of hydraulic fracturing on reservoirs and aquifers is an area of intense study and the subject of many published reports. Importantly, the actual impact of fracturing depends on a number of elements that are very specific to a well, in particular the specific site and most especially the well construction methods and hydraulic fracturing operations. Given the site specific nature of the risks associated with hydraulic fracturing, the risk assessment is based on international literature.</w:t>
      </w:r>
    </w:p>
    <w:p w14:paraId="5A46B4EA" w14:textId="475682A8" w:rsidR="00FC4056" w:rsidRPr="00ED36CB" w:rsidRDefault="00FC4056">
      <w:r>
        <w:t>The risk assessment describes the features and elements of hydraulic fracturing that lead to the creation of a pathway or the enhancement of a pathway between the gas source and the water resources. In cases where hydraulic fracturing has caused adverse impacts, the primary cause has been attributed to surface infrastructure failure, poor well integrity or insufficient monitoring during the hydraulic fracturing operations to alert operators to an issue</w:t>
      </w:r>
      <w:r w:rsidR="008573A4">
        <w:t xml:space="preserve">. </w:t>
      </w:r>
      <w:r>
        <w:t xml:space="preserve">The purpose of the literature review is to determine if there are any cases where fractures have propagated beyond the target formation, and whether any conclusions have been drawn on maximum fracture propagation distances, minimum thicknesses of overlying aquitard or distance to nearest high value groundwater resource. The key risk considered is the risk that hydraulic connection between the gas source and the adjacent aquifer is significantly </w:t>
      </w:r>
      <w:r w:rsidRPr="00ED36CB">
        <w:t>increased as a result of hydraulic fracturing.</w:t>
      </w:r>
    </w:p>
    <w:p w14:paraId="65976699" w14:textId="77777777" w:rsidR="00FC4056" w:rsidRDefault="00FC4056">
      <w:r w:rsidRPr="00ED36CB">
        <w:t xml:space="preserve">The </w:t>
      </w:r>
      <w:r>
        <w:t xml:space="preserve">finding in the main report uses literature to assess the in-situ hydrogeological risk factors that may contribute to fracture propagation beyond the target zone and a risk </w:t>
      </w:r>
      <w:r w:rsidRPr="003002C3">
        <w:t xml:space="preserve">assessment </w:t>
      </w:r>
      <w:r>
        <w:t>in the Otway region.</w:t>
      </w:r>
    </w:p>
    <w:p w14:paraId="6CEFC997" w14:textId="7122DABB" w:rsidR="00FC4056" w:rsidRDefault="00E543D7" w:rsidP="00D91C19">
      <w:pPr>
        <w:pStyle w:val="Head2app"/>
      </w:pPr>
      <w:bookmarkStart w:id="1157" w:name="_Toc296767018"/>
      <w:bookmarkStart w:id="1158" w:name="_Toc420490823"/>
      <w:bookmarkStart w:id="1159" w:name="_Toc420567117"/>
      <w:bookmarkStart w:id="1160" w:name="_Toc420567508"/>
      <w:bookmarkStart w:id="1161" w:name="_Toc420568752"/>
      <w:bookmarkStart w:id="1162" w:name="_Toc420571534"/>
      <w:bookmarkStart w:id="1163" w:name="_Toc420572216"/>
      <w:bookmarkStart w:id="1164" w:name="_Toc296767019"/>
      <w:bookmarkStart w:id="1165" w:name="_Toc296770476"/>
      <w:bookmarkStart w:id="1166" w:name="_Toc423018300"/>
      <w:bookmarkEnd w:id="1157"/>
      <w:r>
        <w:t>B4</w:t>
      </w:r>
      <w:r w:rsidR="00D91C19">
        <w:tab/>
      </w:r>
      <w:r w:rsidR="00FC4056">
        <w:t>Induced seismicity</w:t>
      </w:r>
      <w:bookmarkEnd w:id="1158"/>
      <w:bookmarkEnd w:id="1159"/>
      <w:bookmarkEnd w:id="1160"/>
      <w:bookmarkEnd w:id="1161"/>
      <w:bookmarkEnd w:id="1162"/>
      <w:bookmarkEnd w:id="1163"/>
      <w:bookmarkEnd w:id="1164"/>
      <w:bookmarkEnd w:id="1165"/>
      <w:bookmarkEnd w:id="1166"/>
    </w:p>
    <w:p w14:paraId="46159E1E" w14:textId="134F78E2" w:rsidR="00FC4056" w:rsidRDefault="00FC4056">
      <w:r>
        <w:t>Induced seismicity has been detected at a number of locations around the world and is typically associated with re-injection of co-produced water</w:t>
      </w:r>
      <w:r w:rsidR="008573A4">
        <w:t xml:space="preserve">. </w:t>
      </w:r>
      <w:r>
        <w:t>Given the range of causes of induced seismicity, the risk of induced seismicity has been assessed through a review of international literature</w:t>
      </w:r>
      <w:r w:rsidR="008573A4">
        <w:t xml:space="preserve">. </w:t>
      </w:r>
      <w:r>
        <w:t>Recent publications have documented the international literature and reviewed key risk factors for induced seismicity and how they can be managed. These risks are described in the specific context of the Otway study area so that the elements that influence induced seismicity can be put into context.</w:t>
      </w:r>
    </w:p>
    <w:p w14:paraId="465FACE8" w14:textId="77777777" w:rsidR="00FC4056" w:rsidRPr="00E57BA2" w:rsidRDefault="00FC4056">
      <w:pPr>
        <w:rPr>
          <w:lang w:val="en-AU"/>
        </w:rPr>
      </w:pPr>
      <w:r w:rsidRPr="00ED36CB">
        <w:t xml:space="preserve">The </w:t>
      </w:r>
      <w:r>
        <w:t xml:space="preserve">findings in the main report </w:t>
      </w:r>
      <w:r w:rsidRPr="00ED36CB">
        <w:t>use the literature to assess the likely risk of induced seismicity</w:t>
      </w:r>
      <w:r>
        <w:t xml:space="preserve"> and an assessment of potential high risk locations in the Otway region.</w:t>
      </w:r>
    </w:p>
    <w:p w14:paraId="415F664A" w14:textId="7F9BBF51" w:rsidR="00FC4056" w:rsidRDefault="00E543D7" w:rsidP="00D91C19">
      <w:pPr>
        <w:pStyle w:val="Head2app"/>
      </w:pPr>
      <w:bookmarkStart w:id="1167" w:name="_Toc420490824"/>
      <w:bookmarkStart w:id="1168" w:name="_Toc420567118"/>
      <w:bookmarkStart w:id="1169" w:name="_Toc420567509"/>
      <w:bookmarkStart w:id="1170" w:name="_Toc420568753"/>
      <w:bookmarkStart w:id="1171" w:name="_Toc420571535"/>
      <w:bookmarkStart w:id="1172" w:name="_Toc420572217"/>
      <w:bookmarkStart w:id="1173" w:name="_Toc296767020"/>
      <w:bookmarkStart w:id="1174" w:name="_Toc296770477"/>
      <w:bookmarkStart w:id="1175" w:name="_Toc423018301"/>
      <w:r>
        <w:t>B5</w:t>
      </w:r>
      <w:r w:rsidR="00D91C19">
        <w:tab/>
      </w:r>
      <w:r w:rsidR="00FC4056">
        <w:t>Land subsidence</w:t>
      </w:r>
      <w:bookmarkEnd w:id="1167"/>
      <w:bookmarkEnd w:id="1168"/>
      <w:bookmarkEnd w:id="1169"/>
      <w:bookmarkEnd w:id="1170"/>
      <w:bookmarkEnd w:id="1171"/>
      <w:bookmarkEnd w:id="1172"/>
      <w:bookmarkEnd w:id="1173"/>
      <w:bookmarkEnd w:id="1174"/>
      <w:bookmarkEnd w:id="1175"/>
    </w:p>
    <w:p w14:paraId="03E40D0A" w14:textId="413D8830" w:rsidR="00FC4056" w:rsidRDefault="00FC4056" w:rsidP="00FC4056">
      <w:pPr>
        <w:pStyle w:val="Para0"/>
      </w:pPr>
      <w:r w:rsidRPr="000834DE">
        <w:t xml:space="preserve">The risks of land subsidence as a result of gas extraction are assessed for the </w:t>
      </w:r>
      <w:r>
        <w:t>Otway</w:t>
      </w:r>
      <w:r w:rsidRPr="000834DE">
        <w:t xml:space="preserve"> study area through a literature review</w:t>
      </w:r>
      <w:r w:rsidR="008573A4">
        <w:t xml:space="preserve">. </w:t>
      </w:r>
      <w:r w:rsidRPr="000834DE">
        <w:t xml:space="preserve">The literature review uses a number of recent literature reviews undertaken for the Independent </w:t>
      </w:r>
      <w:r w:rsidRPr="00156775">
        <w:t xml:space="preserve">Expert Scientific Committee on Coal Seam Gas and Large Coal Mining Development that reports to the Federal Government in addition to studies undertaken in the Otway region. </w:t>
      </w:r>
    </w:p>
    <w:p w14:paraId="2676223F" w14:textId="5966624C" w:rsidR="00FC4056" w:rsidRPr="00D91C19" w:rsidRDefault="00FC4056">
      <w:r>
        <w:t>The findings in the main report assesses the likely risk of land subsidence as a result of regional (cumulative) and project scale gas development and an assessment of potential high risk locations in the Otway region.</w:t>
      </w:r>
    </w:p>
    <w:p w14:paraId="7F025587" w14:textId="77777777" w:rsidR="00712DFC" w:rsidRDefault="00712DFC">
      <w:pPr>
        <w:spacing w:after="200"/>
        <w:rPr>
          <w:rFonts w:cs="Arial"/>
          <w:color w:val="AEC12D" w:themeColor="text2"/>
          <w:sz w:val="32"/>
          <w:szCs w:val="32"/>
          <w:lang w:val="en-AU" w:eastAsia="en-US"/>
        </w:rPr>
      </w:pPr>
      <w:bookmarkStart w:id="1176" w:name="_Toc420490825"/>
      <w:bookmarkStart w:id="1177" w:name="_Toc420567119"/>
      <w:bookmarkStart w:id="1178" w:name="_Toc420567510"/>
      <w:bookmarkStart w:id="1179" w:name="_Toc420568754"/>
      <w:bookmarkStart w:id="1180" w:name="_Toc420571536"/>
      <w:bookmarkStart w:id="1181" w:name="_Toc420572218"/>
      <w:bookmarkStart w:id="1182" w:name="_Toc296767021"/>
      <w:bookmarkStart w:id="1183" w:name="_Toc296770478"/>
      <w:r>
        <w:br w:type="page"/>
      </w:r>
    </w:p>
    <w:p w14:paraId="06946237" w14:textId="1B7BFF6A" w:rsidR="00FC4056" w:rsidRDefault="00E543D7" w:rsidP="00D91C19">
      <w:pPr>
        <w:pStyle w:val="Head2app"/>
      </w:pPr>
      <w:bookmarkStart w:id="1184" w:name="_Toc423018302"/>
      <w:r>
        <w:t>B6</w:t>
      </w:r>
      <w:r w:rsidR="00D91C19">
        <w:tab/>
      </w:r>
      <w:r w:rsidR="00FC4056">
        <w:t>References</w:t>
      </w:r>
      <w:bookmarkEnd w:id="1176"/>
      <w:bookmarkEnd w:id="1177"/>
      <w:bookmarkEnd w:id="1178"/>
      <w:bookmarkEnd w:id="1179"/>
      <w:bookmarkEnd w:id="1180"/>
      <w:bookmarkEnd w:id="1181"/>
      <w:bookmarkEnd w:id="1182"/>
      <w:bookmarkEnd w:id="1183"/>
      <w:bookmarkEnd w:id="1184"/>
    </w:p>
    <w:p w14:paraId="05888D69" w14:textId="75D8F8DB" w:rsidR="00FC4056" w:rsidRDefault="00D91C19" w:rsidP="00A35B08">
      <w:r>
        <w:t>BUREAU OF METEOROLOGY,</w:t>
      </w:r>
      <w:r w:rsidR="00FC4056">
        <w:t xml:space="preserve"> 2012, Atlas of </w:t>
      </w:r>
      <w:r w:rsidR="00FC4056" w:rsidRPr="00A550F1">
        <w:t>Groundwater Dependent Ecosystems</w:t>
      </w:r>
      <w:r w:rsidR="008573A4">
        <w:t xml:space="preserve">. </w:t>
      </w:r>
      <w:hyperlink r:id="rId245" w:history="1">
        <w:r w:rsidR="00FC4056" w:rsidRPr="00A550F1">
          <w:t>http://www.bom.gov.au/water/groundwater/gde/</w:t>
        </w:r>
      </w:hyperlink>
      <w:r w:rsidR="00FC4056" w:rsidRPr="00086B1D">
        <w:t xml:space="preserve">  Accessed 12</w:t>
      </w:r>
      <w:r w:rsidR="00FC4056" w:rsidRPr="00A550F1">
        <w:t>th</w:t>
      </w:r>
      <w:r w:rsidR="00FC4056" w:rsidRPr="00086B1D">
        <w:t xml:space="preserve"> Dec 2014</w:t>
      </w:r>
    </w:p>
    <w:p w14:paraId="62A595D0" w14:textId="0328938B" w:rsidR="00FC4056" w:rsidRDefault="00D91C19">
      <w:r w:rsidRPr="00A550F1">
        <w:t>BUSH A.L.</w:t>
      </w:r>
      <w:r w:rsidR="00FC4056" w:rsidRPr="00A550F1">
        <w:t>, 2009 “Physical and chemical hydrogeology of the Otway Basin, southeast Australia” Ph.D. Thesis, University of Melbourne</w:t>
      </w:r>
    </w:p>
    <w:p w14:paraId="05712DE6" w14:textId="0CFD75F0" w:rsidR="00FC4056" w:rsidRDefault="00D91C19">
      <w:r>
        <w:t>COOK, P., BECK, V., BRERETON, D., CLARK, R., FISHER, B., KENTISH, S., TOOMEY, J. AND WILLIAMS, J.</w:t>
      </w:r>
      <w:r w:rsidR="00FC4056">
        <w:t xml:space="preserve"> (2013) Engineering energy: unconventional gas production. Report for the Australian Council of Learned Academies, </w:t>
      </w:r>
      <w:hyperlink r:id="rId246" w:history="1">
        <w:r w:rsidR="00FC4056" w:rsidRPr="00517BB6">
          <w:rPr>
            <w:rStyle w:val="Hyperlink"/>
          </w:rPr>
          <w:t>www.acola.org.au</w:t>
        </w:r>
      </w:hyperlink>
      <w:r w:rsidR="00FC4056" w:rsidRPr="00AF6840">
        <w:t>Dresel P. E., Zydor H., Hekmeijer P., Adelana M., Catchment Scal</w:t>
      </w:r>
      <w:r w:rsidR="00FC4056">
        <w:t>e Impacts of Land Use in South-</w:t>
      </w:r>
      <w:r w:rsidR="00FC4056" w:rsidRPr="00AF6840">
        <w:t>Western Victoria, Victoria Department of Primary Industries, Melbourne VIC., 2012.</w:t>
      </w:r>
    </w:p>
    <w:p w14:paraId="67E8A9E8" w14:textId="6404F986" w:rsidR="00D91C19" w:rsidRPr="00642A5D" w:rsidRDefault="00D91C19" w:rsidP="00D91C19">
      <w:pPr>
        <w:rPr>
          <w:rFonts w:cs="Arial"/>
        </w:rPr>
      </w:pPr>
      <w:r w:rsidRPr="00642A5D">
        <w:rPr>
          <w:rFonts w:cs="Arial"/>
        </w:rPr>
        <w:t>COOK, P.J.</w:t>
      </w:r>
      <w:r>
        <w:rPr>
          <w:rFonts w:cs="Arial"/>
        </w:rPr>
        <w:t xml:space="preserve"> (ed.),</w:t>
      </w:r>
      <w:r w:rsidRPr="00642A5D">
        <w:rPr>
          <w:rFonts w:cs="Arial"/>
        </w:rPr>
        <w:t xml:space="preserve"> 2014. </w:t>
      </w:r>
      <w:r w:rsidRPr="00642A5D">
        <w:rPr>
          <w:rFonts w:cs="Arial"/>
          <w:i/>
        </w:rPr>
        <w:t>Geologically Storing Carbon – Learning from the Otway Experience</w:t>
      </w:r>
      <w:r w:rsidRPr="00642A5D">
        <w:rPr>
          <w:rFonts w:cs="Arial"/>
        </w:rPr>
        <w:t>. CSIRO Publishing, Collingwood, Australia.</w:t>
      </w:r>
    </w:p>
    <w:p w14:paraId="62601BCF" w14:textId="77777777" w:rsidR="00FC4056" w:rsidRDefault="00FC4056">
      <w:r>
        <w:t xml:space="preserve">GHD, 2014. </w:t>
      </w:r>
      <w:r w:rsidRPr="00AF6840">
        <w:t>Water Asset Identification Project, State Report</w:t>
      </w:r>
      <w:r>
        <w:t>. Prepared for the West Gippsland Catchment Management Authority, May 2014.</w:t>
      </w:r>
    </w:p>
    <w:p w14:paraId="1C17C7E4" w14:textId="77777777" w:rsidR="00FC4056" w:rsidRDefault="00FC4056">
      <w:r>
        <w:t>GHD 2012. “Report on the Development of State-wide 3D Aquifer Surfaces” Unpublished report for the Department of Sustainability and Environment, May 2013</w:t>
      </w:r>
    </w:p>
    <w:p w14:paraId="575C3AB0" w14:textId="24811BC4" w:rsidR="00FC4056" w:rsidRDefault="00D91C19">
      <w:r>
        <w:t>GOLDIE DIVKO, L.M. 2</w:t>
      </w:r>
      <w:r w:rsidR="00FC4056">
        <w:t>015</w:t>
      </w:r>
      <w:r>
        <w:t>.</w:t>
      </w:r>
      <w:r w:rsidR="00FC4056">
        <w:t xml:space="preserve"> A review of natural gas prospectivity: Otway Region, Department of Economic Development Jobs Resources and Transport (in preparation).</w:t>
      </w:r>
    </w:p>
    <w:p w14:paraId="08444902" w14:textId="27C6C61B" w:rsidR="00FC4056" w:rsidRDefault="00D91C19">
      <w:r>
        <w:t>GOLDIE DIVKO, L.M., O'BRIEN, G.W., HARRISON, M.L AND HAMILTON, P.J.</w:t>
      </w:r>
      <w:r w:rsidR="00FC4056">
        <w:t xml:space="preserve"> 20</w:t>
      </w:r>
      <w:r>
        <w:t>10.</w:t>
      </w:r>
      <w:r w:rsidR="00FC4056">
        <w:t xml:space="preserve"> 'Evaluation of the regional top seal in the Gippsland Basin:  Implications for Geological Carbon Capture and Storage and Hydrocarbon Prospectivity.' APPEA Journal 2010. 50th Anniversary Issue. pp463-486.</w:t>
      </w:r>
    </w:p>
    <w:p w14:paraId="3EB187C0" w14:textId="5621F87A" w:rsidR="00FC4056" w:rsidRDefault="00D91C19">
      <w:r>
        <w:t xml:space="preserve">IESC </w:t>
      </w:r>
      <w:r w:rsidR="00FC4056">
        <w:t xml:space="preserve">(2014) Hydraulic fracturing ‘fraccing’ techniques, including reporting requirements and governance arrangements. </w:t>
      </w:r>
      <w:r>
        <w:t xml:space="preserve">Independent Expert Scientific Committee on Coal Seam Gas and Large Coal Mining Development. </w:t>
      </w:r>
      <w:r w:rsidR="00FC4056">
        <w:t>June, 2014.</w:t>
      </w:r>
    </w:p>
    <w:p w14:paraId="3BB1A92A" w14:textId="77777777" w:rsidR="00FC4056" w:rsidRPr="00AF6840" w:rsidRDefault="00FC4056">
      <w:r w:rsidRPr="00AF6840">
        <w:t>NWC 2011, Australian Groundwater Dependent Ecosystems toolbox, Waterlines reports no. 69 and 70, December 2011.</w:t>
      </w:r>
    </w:p>
    <w:p w14:paraId="29B396FC" w14:textId="02B5482C" w:rsidR="00FC4056" w:rsidRDefault="00FC4056">
      <w:r>
        <w:t>QGC (2012) Approval conditions 49 to 52: Stage 2 CSG Water Monitoring and Management Plan, 2</w:t>
      </w:r>
      <w:r w:rsidRPr="00A550F1">
        <w:t>nd</w:t>
      </w:r>
      <w:r>
        <w:t xml:space="preserve"> revision to 23 April 2012 Submission, 7 December, 2012</w:t>
      </w:r>
      <w:r w:rsidR="00D91C19">
        <w:t>. Queensland Gas Commission, Brisbane.</w:t>
      </w:r>
    </w:p>
    <w:p w14:paraId="69B41C82" w14:textId="771A8036" w:rsidR="00FC4056" w:rsidRDefault="00FC4056">
      <w:r>
        <w:t xml:space="preserve">SKM </w:t>
      </w:r>
      <w:r w:rsidR="00D91C19">
        <w:t>&amp;</w:t>
      </w:r>
      <w:r>
        <w:t xml:space="preserve"> GHD 2010, Hydrogeological mapping of Southern Victoria, Final 2, 20th April 2010</w:t>
      </w:r>
      <w:r w:rsidR="008573A4">
        <w:t xml:space="preserve">. </w:t>
      </w:r>
      <w:r>
        <w:t>Unpublished report to Southern Rural Water</w:t>
      </w:r>
      <w:r w:rsidR="008573A4">
        <w:t xml:space="preserve">. </w:t>
      </w:r>
      <w:r>
        <w:t>SKM proj no. VW04237.</w:t>
      </w:r>
    </w:p>
    <w:p w14:paraId="3DB694B2" w14:textId="77777777" w:rsidR="00FC4056" w:rsidRDefault="00FC4056" w:rsidP="00C150BC"/>
    <w:p w14:paraId="207358F7" w14:textId="77777777" w:rsidR="00FC4056" w:rsidRDefault="00FC4056" w:rsidP="00C150BC">
      <w:r>
        <w:br/>
      </w:r>
    </w:p>
    <w:p w14:paraId="0428CF94" w14:textId="77777777" w:rsidR="00FC4056" w:rsidRDefault="00FC4056">
      <w:pPr>
        <w:sectPr w:rsidR="00FC4056" w:rsidSect="00CF4178">
          <w:headerReference w:type="even" r:id="rId247"/>
          <w:headerReference w:type="default" r:id="rId248"/>
          <w:footerReference w:type="even" r:id="rId249"/>
          <w:footerReference w:type="default" r:id="rId250"/>
          <w:headerReference w:type="first" r:id="rId251"/>
          <w:footerReference w:type="first" r:id="rId252"/>
          <w:pgSz w:w="11906" w:h="16838" w:code="9"/>
          <w:pgMar w:top="2268" w:right="1134" w:bottom="1276" w:left="1134" w:header="567" w:footer="567" w:gutter="0"/>
          <w:cols w:space="708"/>
          <w:docGrid w:linePitch="360"/>
        </w:sectPr>
      </w:pPr>
    </w:p>
    <w:p w14:paraId="7B7DEF40" w14:textId="30653AA3" w:rsidR="00FC4056" w:rsidRDefault="002C0A7E" w:rsidP="00C150BC">
      <w:pPr>
        <w:pStyle w:val="Head2app"/>
      </w:pPr>
      <w:bookmarkStart w:id="1191" w:name="_Toc420567120"/>
      <w:bookmarkStart w:id="1192" w:name="_Toc420567511"/>
      <w:bookmarkStart w:id="1193" w:name="_Toc420568755"/>
      <w:bookmarkStart w:id="1194" w:name="_Toc420571537"/>
      <w:bookmarkStart w:id="1195" w:name="_Toc420572219"/>
      <w:bookmarkStart w:id="1196" w:name="_Toc296767022"/>
      <w:bookmarkStart w:id="1197" w:name="_Toc296770479"/>
      <w:bookmarkStart w:id="1198" w:name="_Toc423018303"/>
      <w:r>
        <w:t>Appendix BA</w:t>
      </w:r>
      <w:r w:rsidR="00165212">
        <w:t>: Hydraulic parameters</w:t>
      </w:r>
      <w:bookmarkEnd w:id="1191"/>
      <w:bookmarkEnd w:id="1192"/>
      <w:bookmarkEnd w:id="1193"/>
      <w:bookmarkEnd w:id="1194"/>
      <w:bookmarkEnd w:id="1195"/>
      <w:bookmarkEnd w:id="1196"/>
      <w:bookmarkEnd w:id="1197"/>
      <w:bookmarkEnd w:id="1198"/>
    </w:p>
    <w:p w14:paraId="2950673B" w14:textId="4ECD6B93" w:rsidR="00FC4056" w:rsidRDefault="00165212" w:rsidP="002D44DF">
      <w:pPr>
        <w:pStyle w:val="Tableheading"/>
      </w:pPr>
      <w:r>
        <w:t>Table BA1</w:t>
      </w:r>
      <w:r w:rsidR="003F558C">
        <w:t>:</w:t>
      </w:r>
      <w:r>
        <w:t xml:space="preserve"> Hydraulic parameters (</w:t>
      </w:r>
      <w:r w:rsidR="003F558C">
        <w:t xml:space="preserve">source: </w:t>
      </w:r>
      <w:r>
        <w:t>Bush, 2009)</w:t>
      </w:r>
    </w:p>
    <w:p w14:paraId="0C951B60" w14:textId="77777777" w:rsidR="00FC4056" w:rsidRDefault="00FC4056" w:rsidP="00C150BC">
      <w:r>
        <w:rPr>
          <w:noProof/>
          <w:lang w:val="en-AU"/>
        </w:rPr>
        <w:drawing>
          <wp:inline distT="0" distB="0" distL="0" distR="0" wp14:anchorId="4CA84054" wp14:editId="4A42A8DE">
            <wp:extent cx="6334125" cy="4764412"/>
            <wp:effectExtent l="0" t="0" r="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screen">
                      <a:extLst>
                        <a:ext uri="{28A0092B-C50C-407E-A947-70E740481C1C}">
                          <a14:useLocalDpi xmlns:a14="http://schemas.microsoft.com/office/drawing/2010/main"/>
                        </a:ext>
                      </a:extLst>
                    </a:blip>
                    <a:srcRect/>
                    <a:stretch>
                      <a:fillRect/>
                    </a:stretch>
                  </pic:blipFill>
                  <pic:spPr bwMode="auto">
                    <a:xfrm>
                      <a:off x="0" y="0"/>
                      <a:ext cx="6334804" cy="4764923"/>
                    </a:xfrm>
                    <a:prstGeom prst="rect">
                      <a:avLst/>
                    </a:prstGeom>
                    <a:noFill/>
                    <a:ln>
                      <a:noFill/>
                    </a:ln>
                  </pic:spPr>
                </pic:pic>
              </a:graphicData>
            </a:graphic>
          </wp:inline>
        </w:drawing>
      </w:r>
    </w:p>
    <w:p w14:paraId="4F47FCA7" w14:textId="77777777" w:rsidR="00FC4056" w:rsidRDefault="00FC4056" w:rsidP="00C150BC"/>
    <w:p w14:paraId="582CA5B8" w14:textId="77777777" w:rsidR="00E543D7" w:rsidRDefault="00E543D7">
      <w:r>
        <w:br w:type="page"/>
      </w:r>
    </w:p>
    <w:p w14:paraId="17B47726" w14:textId="44EC7BA0" w:rsidR="00FC4056" w:rsidRDefault="002C0A7E" w:rsidP="00C150BC">
      <w:pPr>
        <w:pStyle w:val="Head2app"/>
      </w:pPr>
      <w:bookmarkStart w:id="1199" w:name="_Toc420567121"/>
      <w:bookmarkStart w:id="1200" w:name="_Toc420567512"/>
      <w:bookmarkStart w:id="1201" w:name="_Toc420568756"/>
      <w:bookmarkStart w:id="1202" w:name="_Toc420571538"/>
      <w:bookmarkStart w:id="1203" w:name="_Toc420572220"/>
      <w:bookmarkStart w:id="1204" w:name="_Toc296767023"/>
      <w:bookmarkStart w:id="1205" w:name="_Toc296770480"/>
      <w:bookmarkStart w:id="1206" w:name="_Toc423018304"/>
      <w:r>
        <w:t>Appendix BB</w:t>
      </w:r>
      <w:r w:rsidR="00FC4056">
        <w:t>: Parameters for block model structure</w:t>
      </w:r>
      <w:bookmarkEnd w:id="1199"/>
      <w:bookmarkEnd w:id="1200"/>
      <w:bookmarkEnd w:id="1201"/>
      <w:bookmarkEnd w:id="1202"/>
      <w:bookmarkEnd w:id="1203"/>
      <w:bookmarkEnd w:id="1204"/>
      <w:bookmarkEnd w:id="1205"/>
      <w:bookmarkEnd w:id="1206"/>
    </w:p>
    <w:p w14:paraId="014BB68A" w14:textId="77777777" w:rsidR="00FC4056" w:rsidRDefault="00FC4056" w:rsidP="00C150BC"/>
    <w:p w14:paraId="50A6756B" w14:textId="79796ACF" w:rsidR="00FC4056" w:rsidRPr="00FF5320" w:rsidRDefault="00676DA0" w:rsidP="007910B7">
      <w:pPr>
        <w:pStyle w:val="Tableheading"/>
      </w:pPr>
      <w:r>
        <w:t>Table BB1:</w:t>
      </w:r>
      <w:r w:rsidR="00165212">
        <w:t xml:space="preserve"> </w:t>
      </w:r>
      <w:r>
        <w:t xml:space="preserve"> </w:t>
      </w:r>
      <w:r w:rsidR="00165212">
        <w:t xml:space="preserve">Parameters for block model structure for </w:t>
      </w:r>
      <w:r>
        <w:t>s</w:t>
      </w:r>
      <w:r w:rsidR="00FC4056">
        <w:t>hale gas</w:t>
      </w:r>
      <w:r>
        <w:t>.</w:t>
      </w:r>
    </w:p>
    <w:tbl>
      <w:tblPr>
        <w:tblStyle w:val="TableGrid"/>
        <w:tblW w:w="0" w:type="auto"/>
        <w:tblInd w:w="108" w:type="dxa"/>
        <w:tblLayout w:type="fixed"/>
        <w:tblLook w:val="04A0" w:firstRow="1" w:lastRow="0" w:firstColumn="1" w:lastColumn="0" w:noHBand="0" w:noVBand="1"/>
      </w:tblPr>
      <w:tblGrid>
        <w:gridCol w:w="1843"/>
        <w:gridCol w:w="974"/>
        <w:gridCol w:w="975"/>
        <w:gridCol w:w="974"/>
        <w:gridCol w:w="975"/>
        <w:gridCol w:w="974"/>
        <w:gridCol w:w="975"/>
        <w:gridCol w:w="974"/>
        <w:gridCol w:w="975"/>
      </w:tblGrid>
      <w:tr w:rsidR="00FC4056" w:rsidRPr="00622CCD" w14:paraId="3BE0CA49" w14:textId="77777777" w:rsidTr="00622CCD">
        <w:trPr>
          <w:trHeight w:val="300"/>
        </w:trPr>
        <w:tc>
          <w:tcPr>
            <w:tcW w:w="1843" w:type="dxa"/>
            <w:tcBorders>
              <w:top w:val="nil"/>
              <w:left w:val="nil"/>
              <w:bottom w:val="nil"/>
              <w:right w:val="single" w:sz="4" w:space="0" w:color="FFFFFF"/>
            </w:tcBorders>
            <w:shd w:val="clear" w:color="auto" w:fill="005A97"/>
            <w:noWrap/>
          </w:tcPr>
          <w:p w14:paraId="1CF366F0" w14:textId="77777777" w:rsidR="00FC4056" w:rsidRPr="00622CCD" w:rsidRDefault="00FC4056" w:rsidP="00622CCD">
            <w:pPr>
              <w:pStyle w:val="TableHeaderrow"/>
            </w:pPr>
          </w:p>
        </w:tc>
        <w:tc>
          <w:tcPr>
            <w:tcW w:w="7796" w:type="dxa"/>
            <w:gridSpan w:val="8"/>
            <w:tcBorders>
              <w:top w:val="nil"/>
              <w:left w:val="single" w:sz="4" w:space="0" w:color="FFFFFF"/>
              <w:bottom w:val="nil"/>
              <w:right w:val="nil"/>
            </w:tcBorders>
            <w:shd w:val="clear" w:color="auto" w:fill="005A97"/>
            <w:noWrap/>
          </w:tcPr>
          <w:p w14:paraId="40C0B4B1" w14:textId="77777777" w:rsidR="00FC4056" w:rsidRPr="00622CCD" w:rsidRDefault="00FC4056" w:rsidP="00622CCD">
            <w:pPr>
              <w:pStyle w:val="TableHeaderrow"/>
            </w:pPr>
            <w:r w:rsidRPr="00622CCD">
              <w:t>Elevation of Top of Layer (m AHD)</w:t>
            </w:r>
          </w:p>
        </w:tc>
      </w:tr>
      <w:tr w:rsidR="00FC4056" w:rsidRPr="00FF5320" w14:paraId="641C6122" w14:textId="77777777" w:rsidTr="00622CCD">
        <w:trPr>
          <w:trHeight w:val="300"/>
        </w:trPr>
        <w:tc>
          <w:tcPr>
            <w:tcW w:w="1843" w:type="dxa"/>
            <w:tcBorders>
              <w:top w:val="nil"/>
              <w:left w:val="nil"/>
              <w:bottom w:val="single" w:sz="4" w:space="0" w:color="005A97"/>
              <w:right w:val="single" w:sz="4" w:space="0" w:color="005A97"/>
            </w:tcBorders>
            <w:noWrap/>
            <w:hideMark/>
          </w:tcPr>
          <w:p w14:paraId="39BD2025" w14:textId="77777777" w:rsidR="00FC4056" w:rsidRPr="00FF5320" w:rsidRDefault="00FC4056" w:rsidP="00676DA0">
            <w:pPr>
              <w:pStyle w:val="Tabletext"/>
              <w:rPr>
                <w:rFonts w:eastAsiaTheme="majorEastAsia" w:cstheme="majorBidi"/>
                <w:color w:val="0079CD" w:themeColor="text1" w:themeTint="D8"/>
                <w:sz w:val="21"/>
                <w:szCs w:val="21"/>
              </w:rPr>
            </w:pPr>
            <w:r w:rsidRPr="00334993">
              <w:rPr>
                <w:b/>
                <w:bCs/>
              </w:rPr>
              <w:t>Aquifer</w:t>
            </w:r>
          </w:p>
        </w:tc>
        <w:tc>
          <w:tcPr>
            <w:tcW w:w="974" w:type="dxa"/>
            <w:tcBorders>
              <w:top w:val="nil"/>
              <w:left w:val="single" w:sz="4" w:space="0" w:color="005A97"/>
              <w:bottom w:val="single" w:sz="4" w:space="0" w:color="005A97"/>
              <w:right w:val="single" w:sz="4" w:space="0" w:color="005A97"/>
            </w:tcBorders>
            <w:noWrap/>
            <w:hideMark/>
          </w:tcPr>
          <w:p w14:paraId="27870C2D"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514</w:t>
            </w:r>
          </w:p>
        </w:tc>
        <w:tc>
          <w:tcPr>
            <w:tcW w:w="975" w:type="dxa"/>
            <w:tcBorders>
              <w:top w:val="nil"/>
              <w:left w:val="single" w:sz="4" w:space="0" w:color="005A97"/>
              <w:bottom w:val="single" w:sz="4" w:space="0" w:color="005A97"/>
              <w:right w:val="single" w:sz="4" w:space="0" w:color="005A97"/>
            </w:tcBorders>
            <w:noWrap/>
            <w:hideMark/>
          </w:tcPr>
          <w:p w14:paraId="02EAE0EF" w14:textId="77777777" w:rsidR="00FC4056" w:rsidRPr="00FF5320" w:rsidRDefault="00FC4056" w:rsidP="00676DA0">
            <w:pPr>
              <w:pStyle w:val="Tabletext"/>
              <w:rPr>
                <w:rFonts w:cs="Arial"/>
                <w:bCs/>
                <w:iCs/>
                <w:color w:val="AEC12D"/>
                <w:sz w:val="32"/>
                <w:szCs w:val="28"/>
              </w:rPr>
            </w:pPr>
            <w:r w:rsidRPr="00FF5320">
              <w:rPr>
                <w:b/>
                <w:bCs/>
              </w:rPr>
              <w:t>546</w:t>
            </w:r>
          </w:p>
        </w:tc>
        <w:tc>
          <w:tcPr>
            <w:tcW w:w="974" w:type="dxa"/>
            <w:tcBorders>
              <w:top w:val="nil"/>
              <w:left w:val="single" w:sz="4" w:space="0" w:color="005A97"/>
              <w:bottom w:val="single" w:sz="4" w:space="0" w:color="005A97"/>
              <w:right w:val="single" w:sz="4" w:space="0" w:color="005A97"/>
            </w:tcBorders>
            <w:noWrap/>
            <w:hideMark/>
          </w:tcPr>
          <w:p w14:paraId="07C3E85A" w14:textId="77777777" w:rsidR="00FC4056" w:rsidRPr="00FF5320" w:rsidRDefault="00FC4056" w:rsidP="00676DA0">
            <w:pPr>
              <w:pStyle w:val="Tabletext"/>
              <w:rPr>
                <w:rFonts w:cs="Arial"/>
                <w:bCs/>
                <w:iCs/>
                <w:color w:val="AEC12D"/>
                <w:sz w:val="32"/>
                <w:szCs w:val="28"/>
              </w:rPr>
            </w:pPr>
            <w:r w:rsidRPr="00FF5320">
              <w:rPr>
                <w:b/>
                <w:bCs/>
              </w:rPr>
              <w:t>547</w:t>
            </w:r>
          </w:p>
        </w:tc>
        <w:tc>
          <w:tcPr>
            <w:tcW w:w="975" w:type="dxa"/>
            <w:tcBorders>
              <w:top w:val="nil"/>
              <w:left w:val="single" w:sz="4" w:space="0" w:color="005A97"/>
              <w:bottom w:val="single" w:sz="4" w:space="0" w:color="005A97"/>
              <w:right w:val="single" w:sz="4" w:space="0" w:color="005A97"/>
            </w:tcBorders>
            <w:noWrap/>
            <w:hideMark/>
          </w:tcPr>
          <w:p w14:paraId="01B568AB" w14:textId="77777777" w:rsidR="00FC4056" w:rsidRPr="00FF5320" w:rsidRDefault="00FC4056" w:rsidP="00676DA0">
            <w:pPr>
              <w:pStyle w:val="Tabletext"/>
              <w:rPr>
                <w:rFonts w:cs="Arial"/>
                <w:bCs/>
                <w:iCs/>
                <w:color w:val="AEC12D"/>
                <w:sz w:val="32"/>
                <w:szCs w:val="28"/>
              </w:rPr>
            </w:pPr>
            <w:r w:rsidRPr="00FF5320">
              <w:rPr>
                <w:b/>
                <w:bCs/>
              </w:rPr>
              <w:t>548</w:t>
            </w:r>
          </w:p>
        </w:tc>
        <w:tc>
          <w:tcPr>
            <w:tcW w:w="974" w:type="dxa"/>
            <w:tcBorders>
              <w:top w:val="nil"/>
              <w:left w:val="single" w:sz="4" w:space="0" w:color="005A97"/>
              <w:bottom w:val="single" w:sz="4" w:space="0" w:color="005A97"/>
              <w:right w:val="single" w:sz="4" w:space="0" w:color="005A97"/>
            </w:tcBorders>
            <w:noWrap/>
            <w:hideMark/>
          </w:tcPr>
          <w:p w14:paraId="277D136C" w14:textId="77777777" w:rsidR="00FC4056" w:rsidRPr="00FF5320" w:rsidRDefault="00FC4056" w:rsidP="00676DA0">
            <w:pPr>
              <w:pStyle w:val="Tabletext"/>
              <w:rPr>
                <w:rFonts w:cs="Arial"/>
                <w:bCs/>
                <w:iCs/>
                <w:color w:val="AEC12D"/>
                <w:sz w:val="32"/>
                <w:szCs w:val="28"/>
              </w:rPr>
            </w:pPr>
            <w:r w:rsidRPr="00FF5320">
              <w:rPr>
                <w:b/>
                <w:bCs/>
              </w:rPr>
              <w:t>580</w:t>
            </w:r>
          </w:p>
        </w:tc>
        <w:tc>
          <w:tcPr>
            <w:tcW w:w="975" w:type="dxa"/>
            <w:tcBorders>
              <w:top w:val="nil"/>
              <w:left w:val="single" w:sz="4" w:space="0" w:color="005A97"/>
              <w:bottom w:val="single" w:sz="4" w:space="0" w:color="005A97"/>
              <w:right w:val="single" w:sz="4" w:space="0" w:color="005A97"/>
            </w:tcBorders>
            <w:noWrap/>
            <w:hideMark/>
          </w:tcPr>
          <w:p w14:paraId="045EE05F" w14:textId="77777777" w:rsidR="00FC4056" w:rsidRPr="00FF5320" w:rsidRDefault="00FC4056" w:rsidP="00676DA0">
            <w:pPr>
              <w:pStyle w:val="Tabletext"/>
              <w:rPr>
                <w:rFonts w:cs="Arial"/>
                <w:bCs/>
                <w:iCs/>
                <w:color w:val="AEC12D"/>
                <w:sz w:val="32"/>
                <w:szCs w:val="28"/>
              </w:rPr>
            </w:pPr>
            <w:r w:rsidRPr="00FF5320">
              <w:rPr>
                <w:b/>
                <w:bCs/>
              </w:rPr>
              <w:t>581</w:t>
            </w:r>
          </w:p>
        </w:tc>
        <w:tc>
          <w:tcPr>
            <w:tcW w:w="974" w:type="dxa"/>
            <w:tcBorders>
              <w:top w:val="nil"/>
              <w:left w:val="single" w:sz="4" w:space="0" w:color="005A97"/>
              <w:bottom w:val="single" w:sz="4" w:space="0" w:color="005A97"/>
              <w:right w:val="single" w:sz="4" w:space="0" w:color="005A97"/>
            </w:tcBorders>
            <w:noWrap/>
            <w:hideMark/>
          </w:tcPr>
          <w:p w14:paraId="46D260B2" w14:textId="77777777" w:rsidR="00FC4056" w:rsidRPr="00FF5320" w:rsidRDefault="00FC4056" w:rsidP="00676DA0">
            <w:pPr>
              <w:pStyle w:val="Tabletext"/>
              <w:rPr>
                <w:rFonts w:cs="Arial"/>
                <w:bCs/>
                <w:iCs/>
                <w:color w:val="AEC12D"/>
                <w:sz w:val="32"/>
                <w:szCs w:val="28"/>
              </w:rPr>
            </w:pPr>
            <w:r w:rsidRPr="00FF5320">
              <w:rPr>
                <w:b/>
                <w:bCs/>
              </w:rPr>
              <w:t>444</w:t>
            </w:r>
          </w:p>
        </w:tc>
        <w:tc>
          <w:tcPr>
            <w:tcW w:w="975" w:type="dxa"/>
            <w:tcBorders>
              <w:top w:val="nil"/>
              <w:left w:val="single" w:sz="4" w:space="0" w:color="005A97"/>
              <w:bottom w:val="single" w:sz="4" w:space="0" w:color="005A97"/>
              <w:right w:val="nil"/>
            </w:tcBorders>
            <w:noWrap/>
            <w:hideMark/>
          </w:tcPr>
          <w:p w14:paraId="0FD471BF" w14:textId="77777777" w:rsidR="00FC4056" w:rsidRPr="00FF5320" w:rsidRDefault="00FC4056" w:rsidP="00676DA0">
            <w:pPr>
              <w:pStyle w:val="Tabletext"/>
              <w:rPr>
                <w:rFonts w:cs="Arial"/>
                <w:bCs/>
                <w:iCs/>
                <w:color w:val="AEC12D"/>
                <w:sz w:val="32"/>
                <w:szCs w:val="28"/>
              </w:rPr>
            </w:pPr>
            <w:r w:rsidRPr="00FF5320">
              <w:rPr>
                <w:b/>
                <w:bCs/>
              </w:rPr>
              <w:t>445</w:t>
            </w:r>
          </w:p>
        </w:tc>
      </w:tr>
      <w:tr w:rsidR="00FC4056" w:rsidRPr="00FF5320" w14:paraId="5BE64C96"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2FC750C3" w14:textId="77777777" w:rsidR="00FC4056" w:rsidRPr="00FF5320" w:rsidRDefault="00FC4056" w:rsidP="00676DA0">
            <w:pPr>
              <w:pStyle w:val="Tabletext"/>
              <w:rPr>
                <w:rFonts w:eastAsiaTheme="majorEastAsia" w:cstheme="majorBidi"/>
                <w:color w:val="0079CD" w:themeColor="text1" w:themeTint="D8"/>
                <w:sz w:val="21"/>
                <w:szCs w:val="21"/>
              </w:rPr>
            </w:pPr>
            <w:r>
              <w:rPr>
                <w:b/>
                <w:bCs/>
              </w:rPr>
              <w:t>Aq</w:t>
            </w:r>
            <w:r w:rsidRPr="00FF5320">
              <w:rPr>
                <w:b/>
                <w:bCs/>
              </w:rPr>
              <w:t>100,101,104</w:t>
            </w:r>
          </w:p>
        </w:tc>
        <w:tc>
          <w:tcPr>
            <w:tcW w:w="974" w:type="dxa"/>
            <w:tcBorders>
              <w:top w:val="single" w:sz="4" w:space="0" w:color="005A97"/>
              <w:left w:val="single" w:sz="4" w:space="0" w:color="005A97"/>
              <w:bottom w:val="single" w:sz="4" w:space="0" w:color="005A97"/>
              <w:right w:val="single" w:sz="4" w:space="0" w:color="005A97"/>
            </w:tcBorders>
            <w:noWrap/>
            <w:hideMark/>
          </w:tcPr>
          <w:p w14:paraId="0C72028A" w14:textId="77777777" w:rsidR="00FC4056" w:rsidRPr="00FF5320" w:rsidRDefault="00FC4056" w:rsidP="00676DA0">
            <w:pPr>
              <w:pStyle w:val="Tabletext"/>
              <w:rPr>
                <w:rFonts w:cs="Arial"/>
                <w:bCs/>
                <w:iCs/>
                <w:color w:val="AEC12D"/>
                <w:sz w:val="32"/>
                <w:szCs w:val="28"/>
              </w:rPr>
            </w:pPr>
            <w:r w:rsidRPr="00FF5320">
              <w:t>76.8</w:t>
            </w:r>
          </w:p>
        </w:tc>
        <w:tc>
          <w:tcPr>
            <w:tcW w:w="975" w:type="dxa"/>
            <w:tcBorders>
              <w:top w:val="single" w:sz="4" w:space="0" w:color="005A97"/>
              <w:left w:val="single" w:sz="4" w:space="0" w:color="005A97"/>
              <w:bottom w:val="single" w:sz="4" w:space="0" w:color="005A97"/>
              <w:right w:val="single" w:sz="4" w:space="0" w:color="005A97"/>
            </w:tcBorders>
            <w:noWrap/>
            <w:hideMark/>
          </w:tcPr>
          <w:p w14:paraId="0CD8165E" w14:textId="77777777" w:rsidR="00FC4056" w:rsidRPr="00FF5320" w:rsidRDefault="00FC4056" w:rsidP="00676DA0">
            <w:pPr>
              <w:pStyle w:val="Tabletext"/>
              <w:rPr>
                <w:rFonts w:cs="Arial"/>
                <w:bCs/>
                <w:iCs/>
                <w:color w:val="AEC12D"/>
                <w:sz w:val="32"/>
                <w:szCs w:val="28"/>
              </w:rPr>
            </w:pPr>
            <w:r w:rsidRPr="00FF5320">
              <w:t>70.3</w:t>
            </w:r>
          </w:p>
        </w:tc>
        <w:tc>
          <w:tcPr>
            <w:tcW w:w="974" w:type="dxa"/>
            <w:tcBorders>
              <w:top w:val="single" w:sz="4" w:space="0" w:color="005A97"/>
              <w:left w:val="single" w:sz="4" w:space="0" w:color="005A97"/>
              <w:bottom w:val="single" w:sz="4" w:space="0" w:color="005A97"/>
              <w:right w:val="single" w:sz="4" w:space="0" w:color="005A97"/>
            </w:tcBorders>
            <w:noWrap/>
            <w:hideMark/>
          </w:tcPr>
          <w:p w14:paraId="58DECA65" w14:textId="77777777" w:rsidR="00FC4056" w:rsidRPr="00FF5320" w:rsidRDefault="00FC4056" w:rsidP="00676DA0">
            <w:pPr>
              <w:pStyle w:val="Tabletext"/>
              <w:rPr>
                <w:rFonts w:cs="Arial"/>
                <w:bCs/>
                <w:iCs/>
                <w:color w:val="AEC12D"/>
                <w:sz w:val="32"/>
                <w:szCs w:val="28"/>
              </w:rPr>
            </w:pPr>
            <w:r w:rsidRPr="00FF5320">
              <w:t>74.4</w:t>
            </w:r>
          </w:p>
        </w:tc>
        <w:tc>
          <w:tcPr>
            <w:tcW w:w="975" w:type="dxa"/>
            <w:tcBorders>
              <w:top w:val="single" w:sz="4" w:space="0" w:color="005A97"/>
              <w:left w:val="single" w:sz="4" w:space="0" w:color="005A97"/>
              <w:bottom w:val="single" w:sz="4" w:space="0" w:color="005A97"/>
              <w:right w:val="single" w:sz="4" w:space="0" w:color="005A97"/>
            </w:tcBorders>
            <w:noWrap/>
            <w:hideMark/>
          </w:tcPr>
          <w:p w14:paraId="76077202" w14:textId="77777777" w:rsidR="00FC4056" w:rsidRPr="00FF5320" w:rsidRDefault="00FC4056" w:rsidP="00676DA0">
            <w:pPr>
              <w:pStyle w:val="Tabletext"/>
              <w:rPr>
                <w:rFonts w:cs="Arial"/>
                <w:bCs/>
                <w:iCs/>
                <w:color w:val="AEC12D"/>
                <w:sz w:val="32"/>
                <w:szCs w:val="28"/>
              </w:rPr>
            </w:pPr>
            <w:r w:rsidRPr="00FF5320">
              <w:t>103.2</w:t>
            </w:r>
          </w:p>
        </w:tc>
        <w:tc>
          <w:tcPr>
            <w:tcW w:w="974" w:type="dxa"/>
            <w:tcBorders>
              <w:top w:val="single" w:sz="4" w:space="0" w:color="005A97"/>
              <w:left w:val="single" w:sz="4" w:space="0" w:color="005A97"/>
              <w:bottom w:val="single" w:sz="4" w:space="0" w:color="005A97"/>
              <w:right w:val="single" w:sz="4" w:space="0" w:color="005A97"/>
            </w:tcBorders>
            <w:noWrap/>
            <w:hideMark/>
          </w:tcPr>
          <w:p w14:paraId="16ADB775" w14:textId="77777777" w:rsidR="00FC4056" w:rsidRPr="00FF5320" w:rsidRDefault="00FC4056" w:rsidP="00676DA0">
            <w:pPr>
              <w:pStyle w:val="Tabletext"/>
              <w:rPr>
                <w:rFonts w:cs="Arial"/>
                <w:bCs/>
                <w:iCs/>
                <w:color w:val="AEC12D"/>
                <w:sz w:val="32"/>
                <w:szCs w:val="28"/>
              </w:rPr>
            </w:pPr>
            <w:r w:rsidRPr="00FF5320">
              <w:t>79.9</w:t>
            </w:r>
          </w:p>
        </w:tc>
        <w:tc>
          <w:tcPr>
            <w:tcW w:w="975" w:type="dxa"/>
            <w:tcBorders>
              <w:top w:val="single" w:sz="4" w:space="0" w:color="005A97"/>
              <w:left w:val="single" w:sz="4" w:space="0" w:color="005A97"/>
              <w:bottom w:val="single" w:sz="4" w:space="0" w:color="005A97"/>
              <w:right w:val="single" w:sz="4" w:space="0" w:color="005A97"/>
            </w:tcBorders>
            <w:noWrap/>
            <w:hideMark/>
          </w:tcPr>
          <w:p w14:paraId="2163B93B" w14:textId="77777777" w:rsidR="00FC4056" w:rsidRPr="00FF5320" w:rsidRDefault="00FC4056" w:rsidP="00676DA0">
            <w:pPr>
              <w:pStyle w:val="Tabletext"/>
              <w:rPr>
                <w:rFonts w:cs="Arial"/>
                <w:bCs/>
                <w:iCs/>
                <w:color w:val="AEC12D"/>
                <w:sz w:val="32"/>
                <w:szCs w:val="28"/>
              </w:rPr>
            </w:pPr>
            <w:r w:rsidRPr="00FF5320">
              <w:t>123.4</w:t>
            </w:r>
          </w:p>
        </w:tc>
        <w:tc>
          <w:tcPr>
            <w:tcW w:w="974" w:type="dxa"/>
            <w:tcBorders>
              <w:top w:val="single" w:sz="4" w:space="0" w:color="005A97"/>
              <w:left w:val="single" w:sz="4" w:space="0" w:color="005A97"/>
              <w:bottom w:val="single" w:sz="4" w:space="0" w:color="005A97"/>
              <w:right w:val="single" w:sz="4" w:space="0" w:color="005A97"/>
            </w:tcBorders>
            <w:noWrap/>
            <w:hideMark/>
          </w:tcPr>
          <w:p w14:paraId="09C5C8FB" w14:textId="77777777" w:rsidR="00FC4056" w:rsidRPr="00FF5320" w:rsidRDefault="00FC4056" w:rsidP="00676DA0">
            <w:pPr>
              <w:pStyle w:val="Tabletext"/>
              <w:rPr>
                <w:rFonts w:cs="Arial"/>
                <w:bCs/>
                <w:iCs/>
                <w:color w:val="AEC12D"/>
                <w:sz w:val="32"/>
                <w:szCs w:val="28"/>
              </w:rPr>
            </w:pPr>
            <w:r w:rsidRPr="00FF5320">
              <w:t>68.8</w:t>
            </w:r>
          </w:p>
        </w:tc>
        <w:tc>
          <w:tcPr>
            <w:tcW w:w="975" w:type="dxa"/>
            <w:tcBorders>
              <w:top w:val="single" w:sz="4" w:space="0" w:color="005A97"/>
              <w:left w:val="single" w:sz="4" w:space="0" w:color="005A97"/>
              <w:bottom w:val="single" w:sz="4" w:space="0" w:color="005A97"/>
              <w:right w:val="nil"/>
            </w:tcBorders>
            <w:noWrap/>
            <w:hideMark/>
          </w:tcPr>
          <w:p w14:paraId="03BBEFAC" w14:textId="77777777" w:rsidR="00FC4056" w:rsidRPr="00FF5320" w:rsidRDefault="00FC4056" w:rsidP="00676DA0">
            <w:pPr>
              <w:pStyle w:val="Tabletext"/>
              <w:rPr>
                <w:rFonts w:cs="Arial"/>
                <w:bCs/>
                <w:iCs/>
                <w:color w:val="AEC12D"/>
                <w:sz w:val="32"/>
                <w:szCs w:val="28"/>
              </w:rPr>
            </w:pPr>
            <w:r w:rsidRPr="00FF5320">
              <w:t>67.8</w:t>
            </w:r>
          </w:p>
        </w:tc>
      </w:tr>
      <w:tr w:rsidR="00FC4056" w:rsidRPr="00FF5320" w14:paraId="7135A0B4"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2D14EBB0" w14:textId="77777777" w:rsidR="00FC4056" w:rsidRPr="00FF5320" w:rsidRDefault="00FC4056" w:rsidP="00676DA0">
            <w:pPr>
              <w:pStyle w:val="Tabletext"/>
            </w:pPr>
            <w:r w:rsidRPr="00FF5320">
              <w:rPr>
                <w:b/>
                <w:bCs/>
              </w:rPr>
              <w:t>Volcanics Basal</w:t>
            </w:r>
          </w:p>
        </w:tc>
        <w:tc>
          <w:tcPr>
            <w:tcW w:w="974" w:type="dxa"/>
            <w:tcBorders>
              <w:top w:val="single" w:sz="4" w:space="0" w:color="005A97"/>
              <w:left w:val="single" w:sz="4" w:space="0" w:color="005A97"/>
              <w:bottom w:val="single" w:sz="4" w:space="0" w:color="005A97"/>
              <w:right w:val="single" w:sz="4" w:space="0" w:color="005A97"/>
            </w:tcBorders>
            <w:noWrap/>
            <w:hideMark/>
          </w:tcPr>
          <w:p w14:paraId="16A28692"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74115B63"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58EBE8B0"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6D4A8E36"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603EAB7F"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F4606F8"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1C863E26"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nil"/>
            </w:tcBorders>
            <w:noWrap/>
            <w:hideMark/>
          </w:tcPr>
          <w:p w14:paraId="650AFA6A" w14:textId="77777777" w:rsidR="00FC4056" w:rsidRPr="00FF5320" w:rsidRDefault="00FC4056" w:rsidP="00676DA0">
            <w:pPr>
              <w:pStyle w:val="Tabletext"/>
            </w:pPr>
          </w:p>
        </w:tc>
      </w:tr>
      <w:tr w:rsidR="00FC4056" w:rsidRPr="00FF5320" w14:paraId="62123CA4"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3162FE52"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Aq107</w:t>
            </w:r>
          </w:p>
        </w:tc>
        <w:tc>
          <w:tcPr>
            <w:tcW w:w="974" w:type="dxa"/>
            <w:tcBorders>
              <w:top w:val="single" w:sz="4" w:space="0" w:color="005A97"/>
              <w:left w:val="single" w:sz="4" w:space="0" w:color="005A97"/>
              <w:bottom w:val="single" w:sz="4" w:space="0" w:color="005A97"/>
              <w:right w:val="single" w:sz="4" w:space="0" w:color="005A97"/>
            </w:tcBorders>
            <w:noWrap/>
            <w:hideMark/>
          </w:tcPr>
          <w:p w14:paraId="3DC35D0A" w14:textId="77777777" w:rsidR="00FC4056" w:rsidRPr="00FF5320" w:rsidRDefault="00FC4056" w:rsidP="00676DA0">
            <w:pPr>
              <w:pStyle w:val="Tabletext"/>
              <w:rPr>
                <w:rFonts w:cs="Arial"/>
                <w:bCs/>
                <w:iCs/>
                <w:color w:val="AEC12D"/>
                <w:sz w:val="32"/>
                <w:szCs w:val="28"/>
              </w:rPr>
            </w:pPr>
            <w:r w:rsidRPr="00FF5320">
              <w:t>75.8</w:t>
            </w:r>
          </w:p>
        </w:tc>
        <w:tc>
          <w:tcPr>
            <w:tcW w:w="975" w:type="dxa"/>
            <w:tcBorders>
              <w:top w:val="single" w:sz="4" w:space="0" w:color="005A97"/>
              <w:left w:val="single" w:sz="4" w:space="0" w:color="005A97"/>
              <w:bottom w:val="single" w:sz="4" w:space="0" w:color="005A97"/>
              <w:right w:val="single" w:sz="4" w:space="0" w:color="005A97"/>
            </w:tcBorders>
            <w:noWrap/>
            <w:hideMark/>
          </w:tcPr>
          <w:p w14:paraId="0AD52CE4"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2F27DBA7" w14:textId="77777777" w:rsidR="00FC4056" w:rsidRPr="00FF5320" w:rsidRDefault="00FC4056" w:rsidP="00676DA0">
            <w:pPr>
              <w:pStyle w:val="Tabletext"/>
              <w:rPr>
                <w:rFonts w:cs="Arial"/>
                <w:bCs/>
                <w:iCs/>
                <w:color w:val="AEC12D"/>
                <w:sz w:val="32"/>
                <w:szCs w:val="28"/>
              </w:rPr>
            </w:pPr>
            <w:r w:rsidRPr="00FF5320">
              <w:t>87.2</w:t>
            </w:r>
          </w:p>
        </w:tc>
        <w:tc>
          <w:tcPr>
            <w:tcW w:w="975" w:type="dxa"/>
            <w:tcBorders>
              <w:top w:val="single" w:sz="4" w:space="0" w:color="005A97"/>
              <w:left w:val="single" w:sz="4" w:space="0" w:color="005A97"/>
              <w:bottom w:val="single" w:sz="4" w:space="0" w:color="005A97"/>
              <w:right w:val="single" w:sz="4" w:space="0" w:color="005A97"/>
            </w:tcBorders>
            <w:noWrap/>
            <w:hideMark/>
          </w:tcPr>
          <w:p w14:paraId="272271AF" w14:textId="77777777" w:rsidR="00FC4056" w:rsidRPr="00FF5320" w:rsidRDefault="00FC4056" w:rsidP="00676DA0">
            <w:pPr>
              <w:pStyle w:val="Tabletext"/>
              <w:rPr>
                <w:rFonts w:cs="Arial"/>
                <w:bCs/>
                <w:iCs/>
                <w:color w:val="AEC12D"/>
                <w:sz w:val="32"/>
                <w:szCs w:val="28"/>
              </w:rPr>
            </w:pPr>
            <w:r w:rsidRPr="00FF5320">
              <w:t>103.3</w:t>
            </w:r>
          </w:p>
        </w:tc>
        <w:tc>
          <w:tcPr>
            <w:tcW w:w="974" w:type="dxa"/>
            <w:tcBorders>
              <w:top w:val="single" w:sz="4" w:space="0" w:color="005A97"/>
              <w:left w:val="single" w:sz="4" w:space="0" w:color="005A97"/>
              <w:bottom w:val="single" w:sz="4" w:space="0" w:color="005A97"/>
              <w:right w:val="single" w:sz="4" w:space="0" w:color="005A97"/>
            </w:tcBorders>
            <w:noWrap/>
            <w:hideMark/>
          </w:tcPr>
          <w:p w14:paraId="6F6FFC25" w14:textId="77777777" w:rsidR="00FC4056" w:rsidRPr="00FF5320" w:rsidRDefault="00FC4056" w:rsidP="00676DA0">
            <w:pPr>
              <w:pStyle w:val="Tabletext"/>
            </w:pPr>
            <w:r w:rsidRPr="00FF5320">
              <w:t>55.5</w:t>
            </w:r>
          </w:p>
        </w:tc>
        <w:tc>
          <w:tcPr>
            <w:tcW w:w="975" w:type="dxa"/>
            <w:tcBorders>
              <w:top w:val="single" w:sz="4" w:space="0" w:color="005A97"/>
              <w:left w:val="single" w:sz="4" w:space="0" w:color="005A97"/>
              <w:bottom w:val="single" w:sz="4" w:space="0" w:color="005A97"/>
              <w:right w:val="single" w:sz="4" w:space="0" w:color="005A97"/>
            </w:tcBorders>
            <w:noWrap/>
            <w:hideMark/>
          </w:tcPr>
          <w:p w14:paraId="362912C6" w14:textId="77777777" w:rsidR="00FC4056" w:rsidRPr="00FF5320" w:rsidRDefault="00FC4056" w:rsidP="00676DA0">
            <w:pPr>
              <w:pStyle w:val="Tabletext"/>
              <w:rPr>
                <w:rFonts w:cs="Arial"/>
                <w:bCs/>
                <w:iCs/>
                <w:color w:val="AEC12D"/>
                <w:sz w:val="32"/>
                <w:szCs w:val="28"/>
              </w:rPr>
            </w:pPr>
            <w:r w:rsidRPr="00FF5320">
              <w:t>101.7</w:t>
            </w:r>
          </w:p>
        </w:tc>
        <w:tc>
          <w:tcPr>
            <w:tcW w:w="974" w:type="dxa"/>
            <w:tcBorders>
              <w:top w:val="single" w:sz="4" w:space="0" w:color="005A97"/>
              <w:left w:val="single" w:sz="4" w:space="0" w:color="005A97"/>
              <w:bottom w:val="single" w:sz="4" w:space="0" w:color="005A97"/>
              <w:right w:val="single" w:sz="4" w:space="0" w:color="005A97"/>
            </w:tcBorders>
            <w:noWrap/>
            <w:hideMark/>
          </w:tcPr>
          <w:p w14:paraId="60C20F05" w14:textId="77777777" w:rsidR="00FC4056" w:rsidRPr="00FF5320" w:rsidRDefault="00FC4056" w:rsidP="00676DA0">
            <w:pPr>
              <w:pStyle w:val="Tabletext"/>
              <w:rPr>
                <w:rFonts w:cs="Arial"/>
                <w:bCs/>
                <w:iCs/>
                <w:color w:val="AEC12D"/>
                <w:sz w:val="32"/>
                <w:szCs w:val="28"/>
              </w:rPr>
            </w:pPr>
            <w:r w:rsidRPr="00FF5320">
              <w:t>33.6</w:t>
            </w:r>
          </w:p>
        </w:tc>
        <w:tc>
          <w:tcPr>
            <w:tcW w:w="975" w:type="dxa"/>
            <w:tcBorders>
              <w:top w:val="single" w:sz="4" w:space="0" w:color="005A97"/>
              <w:left w:val="single" w:sz="4" w:space="0" w:color="005A97"/>
              <w:bottom w:val="single" w:sz="4" w:space="0" w:color="005A97"/>
              <w:right w:val="nil"/>
            </w:tcBorders>
            <w:noWrap/>
            <w:hideMark/>
          </w:tcPr>
          <w:p w14:paraId="0FC70B89" w14:textId="77777777" w:rsidR="00FC4056" w:rsidRPr="00FF5320" w:rsidRDefault="00FC4056" w:rsidP="00676DA0">
            <w:pPr>
              <w:pStyle w:val="Tabletext"/>
              <w:rPr>
                <w:rFonts w:cs="Arial"/>
                <w:bCs/>
                <w:iCs/>
                <w:color w:val="AEC12D"/>
                <w:sz w:val="32"/>
                <w:szCs w:val="28"/>
              </w:rPr>
            </w:pPr>
            <w:r w:rsidRPr="00FF5320">
              <w:t>49.2</w:t>
            </w:r>
          </w:p>
        </w:tc>
      </w:tr>
      <w:tr w:rsidR="00FC4056" w:rsidRPr="00FF5320" w14:paraId="219032B0"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70AD506B"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Aqd108</w:t>
            </w:r>
          </w:p>
        </w:tc>
        <w:tc>
          <w:tcPr>
            <w:tcW w:w="974" w:type="dxa"/>
            <w:tcBorders>
              <w:top w:val="single" w:sz="4" w:space="0" w:color="005A97"/>
              <w:left w:val="single" w:sz="4" w:space="0" w:color="005A97"/>
              <w:bottom w:val="single" w:sz="4" w:space="0" w:color="005A97"/>
              <w:right w:val="single" w:sz="4" w:space="0" w:color="005A97"/>
            </w:tcBorders>
            <w:noWrap/>
            <w:hideMark/>
          </w:tcPr>
          <w:p w14:paraId="43F307D7"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D809D65"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2A2300D0"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1BE2EC3A"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6B8D3D8A"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247EDA7C"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1908A8F"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nil"/>
            </w:tcBorders>
            <w:noWrap/>
            <w:hideMark/>
          </w:tcPr>
          <w:p w14:paraId="11205CAE" w14:textId="77777777" w:rsidR="00FC4056" w:rsidRPr="00FF5320" w:rsidRDefault="00FC4056" w:rsidP="00676DA0">
            <w:pPr>
              <w:pStyle w:val="Tabletext"/>
            </w:pPr>
          </w:p>
        </w:tc>
      </w:tr>
      <w:tr w:rsidR="00FC4056" w:rsidRPr="00FF5320" w14:paraId="6CB17539"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33F55B9C"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AQ109</w:t>
            </w:r>
          </w:p>
        </w:tc>
        <w:tc>
          <w:tcPr>
            <w:tcW w:w="974" w:type="dxa"/>
            <w:tcBorders>
              <w:top w:val="single" w:sz="4" w:space="0" w:color="005A97"/>
              <w:left w:val="single" w:sz="4" w:space="0" w:color="005A97"/>
              <w:bottom w:val="single" w:sz="4" w:space="0" w:color="005A97"/>
              <w:right w:val="single" w:sz="4" w:space="0" w:color="005A97"/>
            </w:tcBorders>
            <w:noWrap/>
            <w:hideMark/>
          </w:tcPr>
          <w:p w14:paraId="66C8490F"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2CA7B90A"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9728063"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78B421F0"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186FB6F"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2268A5EC"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23B204FC"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nil"/>
            </w:tcBorders>
            <w:noWrap/>
            <w:hideMark/>
          </w:tcPr>
          <w:p w14:paraId="7F75FE80" w14:textId="77777777" w:rsidR="00FC4056" w:rsidRPr="00FF5320" w:rsidRDefault="00FC4056" w:rsidP="00676DA0">
            <w:pPr>
              <w:pStyle w:val="Tabletext"/>
            </w:pPr>
          </w:p>
        </w:tc>
      </w:tr>
      <w:tr w:rsidR="00FC4056" w:rsidRPr="00FF5320" w14:paraId="3E2D7052"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6EEB0E28"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AQD110/AQD111</w:t>
            </w:r>
          </w:p>
        </w:tc>
        <w:tc>
          <w:tcPr>
            <w:tcW w:w="974" w:type="dxa"/>
            <w:tcBorders>
              <w:top w:val="single" w:sz="4" w:space="0" w:color="005A97"/>
              <w:left w:val="single" w:sz="4" w:space="0" w:color="005A97"/>
              <w:bottom w:val="single" w:sz="4" w:space="0" w:color="005A97"/>
              <w:right w:val="single" w:sz="4" w:space="0" w:color="005A97"/>
            </w:tcBorders>
            <w:noWrap/>
            <w:hideMark/>
          </w:tcPr>
          <w:p w14:paraId="4A8AF783"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046347B"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0582EFF"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420FBE15"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70FC1679" w14:textId="77777777" w:rsidR="00FC4056" w:rsidRPr="00FF5320" w:rsidRDefault="00FC4056" w:rsidP="00676DA0">
            <w:pPr>
              <w:pStyle w:val="Tabletext"/>
              <w:rPr>
                <w:rFonts w:cs="Arial"/>
                <w:bCs/>
                <w:iCs/>
                <w:color w:val="AEC12D"/>
                <w:sz w:val="32"/>
                <w:szCs w:val="28"/>
              </w:rPr>
            </w:pPr>
            <w:r w:rsidRPr="00FF5320">
              <w:t>14.8</w:t>
            </w:r>
          </w:p>
        </w:tc>
        <w:tc>
          <w:tcPr>
            <w:tcW w:w="975" w:type="dxa"/>
            <w:tcBorders>
              <w:top w:val="single" w:sz="4" w:space="0" w:color="005A97"/>
              <w:left w:val="single" w:sz="4" w:space="0" w:color="005A97"/>
              <w:bottom w:val="single" w:sz="4" w:space="0" w:color="005A97"/>
              <w:right w:val="single" w:sz="4" w:space="0" w:color="005A97"/>
            </w:tcBorders>
            <w:noWrap/>
            <w:hideMark/>
          </w:tcPr>
          <w:p w14:paraId="11F720E9"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50B65559" w14:textId="77777777" w:rsidR="00FC4056" w:rsidRPr="00FF5320" w:rsidRDefault="00FC4056" w:rsidP="00676DA0">
            <w:pPr>
              <w:pStyle w:val="Tabletext"/>
              <w:rPr>
                <w:rFonts w:cs="Arial"/>
                <w:bCs/>
                <w:iCs/>
                <w:color w:val="AEC12D"/>
                <w:sz w:val="32"/>
                <w:szCs w:val="28"/>
              </w:rPr>
            </w:pPr>
            <w:r w:rsidRPr="00FF5320">
              <w:t>31.6</w:t>
            </w:r>
          </w:p>
        </w:tc>
        <w:tc>
          <w:tcPr>
            <w:tcW w:w="975" w:type="dxa"/>
            <w:tcBorders>
              <w:top w:val="single" w:sz="4" w:space="0" w:color="005A97"/>
              <w:left w:val="single" w:sz="4" w:space="0" w:color="005A97"/>
              <w:bottom w:val="single" w:sz="4" w:space="0" w:color="005A97"/>
              <w:right w:val="nil"/>
            </w:tcBorders>
            <w:noWrap/>
            <w:hideMark/>
          </w:tcPr>
          <w:p w14:paraId="7DF514D7" w14:textId="77777777" w:rsidR="00FC4056" w:rsidRPr="00FF5320" w:rsidRDefault="00FC4056" w:rsidP="00676DA0">
            <w:pPr>
              <w:pStyle w:val="Tabletext"/>
              <w:rPr>
                <w:rFonts w:cs="Arial"/>
                <w:bCs/>
                <w:iCs/>
                <w:color w:val="AEC12D"/>
                <w:sz w:val="32"/>
                <w:szCs w:val="28"/>
              </w:rPr>
            </w:pPr>
            <w:r w:rsidRPr="00FF5320">
              <w:t>48.1</w:t>
            </w:r>
          </w:p>
        </w:tc>
      </w:tr>
      <w:tr w:rsidR="00FC4056" w:rsidRPr="00FF5320" w14:paraId="75F66FBB"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703AC923"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Aq111</w:t>
            </w:r>
          </w:p>
        </w:tc>
        <w:tc>
          <w:tcPr>
            <w:tcW w:w="974" w:type="dxa"/>
            <w:tcBorders>
              <w:top w:val="single" w:sz="4" w:space="0" w:color="005A97"/>
              <w:left w:val="single" w:sz="4" w:space="0" w:color="005A97"/>
              <w:bottom w:val="single" w:sz="4" w:space="0" w:color="005A97"/>
              <w:right w:val="single" w:sz="4" w:space="0" w:color="005A97"/>
            </w:tcBorders>
            <w:noWrap/>
            <w:hideMark/>
          </w:tcPr>
          <w:p w14:paraId="1A432B45" w14:textId="77777777" w:rsidR="00FC4056" w:rsidRPr="00FF5320" w:rsidRDefault="00FC4056" w:rsidP="00676DA0">
            <w:pPr>
              <w:pStyle w:val="Tabletext"/>
              <w:rPr>
                <w:rFonts w:cs="Arial"/>
                <w:bCs/>
                <w:iCs/>
                <w:color w:val="AEC12D"/>
                <w:sz w:val="32"/>
                <w:szCs w:val="28"/>
              </w:rPr>
            </w:pPr>
            <w:r w:rsidRPr="00FF5320">
              <w:t>34.3</w:t>
            </w:r>
          </w:p>
        </w:tc>
        <w:tc>
          <w:tcPr>
            <w:tcW w:w="975" w:type="dxa"/>
            <w:tcBorders>
              <w:top w:val="single" w:sz="4" w:space="0" w:color="005A97"/>
              <w:left w:val="single" w:sz="4" w:space="0" w:color="005A97"/>
              <w:bottom w:val="single" w:sz="4" w:space="0" w:color="005A97"/>
              <w:right w:val="single" w:sz="4" w:space="0" w:color="005A97"/>
            </w:tcBorders>
            <w:noWrap/>
            <w:hideMark/>
          </w:tcPr>
          <w:p w14:paraId="1DDFAA98" w14:textId="77777777" w:rsidR="00FC4056" w:rsidRPr="00FF5320" w:rsidRDefault="00FC4056" w:rsidP="00676DA0">
            <w:pPr>
              <w:pStyle w:val="Tabletext"/>
              <w:rPr>
                <w:rFonts w:cs="Arial"/>
                <w:bCs/>
                <w:iCs/>
                <w:color w:val="AEC12D"/>
                <w:sz w:val="32"/>
                <w:szCs w:val="28"/>
              </w:rPr>
            </w:pPr>
            <w:r w:rsidRPr="00FF5320">
              <w:t>47.0</w:t>
            </w:r>
          </w:p>
        </w:tc>
        <w:tc>
          <w:tcPr>
            <w:tcW w:w="974" w:type="dxa"/>
            <w:tcBorders>
              <w:top w:val="single" w:sz="4" w:space="0" w:color="005A97"/>
              <w:left w:val="single" w:sz="4" w:space="0" w:color="005A97"/>
              <w:bottom w:val="single" w:sz="4" w:space="0" w:color="005A97"/>
              <w:right w:val="single" w:sz="4" w:space="0" w:color="005A97"/>
            </w:tcBorders>
            <w:noWrap/>
            <w:hideMark/>
          </w:tcPr>
          <w:p w14:paraId="28A0495C" w14:textId="77777777" w:rsidR="00FC4056" w:rsidRPr="00FF5320" w:rsidRDefault="00FC4056" w:rsidP="00676DA0">
            <w:pPr>
              <w:pStyle w:val="Tabletext"/>
              <w:rPr>
                <w:rFonts w:cs="Arial"/>
                <w:bCs/>
                <w:iCs/>
                <w:color w:val="AEC12D"/>
                <w:sz w:val="32"/>
                <w:szCs w:val="28"/>
              </w:rPr>
            </w:pPr>
            <w:r w:rsidRPr="00FF5320">
              <w:t>36.1</w:t>
            </w:r>
          </w:p>
        </w:tc>
        <w:tc>
          <w:tcPr>
            <w:tcW w:w="975" w:type="dxa"/>
            <w:tcBorders>
              <w:top w:val="single" w:sz="4" w:space="0" w:color="005A97"/>
              <w:left w:val="single" w:sz="4" w:space="0" w:color="005A97"/>
              <w:bottom w:val="single" w:sz="4" w:space="0" w:color="005A97"/>
              <w:right w:val="single" w:sz="4" w:space="0" w:color="005A97"/>
            </w:tcBorders>
            <w:noWrap/>
            <w:hideMark/>
          </w:tcPr>
          <w:p w14:paraId="282B147B" w14:textId="77777777" w:rsidR="00FC4056" w:rsidRPr="00FF5320" w:rsidRDefault="00FC4056" w:rsidP="00676DA0">
            <w:pPr>
              <w:pStyle w:val="Tabletext"/>
              <w:rPr>
                <w:rFonts w:cs="Arial"/>
                <w:bCs/>
                <w:iCs/>
                <w:color w:val="AEC12D"/>
                <w:sz w:val="32"/>
                <w:szCs w:val="28"/>
              </w:rPr>
            </w:pPr>
            <w:r w:rsidRPr="00FF5320">
              <w:t>47.8</w:t>
            </w:r>
          </w:p>
        </w:tc>
        <w:tc>
          <w:tcPr>
            <w:tcW w:w="974" w:type="dxa"/>
            <w:tcBorders>
              <w:top w:val="single" w:sz="4" w:space="0" w:color="005A97"/>
              <w:left w:val="single" w:sz="4" w:space="0" w:color="005A97"/>
              <w:bottom w:val="single" w:sz="4" w:space="0" w:color="005A97"/>
              <w:right w:val="single" w:sz="4" w:space="0" w:color="005A97"/>
            </w:tcBorders>
            <w:noWrap/>
            <w:hideMark/>
          </w:tcPr>
          <w:p w14:paraId="17BD8628" w14:textId="77777777" w:rsidR="00FC4056" w:rsidRPr="00FF5320" w:rsidRDefault="00FC4056" w:rsidP="00676DA0">
            <w:pPr>
              <w:pStyle w:val="Tabletext"/>
              <w:rPr>
                <w:rFonts w:cs="Arial"/>
                <w:bCs/>
                <w:iCs/>
                <w:color w:val="AEC12D"/>
                <w:sz w:val="32"/>
                <w:szCs w:val="28"/>
              </w:rPr>
            </w:pPr>
            <w:r w:rsidRPr="00FF5320">
              <w:t>22.3</w:t>
            </w:r>
          </w:p>
        </w:tc>
        <w:tc>
          <w:tcPr>
            <w:tcW w:w="975" w:type="dxa"/>
            <w:tcBorders>
              <w:top w:val="single" w:sz="4" w:space="0" w:color="005A97"/>
              <w:left w:val="single" w:sz="4" w:space="0" w:color="005A97"/>
              <w:bottom w:val="single" w:sz="4" w:space="0" w:color="005A97"/>
              <w:right w:val="single" w:sz="4" w:space="0" w:color="005A97"/>
            </w:tcBorders>
            <w:noWrap/>
            <w:hideMark/>
          </w:tcPr>
          <w:p w14:paraId="5CD06D58" w14:textId="77777777" w:rsidR="00FC4056" w:rsidRPr="00FF5320" w:rsidRDefault="00FC4056" w:rsidP="00676DA0">
            <w:pPr>
              <w:pStyle w:val="Tabletext"/>
              <w:rPr>
                <w:rFonts w:cs="Arial"/>
                <w:bCs/>
                <w:iCs/>
                <w:color w:val="AEC12D"/>
                <w:sz w:val="32"/>
                <w:szCs w:val="28"/>
              </w:rPr>
            </w:pPr>
            <w:r w:rsidRPr="00FF5320">
              <w:t>49.1</w:t>
            </w:r>
          </w:p>
        </w:tc>
        <w:tc>
          <w:tcPr>
            <w:tcW w:w="974" w:type="dxa"/>
            <w:tcBorders>
              <w:top w:val="single" w:sz="4" w:space="0" w:color="005A97"/>
              <w:left w:val="single" w:sz="4" w:space="0" w:color="005A97"/>
              <w:bottom w:val="single" w:sz="4" w:space="0" w:color="005A97"/>
              <w:right w:val="single" w:sz="4" w:space="0" w:color="005A97"/>
            </w:tcBorders>
            <w:noWrap/>
            <w:hideMark/>
          </w:tcPr>
          <w:p w14:paraId="42FFA761" w14:textId="77777777" w:rsidR="00FC4056" w:rsidRPr="00FF5320" w:rsidRDefault="00FC4056" w:rsidP="00676DA0">
            <w:pPr>
              <w:pStyle w:val="Tabletext"/>
              <w:rPr>
                <w:rFonts w:cs="Arial"/>
                <w:bCs/>
                <w:iCs/>
                <w:color w:val="AEC12D"/>
                <w:sz w:val="32"/>
                <w:szCs w:val="28"/>
              </w:rPr>
            </w:pPr>
            <w:r w:rsidRPr="00FF5320">
              <w:t>-68.6</w:t>
            </w:r>
          </w:p>
        </w:tc>
        <w:tc>
          <w:tcPr>
            <w:tcW w:w="975" w:type="dxa"/>
            <w:tcBorders>
              <w:top w:val="single" w:sz="4" w:space="0" w:color="005A97"/>
              <w:left w:val="single" w:sz="4" w:space="0" w:color="005A97"/>
              <w:bottom w:val="single" w:sz="4" w:space="0" w:color="005A97"/>
              <w:right w:val="nil"/>
            </w:tcBorders>
            <w:noWrap/>
            <w:hideMark/>
          </w:tcPr>
          <w:p w14:paraId="64C508FB" w14:textId="77777777" w:rsidR="00FC4056" w:rsidRPr="00FF5320" w:rsidRDefault="00FC4056" w:rsidP="00676DA0">
            <w:pPr>
              <w:pStyle w:val="Tabletext"/>
              <w:rPr>
                <w:rFonts w:cs="Arial"/>
                <w:bCs/>
                <w:iCs/>
                <w:color w:val="AEC12D"/>
                <w:sz w:val="32"/>
                <w:szCs w:val="28"/>
              </w:rPr>
            </w:pPr>
            <w:r w:rsidRPr="00FF5320">
              <w:t>-55.7</w:t>
            </w:r>
          </w:p>
        </w:tc>
      </w:tr>
      <w:tr w:rsidR="00FC4056" w:rsidRPr="00FF5320" w14:paraId="0E8A6478"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0A293E04"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Aq112</w:t>
            </w:r>
          </w:p>
        </w:tc>
        <w:tc>
          <w:tcPr>
            <w:tcW w:w="974" w:type="dxa"/>
            <w:tcBorders>
              <w:top w:val="single" w:sz="4" w:space="0" w:color="005A97"/>
              <w:left w:val="single" w:sz="4" w:space="0" w:color="005A97"/>
              <w:bottom w:val="single" w:sz="4" w:space="0" w:color="005A97"/>
              <w:right w:val="single" w:sz="4" w:space="0" w:color="005A97"/>
            </w:tcBorders>
            <w:noWrap/>
            <w:hideMark/>
          </w:tcPr>
          <w:p w14:paraId="6B3CD446"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17A883CF"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6D551C6"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30AEEDE6"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41E969A5"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3286B7A8"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75408444"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nil"/>
            </w:tcBorders>
            <w:noWrap/>
            <w:hideMark/>
          </w:tcPr>
          <w:p w14:paraId="471F158C" w14:textId="77777777" w:rsidR="00FC4056" w:rsidRPr="00FF5320" w:rsidRDefault="00FC4056" w:rsidP="00676DA0">
            <w:pPr>
              <w:pStyle w:val="Tabletext"/>
            </w:pPr>
          </w:p>
        </w:tc>
      </w:tr>
      <w:tr w:rsidR="00FC4056" w:rsidRPr="00FF5320" w14:paraId="2B5C2FC4"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6E3D0371"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Aq111</w:t>
            </w:r>
          </w:p>
        </w:tc>
        <w:tc>
          <w:tcPr>
            <w:tcW w:w="974" w:type="dxa"/>
            <w:tcBorders>
              <w:top w:val="single" w:sz="4" w:space="0" w:color="005A97"/>
              <w:left w:val="single" w:sz="4" w:space="0" w:color="005A97"/>
              <w:bottom w:val="single" w:sz="4" w:space="0" w:color="005A97"/>
              <w:right w:val="single" w:sz="4" w:space="0" w:color="005A97"/>
            </w:tcBorders>
            <w:noWrap/>
            <w:hideMark/>
          </w:tcPr>
          <w:p w14:paraId="35B9FA91"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3ACE5189"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181ACBD7"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70AAD21"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4FA0A367"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60A98D25"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63989F67"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nil"/>
            </w:tcBorders>
            <w:noWrap/>
            <w:hideMark/>
          </w:tcPr>
          <w:p w14:paraId="71281FE3" w14:textId="77777777" w:rsidR="00FC4056" w:rsidRPr="00FF5320" w:rsidRDefault="00FC4056" w:rsidP="00676DA0">
            <w:pPr>
              <w:pStyle w:val="Tabletext"/>
            </w:pPr>
          </w:p>
        </w:tc>
      </w:tr>
      <w:tr w:rsidR="00FC4056" w:rsidRPr="00FF5320" w14:paraId="32829050"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0AA1460D" w14:textId="77777777" w:rsidR="00FC4056" w:rsidRPr="00FF5320" w:rsidRDefault="00FC4056" w:rsidP="00676DA0">
            <w:pPr>
              <w:pStyle w:val="Tabletext"/>
            </w:pPr>
            <w:r w:rsidRPr="00FF5320">
              <w:rPr>
                <w:b/>
                <w:bCs/>
              </w:rPr>
              <w:t>Sherbrook 113</w:t>
            </w:r>
          </w:p>
        </w:tc>
        <w:tc>
          <w:tcPr>
            <w:tcW w:w="974" w:type="dxa"/>
            <w:tcBorders>
              <w:top w:val="single" w:sz="4" w:space="0" w:color="005A97"/>
              <w:left w:val="single" w:sz="4" w:space="0" w:color="005A97"/>
              <w:bottom w:val="single" w:sz="4" w:space="0" w:color="005A97"/>
              <w:right w:val="single" w:sz="4" w:space="0" w:color="005A97"/>
            </w:tcBorders>
            <w:noWrap/>
            <w:hideMark/>
          </w:tcPr>
          <w:p w14:paraId="68091E03" w14:textId="77777777" w:rsidR="00FC4056" w:rsidRPr="00FF5320" w:rsidRDefault="00FC4056" w:rsidP="00676DA0">
            <w:pPr>
              <w:pStyle w:val="Tabletext"/>
              <w:rPr>
                <w:rFonts w:cs="Arial"/>
                <w:bCs/>
                <w:iCs/>
                <w:color w:val="AEC12D"/>
                <w:sz w:val="32"/>
                <w:szCs w:val="28"/>
              </w:rPr>
            </w:pPr>
            <w:r w:rsidRPr="00FF5320">
              <w:t>-346.1</w:t>
            </w:r>
          </w:p>
        </w:tc>
        <w:tc>
          <w:tcPr>
            <w:tcW w:w="975" w:type="dxa"/>
            <w:tcBorders>
              <w:top w:val="single" w:sz="4" w:space="0" w:color="005A97"/>
              <w:left w:val="single" w:sz="4" w:space="0" w:color="005A97"/>
              <w:bottom w:val="single" w:sz="4" w:space="0" w:color="005A97"/>
              <w:right w:val="single" w:sz="4" w:space="0" w:color="005A97"/>
            </w:tcBorders>
            <w:noWrap/>
            <w:hideMark/>
          </w:tcPr>
          <w:p w14:paraId="40D14942" w14:textId="77777777" w:rsidR="00FC4056" w:rsidRPr="00FF5320" w:rsidRDefault="00FC4056" w:rsidP="00676DA0">
            <w:pPr>
              <w:pStyle w:val="Tabletext"/>
              <w:rPr>
                <w:rFonts w:cs="Arial"/>
                <w:bCs/>
                <w:iCs/>
                <w:color w:val="AEC12D"/>
                <w:sz w:val="32"/>
                <w:szCs w:val="28"/>
              </w:rPr>
            </w:pPr>
            <w:r w:rsidRPr="00FF5320">
              <w:t>-496.1</w:t>
            </w:r>
          </w:p>
        </w:tc>
        <w:tc>
          <w:tcPr>
            <w:tcW w:w="974" w:type="dxa"/>
            <w:tcBorders>
              <w:top w:val="single" w:sz="4" w:space="0" w:color="005A97"/>
              <w:left w:val="single" w:sz="4" w:space="0" w:color="005A97"/>
              <w:bottom w:val="single" w:sz="4" w:space="0" w:color="005A97"/>
              <w:right w:val="single" w:sz="4" w:space="0" w:color="005A97"/>
            </w:tcBorders>
            <w:noWrap/>
            <w:hideMark/>
          </w:tcPr>
          <w:p w14:paraId="37F43F98" w14:textId="77777777" w:rsidR="00FC4056" w:rsidRPr="00FF5320" w:rsidRDefault="00FC4056" w:rsidP="00676DA0">
            <w:pPr>
              <w:pStyle w:val="Tabletext"/>
              <w:rPr>
                <w:rFonts w:cs="Arial"/>
                <w:bCs/>
                <w:iCs/>
                <w:color w:val="AEC12D"/>
                <w:sz w:val="32"/>
                <w:szCs w:val="28"/>
              </w:rPr>
            </w:pPr>
            <w:r w:rsidRPr="00FF5320">
              <w:t>-431.7</w:t>
            </w:r>
          </w:p>
        </w:tc>
        <w:tc>
          <w:tcPr>
            <w:tcW w:w="975" w:type="dxa"/>
            <w:tcBorders>
              <w:top w:val="single" w:sz="4" w:space="0" w:color="005A97"/>
              <w:left w:val="single" w:sz="4" w:space="0" w:color="005A97"/>
              <w:bottom w:val="single" w:sz="4" w:space="0" w:color="005A97"/>
              <w:right w:val="single" w:sz="4" w:space="0" w:color="005A97"/>
            </w:tcBorders>
            <w:noWrap/>
            <w:hideMark/>
          </w:tcPr>
          <w:p w14:paraId="30388329"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030C86AD"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129758F7"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533CC576" w14:textId="77777777" w:rsidR="00FC4056" w:rsidRPr="00FF5320" w:rsidRDefault="00FC4056" w:rsidP="00676DA0">
            <w:pPr>
              <w:pStyle w:val="Tabletext"/>
              <w:rPr>
                <w:rFonts w:cs="Arial"/>
                <w:bCs/>
                <w:iCs/>
                <w:color w:val="AEC12D"/>
                <w:sz w:val="32"/>
                <w:szCs w:val="28"/>
              </w:rPr>
            </w:pPr>
            <w:r w:rsidRPr="00FF5320">
              <w:t>-819.4</w:t>
            </w:r>
          </w:p>
        </w:tc>
        <w:tc>
          <w:tcPr>
            <w:tcW w:w="975" w:type="dxa"/>
            <w:tcBorders>
              <w:top w:val="single" w:sz="4" w:space="0" w:color="005A97"/>
              <w:left w:val="single" w:sz="4" w:space="0" w:color="005A97"/>
              <w:bottom w:val="single" w:sz="4" w:space="0" w:color="005A97"/>
              <w:right w:val="nil"/>
            </w:tcBorders>
            <w:noWrap/>
            <w:hideMark/>
          </w:tcPr>
          <w:p w14:paraId="5D702684" w14:textId="77777777" w:rsidR="00FC4056" w:rsidRPr="00FF5320" w:rsidRDefault="00FC4056" w:rsidP="00676DA0">
            <w:pPr>
              <w:pStyle w:val="Tabletext"/>
              <w:rPr>
                <w:rFonts w:cs="Arial"/>
                <w:bCs/>
                <w:iCs/>
                <w:color w:val="AEC12D"/>
                <w:sz w:val="32"/>
                <w:szCs w:val="28"/>
              </w:rPr>
            </w:pPr>
            <w:r w:rsidRPr="00FF5320">
              <w:t>-718.0</w:t>
            </w:r>
          </w:p>
        </w:tc>
      </w:tr>
      <w:tr w:rsidR="00FC4056" w:rsidRPr="00FF5320" w14:paraId="25DCD50B" w14:textId="77777777" w:rsidTr="00622CCD">
        <w:trPr>
          <w:trHeight w:val="300"/>
        </w:trPr>
        <w:tc>
          <w:tcPr>
            <w:tcW w:w="1843" w:type="dxa"/>
            <w:tcBorders>
              <w:top w:val="single" w:sz="4" w:space="0" w:color="005A97"/>
              <w:left w:val="nil"/>
              <w:bottom w:val="single" w:sz="4" w:space="0" w:color="005A97"/>
              <w:right w:val="single" w:sz="4" w:space="0" w:color="005A97"/>
            </w:tcBorders>
            <w:noWrap/>
            <w:hideMark/>
          </w:tcPr>
          <w:p w14:paraId="55E7184A"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Source Unit</w:t>
            </w:r>
          </w:p>
        </w:tc>
        <w:tc>
          <w:tcPr>
            <w:tcW w:w="974" w:type="dxa"/>
            <w:tcBorders>
              <w:top w:val="single" w:sz="4" w:space="0" w:color="005A97"/>
              <w:left w:val="single" w:sz="4" w:space="0" w:color="005A97"/>
              <w:bottom w:val="single" w:sz="4" w:space="0" w:color="005A97"/>
              <w:right w:val="single" w:sz="4" w:space="0" w:color="005A97"/>
            </w:tcBorders>
            <w:noWrap/>
            <w:hideMark/>
          </w:tcPr>
          <w:p w14:paraId="1D9BB6D0" w14:textId="77777777" w:rsidR="00FC4056" w:rsidRPr="00FF5320" w:rsidRDefault="00FC4056" w:rsidP="00676DA0">
            <w:pPr>
              <w:pStyle w:val="Tabletext"/>
              <w:rPr>
                <w:rFonts w:cs="Arial"/>
                <w:bCs/>
                <w:iCs/>
                <w:color w:val="AEC12D"/>
                <w:sz w:val="32"/>
                <w:szCs w:val="28"/>
              </w:rPr>
            </w:pPr>
            <w:r w:rsidRPr="00FF5320">
              <w:t>-1190.6</w:t>
            </w:r>
          </w:p>
        </w:tc>
        <w:tc>
          <w:tcPr>
            <w:tcW w:w="975" w:type="dxa"/>
            <w:tcBorders>
              <w:top w:val="single" w:sz="4" w:space="0" w:color="005A97"/>
              <w:left w:val="single" w:sz="4" w:space="0" w:color="005A97"/>
              <w:bottom w:val="single" w:sz="4" w:space="0" w:color="005A97"/>
              <w:right w:val="single" w:sz="4" w:space="0" w:color="005A97"/>
            </w:tcBorders>
            <w:noWrap/>
            <w:hideMark/>
          </w:tcPr>
          <w:p w14:paraId="79C0FA90" w14:textId="77777777" w:rsidR="00FC4056" w:rsidRPr="00FF5320" w:rsidRDefault="00FC4056" w:rsidP="00676DA0">
            <w:pPr>
              <w:pStyle w:val="Tabletext"/>
              <w:rPr>
                <w:rFonts w:cs="Arial"/>
                <w:bCs/>
                <w:iCs/>
                <w:color w:val="AEC12D"/>
                <w:sz w:val="32"/>
                <w:szCs w:val="28"/>
              </w:rPr>
            </w:pPr>
            <w:r w:rsidRPr="00FF5320">
              <w:t>-1431.7</w:t>
            </w:r>
          </w:p>
        </w:tc>
        <w:tc>
          <w:tcPr>
            <w:tcW w:w="974" w:type="dxa"/>
            <w:tcBorders>
              <w:top w:val="single" w:sz="4" w:space="0" w:color="005A97"/>
              <w:left w:val="single" w:sz="4" w:space="0" w:color="005A97"/>
              <w:bottom w:val="single" w:sz="4" w:space="0" w:color="005A97"/>
              <w:right w:val="single" w:sz="4" w:space="0" w:color="005A97"/>
            </w:tcBorders>
            <w:noWrap/>
            <w:hideMark/>
          </w:tcPr>
          <w:p w14:paraId="7B595E92" w14:textId="77777777" w:rsidR="00FC4056" w:rsidRPr="00FF5320" w:rsidRDefault="00FC4056" w:rsidP="00676DA0">
            <w:pPr>
              <w:pStyle w:val="Tabletext"/>
              <w:rPr>
                <w:rFonts w:cs="Arial"/>
                <w:bCs/>
                <w:iCs/>
                <w:color w:val="AEC12D"/>
                <w:sz w:val="32"/>
                <w:szCs w:val="28"/>
              </w:rPr>
            </w:pPr>
            <w:r w:rsidRPr="00FF5320">
              <w:t>-1217.3</w:t>
            </w:r>
          </w:p>
        </w:tc>
        <w:tc>
          <w:tcPr>
            <w:tcW w:w="975" w:type="dxa"/>
            <w:tcBorders>
              <w:top w:val="single" w:sz="4" w:space="0" w:color="005A97"/>
              <w:left w:val="single" w:sz="4" w:space="0" w:color="005A97"/>
              <w:bottom w:val="single" w:sz="4" w:space="0" w:color="005A97"/>
              <w:right w:val="single" w:sz="4" w:space="0" w:color="005A97"/>
            </w:tcBorders>
            <w:noWrap/>
            <w:hideMark/>
          </w:tcPr>
          <w:p w14:paraId="2E8DF569" w14:textId="77777777" w:rsidR="00FC4056" w:rsidRPr="00FF5320" w:rsidRDefault="00FC4056" w:rsidP="00676DA0">
            <w:pPr>
              <w:pStyle w:val="Tabletext"/>
              <w:rPr>
                <w:rFonts w:cs="Arial"/>
                <w:bCs/>
                <w:iCs/>
                <w:color w:val="AEC12D"/>
                <w:sz w:val="32"/>
                <w:szCs w:val="28"/>
              </w:rPr>
            </w:pPr>
            <w:r w:rsidRPr="00FF5320">
              <w:t>-898.5</w:t>
            </w:r>
          </w:p>
        </w:tc>
        <w:tc>
          <w:tcPr>
            <w:tcW w:w="974" w:type="dxa"/>
            <w:tcBorders>
              <w:top w:val="single" w:sz="4" w:space="0" w:color="005A97"/>
              <w:left w:val="single" w:sz="4" w:space="0" w:color="005A97"/>
              <w:bottom w:val="single" w:sz="4" w:space="0" w:color="005A97"/>
              <w:right w:val="single" w:sz="4" w:space="0" w:color="005A97"/>
            </w:tcBorders>
            <w:noWrap/>
            <w:hideMark/>
          </w:tcPr>
          <w:p w14:paraId="170C860D" w14:textId="77777777" w:rsidR="00FC4056" w:rsidRPr="00FF5320" w:rsidRDefault="00FC4056" w:rsidP="00676DA0">
            <w:pPr>
              <w:pStyle w:val="Tabletext"/>
              <w:rPr>
                <w:rFonts w:cs="Arial"/>
                <w:bCs/>
                <w:iCs/>
                <w:color w:val="AEC12D"/>
                <w:sz w:val="32"/>
                <w:szCs w:val="28"/>
              </w:rPr>
            </w:pPr>
            <w:r w:rsidRPr="00FF5320">
              <w:t>-1069.3</w:t>
            </w:r>
          </w:p>
        </w:tc>
        <w:tc>
          <w:tcPr>
            <w:tcW w:w="975" w:type="dxa"/>
            <w:tcBorders>
              <w:top w:val="single" w:sz="4" w:space="0" w:color="005A97"/>
              <w:left w:val="single" w:sz="4" w:space="0" w:color="005A97"/>
              <w:bottom w:val="single" w:sz="4" w:space="0" w:color="005A97"/>
              <w:right w:val="single" w:sz="4" w:space="0" w:color="005A97"/>
            </w:tcBorders>
            <w:noWrap/>
            <w:hideMark/>
          </w:tcPr>
          <w:p w14:paraId="567F7072" w14:textId="77777777" w:rsidR="00FC4056" w:rsidRPr="00FF5320" w:rsidRDefault="00FC4056" w:rsidP="00676DA0">
            <w:pPr>
              <w:pStyle w:val="Tabletext"/>
              <w:rPr>
                <w:rFonts w:cs="Arial"/>
                <w:bCs/>
                <w:iCs/>
                <w:color w:val="AEC12D"/>
                <w:sz w:val="32"/>
                <w:szCs w:val="28"/>
              </w:rPr>
            </w:pPr>
            <w:r w:rsidRPr="00FF5320">
              <w:t>-952.2</w:t>
            </w:r>
          </w:p>
        </w:tc>
        <w:tc>
          <w:tcPr>
            <w:tcW w:w="974" w:type="dxa"/>
            <w:tcBorders>
              <w:top w:val="single" w:sz="4" w:space="0" w:color="005A97"/>
              <w:left w:val="single" w:sz="4" w:space="0" w:color="005A97"/>
              <w:bottom w:val="single" w:sz="4" w:space="0" w:color="005A97"/>
              <w:right w:val="single" w:sz="4" w:space="0" w:color="005A97"/>
            </w:tcBorders>
            <w:noWrap/>
            <w:hideMark/>
          </w:tcPr>
          <w:p w14:paraId="7209A971" w14:textId="77777777" w:rsidR="00FC4056" w:rsidRPr="00FF5320" w:rsidRDefault="00FC4056" w:rsidP="00676DA0">
            <w:pPr>
              <w:pStyle w:val="Tabletext"/>
              <w:rPr>
                <w:rFonts w:cs="Arial"/>
                <w:bCs/>
                <w:iCs/>
                <w:color w:val="AEC12D"/>
                <w:sz w:val="32"/>
                <w:szCs w:val="28"/>
              </w:rPr>
            </w:pPr>
            <w:r w:rsidRPr="00FF5320">
              <w:t>-2945.0</w:t>
            </w:r>
          </w:p>
        </w:tc>
        <w:tc>
          <w:tcPr>
            <w:tcW w:w="975" w:type="dxa"/>
            <w:tcBorders>
              <w:top w:val="single" w:sz="4" w:space="0" w:color="005A97"/>
              <w:left w:val="single" w:sz="4" w:space="0" w:color="005A97"/>
              <w:bottom w:val="single" w:sz="4" w:space="0" w:color="005A97"/>
              <w:right w:val="nil"/>
            </w:tcBorders>
            <w:noWrap/>
            <w:hideMark/>
          </w:tcPr>
          <w:p w14:paraId="77B640B2" w14:textId="77777777" w:rsidR="00FC4056" w:rsidRPr="00FF5320" w:rsidRDefault="00FC4056" w:rsidP="00676DA0">
            <w:pPr>
              <w:pStyle w:val="Tabletext"/>
              <w:rPr>
                <w:rFonts w:cs="Arial"/>
                <w:bCs/>
                <w:iCs/>
                <w:color w:val="AEC12D"/>
                <w:sz w:val="32"/>
                <w:szCs w:val="28"/>
              </w:rPr>
            </w:pPr>
            <w:r w:rsidRPr="00FF5320">
              <w:t>-2792.0</w:t>
            </w:r>
          </w:p>
        </w:tc>
      </w:tr>
    </w:tbl>
    <w:p w14:paraId="23E5BB86" w14:textId="77777777" w:rsidR="00FC4056" w:rsidRDefault="00FC4056" w:rsidP="00676DA0">
      <w:pPr>
        <w:pStyle w:val="Tabletext"/>
      </w:pPr>
    </w:p>
    <w:tbl>
      <w:tblPr>
        <w:tblStyle w:val="TableGrid"/>
        <w:tblW w:w="0" w:type="auto"/>
        <w:tblInd w:w="108" w:type="dxa"/>
        <w:tblLayout w:type="fixed"/>
        <w:tblLook w:val="04A0" w:firstRow="1" w:lastRow="0" w:firstColumn="1" w:lastColumn="0" w:noHBand="0" w:noVBand="1"/>
      </w:tblPr>
      <w:tblGrid>
        <w:gridCol w:w="1843"/>
        <w:gridCol w:w="974"/>
        <w:gridCol w:w="975"/>
        <w:gridCol w:w="974"/>
        <w:gridCol w:w="975"/>
        <w:gridCol w:w="974"/>
        <w:gridCol w:w="975"/>
        <w:gridCol w:w="974"/>
        <w:gridCol w:w="975"/>
      </w:tblGrid>
      <w:tr w:rsidR="00FC4056" w:rsidRPr="00622CCD" w14:paraId="0F3FCACE" w14:textId="77777777" w:rsidTr="00622CCD">
        <w:trPr>
          <w:trHeight w:val="300"/>
        </w:trPr>
        <w:tc>
          <w:tcPr>
            <w:tcW w:w="1843" w:type="dxa"/>
            <w:tcBorders>
              <w:top w:val="single" w:sz="4" w:space="0" w:color="FFFFFF"/>
              <w:left w:val="single" w:sz="4" w:space="0" w:color="FFFFFF"/>
              <w:bottom w:val="single" w:sz="4" w:space="0" w:color="FFFFFF"/>
              <w:right w:val="single" w:sz="4" w:space="0" w:color="FFFFFF"/>
            </w:tcBorders>
            <w:shd w:val="clear" w:color="auto" w:fill="005A97"/>
            <w:noWrap/>
          </w:tcPr>
          <w:p w14:paraId="3F57C3D2" w14:textId="77777777" w:rsidR="00FC4056" w:rsidRPr="00622CCD" w:rsidRDefault="00FC4056" w:rsidP="00622CCD">
            <w:pPr>
              <w:pStyle w:val="TableHeaderrow"/>
            </w:pPr>
          </w:p>
        </w:tc>
        <w:tc>
          <w:tcPr>
            <w:tcW w:w="7796" w:type="dxa"/>
            <w:gridSpan w:val="8"/>
            <w:tcBorders>
              <w:top w:val="single" w:sz="4" w:space="0" w:color="FFFFFF"/>
              <w:left w:val="single" w:sz="4" w:space="0" w:color="FFFFFF"/>
              <w:bottom w:val="single" w:sz="4" w:space="0" w:color="FFFFFF"/>
              <w:right w:val="single" w:sz="4" w:space="0" w:color="FFFFFF"/>
            </w:tcBorders>
            <w:shd w:val="clear" w:color="auto" w:fill="005A97"/>
            <w:noWrap/>
          </w:tcPr>
          <w:p w14:paraId="25001559" w14:textId="77777777" w:rsidR="00FC4056" w:rsidRPr="00622CCD" w:rsidRDefault="00FC4056" w:rsidP="00622CCD">
            <w:pPr>
              <w:pStyle w:val="TableHeaderrow"/>
            </w:pPr>
            <w:r w:rsidRPr="00622CCD">
              <w:t>Elevation of Top of Layer (m AHD)</w:t>
            </w:r>
          </w:p>
        </w:tc>
      </w:tr>
      <w:tr w:rsidR="00FC4056" w:rsidRPr="00FF5320" w14:paraId="537057D3" w14:textId="77777777" w:rsidTr="00622CCD">
        <w:trPr>
          <w:trHeight w:val="300"/>
        </w:trPr>
        <w:tc>
          <w:tcPr>
            <w:tcW w:w="1843" w:type="dxa"/>
            <w:tcBorders>
              <w:top w:val="single" w:sz="4" w:space="0" w:color="FFFFFF"/>
              <w:left w:val="single" w:sz="4" w:space="0" w:color="FFFFFF"/>
              <w:bottom w:val="single" w:sz="4" w:space="0" w:color="005A97"/>
              <w:right w:val="single" w:sz="4" w:space="0" w:color="005A97"/>
            </w:tcBorders>
            <w:noWrap/>
            <w:hideMark/>
          </w:tcPr>
          <w:p w14:paraId="1D5401A7" w14:textId="77777777" w:rsidR="00FC4056" w:rsidRPr="00FF5320" w:rsidRDefault="00FC4056" w:rsidP="00676DA0">
            <w:pPr>
              <w:pStyle w:val="Tabletext"/>
              <w:rPr>
                <w:rFonts w:eastAsiaTheme="majorEastAsia" w:cstheme="majorBidi"/>
                <w:color w:val="0079CD" w:themeColor="text1" w:themeTint="D8"/>
                <w:sz w:val="21"/>
                <w:szCs w:val="21"/>
              </w:rPr>
            </w:pPr>
            <w:r w:rsidRPr="00334993">
              <w:rPr>
                <w:b/>
                <w:bCs/>
              </w:rPr>
              <w:t>Aquifer</w:t>
            </w:r>
          </w:p>
        </w:tc>
        <w:tc>
          <w:tcPr>
            <w:tcW w:w="974" w:type="dxa"/>
            <w:tcBorders>
              <w:top w:val="single" w:sz="4" w:space="0" w:color="FFFFFF"/>
              <w:left w:val="single" w:sz="4" w:space="0" w:color="005A97"/>
              <w:bottom w:val="single" w:sz="4" w:space="0" w:color="005A97"/>
              <w:right w:val="single" w:sz="4" w:space="0" w:color="005A97"/>
            </w:tcBorders>
            <w:noWrap/>
            <w:hideMark/>
          </w:tcPr>
          <w:p w14:paraId="3AD01BB7" w14:textId="77777777" w:rsidR="00FC4056" w:rsidRPr="00FF5320" w:rsidRDefault="00FC4056" w:rsidP="00676DA0">
            <w:pPr>
              <w:pStyle w:val="Tabletext"/>
              <w:rPr>
                <w:rFonts w:cs="Arial"/>
                <w:bCs/>
                <w:iCs/>
                <w:color w:val="AEC12D"/>
                <w:sz w:val="32"/>
                <w:szCs w:val="28"/>
              </w:rPr>
            </w:pPr>
            <w:r w:rsidRPr="00FF5320">
              <w:rPr>
                <w:b/>
                <w:bCs/>
              </w:rPr>
              <w:t>445</w:t>
            </w:r>
          </w:p>
        </w:tc>
        <w:tc>
          <w:tcPr>
            <w:tcW w:w="975" w:type="dxa"/>
            <w:tcBorders>
              <w:top w:val="single" w:sz="4" w:space="0" w:color="FFFFFF"/>
              <w:left w:val="single" w:sz="4" w:space="0" w:color="005A97"/>
              <w:bottom w:val="single" w:sz="4" w:space="0" w:color="005A97"/>
              <w:right w:val="single" w:sz="4" w:space="0" w:color="005A97"/>
            </w:tcBorders>
            <w:noWrap/>
            <w:hideMark/>
          </w:tcPr>
          <w:p w14:paraId="5CC41039" w14:textId="77777777" w:rsidR="00FC4056" w:rsidRPr="00FF5320" w:rsidRDefault="00FC4056" w:rsidP="00676DA0">
            <w:pPr>
              <w:pStyle w:val="Tabletext"/>
              <w:rPr>
                <w:rFonts w:cs="Arial"/>
                <w:bCs/>
                <w:iCs/>
                <w:color w:val="AEC12D"/>
                <w:sz w:val="32"/>
                <w:szCs w:val="28"/>
              </w:rPr>
            </w:pPr>
            <w:r w:rsidRPr="00FF5320">
              <w:rPr>
                <w:b/>
                <w:bCs/>
              </w:rPr>
              <w:t>446</w:t>
            </w:r>
          </w:p>
        </w:tc>
        <w:tc>
          <w:tcPr>
            <w:tcW w:w="974" w:type="dxa"/>
            <w:tcBorders>
              <w:top w:val="single" w:sz="4" w:space="0" w:color="FFFFFF"/>
              <w:left w:val="single" w:sz="4" w:space="0" w:color="005A97"/>
              <w:bottom w:val="single" w:sz="4" w:space="0" w:color="005A97"/>
              <w:right w:val="single" w:sz="4" w:space="0" w:color="005A97"/>
            </w:tcBorders>
            <w:noWrap/>
            <w:hideMark/>
          </w:tcPr>
          <w:p w14:paraId="68AF4541" w14:textId="77777777" w:rsidR="00FC4056" w:rsidRPr="00FF5320" w:rsidRDefault="00FC4056" w:rsidP="00676DA0">
            <w:pPr>
              <w:pStyle w:val="Tabletext"/>
              <w:rPr>
                <w:rFonts w:cs="Arial"/>
                <w:bCs/>
                <w:iCs/>
                <w:color w:val="AEC12D"/>
                <w:sz w:val="32"/>
                <w:szCs w:val="28"/>
              </w:rPr>
            </w:pPr>
            <w:r w:rsidRPr="00FF5320">
              <w:rPr>
                <w:b/>
                <w:bCs/>
              </w:rPr>
              <w:t>447</w:t>
            </w:r>
          </w:p>
        </w:tc>
        <w:tc>
          <w:tcPr>
            <w:tcW w:w="975" w:type="dxa"/>
            <w:tcBorders>
              <w:top w:val="single" w:sz="4" w:space="0" w:color="FFFFFF"/>
              <w:left w:val="single" w:sz="4" w:space="0" w:color="005A97"/>
              <w:bottom w:val="single" w:sz="4" w:space="0" w:color="005A97"/>
              <w:right w:val="single" w:sz="4" w:space="0" w:color="005A97"/>
            </w:tcBorders>
            <w:noWrap/>
            <w:hideMark/>
          </w:tcPr>
          <w:p w14:paraId="2700B3B2" w14:textId="77777777" w:rsidR="00FC4056" w:rsidRPr="00FF5320" w:rsidRDefault="00FC4056" w:rsidP="00676DA0">
            <w:pPr>
              <w:pStyle w:val="Tabletext"/>
              <w:rPr>
                <w:rFonts w:cs="Arial"/>
                <w:bCs/>
                <w:iCs/>
                <w:color w:val="AEC12D"/>
                <w:sz w:val="32"/>
                <w:szCs w:val="28"/>
              </w:rPr>
            </w:pPr>
            <w:r w:rsidRPr="00FF5320">
              <w:rPr>
                <w:b/>
                <w:bCs/>
              </w:rPr>
              <w:t>478</w:t>
            </w:r>
          </w:p>
        </w:tc>
        <w:tc>
          <w:tcPr>
            <w:tcW w:w="974" w:type="dxa"/>
            <w:tcBorders>
              <w:top w:val="single" w:sz="4" w:space="0" w:color="FFFFFF"/>
              <w:left w:val="single" w:sz="4" w:space="0" w:color="005A97"/>
              <w:bottom w:val="single" w:sz="4" w:space="0" w:color="005A97"/>
              <w:right w:val="single" w:sz="4" w:space="0" w:color="005A97"/>
            </w:tcBorders>
            <w:noWrap/>
            <w:hideMark/>
          </w:tcPr>
          <w:p w14:paraId="60FA6869" w14:textId="77777777" w:rsidR="00FC4056" w:rsidRPr="00FF5320" w:rsidRDefault="00FC4056" w:rsidP="00676DA0">
            <w:pPr>
              <w:pStyle w:val="Tabletext"/>
              <w:rPr>
                <w:rFonts w:cs="Arial"/>
                <w:bCs/>
                <w:iCs/>
                <w:color w:val="AEC12D"/>
                <w:sz w:val="32"/>
                <w:szCs w:val="28"/>
              </w:rPr>
            </w:pPr>
            <w:r w:rsidRPr="00FF5320">
              <w:rPr>
                <w:b/>
                <w:bCs/>
              </w:rPr>
              <w:t>479</w:t>
            </w:r>
          </w:p>
        </w:tc>
        <w:tc>
          <w:tcPr>
            <w:tcW w:w="975" w:type="dxa"/>
            <w:tcBorders>
              <w:top w:val="single" w:sz="4" w:space="0" w:color="FFFFFF"/>
              <w:left w:val="single" w:sz="4" w:space="0" w:color="005A97"/>
              <w:bottom w:val="single" w:sz="4" w:space="0" w:color="005A97"/>
              <w:right w:val="single" w:sz="4" w:space="0" w:color="005A97"/>
            </w:tcBorders>
            <w:noWrap/>
            <w:hideMark/>
          </w:tcPr>
          <w:p w14:paraId="01847F8E" w14:textId="77777777" w:rsidR="00FC4056" w:rsidRPr="00FF5320" w:rsidRDefault="00FC4056" w:rsidP="00676DA0">
            <w:pPr>
              <w:pStyle w:val="Tabletext"/>
              <w:rPr>
                <w:rFonts w:cs="Arial"/>
                <w:bCs/>
                <w:iCs/>
                <w:color w:val="AEC12D"/>
                <w:sz w:val="32"/>
                <w:szCs w:val="28"/>
              </w:rPr>
            </w:pPr>
            <w:r w:rsidRPr="00FF5320">
              <w:rPr>
                <w:b/>
                <w:bCs/>
              </w:rPr>
              <w:t>480</w:t>
            </w:r>
          </w:p>
        </w:tc>
        <w:tc>
          <w:tcPr>
            <w:tcW w:w="974" w:type="dxa"/>
            <w:tcBorders>
              <w:top w:val="single" w:sz="4" w:space="0" w:color="FFFFFF"/>
              <w:left w:val="single" w:sz="4" w:space="0" w:color="005A97"/>
              <w:bottom w:val="single" w:sz="4" w:space="0" w:color="005A97"/>
              <w:right w:val="single" w:sz="4" w:space="0" w:color="005A97"/>
            </w:tcBorders>
            <w:noWrap/>
            <w:hideMark/>
          </w:tcPr>
          <w:p w14:paraId="531E2448" w14:textId="77777777" w:rsidR="00FC4056" w:rsidRPr="00FF5320" w:rsidRDefault="00FC4056" w:rsidP="00676DA0">
            <w:pPr>
              <w:pStyle w:val="Tabletext"/>
              <w:rPr>
                <w:rFonts w:cs="Arial"/>
                <w:bCs/>
                <w:iCs/>
                <w:color w:val="AEC12D"/>
                <w:sz w:val="32"/>
                <w:szCs w:val="28"/>
              </w:rPr>
            </w:pPr>
            <w:r w:rsidRPr="00FF5320">
              <w:rPr>
                <w:b/>
                <w:bCs/>
              </w:rPr>
              <w:t>481</w:t>
            </w:r>
          </w:p>
        </w:tc>
        <w:tc>
          <w:tcPr>
            <w:tcW w:w="975" w:type="dxa"/>
            <w:tcBorders>
              <w:top w:val="single" w:sz="4" w:space="0" w:color="FFFFFF"/>
              <w:left w:val="single" w:sz="4" w:space="0" w:color="005A97"/>
              <w:bottom w:val="single" w:sz="4" w:space="0" w:color="005A97"/>
              <w:right w:val="single" w:sz="4" w:space="0" w:color="FFFFFF"/>
            </w:tcBorders>
            <w:noWrap/>
            <w:hideMark/>
          </w:tcPr>
          <w:p w14:paraId="4662B2C0" w14:textId="77777777" w:rsidR="00FC4056" w:rsidRPr="00FF5320" w:rsidRDefault="00FC4056" w:rsidP="00676DA0">
            <w:pPr>
              <w:pStyle w:val="Tabletext"/>
              <w:rPr>
                <w:rFonts w:cs="Arial"/>
                <w:bCs/>
                <w:iCs/>
                <w:color w:val="AEC12D"/>
                <w:sz w:val="32"/>
                <w:szCs w:val="28"/>
              </w:rPr>
            </w:pPr>
            <w:r w:rsidRPr="00FF5320">
              <w:rPr>
                <w:b/>
                <w:bCs/>
              </w:rPr>
              <w:t>513</w:t>
            </w:r>
          </w:p>
        </w:tc>
      </w:tr>
      <w:tr w:rsidR="00FC4056" w:rsidRPr="00FF5320" w14:paraId="664FDDEF"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17E61EF5" w14:textId="77777777" w:rsidR="00FC4056" w:rsidRPr="00FF5320" w:rsidRDefault="00FC4056" w:rsidP="00676DA0">
            <w:pPr>
              <w:pStyle w:val="Tabletext"/>
              <w:rPr>
                <w:rFonts w:eastAsiaTheme="majorEastAsia" w:cstheme="majorBidi"/>
                <w:color w:val="0079CD" w:themeColor="text1" w:themeTint="D8"/>
                <w:sz w:val="21"/>
                <w:szCs w:val="21"/>
              </w:rPr>
            </w:pPr>
            <w:r>
              <w:rPr>
                <w:b/>
                <w:bCs/>
              </w:rPr>
              <w:t>Aq</w:t>
            </w:r>
            <w:r w:rsidRPr="00FF5320">
              <w:rPr>
                <w:b/>
                <w:bCs/>
              </w:rPr>
              <w:t>100,101,104</w:t>
            </w:r>
          </w:p>
        </w:tc>
        <w:tc>
          <w:tcPr>
            <w:tcW w:w="974" w:type="dxa"/>
            <w:tcBorders>
              <w:top w:val="single" w:sz="4" w:space="0" w:color="005A97"/>
              <w:left w:val="single" w:sz="4" w:space="0" w:color="005A97"/>
              <w:bottom w:val="single" w:sz="4" w:space="0" w:color="005A97"/>
              <w:right w:val="single" w:sz="4" w:space="0" w:color="005A97"/>
            </w:tcBorders>
            <w:noWrap/>
            <w:hideMark/>
          </w:tcPr>
          <w:p w14:paraId="723E66A8" w14:textId="77777777" w:rsidR="00FC4056" w:rsidRPr="00FF5320" w:rsidRDefault="00FC4056" w:rsidP="00676DA0">
            <w:pPr>
              <w:pStyle w:val="Tabletext"/>
              <w:rPr>
                <w:rFonts w:cs="Arial"/>
                <w:bCs/>
                <w:iCs/>
                <w:color w:val="AEC12D"/>
                <w:sz w:val="32"/>
                <w:szCs w:val="28"/>
              </w:rPr>
            </w:pPr>
            <w:r w:rsidRPr="00FF5320">
              <w:t>67.8</w:t>
            </w:r>
          </w:p>
        </w:tc>
        <w:tc>
          <w:tcPr>
            <w:tcW w:w="975" w:type="dxa"/>
            <w:tcBorders>
              <w:top w:val="single" w:sz="4" w:space="0" w:color="005A97"/>
              <w:left w:val="single" w:sz="4" w:space="0" w:color="005A97"/>
              <w:bottom w:val="single" w:sz="4" w:space="0" w:color="005A97"/>
              <w:right w:val="single" w:sz="4" w:space="0" w:color="005A97"/>
            </w:tcBorders>
            <w:noWrap/>
            <w:hideMark/>
          </w:tcPr>
          <w:p w14:paraId="5EF52A13" w14:textId="77777777" w:rsidR="00FC4056" w:rsidRPr="00FF5320" w:rsidRDefault="00FC4056" w:rsidP="00676DA0">
            <w:pPr>
              <w:pStyle w:val="Tabletext"/>
              <w:rPr>
                <w:rFonts w:cs="Arial"/>
                <w:bCs/>
                <w:iCs/>
                <w:color w:val="AEC12D"/>
                <w:sz w:val="32"/>
                <w:szCs w:val="28"/>
              </w:rPr>
            </w:pPr>
            <w:r w:rsidRPr="00FF5320">
              <w:t>63.0</w:t>
            </w:r>
          </w:p>
        </w:tc>
        <w:tc>
          <w:tcPr>
            <w:tcW w:w="974" w:type="dxa"/>
            <w:tcBorders>
              <w:top w:val="single" w:sz="4" w:space="0" w:color="005A97"/>
              <w:left w:val="single" w:sz="4" w:space="0" w:color="005A97"/>
              <w:bottom w:val="single" w:sz="4" w:space="0" w:color="005A97"/>
              <w:right w:val="single" w:sz="4" w:space="0" w:color="005A97"/>
            </w:tcBorders>
            <w:noWrap/>
            <w:hideMark/>
          </w:tcPr>
          <w:p w14:paraId="7E5BFC15" w14:textId="77777777" w:rsidR="00FC4056" w:rsidRPr="00FF5320" w:rsidRDefault="00FC4056" w:rsidP="00676DA0">
            <w:pPr>
              <w:pStyle w:val="Tabletext"/>
              <w:rPr>
                <w:rFonts w:cs="Arial"/>
                <w:bCs/>
                <w:iCs/>
                <w:color w:val="AEC12D"/>
                <w:sz w:val="32"/>
                <w:szCs w:val="28"/>
              </w:rPr>
            </w:pPr>
            <w:r w:rsidRPr="00FF5320">
              <w:t>54.5</w:t>
            </w:r>
          </w:p>
        </w:tc>
        <w:tc>
          <w:tcPr>
            <w:tcW w:w="975" w:type="dxa"/>
            <w:tcBorders>
              <w:top w:val="single" w:sz="4" w:space="0" w:color="005A97"/>
              <w:left w:val="single" w:sz="4" w:space="0" w:color="005A97"/>
              <w:bottom w:val="single" w:sz="4" w:space="0" w:color="005A97"/>
              <w:right w:val="single" w:sz="4" w:space="0" w:color="005A97"/>
            </w:tcBorders>
            <w:noWrap/>
            <w:hideMark/>
          </w:tcPr>
          <w:p w14:paraId="29E2A206" w14:textId="77777777" w:rsidR="00FC4056" w:rsidRPr="00FF5320" w:rsidRDefault="00FC4056" w:rsidP="00676DA0">
            <w:pPr>
              <w:pStyle w:val="Tabletext"/>
              <w:rPr>
                <w:rFonts w:cs="Arial"/>
                <w:bCs/>
                <w:iCs/>
                <w:color w:val="AEC12D"/>
                <w:sz w:val="32"/>
                <w:szCs w:val="28"/>
              </w:rPr>
            </w:pPr>
            <w:r w:rsidRPr="00FF5320">
              <w:t>68.0</w:t>
            </w:r>
          </w:p>
        </w:tc>
        <w:tc>
          <w:tcPr>
            <w:tcW w:w="974" w:type="dxa"/>
            <w:tcBorders>
              <w:top w:val="single" w:sz="4" w:space="0" w:color="005A97"/>
              <w:left w:val="single" w:sz="4" w:space="0" w:color="005A97"/>
              <w:bottom w:val="single" w:sz="4" w:space="0" w:color="005A97"/>
              <w:right w:val="single" w:sz="4" w:space="0" w:color="005A97"/>
            </w:tcBorders>
            <w:noWrap/>
            <w:hideMark/>
          </w:tcPr>
          <w:p w14:paraId="766E8556" w14:textId="77777777" w:rsidR="00FC4056" w:rsidRPr="00FF5320" w:rsidRDefault="00FC4056" w:rsidP="00676DA0">
            <w:pPr>
              <w:pStyle w:val="Tabletext"/>
              <w:rPr>
                <w:rFonts w:cs="Arial"/>
                <w:bCs/>
                <w:iCs/>
                <w:color w:val="AEC12D"/>
                <w:sz w:val="32"/>
                <w:szCs w:val="28"/>
              </w:rPr>
            </w:pPr>
            <w:r w:rsidRPr="00FF5320">
              <w:t>66.5</w:t>
            </w:r>
          </w:p>
        </w:tc>
        <w:tc>
          <w:tcPr>
            <w:tcW w:w="975" w:type="dxa"/>
            <w:tcBorders>
              <w:top w:val="single" w:sz="4" w:space="0" w:color="005A97"/>
              <w:left w:val="single" w:sz="4" w:space="0" w:color="005A97"/>
              <w:bottom w:val="single" w:sz="4" w:space="0" w:color="005A97"/>
              <w:right w:val="single" w:sz="4" w:space="0" w:color="005A97"/>
            </w:tcBorders>
            <w:noWrap/>
            <w:hideMark/>
          </w:tcPr>
          <w:p w14:paraId="08FE2730" w14:textId="77777777" w:rsidR="00FC4056" w:rsidRPr="00FF5320" w:rsidRDefault="00FC4056" w:rsidP="00676DA0">
            <w:pPr>
              <w:pStyle w:val="Tabletext"/>
              <w:rPr>
                <w:rFonts w:cs="Arial"/>
                <w:bCs/>
                <w:iCs/>
                <w:color w:val="AEC12D"/>
                <w:sz w:val="32"/>
                <w:szCs w:val="28"/>
              </w:rPr>
            </w:pPr>
            <w:r w:rsidRPr="00FF5320">
              <w:t>67.3</w:t>
            </w:r>
          </w:p>
        </w:tc>
        <w:tc>
          <w:tcPr>
            <w:tcW w:w="974" w:type="dxa"/>
            <w:tcBorders>
              <w:top w:val="single" w:sz="4" w:space="0" w:color="005A97"/>
              <w:left w:val="single" w:sz="4" w:space="0" w:color="005A97"/>
              <w:bottom w:val="single" w:sz="4" w:space="0" w:color="005A97"/>
              <w:right w:val="single" w:sz="4" w:space="0" w:color="005A97"/>
            </w:tcBorders>
            <w:noWrap/>
            <w:hideMark/>
          </w:tcPr>
          <w:p w14:paraId="193201FB" w14:textId="77777777" w:rsidR="00FC4056" w:rsidRPr="00FF5320" w:rsidRDefault="00FC4056" w:rsidP="00676DA0">
            <w:pPr>
              <w:pStyle w:val="Tabletext"/>
              <w:rPr>
                <w:rFonts w:cs="Arial"/>
                <w:bCs/>
                <w:iCs/>
                <w:color w:val="AEC12D"/>
                <w:sz w:val="32"/>
                <w:szCs w:val="28"/>
              </w:rPr>
            </w:pPr>
            <w:r w:rsidRPr="00FF5320">
              <w:t>70.5</w:t>
            </w:r>
          </w:p>
        </w:tc>
        <w:tc>
          <w:tcPr>
            <w:tcW w:w="975" w:type="dxa"/>
            <w:tcBorders>
              <w:top w:val="single" w:sz="4" w:space="0" w:color="005A97"/>
              <w:left w:val="single" w:sz="4" w:space="0" w:color="005A97"/>
              <w:bottom w:val="single" w:sz="4" w:space="0" w:color="005A97"/>
              <w:right w:val="single" w:sz="4" w:space="0" w:color="FFFFFF"/>
            </w:tcBorders>
            <w:noWrap/>
            <w:hideMark/>
          </w:tcPr>
          <w:p w14:paraId="2E82ADBC" w14:textId="77777777" w:rsidR="00FC4056" w:rsidRPr="00FF5320" w:rsidRDefault="00FC4056" w:rsidP="00676DA0">
            <w:pPr>
              <w:pStyle w:val="Tabletext"/>
              <w:rPr>
                <w:rFonts w:cs="Arial"/>
                <w:bCs/>
                <w:iCs/>
                <w:color w:val="AEC12D"/>
                <w:sz w:val="32"/>
                <w:szCs w:val="28"/>
              </w:rPr>
            </w:pPr>
            <w:r w:rsidRPr="00FF5320">
              <w:t>66.6</w:t>
            </w:r>
          </w:p>
        </w:tc>
      </w:tr>
      <w:tr w:rsidR="00FC4056" w:rsidRPr="00FF5320" w14:paraId="32C67918"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21021575" w14:textId="77777777" w:rsidR="00FC4056" w:rsidRPr="00FF5320" w:rsidRDefault="00FC4056" w:rsidP="00676DA0">
            <w:pPr>
              <w:pStyle w:val="Tabletext"/>
            </w:pPr>
            <w:r w:rsidRPr="00FF5320">
              <w:rPr>
                <w:b/>
                <w:bCs/>
              </w:rPr>
              <w:t>Volcanics Basal</w:t>
            </w:r>
          </w:p>
        </w:tc>
        <w:tc>
          <w:tcPr>
            <w:tcW w:w="974" w:type="dxa"/>
            <w:tcBorders>
              <w:top w:val="single" w:sz="4" w:space="0" w:color="005A97"/>
              <w:left w:val="single" w:sz="4" w:space="0" w:color="005A97"/>
              <w:bottom w:val="single" w:sz="4" w:space="0" w:color="005A97"/>
              <w:right w:val="single" w:sz="4" w:space="0" w:color="005A97"/>
            </w:tcBorders>
            <w:noWrap/>
            <w:hideMark/>
          </w:tcPr>
          <w:p w14:paraId="67FDF81A"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1523EC0B"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1E23195F"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43910DE7"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2ECF4032"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FDE7981"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74E844AB"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FFFFFF"/>
            </w:tcBorders>
            <w:noWrap/>
            <w:hideMark/>
          </w:tcPr>
          <w:p w14:paraId="0D9F492A" w14:textId="77777777" w:rsidR="00FC4056" w:rsidRPr="00FF5320" w:rsidRDefault="00FC4056" w:rsidP="00676DA0">
            <w:pPr>
              <w:pStyle w:val="Tabletext"/>
            </w:pPr>
          </w:p>
        </w:tc>
      </w:tr>
      <w:tr w:rsidR="00FC4056" w:rsidRPr="00FF5320" w14:paraId="4B98E662"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03206756"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Aq107</w:t>
            </w:r>
          </w:p>
        </w:tc>
        <w:tc>
          <w:tcPr>
            <w:tcW w:w="974" w:type="dxa"/>
            <w:tcBorders>
              <w:top w:val="single" w:sz="4" w:space="0" w:color="005A97"/>
              <w:left w:val="single" w:sz="4" w:space="0" w:color="005A97"/>
              <w:bottom w:val="single" w:sz="4" w:space="0" w:color="005A97"/>
              <w:right w:val="single" w:sz="4" w:space="0" w:color="005A97"/>
            </w:tcBorders>
            <w:noWrap/>
            <w:hideMark/>
          </w:tcPr>
          <w:p w14:paraId="0D290B03" w14:textId="77777777" w:rsidR="00FC4056" w:rsidRPr="00FF5320" w:rsidRDefault="00FC4056" w:rsidP="00676DA0">
            <w:pPr>
              <w:pStyle w:val="Tabletext"/>
              <w:rPr>
                <w:rFonts w:cs="Arial"/>
                <w:bCs/>
                <w:iCs/>
                <w:color w:val="AEC12D"/>
                <w:sz w:val="32"/>
                <w:szCs w:val="28"/>
              </w:rPr>
            </w:pPr>
            <w:r w:rsidRPr="00FF5320">
              <w:t>49.2</w:t>
            </w:r>
          </w:p>
        </w:tc>
        <w:tc>
          <w:tcPr>
            <w:tcW w:w="975" w:type="dxa"/>
            <w:tcBorders>
              <w:top w:val="single" w:sz="4" w:space="0" w:color="005A97"/>
              <w:left w:val="single" w:sz="4" w:space="0" w:color="005A97"/>
              <w:bottom w:val="single" w:sz="4" w:space="0" w:color="005A97"/>
              <w:right w:val="single" w:sz="4" w:space="0" w:color="005A97"/>
            </w:tcBorders>
            <w:noWrap/>
            <w:hideMark/>
          </w:tcPr>
          <w:p w14:paraId="7A98317A" w14:textId="77777777" w:rsidR="00FC4056" w:rsidRPr="00FF5320" w:rsidRDefault="00FC4056" w:rsidP="00676DA0">
            <w:pPr>
              <w:pStyle w:val="Tabletext"/>
              <w:rPr>
                <w:rFonts w:cs="Arial"/>
                <w:bCs/>
                <w:iCs/>
                <w:color w:val="AEC12D"/>
                <w:sz w:val="32"/>
                <w:szCs w:val="28"/>
              </w:rPr>
            </w:pPr>
            <w:r w:rsidRPr="00FF5320">
              <w:t>46.2</w:t>
            </w:r>
          </w:p>
        </w:tc>
        <w:tc>
          <w:tcPr>
            <w:tcW w:w="974" w:type="dxa"/>
            <w:tcBorders>
              <w:top w:val="single" w:sz="4" w:space="0" w:color="005A97"/>
              <w:left w:val="single" w:sz="4" w:space="0" w:color="005A97"/>
              <w:bottom w:val="single" w:sz="4" w:space="0" w:color="005A97"/>
              <w:right w:val="single" w:sz="4" w:space="0" w:color="005A97"/>
            </w:tcBorders>
            <w:noWrap/>
            <w:hideMark/>
          </w:tcPr>
          <w:p w14:paraId="3BAF1FC7" w14:textId="77777777" w:rsidR="00FC4056" w:rsidRPr="00FF5320" w:rsidRDefault="00FC4056" w:rsidP="00676DA0">
            <w:pPr>
              <w:pStyle w:val="Tabletext"/>
              <w:rPr>
                <w:rFonts w:cs="Arial"/>
                <w:bCs/>
                <w:iCs/>
                <w:color w:val="AEC12D"/>
                <w:sz w:val="32"/>
                <w:szCs w:val="28"/>
              </w:rPr>
            </w:pPr>
            <w:r w:rsidRPr="00FF5320">
              <w:t>38.6</w:t>
            </w:r>
          </w:p>
        </w:tc>
        <w:tc>
          <w:tcPr>
            <w:tcW w:w="975" w:type="dxa"/>
            <w:tcBorders>
              <w:top w:val="single" w:sz="4" w:space="0" w:color="005A97"/>
              <w:left w:val="single" w:sz="4" w:space="0" w:color="005A97"/>
              <w:bottom w:val="single" w:sz="4" w:space="0" w:color="005A97"/>
              <w:right w:val="single" w:sz="4" w:space="0" w:color="005A97"/>
            </w:tcBorders>
            <w:noWrap/>
            <w:hideMark/>
          </w:tcPr>
          <w:p w14:paraId="4862F99F" w14:textId="77777777" w:rsidR="00FC4056" w:rsidRPr="00FF5320" w:rsidRDefault="00FC4056" w:rsidP="00676DA0">
            <w:pPr>
              <w:pStyle w:val="Tabletext"/>
              <w:rPr>
                <w:rFonts w:cs="Arial"/>
                <w:bCs/>
                <w:iCs/>
                <w:color w:val="AEC12D"/>
                <w:sz w:val="32"/>
                <w:szCs w:val="28"/>
              </w:rPr>
            </w:pPr>
            <w:r w:rsidRPr="00FF5320">
              <w:t>43.6</w:t>
            </w:r>
          </w:p>
        </w:tc>
        <w:tc>
          <w:tcPr>
            <w:tcW w:w="974" w:type="dxa"/>
            <w:tcBorders>
              <w:top w:val="single" w:sz="4" w:space="0" w:color="005A97"/>
              <w:left w:val="single" w:sz="4" w:space="0" w:color="005A97"/>
              <w:bottom w:val="single" w:sz="4" w:space="0" w:color="005A97"/>
              <w:right w:val="single" w:sz="4" w:space="0" w:color="005A97"/>
            </w:tcBorders>
            <w:noWrap/>
            <w:hideMark/>
          </w:tcPr>
          <w:p w14:paraId="180F2AEC" w14:textId="77777777" w:rsidR="00FC4056" w:rsidRPr="00FF5320" w:rsidRDefault="00FC4056" w:rsidP="00676DA0">
            <w:pPr>
              <w:pStyle w:val="Tabletext"/>
              <w:rPr>
                <w:rFonts w:cs="Arial"/>
                <w:bCs/>
                <w:iCs/>
                <w:color w:val="AEC12D"/>
                <w:sz w:val="32"/>
                <w:szCs w:val="28"/>
              </w:rPr>
            </w:pPr>
            <w:r w:rsidRPr="00FF5320">
              <w:t>45.6</w:t>
            </w:r>
          </w:p>
        </w:tc>
        <w:tc>
          <w:tcPr>
            <w:tcW w:w="975" w:type="dxa"/>
            <w:tcBorders>
              <w:top w:val="single" w:sz="4" w:space="0" w:color="005A97"/>
              <w:left w:val="single" w:sz="4" w:space="0" w:color="005A97"/>
              <w:bottom w:val="single" w:sz="4" w:space="0" w:color="005A97"/>
              <w:right w:val="single" w:sz="4" w:space="0" w:color="005A97"/>
            </w:tcBorders>
            <w:noWrap/>
            <w:hideMark/>
          </w:tcPr>
          <w:p w14:paraId="18EE5144" w14:textId="77777777" w:rsidR="00FC4056" w:rsidRPr="00FF5320" w:rsidRDefault="00FC4056" w:rsidP="00676DA0">
            <w:pPr>
              <w:pStyle w:val="Tabletext"/>
              <w:rPr>
                <w:rFonts w:cs="Arial"/>
                <w:bCs/>
                <w:iCs/>
                <w:color w:val="AEC12D"/>
                <w:sz w:val="32"/>
                <w:szCs w:val="28"/>
              </w:rPr>
            </w:pPr>
            <w:r w:rsidRPr="00FF5320">
              <w:t>43.4</w:t>
            </w:r>
          </w:p>
        </w:tc>
        <w:tc>
          <w:tcPr>
            <w:tcW w:w="974" w:type="dxa"/>
            <w:tcBorders>
              <w:top w:val="single" w:sz="4" w:space="0" w:color="005A97"/>
              <w:left w:val="single" w:sz="4" w:space="0" w:color="005A97"/>
              <w:bottom w:val="single" w:sz="4" w:space="0" w:color="005A97"/>
              <w:right w:val="single" w:sz="4" w:space="0" w:color="005A97"/>
            </w:tcBorders>
            <w:noWrap/>
            <w:hideMark/>
          </w:tcPr>
          <w:p w14:paraId="09B053A8" w14:textId="77777777" w:rsidR="00FC4056" w:rsidRPr="00FF5320" w:rsidRDefault="00FC4056" w:rsidP="00676DA0">
            <w:pPr>
              <w:pStyle w:val="Tabletext"/>
              <w:rPr>
                <w:rFonts w:cs="Arial"/>
                <w:bCs/>
                <w:iCs/>
                <w:color w:val="AEC12D"/>
                <w:sz w:val="32"/>
                <w:szCs w:val="28"/>
              </w:rPr>
            </w:pPr>
            <w:r w:rsidRPr="00FF5320">
              <w:t>87.1</w:t>
            </w:r>
          </w:p>
        </w:tc>
        <w:tc>
          <w:tcPr>
            <w:tcW w:w="975" w:type="dxa"/>
            <w:tcBorders>
              <w:top w:val="single" w:sz="4" w:space="0" w:color="005A97"/>
              <w:left w:val="single" w:sz="4" w:space="0" w:color="005A97"/>
              <w:bottom w:val="single" w:sz="4" w:space="0" w:color="005A97"/>
              <w:right w:val="single" w:sz="4" w:space="0" w:color="FFFFFF"/>
            </w:tcBorders>
            <w:noWrap/>
            <w:hideMark/>
          </w:tcPr>
          <w:p w14:paraId="4C85FF1D" w14:textId="77777777" w:rsidR="00FC4056" w:rsidRPr="00FF5320" w:rsidRDefault="00FC4056" w:rsidP="00676DA0">
            <w:pPr>
              <w:pStyle w:val="Tabletext"/>
            </w:pPr>
          </w:p>
        </w:tc>
      </w:tr>
      <w:tr w:rsidR="00FC4056" w:rsidRPr="00FF5320" w14:paraId="34F933C5"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43CB1831" w14:textId="77777777" w:rsidR="00FC4056" w:rsidRPr="00FF5320" w:rsidRDefault="00FC4056" w:rsidP="00676DA0">
            <w:pPr>
              <w:pStyle w:val="Tabletext"/>
            </w:pPr>
            <w:r w:rsidRPr="00FF5320">
              <w:rPr>
                <w:b/>
                <w:bCs/>
              </w:rPr>
              <w:t>Aqd108</w:t>
            </w:r>
          </w:p>
        </w:tc>
        <w:tc>
          <w:tcPr>
            <w:tcW w:w="974" w:type="dxa"/>
            <w:tcBorders>
              <w:top w:val="single" w:sz="4" w:space="0" w:color="005A97"/>
              <w:left w:val="single" w:sz="4" w:space="0" w:color="005A97"/>
              <w:bottom w:val="single" w:sz="4" w:space="0" w:color="005A97"/>
              <w:right w:val="single" w:sz="4" w:space="0" w:color="005A97"/>
            </w:tcBorders>
            <w:noWrap/>
            <w:hideMark/>
          </w:tcPr>
          <w:p w14:paraId="616BDA6D"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01A78482"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12931AD7"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307952A5"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9644D2F"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7F1DFF9"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752A3828"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FFFFFF"/>
            </w:tcBorders>
            <w:noWrap/>
            <w:hideMark/>
          </w:tcPr>
          <w:p w14:paraId="6FB95B87" w14:textId="77777777" w:rsidR="00FC4056" w:rsidRPr="00FF5320" w:rsidRDefault="00FC4056" w:rsidP="00676DA0">
            <w:pPr>
              <w:pStyle w:val="Tabletext"/>
            </w:pPr>
          </w:p>
        </w:tc>
      </w:tr>
      <w:tr w:rsidR="00FC4056" w:rsidRPr="00FF5320" w14:paraId="0A740A50"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5743CB6E"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AQ109</w:t>
            </w:r>
          </w:p>
        </w:tc>
        <w:tc>
          <w:tcPr>
            <w:tcW w:w="974" w:type="dxa"/>
            <w:tcBorders>
              <w:top w:val="single" w:sz="4" w:space="0" w:color="005A97"/>
              <w:left w:val="single" w:sz="4" w:space="0" w:color="005A97"/>
              <w:bottom w:val="single" w:sz="4" w:space="0" w:color="005A97"/>
              <w:right w:val="single" w:sz="4" w:space="0" w:color="005A97"/>
            </w:tcBorders>
            <w:noWrap/>
            <w:hideMark/>
          </w:tcPr>
          <w:p w14:paraId="5EE02402"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7D253E4"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AE932A3"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1F4864C5"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74E8CF8"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B82D0CC"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4490FF9F"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FFFFFF"/>
            </w:tcBorders>
            <w:noWrap/>
            <w:hideMark/>
          </w:tcPr>
          <w:p w14:paraId="09AB449E" w14:textId="77777777" w:rsidR="00FC4056" w:rsidRPr="00FF5320" w:rsidRDefault="00FC4056" w:rsidP="00676DA0">
            <w:pPr>
              <w:pStyle w:val="Tabletext"/>
            </w:pPr>
          </w:p>
        </w:tc>
      </w:tr>
      <w:tr w:rsidR="00FC4056" w:rsidRPr="00FF5320" w14:paraId="306FEF18"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20BC5949"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AQD110/AQD111</w:t>
            </w:r>
          </w:p>
        </w:tc>
        <w:tc>
          <w:tcPr>
            <w:tcW w:w="974" w:type="dxa"/>
            <w:tcBorders>
              <w:top w:val="single" w:sz="4" w:space="0" w:color="005A97"/>
              <w:left w:val="single" w:sz="4" w:space="0" w:color="005A97"/>
              <w:bottom w:val="single" w:sz="4" w:space="0" w:color="005A97"/>
              <w:right w:val="single" w:sz="4" w:space="0" w:color="005A97"/>
            </w:tcBorders>
            <w:noWrap/>
            <w:hideMark/>
          </w:tcPr>
          <w:p w14:paraId="74B9FE2A" w14:textId="77777777" w:rsidR="00FC4056" w:rsidRPr="00FF5320" w:rsidRDefault="00FC4056" w:rsidP="00676DA0">
            <w:pPr>
              <w:pStyle w:val="Tabletext"/>
              <w:rPr>
                <w:rFonts w:cs="Arial"/>
                <w:bCs/>
                <w:iCs/>
                <w:color w:val="AEC12D"/>
                <w:sz w:val="32"/>
                <w:szCs w:val="28"/>
              </w:rPr>
            </w:pPr>
            <w:r w:rsidRPr="00FF5320">
              <w:t>48.1</w:t>
            </w:r>
          </w:p>
        </w:tc>
        <w:tc>
          <w:tcPr>
            <w:tcW w:w="975" w:type="dxa"/>
            <w:tcBorders>
              <w:top w:val="single" w:sz="4" w:space="0" w:color="005A97"/>
              <w:left w:val="single" w:sz="4" w:space="0" w:color="005A97"/>
              <w:bottom w:val="single" w:sz="4" w:space="0" w:color="005A97"/>
              <w:right w:val="single" w:sz="4" w:space="0" w:color="005A97"/>
            </w:tcBorders>
            <w:noWrap/>
            <w:hideMark/>
          </w:tcPr>
          <w:p w14:paraId="1E587763" w14:textId="77777777" w:rsidR="00FC4056" w:rsidRPr="00FF5320" w:rsidRDefault="00FC4056" w:rsidP="00676DA0">
            <w:pPr>
              <w:pStyle w:val="Tabletext"/>
              <w:rPr>
                <w:rFonts w:cs="Arial"/>
                <w:bCs/>
                <w:iCs/>
                <w:color w:val="AEC12D"/>
                <w:sz w:val="32"/>
                <w:szCs w:val="28"/>
              </w:rPr>
            </w:pPr>
            <w:r w:rsidRPr="00FF5320">
              <w:t>19.0</w:t>
            </w:r>
          </w:p>
        </w:tc>
        <w:tc>
          <w:tcPr>
            <w:tcW w:w="974" w:type="dxa"/>
            <w:tcBorders>
              <w:top w:val="single" w:sz="4" w:space="0" w:color="005A97"/>
              <w:left w:val="single" w:sz="4" w:space="0" w:color="005A97"/>
              <w:bottom w:val="single" w:sz="4" w:space="0" w:color="005A97"/>
              <w:right w:val="single" w:sz="4" w:space="0" w:color="005A97"/>
            </w:tcBorders>
            <w:noWrap/>
            <w:hideMark/>
          </w:tcPr>
          <w:p w14:paraId="42E8DA9F" w14:textId="77777777" w:rsidR="00FC4056" w:rsidRPr="00FF5320" w:rsidRDefault="00FC4056" w:rsidP="00676DA0">
            <w:pPr>
              <w:pStyle w:val="Tabletext"/>
              <w:rPr>
                <w:rFonts w:cs="Arial"/>
                <w:bCs/>
                <w:iCs/>
                <w:color w:val="AEC12D"/>
                <w:sz w:val="32"/>
                <w:szCs w:val="28"/>
              </w:rPr>
            </w:pPr>
            <w:r w:rsidRPr="00FF5320">
              <w:t>22.9</w:t>
            </w:r>
          </w:p>
        </w:tc>
        <w:tc>
          <w:tcPr>
            <w:tcW w:w="975" w:type="dxa"/>
            <w:tcBorders>
              <w:top w:val="single" w:sz="4" w:space="0" w:color="005A97"/>
              <w:left w:val="single" w:sz="4" w:space="0" w:color="005A97"/>
              <w:bottom w:val="single" w:sz="4" w:space="0" w:color="005A97"/>
              <w:right w:val="single" w:sz="4" w:space="0" w:color="005A97"/>
            </w:tcBorders>
            <w:noWrap/>
            <w:hideMark/>
          </w:tcPr>
          <w:p w14:paraId="7A17CE70" w14:textId="77777777" w:rsidR="00FC4056" w:rsidRPr="00FF5320" w:rsidRDefault="00FC4056" w:rsidP="00676DA0">
            <w:pPr>
              <w:pStyle w:val="Tabletext"/>
              <w:rPr>
                <w:rFonts w:cs="Arial"/>
                <w:bCs/>
                <w:iCs/>
                <w:color w:val="AEC12D"/>
                <w:sz w:val="32"/>
                <w:szCs w:val="28"/>
              </w:rPr>
            </w:pPr>
            <w:r w:rsidRPr="00FF5320">
              <w:t>44.5</w:t>
            </w:r>
          </w:p>
        </w:tc>
        <w:tc>
          <w:tcPr>
            <w:tcW w:w="974" w:type="dxa"/>
            <w:tcBorders>
              <w:top w:val="single" w:sz="4" w:space="0" w:color="005A97"/>
              <w:left w:val="single" w:sz="4" w:space="0" w:color="005A97"/>
              <w:bottom w:val="single" w:sz="4" w:space="0" w:color="005A97"/>
              <w:right w:val="single" w:sz="4" w:space="0" w:color="005A97"/>
            </w:tcBorders>
            <w:noWrap/>
            <w:hideMark/>
          </w:tcPr>
          <w:p w14:paraId="7E57A63B" w14:textId="77777777" w:rsidR="00FC4056" w:rsidRPr="00FF5320" w:rsidRDefault="00FC4056" w:rsidP="00676DA0">
            <w:pPr>
              <w:pStyle w:val="Tabletext"/>
              <w:rPr>
                <w:rFonts w:cs="Arial"/>
                <w:bCs/>
                <w:iCs/>
                <w:color w:val="AEC12D"/>
                <w:sz w:val="32"/>
                <w:szCs w:val="28"/>
              </w:rPr>
            </w:pPr>
            <w:r w:rsidRPr="00FF5320">
              <w:t>45.2</w:t>
            </w:r>
          </w:p>
        </w:tc>
        <w:tc>
          <w:tcPr>
            <w:tcW w:w="975" w:type="dxa"/>
            <w:tcBorders>
              <w:top w:val="single" w:sz="4" w:space="0" w:color="005A97"/>
              <w:left w:val="single" w:sz="4" w:space="0" w:color="005A97"/>
              <w:bottom w:val="single" w:sz="4" w:space="0" w:color="005A97"/>
              <w:right w:val="single" w:sz="4" w:space="0" w:color="005A97"/>
            </w:tcBorders>
            <w:noWrap/>
            <w:hideMark/>
          </w:tcPr>
          <w:p w14:paraId="039115E8" w14:textId="77777777" w:rsidR="00FC4056" w:rsidRPr="00FF5320" w:rsidRDefault="00FC4056" w:rsidP="00676DA0">
            <w:pPr>
              <w:pStyle w:val="Tabletext"/>
              <w:rPr>
                <w:rFonts w:cs="Arial"/>
                <w:bCs/>
                <w:iCs/>
                <w:color w:val="AEC12D"/>
                <w:sz w:val="32"/>
                <w:szCs w:val="28"/>
              </w:rPr>
            </w:pPr>
            <w:r w:rsidRPr="00FF5320">
              <w:t>23.3</w:t>
            </w:r>
          </w:p>
        </w:tc>
        <w:tc>
          <w:tcPr>
            <w:tcW w:w="974" w:type="dxa"/>
            <w:tcBorders>
              <w:top w:val="single" w:sz="4" w:space="0" w:color="005A97"/>
              <w:left w:val="single" w:sz="4" w:space="0" w:color="005A97"/>
              <w:bottom w:val="single" w:sz="4" w:space="0" w:color="005A97"/>
              <w:right w:val="single" w:sz="4" w:space="0" w:color="005A97"/>
            </w:tcBorders>
            <w:noWrap/>
            <w:hideMark/>
          </w:tcPr>
          <w:p w14:paraId="70020B1E" w14:textId="77777777" w:rsidR="00FC4056" w:rsidRPr="00FF5320" w:rsidRDefault="00FC4056" w:rsidP="00676DA0">
            <w:pPr>
              <w:pStyle w:val="Tabletext"/>
              <w:rPr>
                <w:rFonts w:cs="Arial"/>
                <w:bCs/>
                <w:iCs/>
                <w:color w:val="AEC12D"/>
                <w:sz w:val="32"/>
                <w:szCs w:val="28"/>
              </w:rPr>
            </w:pPr>
            <w:r w:rsidRPr="00FF5320">
              <w:t>31.6</w:t>
            </w:r>
          </w:p>
        </w:tc>
        <w:tc>
          <w:tcPr>
            <w:tcW w:w="975" w:type="dxa"/>
            <w:tcBorders>
              <w:top w:val="single" w:sz="4" w:space="0" w:color="005A97"/>
              <w:left w:val="single" w:sz="4" w:space="0" w:color="005A97"/>
              <w:bottom w:val="single" w:sz="4" w:space="0" w:color="005A97"/>
              <w:right w:val="single" w:sz="4" w:space="0" w:color="FFFFFF"/>
            </w:tcBorders>
            <w:noWrap/>
            <w:hideMark/>
          </w:tcPr>
          <w:p w14:paraId="197173B0" w14:textId="77777777" w:rsidR="00FC4056" w:rsidRPr="00FF5320" w:rsidRDefault="00FC4056" w:rsidP="00676DA0">
            <w:pPr>
              <w:pStyle w:val="Tabletext"/>
            </w:pPr>
          </w:p>
        </w:tc>
      </w:tr>
      <w:tr w:rsidR="00FC4056" w:rsidRPr="00FF5320" w14:paraId="1F2553E2"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5134427C"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Aq111</w:t>
            </w:r>
          </w:p>
        </w:tc>
        <w:tc>
          <w:tcPr>
            <w:tcW w:w="974" w:type="dxa"/>
            <w:tcBorders>
              <w:top w:val="single" w:sz="4" w:space="0" w:color="005A97"/>
              <w:left w:val="single" w:sz="4" w:space="0" w:color="005A97"/>
              <w:bottom w:val="single" w:sz="4" w:space="0" w:color="005A97"/>
              <w:right w:val="single" w:sz="4" w:space="0" w:color="005A97"/>
            </w:tcBorders>
            <w:noWrap/>
            <w:hideMark/>
          </w:tcPr>
          <w:p w14:paraId="5CE775EC" w14:textId="77777777" w:rsidR="00FC4056" w:rsidRPr="00FF5320" w:rsidRDefault="00FC4056" w:rsidP="00676DA0">
            <w:pPr>
              <w:pStyle w:val="Tabletext"/>
              <w:rPr>
                <w:rFonts w:cs="Arial"/>
                <w:bCs/>
                <w:iCs/>
                <w:color w:val="AEC12D"/>
                <w:sz w:val="32"/>
                <w:szCs w:val="28"/>
              </w:rPr>
            </w:pPr>
            <w:r w:rsidRPr="00FF5320">
              <w:t>-55.7</w:t>
            </w:r>
          </w:p>
        </w:tc>
        <w:tc>
          <w:tcPr>
            <w:tcW w:w="975" w:type="dxa"/>
            <w:tcBorders>
              <w:top w:val="single" w:sz="4" w:space="0" w:color="005A97"/>
              <w:left w:val="single" w:sz="4" w:space="0" w:color="005A97"/>
              <w:bottom w:val="single" w:sz="4" w:space="0" w:color="005A97"/>
              <w:right w:val="single" w:sz="4" w:space="0" w:color="005A97"/>
            </w:tcBorders>
            <w:noWrap/>
            <w:hideMark/>
          </w:tcPr>
          <w:p w14:paraId="36A3C7A3" w14:textId="77777777" w:rsidR="00FC4056" w:rsidRPr="00FF5320" w:rsidRDefault="00FC4056" w:rsidP="00676DA0">
            <w:pPr>
              <w:pStyle w:val="Tabletext"/>
              <w:rPr>
                <w:rFonts w:cs="Arial"/>
                <w:bCs/>
                <w:iCs/>
                <w:color w:val="AEC12D"/>
                <w:sz w:val="32"/>
                <w:szCs w:val="28"/>
              </w:rPr>
            </w:pPr>
            <w:r w:rsidRPr="00FF5320">
              <w:t>-14.6</w:t>
            </w:r>
          </w:p>
        </w:tc>
        <w:tc>
          <w:tcPr>
            <w:tcW w:w="974" w:type="dxa"/>
            <w:tcBorders>
              <w:top w:val="single" w:sz="4" w:space="0" w:color="005A97"/>
              <w:left w:val="single" w:sz="4" w:space="0" w:color="005A97"/>
              <w:bottom w:val="single" w:sz="4" w:space="0" w:color="005A97"/>
              <w:right w:val="single" w:sz="4" w:space="0" w:color="005A97"/>
            </w:tcBorders>
            <w:noWrap/>
            <w:hideMark/>
          </w:tcPr>
          <w:p w14:paraId="442E7714" w14:textId="77777777" w:rsidR="00FC4056" w:rsidRPr="00FF5320" w:rsidRDefault="00FC4056" w:rsidP="00676DA0">
            <w:pPr>
              <w:pStyle w:val="Tabletext"/>
              <w:rPr>
                <w:rFonts w:cs="Arial"/>
                <w:bCs/>
                <w:iCs/>
                <w:color w:val="AEC12D"/>
                <w:sz w:val="32"/>
                <w:szCs w:val="28"/>
              </w:rPr>
            </w:pPr>
            <w:r w:rsidRPr="00FF5320">
              <w:t>3.6</w:t>
            </w:r>
          </w:p>
        </w:tc>
        <w:tc>
          <w:tcPr>
            <w:tcW w:w="975" w:type="dxa"/>
            <w:tcBorders>
              <w:top w:val="single" w:sz="4" w:space="0" w:color="005A97"/>
              <w:left w:val="single" w:sz="4" w:space="0" w:color="005A97"/>
              <w:bottom w:val="single" w:sz="4" w:space="0" w:color="005A97"/>
              <w:right w:val="single" w:sz="4" w:space="0" w:color="005A97"/>
            </w:tcBorders>
            <w:noWrap/>
            <w:hideMark/>
          </w:tcPr>
          <w:p w14:paraId="459B2351" w14:textId="77777777" w:rsidR="00FC4056" w:rsidRPr="00FF5320" w:rsidRDefault="00FC4056" w:rsidP="00676DA0">
            <w:pPr>
              <w:pStyle w:val="Tabletext"/>
              <w:rPr>
                <w:rFonts w:cs="Arial"/>
                <w:bCs/>
                <w:iCs/>
                <w:color w:val="AEC12D"/>
                <w:sz w:val="32"/>
                <w:szCs w:val="28"/>
              </w:rPr>
            </w:pPr>
            <w:r w:rsidRPr="00FF5320">
              <w:t>5.0</w:t>
            </w:r>
          </w:p>
        </w:tc>
        <w:tc>
          <w:tcPr>
            <w:tcW w:w="974" w:type="dxa"/>
            <w:tcBorders>
              <w:top w:val="single" w:sz="4" w:space="0" w:color="005A97"/>
              <w:left w:val="single" w:sz="4" w:space="0" w:color="005A97"/>
              <w:bottom w:val="single" w:sz="4" w:space="0" w:color="005A97"/>
              <w:right w:val="single" w:sz="4" w:space="0" w:color="005A97"/>
            </w:tcBorders>
            <w:noWrap/>
            <w:hideMark/>
          </w:tcPr>
          <w:p w14:paraId="6BA6A73A" w14:textId="77777777" w:rsidR="00FC4056" w:rsidRPr="00FF5320" w:rsidRDefault="00FC4056" w:rsidP="00676DA0">
            <w:pPr>
              <w:pStyle w:val="Tabletext"/>
              <w:rPr>
                <w:rFonts w:cs="Arial"/>
                <w:bCs/>
                <w:iCs/>
                <w:color w:val="AEC12D"/>
                <w:sz w:val="32"/>
                <w:szCs w:val="28"/>
              </w:rPr>
            </w:pPr>
            <w:r w:rsidRPr="00FF5320">
              <w:t>19.4</w:t>
            </w:r>
          </w:p>
        </w:tc>
        <w:tc>
          <w:tcPr>
            <w:tcW w:w="975" w:type="dxa"/>
            <w:tcBorders>
              <w:top w:val="single" w:sz="4" w:space="0" w:color="005A97"/>
              <w:left w:val="single" w:sz="4" w:space="0" w:color="005A97"/>
              <w:bottom w:val="single" w:sz="4" w:space="0" w:color="005A97"/>
              <w:right w:val="single" w:sz="4" w:space="0" w:color="005A97"/>
            </w:tcBorders>
            <w:noWrap/>
            <w:hideMark/>
          </w:tcPr>
          <w:p w14:paraId="736A3CE0" w14:textId="77777777" w:rsidR="00FC4056" w:rsidRPr="00FF5320" w:rsidRDefault="00FC4056" w:rsidP="00676DA0">
            <w:pPr>
              <w:pStyle w:val="Tabletext"/>
              <w:rPr>
                <w:rFonts w:cs="Arial"/>
                <w:bCs/>
                <w:iCs/>
                <w:color w:val="AEC12D"/>
                <w:sz w:val="32"/>
                <w:szCs w:val="28"/>
              </w:rPr>
            </w:pPr>
            <w:r w:rsidRPr="00FF5320">
              <w:t>23.0</w:t>
            </w:r>
          </w:p>
        </w:tc>
        <w:tc>
          <w:tcPr>
            <w:tcW w:w="974" w:type="dxa"/>
            <w:tcBorders>
              <w:top w:val="single" w:sz="4" w:space="0" w:color="005A97"/>
              <w:left w:val="single" w:sz="4" w:space="0" w:color="005A97"/>
              <w:bottom w:val="single" w:sz="4" w:space="0" w:color="005A97"/>
              <w:right w:val="single" w:sz="4" w:space="0" w:color="005A97"/>
            </w:tcBorders>
            <w:noWrap/>
            <w:hideMark/>
          </w:tcPr>
          <w:p w14:paraId="4DAE514A" w14:textId="77777777" w:rsidR="00FC4056" w:rsidRPr="00FF5320" w:rsidRDefault="00FC4056" w:rsidP="00676DA0">
            <w:pPr>
              <w:pStyle w:val="Tabletext"/>
              <w:rPr>
                <w:rFonts w:cs="Arial"/>
                <w:bCs/>
                <w:iCs/>
                <w:color w:val="AEC12D"/>
                <w:sz w:val="32"/>
                <w:szCs w:val="28"/>
              </w:rPr>
            </w:pPr>
            <w:r w:rsidRPr="00FF5320">
              <w:t>55.5</w:t>
            </w:r>
          </w:p>
        </w:tc>
        <w:tc>
          <w:tcPr>
            <w:tcW w:w="975" w:type="dxa"/>
            <w:tcBorders>
              <w:top w:val="single" w:sz="4" w:space="0" w:color="005A97"/>
              <w:left w:val="single" w:sz="4" w:space="0" w:color="005A97"/>
              <w:bottom w:val="single" w:sz="4" w:space="0" w:color="005A97"/>
              <w:right w:val="single" w:sz="4" w:space="0" w:color="FFFFFF"/>
            </w:tcBorders>
            <w:noWrap/>
            <w:hideMark/>
          </w:tcPr>
          <w:p w14:paraId="33715DB9" w14:textId="77777777" w:rsidR="00FC4056" w:rsidRPr="00FF5320" w:rsidRDefault="00FC4056" w:rsidP="00676DA0">
            <w:pPr>
              <w:pStyle w:val="Tabletext"/>
              <w:rPr>
                <w:rFonts w:cs="Arial"/>
                <w:bCs/>
                <w:iCs/>
                <w:color w:val="AEC12D"/>
                <w:sz w:val="32"/>
                <w:szCs w:val="28"/>
              </w:rPr>
            </w:pPr>
            <w:r w:rsidRPr="00FF5320">
              <w:t>37.8</w:t>
            </w:r>
          </w:p>
        </w:tc>
      </w:tr>
      <w:tr w:rsidR="00FC4056" w:rsidRPr="00FF5320" w14:paraId="2D85B1AA"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760FB820" w14:textId="77777777" w:rsidR="00FC4056" w:rsidRPr="00FF5320" w:rsidRDefault="00FC4056" w:rsidP="00676DA0">
            <w:pPr>
              <w:pStyle w:val="Tabletext"/>
            </w:pPr>
            <w:r w:rsidRPr="00FF5320">
              <w:rPr>
                <w:b/>
                <w:bCs/>
              </w:rPr>
              <w:t>Aq112</w:t>
            </w:r>
          </w:p>
        </w:tc>
        <w:tc>
          <w:tcPr>
            <w:tcW w:w="974" w:type="dxa"/>
            <w:tcBorders>
              <w:top w:val="single" w:sz="4" w:space="0" w:color="005A97"/>
              <w:left w:val="single" w:sz="4" w:space="0" w:color="005A97"/>
              <w:bottom w:val="single" w:sz="4" w:space="0" w:color="005A97"/>
              <w:right w:val="single" w:sz="4" w:space="0" w:color="005A97"/>
            </w:tcBorders>
            <w:noWrap/>
            <w:hideMark/>
          </w:tcPr>
          <w:p w14:paraId="54179836"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283741BC"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6AE19546"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6B287F4F"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0BA8F4A9"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6BBEADB7"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0D1B39C6"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FFFFFF"/>
            </w:tcBorders>
            <w:noWrap/>
            <w:hideMark/>
          </w:tcPr>
          <w:p w14:paraId="688410CF" w14:textId="77777777" w:rsidR="00FC4056" w:rsidRPr="00FF5320" w:rsidRDefault="00FC4056" w:rsidP="00676DA0">
            <w:pPr>
              <w:pStyle w:val="Tabletext"/>
            </w:pPr>
          </w:p>
        </w:tc>
      </w:tr>
      <w:tr w:rsidR="00FC4056" w:rsidRPr="00FF5320" w14:paraId="4BDA290B"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7CFD7FC6"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Aq111</w:t>
            </w:r>
          </w:p>
        </w:tc>
        <w:tc>
          <w:tcPr>
            <w:tcW w:w="974" w:type="dxa"/>
            <w:tcBorders>
              <w:top w:val="single" w:sz="4" w:space="0" w:color="005A97"/>
              <w:left w:val="single" w:sz="4" w:space="0" w:color="005A97"/>
              <w:bottom w:val="single" w:sz="4" w:space="0" w:color="005A97"/>
              <w:right w:val="single" w:sz="4" w:space="0" w:color="005A97"/>
            </w:tcBorders>
            <w:noWrap/>
            <w:hideMark/>
          </w:tcPr>
          <w:p w14:paraId="241BD7E7"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5B366DE4"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5222ADC7"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17717EFE"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782185A0"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005A97"/>
            </w:tcBorders>
            <w:noWrap/>
            <w:hideMark/>
          </w:tcPr>
          <w:p w14:paraId="39104389" w14:textId="77777777" w:rsidR="00FC4056" w:rsidRPr="00FF5320" w:rsidRDefault="00FC4056" w:rsidP="00676DA0">
            <w:pPr>
              <w:pStyle w:val="Tabletext"/>
            </w:pPr>
          </w:p>
        </w:tc>
        <w:tc>
          <w:tcPr>
            <w:tcW w:w="974" w:type="dxa"/>
            <w:tcBorders>
              <w:top w:val="single" w:sz="4" w:space="0" w:color="005A97"/>
              <w:left w:val="single" w:sz="4" w:space="0" w:color="005A97"/>
              <w:bottom w:val="single" w:sz="4" w:space="0" w:color="005A97"/>
              <w:right w:val="single" w:sz="4" w:space="0" w:color="005A97"/>
            </w:tcBorders>
            <w:noWrap/>
            <w:hideMark/>
          </w:tcPr>
          <w:p w14:paraId="3FFBB4B6" w14:textId="77777777" w:rsidR="00FC4056" w:rsidRPr="00FF5320" w:rsidRDefault="00FC4056" w:rsidP="00676DA0">
            <w:pPr>
              <w:pStyle w:val="Tabletext"/>
            </w:pPr>
          </w:p>
        </w:tc>
        <w:tc>
          <w:tcPr>
            <w:tcW w:w="975" w:type="dxa"/>
            <w:tcBorders>
              <w:top w:val="single" w:sz="4" w:space="0" w:color="005A97"/>
              <w:left w:val="single" w:sz="4" w:space="0" w:color="005A97"/>
              <w:bottom w:val="single" w:sz="4" w:space="0" w:color="005A97"/>
              <w:right w:val="single" w:sz="4" w:space="0" w:color="FFFFFF"/>
            </w:tcBorders>
            <w:noWrap/>
            <w:hideMark/>
          </w:tcPr>
          <w:p w14:paraId="36509112" w14:textId="77777777" w:rsidR="00FC4056" w:rsidRPr="00FF5320" w:rsidRDefault="00FC4056" w:rsidP="00676DA0">
            <w:pPr>
              <w:pStyle w:val="Tabletext"/>
            </w:pPr>
          </w:p>
        </w:tc>
      </w:tr>
      <w:tr w:rsidR="00FC4056" w:rsidRPr="00FF5320" w14:paraId="247A1B49"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0B656C1B"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Sherbrook 113</w:t>
            </w:r>
          </w:p>
        </w:tc>
        <w:tc>
          <w:tcPr>
            <w:tcW w:w="974" w:type="dxa"/>
            <w:tcBorders>
              <w:top w:val="single" w:sz="4" w:space="0" w:color="005A97"/>
              <w:left w:val="single" w:sz="4" w:space="0" w:color="005A97"/>
              <w:bottom w:val="single" w:sz="4" w:space="0" w:color="005A97"/>
              <w:right w:val="single" w:sz="4" w:space="0" w:color="005A97"/>
            </w:tcBorders>
            <w:noWrap/>
            <w:hideMark/>
          </w:tcPr>
          <w:p w14:paraId="4CF10ADE" w14:textId="77777777" w:rsidR="00FC4056" w:rsidRPr="00FF5320" w:rsidRDefault="00FC4056" w:rsidP="00676DA0">
            <w:pPr>
              <w:pStyle w:val="Tabletext"/>
              <w:rPr>
                <w:rFonts w:cs="Arial"/>
                <w:bCs/>
                <w:iCs/>
                <w:color w:val="AEC12D"/>
                <w:sz w:val="32"/>
                <w:szCs w:val="28"/>
              </w:rPr>
            </w:pPr>
            <w:r w:rsidRPr="00FF5320">
              <w:t>-718.0</w:t>
            </w:r>
          </w:p>
        </w:tc>
        <w:tc>
          <w:tcPr>
            <w:tcW w:w="975" w:type="dxa"/>
            <w:tcBorders>
              <w:top w:val="single" w:sz="4" w:space="0" w:color="005A97"/>
              <w:left w:val="single" w:sz="4" w:space="0" w:color="005A97"/>
              <w:bottom w:val="single" w:sz="4" w:space="0" w:color="005A97"/>
              <w:right w:val="single" w:sz="4" w:space="0" w:color="005A97"/>
            </w:tcBorders>
            <w:noWrap/>
            <w:hideMark/>
          </w:tcPr>
          <w:p w14:paraId="563AD64A" w14:textId="77777777" w:rsidR="00FC4056" w:rsidRPr="00FF5320" w:rsidRDefault="00FC4056" w:rsidP="00676DA0">
            <w:pPr>
              <w:pStyle w:val="Tabletext"/>
              <w:rPr>
                <w:rFonts w:cs="Arial"/>
                <w:bCs/>
                <w:iCs/>
                <w:color w:val="AEC12D"/>
                <w:sz w:val="32"/>
                <w:szCs w:val="28"/>
              </w:rPr>
            </w:pPr>
            <w:r w:rsidRPr="00FF5320">
              <w:t>-410.9</w:t>
            </w:r>
          </w:p>
        </w:tc>
        <w:tc>
          <w:tcPr>
            <w:tcW w:w="974" w:type="dxa"/>
            <w:tcBorders>
              <w:top w:val="single" w:sz="4" w:space="0" w:color="005A97"/>
              <w:left w:val="single" w:sz="4" w:space="0" w:color="005A97"/>
              <w:bottom w:val="single" w:sz="4" w:space="0" w:color="005A97"/>
              <w:right w:val="single" w:sz="4" w:space="0" w:color="005A97"/>
            </w:tcBorders>
            <w:noWrap/>
            <w:hideMark/>
          </w:tcPr>
          <w:p w14:paraId="2A3BC773" w14:textId="77777777" w:rsidR="00FC4056" w:rsidRPr="00FF5320" w:rsidRDefault="00FC4056" w:rsidP="00676DA0">
            <w:pPr>
              <w:pStyle w:val="Tabletext"/>
              <w:rPr>
                <w:rFonts w:cs="Arial"/>
                <w:bCs/>
                <w:iCs/>
                <w:color w:val="AEC12D"/>
                <w:sz w:val="32"/>
                <w:szCs w:val="28"/>
              </w:rPr>
            </w:pPr>
            <w:r w:rsidRPr="00FF5320">
              <w:t>-110.5</w:t>
            </w:r>
          </w:p>
        </w:tc>
        <w:tc>
          <w:tcPr>
            <w:tcW w:w="975" w:type="dxa"/>
            <w:tcBorders>
              <w:top w:val="single" w:sz="4" w:space="0" w:color="005A97"/>
              <w:left w:val="single" w:sz="4" w:space="0" w:color="005A97"/>
              <w:bottom w:val="single" w:sz="4" w:space="0" w:color="005A97"/>
              <w:right w:val="single" w:sz="4" w:space="0" w:color="005A97"/>
            </w:tcBorders>
            <w:noWrap/>
            <w:hideMark/>
          </w:tcPr>
          <w:p w14:paraId="525F5633" w14:textId="77777777" w:rsidR="00FC4056" w:rsidRPr="00FF5320" w:rsidRDefault="00FC4056" w:rsidP="00676DA0">
            <w:pPr>
              <w:pStyle w:val="Tabletext"/>
              <w:rPr>
                <w:rFonts w:cs="Arial"/>
                <w:bCs/>
                <w:iCs/>
                <w:color w:val="AEC12D"/>
                <w:sz w:val="32"/>
                <w:szCs w:val="28"/>
              </w:rPr>
            </w:pPr>
            <w:r w:rsidRPr="00FF5320">
              <w:t>-772.7</w:t>
            </w:r>
          </w:p>
        </w:tc>
        <w:tc>
          <w:tcPr>
            <w:tcW w:w="974" w:type="dxa"/>
            <w:tcBorders>
              <w:top w:val="single" w:sz="4" w:space="0" w:color="005A97"/>
              <w:left w:val="single" w:sz="4" w:space="0" w:color="005A97"/>
              <w:bottom w:val="single" w:sz="4" w:space="0" w:color="005A97"/>
              <w:right w:val="single" w:sz="4" w:space="0" w:color="005A97"/>
            </w:tcBorders>
            <w:noWrap/>
            <w:hideMark/>
          </w:tcPr>
          <w:p w14:paraId="2E7AD10C" w14:textId="77777777" w:rsidR="00FC4056" w:rsidRPr="00FF5320" w:rsidRDefault="00FC4056" w:rsidP="00676DA0">
            <w:pPr>
              <w:pStyle w:val="Tabletext"/>
              <w:rPr>
                <w:rFonts w:cs="Arial"/>
                <w:bCs/>
                <w:iCs/>
                <w:color w:val="AEC12D"/>
                <w:sz w:val="32"/>
                <w:szCs w:val="28"/>
              </w:rPr>
            </w:pPr>
            <w:r w:rsidRPr="00FF5320">
              <w:t>-686.4</w:t>
            </w:r>
          </w:p>
        </w:tc>
        <w:tc>
          <w:tcPr>
            <w:tcW w:w="975" w:type="dxa"/>
            <w:tcBorders>
              <w:top w:val="single" w:sz="4" w:space="0" w:color="005A97"/>
              <w:left w:val="single" w:sz="4" w:space="0" w:color="005A97"/>
              <w:bottom w:val="single" w:sz="4" w:space="0" w:color="005A97"/>
              <w:right w:val="single" w:sz="4" w:space="0" w:color="005A97"/>
            </w:tcBorders>
            <w:noWrap/>
            <w:hideMark/>
          </w:tcPr>
          <w:p w14:paraId="38B29021" w14:textId="77777777" w:rsidR="00FC4056" w:rsidRPr="00FF5320" w:rsidRDefault="00FC4056" w:rsidP="00676DA0">
            <w:pPr>
              <w:pStyle w:val="Tabletext"/>
              <w:rPr>
                <w:rFonts w:cs="Arial"/>
                <w:bCs/>
                <w:iCs/>
                <w:color w:val="AEC12D"/>
                <w:sz w:val="32"/>
                <w:szCs w:val="28"/>
              </w:rPr>
            </w:pPr>
            <w:r w:rsidRPr="00FF5320">
              <w:t>-375.2</w:t>
            </w:r>
          </w:p>
        </w:tc>
        <w:tc>
          <w:tcPr>
            <w:tcW w:w="974" w:type="dxa"/>
            <w:tcBorders>
              <w:top w:val="single" w:sz="4" w:space="0" w:color="005A97"/>
              <w:left w:val="single" w:sz="4" w:space="0" w:color="005A97"/>
              <w:bottom w:val="single" w:sz="4" w:space="0" w:color="005A97"/>
              <w:right w:val="single" w:sz="4" w:space="0" w:color="005A97"/>
            </w:tcBorders>
            <w:noWrap/>
            <w:hideMark/>
          </w:tcPr>
          <w:p w14:paraId="35500281" w14:textId="77777777" w:rsidR="00FC4056" w:rsidRPr="00FF5320" w:rsidRDefault="00FC4056" w:rsidP="00676DA0">
            <w:pPr>
              <w:pStyle w:val="Tabletext"/>
              <w:rPr>
                <w:rFonts w:cs="Arial"/>
                <w:bCs/>
                <w:iCs/>
                <w:color w:val="AEC12D"/>
                <w:sz w:val="32"/>
                <w:szCs w:val="28"/>
              </w:rPr>
            </w:pPr>
            <w:r w:rsidRPr="00FF5320">
              <w:t>-94.3</w:t>
            </w:r>
          </w:p>
        </w:tc>
        <w:tc>
          <w:tcPr>
            <w:tcW w:w="975" w:type="dxa"/>
            <w:tcBorders>
              <w:top w:val="single" w:sz="4" w:space="0" w:color="005A97"/>
              <w:left w:val="single" w:sz="4" w:space="0" w:color="005A97"/>
              <w:bottom w:val="single" w:sz="4" w:space="0" w:color="005A97"/>
              <w:right w:val="single" w:sz="4" w:space="0" w:color="FFFFFF"/>
            </w:tcBorders>
            <w:noWrap/>
            <w:hideMark/>
          </w:tcPr>
          <w:p w14:paraId="597CD166" w14:textId="77777777" w:rsidR="00FC4056" w:rsidRPr="00FF5320" w:rsidRDefault="00FC4056" w:rsidP="00676DA0">
            <w:pPr>
              <w:pStyle w:val="Tabletext"/>
              <w:rPr>
                <w:rFonts w:cs="Arial"/>
                <w:bCs/>
                <w:iCs/>
                <w:color w:val="AEC12D"/>
                <w:sz w:val="32"/>
                <w:szCs w:val="28"/>
              </w:rPr>
            </w:pPr>
            <w:r w:rsidRPr="00FF5320">
              <w:t>-527.3</w:t>
            </w:r>
          </w:p>
        </w:tc>
      </w:tr>
      <w:tr w:rsidR="00FC4056" w:rsidRPr="00FF5320" w14:paraId="644EB49E" w14:textId="77777777" w:rsidTr="00622CCD">
        <w:trPr>
          <w:trHeight w:val="300"/>
        </w:trPr>
        <w:tc>
          <w:tcPr>
            <w:tcW w:w="1843" w:type="dxa"/>
            <w:tcBorders>
              <w:top w:val="single" w:sz="4" w:space="0" w:color="005A97"/>
              <w:left w:val="single" w:sz="4" w:space="0" w:color="FFFFFF"/>
              <w:bottom w:val="single" w:sz="4" w:space="0" w:color="005A97"/>
              <w:right w:val="single" w:sz="4" w:space="0" w:color="005A97"/>
            </w:tcBorders>
            <w:noWrap/>
            <w:hideMark/>
          </w:tcPr>
          <w:p w14:paraId="7B758234" w14:textId="77777777" w:rsidR="00FC4056" w:rsidRPr="00FF5320" w:rsidRDefault="00FC4056" w:rsidP="00676DA0">
            <w:pPr>
              <w:pStyle w:val="Tabletext"/>
              <w:rPr>
                <w:rFonts w:eastAsiaTheme="majorEastAsia" w:cstheme="majorBidi"/>
                <w:color w:val="0079CD" w:themeColor="text1" w:themeTint="D8"/>
                <w:sz w:val="21"/>
                <w:szCs w:val="21"/>
              </w:rPr>
            </w:pPr>
            <w:r w:rsidRPr="00FF5320">
              <w:rPr>
                <w:b/>
                <w:bCs/>
              </w:rPr>
              <w:t>Source Unit</w:t>
            </w:r>
          </w:p>
        </w:tc>
        <w:tc>
          <w:tcPr>
            <w:tcW w:w="974" w:type="dxa"/>
            <w:tcBorders>
              <w:top w:val="single" w:sz="4" w:space="0" w:color="005A97"/>
              <w:left w:val="single" w:sz="4" w:space="0" w:color="005A97"/>
              <w:bottom w:val="single" w:sz="4" w:space="0" w:color="005A97"/>
              <w:right w:val="single" w:sz="4" w:space="0" w:color="005A97"/>
            </w:tcBorders>
            <w:noWrap/>
            <w:hideMark/>
          </w:tcPr>
          <w:p w14:paraId="6610F80E" w14:textId="77777777" w:rsidR="00FC4056" w:rsidRPr="00FF5320" w:rsidRDefault="00FC4056" w:rsidP="00676DA0">
            <w:pPr>
              <w:pStyle w:val="Tabletext"/>
              <w:rPr>
                <w:rFonts w:cs="Arial"/>
                <w:bCs/>
                <w:iCs/>
                <w:color w:val="AEC12D"/>
                <w:sz w:val="32"/>
                <w:szCs w:val="28"/>
              </w:rPr>
            </w:pPr>
            <w:r w:rsidRPr="00FF5320">
              <w:t>-2792.0</w:t>
            </w:r>
          </w:p>
        </w:tc>
        <w:tc>
          <w:tcPr>
            <w:tcW w:w="975" w:type="dxa"/>
            <w:tcBorders>
              <w:top w:val="single" w:sz="4" w:space="0" w:color="005A97"/>
              <w:left w:val="single" w:sz="4" w:space="0" w:color="005A97"/>
              <w:bottom w:val="single" w:sz="4" w:space="0" w:color="005A97"/>
              <w:right w:val="single" w:sz="4" w:space="0" w:color="005A97"/>
            </w:tcBorders>
            <w:noWrap/>
            <w:hideMark/>
          </w:tcPr>
          <w:p w14:paraId="340911F8" w14:textId="77777777" w:rsidR="00FC4056" w:rsidRPr="00FF5320" w:rsidRDefault="00FC4056" w:rsidP="00676DA0">
            <w:pPr>
              <w:pStyle w:val="Tabletext"/>
              <w:rPr>
                <w:rFonts w:cs="Arial"/>
                <w:bCs/>
                <w:iCs/>
                <w:color w:val="AEC12D"/>
                <w:sz w:val="32"/>
                <w:szCs w:val="28"/>
              </w:rPr>
            </w:pPr>
            <w:r w:rsidRPr="00FF5320">
              <w:t>-2551.0</w:t>
            </w:r>
          </w:p>
        </w:tc>
        <w:tc>
          <w:tcPr>
            <w:tcW w:w="974" w:type="dxa"/>
            <w:tcBorders>
              <w:top w:val="single" w:sz="4" w:space="0" w:color="005A97"/>
              <w:left w:val="single" w:sz="4" w:space="0" w:color="005A97"/>
              <w:bottom w:val="single" w:sz="4" w:space="0" w:color="005A97"/>
              <w:right w:val="single" w:sz="4" w:space="0" w:color="005A97"/>
            </w:tcBorders>
            <w:noWrap/>
            <w:hideMark/>
          </w:tcPr>
          <w:p w14:paraId="5B032B9D" w14:textId="77777777" w:rsidR="00FC4056" w:rsidRPr="00FF5320" w:rsidRDefault="00FC4056" w:rsidP="00676DA0">
            <w:pPr>
              <w:pStyle w:val="Tabletext"/>
              <w:rPr>
                <w:rFonts w:cs="Arial"/>
                <w:bCs/>
                <w:iCs/>
                <w:color w:val="AEC12D"/>
                <w:sz w:val="32"/>
                <w:szCs w:val="28"/>
              </w:rPr>
            </w:pPr>
            <w:r w:rsidRPr="00FF5320">
              <w:t>-1389.0</w:t>
            </w:r>
          </w:p>
        </w:tc>
        <w:tc>
          <w:tcPr>
            <w:tcW w:w="975" w:type="dxa"/>
            <w:tcBorders>
              <w:top w:val="single" w:sz="4" w:space="0" w:color="005A97"/>
              <w:left w:val="single" w:sz="4" w:space="0" w:color="005A97"/>
              <w:bottom w:val="single" w:sz="4" w:space="0" w:color="005A97"/>
              <w:right w:val="single" w:sz="4" w:space="0" w:color="005A97"/>
            </w:tcBorders>
            <w:noWrap/>
            <w:hideMark/>
          </w:tcPr>
          <w:p w14:paraId="23ACFBAE" w14:textId="77777777" w:rsidR="00FC4056" w:rsidRPr="00FF5320" w:rsidRDefault="00FC4056" w:rsidP="00676DA0">
            <w:pPr>
              <w:pStyle w:val="Tabletext"/>
              <w:rPr>
                <w:rFonts w:cs="Arial"/>
                <w:bCs/>
                <w:iCs/>
                <w:color w:val="AEC12D"/>
                <w:sz w:val="32"/>
                <w:szCs w:val="28"/>
              </w:rPr>
            </w:pPr>
            <w:r w:rsidRPr="00FF5320">
              <w:t>-2916.0</w:t>
            </w:r>
          </w:p>
        </w:tc>
        <w:tc>
          <w:tcPr>
            <w:tcW w:w="974" w:type="dxa"/>
            <w:tcBorders>
              <w:top w:val="single" w:sz="4" w:space="0" w:color="005A97"/>
              <w:left w:val="single" w:sz="4" w:space="0" w:color="005A97"/>
              <w:bottom w:val="single" w:sz="4" w:space="0" w:color="005A97"/>
              <w:right w:val="single" w:sz="4" w:space="0" w:color="005A97"/>
            </w:tcBorders>
            <w:noWrap/>
            <w:hideMark/>
          </w:tcPr>
          <w:p w14:paraId="3E400D4A" w14:textId="77777777" w:rsidR="00FC4056" w:rsidRPr="00FF5320" w:rsidRDefault="00FC4056" w:rsidP="00676DA0">
            <w:pPr>
              <w:pStyle w:val="Tabletext"/>
              <w:rPr>
                <w:rFonts w:cs="Arial"/>
                <w:bCs/>
                <w:iCs/>
                <w:color w:val="AEC12D"/>
                <w:sz w:val="32"/>
                <w:szCs w:val="28"/>
              </w:rPr>
            </w:pPr>
            <w:r w:rsidRPr="00FF5320">
              <w:t>-2941.0</w:t>
            </w:r>
          </w:p>
        </w:tc>
        <w:tc>
          <w:tcPr>
            <w:tcW w:w="975" w:type="dxa"/>
            <w:tcBorders>
              <w:top w:val="single" w:sz="4" w:space="0" w:color="005A97"/>
              <w:left w:val="single" w:sz="4" w:space="0" w:color="005A97"/>
              <w:bottom w:val="single" w:sz="4" w:space="0" w:color="005A97"/>
              <w:right w:val="single" w:sz="4" w:space="0" w:color="005A97"/>
            </w:tcBorders>
            <w:noWrap/>
            <w:hideMark/>
          </w:tcPr>
          <w:p w14:paraId="3A4AA9DF" w14:textId="77777777" w:rsidR="00FC4056" w:rsidRPr="00FF5320" w:rsidRDefault="00FC4056" w:rsidP="00676DA0">
            <w:pPr>
              <w:pStyle w:val="Tabletext"/>
              <w:rPr>
                <w:rFonts w:cs="Arial"/>
                <w:bCs/>
                <w:iCs/>
                <w:color w:val="AEC12D"/>
                <w:sz w:val="32"/>
                <w:szCs w:val="28"/>
              </w:rPr>
            </w:pPr>
            <w:r w:rsidRPr="00FF5320">
              <w:t>-1413.3</w:t>
            </w:r>
          </w:p>
        </w:tc>
        <w:tc>
          <w:tcPr>
            <w:tcW w:w="974" w:type="dxa"/>
            <w:tcBorders>
              <w:top w:val="single" w:sz="4" w:space="0" w:color="005A97"/>
              <w:left w:val="single" w:sz="4" w:space="0" w:color="005A97"/>
              <w:bottom w:val="single" w:sz="4" w:space="0" w:color="005A97"/>
              <w:right w:val="single" w:sz="4" w:space="0" w:color="005A97"/>
            </w:tcBorders>
            <w:noWrap/>
            <w:hideMark/>
          </w:tcPr>
          <w:p w14:paraId="5D63AF9E" w14:textId="77777777" w:rsidR="00FC4056" w:rsidRPr="00FF5320" w:rsidRDefault="00FC4056" w:rsidP="00676DA0">
            <w:pPr>
              <w:pStyle w:val="Tabletext"/>
              <w:rPr>
                <w:rFonts w:cs="Arial"/>
                <w:bCs/>
                <w:iCs/>
                <w:color w:val="AEC12D"/>
                <w:sz w:val="32"/>
                <w:szCs w:val="28"/>
              </w:rPr>
            </w:pPr>
            <w:r w:rsidRPr="00FF5320">
              <w:t>-1282.6</w:t>
            </w:r>
          </w:p>
        </w:tc>
        <w:tc>
          <w:tcPr>
            <w:tcW w:w="975" w:type="dxa"/>
            <w:tcBorders>
              <w:top w:val="single" w:sz="4" w:space="0" w:color="005A97"/>
              <w:left w:val="single" w:sz="4" w:space="0" w:color="005A97"/>
              <w:bottom w:val="single" w:sz="4" w:space="0" w:color="005A97"/>
              <w:right w:val="single" w:sz="4" w:space="0" w:color="FFFFFF"/>
            </w:tcBorders>
            <w:noWrap/>
            <w:hideMark/>
          </w:tcPr>
          <w:p w14:paraId="545537E8" w14:textId="77777777" w:rsidR="00FC4056" w:rsidRPr="00FF5320" w:rsidRDefault="00FC4056" w:rsidP="00676DA0">
            <w:pPr>
              <w:pStyle w:val="Tabletext"/>
              <w:rPr>
                <w:rFonts w:cs="Arial"/>
                <w:bCs/>
                <w:iCs/>
                <w:color w:val="AEC12D"/>
                <w:sz w:val="32"/>
                <w:szCs w:val="28"/>
              </w:rPr>
            </w:pPr>
            <w:r w:rsidRPr="00FF5320">
              <w:t>-1547.8</w:t>
            </w:r>
          </w:p>
        </w:tc>
      </w:tr>
    </w:tbl>
    <w:p w14:paraId="3A73FC79" w14:textId="77777777" w:rsidR="00FC4056" w:rsidRDefault="00FC4056"/>
    <w:p w14:paraId="3F2F80FB" w14:textId="77777777" w:rsidR="002C0A7E" w:rsidRDefault="002C0A7E">
      <w:pPr>
        <w:sectPr w:rsidR="002C0A7E" w:rsidSect="00CF4178">
          <w:pgSz w:w="11906" w:h="16838" w:code="9"/>
          <w:pgMar w:top="2268" w:right="1134" w:bottom="1276" w:left="1134" w:header="567" w:footer="567" w:gutter="0"/>
          <w:cols w:space="708"/>
          <w:titlePg/>
          <w:docGrid w:linePitch="360"/>
        </w:sectPr>
      </w:pPr>
    </w:p>
    <w:p w14:paraId="0EA97717" w14:textId="318A479B" w:rsidR="00FC4056" w:rsidRDefault="00165212" w:rsidP="00622CCD">
      <w:pPr>
        <w:pStyle w:val="Tableheading"/>
      </w:pPr>
      <w:r>
        <w:t>Table BB2 – Parameters for block model structure for c</w:t>
      </w:r>
      <w:r w:rsidR="00FC4056">
        <w:t>oal seam gas</w:t>
      </w:r>
    </w:p>
    <w:tbl>
      <w:tblPr>
        <w:tblStyle w:val="TableGrid"/>
        <w:tblW w:w="0" w:type="auto"/>
        <w:tblInd w:w="108" w:type="dxa"/>
        <w:tblLayout w:type="fixed"/>
        <w:tblLook w:val="04A0" w:firstRow="1" w:lastRow="0" w:firstColumn="1" w:lastColumn="0" w:noHBand="0" w:noVBand="1"/>
      </w:tblPr>
      <w:tblGrid>
        <w:gridCol w:w="2302"/>
        <w:gridCol w:w="1237"/>
        <w:gridCol w:w="1238"/>
        <w:gridCol w:w="1237"/>
        <w:gridCol w:w="1238"/>
        <w:gridCol w:w="1238"/>
        <w:gridCol w:w="1237"/>
        <w:gridCol w:w="1238"/>
        <w:gridCol w:w="1237"/>
        <w:gridCol w:w="1238"/>
        <w:gridCol w:w="1238"/>
      </w:tblGrid>
      <w:tr w:rsidR="00165212" w:rsidRPr="00622CCD" w14:paraId="2F3E655E" w14:textId="1963A236" w:rsidTr="008908A5">
        <w:trPr>
          <w:trHeight w:val="283"/>
        </w:trPr>
        <w:tc>
          <w:tcPr>
            <w:tcW w:w="2302" w:type="dxa"/>
            <w:tcBorders>
              <w:top w:val="nil"/>
              <w:left w:val="nil"/>
              <w:bottom w:val="nil"/>
              <w:right w:val="single" w:sz="4" w:space="0" w:color="FFFFFF"/>
            </w:tcBorders>
            <w:shd w:val="clear" w:color="auto" w:fill="005A97"/>
            <w:noWrap/>
            <w:vAlign w:val="center"/>
          </w:tcPr>
          <w:p w14:paraId="164A6BA0" w14:textId="77777777" w:rsidR="00165212" w:rsidRPr="00622CCD" w:rsidRDefault="00165212" w:rsidP="008908A5">
            <w:pPr>
              <w:pStyle w:val="TableHeaderrow"/>
            </w:pPr>
          </w:p>
        </w:tc>
        <w:tc>
          <w:tcPr>
            <w:tcW w:w="12376" w:type="dxa"/>
            <w:gridSpan w:val="10"/>
            <w:tcBorders>
              <w:top w:val="nil"/>
              <w:left w:val="single" w:sz="4" w:space="0" w:color="FFFFFF"/>
              <w:bottom w:val="nil"/>
              <w:right w:val="nil"/>
            </w:tcBorders>
            <w:shd w:val="clear" w:color="auto" w:fill="005A97"/>
            <w:noWrap/>
            <w:vAlign w:val="center"/>
          </w:tcPr>
          <w:p w14:paraId="400F8A6E" w14:textId="77777777" w:rsidR="00165212" w:rsidRPr="00622CCD" w:rsidRDefault="00165212" w:rsidP="008908A5">
            <w:pPr>
              <w:pStyle w:val="TableHeaderrow"/>
            </w:pPr>
            <w:r w:rsidRPr="00622CCD">
              <w:t>Elevation of Top of Layer (m AHD)</w:t>
            </w:r>
          </w:p>
        </w:tc>
      </w:tr>
      <w:tr w:rsidR="00165212" w:rsidRPr="00E91D60" w14:paraId="616D24BB" w14:textId="630A6199" w:rsidTr="008908A5">
        <w:trPr>
          <w:trHeight w:val="283"/>
        </w:trPr>
        <w:tc>
          <w:tcPr>
            <w:tcW w:w="2302" w:type="dxa"/>
            <w:tcBorders>
              <w:top w:val="nil"/>
              <w:left w:val="nil"/>
              <w:bottom w:val="single" w:sz="4" w:space="0" w:color="005A97"/>
              <w:right w:val="single" w:sz="4" w:space="0" w:color="005A97"/>
            </w:tcBorders>
            <w:noWrap/>
            <w:vAlign w:val="center"/>
            <w:hideMark/>
          </w:tcPr>
          <w:p w14:paraId="07C3A4F6" w14:textId="77777777" w:rsidR="00165212" w:rsidRPr="00E91D60" w:rsidRDefault="00165212" w:rsidP="008908A5">
            <w:pPr>
              <w:pStyle w:val="Tabletext"/>
              <w:spacing w:before="20" w:after="20"/>
              <w:rPr>
                <w:rFonts w:eastAsiaTheme="majorEastAsia" w:cstheme="majorBidi"/>
                <w:b/>
                <w:color w:val="0079CD" w:themeColor="text1" w:themeTint="D8"/>
              </w:rPr>
            </w:pPr>
            <w:r w:rsidRPr="00E91D60">
              <w:rPr>
                <w:b/>
              </w:rPr>
              <w:t>Aquifer</w:t>
            </w:r>
          </w:p>
        </w:tc>
        <w:tc>
          <w:tcPr>
            <w:tcW w:w="1237" w:type="dxa"/>
            <w:tcBorders>
              <w:top w:val="nil"/>
              <w:left w:val="single" w:sz="4" w:space="0" w:color="005A97"/>
              <w:bottom w:val="single" w:sz="4" w:space="0" w:color="005A97"/>
              <w:right w:val="single" w:sz="4" w:space="0" w:color="005A97"/>
            </w:tcBorders>
            <w:noWrap/>
            <w:vAlign w:val="center"/>
            <w:hideMark/>
          </w:tcPr>
          <w:p w14:paraId="779C34BA" w14:textId="77777777" w:rsidR="00165212" w:rsidRPr="00E91D60" w:rsidRDefault="00165212" w:rsidP="008908A5">
            <w:pPr>
              <w:pStyle w:val="Tabletext"/>
              <w:spacing w:before="20" w:after="20"/>
              <w:rPr>
                <w:rFonts w:eastAsiaTheme="majorEastAsia" w:cstheme="majorBidi"/>
                <w:b/>
                <w:color w:val="0079CD" w:themeColor="text1" w:themeTint="D8"/>
              </w:rPr>
            </w:pPr>
            <w:r w:rsidRPr="00E91D60">
              <w:rPr>
                <w:b/>
              </w:rPr>
              <w:t>516</w:t>
            </w:r>
          </w:p>
        </w:tc>
        <w:tc>
          <w:tcPr>
            <w:tcW w:w="1238" w:type="dxa"/>
            <w:tcBorders>
              <w:top w:val="nil"/>
              <w:left w:val="single" w:sz="4" w:space="0" w:color="005A97"/>
              <w:bottom w:val="single" w:sz="4" w:space="0" w:color="005A97"/>
              <w:right w:val="single" w:sz="4" w:space="0" w:color="005A97"/>
            </w:tcBorders>
            <w:noWrap/>
            <w:vAlign w:val="center"/>
            <w:hideMark/>
          </w:tcPr>
          <w:p w14:paraId="3E9FA8B9" w14:textId="77777777" w:rsidR="00165212" w:rsidRPr="00E91D60" w:rsidRDefault="00165212" w:rsidP="008908A5">
            <w:pPr>
              <w:pStyle w:val="Tabletext"/>
              <w:spacing w:before="20" w:after="20"/>
              <w:rPr>
                <w:rFonts w:eastAsiaTheme="majorEastAsia" w:cstheme="majorBidi"/>
                <w:b/>
                <w:color w:val="0079CD" w:themeColor="text1" w:themeTint="D8"/>
              </w:rPr>
            </w:pPr>
            <w:r w:rsidRPr="00E91D60">
              <w:rPr>
                <w:b/>
              </w:rPr>
              <w:t>548</w:t>
            </w:r>
          </w:p>
        </w:tc>
        <w:tc>
          <w:tcPr>
            <w:tcW w:w="1237" w:type="dxa"/>
            <w:tcBorders>
              <w:top w:val="nil"/>
              <w:left w:val="single" w:sz="4" w:space="0" w:color="005A97"/>
              <w:bottom w:val="single" w:sz="4" w:space="0" w:color="005A97"/>
              <w:right w:val="single" w:sz="4" w:space="0" w:color="005A97"/>
            </w:tcBorders>
            <w:noWrap/>
            <w:vAlign w:val="center"/>
            <w:hideMark/>
          </w:tcPr>
          <w:p w14:paraId="0E18A34B" w14:textId="77777777" w:rsidR="00165212" w:rsidRPr="00E91D60" w:rsidRDefault="00165212" w:rsidP="008908A5">
            <w:pPr>
              <w:pStyle w:val="Tabletext"/>
              <w:spacing w:before="20" w:after="20"/>
              <w:rPr>
                <w:rFonts w:eastAsiaTheme="majorEastAsia" w:cstheme="majorBidi"/>
                <w:b/>
                <w:color w:val="0079CD" w:themeColor="text1" w:themeTint="D8"/>
              </w:rPr>
            </w:pPr>
            <w:r w:rsidRPr="00E91D60">
              <w:rPr>
                <w:b/>
              </w:rPr>
              <w:t>549</w:t>
            </w:r>
          </w:p>
        </w:tc>
        <w:tc>
          <w:tcPr>
            <w:tcW w:w="1238" w:type="dxa"/>
            <w:tcBorders>
              <w:top w:val="nil"/>
              <w:left w:val="single" w:sz="4" w:space="0" w:color="005A97"/>
              <w:bottom w:val="single" w:sz="4" w:space="0" w:color="005A97"/>
              <w:right w:val="single" w:sz="4" w:space="0" w:color="005A97"/>
            </w:tcBorders>
            <w:noWrap/>
            <w:vAlign w:val="center"/>
            <w:hideMark/>
          </w:tcPr>
          <w:p w14:paraId="623D1ECE" w14:textId="77777777" w:rsidR="00165212" w:rsidRPr="00E91D60" w:rsidRDefault="00165212" w:rsidP="008908A5">
            <w:pPr>
              <w:pStyle w:val="Tabletext"/>
              <w:spacing w:before="20" w:after="20"/>
              <w:rPr>
                <w:rFonts w:eastAsiaTheme="majorEastAsia" w:cstheme="majorBidi"/>
                <w:b/>
                <w:color w:val="0079CD" w:themeColor="text1" w:themeTint="D8"/>
              </w:rPr>
            </w:pPr>
            <w:r w:rsidRPr="00E91D60">
              <w:rPr>
                <w:b/>
              </w:rPr>
              <w:t>227</w:t>
            </w:r>
          </w:p>
        </w:tc>
        <w:tc>
          <w:tcPr>
            <w:tcW w:w="1238" w:type="dxa"/>
            <w:tcBorders>
              <w:top w:val="nil"/>
              <w:left w:val="single" w:sz="4" w:space="0" w:color="005A97"/>
              <w:bottom w:val="single" w:sz="4" w:space="0" w:color="005A97"/>
              <w:right w:val="single" w:sz="4" w:space="0" w:color="005A97"/>
            </w:tcBorders>
            <w:noWrap/>
            <w:vAlign w:val="center"/>
            <w:hideMark/>
          </w:tcPr>
          <w:p w14:paraId="5DD3A544" w14:textId="77777777" w:rsidR="00165212" w:rsidRPr="00E91D60" w:rsidRDefault="00165212" w:rsidP="008908A5">
            <w:pPr>
              <w:pStyle w:val="Tabletext"/>
              <w:spacing w:before="20" w:after="20"/>
              <w:rPr>
                <w:rFonts w:eastAsiaTheme="majorEastAsia" w:cstheme="majorBidi"/>
                <w:b/>
                <w:color w:val="0079CD" w:themeColor="text1" w:themeTint="D8"/>
              </w:rPr>
            </w:pPr>
            <w:r w:rsidRPr="00E91D60">
              <w:rPr>
                <w:b/>
              </w:rPr>
              <w:t>260</w:t>
            </w:r>
          </w:p>
        </w:tc>
        <w:tc>
          <w:tcPr>
            <w:tcW w:w="1237" w:type="dxa"/>
            <w:tcBorders>
              <w:top w:val="nil"/>
              <w:left w:val="single" w:sz="4" w:space="0" w:color="005A97"/>
              <w:bottom w:val="single" w:sz="4" w:space="0" w:color="005A97"/>
              <w:right w:val="single" w:sz="4" w:space="0" w:color="005A97"/>
            </w:tcBorders>
            <w:noWrap/>
            <w:vAlign w:val="center"/>
            <w:hideMark/>
          </w:tcPr>
          <w:p w14:paraId="1B781924" w14:textId="77777777" w:rsidR="00165212" w:rsidRPr="00E91D60" w:rsidRDefault="00165212" w:rsidP="008908A5">
            <w:pPr>
              <w:pStyle w:val="Tabletext"/>
              <w:spacing w:before="20" w:after="20"/>
              <w:rPr>
                <w:rFonts w:eastAsiaTheme="majorEastAsia" w:cstheme="majorBidi"/>
                <w:b/>
                <w:color w:val="0079CD" w:themeColor="text1" w:themeTint="D8"/>
              </w:rPr>
            </w:pPr>
            <w:r w:rsidRPr="00E91D60">
              <w:rPr>
                <w:b/>
              </w:rPr>
              <w:t>261</w:t>
            </w:r>
          </w:p>
        </w:tc>
        <w:tc>
          <w:tcPr>
            <w:tcW w:w="1238" w:type="dxa"/>
            <w:tcBorders>
              <w:top w:val="nil"/>
              <w:left w:val="single" w:sz="4" w:space="0" w:color="005A97"/>
              <w:bottom w:val="single" w:sz="4" w:space="0" w:color="005A97"/>
              <w:right w:val="single" w:sz="4" w:space="0" w:color="005A97"/>
            </w:tcBorders>
            <w:noWrap/>
            <w:vAlign w:val="center"/>
            <w:hideMark/>
          </w:tcPr>
          <w:p w14:paraId="69694215" w14:textId="77777777" w:rsidR="00165212" w:rsidRPr="00E91D60" w:rsidRDefault="00165212" w:rsidP="008908A5">
            <w:pPr>
              <w:pStyle w:val="Tabletext"/>
              <w:spacing w:before="20" w:after="20"/>
              <w:rPr>
                <w:b/>
              </w:rPr>
            </w:pPr>
            <w:r w:rsidRPr="00E91D60">
              <w:rPr>
                <w:b/>
              </w:rPr>
              <w:t>262</w:t>
            </w:r>
          </w:p>
        </w:tc>
        <w:tc>
          <w:tcPr>
            <w:tcW w:w="1237" w:type="dxa"/>
            <w:tcBorders>
              <w:top w:val="nil"/>
              <w:left w:val="single" w:sz="4" w:space="0" w:color="005A97"/>
              <w:bottom w:val="single" w:sz="4" w:space="0" w:color="005A97"/>
              <w:right w:val="single" w:sz="4" w:space="0" w:color="005A97"/>
            </w:tcBorders>
            <w:noWrap/>
            <w:vAlign w:val="center"/>
            <w:hideMark/>
          </w:tcPr>
          <w:p w14:paraId="06190ED4" w14:textId="77777777" w:rsidR="00165212" w:rsidRPr="00E91D60" w:rsidRDefault="00165212" w:rsidP="008908A5">
            <w:pPr>
              <w:pStyle w:val="Tabletext"/>
              <w:spacing w:before="20" w:after="20"/>
              <w:rPr>
                <w:b/>
              </w:rPr>
            </w:pPr>
            <w:r w:rsidRPr="00E91D60">
              <w:rPr>
                <w:b/>
              </w:rPr>
              <w:t>263</w:t>
            </w:r>
          </w:p>
        </w:tc>
        <w:tc>
          <w:tcPr>
            <w:tcW w:w="1238" w:type="dxa"/>
            <w:tcBorders>
              <w:top w:val="nil"/>
              <w:left w:val="single" w:sz="4" w:space="0" w:color="005A97"/>
              <w:bottom w:val="single" w:sz="4" w:space="0" w:color="005A97"/>
              <w:right w:val="single" w:sz="4" w:space="0" w:color="005A97"/>
            </w:tcBorders>
            <w:noWrap/>
            <w:vAlign w:val="center"/>
            <w:hideMark/>
          </w:tcPr>
          <w:p w14:paraId="0A5A7D69" w14:textId="77777777" w:rsidR="00165212" w:rsidRPr="00E91D60" w:rsidRDefault="00165212" w:rsidP="008908A5">
            <w:pPr>
              <w:pStyle w:val="Tabletext"/>
              <w:spacing w:before="20" w:after="20"/>
              <w:rPr>
                <w:b/>
              </w:rPr>
            </w:pPr>
            <w:r w:rsidRPr="00E91D60">
              <w:rPr>
                <w:b/>
              </w:rPr>
              <w:t>288</w:t>
            </w:r>
          </w:p>
        </w:tc>
        <w:tc>
          <w:tcPr>
            <w:tcW w:w="1238" w:type="dxa"/>
            <w:tcBorders>
              <w:top w:val="nil"/>
              <w:left w:val="single" w:sz="4" w:space="0" w:color="005A97"/>
              <w:bottom w:val="single" w:sz="4" w:space="0" w:color="005A97"/>
              <w:right w:val="nil"/>
            </w:tcBorders>
            <w:noWrap/>
            <w:vAlign w:val="center"/>
            <w:hideMark/>
          </w:tcPr>
          <w:p w14:paraId="4C89E6EE" w14:textId="77777777" w:rsidR="00165212" w:rsidRPr="00E91D60" w:rsidRDefault="00165212" w:rsidP="008908A5">
            <w:pPr>
              <w:pStyle w:val="Tabletext"/>
              <w:spacing w:before="20" w:after="20"/>
              <w:rPr>
                <w:b/>
              </w:rPr>
            </w:pPr>
            <w:r w:rsidRPr="00E91D60">
              <w:rPr>
                <w:b/>
              </w:rPr>
              <w:t>296</w:t>
            </w:r>
          </w:p>
        </w:tc>
      </w:tr>
      <w:tr w:rsidR="00165212" w:rsidRPr="00D40FA7" w14:paraId="29392E6E" w14:textId="133E2B57"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332705D5" w14:textId="77777777" w:rsidR="00165212" w:rsidRPr="00E91D60" w:rsidRDefault="00165212" w:rsidP="008908A5">
            <w:pPr>
              <w:pStyle w:val="Tabletext"/>
              <w:spacing w:before="20" w:after="20"/>
              <w:rPr>
                <w:b/>
              </w:rPr>
            </w:pPr>
            <w:r w:rsidRPr="00E91D60">
              <w:rPr>
                <w:b/>
              </w:rPr>
              <w:t>Aq100,101,104</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7B17856E" w14:textId="77777777" w:rsidR="00165212" w:rsidRPr="00622CCD" w:rsidRDefault="00165212" w:rsidP="008908A5">
            <w:pPr>
              <w:pStyle w:val="Tabletext"/>
              <w:spacing w:before="20" w:after="20"/>
            </w:pPr>
            <w:r w:rsidRPr="00622CCD">
              <w:t>148.0</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5066D0FC" w14:textId="77777777" w:rsidR="00165212" w:rsidRPr="00622CCD" w:rsidRDefault="00165212" w:rsidP="008908A5">
            <w:pPr>
              <w:pStyle w:val="Tabletext"/>
              <w:spacing w:before="20" w:after="20"/>
            </w:pPr>
            <w:r w:rsidRPr="00622CCD">
              <w:t>103.2</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36C2F56" w14:textId="77777777" w:rsidR="00165212" w:rsidRPr="00622CCD" w:rsidRDefault="00165212" w:rsidP="008908A5">
            <w:pPr>
              <w:pStyle w:val="Tabletext"/>
              <w:spacing w:before="20" w:after="20"/>
            </w:pPr>
            <w:r w:rsidRPr="00622CCD">
              <w:t>130.2</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3860BD46" w14:textId="77777777" w:rsidR="00165212" w:rsidRPr="00622CCD" w:rsidRDefault="00165212" w:rsidP="008908A5">
            <w:pPr>
              <w:pStyle w:val="Tabletext"/>
              <w:spacing w:before="20" w:after="20"/>
            </w:pPr>
            <w:r w:rsidRPr="00622CCD">
              <w:t>150.0</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724A07C2" w14:textId="77777777" w:rsidR="00165212" w:rsidRPr="00622CCD" w:rsidRDefault="00165212" w:rsidP="008908A5">
            <w:pPr>
              <w:pStyle w:val="Tabletext"/>
              <w:spacing w:before="20" w:after="20"/>
            </w:pPr>
            <w:r w:rsidRPr="00622CCD">
              <w:t>139.8</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D189BCF" w14:textId="77777777" w:rsidR="00165212" w:rsidRPr="00622CCD" w:rsidRDefault="00165212" w:rsidP="008908A5">
            <w:pPr>
              <w:pStyle w:val="Tabletext"/>
              <w:spacing w:before="20" w:after="20"/>
            </w:pPr>
            <w:r w:rsidRPr="00622CCD">
              <w:t>155.7</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541E111D" w14:textId="77777777" w:rsidR="00165212" w:rsidRPr="00622CCD" w:rsidRDefault="00165212" w:rsidP="008908A5">
            <w:pPr>
              <w:pStyle w:val="Tabletext"/>
              <w:spacing w:before="20" w:after="20"/>
            </w:pPr>
            <w:r w:rsidRPr="00622CCD">
              <w:t>122.0</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2083793A" w14:textId="77777777" w:rsidR="00165212" w:rsidRPr="00622CCD" w:rsidRDefault="00165212" w:rsidP="008908A5">
            <w:pPr>
              <w:pStyle w:val="Tabletext"/>
              <w:spacing w:before="20" w:after="20"/>
            </w:pPr>
            <w:r w:rsidRPr="00622CCD">
              <w:t>127.4</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6ECE6AED" w14:textId="77777777" w:rsidR="00165212" w:rsidRPr="00622CCD" w:rsidRDefault="00165212" w:rsidP="008908A5">
            <w:pPr>
              <w:pStyle w:val="Tabletext"/>
              <w:spacing w:before="20" w:after="20"/>
            </w:pPr>
            <w:r w:rsidRPr="00622CCD">
              <w:t>83.3</w:t>
            </w:r>
          </w:p>
        </w:tc>
        <w:tc>
          <w:tcPr>
            <w:tcW w:w="1238" w:type="dxa"/>
            <w:tcBorders>
              <w:top w:val="single" w:sz="4" w:space="0" w:color="005A97"/>
              <w:left w:val="single" w:sz="4" w:space="0" w:color="005A97"/>
              <w:bottom w:val="single" w:sz="4" w:space="0" w:color="005A97"/>
              <w:right w:val="nil"/>
            </w:tcBorders>
            <w:noWrap/>
            <w:vAlign w:val="center"/>
          </w:tcPr>
          <w:p w14:paraId="7FE90386" w14:textId="77777777" w:rsidR="00165212" w:rsidRPr="00622CCD" w:rsidRDefault="00165212" w:rsidP="008908A5">
            <w:pPr>
              <w:pStyle w:val="Tabletext"/>
              <w:spacing w:before="20" w:after="20"/>
            </w:pPr>
            <w:r w:rsidRPr="00622CCD">
              <w:t>113.8</w:t>
            </w:r>
          </w:p>
        </w:tc>
      </w:tr>
      <w:tr w:rsidR="00165212" w:rsidRPr="00D40FA7" w14:paraId="0F08B759" w14:textId="5C3FE0B6"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11B70A74" w14:textId="6638417C" w:rsidR="00165212" w:rsidRPr="00E91D60" w:rsidRDefault="00165212" w:rsidP="008908A5">
            <w:pPr>
              <w:pStyle w:val="Tabletext"/>
              <w:spacing w:before="20" w:after="20"/>
              <w:rPr>
                <w:b/>
              </w:rPr>
            </w:pPr>
            <w:r w:rsidRPr="00E91D60">
              <w:rPr>
                <w:b/>
              </w:rPr>
              <w:t>Volcanics Basalts</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3618CB79"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7042B7CC"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4A91FAF4"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5D55476B"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2BA1B97A"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76553C7B"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3EFE3F9B"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3ADAFFFD"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7E9B6F36"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nil"/>
            </w:tcBorders>
            <w:noWrap/>
            <w:vAlign w:val="center"/>
          </w:tcPr>
          <w:p w14:paraId="2C0676CF" w14:textId="77777777" w:rsidR="00165212" w:rsidRPr="00622CCD" w:rsidRDefault="00165212" w:rsidP="008908A5">
            <w:pPr>
              <w:pStyle w:val="Tabletext"/>
              <w:spacing w:before="20" w:after="20"/>
            </w:pPr>
          </w:p>
        </w:tc>
      </w:tr>
      <w:tr w:rsidR="00165212" w:rsidRPr="00D40FA7" w14:paraId="3526566A" w14:textId="28B9B411"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5C6E8422" w14:textId="77777777" w:rsidR="00165212" w:rsidRPr="00E91D60" w:rsidRDefault="00165212" w:rsidP="008908A5">
            <w:pPr>
              <w:pStyle w:val="Tabletext"/>
              <w:spacing w:before="20" w:after="20"/>
              <w:rPr>
                <w:b/>
              </w:rPr>
            </w:pPr>
            <w:r w:rsidRPr="00E91D60">
              <w:rPr>
                <w:b/>
              </w:rPr>
              <w:t>Aq107</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6CFEC0A" w14:textId="77777777" w:rsidR="00165212" w:rsidRPr="00622CCD" w:rsidRDefault="00165212" w:rsidP="008908A5">
            <w:pPr>
              <w:pStyle w:val="Tabletext"/>
              <w:spacing w:before="20" w:after="20"/>
            </w:pPr>
            <w:r w:rsidRPr="00622CCD">
              <w:t>137.3</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419EED63" w14:textId="77777777" w:rsidR="00165212" w:rsidRPr="00622CCD" w:rsidRDefault="00165212" w:rsidP="008908A5">
            <w:pPr>
              <w:pStyle w:val="Tabletext"/>
              <w:spacing w:before="20" w:after="20"/>
            </w:pPr>
            <w:r w:rsidRPr="00622CCD">
              <w:t>103.3</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905B9D2" w14:textId="77777777" w:rsidR="00165212" w:rsidRPr="00622CCD" w:rsidRDefault="00165212" w:rsidP="008908A5">
            <w:pPr>
              <w:pStyle w:val="Tabletext"/>
              <w:spacing w:before="20" w:after="20"/>
            </w:pPr>
            <w:r w:rsidRPr="00622CCD">
              <w:t>124.5</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3BB67260"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614E927B" w14:textId="77777777" w:rsidR="00165212" w:rsidRPr="00622CCD" w:rsidRDefault="00165212" w:rsidP="008908A5">
            <w:pPr>
              <w:pStyle w:val="Tabletext"/>
              <w:spacing w:before="20" w:after="20"/>
            </w:pPr>
            <w:r w:rsidRPr="00622CCD">
              <w:t>81.3</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E566F13"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74EFDF13"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314DDE6E"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135AE579" w14:textId="77777777" w:rsidR="00165212" w:rsidRPr="00622CCD" w:rsidRDefault="00165212" w:rsidP="008908A5">
            <w:pPr>
              <w:pStyle w:val="Tabletext"/>
              <w:spacing w:before="20" w:after="20"/>
            </w:pPr>
            <w:r w:rsidRPr="00622CCD">
              <w:t>62.1</w:t>
            </w:r>
          </w:p>
        </w:tc>
        <w:tc>
          <w:tcPr>
            <w:tcW w:w="1238" w:type="dxa"/>
            <w:tcBorders>
              <w:top w:val="single" w:sz="4" w:space="0" w:color="005A97"/>
              <w:left w:val="single" w:sz="4" w:space="0" w:color="005A97"/>
              <w:bottom w:val="single" w:sz="4" w:space="0" w:color="005A97"/>
              <w:right w:val="nil"/>
            </w:tcBorders>
            <w:noWrap/>
            <w:vAlign w:val="center"/>
          </w:tcPr>
          <w:p w14:paraId="21221FB0" w14:textId="77777777" w:rsidR="00165212" w:rsidRPr="00622CCD" w:rsidRDefault="00165212" w:rsidP="008908A5">
            <w:pPr>
              <w:pStyle w:val="Tabletext"/>
              <w:spacing w:before="20" w:after="20"/>
            </w:pPr>
          </w:p>
        </w:tc>
      </w:tr>
      <w:tr w:rsidR="00165212" w:rsidRPr="00D40FA7" w14:paraId="46BA2DA2" w14:textId="1750DA94"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1ACDF22F" w14:textId="77777777" w:rsidR="00165212" w:rsidRPr="00E91D60" w:rsidRDefault="00165212" w:rsidP="008908A5">
            <w:pPr>
              <w:pStyle w:val="Tabletext"/>
              <w:spacing w:before="20" w:after="20"/>
              <w:rPr>
                <w:b/>
              </w:rPr>
            </w:pPr>
            <w:r w:rsidRPr="00E91D60">
              <w:rPr>
                <w:b/>
              </w:rPr>
              <w:t>Aqd108</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69D0A819"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04CDBBAD"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63A5813C"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5F5BCD23" w14:textId="77777777" w:rsidR="00165212" w:rsidRPr="00622CCD" w:rsidRDefault="00165212" w:rsidP="008908A5">
            <w:pPr>
              <w:pStyle w:val="Tabletext"/>
              <w:spacing w:before="20" w:after="20"/>
            </w:pPr>
            <w:r w:rsidRPr="00622CCD">
              <w:t>142.9</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5FD99898" w14:textId="77777777" w:rsidR="00165212" w:rsidRPr="00622CCD" w:rsidRDefault="00165212" w:rsidP="008908A5">
            <w:pPr>
              <w:pStyle w:val="Tabletext"/>
              <w:spacing w:before="20" w:after="20"/>
            </w:pPr>
            <w:r w:rsidRPr="00622CCD">
              <w:t>95.2</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39BFFA1A" w14:textId="77777777" w:rsidR="00165212" w:rsidRPr="00622CCD" w:rsidRDefault="00165212" w:rsidP="008908A5">
            <w:pPr>
              <w:pStyle w:val="Tabletext"/>
              <w:spacing w:before="20" w:after="20"/>
            </w:pPr>
            <w:r w:rsidRPr="00622CCD">
              <w:t>108.3</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14EA8D17" w14:textId="77777777" w:rsidR="00165212" w:rsidRPr="00622CCD" w:rsidRDefault="00165212" w:rsidP="008908A5">
            <w:pPr>
              <w:pStyle w:val="Tabletext"/>
              <w:spacing w:before="20" w:after="20"/>
            </w:pPr>
            <w:r w:rsidRPr="00622CCD">
              <w:t>108.7</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5337670" w14:textId="77777777" w:rsidR="00165212" w:rsidRPr="00622CCD" w:rsidRDefault="00165212" w:rsidP="008908A5">
            <w:pPr>
              <w:pStyle w:val="Tabletext"/>
              <w:spacing w:before="20" w:after="20"/>
            </w:pPr>
            <w:r w:rsidRPr="00622CCD">
              <w:t>103.4</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22535A51" w14:textId="77777777" w:rsidR="00165212" w:rsidRPr="00622CCD" w:rsidRDefault="00165212" w:rsidP="008908A5">
            <w:pPr>
              <w:pStyle w:val="Tabletext"/>
              <w:spacing w:before="20" w:after="20"/>
            </w:pPr>
            <w:r w:rsidRPr="00622CCD">
              <w:t>-73.1</w:t>
            </w:r>
          </w:p>
        </w:tc>
        <w:tc>
          <w:tcPr>
            <w:tcW w:w="1238" w:type="dxa"/>
            <w:tcBorders>
              <w:top w:val="single" w:sz="4" w:space="0" w:color="005A97"/>
              <w:left w:val="single" w:sz="4" w:space="0" w:color="005A97"/>
              <w:bottom w:val="single" w:sz="4" w:space="0" w:color="005A97"/>
              <w:right w:val="nil"/>
            </w:tcBorders>
            <w:noWrap/>
            <w:vAlign w:val="center"/>
          </w:tcPr>
          <w:p w14:paraId="72BC8EAB" w14:textId="77777777" w:rsidR="00165212" w:rsidRPr="00622CCD" w:rsidRDefault="00165212" w:rsidP="008908A5">
            <w:pPr>
              <w:pStyle w:val="Tabletext"/>
              <w:spacing w:before="20" w:after="20"/>
            </w:pPr>
            <w:r w:rsidRPr="00622CCD">
              <w:t>101.5</w:t>
            </w:r>
          </w:p>
        </w:tc>
      </w:tr>
      <w:tr w:rsidR="00165212" w:rsidRPr="00D40FA7" w14:paraId="6252BF3F" w14:textId="4A80B897"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6F756EE6" w14:textId="77777777" w:rsidR="00165212" w:rsidRPr="00E91D60" w:rsidRDefault="00165212" w:rsidP="008908A5">
            <w:pPr>
              <w:pStyle w:val="Tabletext"/>
              <w:spacing w:before="20" w:after="20"/>
              <w:rPr>
                <w:b/>
              </w:rPr>
            </w:pPr>
            <w:r w:rsidRPr="00E91D60">
              <w:rPr>
                <w:b/>
              </w:rPr>
              <w:t>AQ109</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72C5F99"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4C5C3597"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880C6DD"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4F59BA11" w14:textId="77777777" w:rsidR="00165212" w:rsidRPr="00622CCD" w:rsidRDefault="00165212" w:rsidP="008908A5">
            <w:pPr>
              <w:pStyle w:val="Tabletext"/>
              <w:spacing w:before="20" w:after="20"/>
            </w:pPr>
            <w:r w:rsidRPr="00622CCD">
              <w:t>-81.0</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4043F757" w14:textId="77777777" w:rsidR="00165212" w:rsidRPr="00622CCD" w:rsidRDefault="00165212" w:rsidP="008908A5">
            <w:pPr>
              <w:pStyle w:val="Tabletext"/>
              <w:spacing w:before="20" w:after="20"/>
            </w:pPr>
            <w:r w:rsidRPr="00622CCD">
              <w:t>-144.0</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A74A44B" w14:textId="77777777" w:rsidR="00165212" w:rsidRPr="00622CCD" w:rsidRDefault="00165212" w:rsidP="008908A5">
            <w:pPr>
              <w:pStyle w:val="Tabletext"/>
              <w:spacing w:before="20" w:after="20"/>
            </w:pPr>
            <w:r w:rsidRPr="00622CCD">
              <w:t>-141.8</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37CF8300" w14:textId="77777777" w:rsidR="00165212" w:rsidRPr="00622CCD" w:rsidRDefault="00165212" w:rsidP="008908A5">
            <w:pPr>
              <w:pStyle w:val="Tabletext"/>
              <w:spacing w:before="20" w:after="20"/>
            </w:pPr>
            <w:r w:rsidRPr="00622CCD">
              <w:t>-129.1</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2EE161DB"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1773D3A5" w14:textId="77777777" w:rsidR="00165212" w:rsidRPr="00622CCD" w:rsidRDefault="00165212" w:rsidP="008908A5">
            <w:pPr>
              <w:pStyle w:val="Tabletext"/>
              <w:spacing w:before="20" w:after="20"/>
            </w:pPr>
            <w:r w:rsidRPr="00622CCD">
              <w:t>-262.8</w:t>
            </w:r>
          </w:p>
        </w:tc>
        <w:tc>
          <w:tcPr>
            <w:tcW w:w="1238" w:type="dxa"/>
            <w:tcBorders>
              <w:top w:val="single" w:sz="4" w:space="0" w:color="005A97"/>
              <w:left w:val="single" w:sz="4" w:space="0" w:color="005A97"/>
              <w:bottom w:val="single" w:sz="4" w:space="0" w:color="005A97"/>
              <w:right w:val="nil"/>
            </w:tcBorders>
            <w:noWrap/>
            <w:vAlign w:val="center"/>
          </w:tcPr>
          <w:p w14:paraId="518B268D" w14:textId="77777777" w:rsidR="00165212" w:rsidRPr="00622CCD" w:rsidRDefault="00165212" w:rsidP="008908A5">
            <w:pPr>
              <w:pStyle w:val="Tabletext"/>
              <w:spacing w:before="20" w:after="20"/>
            </w:pPr>
          </w:p>
        </w:tc>
      </w:tr>
      <w:tr w:rsidR="00165212" w:rsidRPr="00D40FA7" w14:paraId="66EAA39E" w14:textId="0B17BC71"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1B7FAD6E" w14:textId="77777777" w:rsidR="00165212" w:rsidRPr="00E91D60" w:rsidRDefault="00165212" w:rsidP="008908A5">
            <w:pPr>
              <w:pStyle w:val="Tabletext"/>
              <w:spacing w:before="20" w:after="20"/>
              <w:rPr>
                <w:b/>
              </w:rPr>
            </w:pPr>
            <w:r w:rsidRPr="00E91D60">
              <w:rPr>
                <w:b/>
              </w:rPr>
              <w:t>AQD110/AQD111</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C2D0AC3"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37029E5A"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7A81AF6B"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5C339C12" w14:textId="77777777" w:rsidR="00165212" w:rsidRPr="00622CCD" w:rsidRDefault="00165212" w:rsidP="008908A5">
            <w:pPr>
              <w:pStyle w:val="Tabletext"/>
              <w:spacing w:before="20" w:after="20"/>
            </w:pPr>
            <w:r w:rsidRPr="00622CCD">
              <w:t>-32.4</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42F756A6" w14:textId="77777777" w:rsidR="00165212" w:rsidRPr="00622CCD" w:rsidRDefault="00165212" w:rsidP="008908A5">
            <w:pPr>
              <w:pStyle w:val="Tabletext"/>
              <w:spacing w:before="20" w:after="20"/>
            </w:pPr>
            <w:r w:rsidRPr="00622CCD">
              <w:t>-179.7</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25C3FEAA" w14:textId="77777777" w:rsidR="00165212" w:rsidRPr="00622CCD" w:rsidRDefault="00165212" w:rsidP="008908A5">
            <w:pPr>
              <w:pStyle w:val="Tabletext"/>
              <w:spacing w:before="20" w:after="20"/>
            </w:pPr>
            <w:r w:rsidRPr="00622CCD">
              <w:t>-189.6</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6B0D89DC" w14:textId="77777777" w:rsidR="00165212" w:rsidRPr="00622CCD" w:rsidRDefault="00165212" w:rsidP="008908A5">
            <w:pPr>
              <w:pStyle w:val="Tabletext"/>
              <w:spacing w:before="20" w:after="20"/>
            </w:pPr>
            <w:r w:rsidRPr="00622CCD">
              <w:t>-112.6</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16EAF6B" w14:textId="77777777" w:rsidR="00165212" w:rsidRPr="00622CCD" w:rsidRDefault="00165212" w:rsidP="008908A5">
            <w:pPr>
              <w:pStyle w:val="Tabletext"/>
              <w:spacing w:before="20" w:after="20"/>
            </w:pPr>
            <w:r w:rsidRPr="00622CCD">
              <w:t>-89.8</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0E4C3DF8" w14:textId="77777777" w:rsidR="00165212" w:rsidRPr="00622CCD" w:rsidRDefault="00165212" w:rsidP="008908A5">
            <w:pPr>
              <w:pStyle w:val="Tabletext"/>
              <w:spacing w:before="20" w:after="20"/>
            </w:pPr>
            <w:r w:rsidRPr="00622CCD">
              <w:t>-292.9</w:t>
            </w:r>
          </w:p>
        </w:tc>
        <w:tc>
          <w:tcPr>
            <w:tcW w:w="1238" w:type="dxa"/>
            <w:tcBorders>
              <w:top w:val="single" w:sz="4" w:space="0" w:color="005A97"/>
              <w:left w:val="single" w:sz="4" w:space="0" w:color="005A97"/>
              <w:bottom w:val="single" w:sz="4" w:space="0" w:color="005A97"/>
              <w:right w:val="nil"/>
            </w:tcBorders>
            <w:noWrap/>
            <w:vAlign w:val="center"/>
          </w:tcPr>
          <w:p w14:paraId="1DF1F903" w14:textId="77777777" w:rsidR="00165212" w:rsidRPr="00622CCD" w:rsidRDefault="00165212" w:rsidP="008908A5">
            <w:pPr>
              <w:pStyle w:val="Tabletext"/>
              <w:spacing w:before="20" w:after="20"/>
            </w:pPr>
            <w:r w:rsidRPr="00622CCD">
              <w:t>-194.7</w:t>
            </w:r>
          </w:p>
        </w:tc>
      </w:tr>
      <w:tr w:rsidR="00165212" w:rsidRPr="00D40FA7" w14:paraId="288EA250" w14:textId="5AFABBBB"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5293DD72" w14:textId="77777777" w:rsidR="00165212" w:rsidRPr="00E91D60" w:rsidRDefault="00165212" w:rsidP="008908A5">
            <w:pPr>
              <w:pStyle w:val="Tabletext"/>
              <w:spacing w:before="20" w:after="20"/>
              <w:rPr>
                <w:b/>
              </w:rPr>
            </w:pPr>
            <w:r w:rsidRPr="00E91D60">
              <w:rPr>
                <w:b/>
              </w:rPr>
              <w:t>Aq111</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DA33602" w14:textId="77777777" w:rsidR="00165212" w:rsidRPr="00622CCD" w:rsidRDefault="00165212" w:rsidP="008908A5">
            <w:pPr>
              <w:pStyle w:val="Tabletext"/>
              <w:spacing w:before="20" w:after="20"/>
            </w:pPr>
            <w:r w:rsidRPr="00622CCD">
              <w:t>93.9</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495BAB2A" w14:textId="77777777" w:rsidR="00165212" w:rsidRPr="00622CCD" w:rsidRDefault="00165212" w:rsidP="008908A5">
            <w:pPr>
              <w:pStyle w:val="Tabletext"/>
              <w:spacing w:before="20" w:after="20"/>
            </w:pPr>
            <w:r w:rsidRPr="00622CCD">
              <w:t>47.8</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5CC24C30" w14:textId="77777777" w:rsidR="00165212" w:rsidRPr="00622CCD" w:rsidRDefault="00165212" w:rsidP="008908A5">
            <w:pPr>
              <w:pStyle w:val="Tabletext"/>
              <w:spacing w:before="20" w:after="20"/>
            </w:pPr>
            <w:r w:rsidRPr="00622CCD">
              <w:t>46.5</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24F1B6CA" w14:textId="77777777" w:rsidR="00165212" w:rsidRPr="00622CCD" w:rsidRDefault="00165212" w:rsidP="008908A5">
            <w:pPr>
              <w:pStyle w:val="Tabletext"/>
              <w:spacing w:before="20" w:after="20"/>
            </w:pPr>
            <w:r w:rsidRPr="00622CCD">
              <w:t>-131.4</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67FE25B1" w14:textId="77777777" w:rsidR="00165212" w:rsidRPr="00622CCD" w:rsidRDefault="00165212" w:rsidP="008908A5">
            <w:pPr>
              <w:pStyle w:val="Tabletext"/>
              <w:spacing w:before="20" w:after="20"/>
            </w:pPr>
            <w:r w:rsidRPr="00622CCD">
              <w:t>-331.7</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BF8EDFD" w14:textId="77777777" w:rsidR="00165212" w:rsidRPr="00622CCD" w:rsidRDefault="00165212" w:rsidP="008908A5">
            <w:pPr>
              <w:pStyle w:val="Tabletext"/>
              <w:spacing w:before="20" w:after="20"/>
            </w:pPr>
            <w:r w:rsidRPr="00622CCD">
              <w:t>-256.2</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37CED1F6"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459960C" w14:textId="77777777" w:rsidR="00165212" w:rsidRPr="00622CCD" w:rsidRDefault="00165212" w:rsidP="008908A5">
            <w:pPr>
              <w:pStyle w:val="Tabletext"/>
              <w:spacing w:before="20" w:after="20"/>
            </w:pPr>
            <w:r w:rsidRPr="00622CCD">
              <w:t>77.1</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4BDE0F5E" w14:textId="77777777" w:rsidR="00165212" w:rsidRPr="00622CCD" w:rsidRDefault="00165212" w:rsidP="008908A5">
            <w:pPr>
              <w:pStyle w:val="Tabletext"/>
              <w:spacing w:before="20" w:after="20"/>
            </w:pPr>
            <w:r w:rsidRPr="00622CCD">
              <w:t>-312.1</w:t>
            </w:r>
          </w:p>
        </w:tc>
        <w:tc>
          <w:tcPr>
            <w:tcW w:w="1238" w:type="dxa"/>
            <w:tcBorders>
              <w:top w:val="single" w:sz="4" w:space="0" w:color="005A97"/>
              <w:left w:val="single" w:sz="4" w:space="0" w:color="005A97"/>
              <w:bottom w:val="single" w:sz="4" w:space="0" w:color="005A97"/>
              <w:right w:val="nil"/>
            </w:tcBorders>
            <w:noWrap/>
            <w:vAlign w:val="center"/>
          </w:tcPr>
          <w:p w14:paraId="21006E27" w14:textId="77777777" w:rsidR="00165212" w:rsidRPr="00622CCD" w:rsidRDefault="00165212" w:rsidP="008908A5">
            <w:pPr>
              <w:pStyle w:val="Tabletext"/>
              <w:spacing w:before="20" w:after="20"/>
            </w:pPr>
            <w:r w:rsidRPr="00622CCD">
              <w:t>-221.2</w:t>
            </w:r>
          </w:p>
        </w:tc>
      </w:tr>
      <w:tr w:rsidR="00165212" w:rsidRPr="00D40FA7" w14:paraId="4C4B91D1" w14:textId="1B1D4730"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02F5B03B" w14:textId="77777777" w:rsidR="00165212" w:rsidRPr="00E91D60" w:rsidRDefault="00165212" w:rsidP="008908A5">
            <w:pPr>
              <w:pStyle w:val="Tabletext"/>
              <w:spacing w:before="20" w:after="20"/>
              <w:rPr>
                <w:b/>
              </w:rPr>
            </w:pPr>
            <w:r w:rsidRPr="00E91D60">
              <w:rPr>
                <w:b/>
              </w:rPr>
              <w:t>Aq112</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267680C1"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2B36443C"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5BE46D4A"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65419243"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1F950123"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32596BAA"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2B842B55"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087F15CD"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0E741C9D"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nil"/>
            </w:tcBorders>
            <w:noWrap/>
            <w:vAlign w:val="center"/>
          </w:tcPr>
          <w:p w14:paraId="177A5CEC" w14:textId="77777777" w:rsidR="00165212" w:rsidRPr="00622CCD" w:rsidRDefault="00165212" w:rsidP="008908A5">
            <w:pPr>
              <w:pStyle w:val="Tabletext"/>
              <w:spacing w:before="20" w:after="20"/>
            </w:pPr>
          </w:p>
        </w:tc>
      </w:tr>
      <w:tr w:rsidR="00165212" w:rsidRPr="00D40FA7" w14:paraId="1CCB632B" w14:textId="498C08EF"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0A25CEBA" w14:textId="77777777" w:rsidR="00165212" w:rsidRPr="00E91D60" w:rsidRDefault="00165212" w:rsidP="008908A5">
            <w:pPr>
              <w:pStyle w:val="Tabletext"/>
              <w:spacing w:before="20" w:after="20"/>
              <w:rPr>
                <w:b/>
              </w:rPr>
            </w:pPr>
            <w:r w:rsidRPr="00E91D60">
              <w:rPr>
                <w:b/>
              </w:rPr>
              <w:t>Aq111</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67787A34"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13F5056B"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39DD9C42"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05C06746"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41468CFF"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4A9BDEB0"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58BAEDC9"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6412EC9"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5DAC84AC"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nil"/>
            </w:tcBorders>
            <w:noWrap/>
            <w:vAlign w:val="center"/>
          </w:tcPr>
          <w:p w14:paraId="3E6AA868" w14:textId="77777777" w:rsidR="00165212" w:rsidRPr="00622CCD" w:rsidRDefault="00165212" w:rsidP="008908A5">
            <w:pPr>
              <w:pStyle w:val="Tabletext"/>
              <w:spacing w:before="20" w:after="20"/>
            </w:pPr>
          </w:p>
        </w:tc>
      </w:tr>
      <w:tr w:rsidR="00165212" w:rsidRPr="00D40FA7" w14:paraId="74C51453" w14:textId="4CE1E154"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41A823BD" w14:textId="77777777" w:rsidR="00165212" w:rsidRPr="00E91D60" w:rsidRDefault="00165212" w:rsidP="008908A5">
            <w:pPr>
              <w:pStyle w:val="Tabletext"/>
              <w:spacing w:before="20" w:after="20"/>
              <w:rPr>
                <w:b/>
              </w:rPr>
            </w:pPr>
            <w:r w:rsidRPr="00E91D60">
              <w:rPr>
                <w:b/>
              </w:rPr>
              <w:t>Sherbrook</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6A6FEF8F"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63464259"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96C44C6"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69971DBE" w14:textId="77777777" w:rsidR="00165212" w:rsidRPr="00622CCD" w:rsidRDefault="00165212" w:rsidP="008908A5">
            <w:pPr>
              <w:pStyle w:val="Tabletext"/>
              <w:spacing w:before="20" w:after="20"/>
            </w:pPr>
            <w:r w:rsidRPr="00622CCD">
              <w:t>-188.5</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655CFC9B"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3B53A671"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1325189E" w14:textId="77777777" w:rsidR="00165212" w:rsidRPr="00622CCD" w:rsidRDefault="00165212" w:rsidP="008908A5">
            <w:pPr>
              <w:pStyle w:val="Tabletext"/>
              <w:spacing w:before="20" w:after="20"/>
            </w:pP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12E1787" w14:textId="77777777" w:rsidR="00165212" w:rsidRPr="00622CCD" w:rsidRDefault="00165212" w:rsidP="008908A5">
            <w:pPr>
              <w:pStyle w:val="Tabletext"/>
              <w:spacing w:before="20" w:after="20"/>
            </w:pPr>
            <w:r w:rsidRPr="00622CCD">
              <w:t>114.9</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30495D60"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nil"/>
            </w:tcBorders>
            <w:noWrap/>
            <w:vAlign w:val="center"/>
          </w:tcPr>
          <w:p w14:paraId="099002B8" w14:textId="77777777" w:rsidR="00165212" w:rsidRPr="00622CCD" w:rsidRDefault="00165212" w:rsidP="008908A5">
            <w:pPr>
              <w:pStyle w:val="Tabletext"/>
              <w:spacing w:before="20" w:after="20"/>
            </w:pPr>
          </w:p>
        </w:tc>
      </w:tr>
      <w:tr w:rsidR="00165212" w:rsidRPr="00D40FA7" w14:paraId="63D28C63" w14:textId="38B11644" w:rsidTr="008908A5">
        <w:trPr>
          <w:trHeight w:val="283"/>
        </w:trPr>
        <w:tc>
          <w:tcPr>
            <w:tcW w:w="2302" w:type="dxa"/>
            <w:tcBorders>
              <w:top w:val="single" w:sz="4" w:space="0" w:color="005A97"/>
              <w:left w:val="nil"/>
              <w:bottom w:val="single" w:sz="4" w:space="0" w:color="005A97"/>
              <w:right w:val="single" w:sz="4" w:space="0" w:color="005A97"/>
            </w:tcBorders>
            <w:noWrap/>
            <w:vAlign w:val="center"/>
            <w:hideMark/>
          </w:tcPr>
          <w:p w14:paraId="47A998EE" w14:textId="77777777" w:rsidR="00165212" w:rsidRPr="00E91D60" w:rsidRDefault="00165212" w:rsidP="008908A5">
            <w:pPr>
              <w:pStyle w:val="Tabletext"/>
              <w:spacing w:before="20" w:after="20"/>
              <w:rPr>
                <w:b/>
              </w:rPr>
            </w:pPr>
            <w:r w:rsidRPr="00E91D60">
              <w:rPr>
                <w:b/>
              </w:rPr>
              <w:t>Source Unit</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505CC823" w14:textId="77777777" w:rsidR="00165212" w:rsidRPr="00622CCD" w:rsidRDefault="00165212" w:rsidP="008908A5">
            <w:pPr>
              <w:pStyle w:val="Tabletext"/>
              <w:spacing w:before="20" w:after="20"/>
            </w:pPr>
            <w:r w:rsidRPr="00622CCD">
              <w:t>-761.6</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1276D337" w14:textId="77777777" w:rsidR="00165212" w:rsidRPr="00622CCD" w:rsidRDefault="00165212" w:rsidP="008908A5">
            <w:pPr>
              <w:pStyle w:val="Tabletext"/>
              <w:spacing w:before="20" w:after="20"/>
            </w:pPr>
            <w:r w:rsidRPr="00622CCD">
              <w:t>-898.5</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7391990E" w14:textId="77777777" w:rsidR="00165212" w:rsidRPr="00622CCD" w:rsidRDefault="00165212" w:rsidP="008908A5">
            <w:pPr>
              <w:pStyle w:val="Tabletext"/>
              <w:spacing w:before="20" w:after="20"/>
            </w:pP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33A99124" w14:textId="77777777" w:rsidR="00165212" w:rsidRPr="00622CCD" w:rsidRDefault="00165212" w:rsidP="008908A5">
            <w:pPr>
              <w:pStyle w:val="Tabletext"/>
              <w:spacing w:before="20" w:after="20"/>
            </w:pPr>
            <w:r w:rsidRPr="00622CCD">
              <w:t>-1390.1</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0B31F0DE" w14:textId="77777777" w:rsidR="00165212" w:rsidRPr="00622CCD" w:rsidRDefault="00165212" w:rsidP="008908A5">
            <w:pPr>
              <w:pStyle w:val="Tabletext"/>
              <w:spacing w:before="20" w:after="20"/>
            </w:pPr>
            <w:r w:rsidRPr="00622CCD">
              <w:t>-1417.3</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15F21F83" w14:textId="77777777" w:rsidR="00165212" w:rsidRPr="00622CCD" w:rsidRDefault="00165212" w:rsidP="008908A5">
            <w:pPr>
              <w:pStyle w:val="Tabletext"/>
              <w:spacing w:before="20" w:after="20"/>
            </w:pPr>
            <w:r w:rsidRPr="00622CCD">
              <w:t>-1073.7</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04AF942C" w14:textId="77777777" w:rsidR="00165212" w:rsidRPr="00622CCD" w:rsidRDefault="00165212" w:rsidP="008908A5">
            <w:pPr>
              <w:pStyle w:val="Tabletext"/>
              <w:spacing w:before="20" w:after="20"/>
            </w:pPr>
            <w:r w:rsidRPr="00622CCD">
              <w:t>-1106.7</w:t>
            </w:r>
          </w:p>
        </w:tc>
        <w:tc>
          <w:tcPr>
            <w:tcW w:w="1237" w:type="dxa"/>
            <w:tcBorders>
              <w:top w:val="single" w:sz="4" w:space="0" w:color="005A97"/>
              <w:left w:val="single" w:sz="4" w:space="0" w:color="005A97"/>
              <w:bottom w:val="single" w:sz="4" w:space="0" w:color="005A97"/>
              <w:right w:val="single" w:sz="4" w:space="0" w:color="005A97"/>
            </w:tcBorders>
            <w:noWrap/>
            <w:vAlign w:val="center"/>
          </w:tcPr>
          <w:p w14:paraId="5ED41C92" w14:textId="77777777" w:rsidR="00165212" w:rsidRPr="00622CCD" w:rsidRDefault="00165212" w:rsidP="008908A5">
            <w:pPr>
              <w:pStyle w:val="Tabletext"/>
              <w:spacing w:before="20" w:after="20"/>
            </w:pPr>
            <w:r w:rsidRPr="00622CCD">
              <w:t>-1116.8</w:t>
            </w:r>
          </w:p>
        </w:tc>
        <w:tc>
          <w:tcPr>
            <w:tcW w:w="1238" w:type="dxa"/>
            <w:tcBorders>
              <w:top w:val="single" w:sz="4" w:space="0" w:color="005A97"/>
              <w:left w:val="single" w:sz="4" w:space="0" w:color="005A97"/>
              <w:bottom w:val="single" w:sz="4" w:space="0" w:color="005A97"/>
              <w:right w:val="single" w:sz="4" w:space="0" w:color="005A97"/>
            </w:tcBorders>
            <w:noWrap/>
            <w:vAlign w:val="center"/>
          </w:tcPr>
          <w:p w14:paraId="0A58FCE9" w14:textId="77777777" w:rsidR="00165212" w:rsidRPr="00622CCD" w:rsidRDefault="00165212" w:rsidP="008908A5">
            <w:pPr>
              <w:pStyle w:val="Tabletext"/>
              <w:spacing w:before="20" w:after="20"/>
            </w:pPr>
            <w:r w:rsidRPr="00622CCD">
              <w:t>-1281.3</w:t>
            </w:r>
          </w:p>
        </w:tc>
        <w:tc>
          <w:tcPr>
            <w:tcW w:w="1238" w:type="dxa"/>
            <w:tcBorders>
              <w:top w:val="single" w:sz="4" w:space="0" w:color="005A97"/>
              <w:left w:val="single" w:sz="4" w:space="0" w:color="005A97"/>
              <w:bottom w:val="single" w:sz="4" w:space="0" w:color="005A97"/>
              <w:right w:val="nil"/>
            </w:tcBorders>
            <w:noWrap/>
            <w:vAlign w:val="center"/>
          </w:tcPr>
          <w:p w14:paraId="12EB3164" w14:textId="77777777" w:rsidR="00165212" w:rsidRPr="00622CCD" w:rsidRDefault="00165212" w:rsidP="008908A5">
            <w:pPr>
              <w:pStyle w:val="Tabletext"/>
              <w:spacing w:before="20" w:after="20"/>
            </w:pPr>
            <w:r w:rsidRPr="00622CCD">
              <w:t>-875.2</w:t>
            </w:r>
          </w:p>
        </w:tc>
      </w:tr>
    </w:tbl>
    <w:p w14:paraId="47BFE7C2" w14:textId="096F4A44" w:rsidR="00A043BC" w:rsidRDefault="00A043BC" w:rsidP="00676DA0">
      <w:pPr>
        <w:pStyle w:val="Tabletext"/>
        <w:spacing w:before="20" w:after="20"/>
      </w:pPr>
    </w:p>
    <w:tbl>
      <w:tblPr>
        <w:tblStyle w:val="TableGrid"/>
        <w:tblW w:w="0" w:type="auto"/>
        <w:tblInd w:w="108" w:type="dxa"/>
        <w:tblLayout w:type="fixed"/>
        <w:tblLook w:val="04A0" w:firstRow="1" w:lastRow="0" w:firstColumn="1" w:lastColumn="0" w:noHBand="0" w:noVBand="1"/>
      </w:tblPr>
      <w:tblGrid>
        <w:gridCol w:w="2268"/>
        <w:gridCol w:w="34"/>
        <w:gridCol w:w="1199"/>
        <w:gridCol w:w="1233"/>
        <w:gridCol w:w="1233"/>
        <w:gridCol w:w="1234"/>
        <w:gridCol w:w="1233"/>
        <w:gridCol w:w="1233"/>
        <w:gridCol w:w="1234"/>
        <w:gridCol w:w="1233"/>
        <w:gridCol w:w="1233"/>
        <w:gridCol w:w="1234"/>
        <w:gridCol w:w="34"/>
      </w:tblGrid>
      <w:tr w:rsidR="00FC4056" w:rsidRPr="00622CCD" w14:paraId="4E9CFFC0" w14:textId="77777777" w:rsidTr="008908A5">
        <w:trPr>
          <w:trHeight w:val="283"/>
        </w:trPr>
        <w:tc>
          <w:tcPr>
            <w:tcW w:w="2302" w:type="dxa"/>
            <w:gridSpan w:val="2"/>
            <w:tcBorders>
              <w:top w:val="nil"/>
              <w:left w:val="nil"/>
              <w:bottom w:val="single" w:sz="4" w:space="0" w:color="005A97"/>
              <w:right w:val="single" w:sz="4" w:space="0" w:color="FFFFFF"/>
            </w:tcBorders>
            <w:shd w:val="clear" w:color="auto" w:fill="005A97"/>
            <w:vAlign w:val="center"/>
          </w:tcPr>
          <w:p w14:paraId="282AD512" w14:textId="16419E06" w:rsidR="00FC4056" w:rsidRPr="00622CCD" w:rsidRDefault="00A043BC" w:rsidP="008908A5">
            <w:pPr>
              <w:pStyle w:val="TableHeaderrow"/>
            </w:pPr>
            <w:r w:rsidRPr="00622CCD">
              <w:br w:type="page"/>
            </w:r>
          </w:p>
        </w:tc>
        <w:tc>
          <w:tcPr>
            <w:tcW w:w="12333" w:type="dxa"/>
            <w:gridSpan w:val="11"/>
            <w:tcBorders>
              <w:top w:val="nil"/>
              <w:left w:val="single" w:sz="4" w:space="0" w:color="FFFFFF"/>
              <w:bottom w:val="single" w:sz="4" w:space="0" w:color="005A97"/>
              <w:right w:val="nil"/>
            </w:tcBorders>
            <w:shd w:val="clear" w:color="auto" w:fill="005A97"/>
            <w:noWrap/>
            <w:vAlign w:val="center"/>
          </w:tcPr>
          <w:p w14:paraId="0E3CD3FB" w14:textId="77777777" w:rsidR="00FC4056" w:rsidRPr="00622CCD" w:rsidRDefault="00FC4056" w:rsidP="008908A5">
            <w:pPr>
              <w:pStyle w:val="TableHeaderrow"/>
            </w:pPr>
            <w:r w:rsidRPr="00622CCD">
              <w:t>Elevation of Top of Layer (m AHD)</w:t>
            </w:r>
          </w:p>
        </w:tc>
      </w:tr>
      <w:tr w:rsidR="00165212" w:rsidRPr="00622CCD" w14:paraId="1E50EF38"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780C5219" w14:textId="77777777" w:rsidR="00FC4056" w:rsidRPr="00E91D60" w:rsidRDefault="00FC4056" w:rsidP="008908A5">
            <w:pPr>
              <w:pStyle w:val="Tabletext"/>
              <w:spacing w:before="20" w:after="20"/>
              <w:rPr>
                <w:rFonts w:eastAsiaTheme="majorEastAsia" w:cs="Arial"/>
                <w:b/>
                <w:color w:val="0079CD" w:themeColor="text1" w:themeTint="D8"/>
              </w:rPr>
            </w:pPr>
            <w:r w:rsidRPr="00E91D60">
              <w:rPr>
                <w:rFonts w:cs="Arial"/>
                <w:b/>
                <w:bCs/>
              </w:rPr>
              <w:t>Aquifer</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0BB671C3" w14:textId="77777777" w:rsidR="00FC4056" w:rsidRPr="00622CCD" w:rsidRDefault="00FC4056" w:rsidP="008908A5">
            <w:pPr>
              <w:pStyle w:val="Tabletext"/>
              <w:spacing w:before="20" w:after="20"/>
              <w:rPr>
                <w:rFonts w:eastAsiaTheme="majorEastAsia" w:cstheme="majorBidi"/>
                <w:color w:val="0079CD" w:themeColor="text1" w:themeTint="D8"/>
              </w:rPr>
            </w:pPr>
            <w:r w:rsidRPr="00622CCD">
              <w:rPr>
                <w:b/>
                <w:bCs/>
              </w:rPr>
              <w:t>297</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136EFDF" w14:textId="77777777" w:rsidR="00FC4056" w:rsidRPr="00622CCD" w:rsidRDefault="00FC4056" w:rsidP="008908A5">
            <w:pPr>
              <w:pStyle w:val="Tabletext"/>
              <w:spacing w:before="20" w:after="20"/>
              <w:rPr>
                <w:rFonts w:eastAsiaTheme="majorEastAsia" w:cstheme="majorBidi"/>
                <w:color w:val="0079CD" w:themeColor="text1" w:themeTint="D8"/>
              </w:rPr>
            </w:pPr>
            <w:r w:rsidRPr="00622CCD">
              <w:rPr>
                <w:b/>
                <w:bCs/>
              </w:rPr>
              <w:t>319</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39D3A64" w14:textId="77777777" w:rsidR="00FC4056" w:rsidRPr="00622CCD" w:rsidRDefault="00FC4056" w:rsidP="008908A5">
            <w:pPr>
              <w:pStyle w:val="Tabletext"/>
              <w:spacing w:before="20" w:after="20"/>
              <w:rPr>
                <w:rFonts w:eastAsiaTheme="majorEastAsia" w:cstheme="majorBidi"/>
                <w:color w:val="0079CD" w:themeColor="text1" w:themeTint="D8"/>
              </w:rPr>
            </w:pPr>
            <w:r w:rsidRPr="00622CCD">
              <w:rPr>
                <w:b/>
                <w:bCs/>
              </w:rPr>
              <w:t>320</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21D5FC40" w14:textId="77777777" w:rsidR="00FC4056" w:rsidRPr="00622CCD" w:rsidRDefault="00FC4056" w:rsidP="008908A5">
            <w:pPr>
              <w:pStyle w:val="Tabletext"/>
              <w:spacing w:before="20" w:after="20"/>
            </w:pPr>
            <w:r w:rsidRPr="00622CCD">
              <w:rPr>
                <w:b/>
                <w:bCs/>
              </w:rPr>
              <w:t>321</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93AE8A3" w14:textId="77777777" w:rsidR="00FC4056" w:rsidRPr="00622CCD" w:rsidRDefault="00FC4056" w:rsidP="008908A5">
            <w:pPr>
              <w:pStyle w:val="Tabletext"/>
              <w:spacing w:before="20" w:after="20"/>
            </w:pPr>
            <w:r w:rsidRPr="00622CCD">
              <w:rPr>
                <w:b/>
                <w:bCs/>
              </w:rPr>
              <w:t>322</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3FB7055" w14:textId="77777777" w:rsidR="00FC4056" w:rsidRPr="00622CCD" w:rsidRDefault="00FC4056" w:rsidP="008908A5">
            <w:pPr>
              <w:pStyle w:val="Tabletext"/>
              <w:spacing w:before="20" w:after="20"/>
            </w:pPr>
            <w:r w:rsidRPr="00622CCD">
              <w:rPr>
                <w:b/>
                <w:bCs/>
              </w:rPr>
              <w:t>354</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701152C7" w14:textId="77777777" w:rsidR="00FC4056" w:rsidRPr="00622CCD" w:rsidRDefault="00FC4056" w:rsidP="008908A5">
            <w:pPr>
              <w:pStyle w:val="Tabletext"/>
              <w:spacing w:before="20" w:after="20"/>
            </w:pPr>
            <w:r w:rsidRPr="00622CCD">
              <w:rPr>
                <w:b/>
                <w:bCs/>
              </w:rPr>
              <w:t>381</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3A19DB1" w14:textId="77777777" w:rsidR="00FC4056" w:rsidRPr="00622CCD" w:rsidRDefault="00FC4056" w:rsidP="008908A5">
            <w:pPr>
              <w:pStyle w:val="Tabletext"/>
              <w:spacing w:before="20" w:after="20"/>
            </w:pPr>
            <w:r w:rsidRPr="00622CCD">
              <w:rPr>
                <w:b/>
                <w:bCs/>
              </w:rPr>
              <w:t>382</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4A2B83D0" w14:textId="77777777" w:rsidR="00FC4056" w:rsidRPr="00622CCD" w:rsidRDefault="00FC4056" w:rsidP="008908A5">
            <w:pPr>
              <w:pStyle w:val="Tabletext"/>
              <w:spacing w:before="20" w:after="20"/>
            </w:pPr>
            <w:r w:rsidRPr="00622CCD">
              <w:rPr>
                <w:b/>
                <w:bCs/>
              </w:rPr>
              <w:t>414</w:t>
            </w:r>
          </w:p>
        </w:tc>
        <w:tc>
          <w:tcPr>
            <w:tcW w:w="1234" w:type="dxa"/>
            <w:tcBorders>
              <w:top w:val="single" w:sz="4" w:space="0" w:color="005A97"/>
              <w:left w:val="single" w:sz="4" w:space="0" w:color="005A97"/>
              <w:bottom w:val="single" w:sz="4" w:space="0" w:color="005A97"/>
              <w:right w:val="nil"/>
            </w:tcBorders>
            <w:noWrap/>
            <w:vAlign w:val="center"/>
            <w:hideMark/>
          </w:tcPr>
          <w:p w14:paraId="026CADB7" w14:textId="77777777" w:rsidR="00FC4056" w:rsidRPr="00622CCD" w:rsidRDefault="00FC4056" w:rsidP="008908A5">
            <w:pPr>
              <w:pStyle w:val="Tabletext"/>
              <w:spacing w:before="20" w:after="20"/>
            </w:pPr>
            <w:r w:rsidRPr="00622CCD">
              <w:rPr>
                <w:b/>
                <w:bCs/>
              </w:rPr>
              <w:t>415</w:t>
            </w:r>
          </w:p>
        </w:tc>
      </w:tr>
      <w:tr w:rsidR="00165212" w:rsidRPr="00622CCD" w14:paraId="15E31915"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21F5F17E" w14:textId="77777777" w:rsidR="00FC4056" w:rsidRPr="00E91D60" w:rsidRDefault="00FC4056" w:rsidP="008908A5">
            <w:pPr>
              <w:pStyle w:val="Tabletext"/>
              <w:spacing w:before="20" w:after="20"/>
              <w:rPr>
                <w:rFonts w:cs="Arial"/>
                <w:b/>
              </w:rPr>
            </w:pPr>
            <w:r w:rsidRPr="00E91D60">
              <w:rPr>
                <w:rFonts w:cs="Arial"/>
                <w:b/>
                <w:bCs/>
              </w:rPr>
              <w:t>Aq100,101,104</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733E3773" w14:textId="77777777" w:rsidR="00FC4056" w:rsidRPr="00622CCD" w:rsidRDefault="00FC4056" w:rsidP="008908A5">
            <w:pPr>
              <w:pStyle w:val="Tabletext"/>
              <w:spacing w:before="20" w:after="20"/>
            </w:pPr>
            <w:r w:rsidRPr="00622CCD">
              <w:t>137.0</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34E23E53" w14:textId="77777777" w:rsidR="00FC4056" w:rsidRPr="00622CCD" w:rsidRDefault="00FC4056" w:rsidP="008908A5">
            <w:pPr>
              <w:pStyle w:val="Tabletext"/>
              <w:spacing w:before="20" w:after="20"/>
            </w:pPr>
            <w:r w:rsidRPr="00622CCD">
              <w:t>113.6</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67DC041" w14:textId="77777777" w:rsidR="00FC4056" w:rsidRPr="00622CCD" w:rsidRDefault="00FC4056" w:rsidP="008908A5">
            <w:pPr>
              <w:pStyle w:val="Tabletext"/>
              <w:spacing w:before="20" w:after="20"/>
            </w:pPr>
            <w:r w:rsidRPr="00622CCD">
              <w:t>126.3</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0145701C" w14:textId="77777777" w:rsidR="00FC4056" w:rsidRPr="00622CCD" w:rsidRDefault="00FC4056" w:rsidP="008908A5">
            <w:pPr>
              <w:pStyle w:val="Tabletext"/>
              <w:spacing w:before="20" w:after="20"/>
            </w:pPr>
            <w:r w:rsidRPr="00622CCD">
              <w:t>132.7</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FEA8443" w14:textId="77777777" w:rsidR="00FC4056" w:rsidRPr="00622CCD" w:rsidRDefault="00FC4056" w:rsidP="008908A5">
            <w:pPr>
              <w:pStyle w:val="Tabletext"/>
              <w:spacing w:before="20" w:after="20"/>
            </w:pPr>
            <w:r w:rsidRPr="00622CCD">
              <w:t>114.9</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2E0F0FB" w14:textId="77777777" w:rsidR="00FC4056" w:rsidRPr="00622CCD" w:rsidRDefault="00FC4056" w:rsidP="008908A5">
            <w:pPr>
              <w:pStyle w:val="Tabletext"/>
              <w:spacing w:before="20" w:after="20"/>
            </w:pPr>
            <w:r w:rsidRPr="00622CCD">
              <w:t>163.5</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4A89AF0A" w14:textId="77777777" w:rsidR="00FC4056" w:rsidRPr="00622CCD" w:rsidRDefault="00FC4056" w:rsidP="008908A5">
            <w:pPr>
              <w:pStyle w:val="Tabletext"/>
              <w:spacing w:before="20" w:after="20"/>
            </w:pPr>
            <w:r w:rsidRPr="00622CCD">
              <w:t>149.2</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1F0CF504" w14:textId="77777777" w:rsidR="00FC4056" w:rsidRPr="00622CCD" w:rsidRDefault="00FC4056" w:rsidP="008908A5">
            <w:pPr>
              <w:pStyle w:val="Tabletext"/>
              <w:spacing w:before="20" w:after="20"/>
            </w:pPr>
            <w:r w:rsidRPr="00622CCD">
              <w:t>135.0</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F2060E3" w14:textId="77777777" w:rsidR="00FC4056" w:rsidRPr="00622CCD" w:rsidRDefault="00FC4056" w:rsidP="008908A5">
            <w:pPr>
              <w:pStyle w:val="Tabletext"/>
              <w:spacing w:before="20" w:after="20"/>
            </w:pPr>
            <w:r w:rsidRPr="00622CCD">
              <w:t>105.5</w:t>
            </w:r>
          </w:p>
        </w:tc>
        <w:tc>
          <w:tcPr>
            <w:tcW w:w="1234" w:type="dxa"/>
            <w:tcBorders>
              <w:top w:val="single" w:sz="4" w:space="0" w:color="005A97"/>
              <w:left w:val="single" w:sz="4" w:space="0" w:color="005A97"/>
              <w:bottom w:val="single" w:sz="4" w:space="0" w:color="005A97"/>
              <w:right w:val="nil"/>
            </w:tcBorders>
            <w:noWrap/>
            <w:vAlign w:val="center"/>
          </w:tcPr>
          <w:p w14:paraId="2831B46A" w14:textId="77777777" w:rsidR="00FC4056" w:rsidRPr="00622CCD" w:rsidRDefault="00FC4056" w:rsidP="008908A5">
            <w:pPr>
              <w:pStyle w:val="Tabletext"/>
              <w:spacing w:before="20" w:after="20"/>
            </w:pPr>
            <w:r w:rsidRPr="00622CCD">
              <w:t>160.4</w:t>
            </w:r>
          </w:p>
        </w:tc>
      </w:tr>
      <w:tr w:rsidR="00165212" w:rsidRPr="00622CCD" w14:paraId="2DAA1FB2"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4445F48C" w14:textId="79BF39A7" w:rsidR="00FC4056" w:rsidRPr="00E91D60" w:rsidRDefault="00FC4056" w:rsidP="008908A5">
            <w:pPr>
              <w:pStyle w:val="Tabletext"/>
              <w:spacing w:before="20" w:after="20"/>
              <w:rPr>
                <w:rFonts w:cs="Arial"/>
                <w:b/>
              </w:rPr>
            </w:pPr>
            <w:r w:rsidRPr="00E91D60">
              <w:rPr>
                <w:rFonts w:cs="Arial"/>
                <w:b/>
                <w:bCs/>
              </w:rPr>
              <w:t>Volcanics Basal</w:t>
            </w:r>
            <w:r w:rsidR="00165212" w:rsidRPr="00E91D60">
              <w:rPr>
                <w:rFonts w:cs="Arial"/>
                <w:b/>
                <w:bCs/>
              </w:rPr>
              <w:t>ts</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4AC3885C"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A5301AB"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D73EB90"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1320E97A"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70A9B207"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391FA609"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0E318BE7"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1DD0CE39"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E84281C"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nil"/>
            </w:tcBorders>
            <w:noWrap/>
            <w:vAlign w:val="center"/>
          </w:tcPr>
          <w:p w14:paraId="5F03BE58" w14:textId="77777777" w:rsidR="00FC4056" w:rsidRPr="00622CCD" w:rsidRDefault="00FC4056" w:rsidP="008908A5">
            <w:pPr>
              <w:pStyle w:val="Tabletext"/>
              <w:spacing w:before="20" w:after="20"/>
            </w:pPr>
          </w:p>
        </w:tc>
      </w:tr>
      <w:tr w:rsidR="00165212" w:rsidRPr="00622CCD" w14:paraId="6B9656EF"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728EAE74" w14:textId="77777777" w:rsidR="00FC4056" w:rsidRPr="00E91D60" w:rsidRDefault="00FC4056" w:rsidP="008908A5">
            <w:pPr>
              <w:pStyle w:val="Tabletext"/>
              <w:spacing w:before="20" w:after="20"/>
              <w:rPr>
                <w:rFonts w:cs="Arial"/>
                <w:b/>
              </w:rPr>
            </w:pPr>
            <w:r w:rsidRPr="00E91D60">
              <w:rPr>
                <w:rFonts w:cs="Arial"/>
                <w:b/>
                <w:bCs/>
              </w:rPr>
              <w:t>Aq107</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66C77A38"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0DA8ADB5" w14:textId="77777777" w:rsidR="00FC4056" w:rsidRPr="00622CCD" w:rsidRDefault="00FC4056" w:rsidP="008908A5">
            <w:pPr>
              <w:pStyle w:val="Tabletext"/>
              <w:spacing w:before="20" w:after="20"/>
            </w:pPr>
            <w:r w:rsidRPr="00622CCD">
              <w:t>72.9</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1B1CB9CB" w14:textId="77777777" w:rsidR="00FC4056" w:rsidRPr="00622CCD" w:rsidRDefault="00FC4056" w:rsidP="008908A5">
            <w:pPr>
              <w:pStyle w:val="Tabletext"/>
              <w:spacing w:before="20" w:after="20"/>
            </w:pPr>
            <w:r w:rsidRPr="00622CCD">
              <w:t>75.7</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38106DB3" w14:textId="77777777" w:rsidR="00FC4056" w:rsidRPr="00622CCD" w:rsidRDefault="00FC4056" w:rsidP="008908A5">
            <w:pPr>
              <w:pStyle w:val="Tabletext"/>
              <w:spacing w:before="20" w:after="20"/>
            </w:pPr>
            <w:r w:rsidRPr="00622CCD">
              <w:t>115.9</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94D3468" w14:textId="77777777" w:rsidR="00FC4056" w:rsidRPr="00622CCD" w:rsidRDefault="00FC4056" w:rsidP="008908A5">
            <w:pPr>
              <w:pStyle w:val="Tabletext"/>
              <w:spacing w:before="20" w:after="20"/>
            </w:pPr>
            <w:r w:rsidRPr="00622CCD">
              <w:t>80.6</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1E06574" w14:textId="77777777" w:rsidR="00FC4056" w:rsidRPr="00622CCD" w:rsidRDefault="00FC4056" w:rsidP="008908A5">
            <w:pPr>
              <w:pStyle w:val="Tabletext"/>
              <w:spacing w:before="20" w:after="20"/>
            </w:pPr>
            <w:r w:rsidRPr="00622CCD">
              <w:t>89.9</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28A0EDA8" w14:textId="77777777" w:rsidR="00FC4056" w:rsidRPr="00622CCD" w:rsidRDefault="00FC4056" w:rsidP="008908A5">
            <w:pPr>
              <w:pStyle w:val="Tabletext"/>
              <w:spacing w:before="20" w:after="20"/>
            </w:pPr>
            <w:r w:rsidRPr="00622CCD">
              <w:t>95.8</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0CA09B1" w14:textId="77777777" w:rsidR="00FC4056" w:rsidRPr="00622CCD" w:rsidRDefault="00FC4056" w:rsidP="008908A5">
            <w:pPr>
              <w:pStyle w:val="Tabletext"/>
              <w:spacing w:before="20" w:after="20"/>
            </w:pPr>
            <w:r w:rsidRPr="00622CCD">
              <w:t>91.0</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21E2A5F7" w14:textId="77777777" w:rsidR="00FC4056" w:rsidRPr="00622CCD" w:rsidRDefault="00FC4056" w:rsidP="008908A5">
            <w:pPr>
              <w:pStyle w:val="Tabletext"/>
              <w:spacing w:before="20" w:after="20"/>
            </w:pPr>
            <w:r w:rsidRPr="00622CCD">
              <w:t>90.1</w:t>
            </w:r>
          </w:p>
        </w:tc>
        <w:tc>
          <w:tcPr>
            <w:tcW w:w="1234" w:type="dxa"/>
            <w:tcBorders>
              <w:top w:val="single" w:sz="4" w:space="0" w:color="005A97"/>
              <w:left w:val="single" w:sz="4" w:space="0" w:color="005A97"/>
              <w:bottom w:val="single" w:sz="4" w:space="0" w:color="005A97"/>
              <w:right w:val="nil"/>
            </w:tcBorders>
            <w:noWrap/>
            <w:vAlign w:val="center"/>
          </w:tcPr>
          <w:p w14:paraId="0F05C655" w14:textId="77777777" w:rsidR="00FC4056" w:rsidRPr="00622CCD" w:rsidRDefault="00FC4056" w:rsidP="008908A5">
            <w:pPr>
              <w:pStyle w:val="Tabletext"/>
              <w:spacing w:before="20" w:after="20"/>
            </w:pPr>
            <w:r w:rsidRPr="00622CCD">
              <w:t>75.0</w:t>
            </w:r>
          </w:p>
        </w:tc>
      </w:tr>
      <w:tr w:rsidR="00165212" w:rsidRPr="00622CCD" w14:paraId="1CCE00B6"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0192078A" w14:textId="77777777" w:rsidR="00FC4056" w:rsidRPr="00E91D60" w:rsidRDefault="00FC4056" w:rsidP="008908A5">
            <w:pPr>
              <w:pStyle w:val="Tabletext"/>
              <w:spacing w:before="20" w:after="20"/>
              <w:rPr>
                <w:rFonts w:cs="Arial"/>
                <w:b/>
              </w:rPr>
            </w:pPr>
            <w:r w:rsidRPr="00E91D60">
              <w:rPr>
                <w:rFonts w:cs="Arial"/>
                <w:b/>
                <w:bCs/>
              </w:rPr>
              <w:t>Aqd108</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5A37DE39" w14:textId="77777777" w:rsidR="00FC4056" w:rsidRPr="00622CCD" w:rsidRDefault="00FC4056" w:rsidP="008908A5">
            <w:pPr>
              <w:pStyle w:val="Tabletext"/>
              <w:spacing w:before="20" w:after="20"/>
            </w:pPr>
            <w:r w:rsidRPr="00622CCD">
              <w:t>76.9</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2C55072D" w14:textId="77777777" w:rsidR="00FC4056" w:rsidRPr="00622CCD" w:rsidRDefault="00FC4056" w:rsidP="008908A5">
            <w:pPr>
              <w:pStyle w:val="Tabletext"/>
              <w:spacing w:before="20" w:after="20"/>
            </w:pPr>
            <w:r w:rsidRPr="00622CCD">
              <w:t>-10.0</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5011FD0" w14:textId="77777777" w:rsidR="00FC4056" w:rsidRPr="00622CCD" w:rsidRDefault="00FC4056" w:rsidP="008908A5">
            <w:pPr>
              <w:pStyle w:val="Tabletext"/>
              <w:spacing w:before="20" w:after="20"/>
            </w:pPr>
            <w:r w:rsidRPr="00622CCD">
              <w:t>10.1</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272E5FEE" w14:textId="77777777" w:rsidR="00FC4056" w:rsidRPr="00622CCD" w:rsidRDefault="00FC4056" w:rsidP="008908A5">
            <w:pPr>
              <w:pStyle w:val="Tabletext"/>
              <w:spacing w:before="20" w:after="20"/>
            </w:pPr>
            <w:r w:rsidRPr="00622CCD">
              <w:t>2.7</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3923007B" w14:textId="77777777" w:rsidR="00FC4056" w:rsidRPr="00622CCD" w:rsidRDefault="00FC4056" w:rsidP="008908A5">
            <w:pPr>
              <w:pStyle w:val="Tabletext"/>
              <w:spacing w:before="20" w:after="20"/>
            </w:pPr>
            <w:r w:rsidRPr="00622CCD">
              <w:t>-29.6</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0ED6526B" w14:textId="77777777" w:rsidR="00FC4056" w:rsidRPr="00622CCD" w:rsidRDefault="00FC4056" w:rsidP="008908A5">
            <w:pPr>
              <w:pStyle w:val="Tabletext"/>
              <w:spacing w:before="20" w:after="20"/>
            </w:pPr>
            <w:r w:rsidRPr="00622CCD">
              <w:t>60.4</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4F247D48" w14:textId="77777777" w:rsidR="00FC4056" w:rsidRPr="00622CCD" w:rsidRDefault="00FC4056" w:rsidP="008908A5">
            <w:pPr>
              <w:pStyle w:val="Tabletext"/>
              <w:spacing w:before="20" w:after="20"/>
            </w:pPr>
            <w:r w:rsidRPr="00622CCD">
              <w:t>-5.8</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5E705A7" w14:textId="77777777" w:rsidR="00FC4056" w:rsidRPr="00622CCD" w:rsidRDefault="00FC4056" w:rsidP="008908A5">
            <w:pPr>
              <w:pStyle w:val="Tabletext"/>
              <w:spacing w:before="20" w:after="20"/>
            </w:pPr>
            <w:r w:rsidRPr="00622CCD">
              <w:t>36.2</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AD0B0FB"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nil"/>
            </w:tcBorders>
            <w:noWrap/>
            <w:vAlign w:val="center"/>
          </w:tcPr>
          <w:p w14:paraId="43227ACE" w14:textId="77777777" w:rsidR="00FC4056" w:rsidRPr="00622CCD" w:rsidRDefault="00FC4056" w:rsidP="008908A5">
            <w:pPr>
              <w:pStyle w:val="Tabletext"/>
              <w:spacing w:before="20" w:after="20"/>
            </w:pPr>
          </w:p>
        </w:tc>
      </w:tr>
      <w:tr w:rsidR="00165212" w:rsidRPr="00622CCD" w14:paraId="5C951694"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25FE11B9" w14:textId="77777777" w:rsidR="00FC4056" w:rsidRPr="00E91D60" w:rsidRDefault="00FC4056" w:rsidP="008908A5">
            <w:pPr>
              <w:pStyle w:val="Tabletext"/>
              <w:spacing w:before="20" w:after="20"/>
              <w:rPr>
                <w:rFonts w:cs="Arial"/>
                <w:b/>
              </w:rPr>
            </w:pPr>
            <w:r w:rsidRPr="00E91D60">
              <w:rPr>
                <w:rFonts w:cs="Arial"/>
                <w:b/>
                <w:bCs/>
              </w:rPr>
              <w:t>AQ109</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1EFAA440"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107BEE04" w14:textId="77777777" w:rsidR="00FC4056" w:rsidRPr="00622CCD" w:rsidRDefault="00FC4056" w:rsidP="008908A5">
            <w:pPr>
              <w:pStyle w:val="Tabletext"/>
              <w:spacing w:before="20" w:after="20"/>
            </w:pPr>
            <w:r w:rsidRPr="00622CCD">
              <w:t>-206.8</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7D66BCDB" w14:textId="77777777" w:rsidR="00FC4056" w:rsidRPr="00622CCD" w:rsidRDefault="00FC4056" w:rsidP="008908A5">
            <w:pPr>
              <w:pStyle w:val="Tabletext"/>
              <w:spacing w:before="20" w:after="20"/>
            </w:pPr>
            <w:r w:rsidRPr="00622CCD">
              <w:t>-215.7</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6968209B" w14:textId="77777777" w:rsidR="00FC4056" w:rsidRPr="00622CCD" w:rsidRDefault="00FC4056" w:rsidP="008908A5">
            <w:pPr>
              <w:pStyle w:val="Tabletext"/>
              <w:spacing w:before="20" w:after="20"/>
            </w:pPr>
            <w:r w:rsidRPr="00622CCD">
              <w:t>-179.2</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AB7CEAC" w14:textId="77777777" w:rsidR="00FC4056" w:rsidRPr="00622CCD" w:rsidRDefault="00FC4056" w:rsidP="008908A5">
            <w:pPr>
              <w:pStyle w:val="Tabletext"/>
              <w:spacing w:before="20" w:after="20"/>
            </w:pPr>
            <w:r w:rsidRPr="00622CCD">
              <w:t>-148.6</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88079B2" w14:textId="77777777" w:rsidR="00FC4056" w:rsidRPr="00622CCD" w:rsidRDefault="00FC4056" w:rsidP="008908A5">
            <w:pPr>
              <w:pStyle w:val="Tabletext"/>
              <w:spacing w:before="20" w:after="20"/>
            </w:pPr>
            <w:r w:rsidRPr="00622CCD">
              <w:t>-83.7</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53C97A01" w14:textId="77777777" w:rsidR="00FC4056" w:rsidRPr="00622CCD" w:rsidRDefault="00FC4056" w:rsidP="008908A5">
            <w:pPr>
              <w:pStyle w:val="Tabletext"/>
              <w:spacing w:before="20" w:after="20"/>
            </w:pPr>
            <w:r w:rsidRPr="00622CCD">
              <w:t>-56.4</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735A581E" w14:textId="77777777" w:rsidR="00FC4056" w:rsidRPr="00622CCD" w:rsidRDefault="00FC4056" w:rsidP="008908A5">
            <w:pPr>
              <w:pStyle w:val="Tabletext"/>
              <w:spacing w:before="20" w:after="20"/>
            </w:pPr>
            <w:r w:rsidRPr="00622CCD">
              <w:t>6.0</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BF37C58"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nil"/>
            </w:tcBorders>
            <w:noWrap/>
            <w:vAlign w:val="center"/>
          </w:tcPr>
          <w:p w14:paraId="76F62923" w14:textId="77777777" w:rsidR="00FC4056" w:rsidRPr="00622CCD" w:rsidRDefault="00FC4056" w:rsidP="008908A5">
            <w:pPr>
              <w:pStyle w:val="Tabletext"/>
              <w:spacing w:before="20" w:after="20"/>
            </w:pPr>
          </w:p>
        </w:tc>
      </w:tr>
      <w:tr w:rsidR="00165212" w:rsidRPr="00622CCD" w14:paraId="64A947FE"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5E901723" w14:textId="77777777" w:rsidR="00FC4056" w:rsidRPr="00E91D60" w:rsidRDefault="00FC4056" w:rsidP="008908A5">
            <w:pPr>
              <w:pStyle w:val="Tabletext"/>
              <w:spacing w:before="20" w:after="20"/>
              <w:rPr>
                <w:rFonts w:cs="Arial"/>
                <w:b/>
              </w:rPr>
            </w:pPr>
            <w:r w:rsidRPr="00E91D60">
              <w:rPr>
                <w:rFonts w:cs="Arial"/>
                <w:b/>
                <w:bCs/>
              </w:rPr>
              <w:t>AQD110/AQD111</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58D47EB8" w14:textId="77777777" w:rsidR="00FC4056" w:rsidRPr="00622CCD" w:rsidRDefault="00FC4056" w:rsidP="008908A5">
            <w:pPr>
              <w:pStyle w:val="Tabletext"/>
              <w:spacing w:before="20" w:after="20"/>
            </w:pPr>
            <w:r w:rsidRPr="00622CCD">
              <w:t>-230.9</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B0E2CFC"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19E0BF14"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5E0F1B96"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04A2219D" w14:textId="77777777" w:rsidR="00FC4056" w:rsidRPr="00622CCD" w:rsidRDefault="00FC4056" w:rsidP="008908A5">
            <w:pPr>
              <w:pStyle w:val="Tabletext"/>
              <w:spacing w:before="20" w:after="20"/>
            </w:pPr>
            <w:r w:rsidRPr="00622CCD">
              <w:t>-264.1</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AF02886"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4A4F8820" w14:textId="77777777" w:rsidR="00FC4056" w:rsidRPr="00622CCD" w:rsidRDefault="00FC4056" w:rsidP="008908A5">
            <w:pPr>
              <w:pStyle w:val="Tabletext"/>
              <w:spacing w:before="20" w:after="20"/>
            </w:pPr>
            <w:r w:rsidRPr="00622CCD">
              <w:t>-75.8</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8261F98" w14:textId="77777777" w:rsidR="00FC4056" w:rsidRPr="00622CCD" w:rsidRDefault="00FC4056" w:rsidP="008908A5">
            <w:pPr>
              <w:pStyle w:val="Tabletext"/>
              <w:spacing w:before="20" w:after="20"/>
            </w:pPr>
            <w:r w:rsidRPr="00622CCD">
              <w:t>-30.3</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1997009C" w14:textId="77777777" w:rsidR="00FC4056" w:rsidRPr="00622CCD" w:rsidRDefault="00FC4056" w:rsidP="008908A5">
            <w:pPr>
              <w:pStyle w:val="Tabletext"/>
              <w:spacing w:before="20" w:after="20"/>
            </w:pPr>
            <w:r w:rsidRPr="00622CCD">
              <w:t>40.8</w:t>
            </w:r>
          </w:p>
        </w:tc>
        <w:tc>
          <w:tcPr>
            <w:tcW w:w="1234" w:type="dxa"/>
            <w:tcBorders>
              <w:top w:val="single" w:sz="4" w:space="0" w:color="005A97"/>
              <w:left w:val="single" w:sz="4" w:space="0" w:color="005A97"/>
              <w:bottom w:val="single" w:sz="4" w:space="0" w:color="005A97"/>
              <w:right w:val="nil"/>
            </w:tcBorders>
            <w:noWrap/>
            <w:vAlign w:val="center"/>
          </w:tcPr>
          <w:p w14:paraId="50FF13D9" w14:textId="77777777" w:rsidR="00FC4056" w:rsidRPr="00622CCD" w:rsidRDefault="00FC4056" w:rsidP="008908A5">
            <w:pPr>
              <w:pStyle w:val="Tabletext"/>
              <w:spacing w:before="20" w:after="20"/>
            </w:pPr>
          </w:p>
        </w:tc>
      </w:tr>
      <w:tr w:rsidR="00165212" w:rsidRPr="00622CCD" w14:paraId="799CD16F"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4D3BC526" w14:textId="77777777" w:rsidR="00FC4056" w:rsidRPr="00E91D60" w:rsidRDefault="00FC4056" w:rsidP="008908A5">
            <w:pPr>
              <w:pStyle w:val="Tabletext"/>
              <w:spacing w:before="20" w:after="20"/>
              <w:rPr>
                <w:rFonts w:cs="Arial"/>
                <w:b/>
              </w:rPr>
            </w:pPr>
            <w:r w:rsidRPr="00E91D60">
              <w:rPr>
                <w:rFonts w:cs="Arial"/>
                <w:b/>
                <w:bCs/>
              </w:rPr>
              <w:t>Aq111</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09070F89" w14:textId="77777777" w:rsidR="00FC4056" w:rsidRPr="00622CCD" w:rsidRDefault="00FC4056" w:rsidP="008908A5">
            <w:pPr>
              <w:pStyle w:val="Tabletext"/>
              <w:spacing w:before="20" w:after="20"/>
            </w:pPr>
            <w:r w:rsidRPr="00622CCD">
              <w:t>-270.1</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EEBAE3E" w14:textId="77777777" w:rsidR="00FC4056" w:rsidRPr="00622CCD" w:rsidRDefault="00FC4056" w:rsidP="008908A5">
            <w:pPr>
              <w:pStyle w:val="Tabletext"/>
              <w:spacing w:before="20" w:after="20"/>
            </w:pPr>
            <w:r w:rsidRPr="00622CCD">
              <w:t>-260.1</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288788F" w14:textId="77777777" w:rsidR="00FC4056" w:rsidRPr="00622CCD" w:rsidRDefault="00FC4056" w:rsidP="008908A5">
            <w:pPr>
              <w:pStyle w:val="Tabletext"/>
              <w:spacing w:before="20" w:after="20"/>
            </w:pPr>
            <w:r w:rsidRPr="00622CCD">
              <w:t>-328.9</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2885DF57" w14:textId="77777777" w:rsidR="00FC4056" w:rsidRPr="00622CCD" w:rsidRDefault="00FC4056" w:rsidP="008908A5">
            <w:pPr>
              <w:pStyle w:val="Tabletext"/>
              <w:spacing w:before="20" w:after="20"/>
            </w:pPr>
            <w:r w:rsidRPr="00622CCD">
              <w:t>-297.2</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32D5DAD5" w14:textId="77777777" w:rsidR="00FC4056" w:rsidRPr="00622CCD" w:rsidRDefault="00FC4056" w:rsidP="008908A5">
            <w:pPr>
              <w:pStyle w:val="Tabletext"/>
              <w:spacing w:before="20" w:after="20"/>
            </w:pPr>
            <w:r w:rsidRPr="00622CCD">
              <w:t>-278.2</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138E921"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0F548955" w14:textId="77777777" w:rsidR="00FC4056" w:rsidRPr="00622CCD" w:rsidRDefault="00FC4056" w:rsidP="008908A5">
            <w:pPr>
              <w:pStyle w:val="Tabletext"/>
              <w:spacing w:before="20" w:after="20"/>
            </w:pPr>
            <w:r w:rsidRPr="00622CCD">
              <w:t>102.4</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39253C66" w14:textId="77777777" w:rsidR="00FC4056" w:rsidRPr="00622CCD" w:rsidRDefault="00FC4056" w:rsidP="008908A5">
            <w:pPr>
              <w:pStyle w:val="Tabletext"/>
              <w:spacing w:before="20" w:after="20"/>
            </w:pPr>
            <w:r w:rsidRPr="00622CCD">
              <w:t>-53.0</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48AE992" w14:textId="77777777" w:rsidR="00FC4056" w:rsidRPr="00622CCD" w:rsidRDefault="00FC4056" w:rsidP="008908A5">
            <w:pPr>
              <w:pStyle w:val="Tabletext"/>
              <w:spacing w:before="20" w:after="20"/>
            </w:pPr>
            <w:r w:rsidRPr="00622CCD">
              <w:t>48.6</w:t>
            </w:r>
          </w:p>
        </w:tc>
        <w:tc>
          <w:tcPr>
            <w:tcW w:w="1234" w:type="dxa"/>
            <w:tcBorders>
              <w:top w:val="single" w:sz="4" w:space="0" w:color="005A97"/>
              <w:left w:val="single" w:sz="4" w:space="0" w:color="005A97"/>
              <w:bottom w:val="single" w:sz="4" w:space="0" w:color="005A97"/>
              <w:right w:val="nil"/>
            </w:tcBorders>
            <w:noWrap/>
            <w:vAlign w:val="center"/>
          </w:tcPr>
          <w:p w14:paraId="402F820C" w14:textId="77777777" w:rsidR="00FC4056" w:rsidRPr="00622CCD" w:rsidRDefault="00FC4056" w:rsidP="008908A5">
            <w:pPr>
              <w:pStyle w:val="Tabletext"/>
              <w:spacing w:before="20" w:after="20"/>
            </w:pPr>
            <w:r w:rsidRPr="00622CCD">
              <w:t>136.5</w:t>
            </w:r>
          </w:p>
        </w:tc>
      </w:tr>
      <w:tr w:rsidR="00165212" w:rsidRPr="00622CCD" w14:paraId="1CF1A281"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101B8FAE" w14:textId="77777777" w:rsidR="00FC4056" w:rsidRPr="00E91D60" w:rsidRDefault="00FC4056" w:rsidP="008908A5">
            <w:pPr>
              <w:pStyle w:val="Tabletext"/>
              <w:spacing w:before="20" w:after="20"/>
              <w:rPr>
                <w:rFonts w:cs="Arial"/>
                <w:b/>
              </w:rPr>
            </w:pPr>
            <w:r w:rsidRPr="00E91D60">
              <w:rPr>
                <w:rFonts w:cs="Arial"/>
                <w:b/>
                <w:bCs/>
              </w:rPr>
              <w:t>Aq112</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0C63BF89"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9B79C85"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3FC8B88"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4A81CBDA"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7076562A"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06D47FA6"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2131B67C"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0B3268D9"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27ED1058"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nil"/>
            </w:tcBorders>
            <w:noWrap/>
            <w:vAlign w:val="center"/>
          </w:tcPr>
          <w:p w14:paraId="4C98CCB2" w14:textId="77777777" w:rsidR="00FC4056" w:rsidRPr="00622CCD" w:rsidRDefault="00FC4056" w:rsidP="008908A5">
            <w:pPr>
              <w:pStyle w:val="Tabletext"/>
              <w:spacing w:before="20" w:after="20"/>
            </w:pPr>
          </w:p>
        </w:tc>
      </w:tr>
      <w:tr w:rsidR="00165212" w:rsidRPr="00622CCD" w14:paraId="49871E42"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7CF40088" w14:textId="77777777" w:rsidR="00FC4056" w:rsidRPr="00E91D60" w:rsidRDefault="00FC4056" w:rsidP="008908A5">
            <w:pPr>
              <w:pStyle w:val="Tabletext"/>
              <w:spacing w:before="20" w:after="20"/>
              <w:rPr>
                <w:rFonts w:cs="Arial"/>
                <w:b/>
              </w:rPr>
            </w:pPr>
            <w:r w:rsidRPr="00E91D60">
              <w:rPr>
                <w:rFonts w:cs="Arial"/>
                <w:b/>
                <w:bCs/>
              </w:rPr>
              <w:t>Aq111</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37C56129"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2A2D3032"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229EC0E3"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3F5A8C52"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0FC6070D"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3B09285C"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695E1275"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8F705D1"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17A711AC"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nil"/>
            </w:tcBorders>
            <w:noWrap/>
            <w:vAlign w:val="center"/>
          </w:tcPr>
          <w:p w14:paraId="7F5DB8CA" w14:textId="77777777" w:rsidR="00FC4056" w:rsidRPr="00622CCD" w:rsidRDefault="00FC4056" w:rsidP="008908A5">
            <w:pPr>
              <w:pStyle w:val="Tabletext"/>
              <w:spacing w:before="20" w:after="20"/>
            </w:pPr>
          </w:p>
        </w:tc>
      </w:tr>
      <w:tr w:rsidR="00165212" w:rsidRPr="00622CCD" w14:paraId="2A2BD9ED"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5FA0B400" w14:textId="77777777" w:rsidR="00FC4056" w:rsidRPr="00E91D60" w:rsidRDefault="00FC4056" w:rsidP="008908A5">
            <w:pPr>
              <w:pStyle w:val="Tabletext"/>
              <w:spacing w:before="20" w:after="20"/>
              <w:rPr>
                <w:rFonts w:cs="Arial"/>
                <w:b/>
              </w:rPr>
            </w:pPr>
            <w:r w:rsidRPr="00E91D60">
              <w:rPr>
                <w:rFonts w:cs="Arial"/>
                <w:b/>
                <w:bCs/>
              </w:rPr>
              <w:t>Sherbrook</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33263EAA"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D3ED15A" w14:textId="77777777" w:rsidR="00FC4056" w:rsidRPr="00622CCD" w:rsidRDefault="00FC4056" w:rsidP="008908A5">
            <w:pPr>
              <w:pStyle w:val="Tabletext"/>
              <w:spacing w:before="20" w:after="20"/>
            </w:pPr>
            <w:r w:rsidRPr="00622CCD">
              <w:t>-349.2</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DF2627B" w14:textId="77777777" w:rsidR="00FC4056" w:rsidRPr="00622CCD" w:rsidRDefault="00FC4056" w:rsidP="008908A5">
            <w:pPr>
              <w:pStyle w:val="Tabletext"/>
              <w:spacing w:before="20" w:after="20"/>
            </w:pPr>
            <w:r w:rsidRPr="00622CCD">
              <w:t>-310.7</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66B8DB07" w14:textId="77777777" w:rsidR="00FC4056" w:rsidRPr="00622CCD" w:rsidRDefault="00FC4056" w:rsidP="008908A5">
            <w:pPr>
              <w:pStyle w:val="Tabletext"/>
              <w:spacing w:before="20" w:after="20"/>
            </w:pPr>
            <w:r w:rsidRPr="00622CCD">
              <w:t>-345.4</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CB78D48" w14:textId="77777777" w:rsidR="00FC4056" w:rsidRPr="00622CCD" w:rsidRDefault="00FC4056" w:rsidP="008908A5">
            <w:pPr>
              <w:pStyle w:val="Tabletext"/>
              <w:spacing w:before="20" w:after="20"/>
            </w:pP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08B3F906" w14:textId="77777777" w:rsidR="00FC4056" w:rsidRPr="00622CCD" w:rsidRDefault="00FC4056" w:rsidP="008908A5">
            <w:pPr>
              <w:pStyle w:val="Tabletext"/>
              <w:spacing w:before="20" w:after="20"/>
            </w:pP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7B6503F0" w14:textId="77777777" w:rsidR="00FC4056" w:rsidRPr="00622CCD" w:rsidRDefault="00FC4056" w:rsidP="008908A5">
            <w:pPr>
              <w:pStyle w:val="Tabletext"/>
              <w:spacing w:before="20" w:after="20"/>
            </w:pPr>
            <w:r w:rsidRPr="00622CCD">
              <w:t>-170.1</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D550732" w14:textId="77777777" w:rsidR="00FC4056" w:rsidRPr="00622CCD" w:rsidRDefault="00FC4056" w:rsidP="008908A5">
            <w:pPr>
              <w:pStyle w:val="Tabletext"/>
              <w:spacing w:before="20" w:after="20"/>
            </w:pPr>
            <w:r w:rsidRPr="00622CCD">
              <w:t>-170.6</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7201F07D" w14:textId="77777777" w:rsidR="00FC4056" w:rsidRPr="00622CCD" w:rsidRDefault="00FC4056" w:rsidP="008908A5">
            <w:pPr>
              <w:pStyle w:val="Tabletext"/>
              <w:spacing w:before="20" w:after="20"/>
            </w:pPr>
            <w:r w:rsidRPr="00622CCD">
              <w:t>-148.7</w:t>
            </w:r>
          </w:p>
        </w:tc>
        <w:tc>
          <w:tcPr>
            <w:tcW w:w="1234" w:type="dxa"/>
            <w:tcBorders>
              <w:top w:val="single" w:sz="4" w:space="0" w:color="005A97"/>
              <w:left w:val="single" w:sz="4" w:space="0" w:color="005A97"/>
              <w:bottom w:val="single" w:sz="4" w:space="0" w:color="005A97"/>
              <w:right w:val="nil"/>
            </w:tcBorders>
            <w:noWrap/>
            <w:vAlign w:val="center"/>
          </w:tcPr>
          <w:p w14:paraId="4F73D7D5" w14:textId="77777777" w:rsidR="00FC4056" w:rsidRPr="00622CCD" w:rsidRDefault="00FC4056" w:rsidP="008908A5">
            <w:pPr>
              <w:pStyle w:val="Tabletext"/>
              <w:spacing w:before="20" w:after="20"/>
            </w:pPr>
          </w:p>
        </w:tc>
      </w:tr>
      <w:tr w:rsidR="00165212" w:rsidRPr="00622CCD" w14:paraId="07266C02"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6F5420E0" w14:textId="77777777" w:rsidR="00FC4056" w:rsidRPr="00E91D60" w:rsidRDefault="00FC4056" w:rsidP="008908A5">
            <w:pPr>
              <w:pStyle w:val="Tabletext"/>
              <w:spacing w:before="20" w:after="20"/>
              <w:rPr>
                <w:rFonts w:cs="Arial"/>
                <w:b/>
              </w:rPr>
            </w:pPr>
            <w:r w:rsidRPr="00E91D60">
              <w:rPr>
                <w:rFonts w:cs="Arial"/>
                <w:b/>
                <w:bCs/>
              </w:rPr>
              <w:t>Source Unit</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tcPr>
          <w:p w14:paraId="097E3208" w14:textId="77777777" w:rsidR="00FC4056" w:rsidRPr="00622CCD" w:rsidRDefault="00FC4056" w:rsidP="008908A5">
            <w:pPr>
              <w:pStyle w:val="Tabletext"/>
              <w:spacing w:before="20" w:after="20"/>
            </w:pPr>
            <w:r w:rsidRPr="00622CCD">
              <w:t>-968.5</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49520BBC" w14:textId="77777777" w:rsidR="00FC4056" w:rsidRPr="00622CCD" w:rsidRDefault="00FC4056" w:rsidP="008908A5">
            <w:pPr>
              <w:pStyle w:val="Tabletext"/>
              <w:spacing w:before="20" w:after="20"/>
            </w:pPr>
            <w:r w:rsidRPr="00622CCD">
              <w:t>-1335.6</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B99194A" w14:textId="77777777" w:rsidR="00FC4056" w:rsidRPr="00622CCD" w:rsidRDefault="00FC4056" w:rsidP="008908A5">
            <w:pPr>
              <w:pStyle w:val="Tabletext"/>
              <w:spacing w:before="20" w:after="20"/>
            </w:pPr>
            <w:r w:rsidRPr="00622CCD">
              <w:t>-1125.8</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6B6C1E99" w14:textId="77777777" w:rsidR="00FC4056" w:rsidRPr="00622CCD" w:rsidRDefault="00FC4056" w:rsidP="008908A5">
            <w:pPr>
              <w:pStyle w:val="Tabletext"/>
              <w:spacing w:before="20" w:after="20"/>
            </w:pPr>
            <w:r w:rsidRPr="00622CCD">
              <w:t>-1140.0</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2DDEB105" w14:textId="77777777" w:rsidR="00FC4056" w:rsidRPr="00622CCD" w:rsidRDefault="00FC4056" w:rsidP="008908A5">
            <w:pPr>
              <w:pStyle w:val="Tabletext"/>
              <w:spacing w:before="20" w:after="20"/>
            </w:pPr>
            <w:r w:rsidRPr="00622CCD">
              <w:t>-1042.4</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5339D3C6" w14:textId="77777777" w:rsidR="00FC4056" w:rsidRPr="00622CCD" w:rsidRDefault="00FC4056" w:rsidP="008908A5">
            <w:pPr>
              <w:pStyle w:val="Tabletext"/>
              <w:spacing w:before="20" w:after="20"/>
            </w:pPr>
            <w:r w:rsidRPr="00622CCD">
              <w:t>-887.3</w:t>
            </w:r>
          </w:p>
        </w:tc>
        <w:tc>
          <w:tcPr>
            <w:tcW w:w="1234" w:type="dxa"/>
            <w:tcBorders>
              <w:top w:val="single" w:sz="4" w:space="0" w:color="005A97"/>
              <w:left w:val="single" w:sz="4" w:space="0" w:color="005A97"/>
              <w:bottom w:val="single" w:sz="4" w:space="0" w:color="005A97"/>
              <w:right w:val="single" w:sz="4" w:space="0" w:color="005A97"/>
            </w:tcBorders>
            <w:noWrap/>
            <w:vAlign w:val="center"/>
          </w:tcPr>
          <w:p w14:paraId="6C7E2D4A" w14:textId="77777777" w:rsidR="00FC4056" w:rsidRPr="00622CCD" w:rsidRDefault="00FC4056" w:rsidP="008908A5">
            <w:pPr>
              <w:pStyle w:val="Tabletext"/>
              <w:spacing w:before="20" w:after="20"/>
            </w:pPr>
            <w:r w:rsidRPr="00622CCD">
              <w:t>-1625.3</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3F9C7255" w14:textId="77777777" w:rsidR="00FC4056" w:rsidRPr="00622CCD" w:rsidRDefault="00FC4056" w:rsidP="008908A5">
            <w:pPr>
              <w:pStyle w:val="Tabletext"/>
              <w:spacing w:before="20" w:after="20"/>
            </w:pPr>
            <w:r w:rsidRPr="00622CCD">
              <w:t>-1603.9</w:t>
            </w:r>
          </w:p>
        </w:tc>
        <w:tc>
          <w:tcPr>
            <w:tcW w:w="1233" w:type="dxa"/>
            <w:tcBorders>
              <w:top w:val="single" w:sz="4" w:space="0" w:color="005A97"/>
              <w:left w:val="single" w:sz="4" w:space="0" w:color="005A97"/>
              <w:bottom w:val="single" w:sz="4" w:space="0" w:color="005A97"/>
              <w:right w:val="single" w:sz="4" w:space="0" w:color="005A97"/>
            </w:tcBorders>
            <w:noWrap/>
            <w:vAlign w:val="center"/>
          </w:tcPr>
          <w:p w14:paraId="6FDB09DB" w14:textId="77777777" w:rsidR="00FC4056" w:rsidRPr="00622CCD" w:rsidRDefault="00FC4056" w:rsidP="008908A5">
            <w:pPr>
              <w:pStyle w:val="Tabletext"/>
              <w:spacing w:before="20" w:after="20"/>
            </w:pPr>
            <w:r w:rsidRPr="00622CCD">
              <w:t>-1420.2</w:t>
            </w:r>
          </w:p>
        </w:tc>
        <w:tc>
          <w:tcPr>
            <w:tcW w:w="1234" w:type="dxa"/>
            <w:tcBorders>
              <w:top w:val="single" w:sz="4" w:space="0" w:color="005A97"/>
              <w:left w:val="single" w:sz="4" w:space="0" w:color="005A97"/>
              <w:bottom w:val="single" w:sz="4" w:space="0" w:color="005A97"/>
              <w:right w:val="nil"/>
            </w:tcBorders>
            <w:noWrap/>
            <w:vAlign w:val="center"/>
          </w:tcPr>
          <w:p w14:paraId="411614BD" w14:textId="77777777" w:rsidR="00FC4056" w:rsidRPr="00622CCD" w:rsidRDefault="00FC4056" w:rsidP="008908A5">
            <w:pPr>
              <w:pStyle w:val="Tabletext"/>
              <w:spacing w:before="20" w:after="20"/>
            </w:pPr>
            <w:r w:rsidRPr="00622CCD">
              <w:t>-1428.7</w:t>
            </w:r>
          </w:p>
        </w:tc>
      </w:tr>
    </w:tbl>
    <w:p w14:paraId="6E6056F5" w14:textId="77777777" w:rsidR="00FC4056" w:rsidRDefault="00FC4056" w:rsidP="00331966"/>
    <w:p w14:paraId="4A7818A3" w14:textId="77777777" w:rsidR="00622CCD" w:rsidRDefault="00622CCD" w:rsidP="00331966"/>
    <w:tbl>
      <w:tblPr>
        <w:tblStyle w:val="TableGrid"/>
        <w:tblW w:w="0" w:type="auto"/>
        <w:tblInd w:w="108" w:type="dxa"/>
        <w:tblLayout w:type="fixed"/>
        <w:tblLook w:val="04A0" w:firstRow="1" w:lastRow="0" w:firstColumn="1" w:lastColumn="0" w:noHBand="0" w:noVBand="1"/>
      </w:tblPr>
      <w:tblGrid>
        <w:gridCol w:w="2268"/>
        <w:gridCol w:w="34"/>
        <w:gridCol w:w="1207"/>
        <w:gridCol w:w="1241"/>
        <w:gridCol w:w="1241"/>
        <w:gridCol w:w="1241"/>
        <w:gridCol w:w="1241"/>
        <w:gridCol w:w="1241"/>
        <w:gridCol w:w="1241"/>
        <w:gridCol w:w="1241"/>
        <w:gridCol w:w="1241"/>
        <w:gridCol w:w="1164"/>
        <w:gridCol w:w="34"/>
      </w:tblGrid>
      <w:tr w:rsidR="00FC4056" w:rsidRPr="00622CCD" w14:paraId="30472D0F" w14:textId="77777777" w:rsidTr="008908A5">
        <w:trPr>
          <w:trHeight w:val="283"/>
        </w:trPr>
        <w:tc>
          <w:tcPr>
            <w:tcW w:w="2302" w:type="dxa"/>
            <w:gridSpan w:val="2"/>
            <w:tcBorders>
              <w:top w:val="nil"/>
              <w:left w:val="nil"/>
              <w:bottom w:val="single" w:sz="4" w:space="0" w:color="005A97"/>
              <w:right w:val="single" w:sz="4" w:space="0" w:color="FFFFFF"/>
            </w:tcBorders>
            <w:shd w:val="clear" w:color="auto" w:fill="005A97"/>
            <w:vAlign w:val="center"/>
          </w:tcPr>
          <w:p w14:paraId="6B108FEF" w14:textId="77777777" w:rsidR="00FC4056" w:rsidRPr="00622CCD" w:rsidRDefault="00FC4056" w:rsidP="008908A5">
            <w:pPr>
              <w:pStyle w:val="TableHeaderrow"/>
            </w:pPr>
          </w:p>
        </w:tc>
        <w:tc>
          <w:tcPr>
            <w:tcW w:w="12333" w:type="dxa"/>
            <w:gridSpan w:val="11"/>
            <w:tcBorders>
              <w:top w:val="nil"/>
              <w:left w:val="single" w:sz="4" w:space="0" w:color="FFFFFF"/>
              <w:bottom w:val="single" w:sz="4" w:space="0" w:color="005A97"/>
              <w:right w:val="nil"/>
            </w:tcBorders>
            <w:shd w:val="clear" w:color="auto" w:fill="005A97"/>
            <w:noWrap/>
            <w:vAlign w:val="center"/>
          </w:tcPr>
          <w:p w14:paraId="756EA1EE" w14:textId="77777777" w:rsidR="00FC4056" w:rsidRPr="00622CCD" w:rsidRDefault="00FC4056" w:rsidP="008908A5">
            <w:pPr>
              <w:pStyle w:val="TableHeaderrow"/>
            </w:pPr>
            <w:r w:rsidRPr="00622CCD">
              <w:t>Elevation of Top of Layer (m AHD)</w:t>
            </w:r>
          </w:p>
        </w:tc>
      </w:tr>
      <w:tr w:rsidR="00A043BC" w:rsidRPr="00E91D60" w14:paraId="50739C8C"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35986D32" w14:textId="77777777" w:rsidR="00FC4056" w:rsidRPr="00E91D60" w:rsidRDefault="00FC4056" w:rsidP="008908A5">
            <w:pPr>
              <w:pStyle w:val="Tabletext"/>
              <w:rPr>
                <w:b/>
              </w:rPr>
            </w:pPr>
            <w:r w:rsidRPr="00E91D60">
              <w:rPr>
                <w:b/>
              </w:rPr>
              <w:t>Aquifer</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hideMark/>
          </w:tcPr>
          <w:p w14:paraId="33A1DB5A" w14:textId="77777777" w:rsidR="00FC4056" w:rsidRPr="00E91D60" w:rsidRDefault="00FC4056" w:rsidP="008908A5">
            <w:pPr>
              <w:pStyle w:val="Tabletext"/>
              <w:rPr>
                <w:rFonts w:eastAsiaTheme="majorEastAsia" w:cstheme="majorBidi"/>
                <w:b/>
                <w:color w:val="0079CD" w:themeColor="text1" w:themeTint="D8"/>
              </w:rPr>
            </w:pPr>
            <w:r w:rsidRPr="00E91D60">
              <w:rPr>
                <w:b/>
              </w:rPr>
              <w:t>416</w:t>
            </w:r>
          </w:p>
        </w:tc>
        <w:tc>
          <w:tcPr>
            <w:tcW w:w="1241" w:type="dxa"/>
            <w:tcBorders>
              <w:top w:val="single" w:sz="4" w:space="0" w:color="005A97"/>
              <w:left w:val="single" w:sz="4" w:space="0" w:color="005A97"/>
              <w:bottom w:val="single" w:sz="4" w:space="0" w:color="005A97"/>
              <w:right w:val="single" w:sz="4" w:space="0" w:color="005A97"/>
            </w:tcBorders>
            <w:noWrap/>
            <w:vAlign w:val="center"/>
            <w:hideMark/>
          </w:tcPr>
          <w:p w14:paraId="6368CA69" w14:textId="77777777" w:rsidR="00FC4056" w:rsidRPr="00E91D60" w:rsidRDefault="00FC4056" w:rsidP="008908A5">
            <w:pPr>
              <w:pStyle w:val="Tabletext"/>
              <w:rPr>
                <w:rFonts w:eastAsiaTheme="majorEastAsia" w:cstheme="majorBidi"/>
                <w:b/>
                <w:color w:val="0079CD" w:themeColor="text1" w:themeTint="D8"/>
              </w:rPr>
            </w:pPr>
            <w:r w:rsidRPr="00E91D60">
              <w:rPr>
                <w:b/>
              </w:rPr>
              <w:t>447</w:t>
            </w:r>
          </w:p>
        </w:tc>
        <w:tc>
          <w:tcPr>
            <w:tcW w:w="1241" w:type="dxa"/>
            <w:tcBorders>
              <w:top w:val="single" w:sz="4" w:space="0" w:color="005A97"/>
              <w:left w:val="single" w:sz="4" w:space="0" w:color="005A97"/>
              <w:bottom w:val="single" w:sz="4" w:space="0" w:color="005A97"/>
              <w:right w:val="single" w:sz="4" w:space="0" w:color="005A97"/>
            </w:tcBorders>
            <w:noWrap/>
            <w:vAlign w:val="center"/>
            <w:hideMark/>
          </w:tcPr>
          <w:p w14:paraId="4629F942" w14:textId="77777777" w:rsidR="00FC4056" w:rsidRPr="00E91D60" w:rsidRDefault="00FC4056" w:rsidP="008908A5">
            <w:pPr>
              <w:pStyle w:val="Tabletext"/>
              <w:rPr>
                <w:rFonts w:eastAsiaTheme="majorEastAsia" w:cstheme="majorBidi"/>
                <w:b/>
                <w:color w:val="0079CD" w:themeColor="text1" w:themeTint="D8"/>
              </w:rPr>
            </w:pPr>
            <w:r w:rsidRPr="00E91D60">
              <w:rPr>
                <w:b/>
              </w:rPr>
              <w:t>448</w:t>
            </w:r>
          </w:p>
        </w:tc>
        <w:tc>
          <w:tcPr>
            <w:tcW w:w="1241" w:type="dxa"/>
            <w:tcBorders>
              <w:top w:val="single" w:sz="4" w:space="0" w:color="005A97"/>
              <w:left w:val="single" w:sz="4" w:space="0" w:color="005A97"/>
              <w:bottom w:val="single" w:sz="4" w:space="0" w:color="005A97"/>
              <w:right w:val="single" w:sz="4" w:space="0" w:color="005A97"/>
            </w:tcBorders>
            <w:noWrap/>
            <w:vAlign w:val="center"/>
            <w:hideMark/>
          </w:tcPr>
          <w:p w14:paraId="534C2E05" w14:textId="77777777" w:rsidR="00FC4056" w:rsidRPr="00E91D60" w:rsidRDefault="00FC4056" w:rsidP="008908A5">
            <w:pPr>
              <w:pStyle w:val="Tabletext"/>
              <w:rPr>
                <w:rFonts w:eastAsiaTheme="majorEastAsia" w:cstheme="majorBidi"/>
                <w:b/>
                <w:color w:val="0079CD" w:themeColor="text1" w:themeTint="D8"/>
              </w:rPr>
            </w:pPr>
            <w:r w:rsidRPr="00E91D60">
              <w:rPr>
                <w:b/>
              </w:rPr>
              <w:t>449</w:t>
            </w:r>
          </w:p>
        </w:tc>
        <w:tc>
          <w:tcPr>
            <w:tcW w:w="1241" w:type="dxa"/>
            <w:tcBorders>
              <w:top w:val="single" w:sz="4" w:space="0" w:color="005A97"/>
              <w:left w:val="single" w:sz="4" w:space="0" w:color="005A97"/>
              <w:bottom w:val="single" w:sz="4" w:space="0" w:color="005A97"/>
              <w:right w:val="single" w:sz="4" w:space="0" w:color="005A97"/>
            </w:tcBorders>
            <w:noWrap/>
            <w:vAlign w:val="center"/>
            <w:hideMark/>
          </w:tcPr>
          <w:p w14:paraId="2C8E55E0" w14:textId="77777777" w:rsidR="00FC4056" w:rsidRPr="00E91D60" w:rsidRDefault="00FC4056" w:rsidP="008908A5">
            <w:pPr>
              <w:pStyle w:val="Tabletext"/>
              <w:rPr>
                <w:b/>
              </w:rPr>
            </w:pPr>
            <w:r w:rsidRPr="00E91D60">
              <w:rPr>
                <w:b/>
              </w:rPr>
              <w:t>450</w:t>
            </w:r>
          </w:p>
        </w:tc>
        <w:tc>
          <w:tcPr>
            <w:tcW w:w="1241" w:type="dxa"/>
            <w:tcBorders>
              <w:top w:val="single" w:sz="4" w:space="0" w:color="005A97"/>
              <w:left w:val="single" w:sz="4" w:space="0" w:color="005A97"/>
              <w:bottom w:val="single" w:sz="4" w:space="0" w:color="005A97"/>
              <w:right w:val="single" w:sz="4" w:space="0" w:color="005A97"/>
            </w:tcBorders>
            <w:noWrap/>
            <w:vAlign w:val="center"/>
            <w:hideMark/>
          </w:tcPr>
          <w:p w14:paraId="6B8146F7" w14:textId="77777777" w:rsidR="00FC4056" w:rsidRPr="00E91D60" w:rsidRDefault="00FC4056" w:rsidP="008908A5">
            <w:pPr>
              <w:pStyle w:val="Tabletext"/>
              <w:rPr>
                <w:b/>
              </w:rPr>
            </w:pPr>
            <w:r w:rsidRPr="00E91D60">
              <w:rPr>
                <w:b/>
              </w:rPr>
              <w:t>481</w:t>
            </w:r>
          </w:p>
        </w:tc>
        <w:tc>
          <w:tcPr>
            <w:tcW w:w="1241" w:type="dxa"/>
            <w:tcBorders>
              <w:top w:val="single" w:sz="4" w:space="0" w:color="005A97"/>
              <w:left w:val="single" w:sz="4" w:space="0" w:color="005A97"/>
              <w:bottom w:val="single" w:sz="4" w:space="0" w:color="005A97"/>
              <w:right w:val="single" w:sz="4" w:space="0" w:color="005A97"/>
            </w:tcBorders>
            <w:noWrap/>
            <w:vAlign w:val="center"/>
            <w:hideMark/>
          </w:tcPr>
          <w:p w14:paraId="598C74B4" w14:textId="77777777" w:rsidR="00FC4056" w:rsidRPr="00E91D60" w:rsidRDefault="00FC4056" w:rsidP="008908A5">
            <w:pPr>
              <w:pStyle w:val="Tabletext"/>
              <w:rPr>
                <w:b/>
              </w:rPr>
            </w:pPr>
            <w:r w:rsidRPr="00E91D60">
              <w:rPr>
                <w:b/>
              </w:rPr>
              <w:t>482</w:t>
            </w:r>
          </w:p>
        </w:tc>
        <w:tc>
          <w:tcPr>
            <w:tcW w:w="1241" w:type="dxa"/>
            <w:tcBorders>
              <w:top w:val="single" w:sz="4" w:space="0" w:color="005A97"/>
              <w:left w:val="single" w:sz="4" w:space="0" w:color="005A97"/>
              <w:bottom w:val="single" w:sz="4" w:space="0" w:color="005A97"/>
              <w:right w:val="single" w:sz="4" w:space="0" w:color="005A97"/>
            </w:tcBorders>
            <w:noWrap/>
            <w:vAlign w:val="center"/>
            <w:hideMark/>
          </w:tcPr>
          <w:p w14:paraId="7C660AB5" w14:textId="77777777" w:rsidR="00FC4056" w:rsidRPr="00E91D60" w:rsidRDefault="00FC4056" w:rsidP="008908A5">
            <w:pPr>
              <w:pStyle w:val="Tabletext"/>
              <w:rPr>
                <w:b/>
              </w:rPr>
            </w:pPr>
            <w:r w:rsidRPr="00E91D60">
              <w:rPr>
                <w:b/>
              </w:rPr>
              <w:t>483</w:t>
            </w:r>
          </w:p>
        </w:tc>
        <w:tc>
          <w:tcPr>
            <w:tcW w:w="1241" w:type="dxa"/>
            <w:tcBorders>
              <w:top w:val="single" w:sz="4" w:space="0" w:color="005A97"/>
              <w:left w:val="single" w:sz="4" w:space="0" w:color="005A97"/>
              <w:bottom w:val="single" w:sz="4" w:space="0" w:color="005A97"/>
              <w:right w:val="single" w:sz="4" w:space="0" w:color="005A97"/>
            </w:tcBorders>
            <w:noWrap/>
            <w:vAlign w:val="center"/>
            <w:hideMark/>
          </w:tcPr>
          <w:p w14:paraId="71B5C27A" w14:textId="77777777" w:rsidR="00FC4056" w:rsidRPr="00E91D60" w:rsidRDefault="00FC4056" w:rsidP="008908A5">
            <w:pPr>
              <w:pStyle w:val="Tabletext"/>
              <w:rPr>
                <w:b/>
              </w:rPr>
            </w:pPr>
            <w:r w:rsidRPr="00E91D60">
              <w:rPr>
                <w:b/>
              </w:rPr>
              <w:t>514</w:t>
            </w:r>
          </w:p>
        </w:tc>
        <w:tc>
          <w:tcPr>
            <w:tcW w:w="1164" w:type="dxa"/>
            <w:tcBorders>
              <w:top w:val="single" w:sz="4" w:space="0" w:color="005A97"/>
              <w:left w:val="single" w:sz="4" w:space="0" w:color="005A97"/>
              <w:bottom w:val="single" w:sz="4" w:space="0" w:color="005A97"/>
              <w:right w:val="nil"/>
            </w:tcBorders>
            <w:noWrap/>
            <w:vAlign w:val="center"/>
            <w:hideMark/>
          </w:tcPr>
          <w:p w14:paraId="64F2C4C5" w14:textId="77777777" w:rsidR="00FC4056" w:rsidRPr="00E91D60" w:rsidRDefault="00FC4056" w:rsidP="008908A5">
            <w:pPr>
              <w:pStyle w:val="Tabletext"/>
              <w:rPr>
                <w:b/>
              </w:rPr>
            </w:pPr>
            <w:r w:rsidRPr="00E91D60">
              <w:rPr>
                <w:b/>
              </w:rPr>
              <w:t>515</w:t>
            </w:r>
          </w:p>
        </w:tc>
      </w:tr>
      <w:tr w:rsidR="00A043BC" w:rsidRPr="00D40FA7" w14:paraId="438FFF22"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7E497EAC" w14:textId="77777777" w:rsidR="00FC4056" w:rsidRPr="00E91D60" w:rsidRDefault="00FC4056" w:rsidP="008908A5">
            <w:pPr>
              <w:pStyle w:val="Tabletext"/>
              <w:rPr>
                <w:b/>
              </w:rPr>
            </w:pPr>
            <w:r w:rsidRPr="00E91D60">
              <w:rPr>
                <w:b/>
              </w:rPr>
              <w:t>Aq100,101,104</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648D8830" w14:textId="77777777" w:rsidR="00FC4056" w:rsidRPr="00E91D60" w:rsidRDefault="00FC4056" w:rsidP="008908A5">
            <w:pPr>
              <w:pStyle w:val="Tabletext"/>
              <w:rPr>
                <w:rFonts w:cs="Arial"/>
              </w:rPr>
            </w:pPr>
            <w:r w:rsidRPr="00E91D60">
              <w:rPr>
                <w:rFonts w:cs="Arial"/>
              </w:rPr>
              <w:t>153.5</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4AE9572" w14:textId="77777777" w:rsidR="00FC4056" w:rsidRPr="00E91D60" w:rsidRDefault="00FC4056" w:rsidP="008908A5">
            <w:pPr>
              <w:pStyle w:val="Tabletext"/>
              <w:rPr>
                <w:rFonts w:cs="Arial"/>
              </w:rPr>
            </w:pPr>
            <w:r w:rsidRPr="00E91D60">
              <w:rPr>
                <w:rFonts w:cs="Arial"/>
              </w:rPr>
              <w:t>54.5</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8A8017E" w14:textId="77777777" w:rsidR="00FC4056" w:rsidRPr="00E91D60" w:rsidRDefault="00FC4056" w:rsidP="008908A5">
            <w:pPr>
              <w:pStyle w:val="Tabletext"/>
              <w:rPr>
                <w:rFonts w:cs="Arial"/>
              </w:rPr>
            </w:pPr>
            <w:r w:rsidRPr="00E91D60">
              <w:rPr>
                <w:rFonts w:cs="Arial"/>
              </w:rPr>
              <w:t>109.5</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04E18C3" w14:textId="77777777" w:rsidR="00FC4056" w:rsidRPr="00E91D60" w:rsidRDefault="00FC4056" w:rsidP="008908A5">
            <w:pPr>
              <w:pStyle w:val="Tabletext"/>
              <w:rPr>
                <w:rFonts w:cs="Arial"/>
              </w:rPr>
            </w:pPr>
            <w:r w:rsidRPr="00E91D60">
              <w:rPr>
                <w:rFonts w:cs="Arial"/>
              </w:rPr>
              <w:t>160.0</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F18D074" w14:textId="77777777" w:rsidR="00FC4056" w:rsidRPr="00E91D60" w:rsidRDefault="00FC4056" w:rsidP="008908A5">
            <w:pPr>
              <w:pStyle w:val="Tabletext"/>
              <w:rPr>
                <w:rFonts w:cs="Arial"/>
              </w:rPr>
            </w:pPr>
            <w:r w:rsidRPr="00E91D60">
              <w:rPr>
                <w:rFonts w:cs="Arial"/>
              </w:rPr>
              <w:t>170.3</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6019CED" w14:textId="77777777" w:rsidR="00FC4056" w:rsidRPr="00E91D60" w:rsidRDefault="00FC4056" w:rsidP="008908A5">
            <w:pPr>
              <w:pStyle w:val="Tabletext"/>
              <w:rPr>
                <w:rFonts w:cs="Arial"/>
              </w:rPr>
            </w:pPr>
            <w:r w:rsidRPr="00E91D60">
              <w:rPr>
                <w:rFonts w:cs="Arial"/>
              </w:rPr>
              <w:t>72.2</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6EDFF12" w14:textId="77777777" w:rsidR="00FC4056" w:rsidRPr="00E91D60" w:rsidRDefault="00FC4056" w:rsidP="008908A5">
            <w:pPr>
              <w:pStyle w:val="Tabletext"/>
              <w:rPr>
                <w:rFonts w:cs="Arial"/>
              </w:rPr>
            </w:pPr>
            <w:r w:rsidRPr="00E91D60">
              <w:rPr>
                <w:rFonts w:cs="Arial"/>
              </w:rPr>
              <w:t>119.7</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35F409D" w14:textId="77777777" w:rsidR="00FC4056" w:rsidRPr="00E91D60" w:rsidRDefault="00FC4056" w:rsidP="008908A5">
            <w:pPr>
              <w:pStyle w:val="Tabletext"/>
              <w:rPr>
                <w:rFonts w:cs="Arial"/>
              </w:rPr>
            </w:pPr>
            <w:r w:rsidRPr="00E91D60">
              <w:rPr>
                <w:rFonts w:cs="Arial"/>
              </w:rPr>
              <w:t>147.9</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683E902A" w14:textId="77777777" w:rsidR="00FC4056" w:rsidRPr="00E91D60" w:rsidRDefault="00FC4056" w:rsidP="008908A5">
            <w:pPr>
              <w:pStyle w:val="Tabletext"/>
              <w:rPr>
                <w:rFonts w:cs="Arial"/>
              </w:rPr>
            </w:pPr>
            <w:r w:rsidRPr="00E91D60">
              <w:rPr>
                <w:rFonts w:cs="Arial"/>
              </w:rPr>
              <w:t>76.8</w:t>
            </w:r>
          </w:p>
        </w:tc>
        <w:tc>
          <w:tcPr>
            <w:tcW w:w="1164" w:type="dxa"/>
            <w:tcBorders>
              <w:top w:val="single" w:sz="4" w:space="0" w:color="005A97"/>
              <w:left w:val="single" w:sz="4" w:space="0" w:color="005A97"/>
              <w:bottom w:val="single" w:sz="4" w:space="0" w:color="005A97"/>
              <w:right w:val="nil"/>
            </w:tcBorders>
            <w:noWrap/>
            <w:vAlign w:val="center"/>
          </w:tcPr>
          <w:p w14:paraId="432D7FE3" w14:textId="77777777" w:rsidR="00FC4056" w:rsidRPr="00E91D60" w:rsidRDefault="00FC4056" w:rsidP="008908A5">
            <w:pPr>
              <w:pStyle w:val="Tabletext"/>
              <w:rPr>
                <w:rFonts w:cs="Arial"/>
              </w:rPr>
            </w:pPr>
            <w:r w:rsidRPr="00E91D60">
              <w:rPr>
                <w:rFonts w:cs="Arial"/>
              </w:rPr>
              <w:t>127.3</w:t>
            </w:r>
          </w:p>
        </w:tc>
      </w:tr>
      <w:tr w:rsidR="00A043BC" w:rsidRPr="00D40FA7" w14:paraId="1DFF6964"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063B82C3" w14:textId="3813AF48" w:rsidR="00FC4056" w:rsidRPr="00E91D60" w:rsidRDefault="00FC4056" w:rsidP="008908A5">
            <w:pPr>
              <w:pStyle w:val="Tabletext"/>
              <w:rPr>
                <w:b/>
              </w:rPr>
            </w:pPr>
            <w:r w:rsidRPr="00E91D60">
              <w:rPr>
                <w:b/>
              </w:rPr>
              <w:t>Volcanics Basal</w:t>
            </w:r>
            <w:r w:rsidR="00165212" w:rsidRPr="00E91D60">
              <w:rPr>
                <w:b/>
              </w:rPr>
              <w:t>ts</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34142A4A"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4A71C3F"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19F35BAE"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810DDEE"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A1EC463"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960C408"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104D5E58"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3291DFB"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B6FC8A6" w14:textId="77777777" w:rsidR="00FC4056" w:rsidRPr="00E91D60" w:rsidRDefault="00FC4056" w:rsidP="008908A5">
            <w:pPr>
              <w:pStyle w:val="Tabletext"/>
              <w:rPr>
                <w:rFonts w:cs="Arial"/>
              </w:rPr>
            </w:pPr>
          </w:p>
        </w:tc>
        <w:tc>
          <w:tcPr>
            <w:tcW w:w="1164" w:type="dxa"/>
            <w:tcBorders>
              <w:top w:val="single" w:sz="4" w:space="0" w:color="005A97"/>
              <w:left w:val="single" w:sz="4" w:space="0" w:color="005A97"/>
              <w:bottom w:val="single" w:sz="4" w:space="0" w:color="005A97"/>
              <w:right w:val="nil"/>
            </w:tcBorders>
            <w:noWrap/>
            <w:vAlign w:val="center"/>
          </w:tcPr>
          <w:p w14:paraId="6A71776C" w14:textId="77777777" w:rsidR="00FC4056" w:rsidRPr="00E91D60" w:rsidRDefault="00FC4056" w:rsidP="008908A5">
            <w:pPr>
              <w:pStyle w:val="Tabletext"/>
              <w:rPr>
                <w:rFonts w:cs="Arial"/>
              </w:rPr>
            </w:pPr>
          </w:p>
        </w:tc>
      </w:tr>
      <w:tr w:rsidR="00A043BC" w:rsidRPr="00D40FA7" w14:paraId="3725F3C9"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6A7ADE2B" w14:textId="77777777" w:rsidR="00FC4056" w:rsidRPr="00E91D60" w:rsidRDefault="00FC4056" w:rsidP="008908A5">
            <w:pPr>
              <w:pStyle w:val="Tabletext"/>
              <w:rPr>
                <w:b/>
              </w:rPr>
            </w:pPr>
            <w:r w:rsidRPr="00E91D60">
              <w:rPr>
                <w:b/>
              </w:rPr>
              <w:t>Aq107</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06AA0459" w14:textId="77777777" w:rsidR="00FC4056" w:rsidRPr="00E91D60" w:rsidRDefault="00FC4056" w:rsidP="008908A5">
            <w:pPr>
              <w:pStyle w:val="Tabletext"/>
              <w:rPr>
                <w:rFonts w:cs="Arial"/>
              </w:rPr>
            </w:pPr>
            <w:r w:rsidRPr="00E91D60">
              <w:rPr>
                <w:rFonts w:cs="Arial"/>
              </w:rPr>
              <w:t>113.7</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3756CF3" w14:textId="77777777" w:rsidR="00FC4056" w:rsidRPr="00E91D60" w:rsidRDefault="00FC4056" w:rsidP="008908A5">
            <w:pPr>
              <w:pStyle w:val="Tabletext"/>
              <w:rPr>
                <w:rFonts w:cs="Arial"/>
              </w:rPr>
            </w:pPr>
            <w:r w:rsidRPr="00E91D60">
              <w:rPr>
                <w:rFonts w:cs="Arial"/>
              </w:rPr>
              <w:t>38.6</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AE17CF9" w14:textId="77777777" w:rsidR="00FC4056" w:rsidRPr="00E91D60" w:rsidRDefault="00FC4056" w:rsidP="008908A5">
            <w:pPr>
              <w:pStyle w:val="Tabletext"/>
              <w:rPr>
                <w:rFonts w:cs="Arial"/>
              </w:rPr>
            </w:pPr>
            <w:r w:rsidRPr="00E91D60">
              <w:rPr>
                <w:rFonts w:cs="Arial"/>
              </w:rPr>
              <w:t>110.7</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7841601" w14:textId="77777777" w:rsidR="00FC4056" w:rsidRPr="00E91D60" w:rsidRDefault="00FC4056" w:rsidP="008908A5">
            <w:pPr>
              <w:pStyle w:val="Tabletext"/>
              <w:rPr>
                <w:rFonts w:cs="Arial"/>
              </w:rPr>
            </w:pPr>
            <w:r w:rsidRPr="00E91D60">
              <w:rPr>
                <w:rFonts w:cs="Arial"/>
              </w:rPr>
              <w:t>135.6</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14CEB05"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EE103AC" w14:textId="77777777" w:rsidR="00FC4056" w:rsidRPr="00E91D60" w:rsidRDefault="00FC4056" w:rsidP="008908A5">
            <w:pPr>
              <w:pStyle w:val="Tabletext"/>
              <w:rPr>
                <w:rFonts w:cs="Arial"/>
              </w:rPr>
            </w:pPr>
            <w:r w:rsidRPr="00E91D60">
              <w:rPr>
                <w:rFonts w:cs="Arial"/>
              </w:rPr>
              <w:t>87.1</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956A3B2" w14:textId="77777777" w:rsidR="00FC4056" w:rsidRPr="00E91D60" w:rsidRDefault="00FC4056" w:rsidP="008908A5">
            <w:pPr>
              <w:pStyle w:val="Tabletext"/>
              <w:rPr>
                <w:rFonts w:cs="Arial"/>
              </w:rPr>
            </w:pPr>
            <w:r w:rsidRPr="00E91D60">
              <w:rPr>
                <w:rFonts w:cs="Arial"/>
              </w:rPr>
              <w:t>108.4</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BD29EB5" w14:textId="77777777" w:rsidR="00FC4056" w:rsidRPr="00E91D60" w:rsidRDefault="00FC4056" w:rsidP="008908A5">
            <w:pPr>
              <w:pStyle w:val="Tabletext"/>
              <w:rPr>
                <w:rFonts w:cs="Arial"/>
              </w:rPr>
            </w:pPr>
            <w:r w:rsidRPr="00E91D60">
              <w:rPr>
                <w:rFonts w:cs="Arial"/>
              </w:rPr>
              <w:t>109.4</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A1F64B0" w14:textId="77777777" w:rsidR="00FC4056" w:rsidRPr="00E91D60" w:rsidRDefault="00FC4056" w:rsidP="008908A5">
            <w:pPr>
              <w:pStyle w:val="Tabletext"/>
              <w:rPr>
                <w:rFonts w:cs="Arial"/>
              </w:rPr>
            </w:pPr>
            <w:r w:rsidRPr="00E91D60">
              <w:rPr>
                <w:rFonts w:cs="Arial"/>
              </w:rPr>
              <w:t>75.8</w:t>
            </w:r>
          </w:p>
        </w:tc>
        <w:tc>
          <w:tcPr>
            <w:tcW w:w="1164" w:type="dxa"/>
            <w:tcBorders>
              <w:top w:val="single" w:sz="4" w:space="0" w:color="005A97"/>
              <w:left w:val="single" w:sz="4" w:space="0" w:color="005A97"/>
              <w:bottom w:val="single" w:sz="4" w:space="0" w:color="005A97"/>
              <w:right w:val="nil"/>
            </w:tcBorders>
            <w:noWrap/>
            <w:vAlign w:val="center"/>
          </w:tcPr>
          <w:p w14:paraId="61669318" w14:textId="77777777" w:rsidR="00FC4056" w:rsidRPr="00E91D60" w:rsidRDefault="00FC4056" w:rsidP="008908A5">
            <w:pPr>
              <w:pStyle w:val="Tabletext"/>
              <w:rPr>
                <w:rFonts w:cs="Arial"/>
              </w:rPr>
            </w:pPr>
            <w:r w:rsidRPr="00E91D60">
              <w:rPr>
                <w:rFonts w:cs="Arial"/>
              </w:rPr>
              <w:t>113.0</w:t>
            </w:r>
          </w:p>
        </w:tc>
      </w:tr>
      <w:tr w:rsidR="00A043BC" w:rsidRPr="00D40FA7" w14:paraId="3AF772D2"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4606275B" w14:textId="77777777" w:rsidR="00FC4056" w:rsidRPr="00E91D60" w:rsidRDefault="00FC4056" w:rsidP="008908A5">
            <w:pPr>
              <w:pStyle w:val="Tabletext"/>
              <w:rPr>
                <w:b/>
              </w:rPr>
            </w:pPr>
            <w:r w:rsidRPr="00E91D60">
              <w:rPr>
                <w:b/>
              </w:rPr>
              <w:t>Aqd108</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7520B6E1" w14:textId="77777777" w:rsidR="00FC4056" w:rsidRPr="00E91D60" w:rsidRDefault="00FC4056" w:rsidP="008908A5">
            <w:pPr>
              <w:pStyle w:val="Tabletext"/>
              <w:rPr>
                <w:rFonts w:cs="Arial"/>
              </w:rPr>
            </w:pPr>
            <w:r w:rsidRPr="00E91D60">
              <w:rPr>
                <w:rFonts w:cs="Arial"/>
              </w:rPr>
              <w:t>47.8</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314DA5E"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209E897"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612CDBA5"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10F34447"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F8F0A85"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D936909"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6B313424"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9AA39EB" w14:textId="77777777" w:rsidR="00FC4056" w:rsidRPr="00E91D60" w:rsidRDefault="00FC4056" w:rsidP="008908A5">
            <w:pPr>
              <w:pStyle w:val="Tabletext"/>
              <w:rPr>
                <w:rFonts w:cs="Arial"/>
              </w:rPr>
            </w:pPr>
          </w:p>
        </w:tc>
        <w:tc>
          <w:tcPr>
            <w:tcW w:w="1164" w:type="dxa"/>
            <w:tcBorders>
              <w:top w:val="single" w:sz="4" w:space="0" w:color="005A97"/>
              <w:left w:val="single" w:sz="4" w:space="0" w:color="005A97"/>
              <w:bottom w:val="single" w:sz="4" w:space="0" w:color="005A97"/>
              <w:right w:val="nil"/>
            </w:tcBorders>
            <w:noWrap/>
            <w:vAlign w:val="center"/>
          </w:tcPr>
          <w:p w14:paraId="727CDB56" w14:textId="77777777" w:rsidR="00FC4056" w:rsidRPr="00E91D60" w:rsidRDefault="00FC4056" w:rsidP="008908A5">
            <w:pPr>
              <w:pStyle w:val="Tabletext"/>
              <w:rPr>
                <w:rFonts w:cs="Arial"/>
              </w:rPr>
            </w:pPr>
          </w:p>
        </w:tc>
      </w:tr>
      <w:tr w:rsidR="00A043BC" w:rsidRPr="00D40FA7" w14:paraId="5D23D9A0"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41FCB071" w14:textId="77777777" w:rsidR="00FC4056" w:rsidRPr="00E91D60" w:rsidRDefault="00FC4056" w:rsidP="008908A5">
            <w:pPr>
              <w:pStyle w:val="Tabletext"/>
              <w:rPr>
                <w:b/>
              </w:rPr>
            </w:pPr>
            <w:r w:rsidRPr="00E91D60">
              <w:rPr>
                <w:b/>
              </w:rPr>
              <w:t>AQ109</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1609A3D6" w14:textId="77777777" w:rsidR="00FC4056" w:rsidRPr="00E91D60" w:rsidRDefault="00FC4056" w:rsidP="008908A5">
            <w:pPr>
              <w:pStyle w:val="Tabletext"/>
              <w:rPr>
                <w:rFonts w:cs="Arial"/>
              </w:rPr>
            </w:pPr>
            <w:r w:rsidRPr="00E91D60">
              <w:rPr>
                <w:rFonts w:cs="Arial"/>
              </w:rPr>
              <w:t>46.3</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ADF18D8"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BC8D09D"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1F7EF13"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F9B9627"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EDC1F5F"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DAC6B1B"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A95E4B8"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3742EA1" w14:textId="77777777" w:rsidR="00FC4056" w:rsidRPr="00E91D60" w:rsidRDefault="00FC4056" w:rsidP="008908A5">
            <w:pPr>
              <w:pStyle w:val="Tabletext"/>
              <w:rPr>
                <w:rFonts w:cs="Arial"/>
              </w:rPr>
            </w:pPr>
          </w:p>
        </w:tc>
        <w:tc>
          <w:tcPr>
            <w:tcW w:w="1164" w:type="dxa"/>
            <w:tcBorders>
              <w:top w:val="single" w:sz="4" w:space="0" w:color="005A97"/>
              <w:left w:val="single" w:sz="4" w:space="0" w:color="005A97"/>
              <w:bottom w:val="single" w:sz="4" w:space="0" w:color="005A97"/>
              <w:right w:val="nil"/>
            </w:tcBorders>
            <w:noWrap/>
            <w:vAlign w:val="center"/>
          </w:tcPr>
          <w:p w14:paraId="3B2D8A6A" w14:textId="77777777" w:rsidR="00FC4056" w:rsidRPr="00E91D60" w:rsidRDefault="00FC4056" w:rsidP="008908A5">
            <w:pPr>
              <w:pStyle w:val="Tabletext"/>
              <w:rPr>
                <w:rFonts w:cs="Arial"/>
              </w:rPr>
            </w:pPr>
          </w:p>
        </w:tc>
      </w:tr>
      <w:tr w:rsidR="00A043BC" w:rsidRPr="00D40FA7" w14:paraId="34DCF1B0"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4360B627" w14:textId="77777777" w:rsidR="00FC4056" w:rsidRPr="00E91D60" w:rsidRDefault="00FC4056" w:rsidP="008908A5">
            <w:pPr>
              <w:pStyle w:val="Tabletext"/>
              <w:rPr>
                <w:b/>
              </w:rPr>
            </w:pPr>
            <w:r w:rsidRPr="00E91D60">
              <w:rPr>
                <w:b/>
              </w:rPr>
              <w:t>AQD110/AQD111</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7038C6A3" w14:textId="77777777" w:rsidR="00FC4056" w:rsidRPr="00E91D60" w:rsidRDefault="00FC4056" w:rsidP="008908A5">
            <w:pPr>
              <w:pStyle w:val="Tabletext"/>
              <w:rPr>
                <w:rFonts w:cs="Arial"/>
              </w:rPr>
            </w:pPr>
            <w:r w:rsidRPr="00E91D60">
              <w:rPr>
                <w:rFonts w:cs="Arial"/>
              </w:rPr>
              <w:t>13.7</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D295E90" w14:textId="77777777" w:rsidR="00FC4056" w:rsidRPr="00E91D60" w:rsidRDefault="00FC4056" w:rsidP="008908A5">
            <w:pPr>
              <w:pStyle w:val="Tabletext"/>
              <w:rPr>
                <w:rFonts w:cs="Arial"/>
              </w:rPr>
            </w:pPr>
            <w:r w:rsidRPr="00E91D60">
              <w:rPr>
                <w:rFonts w:cs="Arial"/>
              </w:rPr>
              <w:t>22.9</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71DA430" w14:textId="77777777" w:rsidR="00FC4056" w:rsidRPr="00E91D60" w:rsidRDefault="00FC4056" w:rsidP="008908A5">
            <w:pPr>
              <w:pStyle w:val="Tabletext"/>
              <w:rPr>
                <w:rFonts w:cs="Arial"/>
              </w:rPr>
            </w:pPr>
            <w:r w:rsidRPr="00E91D60">
              <w:rPr>
                <w:rFonts w:cs="Arial"/>
              </w:rPr>
              <w:t>45.7</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730922A"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D642F18"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76FA3C2" w14:textId="77777777" w:rsidR="00FC4056" w:rsidRPr="00E91D60" w:rsidRDefault="00FC4056" w:rsidP="008908A5">
            <w:pPr>
              <w:pStyle w:val="Tabletext"/>
              <w:rPr>
                <w:rFonts w:cs="Arial"/>
              </w:rPr>
            </w:pPr>
            <w:r w:rsidRPr="00E91D60">
              <w:rPr>
                <w:rFonts w:cs="Arial"/>
              </w:rPr>
              <w:t>31.6</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60E9FC80" w14:textId="77777777" w:rsidR="00FC4056" w:rsidRPr="00E91D60" w:rsidRDefault="00FC4056" w:rsidP="008908A5">
            <w:pPr>
              <w:pStyle w:val="Tabletext"/>
              <w:rPr>
                <w:rFonts w:cs="Arial"/>
              </w:rPr>
            </w:pPr>
            <w:r w:rsidRPr="00E91D60">
              <w:rPr>
                <w:rFonts w:cs="Arial"/>
              </w:rPr>
              <w:t>40.3</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B88AF18"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15B1D11C" w14:textId="77777777" w:rsidR="00FC4056" w:rsidRPr="00E91D60" w:rsidRDefault="00FC4056" w:rsidP="008908A5">
            <w:pPr>
              <w:pStyle w:val="Tabletext"/>
              <w:rPr>
                <w:rFonts w:cs="Arial"/>
              </w:rPr>
            </w:pPr>
          </w:p>
        </w:tc>
        <w:tc>
          <w:tcPr>
            <w:tcW w:w="1164" w:type="dxa"/>
            <w:tcBorders>
              <w:top w:val="single" w:sz="4" w:space="0" w:color="005A97"/>
              <w:left w:val="single" w:sz="4" w:space="0" w:color="005A97"/>
              <w:bottom w:val="single" w:sz="4" w:space="0" w:color="005A97"/>
              <w:right w:val="nil"/>
            </w:tcBorders>
            <w:noWrap/>
            <w:vAlign w:val="center"/>
          </w:tcPr>
          <w:p w14:paraId="61AFEB26" w14:textId="77777777" w:rsidR="00FC4056" w:rsidRPr="00E91D60" w:rsidRDefault="00FC4056" w:rsidP="008908A5">
            <w:pPr>
              <w:pStyle w:val="Tabletext"/>
              <w:rPr>
                <w:rFonts w:cs="Arial"/>
              </w:rPr>
            </w:pPr>
          </w:p>
        </w:tc>
      </w:tr>
      <w:tr w:rsidR="00A043BC" w:rsidRPr="00D40FA7" w14:paraId="34E74D0B"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1B30C176" w14:textId="77777777" w:rsidR="00FC4056" w:rsidRPr="00E91D60" w:rsidRDefault="00FC4056" w:rsidP="008908A5">
            <w:pPr>
              <w:pStyle w:val="Tabletext"/>
              <w:rPr>
                <w:b/>
              </w:rPr>
            </w:pPr>
            <w:r w:rsidRPr="00E91D60">
              <w:rPr>
                <w:b/>
              </w:rPr>
              <w:t>Aq111</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387A7B26" w14:textId="77777777" w:rsidR="00FC4056" w:rsidRPr="00E91D60" w:rsidRDefault="00FC4056" w:rsidP="008908A5">
            <w:pPr>
              <w:pStyle w:val="Tabletext"/>
              <w:rPr>
                <w:rFonts w:cs="Arial"/>
              </w:rPr>
            </w:pPr>
            <w:r w:rsidRPr="00E91D60">
              <w:rPr>
                <w:rFonts w:cs="Arial"/>
              </w:rPr>
              <w:t>128.1</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DD32BE2" w14:textId="77777777" w:rsidR="00FC4056" w:rsidRPr="00E91D60" w:rsidRDefault="00FC4056" w:rsidP="008908A5">
            <w:pPr>
              <w:pStyle w:val="Tabletext"/>
              <w:rPr>
                <w:rFonts w:cs="Arial"/>
              </w:rPr>
            </w:pPr>
            <w:r w:rsidRPr="00E91D60">
              <w:rPr>
                <w:rFonts w:cs="Arial"/>
              </w:rPr>
              <w:t>3.6</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9475717" w14:textId="77777777" w:rsidR="00FC4056" w:rsidRPr="00E91D60" w:rsidRDefault="00FC4056" w:rsidP="008908A5">
            <w:pPr>
              <w:pStyle w:val="Tabletext"/>
              <w:rPr>
                <w:rFonts w:cs="Arial"/>
              </w:rPr>
            </w:pPr>
            <w:r w:rsidRPr="00E91D60">
              <w:rPr>
                <w:rFonts w:cs="Arial"/>
              </w:rPr>
              <w:t>39.6</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0E4ECF8"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696390E0" w14:textId="77777777" w:rsidR="00FC4056" w:rsidRPr="00E91D60" w:rsidRDefault="00FC4056" w:rsidP="008908A5">
            <w:pPr>
              <w:pStyle w:val="Tabletext"/>
              <w:rPr>
                <w:rFonts w:cs="Arial"/>
              </w:rPr>
            </w:pPr>
            <w:r w:rsidRPr="00E91D60">
              <w:rPr>
                <w:rFonts w:cs="Arial"/>
              </w:rPr>
              <w:t>179.6</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BB9D6B7" w14:textId="77777777" w:rsidR="00FC4056" w:rsidRPr="00E91D60" w:rsidRDefault="00FC4056" w:rsidP="008908A5">
            <w:pPr>
              <w:pStyle w:val="Tabletext"/>
              <w:rPr>
                <w:rFonts w:cs="Arial"/>
              </w:rPr>
            </w:pPr>
            <w:r w:rsidRPr="00E91D60">
              <w:rPr>
                <w:rFonts w:cs="Arial"/>
              </w:rPr>
              <w:t>55.5</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136EFAA8" w14:textId="77777777" w:rsidR="00FC4056" w:rsidRPr="00E91D60" w:rsidRDefault="00FC4056" w:rsidP="008908A5">
            <w:pPr>
              <w:pStyle w:val="Tabletext"/>
              <w:rPr>
                <w:rFonts w:cs="Arial"/>
              </w:rPr>
            </w:pPr>
            <w:r w:rsidRPr="00E91D60">
              <w:rPr>
                <w:rFonts w:cs="Arial"/>
              </w:rPr>
              <w:t>95.7</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392C025"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FE21F5C" w14:textId="77777777" w:rsidR="00FC4056" w:rsidRPr="00E91D60" w:rsidRDefault="00FC4056" w:rsidP="008908A5">
            <w:pPr>
              <w:pStyle w:val="Tabletext"/>
              <w:rPr>
                <w:rFonts w:cs="Arial"/>
              </w:rPr>
            </w:pPr>
            <w:r w:rsidRPr="00E91D60">
              <w:rPr>
                <w:rFonts w:cs="Arial"/>
              </w:rPr>
              <w:t>34.3</w:t>
            </w:r>
          </w:p>
        </w:tc>
        <w:tc>
          <w:tcPr>
            <w:tcW w:w="1164" w:type="dxa"/>
            <w:tcBorders>
              <w:top w:val="single" w:sz="4" w:space="0" w:color="005A97"/>
              <w:left w:val="single" w:sz="4" w:space="0" w:color="005A97"/>
              <w:bottom w:val="single" w:sz="4" w:space="0" w:color="005A97"/>
              <w:right w:val="nil"/>
            </w:tcBorders>
            <w:noWrap/>
            <w:vAlign w:val="center"/>
          </w:tcPr>
          <w:p w14:paraId="30D9F70C" w14:textId="77777777" w:rsidR="00FC4056" w:rsidRPr="00E91D60" w:rsidRDefault="00FC4056" w:rsidP="008908A5">
            <w:pPr>
              <w:pStyle w:val="Tabletext"/>
              <w:rPr>
                <w:rFonts w:cs="Arial"/>
              </w:rPr>
            </w:pPr>
            <w:r w:rsidRPr="00E91D60">
              <w:rPr>
                <w:rFonts w:cs="Arial"/>
              </w:rPr>
              <w:t>53.2</w:t>
            </w:r>
          </w:p>
        </w:tc>
      </w:tr>
      <w:tr w:rsidR="00A043BC" w:rsidRPr="00D40FA7" w14:paraId="632F4A94"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288375FD" w14:textId="77777777" w:rsidR="00FC4056" w:rsidRPr="00E91D60" w:rsidRDefault="00FC4056" w:rsidP="008908A5">
            <w:pPr>
              <w:pStyle w:val="Tabletext"/>
              <w:rPr>
                <w:b/>
              </w:rPr>
            </w:pPr>
            <w:r w:rsidRPr="00E91D60">
              <w:rPr>
                <w:b/>
              </w:rPr>
              <w:t>Aq112</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56524054"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C7AB30E"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A33E012"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3281763"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4160CC1"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CF40F24"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9F5DFC6"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89686F9"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1C4C258" w14:textId="77777777" w:rsidR="00FC4056" w:rsidRPr="00E91D60" w:rsidRDefault="00FC4056" w:rsidP="008908A5">
            <w:pPr>
              <w:pStyle w:val="Tabletext"/>
              <w:rPr>
                <w:rFonts w:cs="Arial"/>
              </w:rPr>
            </w:pPr>
          </w:p>
        </w:tc>
        <w:tc>
          <w:tcPr>
            <w:tcW w:w="1164" w:type="dxa"/>
            <w:tcBorders>
              <w:top w:val="single" w:sz="4" w:space="0" w:color="005A97"/>
              <w:left w:val="single" w:sz="4" w:space="0" w:color="005A97"/>
              <w:bottom w:val="single" w:sz="4" w:space="0" w:color="005A97"/>
              <w:right w:val="nil"/>
            </w:tcBorders>
            <w:noWrap/>
            <w:vAlign w:val="center"/>
          </w:tcPr>
          <w:p w14:paraId="6460732C" w14:textId="77777777" w:rsidR="00FC4056" w:rsidRPr="00E91D60" w:rsidRDefault="00FC4056" w:rsidP="008908A5">
            <w:pPr>
              <w:pStyle w:val="Tabletext"/>
              <w:rPr>
                <w:rFonts w:cs="Arial"/>
              </w:rPr>
            </w:pPr>
          </w:p>
        </w:tc>
      </w:tr>
      <w:tr w:rsidR="00A043BC" w:rsidRPr="00D40FA7" w14:paraId="2EFCD3D8"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284D09AD" w14:textId="77777777" w:rsidR="00FC4056" w:rsidRPr="00E91D60" w:rsidRDefault="00FC4056" w:rsidP="008908A5">
            <w:pPr>
              <w:pStyle w:val="Tabletext"/>
              <w:rPr>
                <w:b/>
              </w:rPr>
            </w:pPr>
            <w:r w:rsidRPr="00E91D60">
              <w:rPr>
                <w:b/>
              </w:rPr>
              <w:t>Aq111</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2E78F9A1"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20D6FC6"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885FA6A"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16E4752C"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56FE975"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15C0A7D"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30B4737"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62B7A860"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AC348D7" w14:textId="77777777" w:rsidR="00FC4056" w:rsidRPr="00E91D60" w:rsidRDefault="00FC4056" w:rsidP="008908A5">
            <w:pPr>
              <w:pStyle w:val="Tabletext"/>
              <w:rPr>
                <w:rFonts w:cs="Arial"/>
              </w:rPr>
            </w:pPr>
          </w:p>
        </w:tc>
        <w:tc>
          <w:tcPr>
            <w:tcW w:w="1164" w:type="dxa"/>
            <w:tcBorders>
              <w:top w:val="single" w:sz="4" w:space="0" w:color="005A97"/>
              <w:left w:val="single" w:sz="4" w:space="0" w:color="005A97"/>
              <w:bottom w:val="single" w:sz="4" w:space="0" w:color="005A97"/>
              <w:right w:val="nil"/>
            </w:tcBorders>
            <w:noWrap/>
            <w:vAlign w:val="center"/>
          </w:tcPr>
          <w:p w14:paraId="70CE220A" w14:textId="77777777" w:rsidR="00FC4056" w:rsidRPr="00E91D60" w:rsidRDefault="00FC4056" w:rsidP="008908A5">
            <w:pPr>
              <w:pStyle w:val="Tabletext"/>
              <w:rPr>
                <w:rFonts w:cs="Arial"/>
              </w:rPr>
            </w:pPr>
          </w:p>
        </w:tc>
      </w:tr>
      <w:tr w:rsidR="00A043BC" w:rsidRPr="00D40FA7" w14:paraId="7DD65234"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3457C2D6" w14:textId="77777777" w:rsidR="00FC4056" w:rsidRPr="00E91D60" w:rsidRDefault="00FC4056" w:rsidP="008908A5">
            <w:pPr>
              <w:pStyle w:val="Tabletext"/>
              <w:rPr>
                <w:b/>
              </w:rPr>
            </w:pPr>
            <w:r w:rsidRPr="00E91D60">
              <w:rPr>
                <w:b/>
              </w:rPr>
              <w:t>Sherbrook</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25DA5C84" w14:textId="77777777" w:rsidR="00FC4056" w:rsidRPr="00E91D60" w:rsidRDefault="00FC4056" w:rsidP="008908A5">
            <w:pPr>
              <w:pStyle w:val="Tabletext"/>
              <w:rPr>
                <w:rFonts w:cs="Arial"/>
              </w:rPr>
            </w:pPr>
            <w:r w:rsidRPr="00E91D60">
              <w:rPr>
                <w:rFonts w:cs="Arial"/>
              </w:rPr>
              <w:t>55.3</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51C0673" w14:textId="77777777" w:rsidR="00FC4056" w:rsidRPr="00E91D60" w:rsidRDefault="00FC4056" w:rsidP="008908A5">
            <w:pPr>
              <w:pStyle w:val="Tabletext"/>
              <w:rPr>
                <w:rFonts w:cs="Arial"/>
              </w:rPr>
            </w:pPr>
            <w:r w:rsidRPr="00E91D60">
              <w:rPr>
                <w:rFonts w:cs="Arial"/>
              </w:rPr>
              <w:t>-110.5</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F304317" w14:textId="77777777" w:rsidR="00FC4056" w:rsidRPr="00E91D60" w:rsidRDefault="00FC4056" w:rsidP="008908A5">
            <w:pPr>
              <w:pStyle w:val="Tabletext"/>
              <w:rPr>
                <w:rFonts w:cs="Arial"/>
              </w:rPr>
            </w:pPr>
            <w:r w:rsidRPr="00E91D60">
              <w:rPr>
                <w:rFonts w:cs="Arial"/>
              </w:rPr>
              <w:t>-76.7</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98AB6F9"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99A64B2"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315CC44" w14:textId="77777777" w:rsidR="00FC4056" w:rsidRPr="00E91D60" w:rsidRDefault="00FC4056" w:rsidP="008908A5">
            <w:pPr>
              <w:pStyle w:val="Tabletext"/>
              <w:rPr>
                <w:rFonts w:cs="Arial"/>
              </w:rPr>
            </w:pPr>
            <w:r w:rsidRPr="00E91D60">
              <w:rPr>
                <w:rFonts w:cs="Arial"/>
              </w:rPr>
              <w:t>-94.3</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64A311C"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74AC1F0" w14:textId="77777777" w:rsidR="00FC4056" w:rsidRPr="00E91D60" w:rsidRDefault="00FC4056" w:rsidP="008908A5">
            <w:pPr>
              <w:pStyle w:val="Tabletext"/>
              <w:rPr>
                <w:rFonts w:cs="Arial"/>
              </w:rPr>
            </w:pP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9FEC198" w14:textId="77777777" w:rsidR="00FC4056" w:rsidRPr="00E91D60" w:rsidRDefault="00FC4056" w:rsidP="008908A5">
            <w:pPr>
              <w:pStyle w:val="Tabletext"/>
              <w:rPr>
                <w:rFonts w:cs="Arial"/>
              </w:rPr>
            </w:pPr>
            <w:r w:rsidRPr="00E91D60">
              <w:rPr>
                <w:rFonts w:cs="Arial"/>
              </w:rPr>
              <w:t>-346.1</w:t>
            </w:r>
          </w:p>
        </w:tc>
        <w:tc>
          <w:tcPr>
            <w:tcW w:w="1164" w:type="dxa"/>
            <w:tcBorders>
              <w:top w:val="single" w:sz="4" w:space="0" w:color="005A97"/>
              <w:left w:val="single" w:sz="4" w:space="0" w:color="005A97"/>
              <w:bottom w:val="single" w:sz="4" w:space="0" w:color="005A97"/>
              <w:right w:val="nil"/>
            </w:tcBorders>
            <w:noWrap/>
            <w:vAlign w:val="center"/>
          </w:tcPr>
          <w:p w14:paraId="1D55C0E8" w14:textId="77777777" w:rsidR="00FC4056" w:rsidRPr="00E91D60" w:rsidRDefault="00FC4056" w:rsidP="008908A5">
            <w:pPr>
              <w:pStyle w:val="Tabletext"/>
              <w:rPr>
                <w:rFonts w:cs="Arial"/>
              </w:rPr>
            </w:pPr>
          </w:p>
        </w:tc>
      </w:tr>
      <w:tr w:rsidR="00A043BC" w:rsidRPr="00D40FA7" w14:paraId="3BB6A178"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221C9180" w14:textId="77777777" w:rsidR="00FC4056" w:rsidRPr="00E91D60" w:rsidRDefault="00FC4056" w:rsidP="008908A5">
            <w:pPr>
              <w:pStyle w:val="Tabletext"/>
              <w:rPr>
                <w:b/>
              </w:rPr>
            </w:pPr>
            <w:r w:rsidRPr="00E91D60">
              <w:rPr>
                <w:b/>
              </w:rPr>
              <w:t>Source Unit</w:t>
            </w:r>
          </w:p>
        </w:tc>
        <w:tc>
          <w:tcPr>
            <w:tcW w:w="1241" w:type="dxa"/>
            <w:gridSpan w:val="2"/>
            <w:tcBorders>
              <w:top w:val="single" w:sz="4" w:space="0" w:color="005A97"/>
              <w:left w:val="single" w:sz="4" w:space="0" w:color="005A97"/>
              <w:bottom w:val="single" w:sz="4" w:space="0" w:color="005A97"/>
              <w:right w:val="single" w:sz="4" w:space="0" w:color="005A97"/>
            </w:tcBorders>
            <w:noWrap/>
            <w:vAlign w:val="center"/>
          </w:tcPr>
          <w:p w14:paraId="3D0691AC" w14:textId="77777777" w:rsidR="00FC4056" w:rsidRPr="00E91D60" w:rsidRDefault="00FC4056" w:rsidP="008908A5">
            <w:pPr>
              <w:pStyle w:val="Tabletext"/>
              <w:rPr>
                <w:rFonts w:cs="Arial"/>
              </w:rPr>
            </w:pPr>
            <w:r w:rsidRPr="00E91D60">
              <w:rPr>
                <w:rFonts w:cs="Arial"/>
              </w:rPr>
              <w:t>-1163.7</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00F59D6" w14:textId="77777777" w:rsidR="00FC4056" w:rsidRPr="00E91D60" w:rsidRDefault="00FC4056" w:rsidP="008908A5">
            <w:pPr>
              <w:pStyle w:val="Tabletext"/>
              <w:rPr>
                <w:rFonts w:cs="Arial"/>
              </w:rPr>
            </w:pPr>
            <w:r w:rsidRPr="00E91D60">
              <w:rPr>
                <w:rFonts w:cs="Arial"/>
              </w:rPr>
              <w:t>-1389.0</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7F6453B" w14:textId="77777777" w:rsidR="00FC4056" w:rsidRPr="00E91D60" w:rsidRDefault="00FC4056" w:rsidP="008908A5">
            <w:pPr>
              <w:pStyle w:val="Tabletext"/>
              <w:rPr>
                <w:rFonts w:cs="Arial"/>
              </w:rPr>
            </w:pPr>
            <w:r w:rsidRPr="00E91D60">
              <w:rPr>
                <w:rFonts w:cs="Arial"/>
              </w:rPr>
              <w:t>-883.5</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2DCA9DC9" w14:textId="77777777" w:rsidR="00FC4056" w:rsidRPr="00E91D60" w:rsidRDefault="00FC4056" w:rsidP="008908A5">
            <w:pPr>
              <w:pStyle w:val="Tabletext"/>
              <w:rPr>
                <w:rFonts w:cs="Arial"/>
              </w:rPr>
            </w:pPr>
            <w:r w:rsidRPr="00E91D60">
              <w:rPr>
                <w:rFonts w:cs="Arial"/>
              </w:rPr>
              <w:t>-863.3</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5113E815" w14:textId="77777777" w:rsidR="00FC4056" w:rsidRPr="00E91D60" w:rsidRDefault="00FC4056" w:rsidP="008908A5">
            <w:pPr>
              <w:pStyle w:val="Tabletext"/>
              <w:rPr>
                <w:rFonts w:cs="Arial"/>
              </w:rPr>
            </w:pPr>
            <w:r w:rsidRPr="00E91D60">
              <w:rPr>
                <w:rFonts w:cs="Arial"/>
              </w:rPr>
              <w:t>-852.3</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03BB5316" w14:textId="77777777" w:rsidR="00FC4056" w:rsidRPr="00E91D60" w:rsidRDefault="00FC4056" w:rsidP="008908A5">
            <w:pPr>
              <w:pStyle w:val="Tabletext"/>
              <w:rPr>
                <w:rFonts w:cs="Arial"/>
              </w:rPr>
            </w:pPr>
            <w:r w:rsidRPr="00E91D60">
              <w:rPr>
                <w:rFonts w:cs="Arial"/>
              </w:rPr>
              <w:t>-1282.6</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446F2438" w14:textId="77777777" w:rsidR="00FC4056" w:rsidRPr="00E91D60" w:rsidRDefault="00FC4056" w:rsidP="008908A5">
            <w:pPr>
              <w:pStyle w:val="Tabletext"/>
              <w:rPr>
                <w:rFonts w:cs="Arial"/>
              </w:rPr>
            </w:pPr>
            <w:r w:rsidRPr="00E91D60">
              <w:rPr>
                <w:rFonts w:cs="Arial"/>
              </w:rPr>
              <w:t>-937.2</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76CD5F24" w14:textId="77777777" w:rsidR="00FC4056" w:rsidRPr="00E91D60" w:rsidRDefault="00FC4056" w:rsidP="008908A5">
            <w:pPr>
              <w:pStyle w:val="Tabletext"/>
              <w:rPr>
                <w:rFonts w:cs="Arial"/>
              </w:rPr>
            </w:pPr>
            <w:r w:rsidRPr="00E91D60">
              <w:rPr>
                <w:rFonts w:cs="Arial"/>
              </w:rPr>
              <w:t>-738.0</w:t>
            </w:r>
          </w:p>
        </w:tc>
        <w:tc>
          <w:tcPr>
            <w:tcW w:w="1241" w:type="dxa"/>
            <w:tcBorders>
              <w:top w:val="single" w:sz="4" w:space="0" w:color="005A97"/>
              <w:left w:val="single" w:sz="4" w:space="0" w:color="005A97"/>
              <w:bottom w:val="single" w:sz="4" w:space="0" w:color="005A97"/>
              <w:right w:val="single" w:sz="4" w:space="0" w:color="005A97"/>
            </w:tcBorders>
            <w:noWrap/>
            <w:vAlign w:val="center"/>
          </w:tcPr>
          <w:p w14:paraId="3FC7F05F" w14:textId="77777777" w:rsidR="00FC4056" w:rsidRPr="00E91D60" w:rsidRDefault="00FC4056" w:rsidP="008908A5">
            <w:pPr>
              <w:pStyle w:val="Tabletext"/>
              <w:rPr>
                <w:rFonts w:cs="Arial"/>
              </w:rPr>
            </w:pPr>
            <w:r w:rsidRPr="00E91D60">
              <w:rPr>
                <w:rFonts w:cs="Arial"/>
              </w:rPr>
              <w:t>-1190.6</w:t>
            </w:r>
          </w:p>
        </w:tc>
        <w:tc>
          <w:tcPr>
            <w:tcW w:w="1164" w:type="dxa"/>
            <w:tcBorders>
              <w:top w:val="single" w:sz="4" w:space="0" w:color="005A97"/>
              <w:left w:val="single" w:sz="4" w:space="0" w:color="005A97"/>
              <w:bottom w:val="single" w:sz="4" w:space="0" w:color="005A97"/>
              <w:right w:val="nil"/>
            </w:tcBorders>
            <w:noWrap/>
            <w:vAlign w:val="center"/>
          </w:tcPr>
          <w:p w14:paraId="745D55EF" w14:textId="77777777" w:rsidR="00FC4056" w:rsidRPr="00E91D60" w:rsidRDefault="00FC4056" w:rsidP="008908A5">
            <w:pPr>
              <w:pStyle w:val="Tabletext"/>
              <w:rPr>
                <w:rFonts w:cs="Arial"/>
              </w:rPr>
            </w:pPr>
            <w:r w:rsidRPr="00E91D60">
              <w:rPr>
                <w:rFonts w:cs="Arial"/>
              </w:rPr>
              <w:t>-953.9</w:t>
            </w:r>
          </w:p>
        </w:tc>
      </w:tr>
    </w:tbl>
    <w:p w14:paraId="685D44CB" w14:textId="2D1BD5C8" w:rsidR="00A043BC" w:rsidRDefault="00A043BC" w:rsidP="00676DA0">
      <w:pPr>
        <w:pStyle w:val="Tabletext"/>
      </w:pPr>
    </w:p>
    <w:p w14:paraId="1FE53020" w14:textId="77777777" w:rsidR="00A043BC" w:rsidRDefault="00A043BC">
      <w:r>
        <w:br w:type="page"/>
      </w:r>
    </w:p>
    <w:p w14:paraId="5D251588" w14:textId="7C7398F0" w:rsidR="00FC4056" w:rsidRDefault="00165212" w:rsidP="008908A5">
      <w:pPr>
        <w:pStyle w:val="Tableheading"/>
      </w:pPr>
      <w:r>
        <w:t>Table BB3 – Parameters for block model structure for t</w:t>
      </w:r>
      <w:r w:rsidR="00FC4056">
        <w:t>ight gas</w:t>
      </w:r>
    </w:p>
    <w:tbl>
      <w:tblPr>
        <w:tblStyle w:val="TableGrid"/>
        <w:tblW w:w="14635" w:type="dxa"/>
        <w:tblInd w:w="108" w:type="dxa"/>
        <w:tblLayout w:type="fixed"/>
        <w:tblLook w:val="04A0" w:firstRow="1" w:lastRow="0" w:firstColumn="1" w:lastColumn="0" w:noHBand="0" w:noVBand="1"/>
      </w:tblPr>
      <w:tblGrid>
        <w:gridCol w:w="2268"/>
        <w:gridCol w:w="34"/>
        <w:gridCol w:w="1199"/>
        <w:gridCol w:w="1233"/>
        <w:gridCol w:w="1233"/>
        <w:gridCol w:w="1234"/>
        <w:gridCol w:w="1233"/>
        <w:gridCol w:w="1233"/>
        <w:gridCol w:w="1234"/>
        <w:gridCol w:w="1233"/>
        <w:gridCol w:w="1233"/>
        <w:gridCol w:w="1234"/>
        <w:gridCol w:w="34"/>
      </w:tblGrid>
      <w:tr w:rsidR="00FC4056" w:rsidRPr="009B7F6C" w14:paraId="17B6272A" w14:textId="77777777" w:rsidTr="008908A5">
        <w:trPr>
          <w:trHeight w:val="283"/>
        </w:trPr>
        <w:tc>
          <w:tcPr>
            <w:tcW w:w="2302" w:type="dxa"/>
            <w:gridSpan w:val="2"/>
            <w:tcBorders>
              <w:top w:val="nil"/>
              <w:left w:val="nil"/>
              <w:bottom w:val="single" w:sz="4" w:space="0" w:color="005A97"/>
              <w:right w:val="single" w:sz="4" w:space="0" w:color="FFFFFF"/>
            </w:tcBorders>
            <w:shd w:val="clear" w:color="auto" w:fill="005A97"/>
            <w:noWrap/>
            <w:vAlign w:val="center"/>
          </w:tcPr>
          <w:p w14:paraId="72B7F0EC" w14:textId="77777777" w:rsidR="00FC4056" w:rsidRPr="00334993" w:rsidRDefault="00FC4056" w:rsidP="008908A5">
            <w:pPr>
              <w:pStyle w:val="TableHeaderrow"/>
              <w:spacing w:before="20" w:after="20"/>
            </w:pPr>
          </w:p>
        </w:tc>
        <w:tc>
          <w:tcPr>
            <w:tcW w:w="12333" w:type="dxa"/>
            <w:gridSpan w:val="11"/>
            <w:tcBorders>
              <w:top w:val="nil"/>
              <w:left w:val="single" w:sz="4" w:space="0" w:color="FFFFFF"/>
              <w:bottom w:val="single" w:sz="4" w:space="0" w:color="005A97"/>
              <w:right w:val="nil"/>
            </w:tcBorders>
            <w:shd w:val="clear" w:color="auto" w:fill="005A97"/>
            <w:noWrap/>
            <w:vAlign w:val="center"/>
          </w:tcPr>
          <w:p w14:paraId="15A28ADE" w14:textId="77777777" w:rsidR="00FC4056" w:rsidRPr="009B7F6C" w:rsidRDefault="00FC4056" w:rsidP="008908A5">
            <w:pPr>
              <w:pStyle w:val="TableHeaderrow"/>
              <w:spacing w:before="20" w:after="20"/>
              <w:rPr>
                <w:rFonts w:cs="Arial"/>
                <w:iCs/>
                <w:color w:val="AEC12D"/>
                <w:sz w:val="32"/>
                <w:szCs w:val="28"/>
              </w:rPr>
            </w:pPr>
            <w:r>
              <w:t>Elevation of Top of Layer (m AHD)</w:t>
            </w:r>
          </w:p>
        </w:tc>
      </w:tr>
      <w:tr w:rsidR="00FC4056" w:rsidRPr="008908A5" w14:paraId="006CA0AB"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420938CB" w14:textId="77777777" w:rsidR="00FC4056" w:rsidRPr="008908A5" w:rsidRDefault="00FC4056" w:rsidP="008908A5">
            <w:pPr>
              <w:pStyle w:val="Tabletext"/>
              <w:spacing w:before="20" w:after="20"/>
              <w:rPr>
                <w:rFonts w:cs="Arial"/>
                <w:b/>
                <w:iCs/>
                <w:color w:val="AEC12D"/>
              </w:rPr>
            </w:pPr>
            <w:r w:rsidRPr="008908A5">
              <w:rPr>
                <w:b/>
              </w:rPr>
              <w:t>Aquifer</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76D4A8F9"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123</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7634181"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124</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5D4E508"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154</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23631E5A"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155</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C90303F"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156</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297BAA7"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157</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01E06360"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158</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8511106"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188</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906E108" w14:textId="77777777" w:rsidR="00FC4056" w:rsidRPr="008908A5" w:rsidRDefault="00FC4056" w:rsidP="008908A5">
            <w:pPr>
              <w:pStyle w:val="Tabletext"/>
              <w:spacing w:before="20" w:after="20"/>
              <w:rPr>
                <w:b/>
              </w:rPr>
            </w:pPr>
            <w:r w:rsidRPr="008908A5">
              <w:rPr>
                <w:b/>
              </w:rPr>
              <w:t>189</w:t>
            </w:r>
          </w:p>
        </w:tc>
        <w:tc>
          <w:tcPr>
            <w:tcW w:w="1234" w:type="dxa"/>
            <w:tcBorders>
              <w:top w:val="single" w:sz="4" w:space="0" w:color="005A97"/>
              <w:left w:val="single" w:sz="4" w:space="0" w:color="005A97"/>
              <w:bottom w:val="single" w:sz="4" w:space="0" w:color="005A97"/>
              <w:right w:val="nil"/>
            </w:tcBorders>
            <w:noWrap/>
            <w:vAlign w:val="center"/>
            <w:hideMark/>
          </w:tcPr>
          <w:p w14:paraId="17F3D630"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190</w:t>
            </w:r>
          </w:p>
        </w:tc>
      </w:tr>
      <w:tr w:rsidR="00FC4056" w:rsidRPr="009B7F6C" w14:paraId="111DB887"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625C808F"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Aq100,101,104</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11BCCFE3"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73.6</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37FDF8E"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101.4</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BB004E2"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37.4</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1AB811B8"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25.7</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28C7B7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72.3</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026A345E" w14:textId="77777777" w:rsidR="00FC4056" w:rsidRPr="008908A5" w:rsidRDefault="00FC4056" w:rsidP="008908A5">
            <w:pPr>
              <w:pStyle w:val="Tabletext"/>
              <w:spacing w:before="20" w:after="20"/>
            </w:pPr>
            <w:r w:rsidRPr="008908A5">
              <w:t>79.7</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3F67B85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108.6</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0917B24F"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53.8</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D203CD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62.5</w:t>
            </w:r>
          </w:p>
        </w:tc>
        <w:tc>
          <w:tcPr>
            <w:tcW w:w="1234" w:type="dxa"/>
            <w:tcBorders>
              <w:top w:val="single" w:sz="4" w:space="0" w:color="005A97"/>
              <w:left w:val="single" w:sz="4" w:space="0" w:color="005A97"/>
              <w:bottom w:val="single" w:sz="4" w:space="0" w:color="005A97"/>
              <w:right w:val="nil"/>
            </w:tcBorders>
            <w:noWrap/>
            <w:vAlign w:val="center"/>
            <w:hideMark/>
          </w:tcPr>
          <w:p w14:paraId="08CBE505"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97.1</w:t>
            </w:r>
          </w:p>
        </w:tc>
      </w:tr>
      <w:tr w:rsidR="00FC4056" w:rsidRPr="009B7F6C" w14:paraId="3E230A35"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3C3CC000"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Volcanics Basal</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019E993E"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C699FD0"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B24C28F"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0C48BEA5" w14:textId="77777777" w:rsidR="00FC4056" w:rsidRPr="008908A5" w:rsidRDefault="00FC4056" w:rsidP="008908A5">
            <w:pPr>
              <w:pStyle w:val="Tabletext"/>
              <w:spacing w:before="20" w:after="20"/>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DC6797C"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22F7712"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11F7AC08"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58F751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4B8CBAF1"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4" w:type="dxa"/>
            <w:tcBorders>
              <w:top w:val="single" w:sz="4" w:space="0" w:color="005A97"/>
              <w:left w:val="single" w:sz="4" w:space="0" w:color="005A97"/>
              <w:bottom w:val="single" w:sz="4" w:space="0" w:color="005A97"/>
              <w:right w:val="nil"/>
            </w:tcBorders>
            <w:noWrap/>
            <w:vAlign w:val="center"/>
            <w:hideMark/>
          </w:tcPr>
          <w:p w14:paraId="70EC8E7B"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r>
      <w:tr w:rsidR="00FC4056" w:rsidRPr="009B7F6C" w14:paraId="06695451"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614B60F4"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Aq107</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23D35858"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56.4</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DF0EA6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39.8</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E5E5C39"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50.7</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2504BD84"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19.8</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41E73D61"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64.8</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F2A9691" w14:textId="77777777" w:rsidR="00FC4056" w:rsidRPr="008908A5" w:rsidRDefault="00FC4056" w:rsidP="008908A5">
            <w:pPr>
              <w:pStyle w:val="Tabletext"/>
              <w:spacing w:before="20" w:after="20"/>
            </w:pPr>
            <w:r w:rsidRPr="008908A5">
              <w:t>78.1</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7FDF1AD4"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D153545"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39.9</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1A97475"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51.9</w:t>
            </w:r>
          </w:p>
        </w:tc>
        <w:tc>
          <w:tcPr>
            <w:tcW w:w="1234" w:type="dxa"/>
            <w:tcBorders>
              <w:top w:val="single" w:sz="4" w:space="0" w:color="005A97"/>
              <w:left w:val="single" w:sz="4" w:space="0" w:color="005A97"/>
              <w:bottom w:val="single" w:sz="4" w:space="0" w:color="005A97"/>
              <w:right w:val="nil"/>
            </w:tcBorders>
            <w:noWrap/>
            <w:vAlign w:val="center"/>
            <w:hideMark/>
          </w:tcPr>
          <w:p w14:paraId="7CE55E8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87.1</w:t>
            </w:r>
          </w:p>
        </w:tc>
      </w:tr>
      <w:tr w:rsidR="00FC4056" w:rsidRPr="009B7F6C" w14:paraId="012BA123"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11D45C1B"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Aqd108</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1ADE1F86"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20.5</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66C157F"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44.5</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0B817D5C"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-83.6</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01B2EC32" w14:textId="77777777" w:rsidR="00FC4056" w:rsidRPr="008908A5" w:rsidRDefault="00FC4056" w:rsidP="008908A5">
            <w:pPr>
              <w:pStyle w:val="Tabletext"/>
              <w:spacing w:before="20" w:after="20"/>
            </w:pPr>
            <w:r w:rsidRPr="008908A5">
              <w:t>-107.1</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481BEF5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-11.8</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2BA9B46"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80.3</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7BE3D120"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97.7</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DDAACD6" w14:textId="77777777" w:rsidR="00FC4056" w:rsidRPr="008908A5" w:rsidRDefault="00FC4056" w:rsidP="008908A5">
            <w:pPr>
              <w:pStyle w:val="Tabletext"/>
              <w:spacing w:before="20" w:after="20"/>
            </w:pPr>
            <w:r w:rsidRPr="008908A5">
              <w:t>-198.5</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9258374"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-84.8</w:t>
            </w:r>
          </w:p>
        </w:tc>
        <w:tc>
          <w:tcPr>
            <w:tcW w:w="1234" w:type="dxa"/>
            <w:tcBorders>
              <w:top w:val="single" w:sz="4" w:space="0" w:color="005A97"/>
              <w:left w:val="single" w:sz="4" w:space="0" w:color="005A97"/>
              <w:bottom w:val="single" w:sz="4" w:space="0" w:color="005A97"/>
              <w:right w:val="nil"/>
            </w:tcBorders>
            <w:noWrap/>
            <w:vAlign w:val="center"/>
            <w:hideMark/>
          </w:tcPr>
          <w:p w14:paraId="2F30E0C5"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26.3</w:t>
            </w:r>
          </w:p>
        </w:tc>
      </w:tr>
      <w:tr w:rsidR="00FC4056" w:rsidRPr="009B7F6C" w14:paraId="3959F30D"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01D17EB4"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AQ109</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5CF681B4"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-137.0</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7DAB236"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-58.3</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BF3AEB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-434.6</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6E8267F0"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-455.6</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BDA4AA4"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-295.0</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06E3100" w14:textId="77777777" w:rsidR="00FC4056" w:rsidRPr="008908A5" w:rsidRDefault="00FC4056" w:rsidP="008908A5">
            <w:pPr>
              <w:pStyle w:val="Tabletext"/>
              <w:spacing w:before="20" w:after="20"/>
            </w:pPr>
            <w:r w:rsidRPr="008908A5">
              <w:t>-53.8</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3E5A820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25.7</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13BF74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-570.0</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48A2E5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-400.4</w:t>
            </w:r>
          </w:p>
        </w:tc>
        <w:tc>
          <w:tcPr>
            <w:tcW w:w="1234" w:type="dxa"/>
            <w:tcBorders>
              <w:top w:val="single" w:sz="4" w:space="0" w:color="005A97"/>
              <w:left w:val="single" w:sz="4" w:space="0" w:color="005A97"/>
              <w:bottom w:val="single" w:sz="4" w:space="0" w:color="005A97"/>
              <w:right w:val="nil"/>
            </w:tcBorders>
            <w:noWrap/>
            <w:vAlign w:val="center"/>
            <w:hideMark/>
          </w:tcPr>
          <w:p w14:paraId="2421A23E"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-211.7</w:t>
            </w:r>
          </w:p>
        </w:tc>
      </w:tr>
      <w:tr w:rsidR="00FC4056" w:rsidRPr="009B7F6C" w14:paraId="32D0E741"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4ACDFAFC"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AQD110/AQD111</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5B22776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-97.1</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44B8CCC"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6.3</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1655AE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-441.5</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585D463B"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-472.9</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0D5C1815"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-314.0</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1149E85"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-56.8</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2F121355"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79.3</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37C7480"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-587.0</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88E3D6C"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-414.4</w:t>
            </w:r>
          </w:p>
        </w:tc>
        <w:tc>
          <w:tcPr>
            <w:tcW w:w="1234" w:type="dxa"/>
            <w:tcBorders>
              <w:top w:val="single" w:sz="4" w:space="0" w:color="005A97"/>
              <w:left w:val="single" w:sz="4" w:space="0" w:color="005A97"/>
              <w:bottom w:val="single" w:sz="4" w:space="0" w:color="005A97"/>
              <w:right w:val="nil"/>
            </w:tcBorders>
            <w:noWrap/>
            <w:vAlign w:val="center"/>
            <w:hideMark/>
          </w:tcPr>
          <w:p w14:paraId="43D739CB"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-235.3</w:t>
            </w:r>
          </w:p>
        </w:tc>
      </w:tr>
      <w:tr w:rsidR="00FC4056" w:rsidRPr="009B7F6C" w14:paraId="5CCFE6BE"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13447F88"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Aq111</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45DD52DB" w14:textId="77777777" w:rsidR="00FC4056" w:rsidRPr="008908A5" w:rsidRDefault="00FC4056" w:rsidP="008908A5">
            <w:pPr>
              <w:pStyle w:val="Tabletext"/>
              <w:spacing w:before="20" w:after="20"/>
            </w:pPr>
            <w:r w:rsidRPr="008908A5">
              <w:t>-201.2</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6C07C3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19.7</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16A2FF6"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-508.3</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51BEAC02"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-571.7</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AD9B90C"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-395.2</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D9CBF8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-140.8</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716D54EB"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59.3</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0A5FAD44"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-655.0</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386C0C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-474.4</w:t>
            </w:r>
          </w:p>
        </w:tc>
        <w:tc>
          <w:tcPr>
            <w:tcW w:w="1234" w:type="dxa"/>
            <w:tcBorders>
              <w:top w:val="single" w:sz="4" w:space="0" w:color="005A97"/>
              <w:left w:val="single" w:sz="4" w:space="0" w:color="005A97"/>
              <w:bottom w:val="single" w:sz="4" w:space="0" w:color="005A97"/>
              <w:right w:val="nil"/>
            </w:tcBorders>
            <w:noWrap/>
            <w:vAlign w:val="center"/>
            <w:hideMark/>
          </w:tcPr>
          <w:p w14:paraId="339E592D" w14:textId="77777777" w:rsidR="00FC4056" w:rsidRPr="008908A5" w:rsidRDefault="00FC4056" w:rsidP="008908A5">
            <w:pPr>
              <w:pStyle w:val="Tabletext"/>
              <w:spacing w:before="20" w:after="20"/>
            </w:pPr>
            <w:r w:rsidRPr="008908A5">
              <w:t>-304.2</w:t>
            </w:r>
          </w:p>
        </w:tc>
      </w:tr>
      <w:tr w:rsidR="00FC4056" w:rsidRPr="009B7F6C" w14:paraId="7CF82A42"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2ED3E73C"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Aq112</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125AA4F8"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A776C1A"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27AE928" w14:textId="77777777" w:rsidR="00FC4056" w:rsidRPr="008908A5" w:rsidRDefault="00FC4056" w:rsidP="008908A5">
            <w:pPr>
              <w:pStyle w:val="Tabletext"/>
              <w:spacing w:before="20" w:after="20"/>
            </w:pPr>
            <w:r w:rsidRPr="008908A5">
              <w:t> </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104F507E"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4DCFA4A6"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1EC5AF5"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536A3CFF"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DB2F43B" w14:textId="77777777" w:rsidR="00FC4056" w:rsidRPr="008908A5" w:rsidRDefault="00FC4056" w:rsidP="008908A5">
            <w:pPr>
              <w:pStyle w:val="Tabletext"/>
              <w:spacing w:before="20" w:after="20"/>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45503CFF"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4" w:type="dxa"/>
            <w:tcBorders>
              <w:top w:val="single" w:sz="4" w:space="0" w:color="005A97"/>
              <w:left w:val="single" w:sz="4" w:space="0" w:color="005A97"/>
              <w:bottom w:val="single" w:sz="4" w:space="0" w:color="005A97"/>
              <w:right w:val="nil"/>
            </w:tcBorders>
            <w:noWrap/>
            <w:vAlign w:val="center"/>
            <w:hideMark/>
          </w:tcPr>
          <w:p w14:paraId="3240DA01"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r>
      <w:tr w:rsidR="00FC4056" w:rsidRPr="009B7F6C" w14:paraId="38BF9BD1"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577A1445"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Aq111</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0168834C" w14:textId="77777777" w:rsidR="00FC4056" w:rsidRPr="008908A5" w:rsidRDefault="00FC4056" w:rsidP="008908A5">
            <w:pPr>
              <w:pStyle w:val="Tabletext"/>
              <w:spacing w:before="20" w:after="20"/>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181A120"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050F0A0B"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2D00F691"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8FFDB1A"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2A853C0A"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545D27AE"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4C830D1"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F0581B0"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c>
          <w:tcPr>
            <w:tcW w:w="1234" w:type="dxa"/>
            <w:tcBorders>
              <w:top w:val="single" w:sz="4" w:space="0" w:color="005A97"/>
              <w:left w:val="single" w:sz="4" w:space="0" w:color="005A97"/>
              <w:bottom w:val="single" w:sz="4" w:space="0" w:color="005A97"/>
              <w:right w:val="nil"/>
            </w:tcBorders>
            <w:noWrap/>
            <w:vAlign w:val="center"/>
            <w:hideMark/>
          </w:tcPr>
          <w:p w14:paraId="714D2CE1"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 </w:t>
            </w:r>
          </w:p>
        </w:tc>
      </w:tr>
      <w:tr w:rsidR="00FC4056" w:rsidRPr="009B7F6C" w14:paraId="03197D78"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29C95FF1"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Sherbrook</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2D72712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-516.6</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1A6C8FE9"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-241.6</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51D998D6" w14:textId="77777777" w:rsidR="00FC4056" w:rsidRPr="008908A5" w:rsidRDefault="00FC4056" w:rsidP="008908A5">
            <w:pPr>
              <w:pStyle w:val="Tabletext"/>
              <w:spacing w:before="20" w:after="20"/>
            </w:pPr>
            <w:r w:rsidRPr="008908A5">
              <w:t>-1330.4</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23C9369D"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-1223.4</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940FBF3"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-859.7</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4D0E8E1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-551.5</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426DE91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-291.2</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0D93DDF1"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-1236.8</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CB61E12"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-1071.3</w:t>
            </w:r>
          </w:p>
        </w:tc>
        <w:tc>
          <w:tcPr>
            <w:tcW w:w="1234" w:type="dxa"/>
            <w:tcBorders>
              <w:top w:val="single" w:sz="4" w:space="0" w:color="005A97"/>
              <w:left w:val="single" w:sz="4" w:space="0" w:color="005A97"/>
              <w:bottom w:val="single" w:sz="4" w:space="0" w:color="005A97"/>
              <w:right w:val="nil"/>
            </w:tcBorders>
            <w:noWrap/>
            <w:vAlign w:val="center"/>
            <w:hideMark/>
          </w:tcPr>
          <w:p w14:paraId="71AC893A"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-752.8</w:t>
            </w:r>
          </w:p>
        </w:tc>
      </w:tr>
      <w:tr w:rsidR="00FC4056" w:rsidRPr="009B7F6C" w14:paraId="2E9C22F3"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noWrap/>
            <w:vAlign w:val="center"/>
            <w:hideMark/>
          </w:tcPr>
          <w:p w14:paraId="03EF20C4" w14:textId="77777777" w:rsidR="00FC4056" w:rsidRPr="008908A5" w:rsidRDefault="00FC4056" w:rsidP="008908A5">
            <w:pPr>
              <w:pStyle w:val="Tabletext"/>
              <w:spacing w:before="20" w:after="20"/>
              <w:rPr>
                <w:rFonts w:eastAsiaTheme="majorEastAsia" w:cstheme="majorBidi"/>
                <w:b/>
                <w:color w:val="0079CD" w:themeColor="text1" w:themeTint="D8"/>
              </w:rPr>
            </w:pPr>
            <w:r w:rsidRPr="008908A5">
              <w:rPr>
                <w:b/>
              </w:rPr>
              <w:t xml:space="preserve">Source Unit </w:t>
            </w:r>
          </w:p>
        </w:tc>
        <w:tc>
          <w:tcPr>
            <w:tcW w:w="1233" w:type="dxa"/>
            <w:gridSpan w:val="2"/>
            <w:tcBorders>
              <w:top w:val="single" w:sz="4" w:space="0" w:color="005A97"/>
              <w:left w:val="single" w:sz="4" w:space="0" w:color="005A97"/>
              <w:bottom w:val="single" w:sz="4" w:space="0" w:color="005A97"/>
              <w:right w:val="single" w:sz="4" w:space="0" w:color="005A97"/>
            </w:tcBorders>
            <w:noWrap/>
            <w:vAlign w:val="center"/>
            <w:hideMark/>
          </w:tcPr>
          <w:p w14:paraId="07C8AD37" w14:textId="77777777" w:rsidR="00FC4056" w:rsidRPr="008908A5" w:rsidRDefault="00FC4056" w:rsidP="008908A5">
            <w:pPr>
              <w:pStyle w:val="Tabletext"/>
              <w:spacing w:before="20" w:after="20"/>
            </w:pPr>
            <w:r w:rsidRPr="008908A5">
              <w:t>-1659.0</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8A9CF53"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-1016.6</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58365C8"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-1815.7</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7CE48DFB"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-1816.3</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6727DEB3" w14:textId="77777777" w:rsidR="00FC4056" w:rsidRPr="008908A5" w:rsidRDefault="00FC4056" w:rsidP="008908A5">
            <w:pPr>
              <w:pStyle w:val="Tabletext"/>
              <w:spacing w:before="20" w:after="20"/>
            </w:pPr>
            <w:r w:rsidRPr="008908A5">
              <w:t>-2190.3</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7F97774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-1230.9</w:t>
            </w:r>
          </w:p>
        </w:tc>
        <w:tc>
          <w:tcPr>
            <w:tcW w:w="1234" w:type="dxa"/>
            <w:tcBorders>
              <w:top w:val="single" w:sz="4" w:space="0" w:color="005A97"/>
              <w:left w:val="single" w:sz="4" w:space="0" w:color="005A97"/>
              <w:bottom w:val="single" w:sz="4" w:space="0" w:color="005A97"/>
              <w:right w:val="single" w:sz="4" w:space="0" w:color="005A97"/>
            </w:tcBorders>
            <w:noWrap/>
            <w:vAlign w:val="center"/>
            <w:hideMark/>
          </w:tcPr>
          <w:p w14:paraId="70C7E177"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-628.4</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3F218A0B"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-1780.7</w:t>
            </w:r>
          </w:p>
        </w:tc>
        <w:tc>
          <w:tcPr>
            <w:tcW w:w="1233" w:type="dxa"/>
            <w:tcBorders>
              <w:top w:val="single" w:sz="4" w:space="0" w:color="005A97"/>
              <w:left w:val="single" w:sz="4" w:space="0" w:color="005A97"/>
              <w:bottom w:val="single" w:sz="4" w:space="0" w:color="005A97"/>
              <w:right w:val="single" w:sz="4" w:space="0" w:color="005A97"/>
            </w:tcBorders>
            <w:noWrap/>
            <w:vAlign w:val="center"/>
            <w:hideMark/>
          </w:tcPr>
          <w:p w14:paraId="04B98C8F" w14:textId="77777777" w:rsidR="00FC4056" w:rsidRPr="008908A5" w:rsidRDefault="00FC4056" w:rsidP="008908A5">
            <w:pPr>
              <w:pStyle w:val="Tabletext"/>
              <w:spacing w:before="20" w:after="20"/>
              <w:rPr>
                <w:rFonts w:eastAsiaTheme="majorEastAsia" w:cstheme="majorBidi"/>
                <w:color w:val="0079CD" w:themeColor="text1" w:themeTint="D8"/>
              </w:rPr>
            </w:pPr>
            <w:r w:rsidRPr="008908A5">
              <w:t>-1397.6</w:t>
            </w:r>
          </w:p>
        </w:tc>
        <w:tc>
          <w:tcPr>
            <w:tcW w:w="1234" w:type="dxa"/>
            <w:tcBorders>
              <w:top w:val="single" w:sz="4" w:space="0" w:color="005A97"/>
              <w:left w:val="single" w:sz="4" w:space="0" w:color="005A97"/>
              <w:bottom w:val="single" w:sz="4" w:space="0" w:color="005A97"/>
              <w:right w:val="nil"/>
            </w:tcBorders>
            <w:noWrap/>
            <w:vAlign w:val="center"/>
            <w:hideMark/>
          </w:tcPr>
          <w:p w14:paraId="5D520524" w14:textId="77777777" w:rsidR="00FC4056" w:rsidRPr="008908A5" w:rsidRDefault="00FC4056" w:rsidP="008908A5">
            <w:pPr>
              <w:pStyle w:val="Tabletext"/>
              <w:spacing w:before="20" w:after="20"/>
            </w:pPr>
            <w:r w:rsidRPr="008908A5">
              <w:t>-1231.8</w:t>
            </w:r>
          </w:p>
        </w:tc>
      </w:tr>
    </w:tbl>
    <w:p w14:paraId="3294575C" w14:textId="77777777" w:rsidR="00FC4056" w:rsidRDefault="00FC4056" w:rsidP="00331966"/>
    <w:tbl>
      <w:tblPr>
        <w:tblStyle w:val="TableGrid"/>
        <w:tblW w:w="8539" w:type="dxa"/>
        <w:tblInd w:w="108" w:type="dxa"/>
        <w:tblLayout w:type="fixed"/>
        <w:tblLook w:val="04A0" w:firstRow="1" w:lastRow="0" w:firstColumn="1" w:lastColumn="0" w:noHBand="0" w:noVBand="1"/>
      </w:tblPr>
      <w:tblGrid>
        <w:gridCol w:w="2268"/>
        <w:gridCol w:w="34"/>
        <w:gridCol w:w="1213"/>
        <w:gridCol w:w="1247"/>
        <w:gridCol w:w="1248"/>
        <w:gridCol w:w="1247"/>
        <w:gridCol w:w="1248"/>
        <w:gridCol w:w="34"/>
      </w:tblGrid>
      <w:tr w:rsidR="00FC4056" w:rsidRPr="009B7F6C" w14:paraId="069A8A48" w14:textId="77777777" w:rsidTr="008908A5">
        <w:trPr>
          <w:trHeight w:val="283"/>
        </w:trPr>
        <w:tc>
          <w:tcPr>
            <w:tcW w:w="2302" w:type="dxa"/>
            <w:gridSpan w:val="2"/>
            <w:tcBorders>
              <w:top w:val="nil"/>
              <w:left w:val="nil"/>
              <w:bottom w:val="single" w:sz="4" w:space="0" w:color="FFFFFF"/>
              <w:right w:val="single" w:sz="4" w:space="0" w:color="FFFFFF"/>
            </w:tcBorders>
            <w:shd w:val="clear" w:color="auto" w:fill="005A97"/>
            <w:vAlign w:val="center"/>
          </w:tcPr>
          <w:p w14:paraId="074F9B9E" w14:textId="77777777" w:rsidR="00FC4056" w:rsidRPr="00334993" w:rsidRDefault="00FC4056" w:rsidP="008908A5">
            <w:pPr>
              <w:pStyle w:val="TableHeaderrow"/>
              <w:spacing w:before="20" w:after="20"/>
            </w:pPr>
          </w:p>
        </w:tc>
        <w:tc>
          <w:tcPr>
            <w:tcW w:w="6237" w:type="dxa"/>
            <w:gridSpan w:val="6"/>
            <w:tcBorders>
              <w:top w:val="nil"/>
              <w:left w:val="single" w:sz="4" w:space="0" w:color="FFFFFF"/>
              <w:bottom w:val="single" w:sz="4" w:space="0" w:color="FFFFFF"/>
              <w:right w:val="nil"/>
            </w:tcBorders>
            <w:shd w:val="clear" w:color="auto" w:fill="005A97"/>
            <w:noWrap/>
            <w:vAlign w:val="center"/>
          </w:tcPr>
          <w:p w14:paraId="1411B6B2" w14:textId="77777777" w:rsidR="00FC4056" w:rsidRPr="009B7F6C" w:rsidRDefault="00FC4056" w:rsidP="008908A5">
            <w:pPr>
              <w:pStyle w:val="TableHeaderrow"/>
              <w:spacing w:before="20" w:after="20"/>
              <w:rPr>
                <w:rFonts w:cs="Arial"/>
                <w:iCs/>
                <w:color w:val="AEC12D"/>
                <w:sz w:val="32"/>
                <w:szCs w:val="28"/>
              </w:rPr>
            </w:pPr>
            <w:r>
              <w:t>Elevation of Top of Layer (m AHD)</w:t>
            </w:r>
          </w:p>
        </w:tc>
      </w:tr>
      <w:tr w:rsidR="00FC4056" w:rsidRPr="008908A5" w14:paraId="6E15E745" w14:textId="77777777" w:rsidTr="008908A5">
        <w:trPr>
          <w:gridAfter w:val="1"/>
          <w:wAfter w:w="34" w:type="dxa"/>
        </w:trPr>
        <w:tc>
          <w:tcPr>
            <w:tcW w:w="2268" w:type="dxa"/>
            <w:tcBorders>
              <w:top w:val="single" w:sz="4" w:space="0" w:color="FFFFFF"/>
              <w:left w:val="nil"/>
              <w:bottom w:val="single" w:sz="4" w:space="0" w:color="005A97"/>
              <w:right w:val="single" w:sz="4" w:space="0" w:color="005A97"/>
            </w:tcBorders>
            <w:vAlign w:val="center"/>
          </w:tcPr>
          <w:p w14:paraId="71B7A7CC" w14:textId="77777777" w:rsidR="00FC4056" w:rsidRPr="008908A5" w:rsidRDefault="00FC4056" w:rsidP="008908A5">
            <w:pPr>
              <w:pStyle w:val="Tabletext"/>
              <w:spacing w:before="20" w:after="20"/>
              <w:rPr>
                <w:rFonts w:cs="Arial"/>
                <w:b/>
                <w:iCs/>
                <w:color w:val="AEC12D"/>
              </w:rPr>
            </w:pPr>
            <w:r w:rsidRPr="008908A5">
              <w:rPr>
                <w:rFonts w:cs="Arial"/>
                <w:b/>
              </w:rPr>
              <w:t>Aquifer</w:t>
            </w:r>
          </w:p>
        </w:tc>
        <w:tc>
          <w:tcPr>
            <w:tcW w:w="1247" w:type="dxa"/>
            <w:gridSpan w:val="2"/>
            <w:tcBorders>
              <w:top w:val="single" w:sz="4" w:space="0" w:color="FFFFFF"/>
              <w:left w:val="single" w:sz="4" w:space="0" w:color="005A97"/>
              <w:bottom w:val="single" w:sz="4" w:space="0" w:color="005A97"/>
              <w:right w:val="single" w:sz="4" w:space="0" w:color="005A97"/>
            </w:tcBorders>
            <w:noWrap/>
            <w:vAlign w:val="center"/>
            <w:hideMark/>
          </w:tcPr>
          <w:p w14:paraId="2DAD2D6E" w14:textId="77777777" w:rsidR="00FC4056" w:rsidRPr="008908A5" w:rsidRDefault="00FC4056" w:rsidP="008908A5">
            <w:pPr>
              <w:pStyle w:val="Tabletext"/>
              <w:spacing w:before="20" w:after="20"/>
              <w:rPr>
                <w:rFonts w:cs="Arial"/>
                <w:b/>
                <w:iCs/>
                <w:color w:val="AEC12D"/>
              </w:rPr>
            </w:pPr>
            <w:r w:rsidRPr="008908A5">
              <w:rPr>
                <w:rFonts w:cs="Arial"/>
                <w:b/>
              </w:rPr>
              <w:t>191</w:t>
            </w:r>
          </w:p>
        </w:tc>
        <w:tc>
          <w:tcPr>
            <w:tcW w:w="1247" w:type="dxa"/>
            <w:tcBorders>
              <w:top w:val="single" w:sz="4" w:space="0" w:color="FFFFFF"/>
              <w:left w:val="single" w:sz="4" w:space="0" w:color="005A97"/>
              <w:bottom w:val="single" w:sz="4" w:space="0" w:color="005A97"/>
              <w:right w:val="single" w:sz="4" w:space="0" w:color="005A97"/>
            </w:tcBorders>
            <w:noWrap/>
            <w:vAlign w:val="center"/>
            <w:hideMark/>
          </w:tcPr>
          <w:p w14:paraId="67B49339" w14:textId="77777777" w:rsidR="00FC4056" w:rsidRPr="008908A5" w:rsidRDefault="00FC4056" w:rsidP="008908A5">
            <w:pPr>
              <w:pStyle w:val="Tabletext"/>
              <w:spacing w:before="20" w:after="20"/>
              <w:rPr>
                <w:rFonts w:cs="Arial"/>
                <w:b/>
                <w:iCs/>
                <w:color w:val="AEC12D"/>
              </w:rPr>
            </w:pPr>
            <w:r w:rsidRPr="008908A5">
              <w:rPr>
                <w:rFonts w:cs="Arial"/>
                <w:b/>
              </w:rPr>
              <w:t>192</w:t>
            </w:r>
          </w:p>
        </w:tc>
        <w:tc>
          <w:tcPr>
            <w:tcW w:w="1248" w:type="dxa"/>
            <w:tcBorders>
              <w:top w:val="single" w:sz="4" w:space="0" w:color="FFFFFF"/>
              <w:left w:val="single" w:sz="4" w:space="0" w:color="005A97"/>
              <w:bottom w:val="single" w:sz="4" w:space="0" w:color="005A97"/>
              <w:right w:val="single" w:sz="4" w:space="0" w:color="005A97"/>
            </w:tcBorders>
            <w:noWrap/>
            <w:vAlign w:val="center"/>
            <w:hideMark/>
          </w:tcPr>
          <w:p w14:paraId="1580EFBD" w14:textId="77777777" w:rsidR="00FC4056" w:rsidRPr="008908A5" w:rsidRDefault="00FC4056" w:rsidP="008908A5">
            <w:pPr>
              <w:pStyle w:val="Tabletext"/>
              <w:spacing w:before="20" w:after="20"/>
              <w:rPr>
                <w:rFonts w:cs="Arial"/>
                <w:b/>
                <w:iCs/>
                <w:color w:val="AEC12D"/>
              </w:rPr>
            </w:pPr>
            <w:r w:rsidRPr="008908A5">
              <w:rPr>
                <w:rFonts w:cs="Arial"/>
                <w:b/>
              </w:rPr>
              <w:t>222</w:t>
            </w:r>
          </w:p>
        </w:tc>
        <w:tc>
          <w:tcPr>
            <w:tcW w:w="1247" w:type="dxa"/>
            <w:tcBorders>
              <w:top w:val="single" w:sz="4" w:space="0" w:color="FFFFFF"/>
              <w:left w:val="single" w:sz="4" w:space="0" w:color="005A97"/>
              <w:bottom w:val="single" w:sz="4" w:space="0" w:color="005A97"/>
              <w:right w:val="single" w:sz="4" w:space="0" w:color="005A97"/>
            </w:tcBorders>
            <w:noWrap/>
            <w:vAlign w:val="center"/>
            <w:hideMark/>
          </w:tcPr>
          <w:p w14:paraId="0E79ED12" w14:textId="77777777" w:rsidR="00FC4056" w:rsidRPr="008908A5" w:rsidRDefault="00FC4056" w:rsidP="008908A5">
            <w:pPr>
              <w:pStyle w:val="Tabletext"/>
              <w:spacing w:before="20" w:after="20"/>
              <w:rPr>
                <w:rFonts w:cs="Arial"/>
                <w:b/>
                <w:iCs/>
                <w:color w:val="AEC12D"/>
              </w:rPr>
            </w:pPr>
            <w:r w:rsidRPr="008908A5">
              <w:rPr>
                <w:rFonts w:cs="Arial"/>
                <w:b/>
              </w:rPr>
              <w:t>223</w:t>
            </w:r>
          </w:p>
        </w:tc>
        <w:tc>
          <w:tcPr>
            <w:tcW w:w="1248" w:type="dxa"/>
            <w:tcBorders>
              <w:top w:val="single" w:sz="4" w:space="0" w:color="FFFFFF"/>
              <w:left w:val="single" w:sz="4" w:space="0" w:color="005A97"/>
              <w:bottom w:val="single" w:sz="4" w:space="0" w:color="005A97"/>
              <w:right w:val="nil"/>
            </w:tcBorders>
            <w:noWrap/>
            <w:vAlign w:val="center"/>
            <w:hideMark/>
          </w:tcPr>
          <w:p w14:paraId="768882FC" w14:textId="77777777" w:rsidR="00FC4056" w:rsidRPr="008908A5" w:rsidRDefault="00FC4056" w:rsidP="008908A5">
            <w:pPr>
              <w:pStyle w:val="Tabletext"/>
              <w:spacing w:before="20" w:after="20"/>
              <w:rPr>
                <w:rFonts w:cs="Arial"/>
                <w:b/>
                <w:iCs/>
                <w:color w:val="AEC12D"/>
              </w:rPr>
            </w:pPr>
            <w:r w:rsidRPr="008908A5">
              <w:rPr>
                <w:rFonts w:cs="Arial"/>
                <w:b/>
              </w:rPr>
              <w:t>224</w:t>
            </w:r>
          </w:p>
        </w:tc>
      </w:tr>
      <w:tr w:rsidR="00FC4056" w:rsidRPr="009B7F6C" w14:paraId="18289C4A"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5956274B"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Aq100,101,104</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592E515F" w14:textId="77777777" w:rsidR="00FC4056" w:rsidRPr="008908A5" w:rsidRDefault="00FC4056" w:rsidP="008908A5">
            <w:pPr>
              <w:pStyle w:val="Tabletext"/>
              <w:spacing w:before="20" w:after="20"/>
              <w:rPr>
                <w:rFonts w:cs="Arial"/>
                <w:iCs/>
                <w:color w:val="AEC12D"/>
              </w:rPr>
            </w:pPr>
            <w:r w:rsidRPr="008908A5">
              <w:rPr>
                <w:rFonts w:cs="Arial"/>
              </w:rPr>
              <w:t>72.8</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60F47D48" w14:textId="77777777" w:rsidR="00FC4056" w:rsidRPr="008908A5" w:rsidRDefault="00FC4056" w:rsidP="008908A5">
            <w:pPr>
              <w:pStyle w:val="Tabletext"/>
              <w:spacing w:before="20" w:after="20"/>
              <w:rPr>
                <w:rFonts w:cs="Arial"/>
                <w:iCs/>
                <w:color w:val="AEC12D"/>
              </w:rPr>
            </w:pPr>
            <w:r w:rsidRPr="008908A5">
              <w:rPr>
                <w:rFonts w:cs="Arial"/>
              </w:rPr>
              <w:t>148.7</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1E770FD8" w14:textId="77777777" w:rsidR="00FC4056" w:rsidRPr="008908A5" w:rsidRDefault="00FC4056" w:rsidP="008908A5">
            <w:pPr>
              <w:pStyle w:val="Tabletext"/>
              <w:spacing w:before="20" w:after="20"/>
              <w:rPr>
                <w:rFonts w:cs="Arial"/>
                <w:iCs/>
                <w:color w:val="AEC12D"/>
              </w:rPr>
            </w:pPr>
            <w:r w:rsidRPr="008908A5">
              <w:rPr>
                <w:rFonts w:cs="Arial"/>
              </w:rPr>
              <w:t>67.9</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58A79F65" w14:textId="77777777" w:rsidR="00FC4056" w:rsidRPr="008908A5" w:rsidRDefault="00FC4056" w:rsidP="008908A5">
            <w:pPr>
              <w:pStyle w:val="Tabletext"/>
              <w:spacing w:before="20" w:after="20"/>
              <w:rPr>
                <w:rFonts w:cs="Arial"/>
                <w:iCs/>
                <w:color w:val="AEC12D"/>
              </w:rPr>
            </w:pPr>
            <w:r w:rsidRPr="008908A5">
              <w:rPr>
                <w:rFonts w:cs="Arial"/>
              </w:rPr>
              <w:t>108.2</w:t>
            </w:r>
          </w:p>
        </w:tc>
        <w:tc>
          <w:tcPr>
            <w:tcW w:w="1248" w:type="dxa"/>
            <w:tcBorders>
              <w:top w:val="single" w:sz="4" w:space="0" w:color="005A97"/>
              <w:left w:val="single" w:sz="4" w:space="0" w:color="005A97"/>
              <w:bottom w:val="single" w:sz="4" w:space="0" w:color="005A97"/>
              <w:right w:val="nil"/>
            </w:tcBorders>
            <w:noWrap/>
            <w:vAlign w:val="center"/>
            <w:hideMark/>
          </w:tcPr>
          <w:p w14:paraId="319ABBEF" w14:textId="77777777" w:rsidR="00FC4056" w:rsidRPr="008908A5" w:rsidRDefault="00FC4056" w:rsidP="008908A5">
            <w:pPr>
              <w:pStyle w:val="Tabletext"/>
              <w:spacing w:before="20" w:after="20"/>
              <w:rPr>
                <w:rFonts w:cs="Arial"/>
                <w:iCs/>
                <w:color w:val="AEC12D"/>
              </w:rPr>
            </w:pPr>
            <w:r w:rsidRPr="008908A5">
              <w:rPr>
                <w:rFonts w:cs="Arial"/>
              </w:rPr>
              <w:t>127.4</w:t>
            </w:r>
          </w:p>
        </w:tc>
      </w:tr>
      <w:tr w:rsidR="00FC4056" w:rsidRPr="009B7F6C" w14:paraId="2ED4E2A9"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69007BE7"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Volcanics Basal</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529E2F86"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19920305"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118A9A68"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0D52351E"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8" w:type="dxa"/>
            <w:tcBorders>
              <w:top w:val="single" w:sz="4" w:space="0" w:color="005A97"/>
              <w:left w:val="single" w:sz="4" w:space="0" w:color="005A97"/>
              <w:bottom w:val="single" w:sz="4" w:space="0" w:color="005A97"/>
              <w:right w:val="nil"/>
            </w:tcBorders>
            <w:noWrap/>
            <w:vAlign w:val="center"/>
            <w:hideMark/>
          </w:tcPr>
          <w:p w14:paraId="25CC6F41"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r>
      <w:tr w:rsidR="00FC4056" w:rsidRPr="009B7F6C" w14:paraId="23A95ED0"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38084343"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Aq107</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30094153" w14:textId="77777777" w:rsidR="00FC4056" w:rsidRPr="008908A5" w:rsidRDefault="00FC4056" w:rsidP="008908A5">
            <w:pPr>
              <w:pStyle w:val="Tabletext"/>
              <w:spacing w:before="20" w:after="20"/>
              <w:rPr>
                <w:rFonts w:cs="Arial"/>
                <w:iCs/>
                <w:color w:val="AEC12D"/>
              </w:rPr>
            </w:pPr>
            <w:r w:rsidRPr="008908A5">
              <w:rPr>
                <w:rFonts w:cs="Arial"/>
              </w:rPr>
              <w:t>110.2</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6E1BDAC7"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3DA4E507" w14:textId="77777777" w:rsidR="00FC4056" w:rsidRPr="008908A5" w:rsidRDefault="00FC4056" w:rsidP="008908A5">
            <w:pPr>
              <w:pStyle w:val="Tabletext"/>
              <w:spacing w:before="20" w:after="20"/>
              <w:rPr>
                <w:rFonts w:cs="Arial"/>
                <w:iCs/>
                <w:color w:val="AEC12D"/>
              </w:rPr>
            </w:pPr>
            <w:r w:rsidRPr="008908A5">
              <w:rPr>
                <w:rFonts w:cs="Arial"/>
              </w:rPr>
              <w:t>42.8</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79F30432" w14:textId="77777777" w:rsidR="00FC4056" w:rsidRPr="008908A5" w:rsidRDefault="00FC4056" w:rsidP="008908A5">
            <w:pPr>
              <w:pStyle w:val="Tabletext"/>
              <w:spacing w:before="20" w:after="20"/>
              <w:rPr>
                <w:rFonts w:cs="Arial"/>
                <w:iCs/>
                <w:color w:val="AEC12D"/>
              </w:rPr>
            </w:pPr>
            <w:r w:rsidRPr="008908A5">
              <w:rPr>
                <w:rFonts w:cs="Arial"/>
              </w:rPr>
              <w:t>81.4</w:t>
            </w:r>
          </w:p>
        </w:tc>
        <w:tc>
          <w:tcPr>
            <w:tcW w:w="1248" w:type="dxa"/>
            <w:tcBorders>
              <w:top w:val="single" w:sz="4" w:space="0" w:color="005A97"/>
              <w:left w:val="single" w:sz="4" w:space="0" w:color="005A97"/>
              <w:bottom w:val="single" w:sz="4" w:space="0" w:color="005A97"/>
              <w:right w:val="nil"/>
            </w:tcBorders>
            <w:noWrap/>
            <w:vAlign w:val="center"/>
            <w:hideMark/>
          </w:tcPr>
          <w:p w14:paraId="7AF4FD61" w14:textId="77777777" w:rsidR="00FC4056" w:rsidRPr="008908A5" w:rsidRDefault="00FC4056" w:rsidP="008908A5">
            <w:pPr>
              <w:pStyle w:val="Tabletext"/>
              <w:spacing w:before="20" w:after="20"/>
              <w:rPr>
                <w:rFonts w:cs="Arial"/>
                <w:iCs/>
                <w:color w:val="AEC12D"/>
              </w:rPr>
            </w:pPr>
            <w:r w:rsidRPr="008908A5">
              <w:rPr>
                <w:rFonts w:cs="Arial"/>
              </w:rPr>
              <w:t>98.9</w:t>
            </w:r>
          </w:p>
        </w:tc>
      </w:tr>
      <w:tr w:rsidR="00FC4056" w:rsidRPr="009B7F6C" w14:paraId="0BB135FB"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33A70CAF"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Aqd108</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2A9E551D" w14:textId="77777777" w:rsidR="00FC4056" w:rsidRPr="008908A5" w:rsidRDefault="00FC4056" w:rsidP="008908A5">
            <w:pPr>
              <w:pStyle w:val="Tabletext"/>
              <w:spacing w:before="20" w:after="20"/>
              <w:rPr>
                <w:rFonts w:cs="Arial"/>
                <w:iCs/>
                <w:color w:val="AEC12D"/>
              </w:rPr>
            </w:pPr>
            <w:r w:rsidRPr="008908A5">
              <w:rPr>
                <w:rFonts w:cs="Arial"/>
              </w:rPr>
              <w:t>77.8</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17341493" w14:textId="77777777" w:rsidR="00FC4056" w:rsidRPr="008908A5" w:rsidRDefault="00FC4056" w:rsidP="008908A5">
            <w:pPr>
              <w:pStyle w:val="Tabletext"/>
              <w:spacing w:before="20" w:after="20"/>
              <w:rPr>
                <w:rFonts w:cs="Arial"/>
                <w:iCs/>
                <w:color w:val="AEC12D"/>
              </w:rPr>
            </w:pPr>
            <w:r w:rsidRPr="008908A5">
              <w:rPr>
                <w:rFonts w:cs="Arial"/>
              </w:rPr>
              <w:t>124.8</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4406197A" w14:textId="77777777" w:rsidR="00FC4056" w:rsidRPr="008908A5" w:rsidRDefault="00FC4056" w:rsidP="008908A5">
            <w:pPr>
              <w:pStyle w:val="Tabletext"/>
              <w:spacing w:before="20" w:after="20"/>
              <w:rPr>
                <w:rFonts w:cs="Arial"/>
                <w:iCs/>
                <w:color w:val="AEC12D"/>
              </w:rPr>
            </w:pPr>
            <w:r w:rsidRPr="008908A5">
              <w:rPr>
                <w:rFonts w:cs="Arial"/>
              </w:rPr>
              <w:t>-227.4</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390C4180" w14:textId="77777777" w:rsidR="00FC4056" w:rsidRPr="008908A5" w:rsidRDefault="00FC4056" w:rsidP="008908A5">
            <w:pPr>
              <w:pStyle w:val="Tabletext"/>
              <w:spacing w:before="20" w:after="20"/>
              <w:rPr>
                <w:rFonts w:cs="Arial"/>
                <w:iCs/>
                <w:color w:val="AEC12D"/>
              </w:rPr>
            </w:pPr>
            <w:r w:rsidRPr="008908A5">
              <w:rPr>
                <w:rFonts w:cs="Arial"/>
              </w:rPr>
              <w:t>-146.4</w:t>
            </w:r>
          </w:p>
        </w:tc>
        <w:tc>
          <w:tcPr>
            <w:tcW w:w="1248" w:type="dxa"/>
            <w:tcBorders>
              <w:top w:val="single" w:sz="4" w:space="0" w:color="005A97"/>
              <w:left w:val="single" w:sz="4" w:space="0" w:color="005A97"/>
              <w:bottom w:val="single" w:sz="4" w:space="0" w:color="005A97"/>
              <w:right w:val="nil"/>
            </w:tcBorders>
            <w:noWrap/>
            <w:vAlign w:val="center"/>
            <w:hideMark/>
          </w:tcPr>
          <w:p w14:paraId="26399FB9" w14:textId="77777777" w:rsidR="00FC4056" w:rsidRPr="008908A5" w:rsidRDefault="00FC4056" w:rsidP="008908A5">
            <w:pPr>
              <w:pStyle w:val="Tabletext"/>
              <w:spacing w:before="20" w:after="20"/>
              <w:rPr>
                <w:rFonts w:cs="Arial"/>
                <w:iCs/>
                <w:color w:val="AEC12D"/>
              </w:rPr>
            </w:pPr>
            <w:r w:rsidRPr="008908A5">
              <w:rPr>
                <w:rFonts w:cs="Arial"/>
              </w:rPr>
              <w:t>-31.7</w:t>
            </w:r>
          </w:p>
        </w:tc>
      </w:tr>
      <w:tr w:rsidR="00FC4056" w:rsidRPr="009B7F6C" w14:paraId="3B45D1BC"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28709362"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AQ109</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01D2EF19" w14:textId="77777777" w:rsidR="00FC4056" w:rsidRPr="008908A5" w:rsidRDefault="00FC4056" w:rsidP="008908A5">
            <w:pPr>
              <w:pStyle w:val="Tabletext"/>
              <w:spacing w:before="20" w:after="20"/>
              <w:rPr>
                <w:rFonts w:cs="Arial"/>
                <w:iCs/>
                <w:color w:val="AEC12D"/>
              </w:rPr>
            </w:pPr>
            <w:r w:rsidRPr="008908A5">
              <w:rPr>
                <w:rFonts w:cs="Arial"/>
              </w:rPr>
              <w:t>-46.9</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142B330E" w14:textId="77777777" w:rsidR="00FC4056" w:rsidRPr="008908A5" w:rsidRDefault="00FC4056" w:rsidP="008908A5">
            <w:pPr>
              <w:pStyle w:val="Tabletext"/>
              <w:spacing w:before="20" w:after="20"/>
              <w:rPr>
                <w:rFonts w:cs="Arial"/>
                <w:iCs/>
                <w:color w:val="AEC12D"/>
              </w:rPr>
            </w:pPr>
            <w:r w:rsidRPr="008908A5">
              <w:rPr>
                <w:rFonts w:cs="Arial"/>
              </w:rPr>
              <w:t>-11.4</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58525091" w14:textId="77777777" w:rsidR="00FC4056" w:rsidRPr="008908A5" w:rsidRDefault="00FC4056" w:rsidP="008908A5">
            <w:pPr>
              <w:pStyle w:val="Tabletext"/>
              <w:spacing w:before="20" w:after="20"/>
              <w:rPr>
                <w:rFonts w:cs="Arial"/>
                <w:iCs/>
                <w:color w:val="AEC12D"/>
              </w:rPr>
            </w:pPr>
            <w:r w:rsidRPr="008908A5">
              <w:rPr>
                <w:rFonts w:cs="Arial"/>
              </w:rPr>
              <w:t>-560.9</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68E9A928" w14:textId="77777777" w:rsidR="00FC4056" w:rsidRPr="008908A5" w:rsidRDefault="00FC4056" w:rsidP="008908A5">
            <w:pPr>
              <w:pStyle w:val="Tabletext"/>
              <w:spacing w:before="20" w:after="20"/>
              <w:rPr>
                <w:rFonts w:cs="Arial"/>
                <w:iCs/>
                <w:color w:val="AEC12D"/>
              </w:rPr>
            </w:pPr>
            <w:r w:rsidRPr="008908A5">
              <w:rPr>
                <w:rFonts w:cs="Arial"/>
              </w:rPr>
              <w:t>-477.9</w:t>
            </w:r>
          </w:p>
        </w:tc>
        <w:tc>
          <w:tcPr>
            <w:tcW w:w="1248" w:type="dxa"/>
            <w:tcBorders>
              <w:top w:val="single" w:sz="4" w:space="0" w:color="005A97"/>
              <w:left w:val="single" w:sz="4" w:space="0" w:color="005A97"/>
              <w:bottom w:val="single" w:sz="4" w:space="0" w:color="005A97"/>
              <w:right w:val="nil"/>
            </w:tcBorders>
            <w:noWrap/>
            <w:vAlign w:val="center"/>
            <w:hideMark/>
          </w:tcPr>
          <w:p w14:paraId="670B659B" w14:textId="77777777" w:rsidR="00FC4056" w:rsidRPr="008908A5" w:rsidRDefault="00FC4056" w:rsidP="008908A5">
            <w:pPr>
              <w:pStyle w:val="Tabletext"/>
              <w:spacing w:before="20" w:after="20"/>
              <w:rPr>
                <w:rFonts w:cs="Arial"/>
                <w:iCs/>
                <w:color w:val="AEC12D"/>
              </w:rPr>
            </w:pPr>
            <w:r w:rsidRPr="008908A5">
              <w:rPr>
                <w:rFonts w:cs="Arial"/>
              </w:rPr>
              <w:t>-320.3</w:t>
            </w:r>
          </w:p>
        </w:tc>
      </w:tr>
      <w:tr w:rsidR="00FC4056" w:rsidRPr="009B7F6C" w14:paraId="2CE870C9"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008BFEC1"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AQD110/AQD111</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15B8E358" w14:textId="77777777" w:rsidR="00FC4056" w:rsidRPr="008908A5" w:rsidRDefault="00FC4056" w:rsidP="008908A5">
            <w:pPr>
              <w:pStyle w:val="Tabletext"/>
              <w:spacing w:before="20" w:after="20"/>
              <w:rPr>
                <w:rFonts w:cs="Arial"/>
                <w:iCs/>
                <w:color w:val="AEC12D"/>
              </w:rPr>
            </w:pPr>
            <w:r w:rsidRPr="008908A5">
              <w:rPr>
                <w:rFonts w:cs="Arial"/>
              </w:rPr>
              <w:t>-60.7</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70F66768" w14:textId="77777777" w:rsidR="00FC4056" w:rsidRPr="008908A5" w:rsidRDefault="00FC4056" w:rsidP="008908A5">
            <w:pPr>
              <w:pStyle w:val="Tabletext"/>
              <w:spacing w:before="20" w:after="20"/>
              <w:rPr>
                <w:rFonts w:cs="Arial"/>
                <w:iCs/>
                <w:color w:val="AEC12D"/>
              </w:rPr>
            </w:pPr>
            <w:r w:rsidRPr="008908A5">
              <w:rPr>
                <w:rFonts w:cs="Arial"/>
              </w:rPr>
              <w:t>-34.9</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37E9EE37" w14:textId="77777777" w:rsidR="00FC4056" w:rsidRPr="008908A5" w:rsidRDefault="00FC4056" w:rsidP="008908A5">
            <w:pPr>
              <w:pStyle w:val="Tabletext"/>
              <w:spacing w:before="20" w:after="20"/>
              <w:rPr>
                <w:rFonts w:cs="Arial"/>
              </w:rPr>
            </w:pPr>
            <w:r w:rsidRPr="008908A5">
              <w:rPr>
                <w:rFonts w:cs="Arial"/>
              </w:rPr>
              <w:t>-581.5</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24648594" w14:textId="77777777" w:rsidR="00FC4056" w:rsidRPr="008908A5" w:rsidRDefault="00FC4056" w:rsidP="008908A5">
            <w:pPr>
              <w:pStyle w:val="Tabletext"/>
              <w:spacing w:before="20" w:after="20"/>
              <w:rPr>
                <w:rFonts w:cs="Arial"/>
                <w:iCs/>
                <w:color w:val="AEC12D"/>
              </w:rPr>
            </w:pPr>
            <w:r w:rsidRPr="008908A5">
              <w:rPr>
                <w:rFonts w:cs="Arial"/>
              </w:rPr>
              <w:t>-498.6</w:t>
            </w:r>
          </w:p>
        </w:tc>
        <w:tc>
          <w:tcPr>
            <w:tcW w:w="1248" w:type="dxa"/>
            <w:tcBorders>
              <w:top w:val="single" w:sz="4" w:space="0" w:color="005A97"/>
              <w:left w:val="single" w:sz="4" w:space="0" w:color="005A97"/>
              <w:bottom w:val="single" w:sz="4" w:space="0" w:color="005A97"/>
              <w:right w:val="nil"/>
            </w:tcBorders>
            <w:noWrap/>
            <w:vAlign w:val="center"/>
            <w:hideMark/>
          </w:tcPr>
          <w:p w14:paraId="3F655130" w14:textId="77777777" w:rsidR="00FC4056" w:rsidRPr="008908A5" w:rsidRDefault="00FC4056" w:rsidP="008908A5">
            <w:pPr>
              <w:pStyle w:val="Tabletext"/>
              <w:spacing w:before="20" w:after="20"/>
              <w:rPr>
                <w:rFonts w:cs="Arial"/>
                <w:iCs/>
                <w:color w:val="AEC12D"/>
              </w:rPr>
            </w:pPr>
            <w:r w:rsidRPr="008908A5">
              <w:rPr>
                <w:rFonts w:cs="Arial"/>
              </w:rPr>
              <w:t>-349.3</w:t>
            </w:r>
          </w:p>
        </w:tc>
      </w:tr>
      <w:tr w:rsidR="00FC4056" w:rsidRPr="009B7F6C" w14:paraId="7EDA7B6F"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6C3B9A65"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Aq111</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459F0A8E" w14:textId="77777777" w:rsidR="00FC4056" w:rsidRPr="008908A5" w:rsidRDefault="00FC4056" w:rsidP="008908A5">
            <w:pPr>
              <w:pStyle w:val="Tabletext"/>
              <w:spacing w:before="20" w:after="20"/>
              <w:rPr>
                <w:rFonts w:cs="Arial"/>
              </w:rPr>
            </w:pPr>
            <w:r w:rsidRPr="008908A5">
              <w:rPr>
                <w:rFonts w:cs="Arial"/>
              </w:rPr>
              <w:t>-102.0</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0164B8CA" w14:textId="77777777" w:rsidR="00FC4056" w:rsidRPr="008908A5" w:rsidRDefault="00FC4056" w:rsidP="008908A5">
            <w:pPr>
              <w:pStyle w:val="Tabletext"/>
              <w:spacing w:before="20" w:after="20"/>
              <w:rPr>
                <w:rFonts w:cs="Arial"/>
                <w:iCs/>
                <w:color w:val="AEC12D"/>
              </w:rPr>
            </w:pPr>
            <w:r w:rsidRPr="008908A5">
              <w:rPr>
                <w:rFonts w:cs="Arial"/>
              </w:rPr>
              <w:t>-45.0</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1011D0A3" w14:textId="77777777" w:rsidR="00FC4056" w:rsidRPr="008908A5" w:rsidRDefault="00FC4056" w:rsidP="008908A5">
            <w:pPr>
              <w:pStyle w:val="Tabletext"/>
              <w:spacing w:before="20" w:after="20"/>
              <w:rPr>
                <w:rFonts w:cs="Arial"/>
                <w:iCs/>
                <w:color w:val="AEC12D"/>
              </w:rPr>
            </w:pPr>
            <w:r w:rsidRPr="008908A5">
              <w:rPr>
                <w:rFonts w:cs="Arial"/>
              </w:rPr>
              <w:t>-651.8</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167DB9FC" w14:textId="77777777" w:rsidR="00FC4056" w:rsidRPr="008908A5" w:rsidRDefault="00FC4056" w:rsidP="008908A5">
            <w:pPr>
              <w:pStyle w:val="Tabletext"/>
              <w:spacing w:before="20" w:after="20"/>
              <w:rPr>
                <w:rFonts w:cs="Arial"/>
                <w:iCs/>
                <w:color w:val="AEC12D"/>
              </w:rPr>
            </w:pPr>
            <w:r w:rsidRPr="008908A5">
              <w:rPr>
                <w:rFonts w:cs="Arial"/>
              </w:rPr>
              <w:t>-594.6</w:t>
            </w:r>
          </w:p>
        </w:tc>
        <w:tc>
          <w:tcPr>
            <w:tcW w:w="1248" w:type="dxa"/>
            <w:tcBorders>
              <w:top w:val="single" w:sz="4" w:space="0" w:color="005A97"/>
              <w:left w:val="single" w:sz="4" w:space="0" w:color="005A97"/>
              <w:bottom w:val="single" w:sz="4" w:space="0" w:color="005A97"/>
              <w:right w:val="nil"/>
            </w:tcBorders>
            <w:noWrap/>
            <w:vAlign w:val="center"/>
            <w:hideMark/>
          </w:tcPr>
          <w:p w14:paraId="7054C36F" w14:textId="77777777" w:rsidR="00FC4056" w:rsidRPr="008908A5" w:rsidRDefault="00FC4056" w:rsidP="008908A5">
            <w:pPr>
              <w:pStyle w:val="Tabletext"/>
              <w:spacing w:before="20" w:after="20"/>
              <w:rPr>
                <w:rFonts w:cs="Arial"/>
                <w:iCs/>
                <w:color w:val="AEC12D"/>
              </w:rPr>
            </w:pPr>
            <w:r w:rsidRPr="008908A5">
              <w:rPr>
                <w:rFonts w:cs="Arial"/>
              </w:rPr>
              <w:t>-423.3</w:t>
            </w:r>
          </w:p>
        </w:tc>
      </w:tr>
      <w:tr w:rsidR="00FC4056" w:rsidRPr="009B7F6C" w14:paraId="54C86AD9"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1EBE4E62" w14:textId="77777777" w:rsidR="00FC4056" w:rsidRPr="008908A5" w:rsidRDefault="00FC4056" w:rsidP="008908A5">
            <w:pPr>
              <w:pStyle w:val="Tabletext"/>
              <w:spacing w:before="20" w:after="20"/>
              <w:rPr>
                <w:rFonts w:cs="Arial"/>
                <w:b/>
              </w:rPr>
            </w:pPr>
            <w:r w:rsidRPr="008908A5">
              <w:rPr>
                <w:rFonts w:cs="Arial"/>
                <w:b/>
              </w:rPr>
              <w:t>Aq112</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05D1BF3A"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5AA1BB55"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099C8C9D"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55CB299E"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8" w:type="dxa"/>
            <w:tcBorders>
              <w:top w:val="single" w:sz="4" w:space="0" w:color="005A97"/>
              <w:left w:val="single" w:sz="4" w:space="0" w:color="005A97"/>
              <w:bottom w:val="single" w:sz="4" w:space="0" w:color="005A97"/>
              <w:right w:val="nil"/>
            </w:tcBorders>
            <w:noWrap/>
            <w:vAlign w:val="center"/>
            <w:hideMark/>
          </w:tcPr>
          <w:p w14:paraId="6E087048"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r>
      <w:tr w:rsidR="00FC4056" w:rsidRPr="009B7F6C" w14:paraId="6477C7DE"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27B7E7DE"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Aq111</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5546EBBD"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1CCEA56D" w14:textId="77777777" w:rsidR="00FC4056" w:rsidRPr="008908A5" w:rsidRDefault="00FC4056" w:rsidP="008908A5">
            <w:pPr>
              <w:pStyle w:val="Tabletext"/>
              <w:spacing w:before="20" w:after="20"/>
              <w:rPr>
                <w:rFonts w:cs="Arial"/>
              </w:rPr>
            </w:pPr>
            <w:r w:rsidRPr="008908A5">
              <w:rPr>
                <w:rFonts w:cs="Arial"/>
              </w:rPr>
              <w:t> </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3EAD126D"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10A8B28C"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c>
          <w:tcPr>
            <w:tcW w:w="1248" w:type="dxa"/>
            <w:tcBorders>
              <w:top w:val="single" w:sz="4" w:space="0" w:color="005A97"/>
              <w:left w:val="single" w:sz="4" w:space="0" w:color="005A97"/>
              <w:bottom w:val="single" w:sz="4" w:space="0" w:color="005A97"/>
              <w:right w:val="nil"/>
            </w:tcBorders>
            <w:noWrap/>
            <w:vAlign w:val="center"/>
            <w:hideMark/>
          </w:tcPr>
          <w:p w14:paraId="32D65B42" w14:textId="77777777" w:rsidR="00FC4056" w:rsidRPr="008908A5" w:rsidRDefault="00FC4056" w:rsidP="008908A5">
            <w:pPr>
              <w:pStyle w:val="Tabletext"/>
              <w:spacing w:before="20" w:after="20"/>
              <w:rPr>
                <w:rFonts w:eastAsiaTheme="majorEastAsia" w:cs="Arial"/>
                <w:color w:val="0079CD" w:themeColor="text1" w:themeTint="D8"/>
              </w:rPr>
            </w:pPr>
            <w:r w:rsidRPr="008908A5">
              <w:rPr>
                <w:rFonts w:cs="Arial"/>
              </w:rPr>
              <w:t> </w:t>
            </w:r>
          </w:p>
        </w:tc>
      </w:tr>
      <w:tr w:rsidR="00FC4056" w:rsidRPr="009B7F6C" w14:paraId="176DE4B4"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623B8822" w14:textId="77777777" w:rsidR="00FC4056" w:rsidRPr="008908A5" w:rsidRDefault="00FC4056" w:rsidP="008908A5">
            <w:pPr>
              <w:pStyle w:val="Tabletext"/>
              <w:spacing w:before="20" w:after="20"/>
              <w:rPr>
                <w:rFonts w:cs="Arial"/>
                <w:b/>
              </w:rPr>
            </w:pPr>
            <w:r w:rsidRPr="008908A5">
              <w:rPr>
                <w:rFonts w:cs="Arial"/>
                <w:b/>
              </w:rPr>
              <w:t>Sherbrook</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20E25D31" w14:textId="77777777" w:rsidR="00FC4056" w:rsidRPr="008908A5" w:rsidRDefault="00FC4056" w:rsidP="008908A5">
            <w:pPr>
              <w:pStyle w:val="Tabletext"/>
              <w:spacing w:before="20" w:after="20"/>
              <w:rPr>
                <w:rFonts w:cs="Arial"/>
                <w:iCs/>
                <w:color w:val="AEC12D"/>
              </w:rPr>
            </w:pPr>
            <w:r w:rsidRPr="008908A5">
              <w:rPr>
                <w:rFonts w:cs="Arial"/>
              </w:rPr>
              <w:t>-575.4</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271DD64D" w14:textId="77777777" w:rsidR="00FC4056" w:rsidRPr="008908A5" w:rsidRDefault="00FC4056" w:rsidP="008908A5">
            <w:pPr>
              <w:pStyle w:val="Tabletext"/>
              <w:spacing w:before="20" w:after="20"/>
              <w:rPr>
                <w:rFonts w:cs="Arial"/>
                <w:iCs/>
                <w:color w:val="AEC12D"/>
              </w:rPr>
            </w:pPr>
            <w:r w:rsidRPr="008908A5">
              <w:rPr>
                <w:rFonts w:cs="Arial"/>
              </w:rPr>
              <w:t>-331.6</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3EB315F9" w14:textId="77777777" w:rsidR="00FC4056" w:rsidRPr="008908A5" w:rsidRDefault="00FC4056" w:rsidP="008908A5">
            <w:pPr>
              <w:pStyle w:val="Tabletext"/>
              <w:spacing w:before="20" w:after="20"/>
              <w:rPr>
                <w:rFonts w:cs="Arial"/>
                <w:iCs/>
                <w:color w:val="AEC12D"/>
              </w:rPr>
            </w:pPr>
            <w:r w:rsidRPr="008908A5">
              <w:rPr>
                <w:rFonts w:cs="Arial"/>
              </w:rPr>
              <w:t>-914.7</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775ECEAA" w14:textId="77777777" w:rsidR="00FC4056" w:rsidRPr="008908A5" w:rsidRDefault="00FC4056" w:rsidP="008908A5">
            <w:pPr>
              <w:pStyle w:val="Tabletext"/>
              <w:spacing w:before="20" w:after="20"/>
              <w:rPr>
                <w:rFonts w:cs="Arial"/>
                <w:iCs/>
                <w:color w:val="AEC12D"/>
              </w:rPr>
            </w:pPr>
            <w:r w:rsidRPr="008908A5">
              <w:rPr>
                <w:rFonts w:cs="Arial"/>
              </w:rPr>
              <w:t>-796.9</w:t>
            </w:r>
          </w:p>
        </w:tc>
        <w:tc>
          <w:tcPr>
            <w:tcW w:w="1248" w:type="dxa"/>
            <w:tcBorders>
              <w:top w:val="single" w:sz="4" w:space="0" w:color="005A97"/>
              <w:left w:val="single" w:sz="4" w:space="0" w:color="005A97"/>
              <w:bottom w:val="single" w:sz="4" w:space="0" w:color="005A97"/>
              <w:right w:val="nil"/>
            </w:tcBorders>
            <w:noWrap/>
            <w:vAlign w:val="center"/>
            <w:hideMark/>
          </w:tcPr>
          <w:p w14:paraId="0B2B4E77" w14:textId="77777777" w:rsidR="00FC4056" w:rsidRPr="008908A5" w:rsidRDefault="00FC4056" w:rsidP="008908A5">
            <w:pPr>
              <w:pStyle w:val="Tabletext"/>
              <w:spacing w:before="20" w:after="20"/>
              <w:rPr>
                <w:rFonts w:cs="Arial"/>
                <w:iCs/>
                <w:color w:val="AEC12D"/>
              </w:rPr>
            </w:pPr>
            <w:r w:rsidRPr="008908A5">
              <w:rPr>
                <w:rFonts w:cs="Arial"/>
              </w:rPr>
              <w:t>-697.6</w:t>
            </w:r>
          </w:p>
        </w:tc>
      </w:tr>
      <w:tr w:rsidR="00FC4056" w:rsidRPr="009B7F6C" w14:paraId="1FECACB1" w14:textId="77777777" w:rsidTr="008908A5">
        <w:trPr>
          <w:gridAfter w:val="1"/>
          <w:wAfter w:w="34" w:type="dxa"/>
          <w:trHeight w:val="283"/>
        </w:trPr>
        <w:tc>
          <w:tcPr>
            <w:tcW w:w="2268" w:type="dxa"/>
            <w:tcBorders>
              <w:top w:val="single" w:sz="4" w:space="0" w:color="005A97"/>
              <w:left w:val="nil"/>
              <w:bottom w:val="single" w:sz="4" w:space="0" w:color="005A97"/>
              <w:right w:val="single" w:sz="4" w:space="0" w:color="005A97"/>
            </w:tcBorders>
            <w:vAlign w:val="center"/>
          </w:tcPr>
          <w:p w14:paraId="6DEB8D14" w14:textId="77777777" w:rsidR="00FC4056" w:rsidRPr="008908A5" w:rsidRDefault="00FC4056" w:rsidP="008908A5">
            <w:pPr>
              <w:pStyle w:val="Tabletext"/>
              <w:spacing w:before="20" w:after="20"/>
              <w:rPr>
                <w:rFonts w:eastAsiaTheme="majorEastAsia" w:cs="Arial"/>
                <w:b/>
                <w:color w:val="0079CD" w:themeColor="text1" w:themeTint="D8"/>
              </w:rPr>
            </w:pPr>
            <w:r w:rsidRPr="008908A5">
              <w:rPr>
                <w:rFonts w:cs="Arial"/>
                <w:b/>
              </w:rPr>
              <w:t>Source Unit</w:t>
            </w:r>
          </w:p>
        </w:tc>
        <w:tc>
          <w:tcPr>
            <w:tcW w:w="1247" w:type="dxa"/>
            <w:gridSpan w:val="2"/>
            <w:tcBorders>
              <w:top w:val="single" w:sz="4" w:space="0" w:color="005A97"/>
              <w:left w:val="single" w:sz="4" w:space="0" w:color="005A97"/>
              <w:bottom w:val="single" w:sz="4" w:space="0" w:color="005A97"/>
              <w:right w:val="single" w:sz="4" w:space="0" w:color="005A97"/>
            </w:tcBorders>
            <w:noWrap/>
            <w:vAlign w:val="center"/>
            <w:hideMark/>
          </w:tcPr>
          <w:p w14:paraId="0090213F" w14:textId="77777777" w:rsidR="00FC4056" w:rsidRPr="008908A5" w:rsidRDefault="00FC4056" w:rsidP="008908A5">
            <w:pPr>
              <w:pStyle w:val="Tabletext"/>
              <w:spacing w:before="20" w:after="20"/>
              <w:rPr>
                <w:rFonts w:cs="Arial"/>
                <w:iCs/>
                <w:color w:val="AEC12D"/>
              </w:rPr>
            </w:pPr>
            <w:r w:rsidRPr="008908A5">
              <w:rPr>
                <w:rFonts w:cs="Arial"/>
              </w:rPr>
              <w:t>-957.0</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34580D6F" w14:textId="77777777" w:rsidR="00FC4056" w:rsidRPr="008908A5" w:rsidRDefault="00FC4056" w:rsidP="008908A5">
            <w:pPr>
              <w:pStyle w:val="Tabletext"/>
              <w:spacing w:before="20" w:after="20"/>
              <w:rPr>
                <w:rFonts w:cs="Arial"/>
                <w:iCs/>
                <w:color w:val="AEC12D"/>
              </w:rPr>
            </w:pPr>
            <w:r w:rsidRPr="008908A5">
              <w:rPr>
                <w:rFonts w:cs="Arial"/>
              </w:rPr>
              <w:t>-622.4</w:t>
            </w:r>
          </w:p>
        </w:tc>
        <w:tc>
          <w:tcPr>
            <w:tcW w:w="1248" w:type="dxa"/>
            <w:tcBorders>
              <w:top w:val="single" w:sz="4" w:space="0" w:color="005A97"/>
              <w:left w:val="single" w:sz="4" w:space="0" w:color="005A97"/>
              <w:bottom w:val="single" w:sz="4" w:space="0" w:color="005A97"/>
              <w:right w:val="single" w:sz="4" w:space="0" w:color="005A97"/>
            </w:tcBorders>
            <w:noWrap/>
            <w:vAlign w:val="center"/>
            <w:hideMark/>
          </w:tcPr>
          <w:p w14:paraId="310820DC" w14:textId="77777777" w:rsidR="00FC4056" w:rsidRPr="008908A5" w:rsidRDefault="00FC4056" w:rsidP="008908A5">
            <w:pPr>
              <w:pStyle w:val="Tabletext"/>
              <w:spacing w:before="20" w:after="20"/>
              <w:rPr>
                <w:rFonts w:cs="Arial"/>
                <w:iCs/>
                <w:color w:val="AEC12D"/>
              </w:rPr>
            </w:pPr>
            <w:r w:rsidRPr="008908A5">
              <w:rPr>
                <w:rFonts w:cs="Arial"/>
              </w:rPr>
              <w:t>-1337.5</w:t>
            </w:r>
          </w:p>
        </w:tc>
        <w:tc>
          <w:tcPr>
            <w:tcW w:w="1247" w:type="dxa"/>
            <w:tcBorders>
              <w:top w:val="single" w:sz="4" w:space="0" w:color="005A97"/>
              <w:left w:val="single" w:sz="4" w:space="0" w:color="005A97"/>
              <w:bottom w:val="single" w:sz="4" w:space="0" w:color="005A97"/>
              <w:right w:val="single" w:sz="4" w:space="0" w:color="005A97"/>
            </w:tcBorders>
            <w:noWrap/>
            <w:vAlign w:val="center"/>
            <w:hideMark/>
          </w:tcPr>
          <w:p w14:paraId="1FE16C7B" w14:textId="77777777" w:rsidR="00FC4056" w:rsidRPr="008908A5" w:rsidRDefault="00FC4056" w:rsidP="008908A5">
            <w:pPr>
              <w:pStyle w:val="Tabletext"/>
              <w:spacing w:before="20" w:after="20"/>
              <w:rPr>
                <w:rFonts w:cs="Arial"/>
                <w:iCs/>
                <w:color w:val="AEC12D"/>
              </w:rPr>
            </w:pPr>
            <w:r w:rsidRPr="008908A5">
              <w:rPr>
                <w:rFonts w:cs="Arial"/>
              </w:rPr>
              <w:t>-1236.3</w:t>
            </w:r>
          </w:p>
        </w:tc>
        <w:tc>
          <w:tcPr>
            <w:tcW w:w="1248" w:type="dxa"/>
            <w:tcBorders>
              <w:top w:val="single" w:sz="4" w:space="0" w:color="005A97"/>
              <w:left w:val="single" w:sz="4" w:space="0" w:color="005A97"/>
              <w:bottom w:val="single" w:sz="4" w:space="0" w:color="005A97"/>
              <w:right w:val="nil"/>
            </w:tcBorders>
            <w:noWrap/>
            <w:vAlign w:val="center"/>
            <w:hideMark/>
          </w:tcPr>
          <w:p w14:paraId="260B70A2" w14:textId="77777777" w:rsidR="00FC4056" w:rsidRPr="008908A5" w:rsidRDefault="00FC4056" w:rsidP="008908A5">
            <w:pPr>
              <w:pStyle w:val="Tabletext"/>
              <w:spacing w:before="20" w:after="20"/>
              <w:rPr>
                <w:rFonts w:cs="Arial"/>
                <w:iCs/>
                <w:color w:val="AEC12D"/>
              </w:rPr>
            </w:pPr>
            <w:r w:rsidRPr="008908A5">
              <w:rPr>
                <w:rFonts w:cs="Arial"/>
              </w:rPr>
              <w:t>-1083.7</w:t>
            </w:r>
          </w:p>
        </w:tc>
      </w:tr>
    </w:tbl>
    <w:p w14:paraId="01250ECF" w14:textId="0F135297" w:rsidR="00BE271A" w:rsidRDefault="00BE271A">
      <w:r>
        <w:br w:type="page"/>
      </w:r>
    </w:p>
    <w:p w14:paraId="2779AE20" w14:textId="77777777" w:rsidR="002C0A7E" w:rsidRDefault="002C0A7E">
      <w:pPr>
        <w:sectPr w:rsidR="002C0A7E" w:rsidSect="006D7668">
          <w:pgSz w:w="16838" w:h="11906" w:orient="landscape" w:code="9"/>
          <w:pgMar w:top="1701" w:right="1134" w:bottom="1276" w:left="1134" w:header="567" w:footer="567" w:gutter="0"/>
          <w:cols w:space="708"/>
          <w:titlePg/>
          <w:docGrid w:linePitch="360"/>
        </w:sectPr>
      </w:pPr>
    </w:p>
    <w:p w14:paraId="40FE1AA1" w14:textId="4AC0FC77" w:rsidR="00452DC1" w:rsidRDefault="00676DA0" w:rsidP="00A26C54">
      <w:pPr>
        <w:pStyle w:val="Head1x"/>
      </w:pPr>
      <w:bookmarkStart w:id="1207" w:name="_Toc420567122"/>
      <w:bookmarkStart w:id="1208" w:name="_Toc420568757"/>
      <w:bookmarkStart w:id="1209" w:name="_Toc420571539"/>
      <w:bookmarkStart w:id="1210" w:name="_Toc420572221"/>
      <w:bookmarkStart w:id="1211" w:name="_Ref406678746"/>
      <w:bookmarkStart w:id="1212" w:name="_Toc296767024"/>
      <w:bookmarkStart w:id="1213" w:name="_Toc422927934"/>
      <w:r>
        <w:t>Appendix C</w:t>
      </w:r>
      <w:r w:rsidR="00A26C54">
        <w:t xml:space="preserve">: </w:t>
      </w:r>
      <w:r>
        <w:br/>
      </w:r>
      <w:r w:rsidR="0045347E">
        <w:t>Maps of aquifer depressurisation assessment results</w:t>
      </w:r>
      <w:bookmarkEnd w:id="1207"/>
      <w:bookmarkEnd w:id="1208"/>
      <w:bookmarkEnd w:id="1209"/>
      <w:bookmarkEnd w:id="1210"/>
      <w:bookmarkEnd w:id="1211"/>
      <w:bookmarkEnd w:id="1212"/>
      <w:bookmarkEnd w:id="1213"/>
    </w:p>
    <w:p w14:paraId="189819BE" w14:textId="3395A9A4" w:rsidR="00452DC1" w:rsidRPr="00452DC1" w:rsidRDefault="00676DA0" w:rsidP="00C150BC">
      <w:pPr>
        <w:pStyle w:val="Head2app"/>
      </w:pPr>
      <w:bookmarkStart w:id="1214" w:name="_Toc296770481"/>
      <w:bookmarkStart w:id="1215" w:name="_Toc423018305"/>
      <w:r>
        <w:t>Contents</w:t>
      </w:r>
      <w:bookmarkEnd w:id="1214"/>
      <w:bookmarkEnd w:id="1215"/>
    </w:p>
    <w:p w14:paraId="1CD3C63A" w14:textId="3FA85D8B"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w:t>
      </w:r>
      <w:r w:rsidR="00906389" w:rsidRPr="00676DA0">
        <w:rPr>
          <w:iCs/>
          <w:color w:val="000000"/>
          <w:sz w:val="18"/>
          <w:szCs w:val="18"/>
        </w:rPr>
        <w:t>:</w:t>
      </w:r>
      <w:r w:rsidR="001E52D5" w:rsidRPr="00676DA0">
        <w:rPr>
          <w:iCs/>
          <w:color w:val="000000"/>
          <w:sz w:val="18"/>
          <w:szCs w:val="18"/>
        </w:rPr>
        <w:t xml:space="preserve"> Otway study area</w:t>
      </w:r>
      <w:r w:rsidR="00F5693C">
        <w:rPr>
          <w:iCs/>
          <w:color w:val="000000"/>
          <w:sz w:val="18"/>
          <w:szCs w:val="18"/>
        </w:rPr>
        <w:tab/>
        <w:t>193</w:t>
      </w:r>
    </w:p>
    <w:p w14:paraId="036870D2" w14:textId="1B8FD822"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w:t>
      </w:r>
      <w:r w:rsidR="00906389" w:rsidRPr="00676DA0">
        <w:rPr>
          <w:iCs/>
          <w:color w:val="000000"/>
          <w:sz w:val="18"/>
          <w:szCs w:val="18"/>
        </w:rPr>
        <w:t>:</w:t>
      </w:r>
      <w:r w:rsidR="001E52D5" w:rsidRPr="00676DA0">
        <w:rPr>
          <w:iCs/>
          <w:color w:val="000000"/>
          <w:sz w:val="18"/>
          <w:szCs w:val="18"/>
        </w:rPr>
        <w:t xml:space="preserve"> Depth to watertable in the Otway study area</w:t>
      </w:r>
      <w:r w:rsidR="008C58A3">
        <w:rPr>
          <w:iCs/>
          <w:color w:val="000000"/>
          <w:sz w:val="18"/>
          <w:szCs w:val="18"/>
        </w:rPr>
        <w:tab/>
        <w:t>194</w:t>
      </w:r>
    </w:p>
    <w:p w14:paraId="58BCE248" w14:textId="5654CE9C"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C3</w:t>
      </w:r>
      <w:r w:rsidR="00906389" w:rsidRPr="00676DA0">
        <w:rPr>
          <w:iCs/>
          <w:color w:val="000000"/>
          <w:sz w:val="18"/>
          <w:szCs w:val="18"/>
        </w:rPr>
        <w:t>:</w:t>
      </w:r>
      <w:r w:rsidR="001E52D5" w:rsidRPr="00676DA0">
        <w:rPr>
          <w:iCs/>
          <w:color w:val="000000"/>
          <w:sz w:val="18"/>
          <w:szCs w:val="18"/>
        </w:rPr>
        <w:t xml:space="preserve"> Otway t</w:t>
      </w:r>
      <w:r w:rsidR="00735B7D" w:rsidRPr="00676DA0">
        <w:rPr>
          <w:iCs/>
          <w:color w:val="000000"/>
          <w:sz w:val="18"/>
          <w:szCs w:val="18"/>
        </w:rPr>
        <w:t>ight gas scenario extent</w:t>
      </w:r>
      <w:r w:rsidR="008C58A3">
        <w:rPr>
          <w:iCs/>
          <w:color w:val="000000"/>
          <w:sz w:val="18"/>
          <w:szCs w:val="18"/>
        </w:rPr>
        <w:tab/>
        <w:t>195</w:t>
      </w:r>
    </w:p>
    <w:p w14:paraId="6141D49F" w14:textId="7193A09A"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735B7D" w:rsidRPr="00676DA0">
        <w:rPr>
          <w:iCs/>
          <w:color w:val="000000"/>
          <w:sz w:val="18"/>
          <w:szCs w:val="18"/>
        </w:rPr>
        <w:t>C4</w:t>
      </w:r>
      <w:r w:rsidR="00906389" w:rsidRPr="00676DA0">
        <w:rPr>
          <w:iCs/>
          <w:color w:val="000000"/>
          <w:sz w:val="18"/>
          <w:szCs w:val="18"/>
        </w:rPr>
        <w:t>:</w:t>
      </w:r>
      <w:r w:rsidR="00735B7D" w:rsidRPr="00676DA0">
        <w:rPr>
          <w:iCs/>
          <w:color w:val="000000"/>
          <w:sz w:val="18"/>
          <w:szCs w:val="18"/>
        </w:rPr>
        <w:t xml:space="preserve"> Otway shale gas scenario extent</w:t>
      </w:r>
      <w:r w:rsidR="008C58A3">
        <w:rPr>
          <w:iCs/>
          <w:color w:val="000000"/>
          <w:sz w:val="18"/>
          <w:szCs w:val="18"/>
        </w:rPr>
        <w:tab/>
        <w:t>196</w:t>
      </w:r>
    </w:p>
    <w:p w14:paraId="3586CA41" w14:textId="5793DC93"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C5</w:t>
      </w:r>
      <w:r w:rsidR="00906389" w:rsidRPr="00676DA0">
        <w:rPr>
          <w:iCs/>
          <w:color w:val="000000"/>
          <w:sz w:val="18"/>
          <w:szCs w:val="18"/>
        </w:rPr>
        <w:t>:</w:t>
      </w:r>
      <w:r w:rsidR="001E52D5" w:rsidRPr="00676DA0">
        <w:rPr>
          <w:iCs/>
          <w:color w:val="000000"/>
          <w:sz w:val="18"/>
          <w:szCs w:val="18"/>
        </w:rPr>
        <w:t xml:space="preserve"> Otway coal seam gas (black coal)</w:t>
      </w:r>
      <w:r w:rsidR="00735B7D" w:rsidRPr="00676DA0">
        <w:rPr>
          <w:iCs/>
          <w:color w:val="000000"/>
          <w:sz w:val="18"/>
          <w:szCs w:val="18"/>
        </w:rPr>
        <w:t xml:space="preserve"> scenario extent</w:t>
      </w:r>
      <w:r w:rsidR="008C58A3">
        <w:rPr>
          <w:iCs/>
          <w:color w:val="000000"/>
          <w:sz w:val="18"/>
          <w:szCs w:val="18"/>
        </w:rPr>
        <w:tab/>
        <w:t>197</w:t>
      </w:r>
    </w:p>
    <w:p w14:paraId="0F09E812" w14:textId="35E4E71A"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735B7D" w:rsidRPr="00676DA0">
        <w:rPr>
          <w:iCs/>
          <w:color w:val="000000"/>
          <w:sz w:val="18"/>
          <w:szCs w:val="18"/>
        </w:rPr>
        <w:t>C6</w:t>
      </w:r>
      <w:r w:rsidR="00906389" w:rsidRPr="00676DA0">
        <w:rPr>
          <w:iCs/>
          <w:color w:val="000000"/>
          <w:sz w:val="18"/>
          <w:szCs w:val="18"/>
        </w:rPr>
        <w:t>:</w:t>
      </w:r>
      <w:r w:rsidR="00735B7D" w:rsidRPr="00676DA0">
        <w:rPr>
          <w:iCs/>
          <w:color w:val="000000"/>
          <w:sz w:val="18"/>
          <w:szCs w:val="18"/>
        </w:rPr>
        <w:t xml:space="preserve"> Otway conventional gas scenario extent </w:t>
      </w:r>
      <w:r w:rsidR="008C58A3">
        <w:rPr>
          <w:iCs/>
          <w:color w:val="000000"/>
          <w:sz w:val="18"/>
          <w:szCs w:val="18"/>
        </w:rPr>
        <w:tab/>
        <w:t>198</w:t>
      </w:r>
    </w:p>
    <w:p w14:paraId="0A18C6D2" w14:textId="10A6D3EA"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C7</w:t>
      </w:r>
      <w:r w:rsidR="00906389" w:rsidRPr="00676DA0">
        <w:rPr>
          <w:iCs/>
          <w:color w:val="000000"/>
          <w:sz w:val="18"/>
          <w:szCs w:val="18"/>
        </w:rPr>
        <w:t>:</w:t>
      </w:r>
      <w:r w:rsidR="001E52D5" w:rsidRPr="00676DA0">
        <w:rPr>
          <w:iCs/>
          <w:color w:val="000000"/>
          <w:sz w:val="18"/>
          <w:szCs w:val="18"/>
        </w:rPr>
        <w:t xml:space="preserve"> Location of internationally significant wetlands in the Otway region</w:t>
      </w:r>
      <w:r w:rsidR="008C58A3">
        <w:rPr>
          <w:iCs/>
          <w:color w:val="000000"/>
          <w:sz w:val="18"/>
          <w:szCs w:val="18"/>
        </w:rPr>
        <w:tab/>
        <w:t>199</w:t>
      </w:r>
    </w:p>
    <w:p w14:paraId="73901651" w14:textId="4E4E4436"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C8</w:t>
      </w:r>
      <w:r w:rsidR="00906389" w:rsidRPr="00676DA0">
        <w:rPr>
          <w:iCs/>
          <w:color w:val="000000"/>
          <w:sz w:val="18"/>
          <w:szCs w:val="18"/>
        </w:rPr>
        <w:t>:</w:t>
      </w:r>
      <w:r w:rsidR="001E52D5" w:rsidRPr="00676DA0">
        <w:rPr>
          <w:iCs/>
          <w:color w:val="000000"/>
          <w:sz w:val="18"/>
          <w:szCs w:val="18"/>
        </w:rPr>
        <w:t xml:space="preserve"> Otway </w:t>
      </w:r>
      <w:r w:rsidR="00452DC1" w:rsidRPr="00676DA0">
        <w:rPr>
          <w:iCs/>
          <w:color w:val="000000"/>
          <w:sz w:val="18"/>
          <w:szCs w:val="18"/>
        </w:rPr>
        <w:t>s</w:t>
      </w:r>
      <w:r w:rsidR="001E52D5" w:rsidRPr="00676DA0">
        <w:rPr>
          <w:iCs/>
          <w:color w:val="000000"/>
          <w:sz w:val="18"/>
          <w:szCs w:val="18"/>
        </w:rPr>
        <w:t xml:space="preserve">urface </w:t>
      </w:r>
      <w:r w:rsidR="00452DC1" w:rsidRPr="00676DA0">
        <w:rPr>
          <w:iCs/>
          <w:color w:val="000000"/>
          <w:sz w:val="18"/>
          <w:szCs w:val="18"/>
        </w:rPr>
        <w:t>w</w:t>
      </w:r>
      <w:r w:rsidR="001E52D5" w:rsidRPr="00676DA0">
        <w:rPr>
          <w:iCs/>
          <w:color w:val="000000"/>
          <w:sz w:val="18"/>
          <w:szCs w:val="18"/>
        </w:rPr>
        <w:t xml:space="preserve">ater </w:t>
      </w:r>
      <w:r w:rsidR="00452DC1" w:rsidRPr="00676DA0">
        <w:rPr>
          <w:iCs/>
          <w:color w:val="000000"/>
          <w:sz w:val="18"/>
          <w:szCs w:val="18"/>
        </w:rPr>
        <w:t>a</w:t>
      </w:r>
      <w:r w:rsidR="001E52D5" w:rsidRPr="00676DA0">
        <w:rPr>
          <w:iCs/>
          <w:color w:val="000000"/>
          <w:sz w:val="18"/>
          <w:szCs w:val="18"/>
        </w:rPr>
        <w:t>ssets</w:t>
      </w:r>
      <w:r w:rsidR="008C58A3">
        <w:rPr>
          <w:iCs/>
          <w:color w:val="000000"/>
          <w:sz w:val="18"/>
          <w:szCs w:val="18"/>
        </w:rPr>
        <w:tab/>
        <w:t>200</w:t>
      </w:r>
    </w:p>
    <w:p w14:paraId="79B50BD2" w14:textId="77777777" w:rsidR="001E52D5" w:rsidRPr="00676DA0" w:rsidRDefault="001E52D5" w:rsidP="008C58A3">
      <w:pPr>
        <w:pStyle w:val="Heading4"/>
        <w:rPr>
          <w:lang w:val="en-AU"/>
        </w:rPr>
      </w:pPr>
      <w:r w:rsidRPr="00676DA0">
        <w:rPr>
          <w:lang w:val="en-AU"/>
        </w:rPr>
        <w:t>Tight gas</w:t>
      </w:r>
    </w:p>
    <w:p w14:paraId="319374CC" w14:textId="50E6F958"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C9</w:t>
      </w:r>
      <w:r w:rsidR="00906389" w:rsidRPr="00676DA0">
        <w:rPr>
          <w:iCs/>
          <w:color w:val="000000"/>
          <w:sz w:val="18"/>
          <w:szCs w:val="18"/>
        </w:rPr>
        <w:t>:</w:t>
      </w:r>
      <w:r w:rsidR="001E52D5" w:rsidRPr="00676DA0">
        <w:rPr>
          <w:iCs/>
          <w:color w:val="000000"/>
          <w:sz w:val="18"/>
          <w:szCs w:val="18"/>
        </w:rPr>
        <w:t xml:space="preserve"> Tight gas drawdown for aquifers in the Otway region </w:t>
      </w:r>
      <w:r w:rsidR="008C58A3">
        <w:rPr>
          <w:iCs/>
          <w:color w:val="000000"/>
          <w:sz w:val="18"/>
          <w:szCs w:val="18"/>
        </w:rPr>
        <w:tab/>
        <w:t>201</w:t>
      </w:r>
    </w:p>
    <w:p w14:paraId="3CF3609C" w14:textId="262ADA16"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C10</w:t>
      </w:r>
      <w:r w:rsidR="00906389" w:rsidRPr="00676DA0">
        <w:rPr>
          <w:iCs/>
          <w:color w:val="000000"/>
          <w:sz w:val="18"/>
          <w:szCs w:val="18"/>
        </w:rPr>
        <w:t>:</w:t>
      </w:r>
      <w:r w:rsidR="001E52D5" w:rsidRPr="00676DA0">
        <w:rPr>
          <w:iCs/>
          <w:color w:val="000000"/>
          <w:sz w:val="18"/>
          <w:szCs w:val="18"/>
        </w:rPr>
        <w:t xml:space="preserve"> Tight gas impact assessment for aquifers in the Otway region </w:t>
      </w:r>
      <w:r w:rsidR="008C58A3">
        <w:rPr>
          <w:iCs/>
          <w:color w:val="000000"/>
          <w:sz w:val="18"/>
          <w:szCs w:val="18"/>
        </w:rPr>
        <w:tab/>
        <w:t>202</w:t>
      </w:r>
    </w:p>
    <w:p w14:paraId="023AA0F4" w14:textId="10E6B431"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C11</w:t>
      </w:r>
      <w:r w:rsidR="00906389" w:rsidRPr="00676DA0">
        <w:rPr>
          <w:iCs/>
          <w:color w:val="000000"/>
          <w:sz w:val="18"/>
          <w:szCs w:val="18"/>
        </w:rPr>
        <w:t>:</w:t>
      </w:r>
      <w:r w:rsidR="001E52D5" w:rsidRPr="00676DA0">
        <w:rPr>
          <w:iCs/>
          <w:color w:val="000000"/>
          <w:sz w:val="18"/>
          <w:szCs w:val="18"/>
        </w:rPr>
        <w:t xml:space="preserve"> Tight gas watertable drawdown </w:t>
      </w:r>
      <w:r w:rsidR="00452DC1" w:rsidRPr="00676DA0">
        <w:rPr>
          <w:iCs/>
          <w:color w:val="000000"/>
          <w:sz w:val="18"/>
          <w:szCs w:val="18"/>
        </w:rPr>
        <w:t>in</w:t>
      </w:r>
      <w:r w:rsidR="001E52D5" w:rsidRPr="00676DA0">
        <w:rPr>
          <w:iCs/>
          <w:color w:val="000000"/>
          <w:sz w:val="18"/>
          <w:szCs w:val="18"/>
        </w:rPr>
        <w:t xml:space="preserve"> the Otway region </w:t>
      </w:r>
      <w:r w:rsidR="008C58A3">
        <w:rPr>
          <w:iCs/>
          <w:color w:val="000000"/>
          <w:sz w:val="18"/>
          <w:szCs w:val="18"/>
        </w:rPr>
        <w:tab/>
        <w:t>203</w:t>
      </w:r>
    </w:p>
    <w:p w14:paraId="32569A2C" w14:textId="4EAFAC79"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C12</w:t>
      </w:r>
      <w:r w:rsidR="00906389" w:rsidRPr="00676DA0">
        <w:rPr>
          <w:iCs/>
          <w:color w:val="000000"/>
          <w:sz w:val="18"/>
          <w:szCs w:val="18"/>
        </w:rPr>
        <w:t>:</w:t>
      </w:r>
      <w:r w:rsidR="001E52D5" w:rsidRPr="00676DA0">
        <w:rPr>
          <w:iCs/>
          <w:color w:val="000000"/>
          <w:sz w:val="18"/>
          <w:szCs w:val="18"/>
        </w:rPr>
        <w:t xml:space="preserve"> Tight gas impact assessment for surface water users in the Otway region </w:t>
      </w:r>
      <w:r w:rsidR="008C58A3">
        <w:rPr>
          <w:iCs/>
          <w:color w:val="000000"/>
          <w:sz w:val="18"/>
          <w:szCs w:val="18"/>
        </w:rPr>
        <w:tab/>
        <w:t>204</w:t>
      </w:r>
    </w:p>
    <w:p w14:paraId="3F6551B1" w14:textId="5E700992"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C13</w:t>
      </w:r>
      <w:r w:rsidR="00906389" w:rsidRPr="00676DA0">
        <w:rPr>
          <w:iCs/>
          <w:color w:val="000000"/>
          <w:sz w:val="18"/>
          <w:szCs w:val="18"/>
        </w:rPr>
        <w:t>:</w:t>
      </w:r>
      <w:r w:rsidR="001E52D5" w:rsidRPr="00676DA0">
        <w:rPr>
          <w:iCs/>
          <w:color w:val="000000"/>
          <w:sz w:val="18"/>
          <w:szCs w:val="18"/>
        </w:rPr>
        <w:t xml:space="preserve"> Tight gas impact assessment for surface water ecosystems in the Otway region</w:t>
      </w:r>
      <w:r w:rsidR="008C58A3">
        <w:rPr>
          <w:iCs/>
          <w:color w:val="000000"/>
          <w:sz w:val="18"/>
          <w:szCs w:val="18"/>
        </w:rPr>
        <w:tab/>
        <w:t>205</w:t>
      </w:r>
    </w:p>
    <w:p w14:paraId="51FF9B00" w14:textId="77777777" w:rsidR="001E52D5" w:rsidRPr="00676DA0" w:rsidRDefault="001E52D5" w:rsidP="008C58A3">
      <w:pPr>
        <w:pStyle w:val="Heading4"/>
        <w:rPr>
          <w:lang w:val="en-AU"/>
        </w:rPr>
      </w:pPr>
      <w:r w:rsidRPr="00676DA0">
        <w:rPr>
          <w:lang w:val="en-AU"/>
        </w:rPr>
        <w:t>Shale gas</w:t>
      </w:r>
    </w:p>
    <w:p w14:paraId="15191BAA" w14:textId="7CC670E3"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C14</w:t>
      </w:r>
      <w:r w:rsidR="00906389" w:rsidRPr="00676DA0">
        <w:rPr>
          <w:iCs/>
          <w:color w:val="000000"/>
          <w:sz w:val="18"/>
          <w:szCs w:val="18"/>
        </w:rPr>
        <w:t>:</w:t>
      </w:r>
      <w:r w:rsidR="001E52D5" w:rsidRPr="00676DA0">
        <w:rPr>
          <w:iCs/>
          <w:color w:val="000000"/>
          <w:sz w:val="18"/>
          <w:szCs w:val="18"/>
        </w:rPr>
        <w:t xml:space="preserve"> Shale gas drawdown for aquifers in the Otway region </w:t>
      </w:r>
      <w:r w:rsidR="008C58A3">
        <w:rPr>
          <w:iCs/>
          <w:color w:val="000000"/>
          <w:sz w:val="18"/>
          <w:szCs w:val="18"/>
        </w:rPr>
        <w:tab/>
        <w:t>206</w:t>
      </w:r>
    </w:p>
    <w:p w14:paraId="64D69278" w14:textId="7D81DF2D"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C15</w:t>
      </w:r>
      <w:r w:rsidR="00906389" w:rsidRPr="00676DA0">
        <w:rPr>
          <w:iCs/>
          <w:color w:val="000000"/>
          <w:sz w:val="18"/>
          <w:szCs w:val="18"/>
        </w:rPr>
        <w:t>:</w:t>
      </w:r>
      <w:r w:rsidR="001E52D5" w:rsidRPr="00676DA0">
        <w:rPr>
          <w:iCs/>
          <w:color w:val="000000"/>
          <w:sz w:val="18"/>
          <w:szCs w:val="18"/>
        </w:rPr>
        <w:t xml:space="preserve"> Shale gas impact assessment fo</w:t>
      </w:r>
      <w:r w:rsidRPr="00676DA0">
        <w:rPr>
          <w:iCs/>
          <w:color w:val="000000"/>
          <w:sz w:val="18"/>
          <w:szCs w:val="18"/>
        </w:rPr>
        <w:t xml:space="preserve">r aquifers in the Otway region </w:t>
      </w:r>
      <w:r w:rsidR="008C58A3">
        <w:rPr>
          <w:iCs/>
          <w:color w:val="000000"/>
          <w:sz w:val="18"/>
          <w:szCs w:val="18"/>
        </w:rPr>
        <w:tab/>
        <w:t>207</w:t>
      </w:r>
    </w:p>
    <w:p w14:paraId="16BE0367" w14:textId="2C903662"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C16</w:t>
      </w:r>
      <w:r w:rsidR="00906389" w:rsidRPr="00676DA0">
        <w:rPr>
          <w:iCs/>
          <w:color w:val="000000"/>
          <w:sz w:val="18"/>
          <w:szCs w:val="18"/>
        </w:rPr>
        <w:t>:</w:t>
      </w:r>
      <w:r w:rsidR="001E52D5" w:rsidRPr="00676DA0">
        <w:rPr>
          <w:iCs/>
          <w:color w:val="000000"/>
          <w:sz w:val="18"/>
          <w:szCs w:val="18"/>
        </w:rPr>
        <w:t xml:space="preserve"> Shale </w:t>
      </w:r>
      <w:r w:rsidR="00452DC1" w:rsidRPr="00676DA0">
        <w:rPr>
          <w:iCs/>
          <w:color w:val="000000"/>
          <w:sz w:val="18"/>
          <w:szCs w:val="18"/>
        </w:rPr>
        <w:t xml:space="preserve">gas </w:t>
      </w:r>
      <w:r w:rsidR="001E52D5" w:rsidRPr="00676DA0">
        <w:rPr>
          <w:iCs/>
          <w:color w:val="000000"/>
          <w:sz w:val="18"/>
          <w:szCs w:val="18"/>
        </w:rPr>
        <w:t>drawdown results in the Otway Basin</w:t>
      </w:r>
      <w:r w:rsidR="008C58A3">
        <w:rPr>
          <w:iCs/>
          <w:color w:val="000000"/>
          <w:sz w:val="18"/>
          <w:szCs w:val="18"/>
        </w:rPr>
        <w:tab/>
        <w:t>208</w:t>
      </w:r>
    </w:p>
    <w:p w14:paraId="01B5798C" w14:textId="47598512"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C17</w:t>
      </w:r>
      <w:r w:rsidR="00906389" w:rsidRPr="00676DA0">
        <w:rPr>
          <w:iCs/>
          <w:color w:val="000000"/>
          <w:sz w:val="18"/>
          <w:szCs w:val="18"/>
        </w:rPr>
        <w:t>:</w:t>
      </w:r>
      <w:r w:rsidR="001E52D5" w:rsidRPr="00676DA0">
        <w:rPr>
          <w:iCs/>
          <w:color w:val="000000"/>
          <w:sz w:val="18"/>
          <w:szCs w:val="18"/>
        </w:rPr>
        <w:t xml:space="preserve"> Shale gas impact assessment for surface water users in the Otway region </w:t>
      </w:r>
      <w:r w:rsidR="008C58A3">
        <w:rPr>
          <w:iCs/>
          <w:color w:val="000000"/>
          <w:sz w:val="18"/>
          <w:szCs w:val="18"/>
        </w:rPr>
        <w:tab/>
        <w:t>209</w:t>
      </w:r>
    </w:p>
    <w:p w14:paraId="2A04B219" w14:textId="1EC114A2"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C18</w:t>
      </w:r>
      <w:r w:rsidR="00906389" w:rsidRPr="00676DA0">
        <w:rPr>
          <w:iCs/>
          <w:color w:val="000000"/>
          <w:sz w:val="18"/>
          <w:szCs w:val="18"/>
        </w:rPr>
        <w:t>:</w:t>
      </w:r>
      <w:r w:rsidR="001E52D5" w:rsidRPr="00676DA0">
        <w:rPr>
          <w:iCs/>
          <w:color w:val="000000"/>
          <w:sz w:val="18"/>
          <w:szCs w:val="18"/>
        </w:rPr>
        <w:t xml:space="preserve"> Shale gas impact assessment for surface water ecosystems in the Otway region</w:t>
      </w:r>
      <w:r w:rsidR="008C58A3">
        <w:rPr>
          <w:iCs/>
          <w:color w:val="000000"/>
          <w:sz w:val="18"/>
          <w:szCs w:val="18"/>
        </w:rPr>
        <w:tab/>
        <w:t>210</w:t>
      </w:r>
    </w:p>
    <w:p w14:paraId="2768DCDD" w14:textId="77777777" w:rsidR="001E52D5" w:rsidRPr="00676DA0" w:rsidRDefault="001E52D5" w:rsidP="008C58A3">
      <w:pPr>
        <w:pStyle w:val="Heading4"/>
        <w:rPr>
          <w:lang w:val="en-AU"/>
        </w:rPr>
      </w:pPr>
      <w:r w:rsidRPr="00676DA0">
        <w:rPr>
          <w:lang w:val="en-AU"/>
        </w:rPr>
        <w:t>Coal seam gas</w:t>
      </w:r>
    </w:p>
    <w:p w14:paraId="49CBFA09" w14:textId="41BA3C51"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C19</w:t>
      </w:r>
      <w:r w:rsidR="00906389" w:rsidRPr="00676DA0">
        <w:rPr>
          <w:iCs/>
          <w:color w:val="000000"/>
          <w:sz w:val="18"/>
          <w:szCs w:val="18"/>
        </w:rPr>
        <w:t>:</w:t>
      </w:r>
      <w:r w:rsidR="001E52D5" w:rsidRPr="00676DA0">
        <w:rPr>
          <w:iCs/>
          <w:color w:val="000000"/>
          <w:sz w:val="18"/>
          <w:szCs w:val="18"/>
        </w:rPr>
        <w:t xml:space="preserve"> Coal seam gas (black coal) drawdown for aquifers in the Otway region </w:t>
      </w:r>
      <w:r w:rsidR="008C58A3">
        <w:rPr>
          <w:iCs/>
          <w:color w:val="000000"/>
          <w:sz w:val="18"/>
          <w:szCs w:val="18"/>
        </w:rPr>
        <w:tab/>
        <w:t>211</w:t>
      </w:r>
    </w:p>
    <w:p w14:paraId="3143FE84" w14:textId="066EE52E"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C20</w:t>
      </w:r>
      <w:r w:rsidR="00906389" w:rsidRPr="00676DA0">
        <w:rPr>
          <w:iCs/>
          <w:color w:val="000000"/>
          <w:sz w:val="18"/>
          <w:szCs w:val="18"/>
        </w:rPr>
        <w:t>:</w:t>
      </w:r>
      <w:r w:rsidR="001E52D5" w:rsidRPr="00676DA0">
        <w:rPr>
          <w:iCs/>
          <w:color w:val="000000"/>
          <w:sz w:val="18"/>
          <w:szCs w:val="18"/>
        </w:rPr>
        <w:t xml:space="preserve"> Coal seam gas (black coal) impact assessment for aquifers in the Otway region</w:t>
      </w:r>
      <w:r w:rsidR="008C58A3">
        <w:rPr>
          <w:iCs/>
          <w:color w:val="000000"/>
          <w:sz w:val="18"/>
          <w:szCs w:val="18"/>
        </w:rPr>
        <w:tab/>
        <w:t>212</w:t>
      </w:r>
    </w:p>
    <w:p w14:paraId="5457A34D" w14:textId="21D39D61"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C21</w:t>
      </w:r>
      <w:r w:rsidR="00906389" w:rsidRPr="00676DA0">
        <w:rPr>
          <w:iCs/>
          <w:color w:val="000000"/>
          <w:sz w:val="18"/>
          <w:szCs w:val="18"/>
        </w:rPr>
        <w:t>:</w:t>
      </w:r>
      <w:r w:rsidR="001E52D5" w:rsidRPr="00676DA0">
        <w:rPr>
          <w:iCs/>
          <w:color w:val="000000"/>
          <w:sz w:val="18"/>
          <w:szCs w:val="18"/>
        </w:rPr>
        <w:t xml:space="preserve"> Coal seam gas (black coal) watertable drawdown </w:t>
      </w:r>
      <w:r w:rsidR="00452DC1" w:rsidRPr="00676DA0">
        <w:rPr>
          <w:iCs/>
          <w:color w:val="000000"/>
          <w:sz w:val="18"/>
          <w:szCs w:val="18"/>
        </w:rPr>
        <w:t>in</w:t>
      </w:r>
      <w:r w:rsidR="001E52D5" w:rsidRPr="00676DA0">
        <w:rPr>
          <w:iCs/>
          <w:color w:val="000000"/>
          <w:sz w:val="18"/>
          <w:szCs w:val="18"/>
        </w:rPr>
        <w:t xml:space="preserve"> the Otway region </w:t>
      </w:r>
      <w:r w:rsidR="008C58A3">
        <w:rPr>
          <w:iCs/>
          <w:color w:val="000000"/>
          <w:sz w:val="18"/>
          <w:szCs w:val="18"/>
        </w:rPr>
        <w:tab/>
        <w:t>213</w:t>
      </w:r>
    </w:p>
    <w:p w14:paraId="68083A63" w14:textId="6C6EAA5D"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C22</w:t>
      </w:r>
      <w:r w:rsidR="00906389" w:rsidRPr="00676DA0">
        <w:rPr>
          <w:iCs/>
          <w:color w:val="000000"/>
          <w:sz w:val="18"/>
          <w:szCs w:val="18"/>
        </w:rPr>
        <w:t>:</w:t>
      </w:r>
      <w:r w:rsidR="001E52D5" w:rsidRPr="00676DA0">
        <w:rPr>
          <w:iCs/>
          <w:color w:val="000000"/>
          <w:sz w:val="18"/>
          <w:szCs w:val="18"/>
        </w:rPr>
        <w:t xml:space="preserve"> Coal seam gas (black coal) impact assessment for surface water users in the</w:t>
      </w:r>
      <w:r w:rsidR="00A1246B" w:rsidRPr="00676DA0">
        <w:rPr>
          <w:iCs/>
          <w:color w:val="000000"/>
          <w:sz w:val="18"/>
          <w:szCs w:val="18"/>
        </w:rPr>
        <w:t xml:space="preserve"> </w:t>
      </w:r>
      <w:r w:rsidR="001E52D5" w:rsidRPr="00676DA0">
        <w:rPr>
          <w:iCs/>
          <w:color w:val="000000"/>
          <w:sz w:val="18"/>
          <w:szCs w:val="18"/>
        </w:rPr>
        <w:t xml:space="preserve">Otway region </w:t>
      </w:r>
      <w:r w:rsidR="008C58A3">
        <w:rPr>
          <w:iCs/>
          <w:color w:val="000000"/>
          <w:sz w:val="18"/>
          <w:szCs w:val="18"/>
        </w:rPr>
        <w:tab/>
        <w:t>214</w:t>
      </w:r>
    </w:p>
    <w:p w14:paraId="15032984" w14:textId="1FEF27D4"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C23</w:t>
      </w:r>
      <w:r w:rsidR="00906389" w:rsidRPr="00676DA0">
        <w:rPr>
          <w:iCs/>
          <w:color w:val="000000"/>
          <w:sz w:val="18"/>
          <w:szCs w:val="18"/>
        </w:rPr>
        <w:t>:</w:t>
      </w:r>
      <w:r w:rsidR="001E52D5" w:rsidRPr="00676DA0">
        <w:rPr>
          <w:iCs/>
          <w:color w:val="000000"/>
          <w:sz w:val="18"/>
          <w:szCs w:val="18"/>
        </w:rPr>
        <w:t xml:space="preserve"> Coal seam gas (black coal) impact assessment for surface water ecosystems in the</w:t>
      </w:r>
      <w:r w:rsidR="00A1246B" w:rsidRPr="00676DA0">
        <w:rPr>
          <w:iCs/>
          <w:color w:val="000000"/>
          <w:sz w:val="18"/>
          <w:szCs w:val="18"/>
        </w:rPr>
        <w:t xml:space="preserve"> </w:t>
      </w:r>
      <w:r w:rsidR="001E52D5" w:rsidRPr="00676DA0">
        <w:rPr>
          <w:iCs/>
          <w:color w:val="000000"/>
          <w:sz w:val="18"/>
          <w:szCs w:val="18"/>
        </w:rPr>
        <w:t xml:space="preserve">Otway region </w:t>
      </w:r>
      <w:r w:rsidR="008C58A3">
        <w:rPr>
          <w:iCs/>
          <w:color w:val="000000"/>
          <w:sz w:val="18"/>
          <w:szCs w:val="18"/>
        </w:rPr>
        <w:tab/>
        <w:t>215</w:t>
      </w:r>
    </w:p>
    <w:p w14:paraId="355C5EC8" w14:textId="77777777" w:rsidR="001E52D5" w:rsidRPr="00676DA0" w:rsidRDefault="001E52D5" w:rsidP="008C58A3">
      <w:pPr>
        <w:pStyle w:val="Heading4"/>
        <w:rPr>
          <w:lang w:val="en-AU"/>
        </w:rPr>
      </w:pPr>
      <w:r w:rsidRPr="00676DA0">
        <w:rPr>
          <w:lang w:val="en-AU"/>
        </w:rPr>
        <w:t>Conventional gas</w:t>
      </w:r>
    </w:p>
    <w:p w14:paraId="0C925FA6" w14:textId="531D429D"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C24</w:t>
      </w:r>
      <w:r w:rsidR="00906389" w:rsidRPr="00676DA0">
        <w:rPr>
          <w:iCs/>
          <w:color w:val="000000"/>
          <w:sz w:val="18"/>
          <w:szCs w:val="18"/>
        </w:rPr>
        <w:t>:</w:t>
      </w:r>
      <w:r w:rsidR="001E52D5" w:rsidRPr="00676DA0">
        <w:rPr>
          <w:iCs/>
          <w:color w:val="000000"/>
          <w:sz w:val="18"/>
          <w:szCs w:val="18"/>
        </w:rPr>
        <w:t xml:space="preserve"> Conventional gas drawdown fo</w:t>
      </w:r>
      <w:r w:rsidR="00735B7D" w:rsidRPr="00676DA0">
        <w:rPr>
          <w:iCs/>
          <w:color w:val="000000"/>
          <w:sz w:val="18"/>
          <w:szCs w:val="18"/>
        </w:rPr>
        <w:t xml:space="preserve">r aquifers in the Otway region </w:t>
      </w:r>
      <w:r w:rsidR="008C58A3">
        <w:rPr>
          <w:iCs/>
          <w:color w:val="000000"/>
          <w:sz w:val="18"/>
          <w:szCs w:val="18"/>
        </w:rPr>
        <w:tab/>
        <w:t>216</w:t>
      </w:r>
    </w:p>
    <w:p w14:paraId="5E78C862" w14:textId="76C85B83"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C25</w:t>
      </w:r>
      <w:r w:rsidR="00906389" w:rsidRPr="00676DA0">
        <w:rPr>
          <w:iCs/>
          <w:color w:val="000000"/>
          <w:sz w:val="18"/>
          <w:szCs w:val="18"/>
        </w:rPr>
        <w:t>:</w:t>
      </w:r>
      <w:r w:rsidR="001E52D5" w:rsidRPr="00676DA0">
        <w:rPr>
          <w:iCs/>
          <w:color w:val="000000"/>
          <w:sz w:val="18"/>
          <w:szCs w:val="18"/>
        </w:rPr>
        <w:t xml:space="preserve"> Conventional gas impact assessment for aquifers in the Otway region </w:t>
      </w:r>
      <w:r w:rsidR="008C58A3">
        <w:rPr>
          <w:iCs/>
          <w:color w:val="000000"/>
          <w:sz w:val="18"/>
          <w:szCs w:val="18"/>
        </w:rPr>
        <w:tab/>
        <w:t>217</w:t>
      </w:r>
    </w:p>
    <w:p w14:paraId="1D8F4F98" w14:textId="6539CED1"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C26</w:t>
      </w:r>
      <w:r w:rsidR="00906389" w:rsidRPr="00676DA0">
        <w:rPr>
          <w:iCs/>
          <w:color w:val="000000"/>
          <w:sz w:val="18"/>
          <w:szCs w:val="18"/>
        </w:rPr>
        <w:t>:</w:t>
      </w:r>
      <w:r w:rsidR="001E52D5" w:rsidRPr="00676DA0">
        <w:rPr>
          <w:iCs/>
          <w:color w:val="000000"/>
          <w:sz w:val="18"/>
          <w:szCs w:val="18"/>
        </w:rPr>
        <w:t xml:space="preserve"> Conventional gas watertable drawdown </w:t>
      </w:r>
      <w:r w:rsidR="00452DC1" w:rsidRPr="00676DA0">
        <w:rPr>
          <w:iCs/>
          <w:color w:val="000000"/>
          <w:sz w:val="18"/>
          <w:szCs w:val="18"/>
        </w:rPr>
        <w:t>in</w:t>
      </w:r>
      <w:r w:rsidR="001E52D5" w:rsidRPr="00676DA0">
        <w:rPr>
          <w:iCs/>
          <w:color w:val="000000"/>
          <w:sz w:val="18"/>
          <w:szCs w:val="18"/>
        </w:rPr>
        <w:t xml:space="preserve"> the Otway region </w:t>
      </w:r>
      <w:r w:rsidR="008C58A3">
        <w:rPr>
          <w:iCs/>
          <w:color w:val="000000"/>
          <w:sz w:val="18"/>
          <w:szCs w:val="18"/>
        </w:rPr>
        <w:tab/>
        <w:t>218</w:t>
      </w:r>
    </w:p>
    <w:p w14:paraId="1DED2C20" w14:textId="65CAE2F0" w:rsidR="001E52D5" w:rsidRPr="00676DA0" w:rsidRDefault="008C7BEA" w:rsidP="008C58A3">
      <w:pPr>
        <w:pStyle w:val="TOC2"/>
        <w:spacing w:after="60"/>
        <w:rPr>
          <w:iCs/>
          <w:color w:val="000000"/>
          <w:sz w:val="18"/>
          <w:szCs w:val="18"/>
        </w:rPr>
      </w:pPr>
      <w:r w:rsidRPr="00676DA0">
        <w:rPr>
          <w:iCs/>
          <w:color w:val="000000"/>
          <w:sz w:val="18"/>
          <w:szCs w:val="18"/>
        </w:rPr>
        <w:t xml:space="preserve">Figure </w:t>
      </w:r>
      <w:r w:rsidR="001E52D5" w:rsidRPr="00676DA0">
        <w:rPr>
          <w:iCs/>
          <w:color w:val="000000"/>
          <w:sz w:val="18"/>
          <w:szCs w:val="18"/>
        </w:rPr>
        <w:t>C27</w:t>
      </w:r>
      <w:r w:rsidR="00906389" w:rsidRPr="00676DA0">
        <w:rPr>
          <w:iCs/>
          <w:color w:val="000000"/>
          <w:sz w:val="18"/>
          <w:szCs w:val="18"/>
        </w:rPr>
        <w:t>:</w:t>
      </w:r>
      <w:r w:rsidR="001E52D5" w:rsidRPr="00676DA0">
        <w:rPr>
          <w:iCs/>
          <w:color w:val="000000"/>
          <w:sz w:val="18"/>
          <w:szCs w:val="18"/>
        </w:rPr>
        <w:t xml:space="preserve"> Conventional gas impact assessment for surface water users in the Otway region</w:t>
      </w:r>
      <w:r w:rsidR="008C58A3">
        <w:rPr>
          <w:iCs/>
          <w:color w:val="000000"/>
          <w:sz w:val="18"/>
          <w:szCs w:val="18"/>
        </w:rPr>
        <w:tab/>
        <w:t>219</w:t>
      </w:r>
    </w:p>
    <w:p w14:paraId="21B7463E" w14:textId="0FD8277E" w:rsidR="00676DA0" w:rsidRDefault="008C7BEA" w:rsidP="008C58A3">
      <w:pPr>
        <w:pStyle w:val="TOC2"/>
        <w:spacing w:after="60"/>
        <w:rPr>
          <w:color w:val="000000"/>
          <w:sz w:val="18"/>
          <w:szCs w:val="18"/>
        </w:rPr>
      </w:pPr>
      <w:r w:rsidRPr="00676DA0">
        <w:rPr>
          <w:iCs/>
          <w:color w:val="000000"/>
          <w:sz w:val="18"/>
          <w:szCs w:val="18"/>
        </w:rPr>
        <w:t xml:space="preserve">Figure </w:t>
      </w:r>
      <w:r w:rsidR="001E52D5" w:rsidRPr="00676DA0">
        <w:rPr>
          <w:color w:val="000000"/>
          <w:sz w:val="18"/>
          <w:szCs w:val="18"/>
        </w:rPr>
        <w:t>C28</w:t>
      </w:r>
      <w:r w:rsidR="00906389" w:rsidRPr="00676DA0">
        <w:rPr>
          <w:color w:val="000000"/>
          <w:sz w:val="18"/>
          <w:szCs w:val="18"/>
        </w:rPr>
        <w:t>:</w:t>
      </w:r>
      <w:r w:rsidR="001E52D5" w:rsidRPr="00676DA0">
        <w:rPr>
          <w:color w:val="000000"/>
          <w:sz w:val="18"/>
          <w:szCs w:val="18"/>
        </w:rPr>
        <w:t xml:space="preserve"> Conventional gas project scale impact assessment for surface water </w:t>
      </w:r>
      <w:r w:rsidR="00735B7D" w:rsidRPr="00676DA0">
        <w:rPr>
          <w:color w:val="000000"/>
          <w:sz w:val="18"/>
          <w:szCs w:val="18"/>
        </w:rPr>
        <w:t>ecosystems</w:t>
      </w:r>
      <w:r w:rsidR="001E52D5" w:rsidRPr="00676DA0">
        <w:rPr>
          <w:color w:val="000000"/>
          <w:sz w:val="18"/>
          <w:szCs w:val="18"/>
        </w:rPr>
        <w:t xml:space="preserve"> in the Otway</w:t>
      </w:r>
      <w:r w:rsidR="00A1246B" w:rsidRPr="00676DA0">
        <w:rPr>
          <w:color w:val="000000"/>
          <w:sz w:val="18"/>
          <w:szCs w:val="18"/>
        </w:rPr>
        <w:t xml:space="preserve"> </w:t>
      </w:r>
      <w:r w:rsidR="001E52D5" w:rsidRPr="00676DA0">
        <w:rPr>
          <w:color w:val="000000"/>
          <w:sz w:val="18"/>
          <w:szCs w:val="18"/>
        </w:rPr>
        <w:t>region</w:t>
      </w:r>
      <w:r w:rsidR="008C58A3">
        <w:rPr>
          <w:iCs/>
          <w:color w:val="000000"/>
          <w:sz w:val="18"/>
          <w:szCs w:val="18"/>
        </w:rPr>
        <w:tab/>
        <w:t>220</w:t>
      </w:r>
    </w:p>
    <w:p w14:paraId="7BFC6571" w14:textId="0F0E89AD" w:rsidR="005C3BF8" w:rsidRPr="00676DA0" w:rsidRDefault="001E52D5" w:rsidP="00676DA0">
      <w:pPr>
        <w:spacing w:after="40" w:line="240" w:lineRule="auto"/>
        <w:rPr>
          <w:rFonts w:cs="Arial"/>
          <w:color w:val="000000"/>
          <w:sz w:val="18"/>
          <w:szCs w:val="18"/>
          <w:lang w:val="en-AU"/>
        </w:rPr>
      </w:pPr>
      <w:r w:rsidRPr="00676DA0">
        <w:rPr>
          <w:rFonts w:cs="Arial"/>
          <w:color w:val="000000"/>
          <w:sz w:val="18"/>
          <w:szCs w:val="18"/>
          <w:lang w:val="en-AU"/>
        </w:rPr>
        <w:t xml:space="preserve"> </w:t>
      </w:r>
      <w:r w:rsidR="005C3BF8">
        <w:br w:type="page"/>
      </w:r>
    </w:p>
    <w:p w14:paraId="7BD0D990" w14:textId="77777777" w:rsidR="002954F7" w:rsidRDefault="002954F7" w:rsidP="00676DA0">
      <w:pPr>
        <w:spacing w:after="40"/>
        <w:sectPr w:rsidR="002954F7" w:rsidSect="00CF4178">
          <w:pgSz w:w="11906" w:h="16838" w:code="9"/>
          <w:pgMar w:top="2268" w:right="1134" w:bottom="1276" w:left="1134" w:header="567" w:footer="567" w:gutter="0"/>
          <w:cols w:space="708"/>
          <w:titlePg/>
          <w:docGrid w:linePitch="360"/>
        </w:sectPr>
      </w:pPr>
    </w:p>
    <w:p w14:paraId="0A89D084" w14:textId="1A1D1761" w:rsidR="002954F7" w:rsidRDefault="003C56AD" w:rsidP="00F5693C">
      <w:pPr>
        <w:jc w:val="center"/>
      </w:pPr>
      <w:r>
        <w:rPr>
          <w:noProof/>
          <w:lang w:val="en-AU"/>
        </w:rPr>
        <w:drawing>
          <wp:inline distT="0" distB="0" distL="0" distR="0" wp14:anchorId="6916A918" wp14:editId="7A553788">
            <wp:extent cx="12710160" cy="8060631"/>
            <wp:effectExtent l="0" t="0" r="0" b="0"/>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12712113" cy="8061870"/>
                    </a:xfrm>
                    <a:prstGeom prst="rect">
                      <a:avLst/>
                    </a:prstGeom>
                  </pic:spPr>
                </pic:pic>
              </a:graphicData>
            </a:graphic>
          </wp:inline>
        </w:drawing>
      </w:r>
    </w:p>
    <w:p w14:paraId="761F3C57" w14:textId="2AF0AA19" w:rsidR="002954F7" w:rsidRDefault="00A26C54" w:rsidP="00A53AE8">
      <w:pPr>
        <w:pStyle w:val="Figuretitle"/>
      </w:pPr>
      <w:r>
        <w:t>Figure C1:</w:t>
      </w:r>
      <w:r w:rsidR="00491347">
        <w:t xml:space="preserve"> </w:t>
      </w:r>
      <w:r>
        <w:t xml:space="preserve"> </w:t>
      </w:r>
      <w:r w:rsidR="00491347">
        <w:t>Otway study area</w:t>
      </w:r>
      <w:r>
        <w:t>.</w:t>
      </w:r>
    </w:p>
    <w:p w14:paraId="4543BE3E" w14:textId="05B76400" w:rsidR="00491347" w:rsidRDefault="003C56AD" w:rsidP="00F5693C">
      <w:pPr>
        <w:pStyle w:val="Figuretitle"/>
        <w:jc w:val="center"/>
      </w:pPr>
      <w:r>
        <w:rPr>
          <w:lang w:val="en-AU" w:eastAsia="en-AU"/>
        </w:rPr>
        <w:drawing>
          <wp:inline distT="0" distB="0" distL="0" distR="0" wp14:anchorId="67840C0B" wp14:editId="32404DB3">
            <wp:extent cx="13205637" cy="8309957"/>
            <wp:effectExtent l="0" t="0" r="0" b="0"/>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cstate="screen">
                      <a:extLst>
                        <a:ext uri="{28A0092B-C50C-407E-A947-70E740481C1C}">
                          <a14:useLocalDpi xmlns:a14="http://schemas.microsoft.com/office/drawing/2010/main"/>
                        </a:ext>
                      </a:extLst>
                    </a:blip>
                    <a:stretch>
                      <a:fillRect/>
                    </a:stretch>
                  </pic:blipFill>
                  <pic:spPr>
                    <a:xfrm>
                      <a:off x="0" y="0"/>
                      <a:ext cx="13254527" cy="8340722"/>
                    </a:xfrm>
                    <a:prstGeom prst="rect">
                      <a:avLst/>
                    </a:prstGeom>
                  </pic:spPr>
                </pic:pic>
              </a:graphicData>
            </a:graphic>
          </wp:inline>
        </w:drawing>
      </w:r>
    </w:p>
    <w:p w14:paraId="52E617EE" w14:textId="17802AA5" w:rsidR="00491347" w:rsidRDefault="00491347" w:rsidP="00A53AE8">
      <w:pPr>
        <w:pStyle w:val="Figuretitle"/>
      </w:pPr>
      <w:r>
        <w:t>Figure C2</w:t>
      </w:r>
      <w:r w:rsidR="00906389">
        <w:t>:</w:t>
      </w:r>
      <w:r w:rsidR="00A26C54">
        <w:t xml:space="preserve">  </w:t>
      </w:r>
      <w:r>
        <w:t xml:space="preserve">Depth to watertable in the Otway </w:t>
      </w:r>
      <w:r w:rsidR="00452DC1">
        <w:t>region</w:t>
      </w:r>
      <w:r w:rsidR="00A26C54">
        <w:t>.</w:t>
      </w:r>
    </w:p>
    <w:p w14:paraId="59B991E7" w14:textId="386C94A4" w:rsidR="00491347" w:rsidRPr="00491347" w:rsidRDefault="003C56AD" w:rsidP="00F5693C">
      <w:pPr>
        <w:pStyle w:val="Figuretitle"/>
        <w:jc w:val="center"/>
      </w:pPr>
      <w:r>
        <w:rPr>
          <w:lang w:val="en-AU" w:eastAsia="en-AU"/>
        </w:rPr>
        <w:drawing>
          <wp:inline distT="0" distB="0" distL="0" distR="0" wp14:anchorId="388F33D1" wp14:editId="67F19814">
            <wp:extent cx="13333228" cy="8492810"/>
            <wp:effectExtent l="0" t="0" r="1905" b="3810"/>
            <wp:docPr id="2113" name="Pictur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cstate="screen">
                      <a:extLst>
                        <a:ext uri="{28A0092B-C50C-407E-A947-70E740481C1C}">
                          <a14:useLocalDpi xmlns:a14="http://schemas.microsoft.com/office/drawing/2010/main"/>
                        </a:ext>
                      </a:extLst>
                    </a:blip>
                    <a:stretch>
                      <a:fillRect/>
                    </a:stretch>
                  </pic:blipFill>
                  <pic:spPr>
                    <a:xfrm>
                      <a:off x="0" y="0"/>
                      <a:ext cx="13320537" cy="8484726"/>
                    </a:xfrm>
                    <a:prstGeom prst="rect">
                      <a:avLst/>
                    </a:prstGeom>
                  </pic:spPr>
                </pic:pic>
              </a:graphicData>
            </a:graphic>
          </wp:inline>
        </w:drawing>
      </w:r>
    </w:p>
    <w:p w14:paraId="275AC7B9" w14:textId="6DBA56B9" w:rsidR="002954F7" w:rsidRDefault="00906389" w:rsidP="00A53AE8">
      <w:pPr>
        <w:pStyle w:val="Figuretitle"/>
      </w:pPr>
      <w:r>
        <w:t xml:space="preserve">Figure C3: </w:t>
      </w:r>
      <w:r w:rsidR="00491347">
        <w:t xml:space="preserve"> Otway tight gas scenario extent</w:t>
      </w:r>
      <w:r w:rsidR="00A26C54">
        <w:t>.</w:t>
      </w:r>
    </w:p>
    <w:p w14:paraId="64F8120E" w14:textId="1143FC1B" w:rsidR="00B12646" w:rsidRDefault="003C56AD" w:rsidP="00F5693C">
      <w:pPr>
        <w:pStyle w:val="Figuretitle"/>
        <w:jc w:val="center"/>
      </w:pPr>
      <w:r>
        <w:rPr>
          <w:lang w:val="en-AU" w:eastAsia="en-AU"/>
        </w:rPr>
        <w:drawing>
          <wp:inline distT="0" distB="0" distL="0" distR="0" wp14:anchorId="782B57F2" wp14:editId="3A641F1E">
            <wp:extent cx="13311963" cy="8476421"/>
            <wp:effectExtent l="0" t="0" r="4445" b="1270"/>
            <wp:docPr id="2114" name="Pictur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screen">
                      <a:extLst>
                        <a:ext uri="{28A0092B-C50C-407E-A947-70E740481C1C}">
                          <a14:useLocalDpi xmlns:a14="http://schemas.microsoft.com/office/drawing/2010/main"/>
                        </a:ext>
                      </a:extLst>
                    </a:blip>
                    <a:stretch>
                      <a:fillRect/>
                    </a:stretch>
                  </pic:blipFill>
                  <pic:spPr>
                    <a:xfrm>
                      <a:off x="0" y="0"/>
                      <a:ext cx="13317920" cy="8480214"/>
                    </a:xfrm>
                    <a:prstGeom prst="rect">
                      <a:avLst/>
                    </a:prstGeom>
                  </pic:spPr>
                </pic:pic>
              </a:graphicData>
            </a:graphic>
          </wp:inline>
        </w:drawing>
      </w:r>
    </w:p>
    <w:p w14:paraId="63B3D2AF" w14:textId="0CEB347E" w:rsidR="00491347" w:rsidRPr="00B12646" w:rsidRDefault="00906389" w:rsidP="00A53AE8">
      <w:pPr>
        <w:pStyle w:val="Figuretitle"/>
      </w:pPr>
      <w:r>
        <w:t>Figure C4:</w:t>
      </w:r>
      <w:r w:rsidR="00B12646">
        <w:t xml:space="preserve"> </w:t>
      </w:r>
      <w:r w:rsidR="00A26C54">
        <w:t xml:space="preserve"> </w:t>
      </w:r>
      <w:r w:rsidR="00B12646">
        <w:t>Otway shale gas scenario extent</w:t>
      </w:r>
      <w:r w:rsidR="00A26C54">
        <w:t>.</w:t>
      </w:r>
    </w:p>
    <w:p w14:paraId="7E06F56B" w14:textId="038D2CD8" w:rsidR="00491347" w:rsidRDefault="003C56AD" w:rsidP="00F5693C">
      <w:pPr>
        <w:pStyle w:val="Figuretitle"/>
        <w:jc w:val="center"/>
      </w:pPr>
      <w:r>
        <w:rPr>
          <w:lang w:val="en-AU" w:eastAsia="en-AU"/>
        </w:rPr>
        <w:drawing>
          <wp:inline distT="0" distB="0" distL="0" distR="0" wp14:anchorId="59FE12E3" wp14:editId="2E0A924C">
            <wp:extent cx="13173739" cy="8420778"/>
            <wp:effectExtent l="0" t="0" r="8890" b="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screen">
                      <a:extLst>
                        <a:ext uri="{28A0092B-C50C-407E-A947-70E740481C1C}">
                          <a14:useLocalDpi xmlns:a14="http://schemas.microsoft.com/office/drawing/2010/main"/>
                        </a:ext>
                      </a:extLst>
                    </a:blip>
                    <a:stretch>
                      <a:fillRect/>
                    </a:stretch>
                  </pic:blipFill>
                  <pic:spPr>
                    <a:xfrm>
                      <a:off x="0" y="0"/>
                      <a:ext cx="13187025" cy="8429271"/>
                    </a:xfrm>
                    <a:prstGeom prst="rect">
                      <a:avLst/>
                    </a:prstGeom>
                  </pic:spPr>
                </pic:pic>
              </a:graphicData>
            </a:graphic>
          </wp:inline>
        </w:drawing>
      </w:r>
    </w:p>
    <w:p w14:paraId="5301DD16" w14:textId="59B19698" w:rsidR="00B12646" w:rsidRDefault="00906389" w:rsidP="00A53AE8">
      <w:pPr>
        <w:pStyle w:val="Figuretitle"/>
      </w:pPr>
      <w:r>
        <w:t xml:space="preserve">Figure C5: </w:t>
      </w:r>
      <w:r w:rsidR="00A26C54">
        <w:t xml:space="preserve"> </w:t>
      </w:r>
      <w:r w:rsidR="00044E9E">
        <w:t>Otway coal seam gas scenario extent</w:t>
      </w:r>
      <w:r w:rsidR="00A26C54">
        <w:t>.</w:t>
      </w:r>
    </w:p>
    <w:p w14:paraId="7CB9217F" w14:textId="414FE24D" w:rsidR="00044E9E" w:rsidRPr="00044E9E" w:rsidRDefault="003C56AD" w:rsidP="00F5693C">
      <w:pPr>
        <w:pStyle w:val="Figuretitle"/>
        <w:jc w:val="center"/>
      </w:pPr>
      <w:r>
        <w:rPr>
          <w:lang w:val="en-AU" w:eastAsia="en-AU"/>
        </w:rPr>
        <w:drawing>
          <wp:inline distT="0" distB="0" distL="0" distR="0" wp14:anchorId="30A97CC4" wp14:editId="669B43A0">
            <wp:extent cx="13226902" cy="8432149"/>
            <wp:effectExtent l="0" t="0" r="0" b="7620"/>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cstate="screen">
                      <a:extLst>
                        <a:ext uri="{28A0092B-C50C-407E-A947-70E740481C1C}">
                          <a14:useLocalDpi xmlns:a14="http://schemas.microsoft.com/office/drawing/2010/main"/>
                        </a:ext>
                      </a:extLst>
                    </a:blip>
                    <a:stretch>
                      <a:fillRect/>
                    </a:stretch>
                  </pic:blipFill>
                  <pic:spPr>
                    <a:xfrm>
                      <a:off x="0" y="0"/>
                      <a:ext cx="13235598" cy="8437692"/>
                    </a:xfrm>
                    <a:prstGeom prst="rect">
                      <a:avLst/>
                    </a:prstGeom>
                  </pic:spPr>
                </pic:pic>
              </a:graphicData>
            </a:graphic>
          </wp:inline>
        </w:drawing>
      </w:r>
    </w:p>
    <w:p w14:paraId="098B83F7" w14:textId="3A394F62" w:rsidR="00B12646" w:rsidRDefault="00906389" w:rsidP="00A53AE8">
      <w:pPr>
        <w:pStyle w:val="Figuretitle"/>
      </w:pPr>
      <w:r>
        <w:t>Figure C6:</w:t>
      </w:r>
      <w:r w:rsidR="00044E9E">
        <w:t xml:space="preserve"> </w:t>
      </w:r>
      <w:r w:rsidR="00A26C54">
        <w:t xml:space="preserve"> </w:t>
      </w:r>
      <w:r w:rsidR="00044E9E">
        <w:t>Otway conventional gas scenario extent</w:t>
      </w:r>
      <w:r w:rsidR="00A26C54">
        <w:t>.</w:t>
      </w:r>
    </w:p>
    <w:p w14:paraId="7DDF2E99" w14:textId="71BF2C70" w:rsidR="0057593F" w:rsidRDefault="003C56AD" w:rsidP="00F5693C">
      <w:pPr>
        <w:pStyle w:val="Figuretitle"/>
        <w:jc w:val="center"/>
      </w:pPr>
      <w:r>
        <w:rPr>
          <w:lang w:val="en-AU" w:eastAsia="en-AU"/>
        </w:rPr>
        <w:drawing>
          <wp:inline distT="0" distB="0" distL="0" distR="0" wp14:anchorId="4E18BFF2" wp14:editId="6D7E3F0B">
            <wp:extent cx="13248167" cy="8434384"/>
            <wp:effectExtent l="0" t="0" r="0" b="5080"/>
            <wp:docPr id="2117" name="Pict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cstate="screen">
                      <a:extLst>
                        <a:ext uri="{28A0092B-C50C-407E-A947-70E740481C1C}">
                          <a14:useLocalDpi xmlns:a14="http://schemas.microsoft.com/office/drawing/2010/main"/>
                        </a:ext>
                      </a:extLst>
                    </a:blip>
                    <a:stretch>
                      <a:fillRect/>
                    </a:stretch>
                  </pic:blipFill>
                  <pic:spPr>
                    <a:xfrm>
                      <a:off x="0" y="0"/>
                      <a:ext cx="13248557" cy="8434632"/>
                    </a:xfrm>
                    <a:prstGeom prst="rect">
                      <a:avLst/>
                    </a:prstGeom>
                  </pic:spPr>
                </pic:pic>
              </a:graphicData>
            </a:graphic>
          </wp:inline>
        </w:drawing>
      </w:r>
    </w:p>
    <w:p w14:paraId="760B99F7" w14:textId="7ED84E79" w:rsidR="0057593F" w:rsidRDefault="0057593F" w:rsidP="00A53AE8">
      <w:pPr>
        <w:pStyle w:val="Figuretitle"/>
      </w:pPr>
      <w:r>
        <w:t>Figure C7</w:t>
      </w:r>
      <w:r w:rsidR="00906389">
        <w:t>:</w:t>
      </w:r>
      <w:r w:rsidR="003A5FDD">
        <w:t xml:space="preserve"> </w:t>
      </w:r>
      <w:r w:rsidR="00A26C54">
        <w:t xml:space="preserve"> </w:t>
      </w:r>
      <w:r w:rsidR="003A5FDD">
        <w:t>Location of internationally significant wetlands in the Otway region</w:t>
      </w:r>
      <w:r w:rsidR="00A26C54">
        <w:t>.</w:t>
      </w:r>
    </w:p>
    <w:p w14:paraId="78A3B5B2" w14:textId="5FD23910" w:rsidR="009C4EC6" w:rsidRDefault="001F439E" w:rsidP="00F5693C">
      <w:pPr>
        <w:pStyle w:val="Figuretitle"/>
        <w:jc w:val="center"/>
      </w:pPr>
      <w:r>
        <w:rPr>
          <w:lang w:val="en-AU" w:eastAsia="en-AU"/>
        </w:rPr>
        <w:drawing>
          <wp:inline distT="0" distB="0" distL="0" distR="0" wp14:anchorId="1EE3F4CE" wp14:editId="1F4574BF">
            <wp:extent cx="13163107" cy="8385856"/>
            <wp:effectExtent l="0" t="0" r="635" b="0"/>
            <wp:docPr id="2118" name="Pictur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cstate="screen">
                      <a:extLst>
                        <a:ext uri="{28A0092B-C50C-407E-A947-70E740481C1C}">
                          <a14:useLocalDpi xmlns:a14="http://schemas.microsoft.com/office/drawing/2010/main"/>
                        </a:ext>
                      </a:extLst>
                    </a:blip>
                    <a:stretch>
                      <a:fillRect/>
                    </a:stretch>
                  </pic:blipFill>
                  <pic:spPr>
                    <a:xfrm>
                      <a:off x="0" y="0"/>
                      <a:ext cx="13170606" cy="8390633"/>
                    </a:xfrm>
                    <a:prstGeom prst="rect">
                      <a:avLst/>
                    </a:prstGeom>
                  </pic:spPr>
                </pic:pic>
              </a:graphicData>
            </a:graphic>
          </wp:inline>
        </w:drawing>
      </w:r>
    </w:p>
    <w:p w14:paraId="3B7E5E0F" w14:textId="0FFEECE3" w:rsidR="009C4EC6" w:rsidRDefault="009C4EC6" w:rsidP="00A53AE8">
      <w:pPr>
        <w:pStyle w:val="Figuretitle"/>
      </w:pPr>
      <w:r>
        <w:t>Figure C8</w:t>
      </w:r>
      <w:r w:rsidR="00906389">
        <w:t>:</w:t>
      </w:r>
      <w:r>
        <w:t xml:space="preserve"> </w:t>
      </w:r>
      <w:r w:rsidR="00A26C54">
        <w:t xml:space="preserve"> </w:t>
      </w:r>
      <w:r>
        <w:t>Otway surface water assets</w:t>
      </w:r>
      <w:r w:rsidR="00A26C54">
        <w:t>.</w:t>
      </w:r>
    </w:p>
    <w:p w14:paraId="3D08709E" w14:textId="7D06D4A4" w:rsidR="009C4EC6" w:rsidRDefault="001F439E" w:rsidP="00A53AE8">
      <w:pPr>
        <w:pStyle w:val="Figuretitle"/>
      </w:pPr>
      <w:r>
        <w:rPr>
          <w:lang w:val="en-AU" w:eastAsia="en-AU"/>
        </w:rPr>
        <w:drawing>
          <wp:inline distT="0" distB="0" distL="0" distR="0" wp14:anchorId="0A1889FF" wp14:editId="469C7EA8">
            <wp:extent cx="13694735" cy="8287070"/>
            <wp:effectExtent l="0" t="0" r="2540" b="0"/>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cstate="screen">
                      <a:extLst>
                        <a:ext uri="{28A0092B-C50C-407E-A947-70E740481C1C}">
                          <a14:useLocalDpi xmlns:a14="http://schemas.microsoft.com/office/drawing/2010/main"/>
                        </a:ext>
                      </a:extLst>
                    </a:blip>
                    <a:stretch>
                      <a:fillRect/>
                    </a:stretch>
                  </pic:blipFill>
                  <pic:spPr>
                    <a:xfrm>
                      <a:off x="0" y="0"/>
                      <a:ext cx="13696025" cy="8287851"/>
                    </a:xfrm>
                    <a:prstGeom prst="rect">
                      <a:avLst/>
                    </a:prstGeom>
                  </pic:spPr>
                </pic:pic>
              </a:graphicData>
            </a:graphic>
          </wp:inline>
        </w:drawing>
      </w:r>
    </w:p>
    <w:p w14:paraId="637D0C2F" w14:textId="451DAF09" w:rsidR="009C4EC6" w:rsidRDefault="00906389" w:rsidP="00A53AE8">
      <w:pPr>
        <w:pStyle w:val="Figuretitle"/>
      </w:pPr>
      <w:r>
        <w:t>Figure C9:</w:t>
      </w:r>
      <w:r w:rsidR="009C4EC6">
        <w:t xml:space="preserve"> </w:t>
      </w:r>
      <w:r w:rsidR="00A26C54">
        <w:t xml:space="preserve"> </w:t>
      </w:r>
      <w:r w:rsidR="009C4EC6">
        <w:t>Tight gas scale drawdown for aquifers in the Otway region</w:t>
      </w:r>
      <w:r w:rsidR="00A26C54">
        <w:t>.</w:t>
      </w:r>
    </w:p>
    <w:p w14:paraId="29836389" w14:textId="77777777" w:rsidR="009C4EC6" w:rsidRDefault="009C4EC6" w:rsidP="00A53AE8">
      <w:pPr>
        <w:pStyle w:val="Figuretitle"/>
      </w:pPr>
    </w:p>
    <w:p w14:paraId="07D53B83" w14:textId="480B8890" w:rsidR="009C4EC6" w:rsidRDefault="00F0389B" w:rsidP="00F5693C">
      <w:pPr>
        <w:pStyle w:val="Figuretitle"/>
        <w:jc w:val="center"/>
      </w:pPr>
      <w:r>
        <w:rPr>
          <w:lang w:val="en-AU" w:eastAsia="en-AU"/>
        </w:rPr>
        <w:drawing>
          <wp:inline distT="0" distB="0" distL="0" distR="0" wp14:anchorId="7D82DBD8" wp14:editId="7CB3C081">
            <wp:extent cx="13577777" cy="8206141"/>
            <wp:effectExtent l="0" t="0" r="5080" b="4445"/>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cstate="screen">
                      <a:extLst>
                        <a:ext uri="{28A0092B-C50C-407E-A947-70E740481C1C}">
                          <a14:useLocalDpi xmlns:a14="http://schemas.microsoft.com/office/drawing/2010/main"/>
                        </a:ext>
                      </a:extLst>
                    </a:blip>
                    <a:stretch>
                      <a:fillRect/>
                    </a:stretch>
                  </pic:blipFill>
                  <pic:spPr>
                    <a:xfrm>
                      <a:off x="0" y="0"/>
                      <a:ext cx="13615973" cy="8229226"/>
                    </a:xfrm>
                    <a:prstGeom prst="rect">
                      <a:avLst/>
                    </a:prstGeom>
                  </pic:spPr>
                </pic:pic>
              </a:graphicData>
            </a:graphic>
          </wp:inline>
        </w:drawing>
      </w:r>
    </w:p>
    <w:p w14:paraId="7471A878" w14:textId="4CD3B4BF" w:rsidR="009C4EC6" w:rsidRDefault="00906389" w:rsidP="00A53AE8">
      <w:pPr>
        <w:pStyle w:val="Figuretitle"/>
      </w:pPr>
      <w:r>
        <w:t>Figure C10:</w:t>
      </w:r>
      <w:r w:rsidR="00A26C54">
        <w:t xml:space="preserve"> </w:t>
      </w:r>
      <w:r w:rsidR="007E3082">
        <w:t xml:space="preserve"> Tight  gas scale impact assessment for aquifers in the Otway region</w:t>
      </w:r>
      <w:r w:rsidR="00A26C54">
        <w:t>.</w:t>
      </w:r>
    </w:p>
    <w:p w14:paraId="375991C1" w14:textId="6D7AA331" w:rsidR="007E3082" w:rsidRDefault="00F0389B" w:rsidP="00A53AE8">
      <w:pPr>
        <w:pStyle w:val="Figuretitle"/>
      </w:pPr>
      <w:r>
        <w:rPr>
          <w:lang w:val="en-AU" w:eastAsia="en-AU"/>
        </w:rPr>
        <w:drawing>
          <wp:inline distT="0" distB="0" distL="0" distR="0" wp14:anchorId="14D38B8F" wp14:editId="16ED0E06">
            <wp:extent cx="13861399" cy="8382000"/>
            <wp:effectExtent l="0" t="0" r="7620" b="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cstate="screen">
                      <a:extLst>
                        <a:ext uri="{28A0092B-C50C-407E-A947-70E740481C1C}">
                          <a14:useLocalDpi xmlns:a14="http://schemas.microsoft.com/office/drawing/2010/main"/>
                        </a:ext>
                      </a:extLst>
                    </a:blip>
                    <a:stretch>
                      <a:fillRect/>
                    </a:stretch>
                  </pic:blipFill>
                  <pic:spPr>
                    <a:xfrm>
                      <a:off x="0" y="0"/>
                      <a:ext cx="13861399" cy="8382000"/>
                    </a:xfrm>
                    <a:prstGeom prst="rect">
                      <a:avLst/>
                    </a:prstGeom>
                  </pic:spPr>
                </pic:pic>
              </a:graphicData>
            </a:graphic>
          </wp:inline>
        </w:drawing>
      </w:r>
    </w:p>
    <w:p w14:paraId="6F9A3C38" w14:textId="4B7216BA" w:rsidR="007E3082" w:rsidRDefault="007E3082" w:rsidP="00A53AE8">
      <w:pPr>
        <w:pStyle w:val="Figuretitle"/>
      </w:pPr>
      <w:r>
        <w:t>Figure C11</w:t>
      </w:r>
      <w:r w:rsidR="00906389">
        <w:t>:</w:t>
      </w:r>
      <w:r>
        <w:t xml:space="preserve"> </w:t>
      </w:r>
      <w:r w:rsidR="00A1246B">
        <w:t xml:space="preserve"> </w:t>
      </w:r>
      <w:r>
        <w:t xml:space="preserve">Tight  gas scale watertable drawdown </w:t>
      </w:r>
      <w:r w:rsidR="00452DC1">
        <w:t>in</w:t>
      </w:r>
      <w:r>
        <w:t xml:space="preserve"> the Otway region</w:t>
      </w:r>
      <w:r w:rsidR="00A1246B">
        <w:t>.</w:t>
      </w:r>
    </w:p>
    <w:p w14:paraId="07D90D20" w14:textId="3FE1B99F" w:rsidR="007E3082" w:rsidRDefault="00F0389B" w:rsidP="00A53AE8">
      <w:pPr>
        <w:pStyle w:val="Figuretitle"/>
      </w:pPr>
      <w:r>
        <w:rPr>
          <w:lang w:val="en-AU" w:eastAsia="en-AU"/>
        </w:rPr>
        <w:drawing>
          <wp:inline distT="0" distB="0" distL="0" distR="0" wp14:anchorId="519ADBEE" wp14:editId="1F3FCB15">
            <wp:extent cx="13767006" cy="8305800"/>
            <wp:effectExtent l="0" t="0" r="6350" b="0"/>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cstate="screen">
                      <a:extLst>
                        <a:ext uri="{28A0092B-C50C-407E-A947-70E740481C1C}">
                          <a14:useLocalDpi xmlns:a14="http://schemas.microsoft.com/office/drawing/2010/main"/>
                        </a:ext>
                      </a:extLst>
                    </a:blip>
                    <a:stretch>
                      <a:fillRect/>
                    </a:stretch>
                  </pic:blipFill>
                  <pic:spPr>
                    <a:xfrm>
                      <a:off x="0" y="0"/>
                      <a:ext cx="13784093" cy="8316109"/>
                    </a:xfrm>
                    <a:prstGeom prst="rect">
                      <a:avLst/>
                    </a:prstGeom>
                  </pic:spPr>
                </pic:pic>
              </a:graphicData>
            </a:graphic>
          </wp:inline>
        </w:drawing>
      </w:r>
    </w:p>
    <w:p w14:paraId="2CD940CB" w14:textId="0F58599A" w:rsidR="007E3082" w:rsidRDefault="007E3082" w:rsidP="00A53AE8">
      <w:pPr>
        <w:pStyle w:val="Figuretitle"/>
      </w:pPr>
      <w:r>
        <w:t>Figure C12</w:t>
      </w:r>
      <w:r w:rsidR="00906389">
        <w:t>:</w:t>
      </w:r>
      <w:r w:rsidR="00A1246B">
        <w:t xml:space="preserve">  </w:t>
      </w:r>
      <w:r>
        <w:t>Tight gas scale impact assessment for surface water users in the Otway region</w:t>
      </w:r>
      <w:r w:rsidR="00A1246B">
        <w:t>.</w:t>
      </w:r>
    </w:p>
    <w:p w14:paraId="4A2C28B1" w14:textId="48C36C2D" w:rsidR="007E3082" w:rsidRDefault="00F0389B" w:rsidP="00A53AE8">
      <w:pPr>
        <w:pStyle w:val="Figuretitle"/>
      </w:pPr>
      <w:r>
        <w:rPr>
          <w:lang w:val="en-AU" w:eastAsia="en-AU"/>
        </w:rPr>
        <w:drawing>
          <wp:inline distT="0" distB="0" distL="0" distR="0" wp14:anchorId="0C19E739" wp14:editId="6D5EA25E">
            <wp:extent cx="13743257" cy="8275320"/>
            <wp:effectExtent l="0" t="0" r="0" b="0"/>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cstate="screen">
                      <a:extLst>
                        <a:ext uri="{28A0092B-C50C-407E-A947-70E740481C1C}">
                          <a14:useLocalDpi xmlns:a14="http://schemas.microsoft.com/office/drawing/2010/main"/>
                        </a:ext>
                      </a:extLst>
                    </a:blip>
                    <a:stretch>
                      <a:fillRect/>
                    </a:stretch>
                  </pic:blipFill>
                  <pic:spPr>
                    <a:xfrm>
                      <a:off x="0" y="0"/>
                      <a:ext cx="13743257" cy="8275320"/>
                    </a:xfrm>
                    <a:prstGeom prst="rect">
                      <a:avLst/>
                    </a:prstGeom>
                  </pic:spPr>
                </pic:pic>
              </a:graphicData>
            </a:graphic>
          </wp:inline>
        </w:drawing>
      </w:r>
    </w:p>
    <w:p w14:paraId="01FB3A6A" w14:textId="0A2D77C6" w:rsidR="007E3082" w:rsidRDefault="00906389" w:rsidP="00A53AE8">
      <w:pPr>
        <w:pStyle w:val="Figuretitle"/>
      </w:pPr>
      <w:r>
        <w:t xml:space="preserve">Figure C13: </w:t>
      </w:r>
      <w:r w:rsidR="00A26C54">
        <w:t xml:space="preserve"> </w:t>
      </w:r>
      <w:r w:rsidR="007E3082">
        <w:t>Tight gas scale impact assessment for surface water ecosystems in the Otway region</w:t>
      </w:r>
      <w:r w:rsidR="00A26C54">
        <w:t>.</w:t>
      </w:r>
    </w:p>
    <w:p w14:paraId="4A64376A" w14:textId="11B4BD20" w:rsidR="007E3082" w:rsidRDefault="0016162D" w:rsidP="00A53AE8">
      <w:pPr>
        <w:pStyle w:val="Figuretitle"/>
      </w:pPr>
      <w:r>
        <w:rPr>
          <w:lang w:val="en-AU" w:eastAsia="en-AU"/>
        </w:rPr>
        <w:drawing>
          <wp:inline distT="0" distB="0" distL="0" distR="0" wp14:anchorId="5DC83C41" wp14:editId="6287E3C3">
            <wp:extent cx="13997303" cy="8458200"/>
            <wp:effectExtent l="0" t="0" r="5080" b="0"/>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cstate="screen">
                      <a:extLst>
                        <a:ext uri="{28A0092B-C50C-407E-A947-70E740481C1C}">
                          <a14:useLocalDpi xmlns:a14="http://schemas.microsoft.com/office/drawing/2010/main"/>
                        </a:ext>
                      </a:extLst>
                    </a:blip>
                    <a:stretch>
                      <a:fillRect/>
                    </a:stretch>
                  </pic:blipFill>
                  <pic:spPr>
                    <a:xfrm>
                      <a:off x="0" y="0"/>
                      <a:ext cx="14037012" cy="8482195"/>
                    </a:xfrm>
                    <a:prstGeom prst="rect">
                      <a:avLst/>
                    </a:prstGeom>
                  </pic:spPr>
                </pic:pic>
              </a:graphicData>
            </a:graphic>
          </wp:inline>
        </w:drawing>
      </w:r>
    </w:p>
    <w:p w14:paraId="275ABBE5" w14:textId="1B0B9AC0" w:rsidR="007E3082" w:rsidRDefault="00906389" w:rsidP="00A53AE8">
      <w:pPr>
        <w:pStyle w:val="Figuretitle"/>
      </w:pPr>
      <w:r>
        <w:t>Figure C14:</w:t>
      </w:r>
      <w:r w:rsidR="007E3082">
        <w:t xml:space="preserve"> </w:t>
      </w:r>
      <w:r w:rsidR="00A26C54">
        <w:t xml:space="preserve"> </w:t>
      </w:r>
      <w:r w:rsidR="007E3082">
        <w:t>Shale gas scale drawdown for aquifers in the Otway region</w:t>
      </w:r>
      <w:r w:rsidR="00A26C54">
        <w:t>.</w:t>
      </w:r>
    </w:p>
    <w:p w14:paraId="3EA86AB0" w14:textId="25266E58" w:rsidR="007E3082" w:rsidRDefault="0016162D" w:rsidP="00A53AE8">
      <w:pPr>
        <w:pStyle w:val="Figuretitle"/>
      </w:pPr>
      <w:r>
        <w:rPr>
          <w:lang w:val="en-AU" w:eastAsia="en-AU"/>
        </w:rPr>
        <w:drawing>
          <wp:inline distT="0" distB="0" distL="0" distR="0" wp14:anchorId="4E63DB9E" wp14:editId="1239942C">
            <wp:extent cx="13981972" cy="8442960"/>
            <wp:effectExtent l="0" t="0" r="1270" b="0"/>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cstate="screen">
                      <a:extLst>
                        <a:ext uri="{28A0092B-C50C-407E-A947-70E740481C1C}">
                          <a14:useLocalDpi xmlns:a14="http://schemas.microsoft.com/office/drawing/2010/main"/>
                        </a:ext>
                      </a:extLst>
                    </a:blip>
                    <a:stretch>
                      <a:fillRect/>
                    </a:stretch>
                  </pic:blipFill>
                  <pic:spPr>
                    <a:xfrm>
                      <a:off x="0" y="0"/>
                      <a:ext cx="13981972" cy="8442960"/>
                    </a:xfrm>
                    <a:prstGeom prst="rect">
                      <a:avLst/>
                    </a:prstGeom>
                  </pic:spPr>
                </pic:pic>
              </a:graphicData>
            </a:graphic>
          </wp:inline>
        </w:drawing>
      </w:r>
    </w:p>
    <w:p w14:paraId="689A1BC2" w14:textId="54465D9A" w:rsidR="007E3082" w:rsidRDefault="00906389" w:rsidP="00A53AE8">
      <w:pPr>
        <w:pStyle w:val="Figuretitle"/>
      </w:pPr>
      <w:r>
        <w:t xml:space="preserve">Figure C15: </w:t>
      </w:r>
      <w:r w:rsidR="00A26C54">
        <w:t xml:space="preserve"> </w:t>
      </w:r>
      <w:r w:rsidR="007E3082">
        <w:t>Shale gas scale impact assessment for aquifers in the Otway region</w:t>
      </w:r>
      <w:r w:rsidR="00A26C54">
        <w:t>.</w:t>
      </w:r>
    </w:p>
    <w:p w14:paraId="66C52A98" w14:textId="129A18C4" w:rsidR="007E3082" w:rsidRDefault="0016162D" w:rsidP="00A53AE8">
      <w:pPr>
        <w:pStyle w:val="Figuretitle"/>
      </w:pPr>
      <w:r>
        <w:rPr>
          <w:lang w:val="en-AU" w:eastAsia="en-AU"/>
        </w:rPr>
        <w:drawing>
          <wp:inline distT="0" distB="0" distL="0" distR="0" wp14:anchorId="3CB4DB17" wp14:editId="45F617C7">
            <wp:extent cx="13671855" cy="8260080"/>
            <wp:effectExtent l="0" t="0" r="6350" b="7620"/>
            <wp:docPr id="2126" name="Pictur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cstate="screen">
                      <a:extLst>
                        <a:ext uri="{28A0092B-C50C-407E-A947-70E740481C1C}">
                          <a14:useLocalDpi xmlns:a14="http://schemas.microsoft.com/office/drawing/2010/main"/>
                        </a:ext>
                      </a:extLst>
                    </a:blip>
                    <a:stretch>
                      <a:fillRect/>
                    </a:stretch>
                  </pic:blipFill>
                  <pic:spPr>
                    <a:xfrm>
                      <a:off x="0" y="0"/>
                      <a:ext cx="13708216" cy="8282048"/>
                    </a:xfrm>
                    <a:prstGeom prst="rect">
                      <a:avLst/>
                    </a:prstGeom>
                  </pic:spPr>
                </pic:pic>
              </a:graphicData>
            </a:graphic>
          </wp:inline>
        </w:drawing>
      </w:r>
    </w:p>
    <w:p w14:paraId="5CAD0EF5" w14:textId="5078AA39" w:rsidR="007E3082" w:rsidRDefault="00906389" w:rsidP="00A53AE8">
      <w:pPr>
        <w:pStyle w:val="Figuretitle"/>
      </w:pPr>
      <w:r>
        <w:t xml:space="preserve">Figure C16: </w:t>
      </w:r>
      <w:r w:rsidR="00A26C54">
        <w:t xml:space="preserve"> </w:t>
      </w:r>
      <w:r w:rsidR="007E3082">
        <w:t xml:space="preserve">Shale </w:t>
      </w:r>
      <w:r w:rsidR="000616C1">
        <w:t xml:space="preserve">gas scale </w:t>
      </w:r>
      <w:r w:rsidR="007E3082">
        <w:t>drawdown results in the Otway region</w:t>
      </w:r>
      <w:r w:rsidR="00A26C54">
        <w:t>.</w:t>
      </w:r>
    </w:p>
    <w:p w14:paraId="2DEB28FB" w14:textId="5B51AC4C" w:rsidR="007E3082" w:rsidRDefault="00571D72" w:rsidP="00F5693C">
      <w:pPr>
        <w:pStyle w:val="Figuretitle"/>
        <w:jc w:val="center"/>
      </w:pPr>
      <w:r w:rsidRPr="00571D72">
        <w:rPr>
          <w:lang w:val="en-AU" w:eastAsia="en-AU"/>
        </w:rPr>
        <w:drawing>
          <wp:inline distT="0" distB="0" distL="0" distR="0" wp14:anchorId="5D750D2B" wp14:editId="0CFB0530">
            <wp:extent cx="13683856" cy="8261498"/>
            <wp:effectExtent l="0" t="0" r="0" b="635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13690296" cy="8265386"/>
                    </a:xfrm>
                    <a:prstGeom prst="rect">
                      <a:avLst/>
                    </a:prstGeom>
                    <a:noFill/>
                    <a:ln>
                      <a:noFill/>
                    </a:ln>
                  </pic:spPr>
                </pic:pic>
              </a:graphicData>
            </a:graphic>
          </wp:inline>
        </w:drawing>
      </w:r>
    </w:p>
    <w:p w14:paraId="66F8E691" w14:textId="373E2EB5" w:rsidR="00E27EE6" w:rsidRDefault="00906389" w:rsidP="00A53AE8">
      <w:pPr>
        <w:pStyle w:val="Figuretitle"/>
      </w:pPr>
      <w:r>
        <w:t xml:space="preserve">Figure C17: </w:t>
      </w:r>
      <w:r w:rsidR="00A26C54">
        <w:t xml:space="preserve"> </w:t>
      </w:r>
      <w:r w:rsidR="00E27EE6">
        <w:t>Shale gas scale impact assessment for surface water users in the Otway region</w:t>
      </w:r>
      <w:r w:rsidR="00A26C54">
        <w:t>.</w:t>
      </w:r>
    </w:p>
    <w:p w14:paraId="75B2280E" w14:textId="77777777" w:rsidR="00E27EE6" w:rsidRDefault="00E27EE6" w:rsidP="00A53AE8">
      <w:pPr>
        <w:pStyle w:val="Figuretitle"/>
      </w:pPr>
    </w:p>
    <w:p w14:paraId="27B4D3D3" w14:textId="5281BEB4" w:rsidR="007E3082" w:rsidRDefault="00F96681" w:rsidP="00F5693C">
      <w:pPr>
        <w:pStyle w:val="Figuretitle"/>
        <w:jc w:val="center"/>
      </w:pPr>
      <w:r w:rsidRPr="00F96681">
        <w:rPr>
          <w:lang w:val="en-AU" w:eastAsia="en-AU"/>
        </w:rPr>
        <w:drawing>
          <wp:inline distT="0" distB="0" distL="0" distR="0" wp14:anchorId="697E0AE7" wp14:editId="1502B864">
            <wp:extent cx="13375758" cy="8059851"/>
            <wp:effectExtent l="0" t="0" r="0" b="0"/>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13384924" cy="8065374"/>
                    </a:xfrm>
                    <a:prstGeom prst="rect">
                      <a:avLst/>
                    </a:prstGeom>
                    <a:noFill/>
                    <a:ln>
                      <a:noFill/>
                    </a:ln>
                  </pic:spPr>
                </pic:pic>
              </a:graphicData>
            </a:graphic>
          </wp:inline>
        </w:drawing>
      </w:r>
    </w:p>
    <w:p w14:paraId="2B9D387C" w14:textId="7FF17CB3" w:rsidR="00E27EE6" w:rsidRPr="007E3082" w:rsidRDefault="00906389" w:rsidP="00A53AE8">
      <w:pPr>
        <w:pStyle w:val="Figuretitle"/>
      </w:pPr>
      <w:r>
        <w:t xml:space="preserve">Figure C18: </w:t>
      </w:r>
      <w:r w:rsidR="00A26C54">
        <w:t xml:space="preserve"> </w:t>
      </w:r>
      <w:r w:rsidR="00E27EE6">
        <w:t>Shale gas scale impact assessment for surface water ecosystems in the Otway region</w:t>
      </w:r>
      <w:r w:rsidR="00A26C54">
        <w:t>.</w:t>
      </w:r>
    </w:p>
    <w:p w14:paraId="345A61BF" w14:textId="68A2CB74" w:rsidR="007E3082" w:rsidRDefault="007E3082" w:rsidP="00A53AE8">
      <w:pPr>
        <w:pStyle w:val="Figuretitle"/>
      </w:pPr>
    </w:p>
    <w:p w14:paraId="51B32421" w14:textId="36E4D717" w:rsidR="00D051D6" w:rsidRDefault="00D051D6" w:rsidP="00F5693C">
      <w:pPr>
        <w:pStyle w:val="Figuretitle"/>
        <w:jc w:val="center"/>
      </w:pPr>
      <w:r>
        <w:rPr>
          <w:lang w:val="en-AU" w:eastAsia="en-AU"/>
        </w:rPr>
        <w:drawing>
          <wp:inline distT="0" distB="0" distL="0" distR="0" wp14:anchorId="041C646D" wp14:editId="24687F6A">
            <wp:extent cx="13482084" cy="8181435"/>
            <wp:effectExtent l="0" t="0" r="5715" b="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cstate="screen">
                      <a:extLst>
                        <a:ext uri="{28A0092B-C50C-407E-A947-70E740481C1C}">
                          <a14:useLocalDpi xmlns:a14="http://schemas.microsoft.com/office/drawing/2010/main"/>
                        </a:ext>
                      </a:extLst>
                    </a:blip>
                    <a:stretch>
                      <a:fillRect/>
                    </a:stretch>
                  </pic:blipFill>
                  <pic:spPr>
                    <a:xfrm>
                      <a:off x="0" y="0"/>
                      <a:ext cx="13505125" cy="8195417"/>
                    </a:xfrm>
                    <a:prstGeom prst="rect">
                      <a:avLst/>
                    </a:prstGeom>
                  </pic:spPr>
                </pic:pic>
              </a:graphicData>
            </a:graphic>
          </wp:inline>
        </w:drawing>
      </w:r>
    </w:p>
    <w:p w14:paraId="05E8E2DB" w14:textId="22C0AF49" w:rsidR="00571D72" w:rsidRDefault="00571D72" w:rsidP="00A53AE8">
      <w:pPr>
        <w:pStyle w:val="Figuretitle"/>
      </w:pPr>
      <w:r>
        <w:t>Figure C</w:t>
      </w:r>
      <w:r w:rsidR="006C5543">
        <w:t>19</w:t>
      </w:r>
      <w:r w:rsidR="00906389">
        <w:t xml:space="preserve">: </w:t>
      </w:r>
      <w:r w:rsidR="00A26C54">
        <w:t xml:space="preserve"> </w:t>
      </w:r>
      <w:r>
        <w:t>Coal seam gas (black coal) scale drawdown for aquifers in the Otway region</w:t>
      </w:r>
      <w:r w:rsidR="00A26C54">
        <w:t>.</w:t>
      </w:r>
    </w:p>
    <w:p w14:paraId="35D9145B" w14:textId="77777777" w:rsidR="00D051D6" w:rsidRDefault="00D051D6" w:rsidP="00A53AE8">
      <w:pPr>
        <w:pStyle w:val="Figuretitle"/>
      </w:pPr>
    </w:p>
    <w:p w14:paraId="15CF43D6" w14:textId="77777777" w:rsidR="00812D88" w:rsidRDefault="00812D88" w:rsidP="00A53AE8">
      <w:pPr>
        <w:pStyle w:val="Figuretitle"/>
      </w:pPr>
    </w:p>
    <w:p w14:paraId="4B6A20B7" w14:textId="74D6E6EF" w:rsidR="00812D88" w:rsidRDefault="00812D88" w:rsidP="00F5693C">
      <w:pPr>
        <w:pStyle w:val="Figuretitle"/>
        <w:jc w:val="center"/>
      </w:pPr>
      <w:r>
        <w:rPr>
          <w:lang w:val="en-AU" w:eastAsia="en-AU"/>
        </w:rPr>
        <w:drawing>
          <wp:inline distT="0" distB="0" distL="0" distR="0" wp14:anchorId="73664A58" wp14:editId="57ECC9FE">
            <wp:extent cx="12865395" cy="7851190"/>
            <wp:effectExtent l="0" t="0" r="0" b="0"/>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screen">
                      <a:extLst>
                        <a:ext uri="{28A0092B-C50C-407E-A947-70E740481C1C}">
                          <a14:useLocalDpi xmlns:a14="http://schemas.microsoft.com/office/drawing/2010/main"/>
                        </a:ext>
                      </a:extLst>
                    </a:blip>
                    <a:stretch>
                      <a:fillRect/>
                    </a:stretch>
                  </pic:blipFill>
                  <pic:spPr>
                    <a:xfrm>
                      <a:off x="0" y="0"/>
                      <a:ext cx="12864945" cy="7850916"/>
                    </a:xfrm>
                    <a:prstGeom prst="rect">
                      <a:avLst/>
                    </a:prstGeom>
                  </pic:spPr>
                </pic:pic>
              </a:graphicData>
            </a:graphic>
          </wp:inline>
        </w:drawing>
      </w:r>
    </w:p>
    <w:p w14:paraId="1BB8FBFA" w14:textId="14C774A6" w:rsidR="00571D72" w:rsidRDefault="00571D72" w:rsidP="00A53AE8">
      <w:pPr>
        <w:pStyle w:val="Figuretitle"/>
      </w:pPr>
      <w:r>
        <w:t>Figure C2</w:t>
      </w:r>
      <w:r w:rsidR="006C5543">
        <w:t>0</w:t>
      </w:r>
      <w:r w:rsidR="00906389">
        <w:t>:</w:t>
      </w:r>
      <w:r>
        <w:t xml:space="preserve"> </w:t>
      </w:r>
      <w:r w:rsidR="00A26C54">
        <w:t xml:space="preserve"> </w:t>
      </w:r>
      <w:r>
        <w:t>Coal seam gas (black coal) scale impact assessment for aquifers in the Otway region</w:t>
      </w:r>
      <w:r w:rsidR="00A26C54">
        <w:t>.</w:t>
      </w:r>
    </w:p>
    <w:p w14:paraId="3A5A17E1" w14:textId="4F78B05C" w:rsidR="00812D88" w:rsidRDefault="00812D88" w:rsidP="00A53AE8">
      <w:pPr>
        <w:pStyle w:val="Figuretitle"/>
      </w:pPr>
      <w:r>
        <w:rPr>
          <w:lang w:val="en-AU" w:eastAsia="en-AU"/>
        </w:rPr>
        <w:drawing>
          <wp:inline distT="0" distB="0" distL="0" distR="0" wp14:anchorId="6412A59E" wp14:editId="320DEFDD">
            <wp:extent cx="13962580" cy="8496886"/>
            <wp:effectExtent l="0" t="0" r="1270" b="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screen">
                      <a:extLst>
                        <a:ext uri="{28A0092B-C50C-407E-A947-70E740481C1C}">
                          <a14:useLocalDpi xmlns:a14="http://schemas.microsoft.com/office/drawing/2010/main"/>
                        </a:ext>
                      </a:extLst>
                    </a:blip>
                    <a:stretch>
                      <a:fillRect/>
                    </a:stretch>
                  </pic:blipFill>
                  <pic:spPr>
                    <a:xfrm>
                      <a:off x="0" y="0"/>
                      <a:ext cx="13968616" cy="8500559"/>
                    </a:xfrm>
                    <a:prstGeom prst="rect">
                      <a:avLst/>
                    </a:prstGeom>
                  </pic:spPr>
                </pic:pic>
              </a:graphicData>
            </a:graphic>
          </wp:inline>
        </w:drawing>
      </w:r>
    </w:p>
    <w:p w14:paraId="79C467F3" w14:textId="7C657F26" w:rsidR="00571D72" w:rsidRDefault="00571D72" w:rsidP="00A53AE8">
      <w:pPr>
        <w:pStyle w:val="Figuretitle"/>
      </w:pPr>
      <w:r>
        <w:t>Figure C2</w:t>
      </w:r>
      <w:r w:rsidR="006C5543">
        <w:t>1</w:t>
      </w:r>
      <w:r w:rsidR="00906389">
        <w:t xml:space="preserve">: </w:t>
      </w:r>
      <w:r w:rsidR="00A26C54">
        <w:t xml:space="preserve"> </w:t>
      </w:r>
      <w:r>
        <w:t>Coal seam gas (black c</w:t>
      </w:r>
      <w:r w:rsidR="000616C1">
        <w:t>oal) scale watertable drawdown in</w:t>
      </w:r>
      <w:r>
        <w:t xml:space="preserve"> the Otway region</w:t>
      </w:r>
      <w:r w:rsidR="00A26C54">
        <w:t>.</w:t>
      </w:r>
    </w:p>
    <w:p w14:paraId="18733FEC" w14:textId="417D2A52" w:rsidR="00812D88" w:rsidRDefault="003140DF" w:rsidP="00A53AE8">
      <w:pPr>
        <w:pStyle w:val="Figuretitle"/>
      </w:pPr>
      <w:r>
        <w:rPr>
          <w:lang w:val="en-AU" w:eastAsia="en-AU"/>
        </w:rPr>
        <w:drawing>
          <wp:inline distT="0" distB="0" distL="0" distR="0" wp14:anchorId="79CD549E" wp14:editId="5BB7BBEA">
            <wp:extent cx="13772271" cy="8319276"/>
            <wp:effectExtent l="0" t="0" r="1270" b="5715"/>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screen">
                      <a:extLst>
                        <a:ext uri="{28A0092B-C50C-407E-A947-70E740481C1C}">
                          <a14:useLocalDpi xmlns:a14="http://schemas.microsoft.com/office/drawing/2010/main"/>
                        </a:ext>
                      </a:extLst>
                    </a:blip>
                    <a:stretch>
                      <a:fillRect/>
                    </a:stretch>
                  </pic:blipFill>
                  <pic:spPr>
                    <a:xfrm>
                      <a:off x="0" y="0"/>
                      <a:ext cx="13783896" cy="8326298"/>
                    </a:xfrm>
                    <a:prstGeom prst="rect">
                      <a:avLst/>
                    </a:prstGeom>
                  </pic:spPr>
                </pic:pic>
              </a:graphicData>
            </a:graphic>
          </wp:inline>
        </w:drawing>
      </w:r>
    </w:p>
    <w:p w14:paraId="091DF068" w14:textId="1255C3E0" w:rsidR="00571D72" w:rsidRDefault="00571D72" w:rsidP="00A53AE8">
      <w:pPr>
        <w:pStyle w:val="Figuretitle"/>
      </w:pPr>
      <w:r>
        <w:t>Figure C2</w:t>
      </w:r>
      <w:r w:rsidR="006C5543">
        <w:t>2</w:t>
      </w:r>
      <w:r w:rsidR="00906389">
        <w:t xml:space="preserve">: </w:t>
      </w:r>
      <w:r w:rsidR="00A26C54">
        <w:t xml:space="preserve"> </w:t>
      </w:r>
      <w:r>
        <w:t>Coal seam gas (black coal) scale impact assessment for surface water users in the Otway region</w:t>
      </w:r>
      <w:r w:rsidR="00A26C54">
        <w:t>.</w:t>
      </w:r>
    </w:p>
    <w:p w14:paraId="0AA582BB" w14:textId="73BFC8A5" w:rsidR="003140DF" w:rsidRDefault="003140DF" w:rsidP="00F5693C">
      <w:pPr>
        <w:pStyle w:val="Figuretitle"/>
        <w:jc w:val="center"/>
      </w:pPr>
      <w:r>
        <w:rPr>
          <w:lang w:val="en-AU" w:eastAsia="en-AU"/>
        </w:rPr>
        <w:drawing>
          <wp:inline distT="0" distB="0" distL="0" distR="0" wp14:anchorId="1F815B67" wp14:editId="32B0D68D">
            <wp:extent cx="13699469" cy="8257736"/>
            <wp:effectExtent l="0" t="0" r="0" b="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screen">
                      <a:extLst>
                        <a:ext uri="{28A0092B-C50C-407E-A947-70E740481C1C}">
                          <a14:useLocalDpi xmlns:a14="http://schemas.microsoft.com/office/drawing/2010/main"/>
                        </a:ext>
                      </a:extLst>
                    </a:blip>
                    <a:stretch>
                      <a:fillRect/>
                    </a:stretch>
                  </pic:blipFill>
                  <pic:spPr>
                    <a:xfrm>
                      <a:off x="0" y="0"/>
                      <a:ext cx="13703214" cy="8259993"/>
                    </a:xfrm>
                    <a:prstGeom prst="rect">
                      <a:avLst/>
                    </a:prstGeom>
                  </pic:spPr>
                </pic:pic>
              </a:graphicData>
            </a:graphic>
          </wp:inline>
        </w:drawing>
      </w:r>
    </w:p>
    <w:p w14:paraId="597BF4E4" w14:textId="7F481507" w:rsidR="00571D72" w:rsidRDefault="00571D72" w:rsidP="00A53AE8">
      <w:pPr>
        <w:pStyle w:val="Figuretitle"/>
      </w:pPr>
      <w:r>
        <w:t>Figure C2</w:t>
      </w:r>
      <w:r w:rsidR="00906389">
        <w:t xml:space="preserve">3: </w:t>
      </w:r>
      <w:r>
        <w:t xml:space="preserve"> Coal seam gas (black coal) scale impact assessment for surface water ecosystems in the Otway region</w:t>
      </w:r>
      <w:r w:rsidR="00A26C54">
        <w:t>.</w:t>
      </w:r>
    </w:p>
    <w:p w14:paraId="15780227" w14:textId="4B5A98F2" w:rsidR="00A30E5C" w:rsidRDefault="00A30E5C" w:rsidP="00F5693C">
      <w:pPr>
        <w:pStyle w:val="Figuretitle"/>
        <w:jc w:val="center"/>
      </w:pPr>
      <w:r>
        <w:rPr>
          <w:lang w:val="en-AU" w:eastAsia="en-AU"/>
        </w:rPr>
        <w:drawing>
          <wp:inline distT="0" distB="0" distL="0" distR="0" wp14:anchorId="6DAA6B54" wp14:editId="4523B132">
            <wp:extent cx="13937270" cy="8454683"/>
            <wp:effectExtent l="0" t="0" r="7620" b="381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screen">
                      <a:extLst>
                        <a:ext uri="{28A0092B-C50C-407E-A947-70E740481C1C}">
                          <a14:useLocalDpi xmlns:a14="http://schemas.microsoft.com/office/drawing/2010/main"/>
                        </a:ext>
                      </a:extLst>
                    </a:blip>
                    <a:stretch>
                      <a:fillRect/>
                    </a:stretch>
                  </pic:blipFill>
                  <pic:spPr>
                    <a:xfrm>
                      <a:off x="0" y="0"/>
                      <a:ext cx="13953524" cy="8464543"/>
                    </a:xfrm>
                    <a:prstGeom prst="rect">
                      <a:avLst/>
                    </a:prstGeom>
                  </pic:spPr>
                </pic:pic>
              </a:graphicData>
            </a:graphic>
          </wp:inline>
        </w:drawing>
      </w:r>
    </w:p>
    <w:p w14:paraId="58852F72" w14:textId="58A0B910" w:rsidR="00571D72" w:rsidRDefault="00571D72" w:rsidP="00A53AE8">
      <w:pPr>
        <w:pStyle w:val="Figuretitle"/>
      </w:pPr>
      <w:r>
        <w:t>Figure C2</w:t>
      </w:r>
      <w:r w:rsidR="006C5543">
        <w:t>4</w:t>
      </w:r>
      <w:r w:rsidR="00906389">
        <w:t xml:space="preserve">: </w:t>
      </w:r>
      <w:r w:rsidR="00A26C54">
        <w:t xml:space="preserve"> </w:t>
      </w:r>
      <w:r>
        <w:t>Conventional gas scale drawdown for aquifers in the Otway region</w:t>
      </w:r>
      <w:r w:rsidR="00A26C54">
        <w:t>.</w:t>
      </w:r>
    </w:p>
    <w:p w14:paraId="38406533" w14:textId="2B1B8D82" w:rsidR="00A30E5C" w:rsidRDefault="00A30E5C" w:rsidP="00F5693C">
      <w:pPr>
        <w:pStyle w:val="Figuretitle"/>
        <w:jc w:val="center"/>
      </w:pPr>
      <w:r>
        <w:rPr>
          <w:lang w:val="en-AU" w:eastAsia="en-AU"/>
        </w:rPr>
        <w:drawing>
          <wp:inline distT="0" distB="0" distL="0" distR="0" wp14:anchorId="5B108EF7" wp14:editId="05519A11">
            <wp:extent cx="13878734" cy="8398413"/>
            <wp:effectExtent l="0" t="0" r="0" b="3175"/>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cstate="screen">
                      <a:extLst>
                        <a:ext uri="{28A0092B-C50C-407E-A947-70E740481C1C}">
                          <a14:useLocalDpi xmlns:a14="http://schemas.microsoft.com/office/drawing/2010/main"/>
                        </a:ext>
                      </a:extLst>
                    </a:blip>
                    <a:stretch>
                      <a:fillRect/>
                    </a:stretch>
                  </pic:blipFill>
                  <pic:spPr>
                    <a:xfrm>
                      <a:off x="0" y="0"/>
                      <a:ext cx="13862328" cy="8388485"/>
                    </a:xfrm>
                    <a:prstGeom prst="rect">
                      <a:avLst/>
                    </a:prstGeom>
                  </pic:spPr>
                </pic:pic>
              </a:graphicData>
            </a:graphic>
          </wp:inline>
        </w:drawing>
      </w:r>
    </w:p>
    <w:p w14:paraId="54641941" w14:textId="78C19CFC" w:rsidR="00571D72" w:rsidRDefault="00571D72" w:rsidP="00A53AE8">
      <w:pPr>
        <w:pStyle w:val="Figuretitle"/>
      </w:pPr>
      <w:r>
        <w:t>Figure C2</w:t>
      </w:r>
      <w:r w:rsidR="006C5543">
        <w:t>5</w:t>
      </w:r>
      <w:r w:rsidR="00906389">
        <w:t xml:space="preserve">: </w:t>
      </w:r>
      <w:r w:rsidR="00A26C54">
        <w:t xml:space="preserve"> </w:t>
      </w:r>
      <w:r>
        <w:t>Conventional gas scale impact assessment for aquifers in the Otway region</w:t>
      </w:r>
      <w:r w:rsidR="00A26C54">
        <w:t>.</w:t>
      </w:r>
    </w:p>
    <w:p w14:paraId="42963AB1" w14:textId="0AFF2326" w:rsidR="00A30E5C" w:rsidRDefault="00A30E5C" w:rsidP="00F5693C">
      <w:pPr>
        <w:pStyle w:val="Figuretitle"/>
        <w:jc w:val="center"/>
      </w:pPr>
      <w:r>
        <w:rPr>
          <w:lang w:val="en-AU" w:eastAsia="en-AU"/>
        </w:rPr>
        <w:drawing>
          <wp:inline distT="0" distB="0" distL="0" distR="0" wp14:anchorId="78F4300F" wp14:editId="26903BEB">
            <wp:extent cx="13397023" cy="8441841"/>
            <wp:effectExtent l="0" t="0" r="0"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cstate="screen">
                      <a:extLst>
                        <a:ext uri="{28A0092B-C50C-407E-A947-70E740481C1C}">
                          <a14:useLocalDpi xmlns:a14="http://schemas.microsoft.com/office/drawing/2010/main"/>
                        </a:ext>
                      </a:extLst>
                    </a:blip>
                    <a:stretch>
                      <a:fillRect/>
                    </a:stretch>
                  </pic:blipFill>
                  <pic:spPr>
                    <a:xfrm>
                      <a:off x="0" y="0"/>
                      <a:ext cx="13414593" cy="8452912"/>
                    </a:xfrm>
                    <a:prstGeom prst="rect">
                      <a:avLst/>
                    </a:prstGeom>
                  </pic:spPr>
                </pic:pic>
              </a:graphicData>
            </a:graphic>
          </wp:inline>
        </w:drawing>
      </w:r>
    </w:p>
    <w:p w14:paraId="185660AF" w14:textId="270169DA" w:rsidR="00A30E5C" w:rsidRDefault="00906389" w:rsidP="00A53AE8">
      <w:pPr>
        <w:pStyle w:val="Figuretitle"/>
      </w:pPr>
      <w:r>
        <w:t xml:space="preserve">Figure C26: </w:t>
      </w:r>
      <w:r w:rsidR="00A26C54">
        <w:t xml:space="preserve"> </w:t>
      </w:r>
      <w:r w:rsidR="00A30E5C">
        <w:t>Conventional</w:t>
      </w:r>
      <w:r w:rsidR="000616C1">
        <w:t xml:space="preserve"> gas scale watertable drawdown in</w:t>
      </w:r>
      <w:r w:rsidR="00A30E5C">
        <w:t xml:space="preserve"> the Otway region</w:t>
      </w:r>
      <w:r w:rsidR="00A26C54">
        <w:t>.</w:t>
      </w:r>
    </w:p>
    <w:p w14:paraId="2EFDD020" w14:textId="78AEFA22" w:rsidR="00A30E5C" w:rsidRDefault="00A30E5C" w:rsidP="00F5693C">
      <w:pPr>
        <w:pStyle w:val="Figuretitle"/>
        <w:jc w:val="center"/>
      </w:pPr>
      <w:r>
        <w:rPr>
          <w:lang w:val="en-AU" w:eastAsia="en-AU"/>
        </w:rPr>
        <w:drawing>
          <wp:inline distT="0" distB="0" distL="0" distR="0" wp14:anchorId="6BBED08D" wp14:editId="065773A0">
            <wp:extent cx="13687865" cy="8304849"/>
            <wp:effectExtent l="0" t="0" r="0" b="127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cstate="screen">
                      <a:extLst>
                        <a:ext uri="{28A0092B-C50C-407E-A947-70E740481C1C}">
                          <a14:useLocalDpi xmlns:a14="http://schemas.microsoft.com/office/drawing/2010/main"/>
                        </a:ext>
                      </a:extLst>
                    </a:blip>
                    <a:stretch>
                      <a:fillRect/>
                    </a:stretch>
                  </pic:blipFill>
                  <pic:spPr>
                    <a:xfrm>
                      <a:off x="0" y="0"/>
                      <a:ext cx="13706242" cy="8315999"/>
                    </a:xfrm>
                    <a:prstGeom prst="rect">
                      <a:avLst/>
                    </a:prstGeom>
                  </pic:spPr>
                </pic:pic>
              </a:graphicData>
            </a:graphic>
          </wp:inline>
        </w:drawing>
      </w:r>
    </w:p>
    <w:p w14:paraId="5AB54E7D" w14:textId="38BD4914" w:rsidR="00571D72" w:rsidRDefault="00571D72" w:rsidP="00A53AE8">
      <w:pPr>
        <w:pStyle w:val="Figuretitle"/>
      </w:pPr>
      <w:r>
        <w:t>Figure C2</w:t>
      </w:r>
      <w:r w:rsidR="00A30E5C">
        <w:t>7</w:t>
      </w:r>
      <w:r w:rsidR="00906389">
        <w:t>:</w:t>
      </w:r>
      <w:r>
        <w:t xml:space="preserve"> </w:t>
      </w:r>
      <w:r w:rsidR="00A26C54">
        <w:t xml:space="preserve"> </w:t>
      </w:r>
      <w:r>
        <w:t>Conventional gas scale impact assessment for surface water users in the Otway region</w:t>
      </w:r>
      <w:r w:rsidR="00A26C54">
        <w:t>.</w:t>
      </w:r>
    </w:p>
    <w:p w14:paraId="2C8F0223" w14:textId="185594A5" w:rsidR="00A30E5C" w:rsidRDefault="00A30E5C" w:rsidP="00F5693C">
      <w:pPr>
        <w:pStyle w:val="Figuretitle"/>
        <w:jc w:val="center"/>
      </w:pPr>
      <w:r>
        <w:rPr>
          <w:lang w:val="en-AU" w:eastAsia="en-AU"/>
        </w:rPr>
        <w:drawing>
          <wp:inline distT="0" distB="0" distL="0" distR="0" wp14:anchorId="2634437A" wp14:editId="63FB7F04">
            <wp:extent cx="13407656" cy="8422759"/>
            <wp:effectExtent l="0" t="0" r="3810" b="0"/>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cstate="screen">
                      <a:extLst>
                        <a:ext uri="{28A0092B-C50C-407E-A947-70E740481C1C}">
                          <a14:useLocalDpi xmlns:a14="http://schemas.microsoft.com/office/drawing/2010/main"/>
                        </a:ext>
                      </a:extLst>
                    </a:blip>
                    <a:stretch>
                      <a:fillRect/>
                    </a:stretch>
                  </pic:blipFill>
                  <pic:spPr>
                    <a:xfrm>
                      <a:off x="0" y="0"/>
                      <a:ext cx="13432000" cy="8438052"/>
                    </a:xfrm>
                    <a:prstGeom prst="rect">
                      <a:avLst/>
                    </a:prstGeom>
                  </pic:spPr>
                </pic:pic>
              </a:graphicData>
            </a:graphic>
          </wp:inline>
        </w:drawing>
      </w:r>
    </w:p>
    <w:p w14:paraId="25476F41" w14:textId="062DF65B" w:rsidR="00E52D1A" w:rsidRPr="00642A5D" w:rsidRDefault="00E27EE6" w:rsidP="00A53AE8">
      <w:pPr>
        <w:pStyle w:val="Figuretitle"/>
        <w:sectPr w:rsidR="00E52D1A" w:rsidRPr="00642A5D" w:rsidSect="00CF4178">
          <w:pgSz w:w="23814" w:h="16839" w:orient="landscape" w:code="8"/>
          <w:pgMar w:top="1701" w:right="1134" w:bottom="1276" w:left="1134" w:header="567" w:footer="567" w:gutter="0"/>
          <w:cols w:space="708"/>
          <w:titlePg/>
          <w:docGrid w:linePitch="360"/>
        </w:sectPr>
      </w:pPr>
      <w:r>
        <w:t>Figure C</w:t>
      </w:r>
      <w:r w:rsidR="00A30E5C">
        <w:t>28</w:t>
      </w:r>
      <w:r w:rsidR="00906389">
        <w:t xml:space="preserve">: </w:t>
      </w:r>
      <w:r w:rsidR="00A26C54">
        <w:t xml:space="preserve"> </w:t>
      </w:r>
      <w:r>
        <w:t>Conventional gas scale impact assessment for surface water ecosystems in the Otway region</w:t>
      </w:r>
      <w:r w:rsidR="00A26C54">
        <w:t>.</w:t>
      </w:r>
      <w:r w:rsidR="00E52D1A">
        <w:t>.</w:t>
      </w:r>
    </w:p>
    <w:p w14:paraId="16933E8D" w14:textId="77777777" w:rsidR="00D238EC" w:rsidRPr="00642A5D" w:rsidRDefault="00D238EC" w:rsidP="00A26C54"/>
    <w:p w14:paraId="29D35BF9" w14:textId="77777777" w:rsidR="00D238EC" w:rsidRPr="00642A5D" w:rsidRDefault="00D238EC"/>
    <w:p w14:paraId="2C7C3481" w14:textId="77777777" w:rsidR="00D238EC" w:rsidRPr="00642A5D" w:rsidRDefault="00D238EC"/>
    <w:p w14:paraId="33F6F28F" w14:textId="77777777" w:rsidR="00D238EC" w:rsidRPr="00642A5D" w:rsidRDefault="00D238EC"/>
    <w:p w14:paraId="23C42C8C" w14:textId="77777777" w:rsidR="00D238EC" w:rsidRPr="00642A5D" w:rsidRDefault="00D238EC"/>
    <w:p w14:paraId="37EDAD1C" w14:textId="77777777" w:rsidR="00D238EC" w:rsidRPr="00642A5D" w:rsidRDefault="00D238EC"/>
    <w:p w14:paraId="3416D221" w14:textId="77777777" w:rsidR="00D238EC" w:rsidRPr="00642A5D" w:rsidRDefault="00D238EC"/>
    <w:p w14:paraId="6A881659" w14:textId="77777777" w:rsidR="00640762" w:rsidRPr="00642A5D" w:rsidRDefault="00640762"/>
    <w:p w14:paraId="01CE56C9" w14:textId="5CEAB2B3" w:rsidR="00640762" w:rsidRPr="00642A5D" w:rsidRDefault="00640762"/>
    <w:p w14:paraId="63E4198F" w14:textId="77777777" w:rsidR="00640762" w:rsidRPr="00642A5D" w:rsidRDefault="00640762"/>
    <w:p w14:paraId="40B57A2A" w14:textId="77777777" w:rsidR="00D238EC" w:rsidRPr="00642A5D" w:rsidRDefault="00D238EC"/>
    <w:p w14:paraId="00988AEB" w14:textId="77777777" w:rsidR="005C3BF8" w:rsidRDefault="005C3BF8"/>
    <w:p w14:paraId="0D1C675E" w14:textId="2D85C689" w:rsidR="00E86EEC" w:rsidRDefault="005C3BF8">
      <w:r>
        <w:br/>
      </w:r>
    </w:p>
    <w:p w14:paraId="001E51C9" w14:textId="77777777" w:rsidR="005C3BF8" w:rsidRDefault="005C3BF8"/>
    <w:p w14:paraId="26344198" w14:textId="77777777" w:rsidR="005C3BF8" w:rsidRDefault="005C3BF8"/>
    <w:p w14:paraId="3DC53930" w14:textId="77777777" w:rsidR="005C3BF8" w:rsidRDefault="005C3BF8"/>
    <w:p w14:paraId="522FCDEA" w14:textId="77777777" w:rsidR="005C3BF8" w:rsidRDefault="005C3BF8"/>
    <w:p w14:paraId="665BB14E" w14:textId="77777777" w:rsidR="00900DFF" w:rsidRDefault="00900DFF"/>
    <w:p w14:paraId="66ADD8AC" w14:textId="77777777" w:rsidR="00900DFF" w:rsidRDefault="00900DFF"/>
    <w:p w14:paraId="5FBADB88" w14:textId="77777777" w:rsidR="00900DFF" w:rsidRDefault="00900DFF"/>
    <w:p w14:paraId="1E84E8D2" w14:textId="77777777" w:rsidR="00900DFF" w:rsidRDefault="00900DFF"/>
    <w:p w14:paraId="6BE46FCB" w14:textId="77777777" w:rsidR="00900DFF" w:rsidRDefault="00900DFF"/>
    <w:p w14:paraId="35A19EBB" w14:textId="77777777" w:rsidR="00900DFF" w:rsidRDefault="00900DFF"/>
    <w:p w14:paraId="145339A3" w14:textId="77777777" w:rsidR="00900DFF" w:rsidRDefault="00900DFF"/>
    <w:p w14:paraId="57D6E38D" w14:textId="77777777" w:rsidR="00900DFF" w:rsidRDefault="00900DFF"/>
    <w:p w14:paraId="0EFB5DEE" w14:textId="77777777" w:rsidR="005C3BF8" w:rsidRDefault="005C3BF8"/>
    <w:p w14:paraId="5C4F37B8" w14:textId="77777777" w:rsidR="005C3BF8" w:rsidRDefault="005C3BF8"/>
    <w:p w14:paraId="32F5CBDD" w14:textId="77777777" w:rsidR="00900DFF" w:rsidRPr="003B3310" w:rsidRDefault="00900DFF" w:rsidP="00900DFF">
      <w:pPr>
        <w:autoSpaceDE w:val="0"/>
        <w:autoSpaceDN w:val="0"/>
        <w:adjustRightInd w:val="0"/>
        <w:spacing w:after="320" w:line="240" w:lineRule="auto"/>
        <w:rPr>
          <w:rFonts w:cstheme="minorHAnsi"/>
          <w:color w:val="000000"/>
          <w:sz w:val="16"/>
          <w:szCs w:val="16"/>
        </w:rPr>
      </w:pPr>
      <w:r w:rsidRPr="003B3310">
        <w:rPr>
          <w:rFonts w:cstheme="minorHAnsi"/>
          <w:noProof/>
          <w:color w:val="000000"/>
          <w:sz w:val="16"/>
          <w:szCs w:val="16"/>
          <w:lang w:val="en-AU"/>
        </w:rPr>
        <w:drawing>
          <wp:anchor distT="0" distB="0" distL="144145" distR="144145" simplePos="0" relativeHeight="251663872" behindDoc="1" locked="0" layoutInCell="1" allowOverlap="1" wp14:anchorId="61A30410" wp14:editId="45DFCABB">
            <wp:simplePos x="0" y="0"/>
            <wp:positionH relativeFrom="column">
              <wp:posOffset>-635</wp:posOffset>
            </wp:positionH>
            <wp:positionV relativeFrom="paragraph">
              <wp:posOffset>180975</wp:posOffset>
            </wp:positionV>
            <wp:extent cx="809625" cy="282575"/>
            <wp:effectExtent l="0" t="0" r="9525" b="3175"/>
            <wp:wrapTight wrapText="bothSides">
              <wp:wrapPolygon edited="0">
                <wp:start x="0" y="0"/>
                <wp:lineTo x="0" y="20387"/>
                <wp:lineTo x="21346" y="20387"/>
                <wp:lineTo x="2134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png"/>
                    <pic:cNvPicPr/>
                  </pic:nvPicPr>
                  <pic:blipFill>
                    <a:blip r:embed="rId282" cstate="screen">
                      <a:extLst>
                        <a:ext uri="{28A0092B-C50C-407E-A947-70E740481C1C}">
                          <a14:useLocalDpi xmlns:a14="http://schemas.microsoft.com/office/drawing/2010/main"/>
                        </a:ext>
                      </a:extLst>
                    </a:blip>
                    <a:stretch>
                      <a:fillRect/>
                    </a:stretch>
                  </pic:blipFill>
                  <pic:spPr>
                    <a:xfrm>
                      <a:off x="0" y="0"/>
                      <a:ext cx="809625" cy="282575"/>
                    </a:xfrm>
                    <a:prstGeom prst="rect">
                      <a:avLst/>
                    </a:prstGeom>
                  </pic:spPr>
                </pic:pic>
              </a:graphicData>
            </a:graphic>
            <wp14:sizeRelH relativeFrom="page">
              <wp14:pctWidth>0</wp14:pctWidth>
            </wp14:sizeRelH>
            <wp14:sizeRelV relativeFrom="page">
              <wp14:pctHeight>0</wp14:pctHeight>
            </wp14:sizeRelV>
          </wp:anchor>
        </w:drawing>
      </w:r>
      <w:r w:rsidRPr="003B3310">
        <w:rPr>
          <w:rFonts w:cstheme="minorHAnsi"/>
          <w:color w:val="000000"/>
          <w:sz w:val="16"/>
          <w:szCs w:val="16"/>
        </w:rPr>
        <w:t>© The State of Victoria Department of Environment, Land, Water &amp; Planning 2015</w:t>
      </w:r>
    </w:p>
    <w:p w14:paraId="1A9AAC30" w14:textId="77777777" w:rsidR="00900DFF" w:rsidRPr="003B3310" w:rsidRDefault="00900DFF" w:rsidP="00900DFF">
      <w:pPr>
        <w:autoSpaceDE w:val="0"/>
        <w:autoSpaceDN w:val="0"/>
        <w:adjustRightInd w:val="0"/>
        <w:spacing w:after="120" w:line="240" w:lineRule="auto"/>
        <w:rPr>
          <w:rFonts w:cstheme="minorHAnsi"/>
          <w:color w:val="000000"/>
          <w:sz w:val="16"/>
          <w:szCs w:val="16"/>
        </w:rPr>
      </w:pPr>
    </w:p>
    <w:p w14:paraId="3ACC6B2E" w14:textId="77777777" w:rsidR="00900DFF" w:rsidRPr="003B3310" w:rsidRDefault="00900DFF" w:rsidP="00900DFF">
      <w:pPr>
        <w:autoSpaceDE w:val="0"/>
        <w:autoSpaceDN w:val="0"/>
        <w:adjustRightInd w:val="0"/>
        <w:spacing w:after="0" w:line="240" w:lineRule="auto"/>
        <w:rPr>
          <w:rFonts w:ascii="Calibri" w:hAnsi="Calibri" w:cs="Calibri"/>
          <w:color w:val="000000"/>
          <w:sz w:val="16"/>
          <w:szCs w:val="16"/>
        </w:rPr>
      </w:pPr>
      <w:r w:rsidRPr="003B3310">
        <w:rPr>
          <w:rFonts w:ascii="Calibri" w:hAnsi="Calibri" w:cs="Calibri"/>
          <w:color w:val="000000"/>
          <w:sz w:val="16"/>
          <w:szCs w:val="16"/>
        </w:rPr>
        <w:t xml:space="preserve">This work is licensed under a </w:t>
      </w:r>
      <w:hyperlink r:id="rId283" w:history="1">
        <w:r w:rsidRPr="003B3310">
          <w:rPr>
            <w:rFonts w:ascii="Calibri" w:hAnsi="Calibri" w:cs="Calibri"/>
            <w:color w:val="0000FF"/>
            <w:sz w:val="16"/>
            <w:szCs w:val="16"/>
            <w:u w:val="single"/>
          </w:rPr>
          <w:t>Creative Commons Attribution 4.0 International licence</w:t>
        </w:r>
      </w:hyperlink>
      <w:r w:rsidRPr="003B3310">
        <w:rPr>
          <w:rFonts w:ascii="Calibri" w:hAnsi="Calibri" w:cs="Calibri"/>
          <w:color w:val="000000"/>
          <w:sz w:val="16"/>
          <w:szCs w:val="16"/>
        </w:rPr>
        <w:t xml:space="preserv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284" w:history="1">
        <w:r w:rsidRPr="003B3310">
          <w:rPr>
            <w:rFonts w:ascii="Calibri" w:hAnsi="Calibri" w:cs="Calibri"/>
            <w:color w:val="0000FF"/>
            <w:sz w:val="16"/>
            <w:szCs w:val="16"/>
            <w:u w:val="single"/>
          </w:rPr>
          <w:t>http://creativecommons.org/licenses/by/4.0/</w:t>
        </w:r>
      </w:hyperlink>
    </w:p>
    <w:p w14:paraId="4F3890F6" w14:textId="77777777" w:rsidR="00900DFF" w:rsidRPr="003B3310" w:rsidRDefault="00900DFF" w:rsidP="00900DFF">
      <w:pPr>
        <w:autoSpaceDE w:val="0"/>
        <w:autoSpaceDN w:val="0"/>
        <w:adjustRightInd w:val="0"/>
        <w:spacing w:after="0" w:line="240" w:lineRule="auto"/>
        <w:rPr>
          <w:rFonts w:ascii="Calibri" w:hAnsi="Calibri" w:cs="Calibri"/>
          <w:color w:val="000000"/>
          <w:sz w:val="16"/>
          <w:szCs w:val="16"/>
        </w:rPr>
      </w:pPr>
    </w:p>
    <w:p w14:paraId="481E119F" w14:textId="7E6427BF" w:rsidR="00900DFF" w:rsidRPr="001B0711" w:rsidRDefault="00900DFF" w:rsidP="00900DFF">
      <w:pPr>
        <w:autoSpaceDE w:val="0"/>
        <w:autoSpaceDN w:val="0"/>
        <w:adjustRightInd w:val="0"/>
        <w:spacing w:after="0" w:line="240" w:lineRule="auto"/>
        <w:rPr>
          <w:rFonts w:cstheme="minorHAnsi"/>
          <w:sz w:val="16"/>
          <w:szCs w:val="16"/>
        </w:rPr>
      </w:pPr>
      <w:r w:rsidRPr="00900DFF">
        <w:rPr>
          <w:rFonts w:cstheme="minorHAnsi"/>
          <w:sz w:val="16"/>
          <w:szCs w:val="16"/>
        </w:rPr>
        <w:t>ISBN 978-1-74146-621-8 (pdf)</w:t>
      </w:r>
    </w:p>
    <w:p w14:paraId="4496DBF3" w14:textId="77777777" w:rsidR="00900DFF" w:rsidRPr="003B3310" w:rsidRDefault="00900DFF" w:rsidP="00900DFF">
      <w:pPr>
        <w:autoSpaceDE w:val="0"/>
        <w:autoSpaceDN w:val="0"/>
        <w:adjustRightInd w:val="0"/>
        <w:spacing w:after="0" w:line="240" w:lineRule="auto"/>
        <w:rPr>
          <w:rFonts w:cstheme="minorHAnsi"/>
          <w:color w:val="FF0000"/>
          <w:sz w:val="16"/>
          <w:szCs w:val="16"/>
        </w:rPr>
      </w:pPr>
    </w:p>
    <w:p w14:paraId="6A80D549" w14:textId="77777777" w:rsidR="00900DFF" w:rsidRPr="003B3310" w:rsidRDefault="00900DFF" w:rsidP="00900DFF">
      <w:pPr>
        <w:autoSpaceDE w:val="0"/>
        <w:autoSpaceDN w:val="0"/>
        <w:adjustRightInd w:val="0"/>
        <w:spacing w:after="80" w:line="240" w:lineRule="auto"/>
        <w:rPr>
          <w:rFonts w:cstheme="minorHAnsi"/>
          <w:b/>
          <w:bCs/>
          <w:color w:val="000000"/>
          <w:sz w:val="16"/>
          <w:szCs w:val="16"/>
        </w:rPr>
      </w:pPr>
      <w:r w:rsidRPr="003B3310">
        <w:rPr>
          <w:rFonts w:cstheme="minorHAnsi"/>
          <w:b/>
          <w:bCs/>
          <w:color w:val="000000"/>
          <w:sz w:val="16"/>
          <w:szCs w:val="16"/>
        </w:rPr>
        <w:t xml:space="preserve">Accessibility </w:t>
      </w:r>
    </w:p>
    <w:p w14:paraId="6B8353D1" w14:textId="00A3B31B" w:rsidR="00900DFF" w:rsidRPr="003B3310" w:rsidRDefault="00900DFF" w:rsidP="00900DFF">
      <w:pPr>
        <w:autoSpaceDE w:val="0"/>
        <w:autoSpaceDN w:val="0"/>
        <w:adjustRightInd w:val="0"/>
        <w:spacing w:after="120" w:line="240" w:lineRule="auto"/>
        <w:rPr>
          <w:rFonts w:cstheme="minorHAnsi"/>
          <w:color w:val="000000"/>
          <w:sz w:val="16"/>
          <w:szCs w:val="16"/>
        </w:rPr>
      </w:pPr>
      <w:r w:rsidRPr="003B3310">
        <w:rPr>
          <w:rFonts w:cstheme="minorHAnsi"/>
          <w:color w:val="000000"/>
          <w:sz w:val="16"/>
          <w:szCs w:val="16"/>
        </w:rPr>
        <w:t xml:space="preserve">If you would like to receive this publication in an alternative format, please telephone the DELWP Customer Service  Centre on 136186, email </w:t>
      </w:r>
      <w:hyperlink r:id="rId285" w:history="1">
        <w:r w:rsidRPr="003B3310">
          <w:rPr>
            <w:rStyle w:val="Hyperlink"/>
            <w:rFonts w:cstheme="minorHAnsi"/>
            <w:sz w:val="16"/>
            <w:szCs w:val="16"/>
          </w:rPr>
          <w:t>customer.service@delwp.vic.gov.au</w:t>
        </w:r>
      </w:hyperlink>
      <w:r w:rsidRPr="003B3310">
        <w:rPr>
          <w:rFonts w:cstheme="minorHAnsi"/>
          <w:color w:val="000000"/>
          <w:sz w:val="16"/>
          <w:szCs w:val="16"/>
        </w:rPr>
        <w:t xml:space="preserve"> </w:t>
      </w:r>
      <w:r w:rsidRPr="003B3310">
        <w:rPr>
          <w:rFonts w:cstheme="minorHAnsi"/>
          <w:sz w:val="16"/>
          <w:szCs w:val="16"/>
        </w:rPr>
        <w:t xml:space="preserve">or </w:t>
      </w:r>
      <w:r w:rsidRPr="003B3310">
        <w:rPr>
          <w:rFonts w:cstheme="minorHAnsi"/>
          <w:color w:val="000000"/>
          <w:sz w:val="16"/>
          <w:szCs w:val="16"/>
        </w:rPr>
        <w:t xml:space="preserve">via the National Relay Service on 133 677  </w:t>
      </w:r>
      <w:hyperlink r:id="rId286" w:history="1">
        <w:r w:rsidRPr="003B3310">
          <w:rPr>
            <w:rFonts w:cstheme="minorHAnsi"/>
            <w:color w:val="0000FF"/>
            <w:sz w:val="16"/>
            <w:szCs w:val="16"/>
            <w:u w:val="single"/>
          </w:rPr>
          <w:t>www.relayservice.com.au</w:t>
        </w:r>
      </w:hyperlink>
      <w:r w:rsidRPr="003B3310">
        <w:rPr>
          <w:rFonts w:cstheme="minorHAnsi"/>
          <w:color w:val="000000"/>
          <w:sz w:val="16"/>
          <w:szCs w:val="16"/>
        </w:rPr>
        <w:t xml:space="preserve">. This document is also available on the internet at </w:t>
      </w:r>
      <w:hyperlink r:id="rId287" w:history="1">
        <w:r w:rsidR="00171A5E" w:rsidRPr="00171A5E">
          <w:rPr>
            <w:rFonts w:cstheme="minorHAnsi"/>
            <w:color w:val="0000FF"/>
            <w:sz w:val="16"/>
            <w:szCs w:val="16"/>
            <w:u w:val="single"/>
          </w:rPr>
          <w:t>www.onshoregas.vic.gov.au</w:t>
        </w:r>
      </w:hyperlink>
    </w:p>
    <w:p w14:paraId="28337442" w14:textId="77777777" w:rsidR="00900DFF" w:rsidRPr="003B3310" w:rsidRDefault="00900DFF" w:rsidP="00900DFF">
      <w:pPr>
        <w:autoSpaceDE w:val="0"/>
        <w:autoSpaceDN w:val="0"/>
        <w:adjustRightInd w:val="0"/>
        <w:spacing w:after="0" w:line="240" w:lineRule="auto"/>
        <w:rPr>
          <w:rFonts w:cstheme="minorHAnsi"/>
          <w:color w:val="000000"/>
          <w:sz w:val="16"/>
          <w:szCs w:val="16"/>
        </w:rPr>
      </w:pPr>
    </w:p>
    <w:p w14:paraId="58FFE111" w14:textId="77777777" w:rsidR="00900DFF" w:rsidRPr="003B3310" w:rsidRDefault="00900DFF" w:rsidP="00900DFF">
      <w:pPr>
        <w:autoSpaceDE w:val="0"/>
        <w:autoSpaceDN w:val="0"/>
        <w:adjustRightInd w:val="0"/>
        <w:spacing w:after="80" w:line="240" w:lineRule="auto"/>
        <w:rPr>
          <w:rFonts w:cstheme="minorHAnsi"/>
          <w:b/>
          <w:bCs/>
          <w:color w:val="000000"/>
          <w:sz w:val="16"/>
          <w:szCs w:val="16"/>
        </w:rPr>
      </w:pPr>
      <w:r w:rsidRPr="003B3310">
        <w:rPr>
          <w:rFonts w:cstheme="minorHAnsi"/>
          <w:b/>
          <w:bCs/>
          <w:color w:val="000000"/>
          <w:sz w:val="16"/>
          <w:szCs w:val="16"/>
        </w:rPr>
        <w:t>Disclaimer</w:t>
      </w:r>
    </w:p>
    <w:p w14:paraId="661979E3" w14:textId="6B6A21E3" w:rsidR="005C3BF8" w:rsidRDefault="00900DFF" w:rsidP="00900DFF">
      <w:r w:rsidRPr="003B3310">
        <w:rPr>
          <w:rFonts w:cstheme="minorHAnsi"/>
          <w:color w:val="000000"/>
          <w:sz w:val="16"/>
          <w:szCs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3D5CC3C" w14:textId="77777777" w:rsidR="005C3BF8" w:rsidRPr="00900DFF" w:rsidRDefault="005C3BF8">
      <w:pPr>
        <w:rPr>
          <w:sz w:val="16"/>
          <w:szCs w:val="16"/>
        </w:rPr>
      </w:pPr>
    </w:p>
    <w:sectPr w:rsidR="005C3BF8" w:rsidRPr="00900DFF" w:rsidSect="00CF4178">
      <w:headerReference w:type="first" r:id="rId288"/>
      <w:footerReference w:type="first" r:id="rId289"/>
      <w:pgSz w:w="11906" w:h="16838" w:code="9"/>
      <w:pgMar w:top="1701" w:right="1134" w:bottom="1276"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03AE7F" w14:textId="77777777" w:rsidR="00E839BD" w:rsidRDefault="00E839BD" w:rsidP="0060631A">
      <w:r>
        <w:separator/>
      </w:r>
    </w:p>
  </w:endnote>
  <w:endnote w:type="continuationSeparator" w:id="0">
    <w:p w14:paraId="0D6656E1" w14:textId="77777777" w:rsidR="00E839BD" w:rsidRDefault="00E839BD" w:rsidP="0060631A">
      <w:r>
        <w:continuationSeparator/>
      </w:r>
    </w:p>
  </w:endnote>
  <w:endnote w:type="continuationNotice" w:id="1">
    <w:p w14:paraId="1B411971" w14:textId="77777777" w:rsidR="00E839BD" w:rsidRDefault="00E839B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useo Sans 100">
    <w:altName w:val="Arial"/>
    <w:panose1 w:val="00000000000000000000"/>
    <w:charset w:val="00"/>
    <w:family w:val="modern"/>
    <w:notTrueType/>
    <w:pitch w:val="variable"/>
    <w:sig w:usb0="A00000AF" w:usb1="4000004A"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auto"/>
    <w:pitch w:val="variable"/>
    <w:sig w:usb0="00000007" w:usb1="00000000" w:usb2="00000000" w:usb3="00000000" w:csb0="00000011" w:csb1="00000000"/>
  </w:font>
  <w:font w:name="Helv">
    <w:panose1 w:val="020B0604020202030204"/>
    <w:charset w:val="00"/>
    <w:family w:val="swiss"/>
    <w:notTrueType/>
    <w:pitch w:val="variable"/>
    <w:sig w:usb0="00000003" w:usb1="00000000" w:usb2="00000000" w:usb3="00000000" w:csb0="00000001" w:csb1="00000000"/>
  </w:font>
  <w:font w:name="FranklinGothic-Book">
    <w:altName w:val="Franklin Gothic Book"/>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B35E7" w14:textId="02EA9455" w:rsidR="001E47D3" w:rsidRDefault="00856603" w:rsidP="00856603">
    <w:pPr>
      <w:pStyle w:val="Footer"/>
      <w:spacing w:before="0" w:after="0"/>
      <w:rPr>
        <w:rFonts w:cs="Arial"/>
        <w:color w:val="000000"/>
        <w:sz w:val="18"/>
      </w:rPr>
    </w:pPr>
    <w:bookmarkStart w:id="3" w:name="aliashAdvancedHeaderFoot1FooterEvenPages"/>
    <w:r>
      <w:rPr>
        <w:rFonts w:cs="Arial"/>
        <w:color w:val="000000"/>
        <w:sz w:val="18"/>
      </w:rPr>
      <w:t>UNCLASSIFIED</w:t>
    </w:r>
  </w:p>
  <w:bookmarkEnd w:id="3"/>
  <w:p w14:paraId="0BF126E3" w14:textId="77777777" w:rsidR="001E47D3" w:rsidRDefault="001E47D3" w:rsidP="009408B4">
    <w:pPr>
      <w:pStyle w:val="Footer"/>
      <w:spacing w:before="0" w:after="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60584" w14:textId="04282F37" w:rsidR="006B1FE1" w:rsidRDefault="00856603" w:rsidP="00856603">
    <w:pPr>
      <w:pStyle w:val="Footer"/>
      <w:spacing w:before="0" w:after="0"/>
      <w:rPr>
        <w:rFonts w:cs="Arial"/>
        <w:color w:val="000000"/>
        <w:sz w:val="18"/>
      </w:rPr>
    </w:pPr>
    <w:bookmarkStart w:id="1188" w:name="aliashAdvancedHeaderFoote20FooterPrimary"/>
    <w:r>
      <w:rPr>
        <w:rFonts w:cs="Arial"/>
        <w:color w:val="000000"/>
        <w:sz w:val="18"/>
      </w:rPr>
      <w:t>UNCLASSIFIED</w:t>
    </w:r>
  </w:p>
  <w:bookmarkEnd w:id="1188"/>
  <w:p w14:paraId="173954D7" w14:textId="19A5FA74" w:rsidR="001E47D3" w:rsidRPr="00E07803" w:rsidRDefault="001E47D3" w:rsidP="00DA3DFC">
    <w:pPr>
      <w:pStyle w:val="Footer"/>
      <w:spacing w:after="0"/>
    </w:pPr>
    <w:r>
      <w:t>Otway region assessment of potential impacts on water resources</w:t>
    </w:r>
  </w:p>
  <w:p w14:paraId="7AF85768" w14:textId="49FFED37" w:rsidR="001E47D3" w:rsidRDefault="001E47D3" w:rsidP="006A03C8">
    <w:pPr>
      <w:pStyle w:val="Footer"/>
      <w:spacing w:after="0"/>
    </w:pPr>
    <w:r w:rsidRPr="00DA3DFC">
      <w:rPr>
        <w:rStyle w:val="PageNumber"/>
        <w:noProof/>
        <w:color w:val="000000"/>
      </w:rPr>
      <w:fldChar w:fldCharType="begin"/>
    </w:r>
    <w:r w:rsidRPr="00DA3DFC">
      <w:rPr>
        <w:rStyle w:val="PageNumber"/>
        <w:noProof/>
        <w:color w:val="000000"/>
      </w:rPr>
      <w:instrText xml:space="preserve"> PAGE   \* MERGEFORMAT </w:instrText>
    </w:r>
    <w:r w:rsidRPr="00DA3DFC">
      <w:rPr>
        <w:rStyle w:val="PageNumber"/>
        <w:noProof/>
        <w:color w:val="000000"/>
      </w:rPr>
      <w:fldChar w:fldCharType="separate"/>
    </w:r>
    <w:r w:rsidR="00856603">
      <w:rPr>
        <w:rStyle w:val="PageNumber"/>
        <w:noProof/>
        <w:color w:val="000000"/>
      </w:rPr>
      <w:t>230</w:t>
    </w:r>
    <w:r w:rsidRPr="00DA3DFC">
      <w:rPr>
        <w:rStyle w:val="PageNumber"/>
        <w:color w:val="00000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08FB85" w14:textId="1ED90323" w:rsidR="006B1FE1" w:rsidRDefault="00856603" w:rsidP="00856603">
    <w:pPr>
      <w:pStyle w:val="Footer"/>
      <w:spacing w:before="0" w:after="0"/>
      <w:rPr>
        <w:rFonts w:cs="Arial"/>
        <w:color w:val="000000"/>
        <w:sz w:val="18"/>
      </w:rPr>
    </w:pPr>
    <w:bookmarkStart w:id="1190" w:name="aliashAdvancedHeaderFoo20FooterFirstPage"/>
    <w:r>
      <w:rPr>
        <w:rFonts w:cs="Arial"/>
        <w:color w:val="000000"/>
        <w:sz w:val="18"/>
      </w:rPr>
      <w:t>UNCLASSIFIED</w:t>
    </w:r>
  </w:p>
  <w:bookmarkEnd w:id="1190"/>
  <w:p w14:paraId="475ECD20" w14:textId="4C5E705A" w:rsidR="001E47D3" w:rsidRPr="00E07803" w:rsidRDefault="001E47D3" w:rsidP="006A03C8">
    <w:pPr>
      <w:pStyle w:val="Footer"/>
      <w:spacing w:after="0"/>
    </w:pPr>
    <w:r>
      <w:t xml:space="preserve">Otway region assessment of potential impacts on water resources </w:t>
    </w:r>
  </w:p>
  <w:p w14:paraId="3FDC7634" w14:textId="02C94128" w:rsidR="001E47D3" w:rsidRDefault="001E47D3" w:rsidP="006D7668">
    <w:pPr>
      <w:pStyle w:val="Footer"/>
      <w:spacing w:after="0"/>
    </w:pPr>
    <w:r w:rsidRPr="00DA3DFC">
      <w:rPr>
        <w:rStyle w:val="PageNumber"/>
        <w:noProof/>
        <w:color w:val="000000"/>
      </w:rPr>
      <w:fldChar w:fldCharType="begin"/>
    </w:r>
    <w:r w:rsidRPr="00DA3DFC">
      <w:rPr>
        <w:rStyle w:val="PageNumber"/>
        <w:noProof/>
        <w:color w:val="000000"/>
      </w:rPr>
      <w:instrText xml:space="preserve"> PAGE   \* MERGEFORMAT </w:instrText>
    </w:r>
    <w:r w:rsidRPr="00DA3DFC">
      <w:rPr>
        <w:rStyle w:val="PageNumber"/>
        <w:noProof/>
        <w:color w:val="000000"/>
      </w:rPr>
      <w:fldChar w:fldCharType="separate"/>
    </w:r>
    <w:r w:rsidR="00856603">
      <w:rPr>
        <w:rStyle w:val="PageNumber"/>
        <w:noProof/>
        <w:color w:val="000000"/>
      </w:rPr>
      <w:t>198</w:t>
    </w:r>
    <w:r w:rsidRPr="00DA3DFC">
      <w:rPr>
        <w:rStyle w:val="PageNumber"/>
        <w:color w:val="00000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BBA7B" w14:textId="3A946CC3" w:rsidR="001E47D3" w:rsidRDefault="00856603" w:rsidP="00856603">
    <w:pPr>
      <w:pStyle w:val="Footer"/>
      <w:spacing w:before="0" w:after="0"/>
      <w:rPr>
        <w:rStyle w:val="PageNumber"/>
        <w:rFonts w:cs="Arial"/>
        <w:color w:val="000000"/>
        <w:sz w:val="18"/>
      </w:rPr>
    </w:pPr>
    <w:bookmarkStart w:id="1217" w:name="aliashAdvancedHeaderFoo25FooterFirstPage"/>
    <w:r>
      <w:rPr>
        <w:rStyle w:val="PageNumber"/>
        <w:rFonts w:cs="Arial"/>
        <w:color w:val="000000"/>
        <w:sz w:val="18"/>
      </w:rPr>
      <w:t>UNCLASSIFIED</w:t>
    </w:r>
  </w:p>
  <w:bookmarkEnd w:id="1217"/>
  <w:p w14:paraId="1446A4EC" w14:textId="77777777" w:rsidR="006B1FE1" w:rsidRPr="007C766C" w:rsidRDefault="006B1FE1" w:rsidP="009408B4">
    <w:pPr>
      <w:pStyle w:val="Footer"/>
      <w:spacing w:before="0" w:after="0"/>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B6690" w14:textId="13F4A8C4" w:rsidR="001E47D3" w:rsidRDefault="00856603" w:rsidP="00856603">
    <w:pPr>
      <w:pStyle w:val="Footer"/>
      <w:spacing w:before="0" w:after="0"/>
      <w:rPr>
        <w:rFonts w:cs="Arial"/>
        <w:color w:val="000000"/>
        <w:sz w:val="18"/>
      </w:rPr>
    </w:pPr>
    <w:bookmarkStart w:id="4" w:name="aliashAdvancedHeaderFooter1FooterPrimary"/>
    <w:r>
      <w:rPr>
        <w:rFonts w:cs="Arial"/>
        <w:color w:val="000000"/>
        <w:sz w:val="18"/>
      </w:rPr>
      <w:t>UNCLASSIFIED</w:t>
    </w:r>
  </w:p>
  <w:bookmarkEnd w:id="4"/>
  <w:p w14:paraId="29FCC760" w14:textId="77777777" w:rsidR="001E47D3" w:rsidRDefault="001E47D3" w:rsidP="009408B4">
    <w:pPr>
      <w:pStyle w:val="Footer"/>
      <w:spacing w:before="0" w:after="0"/>
    </w:pPr>
    <w:r w:rsidRPr="00004500">
      <w:rPr>
        <w:noProof/>
        <w:lang w:val="en-AU"/>
      </w:rPr>
      <w:drawing>
        <wp:anchor distT="0" distB="0" distL="114300" distR="114300" simplePos="0" relativeHeight="251660288" behindDoc="1" locked="1" layoutInCell="1" allowOverlap="1" wp14:anchorId="46C4BCE1" wp14:editId="048EDE4B">
          <wp:simplePos x="0" y="0"/>
          <wp:positionH relativeFrom="page">
            <wp:posOffset>6000750</wp:posOffset>
          </wp:positionH>
          <wp:positionV relativeFrom="paragraph">
            <wp:posOffset>82550</wp:posOffset>
          </wp:positionV>
          <wp:extent cx="781050" cy="457200"/>
          <wp:effectExtent l="0" t="0" r="0" b="0"/>
          <wp:wrapNone/>
          <wp:docPr id="42" name="Picture 42" descr="DSDBI word template foot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DBI word template footer right"/>
                  <pic:cNvPicPr>
                    <a:picLocks noChangeAspect="1" noChangeArrowheads="1"/>
                  </pic:cNvPicPr>
                </pic:nvPicPr>
                <pic:blipFill rotWithShape="1">
                  <a:blip r:embed="rId1">
                    <a:extLst>
                      <a:ext uri="{28A0092B-C50C-407E-A947-70E740481C1C}">
                        <a14:useLocalDpi xmlns:a14="http://schemas.microsoft.com/office/drawing/2010/main" val="0"/>
                      </a:ext>
                    </a:extLst>
                  </a:blip>
                  <a:srcRect l="86695" t="17496" r="2914" b="26516"/>
                  <a:stretch/>
                </pic:blipFill>
                <pic:spPr bwMode="auto">
                  <a:xfrm>
                    <a:off x="0" y="0"/>
                    <a:ext cx="781050" cy="457200"/>
                  </a:xfrm>
                  <a:prstGeom prst="rect">
                    <a:avLst/>
                  </a:prstGeom>
                  <a:noFill/>
                  <a:ln>
                    <a:noFill/>
                  </a:ln>
                  <a:extLst>
                    <a:ext uri="{53640926-AAD7-44D8-BBD7-CCE9431645EC}">
                      <a14:shadowObscured xmlns:a14="http://schemas.microsoft.com/office/drawing/2010/main"/>
                    </a:ext>
                  </a:extLst>
                </pic:spPr>
              </pic:pic>
            </a:graphicData>
          </a:graphic>
        </wp:anchor>
      </w:drawing>
    </w: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DEAFED" w14:textId="502E5A20" w:rsidR="006B1FE1" w:rsidRDefault="00856603" w:rsidP="00856603">
    <w:pPr>
      <w:pStyle w:val="Footer"/>
      <w:spacing w:before="0" w:after="0"/>
      <w:rPr>
        <w:rFonts w:cs="Arial"/>
        <w:color w:val="000000"/>
        <w:sz w:val="18"/>
      </w:rPr>
    </w:pPr>
    <w:bookmarkStart w:id="6" w:name="aliashAdvancedHeaderFoot1FooterFirstPage"/>
    <w:r>
      <w:rPr>
        <w:rFonts w:cs="Arial"/>
        <w:color w:val="000000"/>
        <w:sz w:val="18"/>
      </w:rPr>
      <w:t>UNCLASSIFIED</w:t>
    </w:r>
  </w:p>
  <w:bookmarkEnd w:id="6"/>
  <w:p w14:paraId="4D0BB48A" w14:textId="300A4AA7" w:rsidR="001E47D3" w:rsidRDefault="001E47D3" w:rsidP="009408B4">
    <w:pPr>
      <w:pStyle w:val="Footer"/>
      <w:spacing w:before="0" w:after="0"/>
    </w:pPr>
    <w:r>
      <w:rPr>
        <w:noProof/>
        <w:color w:val="7F7F7F" w:themeColor="accent4"/>
        <w:lang w:val="en-AU"/>
      </w:rPr>
      <w:drawing>
        <wp:anchor distT="0" distB="0" distL="114300" distR="114300" simplePos="0" relativeHeight="251657216" behindDoc="0" locked="0" layoutInCell="1" allowOverlap="1" wp14:anchorId="77F2973E" wp14:editId="30A127FA">
          <wp:simplePos x="0" y="0"/>
          <wp:positionH relativeFrom="page">
            <wp:posOffset>6192520</wp:posOffset>
          </wp:positionH>
          <wp:positionV relativeFrom="page">
            <wp:posOffset>10070465</wp:posOffset>
          </wp:positionV>
          <wp:extent cx="648000" cy="367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GV Insignia PMS541.jpg"/>
                  <pic:cNvPicPr/>
                </pic:nvPicPr>
                <pic:blipFill>
                  <a:blip r:embed="rId1">
                    <a:extLst>
                      <a:ext uri="{28A0092B-C50C-407E-A947-70E740481C1C}">
                        <a14:useLocalDpi xmlns:a14="http://schemas.microsoft.com/office/drawing/2010/main" val="0"/>
                      </a:ext>
                    </a:extLst>
                  </a:blip>
                  <a:stretch>
                    <a:fillRect/>
                  </a:stretch>
                </pic:blipFill>
                <pic:spPr>
                  <a:xfrm>
                    <a:off x="0" y="0"/>
                    <a:ext cx="648000" cy="3672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707D8" w14:textId="0DC75B95" w:rsidR="001E47D3" w:rsidRDefault="00856603" w:rsidP="00856603">
    <w:pPr>
      <w:pStyle w:val="Footer"/>
      <w:spacing w:before="0" w:after="0"/>
      <w:rPr>
        <w:rFonts w:cs="Arial"/>
        <w:color w:val="000000"/>
        <w:sz w:val="18"/>
      </w:rPr>
    </w:pPr>
    <w:bookmarkStart w:id="7" w:name="aliashAdvancedHeaderFooter2FooterPrimary"/>
    <w:r>
      <w:rPr>
        <w:rFonts w:cs="Arial"/>
        <w:color w:val="000000"/>
        <w:sz w:val="18"/>
      </w:rPr>
      <w:t>UNCLASSIFIED</w:t>
    </w:r>
  </w:p>
  <w:bookmarkEnd w:id="7"/>
  <w:p w14:paraId="5534AE88" w14:textId="77777777" w:rsidR="001E47D3" w:rsidRDefault="001E47D3" w:rsidP="009408B4">
    <w:pPr>
      <w:pStyle w:val="Foote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ABC2C" w14:textId="0CBF14D0" w:rsidR="001E47D3" w:rsidRDefault="00856603" w:rsidP="00856603">
    <w:pPr>
      <w:pStyle w:val="Footer"/>
      <w:spacing w:before="0" w:after="0"/>
      <w:rPr>
        <w:rFonts w:cs="Arial"/>
        <w:color w:val="000000"/>
        <w:sz w:val="18"/>
      </w:rPr>
    </w:pPr>
    <w:bookmarkStart w:id="9" w:name="aliashAdvancedHeaderFoot2FooterFirstPage"/>
    <w:r>
      <w:rPr>
        <w:rFonts w:cs="Arial"/>
        <w:color w:val="000000"/>
        <w:sz w:val="18"/>
      </w:rPr>
      <w:t>UNCLASSIFIED</w:t>
    </w:r>
  </w:p>
  <w:bookmarkEnd w:id="9"/>
  <w:p w14:paraId="70E2C551" w14:textId="77777777" w:rsidR="006B1FE1" w:rsidRDefault="006B1FE1" w:rsidP="009408B4">
    <w:pPr>
      <w:pStyle w:val="Footer"/>
      <w:spacing w:before="0"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D9BB2" w14:textId="75C45884" w:rsidR="006B1FE1" w:rsidRDefault="00856603" w:rsidP="00856603">
    <w:pPr>
      <w:pStyle w:val="Footer"/>
      <w:spacing w:before="0" w:after="0"/>
      <w:rPr>
        <w:rFonts w:cs="Arial"/>
        <w:color w:val="000000"/>
        <w:sz w:val="18"/>
      </w:rPr>
    </w:pPr>
    <w:bookmarkStart w:id="136" w:name="aliashAdvancedHeaderFooter3FooterPrimary"/>
    <w:r>
      <w:rPr>
        <w:rFonts w:cs="Arial"/>
        <w:color w:val="000000"/>
        <w:sz w:val="18"/>
      </w:rPr>
      <w:t>UNCLASSIFIED</w:t>
    </w:r>
  </w:p>
  <w:bookmarkEnd w:id="136" w:displacedByCustomXml="next"/>
  <w:sdt>
    <w:sdtPr>
      <w:id w:val="-305627958"/>
      <w:docPartObj>
        <w:docPartGallery w:val="Page Numbers (Bottom of Page)"/>
        <w:docPartUnique/>
      </w:docPartObj>
    </w:sdtPr>
    <w:sdtEndPr>
      <w:rPr>
        <w:rStyle w:val="PageNumber"/>
        <w:color w:val="000000"/>
      </w:rPr>
    </w:sdtEndPr>
    <w:sdtContent>
      <w:p w14:paraId="768455B9" w14:textId="2E25EC79" w:rsidR="001E47D3" w:rsidRPr="00E07803" w:rsidRDefault="001E47D3" w:rsidP="007569A6">
        <w:pPr>
          <w:pStyle w:val="Footer"/>
          <w:spacing w:after="0"/>
        </w:pPr>
        <w:r>
          <w:t>Otway reg</w:t>
        </w:r>
        <w:r w:rsidRPr="000E55ED">
          <w:t>ion as</w:t>
        </w:r>
        <w:r>
          <w:t>sessment of potential impacts on water resources</w:t>
        </w:r>
      </w:p>
      <w:p w14:paraId="4DD99E4E" w14:textId="0477DC43" w:rsidR="001E47D3" w:rsidRPr="00956A06" w:rsidRDefault="001E47D3" w:rsidP="00E07803">
        <w:pPr>
          <w:pStyle w:val="Footer"/>
          <w:spacing w:after="0"/>
          <w:rPr>
            <w:rStyle w:val="PageNumber"/>
            <w:color w:val="000000"/>
          </w:rPr>
        </w:pPr>
        <w:r w:rsidRPr="00956A06">
          <w:rPr>
            <w:rStyle w:val="PageNumber"/>
            <w:color w:val="000000"/>
          </w:rPr>
          <w:fldChar w:fldCharType="begin"/>
        </w:r>
        <w:r w:rsidRPr="00956A06">
          <w:rPr>
            <w:rStyle w:val="PageNumber"/>
            <w:color w:val="000000"/>
          </w:rPr>
          <w:instrText xml:space="preserve"> PAGE   \* MERGEFORMAT </w:instrText>
        </w:r>
        <w:r w:rsidRPr="00956A06">
          <w:rPr>
            <w:rStyle w:val="PageNumber"/>
            <w:color w:val="000000"/>
          </w:rPr>
          <w:fldChar w:fldCharType="separate"/>
        </w:r>
        <w:r w:rsidR="00367954">
          <w:rPr>
            <w:rStyle w:val="PageNumber"/>
            <w:noProof/>
            <w:color w:val="000000"/>
          </w:rPr>
          <w:t>36</w:t>
        </w:r>
        <w:r w:rsidRPr="00956A06">
          <w:rPr>
            <w:rStyle w:val="PageNumber"/>
            <w:color w:val="00000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D9791" w14:textId="15737359" w:rsidR="006B1FE1" w:rsidRDefault="00856603" w:rsidP="00856603">
    <w:pPr>
      <w:pStyle w:val="Footer"/>
      <w:spacing w:before="0" w:after="0"/>
      <w:rPr>
        <w:rFonts w:cs="Arial"/>
        <w:color w:val="000000"/>
        <w:sz w:val="18"/>
      </w:rPr>
    </w:pPr>
    <w:bookmarkStart w:id="137" w:name="aliashAdvancedHeaderFoot3FooterFirstPage"/>
    <w:r>
      <w:rPr>
        <w:rFonts w:cs="Arial"/>
        <w:color w:val="000000"/>
        <w:sz w:val="18"/>
      </w:rPr>
      <w:t>UNCLASSIFIED</w:t>
    </w:r>
  </w:p>
  <w:bookmarkEnd w:id="137" w:displacedByCustomXml="next"/>
  <w:sdt>
    <w:sdtPr>
      <w:id w:val="-1119764231"/>
      <w:docPartObj>
        <w:docPartGallery w:val="Page Numbers (Bottom of Page)"/>
        <w:docPartUnique/>
      </w:docPartObj>
    </w:sdtPr>
    <w:sdtEndPr>
      <w:rPr>
        <w:rStyle w:val="PageNumber"/>
        <w:color w:val="000000"/>
      </w:rPr>
    </w:sdtEndPr>
    <w:sdtContent>
      <w:p w14:paraId="75E84C6D" w14:textId="46B8AE90" w:rsidR="001E47D3" w:rsidRPr="00E07803" w:rsidRDefault="001E47D3" w:rsidP="009225C1">
        <w:pPr>
          <w:pStyle w:val="Footer"/>
          <w:spacing w:after="0"/>
        </w:pPr>
        <w:r>
          <w:t>Otway region assessment of potential impacts on water resources</w:t>
        </w:r>
      </w:p>
      <w:p w14:paraId="2A23A1CF" w14:textId="1FCFA9E0" w:rsidR="001E47D3" w:rsidRPr="009225C1" w:rsidRDefault="001E47D3" w:rsidP="009225C1">
        <w:pPr>
          <w:pStyle w:val="Footer"/>
          <w:spacing w:after="0"/>
          <w:rPr>
            <w:color w:val="000000"/>
          </w:rPr>
        </w:pPr>
        <w:r w:rsidRPr="00956A06">
          <w:rPr>
            <w:rStyle w:val="PageNumber"/>
            <w:color w:val="000000"/>
          </w:rPr>
          <w:fldChar w:fldCharType="begin"/>
        </w:r>
        <w:r w:rsidRPr="00956A06">
          <w:rPr>
            <w:rStyle w:val="PageNumber"/>
            <w:color w:val="000000"/>
          </w:rPr>
          <w:instrText xml:space="preserve"> PAGE   \* MERGEFORMAT </w:instrText>
        </w:r>
        <w:r w:rsidRPr="00956A06">
          <w:rPr>
            <w:rStyle w:val="PageNumber"/>
            <w:color w:val="000000"/>
          </w:rPr>
          <w:fldChar w:fldCharType="separate"/>
        </w:r>
        <w:r w:rsidR="00367954">
          <w:rPr>
            <w:rStyle w:val="PageNumber"/>
            <w:noProof/>
            <w:color w:val="000000"/>
          </w:rPr>
          <w:t>2</w:t>
        </w:r>
        <w:r w:rsidRPr="00956A06">
          <w:rPr>
            <w:rStyle w:val="PageNumber"/>
            <w:color w:val="00000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B9DB0" w14:textId="5F2730F4" w:rsidR="006B1FE1" w:rsidRDefault="00856603" w:rsidP="00856603">
    <w:pPr>
      <w:pStyle w:val="Footer"/>
      <w:spacing w:before="0" w:after="0"/>
      <w:rPr>
        <w:rFonts w:cs="Arial"/>
        <w:color w:val="000000"/>
        <w:sz w:val="18"/>
      </w:rPr>
    </w:pPr>
    <w:bookmarkStart w:id="693" w:name="aliashAdvancedHeaderFoot9FooterFirstPage"/>
    <w:r>
      <w:rPr>
        <w:rFonts w:cs="Arial"/>
        <w:color w:val="000000"/>
        <w:sz w:val="18"/>
      </w:rPr>
      <w:t>UNCLASSIFIED</w:t>
    </w:r>
  </w:p>
  <w:bookmarkEnd w:id="693" w:displacedByCustomXml="next"/>
  <w:sdt>
    <w:sdtPr>
      <w:id w:val="904340417"/>
      <w:docPartObj>
        <w:docPartGallery w:val="Page Numbers (Bottom of Page)"/>
        <w:docPartUnique/>
      </w:docPartObj>
    </w:sdtPr>
    <w:sdtEndPr>
      <w:rPr>
        <w:rStyle w:val="PageNumber"/>
        <w:color w:val="auto"/>
      </w:rPr>
    </w:sdtEndPr>
    <w:sdtContent>
      <w:p w14:paraId="1DD0562C" w14:textId="1A9829E3" w:rsidR="001E47D3" w:rsidRDefault="001E47D3" w:rsidP="00670BE8">
        <w:pPr>
          <w:pStyle w:val="Footer"/>
          <w:spacing w:before="0" w:after="0"/>
        </w:pPr>
        <w:r>
          <w:t>Otway region assessment of potential impacts on water resources</w:t>
        </w:r>
      </w:p>
      <w:p w14:paraId="5C868AF5" w14:textId="2647D658" w:rsidR="001E47D3" w:rsidRPr="00956A06" w:rsidRDefault="001E47D3" w:rsidP="00670BE8">
        <w:pPr>
          <w:pStyle w:val="Footer"/>
          <w:rPr>
            <w:rStyle w:val="PageNumber"/>
          </w:rPr>
        </w:pPr>
        <w:r w:rsidRPr="00956A06">
          <w:rPr>
            <w:rStyle w:val="PageNumber"/>
          </w:rPr>
          <w:fldChar w:fldCharType="begin"/>
        </w:r>
        <w:r w:rsidRPr="00956A06">
          <w:rPr>
            <w:rStyle w:val="PageNumber"/>
          </w:rPr>
          <w:instrText xml:space="preserve"> PAGE   \* MERGEFORMAT </w:instrText>
        </w:r>
        <w:r w:rsidRPr="00956A06">
          <w:rPr>
            <w:rStyle w:val="PageNumber"/>
          </w:rPr>
          <w:fldChar w:fldCharType="separate"/>
        </w:r>
        <w:r w:rsidR="00856603">
          <w:rPr>
            <w:rStyle w:val="PageNumber"/>
            <w:noProof/>
          </w:rPr>
          <w:t>168</w:t>
        </w:r>
        <w:r w:rsidRPr="00956A06">
          <w:rPr>
            <w:rStyle w:val="PageNumber"/>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41E00" w14:textId="517C7B4E" w:rsidR="001E47D3" w:rsidRDefault="00856603" w:rsidP="00856603">
    <w:pPr>
      <w:pStyle w:val="Footer"/>
      <w:spacing w:before="0" w:after="0"/>
      <w:rPr>
        <w:rFonts w:cs="Arial"/>
        <w:color w:val="000000"/>
        <w:sz w:val="18"/>
      </w:rPr>
    </w:pPr>
    <w:bookmarkStart w:id="1187" w:name="aliashAdvancedHeaderFoo20FooterEvenPages"/>
    <w:r>
      <w:rPr>
        <w:rFonts w:cs="Arial"/>
        <w:color w:val="000000"/>
        <w:sz w:val="18"/>
      </w:rPr>
      <w:t>UNCLASSIFIED</w:t>
    </w:r>
  </w:p>
  <w:bookmarkEnd w:id="1187"/>
  <w:p w14:paraId="2BED5EE6" w14:textId="77777777" w:rsidR="006B1FE1" w:rsidRDefault="006B1F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375221" w14:textId="77777777" w:rsidR="00E839BD" w:rsidRDefault="00E839BD" w:rsidP="0060631A">
      <w:r>
        <w:separator/>
      </w:r>
    </w:p>
  </w:footnote>
  <w:footnote w:type="continuationSeparator" w:id="0">
    <w:p w14:paraId="07515118" w14:textId="77777777" w:rsidR="00E839BD" w:rsidRDefault="00E839BD" w:rsidP="0060631A">
      <w:r>
        <w:continuationSeparator/>
      </w:r>
    </w:p>
  </w:footnote>
  <w:footnote w:type="continuationNotice" w:id="1">
    <w:p w14:paraId="14DBC316" w14:textId="77777777" w:rsidR="00E839BD" w:rsidRDefault="00E839BD">
      <w:pPr>
        <w:spacing w:after="0" w:line="240" w:lineRule="auto"/>
      </w:pPr>
    </w:p>
  </w:footnote>
  <w:footnote w:id="2">
    <w:p w14:paraId="4FD77941" w14:textId="77777777" w:rsidR="001E47D3" w:rsidRDefault="001E47D3" w:rsidP="0081053C">
      <w:pPr>
        <w:pStyle w:val="FootnoteText"/>
      </w:pPr>
      <w:r>
        <w:rPr>
          <w:rStyle w:val="FootnoteReference"/>
          <w:rFonts w:eastAsiaTheme="majorEastAsia"/>
        </w:rPr>
        <w:footnoteRef/>
      </w:r>
      <w:r>
        <w:t xml:space="preserve"> Methodology for Bioregional Assessments produced for the Independent Scientific Committee on coal seam gas and Large Coal Mining Development</w:t>
      </w:r>
    </w:p>
  </w:footnote>
  <w:footnote w:id="3">
    <w:p w14:paraId="402DEB0D" w14:textId="77777777" w:rsidR="001E47D3" w:rsidRDefault="001E47D3" w:rsidP="0081053C">
      <w:pPr>
        <w:pStyle w:val="FootnoteText"/>
      </w:pPr>
      <w:r>
        <w:rPr>
          <w:rStyle w:val="FootnoteReference"/>
          <w:rFonts w:eastAsiaTheme="majorEastAsia"/>
        </w:rPr>
        <w:footnoteRef/>
      </w:r>
      <w:r>
        <w:t xml:space="preserve"> High productivity aquifers must be at least</w:t>
      </w:r>
      <w:r w:rsidRPr="00A9268A">
        <w:t xml:space="preserve"> 5 to 10 square miles of contiguous area</w:t>
      </w:r>
      <w:r>
        <w:t xml:space="preserve">, with a </w:t>
      </w:r>
      <w:r w:rsidRPr="00A9268A">
        <w:t xml:space="preserve">thickness of saturated deposits  should average at least 20 feet through most of the area, and </w:t>
      </w:r>
      <w:r>
        <w:t xml:space="preserve">at </w:t>
      </w:r>
      <w:r w:rsidRPr="00A9268A">
        <w:t xml:space="preserve">some locations </w:t>
      </w:r>
      <w:r>
        <w:t>be at least 50 feet thick and s</w:t>
      </w:r>
      <w:r w:rsidRPr="00A9268A">
        <w:t>ustained yields to individual wells should be 50 gallons per min</w:t>
      </w:r>
      <w:r>
        <w:t>ute or more from sizeable areas</w:t>
      </w:r>
    </w:p>
  </w:footnote>
  <w:footnote w:id="4">
    <w:p w14:paraId="3C9F2C16" w14:textId="77777777" w:rsidR="001E47D3" w:rsidRDefault="001E47D3" w:rsidP="0081053C">
      <w:pPr>
        <w:pStyle w:val="FootnoteText"/>
      </w:pPr>
      <w:r>
        <w:rPr>
          <w:rStyle w:val="FootnoteReference"/>
          <w:rFonts w:eastAsiaTheme="majorEastAsia"/>
        </w:rPr>
        <w:footnoteRef/>
      </w:r>
      <w:r>
        <w:t xml:space="preserve"> </w:t>
      </w:r>
      <w:r w:rsidRPr="003569AD">
        <w:t>http://www.indiana.edu/~spea/faculty/pdf/IRGC-Report-2013.pdf</w:t>
      </w:r>
    </w:p>
  </w:footnote>
  <w:footnote w:id="5">
    <w:p w14:paraId="7C50B946" w14:textId="77777777" w:rsidR="001E47D3" w:rsidRDefault="001E47D3" w:rsidP="00E57CC4">
      <w:pPr>
        <w:pStyle w:val="FootnoteText"/>
      </w:pPr>
      <w:r>
        <w:rPr>
          <w:rStyle w:val="FootnoteReference"/>
          <w:rFonts w:eastAsiaTheme="majorEastAsia"/>
        </w:rPr>
        <w:footnoteRef/>
      </w:r>
      <w:r>
        <w:t xml:space="preserve"> </w:t>
      </w:r>
      <w:hyperlink r:id="rId1" w:history="1">
        <w:r w:rsidRPr="00D977AD">
          <w:rPr>
            <w:rStyle w:val="Hyperlink"/>
          </w:rPr>
          <w:t>http://www.dec.ny.gov/data/dmn/ogprdsgeisfull.pdf</w:t>
        </w:r>
      </w:hyperlink>
      <w:r>
        <w:t xml:space="preserve"> </w:t>
      </w:r>
    </w:p>
  </w:footnote>
  <w:footnote w:id="6">
    <w:p w14:paraId="1F84E60E" w14:textId="77777777" w:rsidR="001E47D3" w:rsidRDefault="001E47D3" w:rsidP="005244F9">
      <w:pPr>
        <w:pStyle w:val="FootnoteText"/>
      </w:pPr>
      <w:r>
        <w:rPr>
          <w:rStyle w:val="FootnoteReference"/>
          <w:rFonts w:eastAsiaTheme="majorEastAsia"/>
        </w:rPr>
        <w:footnoteRef/>
      </w:r>
      <w:r>
        <w:t xml:space="preserve"> Ecological Australia (2012) Shale Gas Development in Australia: Potential Impacts and Risks to Ecological Systems. Final report prepared for the Australian Council of Learned Academies (ACOLA). January 2013.</w:t>
      </w:r>
    </w:p>
  </w:footnote>
  <w:footnote w:id="7">
    <w:p w14:paraId="178419C9" w14:textId="1D967782" w:rsidR="001E47D3" w:rsidRDefault="001E47D3" w:rsidP="005244F9">
      <w:pPr>
        <w:pStyle w:val="FootnoteText"/>
      </w:pPr>
      <w:r>
        <w:rPr>
          <w:rStyle w:val="FootnoteReference"/>
          <w:rFonts w:eastAsiaTheme="majorEastAsia"/>
        </w:rPr>
        <w:footnoteRef/>
      </w:r>
      <w:r>
        <w:t xml:space="preserve"> Study conducted in the context of Germany, with EU and national legislation governing chemical use.</w:t>
      </w:r>
    </w:p>
  </w:footnote>
  <w:footnote w:id="8">
    <w:p w14:paraId="0A0C4D54" w14:textId="77777777" w:rsidR="001E47D3" w:rsidRPr="00C24827" w:rsidRDefault="001E47D3" w:rsidP="005244F9">
      <w:pPr>
        <w:pStyle w:val="FootnoteText"/>
      </w:pPr>
      <w:r>
        <w:rPr>
          <w:rStyle w:val="FootnoteReference"/>
          <w:rFonts w:eastAsiaTheme="majorEastAsia"/>
        </w:rPr>
        <w:footnoteRef/>
      </w:r>
      <w:r>
        <w:t xml:space="preserve"> </w:t>
      </w:r>
      <w:r w:rsidRPr="00C24827">
        <w:t>http://fas.org/sgp/crs/misc/R43148.pdf</w:t>
      </w:r>
    </w:p>
  </w:footnote>
  <w:footnote w:id="9">
    <w:p w14:paraId="05930335" w14:textId="77777777" w:rsidR="001E47D3" w:rsidRDefault="001E47D3" w:rsidP="005244F9">
      <w:pPr>
        <w:pStyle w:val="FootnoteText"/>
      </w:pPr>
      <w:r>
        <w:rPr>
          <w:rStyle w:val="FootnoteReference"/>
          <w:rFonts w:eastAsiaTheme="majorEastAsia"/>
        </w:rPr>
        <w:footnoteRef/>
      </w:r>
      <w:r>
        <w:t xml:space="preserve"> </w:t>
      </w:r>
      <w:r w:rsidRPr="00F23991">
        <w:t>https://www.ehp.qld.gov.au/management/non-mining/documents/</w:t>
      </w:r>
      <w:r>
        <w:t>coal seam gas</w:t>
      </w:r>
      <w:r w:rsidRPr="00F23991">
        <w:t>-water-measurable-criteria.pdf</w:t>
      </w:r>
    </w:p>
  </w:footnote>
  <w:footnote w:id="10">
    <w:p w14:paraId="73EEB090" w14:textId="77777777" w:rsidR="001E47D3" w:rsidRPr="00324960" w:rsidRDefault="001E47D3" w:rsidP="005244F9">
      <w:pPr>
        <w:pStyle w:val="FootnoteText"/>
      </w:pPr>
      <w:r>
        <w:rPr>
          <w:rStyle w:val="FootnoteReference"/>
          <w:rFonts w:eastAsiaTheme="majorEastAsia"/>
        </w:rPr>
        <w:footnoteRef/>
      </w:r>
      <w:r>
        <w:t xml:space="preserve"> </w:t>
      </w:r>
      <w:r w:rsidRPr="00324960">
        <w:t>https://www.nsw.gov.au/sites/default/files/</w:t>
      </w:r>
      <w:r>
        <w:t>coal seam gas</w:t>
      </w:r>
      <w:r w:rsidRPr="00324960">
        <w:t>-wellintegrity_sd_v01.pdf</w:t>
      </w:r>
    </w:p>
  </w:footnote>
  <w:footnote w:id="11">
    <w:p w14:paraId="26F879E0" w14:textId="77777777" w:rsidR="001E47D3" w:rsidRPr="00155425" w:rsidRDefault="001E47D3" w:rsidP="005244F9">
      <w:pPr>
        <w:pStyle w:val="FootnoteText"/>
      </w:pPr>
      <w:r>
        <w:rPr>
          <w:rStyle w:val="FootnoteReference"/>
          <w:rFonts w:eastAsiaTheme="majorEastAsia"/>
        </w:rPr>
        <w:footnoteRef/>
      </w:r>
      <w:r>
        <w:t xml:space="preserve"> </w:t>
      </w:r>
      <w:r w:rsidRPr="00155425">
        <w:t>http://www.ncsl.org/documents/energy/frackingguide_060512.pdf</w:t>
      </w:r>
    </w:p>
  </w:footnote>
  <w:footnote w:id="12">
    <w:p w14:paraId="6F99CD8C" w14:textId="77777777" w:rsidR="001E47D3" w:rsidRDefault="001E47D3" w:rsidP="005244F9">
      <w:pPr>
        <w:pStyle w:val="FootnoteText"/>
      </w:pPr>
      <w:r>
        <w:rPr>
          <w:rStyle w:val="FootnoteReference"/>
          <w:rFonts w:eastAsiaTheme="majorEastAsia"/>
        </w:rPr>
        <w:footnoteRef/>
      </w:r>
      <w:r>
        <w:t xml:space="preserve"> Significant Impact Guidelines</w:t>
      </w:r>
    </w:p>
  </w:footnote>
  <w:footnote w:id="13">
    <w:p w14:paraId="6C0EE07B" w14:textId="347A1981" w:rsidR="001E47D3" w:rsidRPr="00F24CFB" w:rsidRDefault="001E47D3" w:rsidP="005244F9">
      <w:pPr>
        <w:pStyle w:val="FootnoteText"/>
      </w:pPr>
      <w:r>
        <w:rPr>
          <w:rStyle w:val="FootnoteReference"/>
          <w:rFonts w:eastAsiaTheme="majorEastAsia"/>
        </w:rPr>
        <w:footnoteRef/>
      </w:r>
      <w:r>
        <w:t xml:space="preserve"> Healthy HeadWaters coal seam gas Water Feasibility Study, Activity 5 Groundwater Risks Associated With Coal Seam Gas Development in the Surat and Southern Bowen Basins</w:t>
      </w:r>
      <w:hyperlink r:id="rId2" w:history="1">
        <w:r w:rsidRPr="005B65FE">
          <w:rPr>
            <w:rStyle w:val="Hyperlink"/>
          </w:rPr>
          <w:t>http://www.dnrm.qld.gov.au/__data/assets/pdf_file/0020/106148/act-5-groundwater-risks-report.pdf</w:t>
        </w:r>
      </w:hyperlink>
      <w:r>
        <w:t xml:space="preserve"> </w:t>
      </w:r>
    </w:p>
  </w:footnote>
  <w:footnote w:id="14">
    <w:p w14:paraId="596DFABD" w14:textId="77777777" w:rsidR="001E47D3" w:rsidRDefault="001E47D3" w:rsidP="005244F9">
      <w:pPr>
        <w:pStyle w:val="FootnoteText"/>
      </w:pPr>
      <w:r>
        <w:rPr>
          <w:rStyle w:val="FootnoteReference"/>
          <w:rFonts w:eastAsiaTheme="majorEastAsia"/>
        </w:rPr>
        <w:footnoteRef/>
      </w:r>
      <w:r>
        <w:t xml:space="preserve"> Guidelines for Environmental Risk Assessment and Management, Green Leaves III</w:t>
      </w:r>
    </w:p>
  </w:footnote>
  <w:footnote w:id="15">
    <w:p w14:paraId="01049C77" w14:textId="77777777" w:rsidR="001E47D3" w:rsidRPr="00134BCE" w:rsidRDefault="001E47D3" w:rsidP="00247CBE">
      <w:pPr>
        <w:pStyle w:val="FootnoteText"/>
      </w:pPr>
      <w:r>
        <w:rPr>
          <w:rStyle w:val="FootnoteReference"/>
          <w:rFonts w:eastAsiaTheme="majorEastAsia"/>
        </w:rPr>
        <w:footnoteRef/>
      </w:r>
      <w:r>
        <w:t xml:space="preserve"> Pressure being the coal seam gas activity, stressor the potential hydrological change caused by the pressure and response the change in environmental, social or economic values.</w:t>
      </w:r>
    </w:p>
  </w:footnote>
  <w:footnote w:id="16">
    <w:p w14:paraId="120A922E" w14:textId="1801BEBE" w:rsidR="001E47D3" w:rsidRPr="00AE4986" w:rsidRDefault="001E47D3" w:rsidP="00247CBE">
      <w:pPr>
        <w:pStyle w:val="FootnoteText"/>
      </w:pPr>
      <w:r>
        <w:rPr>
          <w:rStyle w:val="FootnoteReference"/>
          <w:rFonts w:eastAsiaTheme="majorEastAsia"/>
        </w:rPr>
        <w:footnoteRef/>
      </w:r>
      <w:r>
        <w:t xml:space="preserve"> ERSD anticipate that around 80% of ER projects are small-scale and may be categorised as Tier 1, except in water-short and potentially-water-short areas of Alberta. These projects account for approximately 20 per cent of water use. Large-scale projects </w:t>
      </w:r>
      <w:r>
        <w:br/>
        <w:t>(Tier 2 or Tier 3) are expected to use around 80 per cent of non-saline water use for oilfield injection.</w:t>
      </w:r>
    </w:p>
  </w:footnote>
  <w:footnote w:id="17">
    <w:p w14:paraId="78DFF2BA" w14:textId="5E258900" w:rsidR="001E47D3" w:rsidRDefault="001E47D3" w:rsidP="00D4090D">
      <w:pPr>
        <w:pStyle w:val="FootnoteText"/>
      </w:pPr>
      <w:r>
        <w:rPr>
          <w:rStyle w:val="FootnoteReference"/>
          <w:rFonts w:eastAsiaTheme="majorEastAsia"/>
        </w:rPr>
        <w:footnoteRef/>
      </w:r>
      <w:r>
        <w:t xml:space="preserve"> new draft regulations governing exploration and production of  petroleum and geothermal energy resources in onshore WA. Onshore regulation is also evolving in the Eastern States with Queensland and South Australia taking proactive steps towards unconventional gas development. However, regimes in New South Wales and Victoria are seen to have a more restrictive effect on the development of these projects due to delays in approving activities and a shifting moratorium on the coal seam gas industry in those states</w:t>
      </w:r>
    </w:p>
  </w:footnote>
  <w:footnote w:id="18">
    <w:p w14:paraId="426FCA39" w14:textId="77777777" w:rsidR="001E47D3" w:rsidRDefault="001E47D3" w:rsidP="00D4090D">
      <w:pPr>
        <w:pStyle w:val="FootnoteText"/>
      </w:pPr>
    </w:p>
  </w:footnote>
  <w:footnote w:id="19">
    <w:p w14:paraId="55ADC1E6" w14:textId="77777777" w:rsidR="001E47D3" w:rsidRPr="00C4021F" w:rsidRDefault="001E47D3" w:rsidP="00D4090D">
      <w:pPr>
        <w:pStyle w:val="FootnoteText"/>
        <w:rPr>
          <w:lang w:val="es-ES"/>
        </w:rPr>
      </w:pPr>
      <w:r>
        <w:rPr>
          <w:rStyle w:val="FootnoteReference"/>
          <w:rFonts w:eastAsiaTheme="majorEastAsia"/>
        </w:rPr>
        <w:footnoteRef/>
      </w:r>
      <w:r w:rsidRPr="00C4021F">
        <w:rPr>
          <w:lang w:val="es-ES"/>
        </w:rPr>
        <w:t xml:space="preserve"> Barrett </w:t>
      </w:r>
      <w:r w:rsidRPr="00C4021F">
        <w:rPr>
          <w:i/>
          <w:lang w:val="es-ES"/>
        </w:rPr>
        <w:t xml:space="preserve">et al  </w:t>
      </w:r>
      <w:r w:rsidRPr="00C4021F">
        <w:rPr>
          <w:lang w:val="es-ES"/>
        </w:rPr>
        <w:t>(2013</w:t>
      </w:r>
      <w:r>
        <w:rPr>
          <w:lang w:val="es-ES"/>
        </w:rPr>
        <w:t>)</w:t>
      </w:r>
    </w:p>
  </w:footnote>
  <w:footnote w:id="20">
    <w:p w14:paraId="05F4828E" w14:textId="4B314BCB" w:rsidR="001E47D3" w:rsidRPr="00C4021F" w:rsidRDefault="001E47D3" w:rsidP="00D4090D">
      <w:pPr>
        <w:pStyle w:val="FootnoteText"/>
        <w:rPr>
          <w:lang w:val="es-ES"/>
        </w:rPr>
      </w:pPr>
      <w:r>
        <w:rPr>
          <w:rStyle w:val="FootnoteReference"/>
          <w:rFonts w:eastAsiaTheme="majorEastAsia"/>
        </w:rPr>
        <w:footnoteRef/>
      </w:r>
      <w:r w:rsidRPr="00C4021F">
        <w:rPr>
          <w:lang w:val="es-ES"/>
        </w:rPr>
        <w:t xml:space="preserve"> ACOLA </w:t>
      </w:r>
      <w:r>
        <w:rPr>
          <w:lang w:val="es-ES"/>
        </w:rPr>
        <w:t>(</w:t>
      </w:r>
      <w:r w:rsidRPr="00C4021F">
        <w:rPr>
          <w:lang w:val="es-ES"/>
        </w:rPr>
        <w:t>2013</w:t>
      </w:r>
      <w:r>
        <w:rPr>
          <w:lang w:val="es-ES"/>
        </w:rPr>
        <w:t>)</w:t>
      </w:r>
    </w:p>
  </w:footnote>
  <w:footnote w:id="21">
    <w:p w14:paraId="10412794" w14:textId="77777777" w:rsidR="001E47D3" w:rsidRPr="00C4021F" w:rsidRDefault="001E47D3" w:rsidP="00D4090D">
      <w:pPr>
        <w:pStyle w:val="FootnoteText"/>
        <w:rPr>
          <w:lang w:val="es-ES"/>
        </w:rPr>
      </w:pPr>
      <w:r>
        <w:rPr>
          <w:rStyle w:val="FootnoteReference"/>
          <w:rFonts w:eastAsiaTheme="majorEastAsia"/>
        </w:rPr>
        <w:footnoteRef/>
      </w:r>
      <w:r w:rsidRPr="00C4021F">
        <w:rPr>
          <w:lang w:val="es-ES"/>
        </w:rPr>
        <w:t xml:space="preserve"> http://www.parliament.vic.gov.au/publications/research-papers/8927-unconventional-gas-coal-seam-gas-shale-gas-and-tight-gas</w:t>
      </w:r>
    </w:p>
  </w:footnote>
  <w:footnote w:id="22">
    <w:p w14:paraId="2E980FC4" w14:textId="77777777" w:rsidR="001E47D3" w:rsidRDefault="001E47D3" w:rsidP="00D4090D">
      <w:pPr>
        <w:pStyle w:val="FootnoteText"/>
      </w:pPr>
      <w:r>
        <w:rPr>
          <w:rStyle w:val="FootnoteReference"/>
          <w:rFonts w:eastAsiaTheme="majorEastAsia"/>
        </w:rPr>
        <w:footnoteRef/>
      </w:r>
      <w:r>
        <w:t xml:space="preserve"> Energy Resources Division Department for Manufacturing, Innovation, Trade, Resources and Energy (2012) First draft: Roadmap for Unconventional Gas Projects in South Australia</w:t>
      </w:r>
      <w:r w:rsidRPr="00BA1A07">
        <w:t xml:space="preserve"> http://www.petroleum.pir.sa.gov.au/__data/assets/pdf_file/0006/170889/Combined_doc_19_April.pdf</w:t>
      </w:r>
    </w:p>
  </w:footnote>
  <w:footnote w:id="23">
    <w:p w14:paraId="1AA1921F" w14:textId="77777777" w:rsidR="001E47D3" w:rsidRDefault="001E47D3" w:rsidP="00D4090D">
      <w:pPr>
        <w:pStyle w:val="FootnoteText"/>
      </w:pPr>
      <w:r>
        <w:rPr>
          <w:rStyle w:val="FootnoteReference"/>
          <w:rFonts w:eastAsiaTheme="majorEastAsia"/>
        </w:rPr>
        <w:footnoteRef/>
      </w:r>
      <w:r>
        <w:t xml:space="preserve"> Cook, P.J. (2003) Life Cycle of Coal Seam Gas Projects: Technologies and Potential Impacts Report for the New South Wales Office of the Chief </w:t>
      </w:r>
    </w:p>
    <w:p w14:paraId="436F606A" w14:textId="77777777" w:rsidR="001E47D3" w:rsidRDefault="001E47D3" w:rsidP="00D4090D">
      <w:pPr>
        <w:pStyle w:val="FootnoteText"/>
      </w:pPr>
      <w:r>
        <w:t xml:space="preserve">Scientist and Engineer </w:t>
      </w:r>
      <w:r w:rsidRPr="008A536F">
        <w:t>http://www.chiefscientist.nsw.gov.au/__data/assets/pdf_file/0010/31321/Life-Cycle-of-Coal-Seam-Gas-Report_FINAL_PJC.pdf</w:t>
      </w:r>
    </w:p>
  </w:footnote>
  <w:footnote w:id="24">
    <w:p w14:paraId="22D2A258" w14:textId="77777777" w:rsidR="001E47D3" w:rsidRDefault="001E47D3" w:rsidP="00D4090D">
      <w:pPr>
        <w:pStyle w:val="FootnoteText"/>
      </w:pPr>
      <w:r>
        <w:rPr>
          <w:rStyle w:val="FootnoteReference"/>
          <w:rFonts w:eastAsiaTheme="majorEastAsia"/>
        </w:rPr>
        <w:footnoteRef/>
      </w:r>
      <w:r>
        <w:t xml:space="preserve"> </w:t>
      </w:r>
      <w:r w:rsidRPr="00BA1A07">
        <w:t>http://www.petroleum.pir.sa.gov.au/__data/assets/pdf_file/0006/170889/Combined_doc_19_April.pdf</w:t>
      </w:r>
    </w:p>
  </w:footnote>
  <w:footnote w:id="25">
    <w:p w14:paraId="05AAC9A9" w14:textId="77777777" w:rsidR="001E47D3" w:rsidRDefault="001E47D3" w:rsidP="00D4090D">
      <w:pPr>
        <w:pStyle w:val="FootnoteText"/>
      </w:pPr>
      <w:r>
        <w:rPr>
          <w:rStyle w:val="FootnoteReference"/>
          <w:rFonts w:eastAsiaTheme="majorEastAsia"/>
        </w:rPr>
        <w:footnoteRef/>
      </w:r>
      <w:r>
        <w:t xml:space="preserve"> Energy Resources Division Department for Manufacturing, Innovation, Trade, Resources and Energy (2012) First draft: Roadmap for Unconventional Gas Projects in South Australia</w:t>
      </w:r>
    </w:p>
  </w:footnote>
  <w:footnote w:id="26">
    <w:p w14:paraId="04071B03" w14:textId="77777777" w:rsidR="001E47D3" w:rsidRPr="00F24CFB" w:rsidRDefault="001E47D3" w:rsidP="00D4090D">
      <w:pPr>
        <w:pStyle w:val="FootnoteText"/>
      </w:pPr>
      <w:r>
        <w:rPr>
          <w:rStyle w:val="FootnoteReference"/>
          <w:rFonts w:eastAsiaTheme="majorEastAsia"/>
        </w:rPr>
        <w:footnoteRef/>
      </w:r>
      <w:r>
        <w:t xml:space="preserve"> Stempvoort et al (1993) Aquifer Vulnerability Index: A GIS-Compatible  Method for Groundwater Vulnerability Mapping, </w:t>
      </w:r>
      <w:r>
        <w:rPr>
          <w:i/>
        </w:rPr>
        <w:t xml:space="preserve">Canadian Water Resources Journal, </w:t>
      </w:r>
      <w:r>
        <w:t xml:space="preserve">18 (1) </w:t>
      </w:r>
    </w:p>
  </w:footnote>
  <w:footnote w:id="27">
    <w:p w14:paraId="1FA3E190" w14:textId="3D359419" w:rsidR="001E47D3" w:rsidRDefault="001E47D3" w:rsidP="00D4090D">
      <w:pPr>
        <w:pStyle w:val="FootnoteText"/>
      </w:pPr>
      <w:r>
        <w:rPr>
          <w:rStyle w:val="FootnoteReference"/>
          <w:rFonts w:eastAsiaTheme="majorEastAsia"/>
        </w:rPr>
        <w:footnoteRef/>
      </w:r>
      <w:r>
        <w:t xml:space="preserve"> Original distances specified in NYSDEC (2009) are in feet, not metres. </w:t>
      </w:r>
    </w:p>
  </w:footnote>
  <w:footnote w:id="28">
    <w:p w14:paraId="6D110FE0" w14:textId="77777777" w:rsidR="001E47D3" w:rsidRPr="00FF093C" w:rsidRDefault="001E47D3" w:rsidP="00D4090D">
      <w:pPr>
        <w:pStyle w:val="FootnoteText"/>
        <w:rPr>
          <w:sz w:val="24"/>
        </w:rPr>
      </w:pPr>
      <w:r w:rsidRPr="00FF093C">
        <w:rPr>
          <w:rStyle w:val="FootnoteReference"/>
          <w:rFonts w:eastAsiaTheme="majorEastAsia"/>
          <w:sz w:val="18"/>
        </w:rPr>
        <w:footnoteRef/>
      </w:r>
      <w:r w:rsidRPr="00FF093C">
        <w:rPr>
          <w:sz w:val="24"/>
        </w:rPr>
        <w:t xml:space="preserve"> </w:t>
      </w:r>
      <w:r>
        <w:t>e</w:t>
      </w:r>
      <w:r w:rsidRPr="00FF093C">
        <w:t>xcluding engineered impoundments constructed for fresh water storage associated with fracturing operations</w:t>
      </w:r>
    </w:p>
  </w:footnote>
  <w:footnote w:id="29">
    <w:p w14:paraId="429AF7EA" w14:textId="77777777" w:rsidR="001E47D3" w:rsidRDefault="001E47D3" w:rsidP="00D4090D">
      <w:pPr>
        <w:pStyle w:val="FootnoteText"/>
      </w:pPr>
      <w:r>
        <w:rPr>
          <w:rStyle w:val="FootnoteReference"/>
          <w:rFonts w:eastAsiaTheme="majorEastAsia"/>
        </w:rPr>
        <w:footnoteRef/>
      </w:r>
      <w:r>
        <w:t xml:space="preserve"> </w:t>
      </w:r>
      <w:r w:rsidRPr="00DC617C">
        <w:t>http://www.dec.ny.gov/data/dmn/ogprdsgeisfull.pdf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C75C2" w14:textId="547E5D90" w:rsidR="001E47D3" w:rsidRDefault="00856603" w:rsidP="00856603">
    <w:pPr>
      <w:pStyle w:val="Header"/>
      <w:spacing w:before="0" w:after="0"/>
      <w:jc w:val="center"/>
      <w:rPr>
        <w:rFonts w:cs="Arial"/>
        <w:color w:val="000000"/>
        <w:sz w:val="18"/>
      </w:rPr>
    </w:pPr>
    <w:bookmarkStart w:id="1" w:name="aliashAdvancedHeaderFoot1HeaderEvenPages"/>
    <w:r>
      <w:rPr>
        <w:rFonts w:cs="Arial"/>
        <w:color w:val="000000"/>
        <w:sz w:val="18"/>
      </w:rPr>
      <w:t>UNCLASSIFIED</w:t>
    </w:r>
  </w:p>
  <w:bookmarkEnd w:id="1"/>
  <w:p w14:paraId="4C3AD49F" w14:textId="77777777" w:rsidR="001E47D3" w:rsidRDefault="001E47D3" w:rsidP="001622C4">
    <w:pPr>
      <w:pStyle w:val="Header"/>
      <w:spacing w:after="0"/>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F29A7" w14:textId="32D1BD12" w:rsidR="006B1FE1" w:rsidRDefault="00856603" w:rsidP="00856603">
    <w:pPr>
      <w:pStyle w:val="Reportcoversubtitle"/>
      <w:spacing w:before="0"/>
      <w:jc w:val="center"/>
      <w:rPr>
        <w:rStyle w:val="Heading2Char"/>
        <w:color w:val="000000"/>
        <w:sz w:val="18"/>
      </w:rPr>
    </w:pPr>
    <w:bookmarkStart w:id="975" w:name="aliashAdvancedHeaderFoote15HeaderPrimary"/>
    <w:r>
      <w:rPr>
        <w:rStyle w:val="Heading2Char"/>
        <w:color w:val="000000"/>
        <w:sz w:val="18"/>
      </w:rPr>
      <w:t>UNCLASSIFIED</w:t>
    </w:r>
  </w:p>
  <w:bookmarkEnd w:id="975"/>
  <w:p w14:paraId="0DE191DB" w14:textId="52CAE279" w:rsidR="001E47D3" w:rsidRPr="00956A06" w:rsidRDefault="001E47D3" w:rsidP="0035559B">
    <w:pPr>
      <w:pStyle w:val="Reportcoversubtitle"/>
      <w:rPr>
        <w:rStyle w:val="Heading2Char"/>
        <w:bCs w:val="0"/>
        <w:iCs w:val="0"/>
        <w:color w:val="7F7F7F" w:themeColor="accent4"/>
      </w:rPr>
    </w:pPr>
    <w:r w:rsidRPr="00956A06">
      <w:rPr>
        <w:rStyle w:val="Heading2Char"/>
        <w:color w:val="7F7F7F" w:themeColor="accent4"/>
      </w:rPr>
      <w:t>Onshore natural gas water science studies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BE312" w14:textId="71CCCC08" w:rsidR="006B1FE1" w:rsidRDefault="00856603" w:rsidP="00856603">
    <w:pPr>
      <w:pStyle w:val="Reportcoversubtitle"/>
      <w:spacing w:before="0"/>
      <w:jc w:val="center"/>
      <w:rPr>
        <w:rStyle w:val="Heading2Char"/>
        <w:color w:val="000000"/>
        <w:sz w:val="18"/>
      </w:rPr>
    </w:pPr>
    <w:bookmarkStart w:id="976" w:name="aliashAdvancedHeaderFoote16HeaderPrimary"/>
    <w:r>
      <w:rPr>
        <w:rStyle w:val="Heading2Char"/>
        <w:color w:val="000000"/>
        <w:sz w:val="18"/>
      </w:rPr>
      <w:t>UNCLASSIFIED</w:t>
    </w:r>
  </w:p>
  <w:bookmarkEnd w:id="976"/>
  <w:p w14:paraId="58834031" w14:textId="79CDC282" w:rsidR="001E47D3" w:rsidRPr="00956A06" w:rsidRDefault="001E47D3" w:rsidP="00825B1C">
    <w:pPr>
      <w:pStyle w:val="Reportcoversubtitle"/>
      <w:rPr>
        <w:rStyle w:val="Heading2Char"/>
        <w:bCs w:val="0"/>
        <w:iCs w:val="0"/>
        <w:color w:val="7F7F7F" w:themeColor="accent4"/>
      </w:rPr>
    </w:pPr>
    <w:r w:rsidRPr="00956A06">
      <w:rPr>
        <w:rStyle w:val="Heading2Char"/>
        <w:color w:val="7F7F7F" w:themeColor="accent4"/>
      </w:rPr>
      <w:t>Onshore natural gas water science studies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8D21A" w14:textId="791CB516" w:rsidR="006B1FE1" w:rsidRDefault="00856603" w:rsidP="00856603">
    <w:pPr>
      <w:pStyle w:val="Reportcoversubtitle"/>
      <w:spacing w:before="0"/>
      <w:jc w:val="center"/>
      <w:rPr>
        <w:rStyle w:val="Heading2Char"/>
        <w:color w:val="000000"/>
        <w:sz w:val="18"/>
      </w:rPr>
    </w:pPr>
    <w:bookmarkStart w:id="1021" w:name="aliashAdvancedHeaderFoote18HeaderPrimary"/>
    <w:r>
      <w:rPr>
        <w:rStyle w:val="Heading2Char"/>
        <w:color w:val="000000"/>
        <w:sz w:val="18"/>
      </w:rPr>
      <w:t>UNCLASSIFIED</w:t>
    </w:r>
  </w:p>
  <w:bookmarkEnd w:id="1021"/>
  <w:p w14:paraId="17F9FC23" w14:textId="73E83511" w:rsidR="001E47D3" w:rsidRPr="00956A06" w:rsidRDefault="001E47D3" w:rsidP="00C3662C">
    <w:pPr>
      <w:pStyle w:val="Reportcoversubtitle"/>
      <w:rPr>
        <w:rStyle w:val="Heading2Char"/>
        <w:bCs w:val="0"/>
        <w:iCs w:val="0"/>
        <w:color w:val="7F7F7F" w:themeColor="accent4"/>
      </w:rPr>
    </w:pPr>
    <w:r w:rsidRPr="00956A06">
      <w:rPr>
        <w:rStyle w:val="Heading2Char"/>
        <w:color w:val="7F7F7F" w:themeColor="accent4"/>
      </w:rPr>
      <w:t>Onshore natural gas water science studies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91F07" w14:textId="19BC30DB" w:rsidR="006B1FE1" w:rsidRDefault="00856603" w:rsidP="00856603">
    <w:pPr>
      <w:pStyle w:val="Reportseriestitleinsidepages"/>
      <w:spacing w:before="0"/>
      <w:jc w:val="center"/>
      <w:rPr>
        <w:rStyle w:val="Heading2Char"/>
        <w:color w:val="000000"/>
        <w:sz w:val="18"/>
      </w:rPr>
    </w:pPr>
    <w:bookmarkStart w:id="1022" w:name="aliashAdvancedHeaderFoo18HeaderFirstPage"/>
    <w:r>
      <w:rPr>
        <w:rStyle w:val="Heading2Char"/>
        <w:color w:val="000000"/>
        <w:sz w:val="18"/>
      </w:rPr>
      <w:t>UNCLASSIFIED</w:t>
    </w:r>
  </w:p>
  <w:bookmarkEnd w:id="1022"/>
  <w:p w14:paraId="0467267B" w14:textId="0E330E52" w:rsidR="001E47D3" w:rsidRPr="00956A06" w:rsidRDefault="001E47D3" w:rsidP="00E35DD3">
    <w:pPr>
      <w:pStyle w:val="Reportseriestitleinsidepages"/>
      <w:spacing w:before="0"/>
    </w:pPr>
    <w:r w:rsidRPr="00956A06">
      <w:rPr>
        <w:rStyle w:val="Heading2Char"/>
        <w:color w:val="7F7F7F" w:themeColor="accent4"/>
      </w:rPr>
      <w:t xml:space="preserve">Onshore natural gas water science studies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9B0223" w14:textId="4BEFC117" w:rsidR="006B1FE1" w:rsidRDefault="00856603" w:rsidP="00856603">
    <w:pPr>
      <w:pStyle w:val="Reportseriestitleinsidepages"/>
      <w:tabs>
        <w:tab w:val="left" w:pos="9638"/>
      </w:tabs>
      <w:spacing w:before="0"/>
      <w:jc w:val="center"/>
      <w:rPr>
        <w:rStyle w:val="Heading2Char"/>
        <w:color w:val="000000"/>
        <w:sz w:val="18"/>
      </w:rPr>
    </w:pPr>
    <w:bookmarkStart w:id="1024" w:name="aliashAdvancedHeaderFoote19HeaderPrimary"/>
    <w:r>
      <w:rPr>
        <w:rStyle w:val="Heading2Char"/>
        <w:color w:val="000000"/>
        <w:sz w:val="18"/>
      </w:rPr>
      <w:t>UNCLASSIFIED</w:t>
    </w:r>
  </w:p>
  <w:bookmarkEnd w:id="1024"/>
  <w:p w14:paraId="52CAB352" w14:textId="40C7C345" w:rsidR="001E47D3" w:rsidRPr="00956A06" w:rsidRDefault="001E47D3" w:rsidP="00097C6E">
    <w:pPr>
      <w:pStyle w:val="Reportseriestitleinsidepages"/>
      <w:tabs>
        <w:tab w:val="left" w:pos="9638"/>
      </w:tabs>
      <w:spacing w:before="0"/>
      <w:rPr>
        <w:rStyle w:val="Heading2Char"/>
        <w:bCs w:val="0"/>
        <w:iCs w:val="0"/>
        <w:color w:val="7F7F7F" w:themeColor="accent4"/>
      </w:rPr>
    </w:pPr>
    <w:r w:rsidRPr="00956A06">
      <w:rPr>
        <w:rStyle w:val="Heading2Char"/>
        <w:color w:val="7F7F7F" w:themeColor="accent4"/>
      </w:rPr>
      <w:t>Onshore natural gas</w:t>
    </w:r>
    <w:r>
      <w:rPr>
        <w:rStyle w:val="Heading2Char"/>
        <w:color w:val="7F7F7F" w:themeColor="accent4"/>
      </w:rPr>
      <w:t xml:space="preserve"> </w:t>
    </w:r>
    <w:r w:rsidRPr="00956A06">
      <w:rPr>
        <w:rStyle w:val="Heading2Char"/>
        <w:color w:val="7F7F7F" w:themeColor="accent4"/>
      </w:rPr>
      <w:t xml:space="preserve">water science studies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517A26" w14:textId="0E08A7DD" w:rsidR="006B1FE1" w:rsidRDefault="00856603" w:rsidP="00856603">
    <w:pPr>
      <w:pStyle w:val="Reportcoversubtitle"/>
      <w:spacing w:before="0"/>
      <w:jc w:val="center"/>
      <w:rPr>
        <w:rStyle w:val="Heading2Char"/>
        <w:color w:val="000000"/>
        <w:sz w:val="18"/>
      </w:rPr>
    </w:pPr>
    <w:bookmarkStart w:id="1025" w:name="aliashAdvancedHeaderFoo19HeaderFirstPage"/>
    <w:r>
      <w:rPr>
        <w:rStyle w:val="Heading2Char"/>
        <w:color w:val="000000"/>
        <w:sz w:val="18"/>
      </w:rPr>
      <w:t>UNCLASSIFIED</w:t>
    </w:r>
  </w:p>
  <w:bookmarkEnd w:id="1025"/>
  <w:p w14:paraId="65051A4B" w14:textId="3AB0EBC3" w:rsidR="001E47D3" w:rsidRPr="00956A06" w:rsidRDefault="001E47D3" w:rsidP="00C3662C">
    <w:pPr>
      <w:pStyle w:val="Reportcoversubtitle"/>
    </w:pPr>
    <w:r w:rsidRPr="00956A06">
      <w:rPr>
        <w:rStyle w:val="Heading2Char"/>
        <w:color w:val="7F7F7F" w:themeColor="accent4"/>
      </w:rPr>
      <w:t xml:space="preserve">Onshore natural gas water science studies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FD735" w14:textId="0866C9A6" w:rsidR="001E47D3" w:rsidRDefault="00856603" w:rsidP="00856603">
    <w:pPr>
      <w:pStyle w:val="Header"/>
      <w:spacing w:before="0" w:after="0"/>
      <w:jc w:val="center"/>
      <w:rPr>
        <w:rFonts w:cs="Arial"/>
        <w:color w:val="000000"/>
        <w:sz w:val="18"/>
      </w:rPr>
    </w:pPr>
    <w:bookmarkStart w:id="1185" w:name="aliashAdvancedHeaderFoo20HeaderEvenPages"/>
    <w:r>
      <w:rPr>
        <w:rFonts w:cs="Arial"/>
        <w:color w:val="000000"/>
        <w:sz w:val="18"/>
      </w:rPr>
      <w:t>UNCLASSIFIED</w:t>
    </w:r>
  </w:p>
  <w:bookmarkEnd w:id="1185"/>
  <w:p w14:paraId="214E3074" w14:textId="77777777" w:rsidR="006B1FE1" w:rsidRDefault="006B1FE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AD8202" w14:textId="59CC8C43" w:rsidR="006B1FE1" w:rsidRDefault="00856603" w:rsidP="00856603">
    <w:pPr>
      <w:pStyle w:val="Reportcoversubtitle"/>
      <w:spacing w:before="0"/>
      <w:jc w:val="center"/>
      <w:rPr>
        <w:rStyle w:val="Heading2Char"/>
        <w:color w:val="000000"/>
        <w:sz w:val="18"/>
      </w:rPr>
    </w:pPr>
    <w:bookmarkStart w:id="1186" w:name="aliashAdvancedHeaderFoote20HeaderPrimary"/>
    <w:r>
      <w:rPr>
        <w:rStyle w:val="Heading2Char"/>
        <w:color w:val="000000"/>
        <w:sz w:val="18"/>
      </w:rPr>
      <w:t>UNCLASSIFIED</w:t>
    </w:r>
  </w:p>
  <w:bookmarkEnd w:id="1186"/>
  <w:p w14:paraId="6596EF9E" w14:textId="499E86FD" w:rsidR="001E47D3" w:rsidRPr="007569A6" w:rsidRDefault="001E47D3" w:rsidP="00C3662C">
    <w:pPr>
      <w:pStyle w:val="Reportcoversubtitle"/>
    </w:pPr>
    <w:r w:rsidRPr="00956A06">
      <w:rPr>
        <w:rStyle w:val="Heading2Char"/>
        <w:color w:val="7F7F7F" w:themeColor="accent4"/>
      </w:rPr>
      <w:t>Onshore natural gas</w:t>
    </w:r>
    <w:r>
      <w:rPr>
        <w:rStyle w:val="Heading2Char"/>
        <w:color w:val="7F7F7F" w:themeColor="accent4"/>
      </w:rPr>
      <w:t xml:space="preserve"> water science studies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B353B2" w14:textId="3B066FFE" w:rsidR="006B1FE1" w:rsidRDefault="00856603" w:rsidP="00856603">
    <w:pPr>
      <w:pStyle w:val="Reportcoversubtitle"/>
      <w:spacing w:before="0"/>
      <w:jc w:val="center"/>
      <w:rPr>
        <w:rStyle w:val="Heading2Char"/>
        <w:color w:val="000000"/>
        <w:sz w:val="18"/>
      </w:rPr>
    </w:pPr>
    <w:bookmarkStart w:id="1189" w:name="aliashAdvancedHeaderFoo20HeaderFirstPage"/>
    <w:r>
      <w:rPr>
        <w:rStyle w:val="Heading2Char"/>
        <w:color w:val="000000"/>
        <w:sz w:val="18"/>
      </w:rPr>
      <w:t>UNCLASSIFIED</w:t>
    </w:r>
  </w:p>
  <w:bookmarkEnd w:id="1189"/>
  <w:p w14:paraId="48A4EC08" w14:textId="4FA58385" w:rsidR="001E47D3" w:rsidRPr="00A26C54" w:rsidRDefault="001E47D3" w:rsidP="006D7668">
    <w:pPr>
      <w:pStyle w:val="Reportcoversubtitle"/>
    </w:pPr>
    <w:r w:rsidRPr="00956A06">
      <w:rPr>
        <w:rStyle w:val="Heading2Char"/>
        <w:color w:val="7F7F7F" w:themeColor="accent4"/>
      </w:rPr>
      <w:t>O</w:t>
    </w:r>
    <w:r w:rsidRPr="006D7668">
      <w:t>nsho</w:t>
    </w:r>
    <w:r w:rsidRPr="00956A06">
      <w:rPr>
        <w:rStyle w:val="Heading2Char"/>
        <w:color w:val="7F7F7F" w:themeColor="accent4"/>
      </w:rPr>
      <w:t>re natural gas</w:t>
    </w:r>
    <w:r>
      <w:rPr>
        <w:rStyle w:val="Heading2Char"/>
        <w:color w:val="7F7F7F" w:themeColor="accent4"/>
      </w:rPr>
      <w:t xml:space="preserve"> water s</w:t>
    </w:r>
    <w:r w:rsidRPr="006D7668">
      <w:t>cience studie</w:t>
    </w:r>
    <w:r>
      <w:rPr>
        <w:rStyle w:val="Heading2Char"/>
        <w:color w:val="7F7F7F" w:themeColor="accent4"/>
      </w:rPr>
      <w:t>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66BDA4" w14:textId="5982A57C" w:rsidR="001E47D3" w:rsidRDefault="00856603" w:rsidP="00856603">
    <w:pPr>
      <w:pStyle w:val="Header"/>
      <w:spacing w:before="0" w:after="0"/>
      <w:jc w:val="center"/>
      <w:rPr>
        <w:rFonts w:cs="Arial"/>
        <w:color w:val="000000"/>
        <w:sz w:val="18"/>
      </w:rPr>
    </w:pPr>
    <w:bookmarkStart w:id="1216" w:name="aliashAdvancedHeaderFoo25HeaderFirstPage"/>
    <w:r>
      <w:rPr>
        <w:rFonts w:cs="Arial"/>
        <w:color w:val="000000"/>
        <w:sz w:val="18"/>
      </w:rPr>
      <w:t>UNCLASSIFIED</w:t>
    </w:r>
  </w:p>
  <w:bookmarkEnd w:id="1216"/>
  <w:p w14:paraId="2698184E" w14:textId="77777777" w:rsidR="006B1FE1" w:rsidRPr="00C253B0" w:rsidRDefault="006B1FE1" w:rsidP="00021555">
    <w:pPr>
      <w:pStyle w:val="Heade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FAB54E" w14:textId="18A5BB9E" w:rsidR="006B1FE1" w:rsidRDefault="00856603" w:rsidP="00856603">
    <w:pPr>
      <w:pStyle w:val="Reportcoversubtitle"/>
      <w:spacing w:before="0"/>
      <w:jc w:val="center"/>
      <w:rPr>
        <w:rStyle w:val="Heading2Char"/>
        <w:color w:val="000000"/>
        <w:sz w:val="18"/>
      </w:rPr>
    </w:pPr>
    <w:bookmarkStart w:id="2" w:name="aliashAdvancedHeaderFooter1HeaderPrimary"/>
    <w:r>
      <w:rPr>
        <w:rStyle w:val="Heading2Char"/>
        <w:color w:val="000000"/>
        <w:sz w:val="18"/>
      </w:rPr>
      <w:t>UNCLASSIFIED</w:t>
    </w:r>
  </w:p>
  <w:bookmarkEnd w:id="2"/>
  <w:p w14:paraId="153E2191" w14:textId="4965C31B" w:rsidR="001E47D3" w:rsidRPr="0081053C" w:rsidRDefault="001E47D3" w:rsidP="009225C1">
    <w:pPr>
      <w:pStyle w:val="Reportcoversubtitle"/>
    </w:pPr>
    <w:r w:rsidRPr="00956A06">
      <w:rPr>
        <w:rStyle w:val="Heading2Char"/>
        <w:color w:val="7F7F7F" w:themeColor="accent4"/>
      </w:rPr>
      <w:t>Onshore natural gas water science studies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93991D" w14:textId="21C015BE" w:rsidR="006B1FE1" w:rsidRDefault="00856603" w:rsidP="00856603">
    <w:pPr>
      <w:pStyle w:val="Reportcoversubtitle"/>
      <w:spacing w:before="0"/>
      <w:jc w:val="center"/>
      <w:rPr>
        <w:rStyle w:val="Heading2Char"/>
        <w:bCs w:val="0"/>
        <w:iCs w:val="0"/>
        <w:color w:val="000000"/>
        <w:sz w:val="18"/>
        <w:szCs w:val="32"/>
      </w:rPr>
    </w:pPr>
    <w:bookmarkStart w:id="5" w:name="aliashAdvancedHeaderFoot1HeaderFirstPage"/>
    <w:r>
      <w:rPr>
        <w:rStyle w:val="Heading2Char"/>
        <w:bCs w:val="0"/>
        <w:iCs w:val="0"/>
        <w:color w:val="000000"/>
        <w:sz w:val="18"/>
        <w:szCs w:val="32"/>
      </w:rPr>
      <w:t>UNCLASSIFIED</w:t>
    </w:r>
  </w:p>
  <w:bookmarkEnd w:id="5"/>
  <w:p w14:paraId="670DC025" w14:textId="001F6C8A" w:rsidR="001E47D3" w:rsidRPr="00EE0F7D" w:rsidRDefault="001E47D3" w:rsidP="009225C1">
    <w:pPr>
      <w:pStyle w:val="Reportcoversubtitle"/>
      <w:rPr>
        <w:rStyle w:val="Heading2Char"/>
        <w:rFonts w:cs="Times New Roman"/>
        <w:bCs w:val="0"/>
        <w:iCs w:val="0"/>
        <w:color w:val="7F7F7F" w:themeColor="accent4"/>
        <w:szCs w:val="32"/>
      </w:rPr>
    </w:pPr>
    <w:r w:rsidRPr="007800EC">
      <w:rPr>
        <w:rStyle w:val="Heading2Char"/>
        <w:bCs w:val="0"/>
        <w:iCs w:val="0"/>
        <w:color w:val="7F7F7F" w:themeColor="accent4"/>
        <w:szCs w:val="32"/>
      </w:rPr>
      <w:t>Onshore natural gas water science studies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1CAA0F" w14:textId="7FFEB8D2" w:rsidR="006B1FE1" w:rsidRDefault="00856603" w:rsidP="00856603">
    <w:pPr>
      <w:pStyle w:val="Reportcoversubtitle"/>
      <w:spacing w:before="0"/>
      <w:jc w:val="center"/>
      <w:rPr>
        <w:rStyle w:val="Heading2Char"/>
        <w:bCs w:val="0"/>
        <w:iCs w:val="0"/>
        <w:color w:val="000000"/>
        <w:sz w:val="18"/>
        <w:szCs w:val="32"/>
      </w:rPr>
    </w:pPr>
    <w:bookmarkStart w:id="8" w:name="aliashAdvancedHeaderFoot2HeaderFirstPage"/>
    <w:r>
      <w:rPr>
        <w:rStyle w:val="Heading2Char"/>
        <w:bCs w:val="0"/>
        <w:iCs w:val="0"/>
        <w:color w:val="000000"/>
        <w:sz w:val="18"/>
        <w:szCs w:val="32"/>
      </w:rPr>
      <w:t>UNCLASSIFIED</w:t>
    </w:r>
  </w:p>
  <w:bookmarkEnd w:id="8"/>
  <w:p w14:paraId="5E3E71C3" w14:textId="1B0FE6F9" w:rsidR="001E47D3" w:rsidRPr="009225C1" w:rsidRDefault="001E47D3" w:rsidP="009225C1">
    <w:pPr>
      <w:pStyle w:val="Reportcoversubtitle"/>
    </w:pPr>
    <w:r w:rsidRPr="009225C1">
      <w:rPr>
        <w:rStyle w:val="Heading2Char"/>
        <w:rFonts w:cs="Times New Roman"/>
        <w:bCs w:val="0"/>
        <w:iCs w:val="0"/>
        <w:color w:val="7F7F7F" w:themeColor="accent4"/>
        <w:szCs w:val="32"/>
      </w:rPr>
      <w:t xml:space="preserve">Onshore natural gas water science studies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7189E" w14:textId="46A87883" w:rsidR="006B1FE1" w:rsidRDefault="00856603" w:rsidP="00856603">
    <w:pPr>
      <w:pStyle w:val="Reportcoversubtitle"/>
      <w:spacing w:before="0"/>
      <w:jc w:val="center"/>
      <w:rPr>
        <w:rStyle w:val="Heading2Char"/>
        <w:color w:val="000000"/>
        <w:sz w:val="18"/>
      </w:rPr>
    </w:pPr>
    <w:bookmarkStart w:id="691" w:name="aliashAdvancedHeaderFooter9HeaderPrimary"/>
    <w:r>
      <w:rPr>
        <w:rStyle w:val="Heading2Char"/>
        <w:color w:val="000000"/>
        <w:sz w:val="18"/>
      </w:rPr>
      <w:t>UNCLASSIFIED</w:t>
    </w:r>
  </w:p>
  <w:bookmarkEnd w:id="691"/>
  <w:p w14:paraId="346A39FA" w14:textId="0D913B28" w:rsidR="001E47D3" w:rsidRPr="00956A06" w:rsidRDefault="001E47D3" w:rsidP="00BE3DE2">
    <w:pPr>
      <w:pStyle w:val="Reportcoversubtitle"/>
      <w:rPr>
        <w:rStyle w:val="Heading2Char"/>
        <w:bCs w:val="0"/>
        <w:iCs w:val="0"/>
        <w:color w:val="7F7F7F" w:themeColor="accent4"/>
      </w:rPr>
    </w:pPr>
    <w:r w:rsidRPr="00956A06">
      <w:rPr>
        <w:rStyle w:val="Heading2Char"/>
        <w:color w:val="7F7F7F" w:themeColor="accent4"/>
      </w:rPr>
      <w:t xml:space="preserve">Onshore natural gas water science studies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55EC2" w14:textId="6BEE72DE" w:rsidR="006B1FE1" w:rsidRDefault="00856603" w:rsidP="00856603">
    <w:pPr>
      <w:pStyle w:val="Reportcoversubtitle"/>
      <w:spacing w:before="0"/>
      <w:jc w:val="center"/>
      <w:rPr>
        <w:rStyle w:val="Heading2Char"/>
        <w:color w:val="000000"/>
        <w:sz w:val="18"/>
      </w:rPr>
    </w:pPr>
    <w:bookmarkStart w:id="692" w:name="aliashAdvancedHeaderFoot9HeaderFirstPage"/>
    <w:r>
      <w:rPr>
        <w:rStyle w:val="Heading2Char"/>
        <w:color w:val="000000"/>
        <w:sz w:val="18"/>
      </w:rPr>
      <w:t>UNCLASSIFIED</w:t>
    </w:r>
  </w:p>
  <w:bookmarkEnd w:id="692"/>
  <w:p w14:paraId="0E3EFC47" w14:textId="45C6966B" w:rsidR="001E47D3" w:rsidRPr="00956A06" w:rsidRDefault="001E47D3" w:rsidP="00BE3DE2">
    <w:pPr>
      <w:pStyle w:val="Reportcoversubtitle"/>
    </w:pPr>
    <w:r w:rsidRPr="00956A06">
      <w:rPr>
        <w:rStyle w:val="Heading2Char"/>
        <w:color w:val="7F7F7F" w:themeColor="accent4"/>
      </w:rPr>
      <w:t xml:space="preserve">Onshore natural gas water science studies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08D32" w14:textId="7AA9B63E" w:rsidR="006B1FE1" w:rsidRDefault="00856603" w:rsidP="00856603">
    <w:pPr>
      <w:pStyle w:val="Reportcoversubtitle"/>
      <w:spacing w:before="0"/>
      <w:jc w:val="center"/>
      <w:rPr>
        <w:rStyle w:val="Heading2Char"/>
        <w:color w:val="000000"/>
        <w:sz w:val="18"/>
      </w:rPr>
    </w:pPr>
    <w:bookmarkStart w:id="957" w:name="aliashAdvancedHeaderFoote13HeaderPrimary"/>
    <w:r>
      <w:rPr>
        <w:rStyle w:val="Heading2Char"/>
        <w:color w:val="000000"/>
        <w:sz w:val="18"/>
      </w:rPr>
      <w:t>UNCLASSIFIED</w:t>
    </w:r>
  </w:p>
  <w:bookmarkEnd w:id="957"/>
  <w:p w14:paraId="4E25A971" w14:textId="68A9D941" w:rsidR="001E47D3" w:rsidRPr="00956A06" w:rsidRDefault="001E47D3" w:rsidP="000E55ED">
    <w:pPr>
      <w:pStyle w:val="Reportcoversubtitle"/>
      <w:rPr>
        <w:rStyle w:val="Heading2Char"/>
        <w:bCs w:val="0"/>
        <w:iCs w:val="0"/>
        <w:color w:val="7F7F7F" w:themeColor="accent4"/>
      </w:rPr>
    </w:pPr>
    <w:r w:rsidRPr="00956A06">
      <w:rPr>
        <w:rStyle w:val="Heading2Char"/>
        <w:color w:val="7F7F7F" w:themeColor="accent4"/>
      </w:rPr>
      <w:t>Onshore natural gas water science studies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CD025" w14:textId="0EB93794" w:rsidR="006B1FE1" w:rsidRDefault="00856603" w:rsidP="00856603">
    <w:pPr>
      <w:pStyle w:val="Reportcoversubtitle"/>
      <w:spacing w:before="0"/>
      <w:jc w:val="center"/>
      <w:rPr>
        <w:rStyle w:val="Heading2Char"/>
        <w:color w:val="000000"/>
        <w:sz w:val="18"/>
      </w:rPr>
    </w:pPr>
    <w:bookmarkStart w:id="958" w:name="aliashAdvancedHeaderFoo13HeaderFirstPage"/>
    <w:r>
      <w:rPr>
        <w:rStyle w:val="Heading2Char"/>
        <w:color w:val="000000"/>
        <w:sz w:val="18"/>
      </w:rPr>
      <w:t>UNCLASSIFIED</w:t>
    </w:r>
  </w:p>
  <w:bookmarkEnd w:id="958"/>
  <w:p w14:paraId="23EFD402" w14:textId="7521B655" w:rsidR="001E47D3" w:rsidRPr="00956A06" w:rsidRDefault="001E47D3" w:rsidP="000E55ED">
    <w:pPr>
      <w:pStyle w:val="Reportcoversubtitle"/>
    </w:pPr>
    <w:r w:rsidRPr="00956A06">
      <w:rPr>
        <w:rStyle w:val="Heading2Char"/>
        <w:color w:val="7F7F7F" w:themeColor="accent4"/>
      </w:rPr>
      <w:t xml:space="preserve">Onshore natural gas water science studies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FA1A2C" w14:textId="05209B4E" w:rsidR="006B1FE1" w:rsidRDefault="00856603" w:rsidP="00856603">
    <w:pPr>
      <w:pStyle w:val="Reportcoversubtitle"/>
      <w:spacing w:before="0"/>
      <w:jc w:val="center"/>
      <w:rPr>
        <w:rStyle w:val="Heading2Char"/>
        <w:color w:val="000000"/>
        <w:sz w:val="18"/>
      </w:rPr>
    </w:pPr>
    <w:bookmarkStart w:id="974" w:name="aliashAdvancedHeaderFoo14HeaderFirstPage"/>
    <w:r>
      <w:rPr>
        <w:rStyle w:val="Heading2Char"/>
        <w:color w:val="000000"/>
        <w:sz w:val="18"/>
      </w:rPr>
      <w:t>UNCLASSIFIED</w:t>
    </w:r>
  </w:p>
  <w:bookmarkEnd w:id="974"/>
  <w:p w14:paraId="50936592" w14:textId="4B35974C" w:rsidR="001E47D3" w:rsidRPr="00956A06" w:rsidRDefault="001E47D3" w:rsidP="000E55ED">
    <w:pPr>
      <w:pStyle w:val="Reportcoversubtitle"/>
    </w:pPr>
    <w:r w:rsidRPr="00956A06">
      <w:rPr>
        <w:rStyle w:val="Heading2Char"/>
        <w:color w:val="7F7F7F" w:themeColor="accent4"/>
      </w:rPr>
      <w:t>Onshore natural gas</w:t>
    </w:r>
    <w:r>
      <w:rPr>
        <w:rStyle w:val="Heading2Char"/>
        <w:color w:val="7F7F7F" w:themeColor="accent4"/>
      </w:rPr>
      <w:t xml:space="preserve"> </w:t>
    </w:r>
    <w:r w:rsidRPr="00956A06">
      <w:rPr>
        <w:rStyle w:val="Heading2Char"/>
        <w:color w:val="7F7F7F" w:themeColor="accent4"/>
      </w:rPr>
      <w:t>water science studies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E4AE77E6"/>
    <w:lvl w:ilvl="0">
      <w:start w:val="1"/>
      <w:numFmt w:val="decimal"/>
      <w:lvlText w:val="%1."/>
      <w:lvlJc w:val="left"/>
      <w:pPr>
        <w:tabs>
          <w:tab w:val="num" w:pos="360"/>
        </w:tabs>
        <w:ind w:left="360" w:hanging="360"/>
      </w:pPr>
    </w:lvl>
  </w:abstractNum>
  <w:abstractNum w:abstractNumId="1"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13F733D"/>
    <w:multiLevelType w:val="hybridMultilevel"/>
    <w:tmpl w:val="61F8C2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2D00E14"/>
    <w:multiLevelType w:val="multilevel"/>
    <w:tmpl w:val="6098423A"/>
    <w:styleLink w:val="SKMTablesmallitem"/>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4" w15:restartNumberingAfterBreak="0">
    <w:nsid w:val="07C845CD"/>
    <w:multiLevelType w:val="hybridMultilevel"/>
    <w:tmpl w:val="25EE6CAC"/>
    <w:lvl w:ilvl="0" w:tplc="6A36F48E">
      <w:start w:val="1"/>
      <w:numFmt w:val="bullet"/>
      <w:lvlText w:val=""/>
      <w:lvlJc w:val="left"/>
      <w:pPr>
        <w:tabs>
          <w:tab w:val="num" w:pos="1260"/>
        </w:tabs>
        <w:ind w:left="1260" w:hanging="360"/>
      </w:pPr>
      <w:rPr>
        <w:rFonts w:ascii="Symbol" w:hAnsi="Symbol" w:hint="default"/>
        <w:b/>
        <w:i w:val="0"/>
        <w:color w:val="auto"/>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640E94"/>
    <w:multiLevelType w:val="hybridMultilevel"/>
    <w:tmpl w:val="084A75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9CF0B20"/>
    <w:multiLevelType w:val="hybridMultilevel"/>
    <w:tmpl w:val="54BADBDC"/>
    <w:lvl w:ilvl="0" w:tplc="092C556A">
      <w:start w:val="1"/>
      <w:numFmt w:val="bullet"/>
      <w:pStyle w:val="ContentBulletsArrow"/>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7" w15:restartNumberingAfterBreak="0">
    <w:nsid w:val="09E53B47"/>
    <w:multiLevelType w:val="hybridMultilevel"/>
    <w:tmpl w:val="255CAABC"/>
    <w:lvl w:ilvl="0" w:tplc="14CC1B92">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0329A8"/>
    <w:multiLevelType w:val="multilevel"/>
    <w:tmpl w:val="C3E6BF9C"/>
    <w:lvl w:ilvl="0">
      <w:start w:val="1"/>
      <w:numFmt w:val="upperLetter"/>
      <w:pStyle w:val="Heading1"/>
      <w:lvlText w:val="Appendix %1"/>
      <w:lvlJc w:val="left"/>
      <w:pPr>
        <w:ind w:left="360" w:hanging="360"/>
      </w:pPr>
      <w:rPr>
        <w:rFonts w:ascii="Arial" w:hAnsi="Arial" w:hint="default"/>
      </w:r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0B317B0E"/>
    <w:multiLevelType w:val="hybridMultilevel"/>
    <w:tmpl w:val="6040D80A"/>
    <w:lvl w:ilvl="0" w:tplc="59C2D538">
      <w:start w:val="1"/>
      <w:numFmt w:val="decimal"/>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0" w15:restartNumberingAfterBreak="0">
    <w:nsid w:val="119C3D10"/>
    <w:multiLevelType w:val="hybridMultilevel"/>
    <w:tmpl w:val="AAE83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4554125"/>
    <w:multiLevelType w:val="multilevel"/>
    <w:tmpl w:val="6098423A"/>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2" w15:restartNumberingAfterBreak="0">
    <w:nsid w:val="15156EB2"/>
    <w:multiLevelType w:val="multilevel"/>
    <w:tmpl w:val="AAF86D54"/>
    <w:styleLink w:val="SKM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3" w15:restartNumberingAfterBreak="0">
    <w:nsid w:val="16475670"/>
    <w:multiLevelType w:val="hybridMultilevel"/>
    <w:tmpl w:val="8C868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7C10C25"/>
    <w:multiLevelType w:val="multilevel"/>
    <w:tmpl w:val="6374F090"/>
    <w:styleLink w:val="SKMNumberedList11"/>
    <w:lvl w:ilvl="0">
      <w:start w:val="1"/>
      <w:numFmt w:val="bullet"/>
      <w:lvlText w:val=""/>
      <w:lvlJc w:val="left"/>
      <w:pPr>
        <w:ind w:left="425" w:hanging="425"/>
      </w:pPr>
      <w:rPr>
        <w:rFonts w:ascii="Symbol" w:hAnsi="Symbol" w:hint="default"/>
        <w:color w:val="auto"/>
        <w:sz w:val="16"/>
      </w:rPr>
    </w:lvl>
    <w:lvl w:ilvl="1">
      <w:start w:val="1"/>
      <w:numFmt w:val="bullet"/>
      <w:pStyle w:val="Para1narrowarrow"/>
      <w:lvlText w:val="-"/>
      <w:lvlJc w:val="left"/>
      <w:pPr>
        <w:ind w:left="851" w:hanging="426"/>
      </w:pPr>
      <w:rPr>
        <w:rFonts w:ascii="Arial" w:hAnsi="Arial" w:hint="default"/>
        <w:color w:val="005A97"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5" w15:restartNumberingAfterBreak="0">
    <w:nsid w:val="1B3164D1"/>
    <w:multiLevelType w:val="hybridMultilevel"/>
    <w:tmpl w:val="D8DAB1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B734245"/>
    <w:multiLevelType w:val="multilevel"/>
    <w:tmpl w:val="7AD4B26A"/>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005A97"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7" w15:restartNumberingAfterBreak="0">
    <w:nsid w:val="1EFA1E83"/>
    <w:multiLevelType w:val="hybridMultilevel"/>
    <w:tmpl w:val="771019A6"/>
    <w:lvl w:ilvl="0" w:tplc="C9B609CC">
      <w:start w:val="1"/>
      <w:numFmt w:val="bullet"/>
      <w:lvlText w:val=""/>
      <w:lvlJc w:val="left"/>
      <w:pPr>
        <w:tabs>
          <w:tab w:val="num" w:pos="2160"/>
        </w:tabs>
        <w:ind w:left="2160" w:hanging="360"/>
      </w:pPr>
      <w:rPr>
        <w:rFonts w:ascii="Symbol" w:hAnsi="Symbol" w:hint="default"/>
      </w:rPr>
    </w:lvl>
    <w:lvl w:ilvl="1" w:tplc="DD9C5018">
      <w:start w:val="1"/>
      <w:numFmt w:val="bullet"/>
      <w:lvlText w:val="o"/>
      <w:lvlJc w:val="left"/>
      <w:pPr>
        <w:tabs>
          <w:tab w:val="num" w:pos="1440"/>
        </w:tabs>
        <w:ind w:left="1440" w:hanging="360"/>
      </w:pPr>
      <w:rPr>
        <w:rFonts w:ascii="Courier New" w:hAnsi="Courier New" w:cs="Aria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F745BC2"/>
    <w:multiLevelType w:val="multilevel"/>
    <w:tmpl w:val="E5E89F92"/>
    <w:numStyleLink w:val="BulletList"/>
  </w:abstractNum>
  <w:abstractNum w:abstractNumId="19" w15:restartNumberingAfterBreak="0">
    <w:nsid w:val="202A2F37"/>
    <w:multiLevelType w:val="hybridMultilevel"/>
    <w:tmpl w:val="3D0A32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0A93BB0"/>
    <w:multiLevelType w:val="multilevel"/>
    <w:tmpl w:val="A462EF18"/>
    <w:styleLink w:val="SKM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pStyle w:val="Para2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21" w15:restartNumberingAfterBreak="0">
    <w:nsid w:val="2379171E"/>
    <w:multiLevelType w:val="hybridMultilevel"/>
    <w:tmpl w:val="2CB8FD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445318D"/>
    <w:multiLevelType w:val="multilevel"/>
    <w:tmpl w:val="A462EF18"/>
    <w:lvl w:ilvl="0">
      <w:start w:val="1"/>
      <w:numFmt w:val="decimal"/>
      <w:lvlText w:val="%1)"/>
      <w:lvlJc w:val="left"/>
      <w:pPr>
        <w:ind w:left="1276" w:hanging="425"/>
      </w:pPr>
      <w:rPr>
        <w:rFonts w:hint="default"/>
      </w:rPr>
    </w:lvl>
    <w:lvl w:ilvl="1">
      <w:start w:val="1"/>
      <w:numFmt w:val="lowerLetter"/>
      <w:lvlText w:val="%2)"/>
      <w:lvlJc w:val="left"/>
      <w:pPr>
        <w:ind w:left="1560" w:hanging="426"/>
      </w:pPr>
      <w:rPr>
        <w:rFonts w:hint="default"/>
      </w:rPr>
    </w:lvl>
    <w:lvl w:ilvl="2">
      <w:start w:val="1"/>
      <w:numFmt w:val="lowerRoman"/>
      <w:lvlText w:val="%3."/>
      <w:lvlJc w:val="left"/>
      <w:pPr>
        <w:ind w:left="1985" w:hanging="425"/>
      </w:pPr>
      <w:rPr>
        <w:rFonts w:hint="default"/>
      </w:rPr>
    </w:lvl>
    <w:lvl w:ilvl="3">
      <w:start w:val="1"/>
      <w:numFmt w:val="none"/>
      <w:lvlRestart w:val="0"/>
      <w:lvlText w:val=""/>
      <w:lvlJc w:val="left"/>
      <w:pPr>
        <w:ind w:left="1985" w:hanging="425"/>
      </w:pPr>
      <w:rPr>
        <w:rFonts w:hint="default"/>
      </w:rPr>
    </w:lvl>
    <w:lvl w:ilvl="4">
      <w:start w:val="1"/>
      <w:numFmt w:val="none"/>
      <w:lvlRestart w:val="0"/>
      <w:lvlText w:val=""/>
      <w:lvlJc w:val="left"/>
      <w:pPr>
        <w:ind w:left="1985" w:hanging="425"/>
      </w:pPr>
      <w:rPr>
        <w:rFonts w:hint="default"/>
      </w:rPr>
    </w:lvl>
    <w:lvl w:ilvl="5">
      <w:start w:val="1"/>
      <w:numFmt w:val="none"/>
      <w:lvlRestart w:val="0"/>
      <w:lvlText w:val=""/>
      <w:lvlJc w:val="left"/>
      <w:pPr>
        <w:ind w:left="1985" w:hanging="425"/>
      </w:pPr>
      <w:rPr>
        <w:rFonts w:hint="default"/>
      </w:rPr>
    </w:lvl>
    <w:lvl w:ilvl="6">
      <w:start w:val="1"/>
      <w:numFmt w:val="none"/>
      <w:lvlRestart w:val="0"/>
      <w:lvlText w:val=""/>
      <w:lvlJc w:val="left"/>
      <w:pPr>
        <w:ind w:left="1985" w:hanging="425"/>
      </w:pPr>
      <w:rPr>
        <w:rFonts w:hint="default"/>
      </w:rPr>
    </w:lvl>
    <w:lvl w:ilvl="7">
      <w:start w:val="1"/>
      <w:numFmt w:val="none"/>
      <w:lvlRestart w:val="0"/>
      <w:lvlText w:val=""/>
      <w:lvlJc w:val="left"/>
      <w:pPr>
        <w:ind w:left="1985" w:hanging="425"/>
      </w:pPr>
      <w:rPr>
        <w:rFonts w:hint="default"/>
      </w:rPr>
    </w:lvl>
    <w:lvl w:ilvl="8">
      <w:start w:val="1"/>
      <w:numFmt w:val="none"/>
      <w:lvlRestart w:val="0"/>
      <w:lvlText w:val=""/>
      <w:lvlJc w:val="left"/>
      <w:pPr>
        <w:ind w:left="1985" w:hanging="425"/>
      </w:pPr>
      <w:rPr>
        <w:rFonts w:hint="default"/>
      </w:rPr>
    </w:lvl>
  </w:abstractNum>
  <w:abstractNum w:abstractNumId="23" w15:restartNumberingAfterBreak="0">
    <w:nsid w:val="24B32922"/>
    <w:multiLevelType w:val="hybridMultilevel"/>
    <w:tmpl w:val="FF68E51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AFC3193"/>
    <w:multiLevelType w:val="hybridMultilevel"/>
    <w:tmpl w:val="AC8AB024"/>
    <w:lvl w:ilvl="0" w:tplc="A02EA252">
      <w:start w:val="1"/>
      <w:numFmt w:val="lowerLetter"/>
      <w:pStyle w:val="ContentBulletsLetter"/>
      <w:lvlText w:val="%1)"/>
      <w:lvlJc w:val="left"/>
      <w:pPr>
        <w:ind w:left="1418" w:hanging="851"/>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E2B5A00"/>
    <w:multiLevelType w:val="multilevel"/>
    <w:tmpl w:val="269EDFAC"/>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lvlRestart w:val="1"/>
      <w:lvlText w:val="%1.%2.%3"/>
      <w:lvlJc w:val="left"/>
      <w:pPr>
        <w:ind w:left="851"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4555BA7"/>
    <w:multiLevelType w:val="hybridMultilevel"/>
    <w:tmpl w:val="1BB093FC"/>
    <w:lvl w:ilvl="0" w:tplc="F8EE6AEA">
      <w:start w:val="1"/>
      <w:numFmt w:val="lowerRoman"/>
      <w:pStyle w:val="ContentBulletsRomanNumeral"/>
      <w:lvlText w:val="%1."/>
      <w:lvlJc w:val="left"/>
      <w:pPr>
        <w:ind w:left="1418" w:hanging="851"/>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4AF4FD0"/>
    <w:multiLevelType w:val="hybridMultilevel"/>
    <w:tmpl w:val="3EEC5F0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543192A"/>
    <w:multiLevelType w:val="hybridMultilevel"/>
    <w:tmpl w:val="2D022A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57C1A2E"/>
    <w:multiLevelType w:val="hybridMultilevel"/>
    <w:tmpl w:val="001A4F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5C7417C"/>
    <w:multiLevelType w:val="hybridMultilevel"/>
    <w:tmpl w:val="FC18D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62B4654"/>
    <w:multiLevelType w:val="hybridMultilevel"/>
    <w:tmpl w:val="29BA2BC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73B2EF5C">
      <w:start w:val="1"/>
      <w:numFmt w:val="bullet"/>
      <w:lvlText w:val="-"/>
      <w:lvlJc w:val="left"/>
      <w:pPr>
        <w:ind w:left="644" w:hanging="360"/>
      </w:pPr>
      <w:rPr>
        <w:rFonts w:ascii="Arial" w:eastAsiaTheme="minorEastAsia"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7E51085"/>
    <w:multiLevelType w:val="hybridMultilevel"/>
    <w:tmpl w:val="CC128714"/>
    <w:lvl w:ilvl="0" w:tplc="0C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95C4B27"/>
    <w:multiLevelType w:val="hybridMultilevel"/>
    <w:tmpl w:val="A30CA2A0"/>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C7340DD"/>
    <w:multiLevelType w:val="multilevel"/>
    <w:tmpl w:val="AAF86D54"/>
    <w:lvl w:ilvl="0">
      <w:start w:val="1"/>
      <w:numFmt w:val="lower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5" w15:restartNumberingAfterBreak="0">
    <w:nsid w:val="3D116354"/>
    <w:multiLevelType w:val="multilevel"/>
    <w:tmpl w:val="F5AC586E"/>
    <w:styleLink w:val="SKMBulletList2"/>
    <w:lvl w:ilvl="0">
      <w:start w:val="1"/>
      <w:numFmt w:val="bullet"/>
      <w:pStyle w:val="Para0dash"/>
      <w:lvlText w:val="-"/>
      <w:lvlJc w:val="left"/>
      <w:pPr>
        <w:ind w:left="425" w:hanging="425"/>
      </w:pPr>
      <w:rPr>
        <w:rFonts w:ascii="Arial" w:hAnsi="Arial" w:hint="default"/>
        <w:color w:val="005A97"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6" w15:restartNumberingAfterBreak="0">
    <w:nsid w:val="42D76D76"/>
    <w:multiLevelType w:val="multilevel"/>
    <w:tmpl w:val="0060B47C"/>
    <w:styleLink w:val="SKMBodyList"/>
    <w:lvl w:ilvl="0">
      <w:start w:val="1"/>
      <w:numFmt w:val="bullet"/>
      <w:pStyle w:val="Bodynarrowbullet"/>
      <w:lvlText w:val=""/>
      <w:lvlJc w:val="left"/>
      <w:pPr>
        <w:tabs>
          <w:tab w:val="num" w:pos="3600"/>
        </w:tabs>
        <w:ind w:left="3600" w:hanging="3600"/>
      </w:pPr>
      <w:rPr>
        <w:rFonts w:ascii="Symbol" w:hAnsi="Symbol" w:hint="default"/>
        <w:color w:val="auto"/>
      </w:rPr>
    </w:lvl>
    <w:lvl w:ilvl="1">
      <w:start w:val="1"/>
      <w:numFmt w:val="bullet"/>
      <w:lvlRestart w:val="0"/>
      <w:pStyle w:val="Bodynarrowarrow"/>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37" w15:restartNumberingAfterBreak="0">
    <w:nsid w:val="463A5B7F"/>
    <w:multiLevelType w:val="hybridMultilevel"/>
    <w:tmpl w:val="CA98D506"/>
    <w:lvl w:ilvl="0" w:tplc="C2B8A1AA">
      <w:start w:val="1"/>
      <w:numFmt w:val="decimal"/>
      <w:lvlText w:val="B%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48326CB3"/>
    <w:multiLevelType w:val="multilevel"/>
    <w:tmpl w:val="B8BEFF94"/>
    <w:lvl w:ilvl="0">
      <w:start w:val="2"/>
      <w:numFmt w:val="decimal"/>
      <w:lvlText w:val="%1"/>
      <w:lvlJc w:val="left"/>
      <w:pPr>
        <w:ind w:left="555" w:hanging="55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489661A2"/>
    <w:multiLevelType w:val="hybridMultilevel"/>
    <w:tmpl w:val="A1884F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05514BB"/>
    <w:multiLevelType w:val="hybridMultilevel"/>
    <w:tmpl w:val="EBE089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50F92CF3"/>
    <w:multiLevelType w:val="hybridMultilevel"/>
    <w:tmpl w:val="45705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1875BFC"/>
    <w:multiLevelType w:val="multilevel"/>
    <w:tmpl w:val="6930E2CE"/>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3" w15:restartNumberingAfterBreak="0">
    <w:nsid w:val="52B478BA"/>
    <w:multiLevelType w:val="hybridMultilevel"/>
    <w:tmpl w:val="78864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6CB6A13"/>
    <w:multiLevelType w:val="hybridMultilevel"/>
    <w:tmpl w:val="55D8A040"/>
    <w:lvl w:ilvl="0" w:tplc="9ECEEC9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99501F6"/>
    <w:multiLevelType w:val="hybridMultilevel"/>
    <w:tmpl w:val="7D9AF83E"/>
    <w:lvl w:ilvl="0" w:tplc="25244A6C">
      <w:start w:val="1"/>
      <w:numFmt w:val="upperLetter"/>
      <w:lvlText w:val="Appendix %1"/>
      <w:lvlJc w:val="left"/>
      <w:pPr>
        <w:ind w:left="720" w:hanging="360"/>
      </w:pPr>
      <w:rPr>
        <w:rFonts w:ascii="Arial" w:hAnsi="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5B2600B1"/>
    <w:multiLevelType w:val="hybridMultilevel"/>
    <w:tmpl w:val="FC4EF56A"/>
    <w:lvl w:ilvl="0" w:tplc="39D2881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C784349"/>
    <w:multiLevelType w:val="multilevel"/>
    <w:tmpl w:val="F5AC586E"/>
    <w:lvl w:ilvl="0">
      <w:start w:val="1"/>
      <w:numFmt w:val="bullet"/>
      <w:lvlText w:val="-"/>
      <w:lvlJc w:val="left"/>
      <w:pPr>
        <w:ind w:left="425" w:hanging="425"/>
      </w:pPr>
      <w:rPr>
        <w:rFonts w:ascii="Arial" w:hAnsi="Arial" w:hint="default"/>
        <w:color w:val="005A97"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48" w15:restartNumberingAfterBreak="0">
    <w:nsid w:val="5D4C6B14"/>
    <w:multiLevelType w:val="hybridMultilevel"/>
    <w:tmpl w:val="5F6AE3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04E4B3E"/>
    <w:multiLevelType w:val="hybridMultilevel"/>
    <w:tmpl w:val="373EC06A"/>
    <w:lvl w:ilvl="0" w:tplc="8D265F80">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63090B7D"/>
    <w:multiLevelType w:val="hybridMultilevel"/>
    <w:tmpl w:val="7B7CEB2A"/>
    <w:lvl w:ilvl="0" w:tplc="51D4B000">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3D6386"/>
    <w:multiLevelType w:val="multilevel"/>
    <w:tmpl w:val="D7348A5A"/>
    <w:lvl w:ilvl="0">
      <w:start w:val="1"/>
      <w:numFmt w:val="upperLetter"/>
      <w:suff w:val="space"/>
      <w:lvlText w:val="Appendix %1."/>
      <w:lvlJc w:val="left"/>
      <w:pPr>
        <w:ind w:left="360" w:hanging="360"/>
      </w:pPr>
      <w:rPr>
        <w:rFonts w:ascii="Arial" w:hAnsi="Arial" w:hint="default"/>
        <w:b/>
        <w:i w:val="0"/>
        <w:sz w:val="32"/>
      </w:rPr>
    </w:lvl>
    <w:lvl w:ilvl="1">
      <w:start w:val="1"/>
      <w:numFmt w:val="decimal"/>
      <w:lvlText w:val="%1.%2"/>
      <w:lvlJc w:val="left"/>
      <w:pPr>
        <w:ind w:left="851" w:hanging="851"/>
      </w:pPr>
      <w:rPr>
        <w:rFonts w:ascii="Arial" w:hAnsi="Arial" w:hint="default"/>
        <w:b/>
        <w:i w:val="0"/>
        <w:sz w:val="24"/>
      </w:rPr>
    </w:lvl>
    <w:lvl w:ilvl="2">
      <w:start w:val="1"/>
      <w:numFmt w:val="decimal"/>
      <w:lvlText w:val="%1.%2.%3"/>
      <w:lvlJc w:val="left"/>
      <w:pPr>
        <w:ind w:left="851" w:hanging="851"/>
      </w:pPr>
      <w:rPr>
        <w:rFonts w:ascii="Arial Narrow" w:hAnsi="Arial Narrow" w:hint="default"/>
        <w:b/>
        <w:i w:val="0"/>
        <w:sz w:val="20"/>
      </w:rPr>
    </w:lvl>
    <w:lvl w:ilvl="3">
      <w:numFmt w:val="none"/>
      <w:lvlRestart w:val="0"/>
      <w:suff w:val="nothing"/>
      <w:lvlText w:val=""/>
      <w:lvlJc w:val="left"/>
      <w:pPr>
        <w:ind w:left="-32767" w:firstLine="32767"/>
      </w:pPr>
      <w:rPr>
        <w:rFonts w:ascii="Arial Narrow" w:hAnsi="Arial Narrow" w:hint="default"/>
        <w:b/>
        <w:i w:val="0"/>
        <w:sz w:val="20"/>
      </w:rPr>
    </w:lvl>
    <w:lvl w:ilvl="4">
      <w:numFmt w:val="none"/>
      <w:lvlRestart w:val="0"/>
      <w:suff w:val="nothing"/>
      <w:lvlText w:val=""/>
      <w:lvlJc w:val="left"/>
      <w:pPr>
        <w:ind w:left="-32767" w:firstLine="32767"/>
      </w:pPr>
      <w:rPr>
        <w:rFonts w:ascii="Arial Narrow" w:hAnsi="Arial Narrow"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52" w15:restartNumberingAfterBreak="0">
    <w:nsid w:val="6669278E"/>
    <w:multiLevelType w:val="hybridMultilevel"/>
    <w:tmpl w:val="52A6F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9B506C0"/>
    <w:multiLevelType w:val="hybridMultilevel"/>
    <w:tmpl w:val="5D60B8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A18560B"/>
    <w:multiLevelType w:val="multilevel"/>
    <w:tmpl w:val="E06AE4F4"/>
    <w:lvl w:ilvl="0">
      <w:start w:val="1"/>
      <w:numFmt w:val="decimal"/>
      <w:lvlText w:val="B%1."/>
      <w:lvlJc w:val="left"/>
      <w:pPr>
        <w:ind w:left="851" w:hanging="851"/>
      </w:pPr>
      <w:rPr>
        <w:rFonts w:hint="default"/>
      </w:rPr>
    </w:lvl>
    <w:lvl w:ilvl="1">
      <w:start w:val="1"/>
      <w:numFmt w:val="decimal"/>
      <w:lvlText w:val="%1.%2"/>
      <w:lvlJc w:val="left"/>
      <w:pPr>
        <w:ind w:left="5813" w:hanging="851"/>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lvlText w:val="%1.%2.%3"/>
      <w:lvlJc w:val="left"/>
      <w:pPr>
        <w:ind w:left="1135"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6B240A07"/>
    <w:multiLevelType w:val="hybridMultilevel"/>
    <w:tmpl w:val="B8B8F84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6CBE71A5"/>
    <w:multiLevelType w:val="hybridMultilevel"/>
    <w:tmpl w:val="3E1C0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E7E1AD9"/>
    <w:multiLevelType w:val="hybridMultilevel"/>
    <w:tmpl w:val="5B263F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02F061A"/>
    <w:multiLevelType w:val="hybridMultilevel"/>
    <w:tmpl w:val="84B20A2E"/>
    <w:lvl w:ilvl="0" w:tplc="0C090011">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70AE0EAB"/>
    <w:multiLevelType w:val="hybridMultilevel"/>
    <w:tmpl w:val="A62C6C7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72167DBE"/>
    <w:multiLevelType w:val="hybridMultilevel"/>
    <w:tmpl w:val="8D80F2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788752B"/>
    <w:multiLevelType w:val="hybridMultilevel"/>
    <w:tmpl w:val="9D0EB20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77F0775B"/>
    <w:multiLevelType w:val="multilevel"/>
    <w:tmpl w:val="FD623CF8"/>
    <w:lvl w:ilvl="0">
      <w:start w:val="1"/>
      <w:numFmt w:val="bullet"/>
      <w:lvlText w:val=""/>
      <w:lvlJc w:val="left"/>
      <w:pPr>
        <w:ind w:left="425" w:hanging="425"/>
      </w:pPr>
      <w:rPr>
        <w:rFonts w:ascii="Symbol" w:hAnsi="Symbol" w:hint="default"/>
        <w:color w:val="auto"/>
        <w:sz w:val="16"/>
      </w:rPr>
    </w:lvl>
    <w:lvl w:ilvl="1">
      <w:start w:val="1"/>
      <w:numFmt w:val="bullet"/>
      <w:lvlText w:val="-"/>
      <w:lvlJc w:val="left"/>
      <w:pPr>
        <w:ind w:left="851" w:hanging="426"/>
      </w:pPr>
      <w:rPr>
        <w:rFonts w:ascii="Arial" w:hAnsi="Arial" w:hint="default"/>
        <w:color w:val="005A97"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63" w15:restartNumberingAfterBreak="0">
    <w:nsid w:val="784A74F1"/>
    <w:multiLevelType w:val="multilevel"/>
    <w:tmpl w:val="07F22186"/>
    <w:lvl w:ilvl="0">
      <w:start w:val="1"/>
      <w:numFmt w:val="decimal"/>
      <w:pStyle w:val="Tableitem"/>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64" w15:restartNumberingAfterBreak="0">
    <w:nsid w:val="7C953A16"/>
    <w:multiLevelType w:val="hybridMultilevel"/>
    <w:tmpl w:val="523C2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4"/>
  </w:num>
  <w:num w:numId="3">
    <w:abstractNumId w:val="8"/>
  </w:num>
  <w:num w:numId="4">
    <w:abstractNumId w:val="25"/>
  </w:num>
  <w:num w:numId="5">
    <w:abstractNumId w:val="14"/>
  </w:num>
  <w:num w:numId="6">
    <w:abstractNumId w:val="7"/>
  </w:num>
  <w:num w:numId="7">
    <w:abstractNumId w:val="20"/>
  </w:num>
  <w:num w:numId="8">
    <w:abstractNumId w:val="24"/>
  </w:num>
  <w:num w:numId="9">
    <w:abstractNumId w:val="36"/>
  </w:num>
  <w:num w:numId="10">
    <w:abstractNumId w:val="59"/>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startOverride w:val="5"/>
    </w:lvlOverride>
    <w:lvlOverride w:ilvl="1">
      <w:startOverride w:val="2"/>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1"/>
  </w:num>
  <w:num w:numId="17">
    <w:abstractNumId w:val="18"/>
    <w:lvlOverride w:ilvl="0">
      <w:lvl w:ilvl="0">
        <w:start w:val="1"/>
        <w:numFmt w:val="bullet"/>
        <w:lvlText w:val=""/>
        <w:lvlJc w:val="left"/>
        <w:pPr>
          <w:ind w:left="369" w:hanging="369"/>
        </w:pPr>
        <w:rPr>
          <w:rFonts w:ascii="Symbol" w:hAnsi="Symbol" w:hint="default"/>
        </w:rPr>
      </w:lvl>
    </w:lvlOverride>
  </w:num>
  <w:num w:numId="18">
    <w:abstractNumId w:val="60"/>
  </w:num>
  <w:num w:numId="19">
    <w:abstractNumId w:val="25"/>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lvlOverride w:ilvl="0">
      <w:startOverride w:val="4"/>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35"/>
  </w:num>
  <w:num w:numId="24">
    <w:abstractNumId w:val="63"/>
  </w:num>
  <w:num w:numId="25">
    <w:abstractNumId w:val="12"/>
  </w:num>
  <w:num w:numId="26">
    <w:abstractNumId w:val="61"/>
  </w:num>
  <w:num w:numId="27">
    <w:abstractNumId w:val="32"/>
  </w:num>
  <w:num w:numId="28">
    <w:abstractNumId w:val="55"/>
  </w:num>
  <w:num w:numId="29">
    <w:abstractNumId w:val="9"/>
  </w:num>
  <w:num w:numId="30">
    <w:abstractNumId w:val="29"/>
  </w:num>
  <w:num w:numId="31">
    <w:abstractNumId w:val="5"/>
  </w:num>
  <w:num w:numId="32">
    <w:abstractNumId w:val="45"/>
  </w:num>
  <w:num w:numId="33">
    <w:abstractNumId w:val="3"/>
  </w:num>
  <w:num w:numId="34">
    <w:abstractNumId w:val="58"/>
  </w:num>
  <w:num w:numId="35">
    <w:abstractNumId w:val="54"/>
  </w:num>
  <w:num w:numId="36">
    <w:abstractNumId w:val="54"/>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4"/>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4"/>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num>
  <w:num w:numId="41">
    <w:abstractNumId w:val="52"/>
  </w:num>
  <w:num w:numId="42">
    <w:abstractNumId w:val="37"/>
  </w:num>
  <w:num w:numId="43">
    <w:abstractNumId w:val="13"/>
  </w:num>
  <w:num w:numId="44">
    <w:abstractNumId w:val="8"/>
  </w:num>
  <w:num w:numId="45">
    <w:abstractNumId w:val="8"/>
  </w:num>
  <w:num w:numId="46">
    <w:abstractNumId w:val="8"/>
  </w:num>
  <w:num w:numId="47">
    <w:abstractNumId w:val="8"/>
  </w:num>
  <w:num w:numId="48">
    <w:abstractNumId w:val="8"/>
  </w:num>
  <w:num w:numId="49">
    <w:abstractNumId w:val="8"/>
  </w:num>
  <w:num w:numId="50">
    <w:abstractNumId w:val="8"/>
  </w:num>
  <w:num w:numId="51">
    <w:abstractNumId w:val="50"/>
  </w:num>
  <w:num w:numId="52">
    <w:abstractNumId w:val="17"/>
  </w:num>
  <w:num w:numId="53">
    <w:abstractNumId w:val="62"/>
  </w:num>
  <w:num w:numId="54">
    <w:abstractNumId w:val="22"/>
  </w:num>
  <w:num w:numId="55">
    <w:abstractNumId w:val="47"/>
  </w:num>
  <w:num w:numId="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7"/>
  </w:num>
  <w:num w:numId="58">
    <w:abstractNumId w:val="34"/>
  </w:num>
  <w:num w:numId="59">
    <w:abstractNumId w:val="16"/>
  </w:num>
  <w:num w:numId="60">
    <w:abstractNumId w:val="48"/>
  </w:num>
  <w:num w:numId="61">
    <w:abstractNumId w:val="31"/>
  </w:num>
  <w:num w:numId="62">
    <w:abstractNumId w:val="56"/>
  </w:num>
  <w:num w:numId="63">
    <w:abstractNumId w:val="28"/>
  </w:num>
  <w:num w:numId="64">
    <w:abstractNumId w:val="43"/>
  </w:num>
  <w:num w:numId="65">
    <w:abstractNumId w:val="39"/>
  </w:num>
  <w:num w:numId="66">
    <w:abstractNumId w:val="19"/>
  </w:num>
  <w:num w:numId="67">
    <w:abstractNumId w:val="33"/>
  </w:num>
  <w:num w:numId="68">
    <w:abstractNumId w:val="41"/>
  </w:num>
  <w:num w:numId="69">
    <w:abstractNumId w:val="46"/>
  </w:num>
  <w:num w:numId="70">
    <w:abstractNumId w:val="10"/>
  </w:num>
  <w:num w:numId="71">
    <w:abstractNumId w:val="11"/>
  </w:num>
  <w:num w:numId="72">
    <w:abstractNumId w:val="62"/>
    <w:lvlOverride w:ilvl="0">
      <w:lvl w:ilvl="0">
        <w:start w:val="1"/>
        <w:numFmt w:val="bullet"/>
        <w:lvlText w:val=""/>
        <w:lvlJc w:val="left"/>
        <w:pPr>
          <w:ind w:left="425" w:hanging="425"/>
        </w:pPr>
        <w:rPr>
          <w:rFonts w:ascii="Symbol" w:hAnsi="Symbol" w:hint="default"/>
          <w:color w:val="auto"/>
          <w:sz w:val="18"/>
        </w:rPr>
      </w:lvl>
    </w:lvlOverride>
  </w:num>
  <w:num w:numId="73">
    <w:abstractNumId w:val="51"/>
  </w:num>
  <w:num w:numId="74">
    <w:abstractNumId w:val="64"/>
  </w:num>
  <w:num w:numId="75">
    <w:abstractNumId w:val="21"/>
  </w:num>
  <w:num w:numId="76">
    <w:abstractNumId w:val="49"/>
  </w:num>
  <w:num w:numId="77">
    <w:abstractNumId w:val="27"/>
  </w:num>
  <w:num w:numId="78">
    <w:abstractNumId w:val="42"/>
  </w:num>
  <w:num w:numId="79">
    <w:abstractNumId w:val="44"/>
  </w:num>
  <w:num w:numId="80">
    <w:abstractNumId w:val="38"/>
  </w:num>
  <w:num w:numId="81">
    <w:abstractNumId w:val="30"/>
  </w:num>
  <w:num w:numId="82">
    <w:abstractNumId w:val="0"/>
  </w:num>
  <w:num w:numId="83">
    <w:abstractNumId w:val="15"/>
  </w:num>
  <w:num w:numId="84">
    <w:abstractNumId w:val="53"/>
  </w:num>
  <w:num w:numId="85">
    <w:abstractNumId w:val="40"/>
  </w:num>
  <w:num w:numId="86">
    <w:abstractNumId w:val="2"/>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characterSpacingControl w:val="doNotCompress"/>
  <w:hdrShapeDefaults>
    <o:shapedefaults v:ext="edit" spidmax="10241" style="mso-position-vertical-relative:line" fill="f" fillcolor="white" stroke="f">
      <v:fill color="white" on="f"/>
      <v:stroke on="f"/>
      <v:textbox style="mso-rotate-with-shape:t"/>
      <o:colormru v:ext="edit" colors="#e1e9f3,#e1ebf7,#cfdded"/>
    </o:shapedefaults>
  </w:hdrShapeDefaults>
  <w:footnotePr>
    <w:footnote w:id="-1"/>
    <w:footnote w:id="0"/>
    <w:footnote w:id="1"/>
  </w:footnotePr>
  <w:endnotePr>
    <w:endnote w:id="-1"/>
    <w:endnote w:id="0"/>
    <w:endnote w:id="1"/>
  </w:endnotePr>
  <w:compat>
    <w:compatSetting w:name="compatibilityMode" w:uri="http://schemas.microsoft.com/office/word" w:val="14"/>
  </w:compat>
  <w:rsids>
    <w:rsidRoot w:val="00041532"/>
    <w:rsid w:val="000011D1"/>
    <w:rsid w:val="00002153"/>
    <w:rsid w:val="00002C87"/>
    <w:rsid w:val="00002EB1"/>
    <w:rsid w:val="00003088"/>
    <w:rsid w:val="0000504F"/>
    <w:rsid w:val="00006725"/>
    <w:rsid w:val="000071F9"/>
    <w:rsid w:val="00010D41"/>
    <w:rsid w:val="0001309E"/>
    <w:rsid w:val="000131B3"/>
    <w:rsid w:val="000174F7"/>
    <w:rsid w:val="00017CB1"/>
    <w:rsid w:val="0002031B"/>
    <w:rsid w:val="0002051E"/>
    <w:rsid w:val="00021555"/>
    <w:rsid w:val="0002227C"/>
    <w:rsid w:val="00022BA3"/>
    <w:rsid w:val="0002447A"/>
    <w:rsid w:val="00024597"/>
    <w:rsid w:val="000246BD"/>
    <w:rsid w:val="00024AF2"/>
    <w:rsid w:val="00024B42"/>
    <w:rsid w:val="0002688B"/>
    <w:rsid w:val="00026AD5"/>
    <w:rsid w:val="00026AFF"/>
    <w:rsid w:val="00027A0D"/>
    <w:rsid w:val="00027A1E"/>
    <w:rsid w:val="00033F7A"/>
    <w:rsid w:val="00037506"/>
    <w:rsid w:val="00037639"/>
    <w:rsid w:val="00040827"/>
    <w:rsid w:val="00041532"/>
    <w:rsid w:val="00044E9E"/>
    <w:rsid w:val="000454B0"/>
    <w:rsid w:val="00045519"/>
    <w:rsid w:val="00050ABB"/>
    <w:rsid w:val="00051F1C"/>
    <w:rsid w:val="000521EF"/>
    <w:rsid w:val="0005290A"/>
    <w:rsid w:val="00052B81"/>
    <w:rsid w:val="00053346"/>
    <w:rsid w:val="00053B1F"/>
    <w:rsid w:val="00053BBC"/>
    <w:rsid w:val="000550A3"/>
    <w:rsid w:val="00055497"/>
    <w:rsid w:val="000566BF"/>
    <w:rsid w:val="000576CF"/>
    <w:rsid w:val="0006021E"/>
    <w:rsid w:val="000607B6"/>
    <w:rsid w:val="00060F6D"/>
    <w:rsid w:val="000616C1"/>
    <w:rsid w:val="00062364"/>
    <w:rsid w:val="00063F38"/>
    <w:rsid w:val="00065BC6"/>
    <w:rsid w:val="000717E9"/>
    <w:rsid w:val="00073CF1"/>
    <w:rsid w:val="0007495B"/>
    <w:rsid w:val="00074EAE"/>
    <w:rsid w:val="0007501A"/>
    <w:rsid w:val="000762A2"/>
    <w:rsid w:val="00076BD3"/>
    <w:rsid w:val="00080197"/>
    <w:rsid w:val="000802BE"/>
    <w:rsid w:val="000804F8"/>
    <w:rsid w:val="000818A7"/>
    <w:rsid w:val="000834DE"/>
    <w:rsid w:val="000843B6"/>
    <w:rsid w:val="000845A0"/>
    <w:rsid w:val="000856DA"/>
    <w:rsid w:val="00085901"/>
    <w:rsid w:val="00086630"/>
    <w:rsid w:val="00087447"/>
    <w:rsid w:val="0009113B"/>
    <w:rsid w:val="00092B69"/>
    <w:rsid w:val="000953F5"/>
    <w:rsid w:val="00095D26"/>
    <w:rsid w:val="00096F19"/>
    <w:rsid w:val="0009788D"/>
    <w:rsid w:val="00097C6E"/>
    <w:rsid w:val="000A2009"/>
    <w:rsid w:val="000A489F"/>
    <w:rsid w:val="000A6EC5"/>
    <w:rsid w:val="000A7BC2"/>
    <w:rsid w:val="000B0845"/>
    <w:rsid w:val="000B0C91"/>
    <w:rsid w:val="000B1AC8"/>
    <w:rsid w:val="000B20A8"/>
    <w:rsid w:val="000B2521"/>
    <w:rsid w:val="000B275B"/>
    <w:rsid w:val="000B44CD"/>
    <w:rsid w:val="000B586F"/>
    <w:rsid w:val="000B5EB4"/>
    <w:rsid w:val="000B6DA5"/>
    <w:rsid w:val="000B6FE7"/>
    <w:rsid w:val="000C26F0"/>
    <w:rsid w:val="000C3692"/>
    <w:rsid w:val="000C4305"/>
    <w:rsid w:val="000C5920"/>
    <w:rsid w:val="000C5B0B"/>
    <w:rsid w:val="000C70A7"/>
    <w:rsid w:val="000D08FE"/>
    <w:rsid w:val="000D2853"/>
    <w:rsid w:val="000D3139"/>
    <w:rsid w:val="000D3505"/>
    <w:rsid w:val="000D5506"/>
    <w:rsid w:val="000D5DEF"/>
    <w:rsid w:val="000D655B"/>
    <w:rsid w:val="000D7126"/>
    <w:rsid w:val="000E020F"/>
    <w:rsid w:val="000E1DC4"/>
    <w:rsid w:val="000E20CA"/>
    <w:rsid w:val="000E2370"/>
    <w:rsid w:val="000E4CDC"/>
    <w:rsid w:val="000E55ED"/>
    <w:rsid w:val="000E5860"/>
    <w:rsid w:val="000F043C"/>
    <w:rsid w:val="000F0872"/>
    <w:rsid w:val="000F1062"/>
    <w:rsid w:val="000F2B2A"/>
    <w:rsid w:val="000F2E9D"/>
    <w:rsid w:val="000F354A"/>
    <w:rsid w:val="000F35C5"/>
    <w:rsid w:val="000F3991"/>
    <w:rsid w:val="000F46D3"/>
    <w:rsid w:val="000F4905"/>
    <w:rsid w:val="000F54A3"/>
    <w:rsid w:val="000F59CF"/>
    <w:rsid w:val="0010121A"/>
    <w:rsid w:val="001038D5"/>
    <w:rsid w:val="00103963"/>
    <w:rsid w:val="00104040"/>
    <w:rsid w:val="0010571B"/>
    <w:rsid w:val="001059B6"/>
    <w:rsid w:val="0010753B"/>
    <w:rsid w:val="0010764E"/>
    <w:rsid w:val="0010785C"/>
    <w:rsid w:val="001102B0"/>
    <w:rsid w:val="00110DA7"/>
    <w:rsid w:val="00113CD8"/>
    <w:rsid w:val="00113F01"/>
    <w:rsid w:val="001140E5"/>
    <w:rsid w:val="0011494C"/>
    <w:rsid w:val="00114B28"/>
    <w:rsid w:val="001166DC"/>
    <w:rsid w:val="001179CD"/>
    <w:rsid w:val="00120793"/>
    <w:rsid w:val="001209D3"/>
    <w:rsid w:val="001210CF"/>
    <w:rsid w:val="0012351D"/>
    <w:rsid w:val="00124086"/>
    <w:rsid w:val="00125AEF"/>
    <w:rsid w:val="00125EAA"/>
    <w:rsid w:val="00126B1D"/>
    <w:rsid w:val="001309DA"/>
    <w:rsid w:val="00132584"/>
    <w:rsid w:val="00134F6D"/>
    <w:rsid w:val="0013538B"/>
    <w:rsid w:val="001364D1"/>
    <w:rsid w:val="00136BB5"/>
    <w:rsid w:val="0013709F"/>
    <w:rsid w:val="00137576"/>
    <w:rsid w:val="00140D7E"/>
    <w:rsid w:val="001423F3"/>
    <w:rsid w:val="001428F1"/>
    <w:rsid w:val="00144FCE"/>
    <w:rsid w:val="00147ABD"/>
    <w:rsid w:val="00151B4C"/>
    <w:rsid w:val="00151DE6"/>
    <w:rsid w:val="00152A3D"/>
    <w:rsid w:val="00155BFB"/>
    <w:rsid w:val="00155C69"/>
    <w:rsid w:val="00156775"/>
    <w:rsid w:val="001575A6"/>
    <w:rsid w:val="001608D3"/>
    <w:rsid w:val="0016162D"/>
    <w:rsid w:val="00162013"/>
    <w:rsid w:val="001622C4"/>
    <w:rsid w:val="00162B6E"/>
    <w:rsid w:val="00164E87"/>
    <w:rsid w:val="00165212"/>
    <w:rsid w:val="00165941"/>
    <w:rsid w:val="0016614C"/>
    <w:rsid w:val="00166919"/>
    <w:rsid w:val="001671FA"/>
    <w:rsid w:val="00171A5E"/>
    <w:rsid w:val="0017227C"/>
    <w:rsid w:val="00172310"/>
    <w:rsid w:val="001726C6"/>
    <w:rsid w:val="00172DA2"/>
    <w:rsid w:val="001733B7"/>
    <w:rsid w:val="00177135"/>
    <w:rsid w:val="0018085D"/>
    <w:rsid w:val="00180DF2"/>
    <w:rsid w:val="00180E7F"/>
    <w:rsid w:val="001812B0"/>
    <w:rsid w:val="00182F50"/>
    <w:rsid w:val="001831C4"/>
    <w:rsid w:val="00183486"/>
    <w:rsid w:val="00183B93"/>
    <w:rsid w:val="0018422E"/>
    <w:rsid w:val="0019043A"/>
    <w:rsid w:val="001911B6"/>
    <w:rsid w:val="00191408"/>
    <w:rsid w:val="00192B30"/>
    <w:rsid w:val="00192BE3"/>
    <w:rsid w:val="001947A4"/>
    <w:rsid w:val="00194D93"/>
    <w:rsid w:val="00195255"/>
    <w:rsid w:val="00195676"/>
    <w:rsid w:val="00197FA7"/>
    <w:rsid w:val="001A061A"/>
    <w:rsid w:val="001A0CEC"/>
    <w:rsid w:val="001A17BD"/>
    <w:rsid w:val="001A1DB6"/>
    <w:rsid w:val="001A2A16"/>
    <w:rsid w:val="001A2A20"/>
    <w:rsid w:val="001A2C59"/>
    <w:rsid w:val="001A32AD"/>
    <w:rsid w:val="001A42C5"/>
    <w:rsid w:val="001A750B"/>
    <w:rsid w:val="001B0814"/>
    <w:rsid w:val="001B0A6D"/>
    <w:rsid w:val="001B0F4C"/>
    <w:rsid w:val="001B1F8D"/>
    <w:rsid w:val="001B38E4"/>
    <w:rsid w:val="001B3D7D"/>
    <w:rsid w:val="001B481F"/>
    <w:rsid w:val="001B6CF1"/>
    <w:rsid w:val="001B7117"/>
    <w:rsid w:val="001B7BE1"/>
    <w:rsid w:val="001C33DF"/>
    <w:rsid w:val="001C354C"/>
    <w:rsid w:val="001C49B3"/>
    <w:rsid w:val="001C52DA"/>
    <w:rsid w:val="001C54D6"/>
    <w:rsid w:val="001C57CB"/>
    <w:rsid w:val="001C6FCB"/>
    <w:rsid w:val="001D0F0C"/>
    <w:rsid w:val="001D2653"/>
    <w:rsid w:val="001D269E"/>
    <w:rsid w:val="001D3240"/>
    <w:rsid w:val="001D4EFD"/>
    <w:rsid w:val="001D5761"/>
    <w:rsid w:val="001D63F5"/>
    <w:rsid w:val="001D6950"/>
    <w:rsid w:val="001D6B0F"/>
    <w:rsid w:val="001D7188"/>
    <w:rsid w:val="001E0653"/>
    <w:rsid w:val="001E305C"/>
    <w:rsid w:val="001E3C87"/>
    <w:rsid w:val="001E47B1"/>
    <w:rsid w:val="001E47D3"/>
    <w:rsid w:val="001E4BA6"/>
    <w:rsid w:val="001E4C40"/>
    <w:rsid w:val="001E50FA"/>
    <w:rsid w:val="001E52D5"/>
    <w:rsid w:val="001E7945"/>
    <w:rsid w:val="001F1101"/>
    <w:rsid w:val="001F1874"/>
    <w:rsid w:val="001F18B6"/>
    <w:rsid w:val="001F1C81"/>
    <w:rsid w:val="001F1F42"/>
    <w:rsid w:val="001F439E"/>
    <w:rsid w:val="001F4665"/>
    <w:rsid w:val="001F4F67"/>
    <w:rsid w:val="001F559D"/>
    <w:rsid w:val="001F6D39"/>
    <w:rsid w:val="001F7C41"/>
    <w:rsid w:val="00201072"/>
    <w:rsid w:val="00201459"/>
    <w:rsid w:val="00202D71"/>
    <w:rsid w:val="00203D8E"/>
    <w:rsid w:val="0020518B"/>
    <w:rsid w:val="00206DD8"/>
    <w:rsid w:val="00207465"/>
    <w:rsid w:val="0021079B"/>
    <w:rsid w:val="0021251C"/>
    <w:rsid w:val="00213DF1"/>
    <w:rsid w:val="002153AE"/>
    <w:rsid w:val="0021617B"/>
    <w:rsid w:val="002162AF"/>
    <w:rsid w:val="002168DA"/>
    <w:rsid w:val="00222571"/>
    <w:rsid w:val="002227A2"/>
    <w:rsid w:val="00224838"/>
    <w:rsid w:val="00225727"/>
    <w:rsid w:val="00226DB2"/>
    <w:rsid w:val="0022740D"/>
    <w:rsid w:val="00232F76"/>
    <w:rsid w:val="0023525F"/>
    <w:rsid w:val="00237D13"/>
    <w:rsid w:val="00241C1A"/>
    <w:rsid w:val="002445D6"/>
    <w:rsid w:val="002455FA"/>
    <w:rsid w:val="002474A1"/>
    <w:rsid w:val="002474E8"/>
    <w:rsid w:val="00247CBE"/>
    <w:rsid w:val="00250974"/>
    <w:rsid w:val="00252410"/>
    <w:rsid w:val="002537E7"/>
    <w:rsid w:val="00253AD8"/>
    <w:rsid w:val="00255BC3"/>
    <w:rsid w:val="0025603D"/>
    <w:rsid w:val="002565FB"/>
    <w:rsid w:val="002577B3"/>
    <w:rsid w:val="00257A53"/>
    <w:rsid w:val="00260600"/>
    <w:rsid w:val="002614CE"/>
    <w:rsid w:val="00264C5D"/>
    <w:rsid w:val="0026506E"/>
    <w:rsid w:val="00265A35"/>
    <w:rsid w:val="002666DF"/>
    <w:rsid w:val="00267DEB"/>
    <w:rsid w:val="002713F7"/>
    <w:rsid w:val="00275DC6"/>
    <w:rsid w:val="0027774C"/>
    <w:rsid w:val="00282BE0"/>
    <w:rsid w:val="00282C25"/>
    <w:rsid w:val="00283EAE"/>
    <w:rsid w:val="00284731"/>
    <w:rsid w:val="00285DF5"/>
    <w:rsid w:val="002926C8"/>
    <w:rsid w:val="002954F7"/>
    <w:rsid w:val="002978BC"/>
    <w:rsid w:val="002A0094"/>
    <w:rsid w:val="002A0278"/>
    <w:rsid w:val="002A14FD"/>
    <w:rsid w:val="002A2245"/>
    <w:rsid w:val="002A6015"/>
    <w:rsid w:val="002A77B6"/>
    <w:rsid w:val="002B2193"/>
    <w:rsid w:val="002B5588"/>
    <w:rsid w:val="002B6B3C"/>
    <w:rsid w:val="002B6ED7"/>
    <w:rsid w:val="002B7508"/>
    <w:rsid w:val="002C0A7E"/>
    <w:rsid w:val="002C1788"/>
    <w:rsid w:val="002C1F30"/>
    <w:rsid w:val="002C2FDE"/>
    <w:rsid w:val="002C460F"/>
    <w:rsid w:val="002D1EFF"/>
    <w:rsid w:val="002D25BB"/>
    <w:rsid w:val="002D44DF"/>
    <w:rsid w:val="002D4544"/>
    <w:rsid w:val="002D5472"/>
    <w:rsid w:val="002D702E"/>
    <w:rsid w:val="002D774E"/>
    <w:rsid w:val="002E0252"/>
    <w:rsid w:val="002E0457"/>
    <w:rsid w:val="002E04BC"/>
    <w:rsid w:val="002E15A4"/>
    <w:rsid w:val="002E4247"/>
    <w:rsid w:val="002E5C3A"/>
    <w:rsid w:val="002F32E8"/>
    <w:rsid w:val="002F6657"/>
    <w:rsid w:val="00300024"/>
    <w:rsid w:val="003016EB"/>
    <w:rsid w:val="003025BF"/>
    <w:rsid w:val="003048DC"/>
    <w:rsid w:val="003050C3"/>
    <w:rsid w:val="00311143"/>
    <w:rsid w:val="003114E6"/>
    <w:rsid w:val="00311BAB"/>
    <w:rsid w:val="00311CBE"/>
    <w:rsid w:val="0031232D"/>
    <w:rsid w:val="003140DF"/>
    <w:rsid w:val="00314A61"/>
    <w:rsid w:val="00316452"/>
    <w:rsid w:val="00316CCA"/>
    <w:rsid w:val="00316D43"/>
    <w:rsid w:val="003211D1"/>
    <w:rsid w:val="0032256B"/>
    <w:rsid w:val="00322761"/>
    <w:rsid w:val="00323B9A"/>
    <w:rsid w:val="003251CD"/>
    <w:rsid w:val="00325C2A"/>
    <w:rsid w:val="00326B19"/>
    <w:rsid w:val="00327FC0"/>
    <w:rsid w:val="0033020D"/>
    <w:rsid w:val="00330504"/>
    <w:rsid w:val="00330834"/>
    <w:rsid w:val="00331966"/>
    <w:rsid w:val="003325FD"/>
    <w:rsid w:val="003331E2"/>
    <w:rsid w:val="003362A1"/>
    <w:rsid w:val="00337096"/>
    <w:rsid w:val="0033760D"/>
    <w:rsid w:val="003377DA"/>
    <w:rsid w:val="0034003E"/>
    <w:rsid w:val="003407C3"/>
    <w:rsid w:val="0034090D"/>
    <w:rsid w:val="00341CD7"/>
    <w:rsid w:val="003427D1"/>
    <w:rsid w:val="003439B4"/>
    <w:rsid w:val="00344EA8"/>
    <w:rsid w:val="0034550B"/>
    <w:rsid w:val="003505D8"/>
    <w:rsid w:val="00351DA7"/>
    <w:rsid w:val="00352324"/>
    <w:rsid w:val="00352482"/>
    <w:rsid w:val="0035559B"/>
    <w:rsid w:val="00355AAA"/>
    <w:rsid w:val="00355E41"/>
    <w:rsid w:val="00360161"/>
    <w:rsid w:val="003603CB"/>
    <w:rsid w:val="00362072"/>
    <w:rsid w:val="003629D2"/>
    <w:rsid w:val="00362E02"/>
    <w:rsid w:val="003631CF"/>
    <w:rsid w:val="00363517"/>
    <w:rsid w:val="00363D4B"/>
    <w:rsid w:val="003646B6"/>
    <w:rsid w:val="00364F78"/>
    <w:rsid w:val="0036623D"/>
    <w:rsid w:val="00367954"/>
    <w:rsid w:val="00367E25"/>
    <w:rsid w:val="003702E1"/>
    <w:rsid w:val="00372DBB"/>
    <w:rsid w:val="00373162"/>
    <w:rsid w:val="0037346D"/>
    <w:rsid w:val="00374B92"/>
    <w:rsid w:val="00374CD8"/>
    <w:rsid w:val="00380D21"/>
    <w:rsid w:val="003815EE"/>
    <w:rsid w:val="0038171A"/>
    <w:rsid w:val="00381899"/>
    <w:rsid w:val="00383122"/>
    <w:rsid w:val="00383802"/>
    <w:rsid w:val="00383C07"/>
    <w:rsid w:val="00385995"/>
    <w:rsid w:val="003878E4"/>
    <w:rsid w:val="00390875"/>
    <w:rsid w:val="00390B8F"/>
    <w:rsid w:val="0039230F"/>
    <w:rsid w:val="003A08B2"/>
    <w:rsid w:val="003A09AE"/>
    <w:rsid w:val="003A1B12"/>
    <w:rsid w:val="003A37A6"/>
    <w:rsid w:val="003A465E"/>
    <w:rsid w:val="003A4C71"/>
    <w:rsid w:val="003A58F5"/>
    <w:rsid w:val="003A5FDD"/>
    <w:rsid w:val="003A6A46"/>
    <w:rsid w:val="003A75B1"/>
    <w:rsid w:val="003B2F9B"/>
    <w:rsid w:val="003B379B"/>
    <w:rsid w:val="003B57AB"/>
    <w:rsid w:val="003B7E05"/>
    <w:rsid w:val="003C32BC"/>
    <w:rsid w:val="003C3C17"/>
    <w:rsid w:val="003C56AD"/>
    <w:rsid w:val="003C5B6A"/>
    <w:rsid w:val="003D2DE6"/>
    <w:rsid w:val="003D3FEB"/>
    <w:rsid w:val="003D430C"/>
    <w:rsid w:val="003D43BE"/>
    <w:rsid w:val="003D5D59"/>
    <w:rsid w:val="003E0401"/>
    <w:rsid w:val="003E468A"/>
    <w:rsid w:val="003E6B08"/>
    <w:rsid w:val="003E6F64"/>
    <w:rsid w:val="003E70D0"/>
    <w:rsid w:val="003E73AC"/>
    <w:rsid w:val="003F2556"/>
    <w:rsid w:val="003F4D93"/>
    <w:rsid w:val="003F558C"/>
    <w:rsid w:val="003F571F"/>
    <w:rsid w:val="003F7A97"/>
    <w:rsid w:val="004000E5"/>
    <w:rsid w:val="0040277E"/>
    <w:rsid w:val="00404076"/>
    <w:rsid w:val="0040408C"/>
    <w:rsid w:val="00405A51"/>
    <w:rsid w:val="00406058"/>
    <w:rsid w:val="00406449"/>
    <w:rsid w:val="00406E6B"/>
    <w:rsid w:val="004107AD"/>
    <w:rsid w:val="00410D2F"/>
    <w:rsid w:val="004119F4"/>
    <w:rsid w:val="00412805"/>
    <w:rsid w:val="004138EF"/>
    <w:rsid w:val="004145CC"/>
    <w:rsid w:val="004159CE"/>
    <w:rsid w:val="00416239"/>
    <w:rsid w:val="00416CB2"/>
    <w:rsid w:val="00417C88"/>
    <w:rsid w:val="00420E3B"/>
    <w:rsid w:val="004231AE"/>
    <w:rsid w:val="00425A93"/>
    <w:rsid w:val="00425C8A"/>
    <w:rsid w:val="00426250"/>
    <w:rsid w:val="00426693"/>
    <w:rsid w:val="00427110"/>
    <w:rsid w:val="00430A5A"/>
    <w:rsid w:val="00431505"/>
    <w:rsid w:val="00432872"/>
    <w:rsid w:val="00434361"/>
    <w:rsid w:val="00440070"/>
    <w:rsid w:val="0044110D"/>
    <w:rsid w:val="0044128F"/>
    <w:rsid w:val="0044762D"/>
    <w:rsid w:val="00447D81"/>
    <w:rsid w:val="00451A2E"/>
    <w:rsid w:val="00451A8E"/>
    <w:rsid w:val="00452961"/>
    <w:rsid w:val="00452DC1"/>
    <w:rsid w:val="0045347E"/>
    <w:rsid w:val="004631F0"/>
    <w:rsid w:val="00463E9A"/>
    <w:rsid w:val="00465CE4"/>
    <w:rsid w:val="004663F4"/>
    <w:rsid w:val="00467D3A"/>
    <w:rsid w:val="004703D4"/>
    <w:rsid w:val="00470643"/>
    <w:rsid w:val="0047142C"/>
    <w:rsid w:val="004716BA"/>
    <w:rsid w:val="00472115"/>
    <w:rsid w:val="00475703"/>
    <w:rsid w:val="00475FCF"/>
    <w:rsid w:val="00481992"/>
    <w:rsid w:val="00481B00"/>
    <w:rsid w:val="00483C68"/>
    <w:rsid w:val="00483F4E"/>
    <w:rsid w:val="00483FE2"/>
    <w:rsid w:val="00485339"/>
    <w:rsid w:val="00485E32"/>
    <w:rsid w:val="00485F90"/>
    <w:rsid w:val="00486CE1"/>
    <w:rsid w:val="004874D1"/>
    <w:rsid w:val="004907E2"/>
    <w:rsid w:val="00491347"/>
    <w:rsid w:val="00491FE1"/>
    <w:rsid w:val="0049244F"/>
    <w:rsid w:val="00493B7D"/>
    <w:rsid w:val="00494317"/>
    <w:rsid w:val="0049513A"/>
    <w:rsid w:val="00495374"/>
    <w:rsid w:val="0049777A"/>
    <w:rsid w:val="004A41ED"/>
    <w:rsid w:val="004A5C34"/>
    <w:rsid w:val="004A7230"/>
    <w:rsid w:val="004B08A7"/>
    <w:rsid w:val="004B2595"/>
    <w:rsid w:val="004B5063"/>
    <w:rsid w:val="004B54F1"/>
    <w:rsid w:val="004B72B1"/>
    <w:rsid w:val="004C054E"/>
    <w:rsid w:val="004C3CFA"/>
    <w:rsid w:val="004C5149"/>
    <w:rsid w:val="004C5D58"/>
    <w:rsid w:val="004D0207"/>
    <w:rsid w:val="004D1DE4"/>
    <w:rsid w:val="004D2729"/>
    <w:rsid w:val="004D49F2"/>
    <w:rsid w:val="004D5DE8"/>
    <w:rsid w:val="004D6AEA"/>
    <w:rsid w:val="004E280D"/>
    <w:rsid w:val="004E4705"/>
    <w:rsid w:val="004E4A0E"/>
    <w:rsid w:val="004E5971"/>
    <w:rsid w:val="004F01B5"/>
    <w:rsid w:val="004F033D"/>
    <w:rsid w:val="004F3CEF"/>
    <w:rsid w:val="004F4E80"/>
    <w:rsid w:val="004F6272"/>
    <w:rsid w:val="004F690E"/>
    <w:rsid w:val="004F6E04"/>
    <w:rsid w:val="00500EBF"/>
    <w:rsid w:val="00501191"/>
    <w:rsid w:val="005011BC"/>
    <w:rsid w:val="0050195D"/>
    <w:rsid w:val="00502132"/>
    <w:rsid w:val="00502400"/>
    <w:rsid w:val="00503667"/>
    <w:rsid w:val="00503A79"/>
    <w:rsid w:val="00503D26"/>
    <w:rsid w:val="00504A33"/>
    <w:rsid w:val="00504DBB"/>
    <w:rsid w:val="00510C1B"/>
    <w:rsid w:val="00511640"/>
    <w:rsid w:val="00515B5C"/>
    <w:rsid w:val="0051708E"/>
    <w:rsid w:val="0051770D"/>
    <w:rsid w:val="005205F7"/>
    <w:rsid w:val="005207FC"/>
    <w:rsid w:val="0052275A"/>
    <w:rsid w:val="005228AF"/>
    <w:rsid w:val="005229A4"/>
    <w:rsid w:val="00523B62"/>
    <w:rsid w:val="005244F9"/>
    <w:rsid w:val="00524A58"/>
    <w:rsid w:val="005252C9"/>
    <w:rsid w:val="0052531A"/>
    <w:rsid w:val="005262E4"/>
    <w:rsid w:val="00532216"/>
    <w:rsid w:val="0053390F"/>
    <w:rsid w:val="00533A54"/>
    <w:rsid w:val="00534393"/>
    <w:rsid w:val="00534840"/>
    <w:rsid w:val="00534C77"/>
    <w:rsid w:val="00535122"/>
    <w:rsid w:val="00540B70"/>
    <w:rsid w:val="00541005"/>
    <w:rsid w:val="0054407D"/>
    <w:rsid w:val="005448BC"/>
    <w:rsid w:val="00544AE6"/>
    <w:rsid w:val="00545314"/>
    <w:rsid w:val="005454C5"/>
    <w:rsid w:val="005456BA"/>
    <w:rsid w:val="0054639E"/>
    <w:rsid w:val="005502CA"/>
    <w:rsid w:val="00550F7A"/>
    <w:rsid w:val="00551174"/>
    <w:rsid w:val="00552019"/>
    <w:rsid w:val="00554134"/>
    <w:rsid w:val="00554F54"/>
    <w:rsid w:val="00556BEC"/>
    <w:rsid w:val="00557AAB"/>
    <w:rsid w:val="0056545D"/>
    <w:rsid w:val="00565CC1"/>
    <w:rsid w:val="00566159"/>
    <w:rsid w:val="005661BA"/>
    <w:rsid w:val="00567103"/>
    <w:rsid w:val="005676CD"/>
    <w:rsid w:val="005707ED"/>
    <w:rsid w:val="005710A9"/>
    <w:rsid w:val="00571D72"/>
    <w:rsid w:val="00572B73"/>
    <w:rsid w:val="00574B94"/>
    <w:rsid w:val="0057593F"/>
    <w:rsid w:val="00575995"/>
    <w:rsid w:val="00576001"/>
    <w:rsid w:val="00577940"/>
    <w:rsid w:val="00577CA9"/>
    <w:rsid w:val="00577ED2"/>
    <w:rsid w:val="00582F87"/>
    <w:rsid w:val="00584A81"/>
    <w:rsid w:val="00584C4A"/>
    <w:rsid w:val="00586240"/>
    <w:rsid w:val="005901F3"/>
    <w:rsid w:val="00590C21"/>
    <w:rsid w:val="005925C0"/>
    <w:rsid w:val="005936B7"/>
    <w:rsid w:val="00594C2F"/>
    <w:rsid w:val="00596354"/>
    <w:rsid w:val="005966B9"/>
    <w:rsid w:val="00596C33"/>
    <w:rsid w:val="00596FC5"/>
    <w:rsid w:val="00597528"/>
    <w:rsid w:val="00597BCC"/>
    <w:rsid w:val="005A06A1"/>
    <w:rsid w:val="005A16FE"/>
    <w:rsid w:val="005A1A27"/>
    <w:rsid w:val="005A3AB5"/>
    <w:rsid w:val="005A4374"/>
    <w:rsid w:val="005A4376"/>
    <w:rsid w:val="005A65A8"/>
    <w:rsid w:val="005A76AF"/>
    <w:rsid w:val="005B0DF7"/>
    <w:rsid w:val="005B3230"/>
    <w:rsid w:val="005B40D0"/>
    <w:rsid w:val="005B51A1"/>
    <w:rsid w:val="005B56C5"/>
    <w:rsid w:val="005B5E59"/>
    <w:rsid w:val="005B7745"/>
    <w:rsid w:val="005C1E47"/>
    <w:rsid w:val="005C2FE7"/>
    <w:rsid w:val="005C3BF8"/>
    <w:rsid w:val="005C5710"/>
    <w:rsid w:val="005C615C"/>
    <w:rsid w:val="005C79A5"/>
    <w:rsid w:val="005D1930"/>
    <w:rsid w:val="005D2617"/>
    <w:rsid w:val="005D2AFD"/>
    <w:rsid w:val="005D7702"/>
    <w:rsid w:val="005D7D85"/>
    <w:rsid w:val="005E07F6"/>
    <w:rsid w:val="005E2611"/>
    <w:rsid w:val="005E3231"/>
    <w:rsid w:val="005E4944"/>
    <w:rsid w:val="005E4C59"/>
    <w:rsid w:val="005E5B04"/>
    <w:rsid w:val="005E7678"/>
    <w:rsid w:val="005F1E17"/>
    <w:rsid w:val="005F4174"/>
    <w:rsid w:val="005F5A80"/>
    <w:rsid w:val="005F6419"/>
    <w:rsid w:val="005F783D"/>
    <w:rsid w:val="006013E3"/>
    <w:rsid w:val="006014D8"/>
    <w:rsid w:val="00601DC5"/>
    <w:rsid w:val="0060283D"/>
    <w:rsid w:val="00602A47"/>
    <w:rsid w:val="006034BB"/>
    <w:rsid w:val="00603E12"/>
    <w:rsid w:val="0060405C"/>
    <w:rsid w:val="00605105"/>
    <w:rsid w:val="0060631A"/>
    <w:rsid w:val="006066A4"/>
    <w:rsid w:val="00606750"/>
    <w:rsid w:val="0060751E"/>
    <w:rsid w:val="0061023B"/>
    <w:rsid w:val="0061171D"/>
    <w:rsid w:val="00612314"/>
    <w:rsid w:val="00612B8A"/>
    <w:rsid w:val="00613A29"/>
    <w:rsid w:val="0061468B"/>
    <w:rsid w:val="00614991"/>
    <w:rsid w:val="006164E0"/>
    <w:rsid w:val="006166A4"/>
    <w:rsid w:val="00616E0E"/>
    <w:rsid w:val="006203A8"/>
    <w:rsid w:val="00620BFA"/>
    <w:rsid w:val="00620D8D"/>
    <w:rsid w:val="00621FF2"/>
    <w:rsid w:val="00622CCD"/>
    <w:rsid w:val="00623144"/>
    <w:rsid w:val="00624B4A"/>
    <w:rsid w:val="0062671F"/>
    <w:rsid w:val="00627CD0"/>
    <w:rsid w:val="006335A5"/>
    <w:rsid w:val="00636261"/>
    <w:rsid w:val="006371B0"/>
    <w:rsid w:val="00637469"/>
    <w:rsid w:val="00640762"/>
    <w:rsid w:val="00641F12"/>
    <w:rsid w:val="006420B7"/>
    <w:rsid w:val="00642A5D"/>
    <w:rsid w:val="0064338E"/>
    <w:rsid w:val="00644A9F"/>
    <w:rsid w:val="00646A7C"/>
    <w:rsid w:val="00650989"/>
    <w:rsid w:val="00650B9E"/>
    <w:rsid w:val="00651029"/>
    <w:rsid w:val="006512F2"/>
    <w:rsid w:val="0065240E"/>
    <w:rsid w:val="00652B6A"/>
    <w:rsid w:val="00654157"/>
    <w:rsid w:val="00657B5B"/>
    <w:rsid w:val="00657D41"/>
    <w:rsid w:val="00660C84"/>
    <w:rsid w:val="00666248"/>
    <w:rsid w:val="006675BB"/>
    <w:rsid w:val="00670BE8"/>
    <w:rsid w:val="00670D0E"/>
    <w:rsid w:val="0067364F"/>
    <w:rsid w:val="00675A43"/>
    <w:rsid w:val="00675F6B"/>
    <w:rsid w:val="006763B8"/>
    <w:rsid w:val="00676DA0"/>
    <w:rsid w:val="00676F81"/>
    <w:rsid w:val="006800F3"/>
    <w:rsid w:val="00680FC0"/>
    <w:rsid w:val="006815DB"/>
    <w:rsid w:val="00682000"/>
    <w:rsid w:val="006844CA"/>
    <w:rsid w:val="006844FD"/>
    <w:rsid w:val="006862A5"/>
    <w:rsid w:val="00686EFB"/>
    <w:rsid w:val="00690F41"/>
    <w:rsid w:val="00691F15"/>
    <w:rsid w:val="00692586"/>
    <w:rsid w:val="00695CDF"/>
    <w:rsid w:val="00696645"/>
    <w:rsid w:val="00696675"/>
    <w:rsid w:val="00696D8E"/>
    <w:rsid w:val="0069795A"/>
    <w:rsid w:val="006A03C8"/>
    <w:rsid w:val="006A18DD"/>
    <w:rsid w:val="006B024B"/>
    <w:rsid w:val="006B1FE1"/>
    <w:rsid w:val="006B41CA"/>
    <w:rsid w:val="006B4380"/>
    <w:rsid w:val="006B4392"/>
    <w:rsid w:val="006B5EC1"/>
    <w:rsid w:val="006B6F9F"/>
    <w:rsid w:val="006C1832"/>
    <w:rsid w:val="006C28BF"/>
    <w:rsid w:val="006C2975"/>
    <w:rsid w:val="006C2AC7"/>
    <w:rsid w:val="006C48F9"/>
    <w:rsid w:val="006C4EBA"/>
    <w:rsid w:val="006C5543"/>
    <w:rsid w:val="006C5A7C"/>
    <w:rsid w:val="006C6A89"/>
    <w:rsid w:val="006C715E"/>
    <w:rsid w:val="006C75AA"/>
    <w:rsid w:val="006D15D1"/>
    <w:rsid w:val="006D1F59"/>
    <w:rsid w:val="006D35A8"/>
    <w:rsid w:val="006D40C7"/>
    <w:rsid w:val="006D7163"/>
    <w:rsid w:val="006D7668"/>
    <w:rsid w:val="006E2990"/>
    <w:rsid w:val="006E29FD"/>
    <w:rsid w:val="006E5F3B"/>
    <w:rsid w:val="006E7503"/>
    <w:rsid w:val="006E7A34"/>
    <w:rsid w:val="006F2A40"/>
    <w:rsid w:val="006F4649"/>
    <w:rsid w:val="006F4F9D"/>
    <w:rsid w:val="006F6B8B"/>
    <w:rsid w:val="006F739E"/>
    <w:rsid w:val="006F7806"/>
    <w:rsid w:val="007037BD"/>
    <w:rsid w:val="00703BF9"/>
    <w:rsid w:val="007041D7"/>
    <w:rsid w:val="00704760"/>
    <w:rsid w:val="00705681"/>
    <w:rsid w:val="00705FB0"/>
    <w:rsid w:val="007077FC"/>
    <w:rsid w:val="00707A27"/>
    <w:rsid w:val="00707E0A"/>
    <w:rsid w:val="00707F5C"/>
    <w:rsid w:val="0071002D"/>
    <w:rsid w:val="00710BCE"/>
    <w:rsid w:val="00712DFC"/>
    <w:rsid w:val="00715102"/>
    <w:rsid w:val="007156AC"/>
    <w:rsid w:val="00715C64"/>
    <w:rsid w:val="00721130"/>
    <w:rsid w:val="00721F8C"/>
    <w:rsid w:val="00722513"/>
    <w:rsid w:val="00722873"/>
    <w:rsid w:val="00725D8B"/>
    <w:rsid w:val="00725E20"/>
    <w:rsid w:val="00726094"/>
    <w:rsid w:val="0072738D"/>
    <w:rsid w:val="00727F82"/>
    <w:rsid w:val="00727FE9"/>
    <w:rsid w:val="00732C48"/>
    <w:rsid w:val="00732E36"/>
    <w:rsid w:val="00735B7D"/>
    <w:rsid w:val="00742DF8"/>
    <w:rsid w:val="00744720"/>
    <w:rsid w:val="00745554"/>
    <w:rsid w:val="00745BA8"/>
    <w:rsid w:val="00745F76"/>
    <w:rsid w:val="00746C18"/>
    <w:rsid w:val="007509E5"/>
    <w:rsid w:val="007524C9"/>
    <w:rsid w:val="00752504"/>
    <w:rsid w:val="00752906"/>
    <w:rsid w:val="00754B28"/>
    <w:rsid w:val="00754DE6"/>
    <w:rsid w:val="00755B17"/>
    <w:rsid w:val="007569A6"/>
    <w:rsid w:val="007569CD"/>
    <w:rsid w:val="00760F2E"/>
    <w:rsid w:val="00760FBB"/>
    <w:rsid w:val="007612CF"/>
    <w:rsid w:val="00762845"/>
    <w:rsid w:val="007630F7"/>
    <w:rsid w:val="00763926"/>
    <w:rsid w:val="00763B77"/>
    <w:rsid w:val="007645B8"/>
    <w:rsid w:val="00765628"/>
    <w:rsid w:val="00765BA1"/>
    <w:rsid w:val="0076609F"/>
    <w:rsid w:val="00767D5A"/>
    <w:rsid w:val="007738BF"/>
    <w:rsid w:val="00774117"/>
    <w:rsid w:val="00775768"/>
    <w:rsid w:val="007769A9"/>
    <w:rsid w:val="007774DF"/>
    <w:rsid w:val="007800EC"/>
    <w:rsid w:val="00782181"/>
    <w:rsid w:val="007848B7"/>
    <w:rsid w:val="007861AB"/>
    <w:rsid w:val="00790306"/>
    <w:rsid w:val="007909F4"/>
    <w:rsid w:val="007910B7"/>
    <w:rsid w:val="00791190"/>
    <w:rsid w:val="00792682"/>
    <w:rsid w:val="0079371F"/>
    <w:rsid w:val="00793896"/>
    <w:rsid w:val="007967AE"/>
    <w:rsid w:val="0079705B"/>
    <w:rsid w:val="007A19CD"/>
    <w:rsid w:val="007A27B3"/>
    <w:rsid w:val="007A27BF"/>
    <w:rsid w:val="007A2B14"/>
    <w:rsid w:val="007A3E0D"/>
    <w:rsid w:val="007A3E62"/>
    <w:rsid w:val="007A7265"/>
    <w:rsid w:val="007B00A7"/>
    <w:rsid w:val="007B7832"/>
    <w:rsid w:val="007C0206"/>
    <w:rsid w:val="007C1E17"/>
    <w:rsid w:val="007C2165"/>
    <w:rsid w:val="007C3416"/>
    <w:rsid w:val="007C44AE"/>
    <w:rsid w:val="007C4916"/>
    <w:rsid w:val="007C55A6"/>
    <w:rsid w:val="007C55B9"/>
    <w:rsid w:val="007C59A6"/>
    <w:rsid w:val="007C5DFA"/>
    <w:rsid w:val="007C6337"/>
    <w:rsid w:val="007C766C"/>
    <w:rsid w:val="007D1F7A"/>
    <w:rsid w:val="007D294B"/>
    <w:rsid w:val="007D69F6"/>
    <w:rsid w:val="007D7A79"/>
    <w:rsid w:val="007E3082"/>
    <w:rsid w:val="007E52AB"/>
    <w:rsid w:val="007E6FA9"/>
    <w:rsid w:val="007F0BC7"/>
    <w:rsid w:val="007F0FBA"/>
    <w:rsid w:val="007F1308"/>
    <w:rsid w:val="007F1B73"/>
    <w:rsid w:val="007F2173"/>
    <w:rsid w:val="007F223C"/>
    <w:rsid w:val="007F257C"/>
    <w:rsid w:val="007F3BD7"/>
    <w:rsid w:val="007F545C"/>
    <w:rsid w:val="007F5B33"/>
    <w:rsid w:val="007F6818"/>
    <w:rsid w:val="007F6E2E"/>
    <w:rsid w:val="0080037F"/>
    <w:rsid w:val="008007DB"/>
    <w:rsid w:val="0080104D"/>
    <w:rsid w:val="008048BB"/>
    <w:rsid w:val="00805AAA"/>
    <w:rsid w:val="00806E68"/>
    <w:rsid w:val="00810211"/>
    <w:rsid w:val="0081053C"/>
    <w:rsid w:val="008122DF"/>
    <w:rsid w:val="00812D88"/>
    <w:rsid w:val="00814A93"/>
    <w:rsid w:val="00816544"/>
    <w:rsid w:val="0081661C"/>
    <w:rsid w:val="00816B79"/>
    <w:rsid w:val="00816CB1"/>
    <w:rsid w:val="00817AC5"/>
    <w:rsid w:val="00821953"/>
    <w:rsid w:val="0082204C"/>
    <w:rsid w:val="00824A19"/>
    <w:rsid w:val="00824DC7"/>
    <w:rsid w:val="00824E6F"/>
    <w:rsid w:val="00825B1C"/>
    <w:rsid w:val="00826138"/>
    <w:rsid w:val="0082778B"/>
    <w:rsid w:val="0083017A"/>
    <w:rsid w:val="00830193"/>
    <w:rsid w:val="00830533"/>
    <w:rsid w:val="00831A08"/>
    <w:rsid w:val="00834634"/>
    <w:rsid w:val="008372E3"/>
    <w:rsid w:val="00841403"/>
    <w:rsid w:val="00844650"/>
    <w:rsid w:val="0084510C"/>
    <w:rsid w:val="0084774F"/>
    <w:rsid w:val="00847F95"/>
    <w:rsid w:val="00847FA7"/>
    <w:rsid w:val="008501C3"/>
    <w:rsid w:val="0085050C"/>
    <w:rsid w:val="00851560"/>
    <w:rsid w:val="0085296A"/>
    <w:rsid w:val="008538B3"/>
    <w:rsid w:val="00854BC9"/>
    <w:rsid w:val="00855044"/>
    <w:rsid w:val="00855573"/>
    <w:rsid w:val="0085575A"/>
    <w:rsid w:val="00856603"/>
    <w:rsid w:val="0085714F"/>
    <w:rsid w:val="008573A4"/>
    <w:rsid w:val="00857552"/>
    <w:rsid w:val="00861B9B"/>
    <w:rsid w:val="00861D5B"/>
    <w:rsid w:val="00862DB6"/>
    <w:rsid w:val="0086374E"/>
    <w:rsid w:val="00864691"/>
    <w:rsid w:val="008658DE"/>
    <w:rsid w:val="00865D18"/>
    <w:rsid w:val="00866C4A"/>
    <w:rsid w:val="00866D58"/>
    <w:rsid w:val="00867B51"/>
    <w:rsid w:val="00870D28"/>
    <w:rsid w:val="00871DE3"/>
    <w:rsid w:val="008724E6"/>
    <w:rsid w:val="0087293B"/>
    <w:rsid w:val="00872D60"/>
    <w:rsid w:val="0087340C"/>
    <w:rsid w:val="0087408C"/>
    <w:rsid w:val="00874FC7"/>
    <w:rsid w:val="00874FE5"/>
    <w:rsid w:val="0087501D"/>
    <w:rsid w:val="00875493"/>
    <w:rsid w:val="00876513"/>
    <w:rsid w:val="00876B0D"/>
    <w:rsid w:val="00880CA0"/>
    <w:rsid w:val="00880CD3"/>
    <w:rsid w:val="00881FC2"/>
    <w:rsid w:val="00883F56"/>
    <w:rsid w:val="00885EF2"/>
    <w:rsid w:val="008908A5"/>
    <w:rsid w:val="008946C3"/>
    <w:rsid w:val="00894866"/>
    <w:rsid w:val="008955E4"/>
    <w:rsid w:val="00896387"/>
    <w:rsid w:val="008A1A14"/>
    <w:rsid w:val="008A23A0"/>
    <w:rsid w:val="008A3B64"/>
    <w:rsid w:val="008A686C"/>
    <w:rsid w:val="008A6D3E"/>
    <w:rsid w:val="008B076F"/>
    <w:rsid w:val="008B410B"/>
    <w:rsid w:val="008B4CED"/>
    <w:rsid w:val="008B4F7E"/>
    <w:rsid w:val="008B5DE2"/>
    <w:rsid w:val="008B6B4C"/>
    <w:rsid w:val="008B7257"/>
    <w:rsid w:val="008B7710"/>
    <w:rsid w:val="008C0645"/>
    <w:rsid w:val="008C08D5"/>
    <w:rsid w:val="008C0ED0"/>
    <w:rsid w:val="008C1550"/>
    <w:rsid w:val="008C58A3"/>
    <w:rsid w:val="008C73C5"/>
    <w:rsid w:val="008C7BEA"/>
    <w:rsid w:val="008D191C"/>
    <w:rsid w:val="008D1C8F"/>
    <w:rsid w:val="008D24D6"/>
    <w:rsid w:val="008D2CE9"/>
    <w:rsid w:val="008D364A"/>
    <w:rsid w:val="008D6529"/>
    <w:rsid w:val="008D7966"/>
    <w:rsid w:val="008E1A18"/>
    <w:rsid w:val="008E31B0"/>
    <w:rsid w:val="008E3EAF"/>
    <w:rsid w:val="008E4A41"/>
    <w:rsid w:val="008E5B38"/>
    <w:rsid w:val="008E6D86"/>
    <w:rsid w:val="008F1FD3"/>
    <w:rsid w:val="008F271F"/>
    <w:rsid w:val="008F2CA3"/>
    <w:rsid w:val="008F369D"/>
    <w:rsid w:val="008F4F83"/>
    <w:rsid w:val="008F65CB"/>
    <w:rsid w:val="008F67C9"/>
    <w:rsid w:val="008F73A2"/>
    <w:rsid w:val="00900DFF"/>
    <w:rsid w:val="00901705"/>
    <w:rsid w:val="00902092"/>
    <w:rsid w:val="0090401B"/>
    <w:rsid w:val="00904648"/>
    <w:rsid w:val="009051AB"/>
    <w:rsid w:val="00906389"/>
    <w:rsid w:val="00906E89"/>
    <w:rsid w:val="00906EDC"/>
    <w:rsid w:val="00907103"/>
    <w:rsid w:val="009114B2"/>
    <w:rsid w:val="00911D31"/>
    <w:rsid w:val="0091216D"/>
    <w:rsid w:val="00912617"/>
    <w:rsid w:val="009140F8"/>
    <w:rsid w:val="009150EF"/>
    <w:rsid w:val="00917DBC"/>
    <w:rsid w:val="0092053F"/>
    <w:rsid w:val="00920AD5"/>
    <w:rsid w:val="009225C1"/>
    <w:rsid w:val="009237B1"/>
    <w:rsid w:val="0092416A"/>
    <w:rsid w:val="00926A08"/>
    <w:rsid w:val="00926AF3"/>
    <w:rsid w:val="0093056A"/>
    <w:rsid w:val="00932254"/>
    <w:rsid w:val="00932E12"/>
    <w:rsid w:val="00934D2D"/>
    <w:rsid w:val="00935106"/>
    <w:rsid w:val="00936508"/>
    <w:rsid w:val="00936533"/>
    <w:rsid w:val="00937061"/>
    <w:rsid w:val="009370FE"/>
    <w:rsid w:val="00937474"/>
    <w:rsid w:val="009408B4"/>
    <w:rsid w:val="00940A5E"/>
    <w:rsid w:val="00941141"/>
    <w:rsid w:val="00943262"/>
    <w:rsid w:val="00943638"/>
    <w:rsid w:val="009438EF"/>
    <w:rsid w:val="00944623"/>
    <w:rsid w:val="00946902"/>
    <w:rsid w:val="00947A79"/>
    <w:rsid w:val="00952323"/>
    <w:rsid w:val="009530B8"/>
    <w:rsid w:val="009530E2"/>
    <w:rsid w:val="00953506"/>
    <w:rsid w:val="00955937"/>
    <w:rsid w:val="00956A06"/>
    <w:rsid w:val="00960F38"/>
    <w:rsid w:val="00961037"/>
    <w:rsid w:val="009616A3"/>
    <w:rsid w:val="00964569"/>
    <w:rsid w:val="00966E03"/>
    <w:rsid w:val="009674D6"/>
    <w:rsid w:val="00967658"/>
    <w:rsid w:val="00967BA9"/>
    <w:rsid w:val="00967E94"/>
    <w:rsid w:val="00974670"/>
    <w:rsid w:val="00974D61"/>
    <w:rsid w:val="00975D43"/>
    <w:rsid w:val="00977634"/>
    <w:rsid w:val="00977FFB"/>
    <w:rsid w:val="0098175E"/>
    <w:rsid w:val="009835D0"/>
    <w:rsid w:val="00983D7F"/>
    <w:rsid w:val="009841BB"/>
    <w:rsid w:val="00984AE4"/>
    <w:rsid w:val="009866C3"/>
    <w:rsid w:val="00987B3B"/>
    <w:rsid w:val="00990022"/>
    <w:rsid w:val="00991BED"/>
    <w:rsid w:val="00991DA6"/>
    <w:rsid w:val="00992BC5"/>
    <w:rsid w:val="00996902"/>
    <w:rsid w:val="009A6A98"/>
    <w:rsid w:val="009A72C5"/>
    <w:rsid w:val="009B0EF0"/>
    <w:rsid w:val="009B2AC4"/>
    <w:rsid w:val="009B3119"/>
    <w:rsid w:val="009B3448"/>
    <w:rsid w:val="009B361A"/>
    <w:rsid w:val="009B475E"/>
    <w:rsid w:val="009B4CC4"/>
    <w:rsid w:val="009B6941"/>
    <w:rsid w:val="009B6F1D"/>
    <w:rsid w:val="009B71A3"/>
    <w:rsid w:val="009B7BE5"/>
    <w:rsid w:val="009C00D1"/>
    <w:rsid w:val="009C03D9"/>
    <w:rsid w:val="009C08E6"/>
    <w:rsid w:val="009C0E43"/>
    <w:rsid w:val="009C1760"/>
    <w:rsid w:val="009C4BA5"/>
    <w:rsid w:val="009C4EC6"/>
    <w:rsid w:val="009C7233"/>
    <w:rsid w:val="009D0EEC"/>
    <w:rsid w:val="009D372B"/>
    <w:rsid w:val="009D488E"/>
    <w:rsid w:val="009D4C4C"/>
    <w:rsid w:val="009D4EAF"/>
    <w:rsid w:val="009D587F"/>
    <w:rsid w:val="009D62F1"/>
    <w:rsid w:val="009D643B"/>
    <w:rsid w:val="009E0664"/>
    <w:rsid w:val="009E2A8B"/>
    <w:rsid w:val="009E3BB1"/>
    <w:rsid w:val="009E4573"/>
    <w:rsid w:val="009E4B5C"/>
    <w:rsid w:val="009E5D22"/>
    <w:rsid w:val="009E5D2B"/>
    <w:rsid w:val="009E7363"/>
    <w:rsid w:val="009F04F1"/>
    <w:rsid w:val="009F0CD8"/>
    <w:rsid w:val="009F0FF8"/>
    <w:rsid w:val="009F1611"/>
    <w:rsid w:val="009F1BB9"/>
    <w:rsid w:val="009F2268"/>
    <w:rsid w:val="009F3B36"/>
    <w:rsid w:val="009F6046"/>
    <w:rsid w:val="009F6763"/>
    <w:rsid w:val="009F7438"/>
    <w:rsid w:val="00A00D1C"/>
    <w:rsid w:val="00A00ED0"/>
    <w:rsid w:val="00A0188F"/>
    <w:rsid w:val="00A01EB1"/>
    <w:rsid w:val="00A01EDE"/>
    <w:rsid w:val="00A0240D"/>
    <w:rsid w:val="00A03899"/>
    <w:rsid w:val="00A043BC"/>
    <w:rsid w:val="00A04D51"/>
    <w:rsid w:val="00A0761A"/>
    <w:rsid w:val="00A07D36"/>
    <w:rsid w:val="00A106D3"/>
    <w:rsid w:val="00A11256"/>
    <w:rsid w:val="00A11EF1"/>
    <w:rsid w:val="00A1246B"/>
    <w:rsid w:val="00A12832"/>
    <w:rsid w:val="00A159B8"/>
    <w:rsid w:val="00A17A4A"/>
    <w:rsid w:val="00A21B91"/>
    <w:rsid w:val="00A24A17"/>
    <w:rsid w:val="00A24A41"/>
    <w:rsid w:val="00A26C54"/>
    <w:rsid w:val="00A30E5C"/>
    <w:rsid w:val="00A339E6"/>
    <w:rsid w:val="00A33B00"/>
    <w:rsid w:val="00A342A7"/>
    <w:rsid w:val="00A34CA8"/>
    <w:rsid w:val="00A35B08"/>
    <w:rsid w:val="00A35C67"/>
    <w:rsid w:val="00A35DCC"/>
    <w:rsid w:val="00A41160"/>
    <w:rsid w:val="00A416E3"/>
    <w:rsid w:val="00A4322D"/>
    <w:rsid w:val="00A44602"/>
    <w:rsid w:val="00A45E24"/>
    <w:rsid w:val="00A469B6"/>
    <w:rsid w:val="00A5129E"/>
    <w:rsid w:val="00A5204C"/>
    <w:rsid w:val="00A528CB"/>
    <w:rsid w:val="00A528EE"/>
    <w:rsid w:val="00A5294D"/>
    <w:rsid w:val="00A52C31"/>
    <w:rsid w:val="00A53739"/>
    <w:rsid w:val="00A53AE8"/>
    <w:rsid w:val="00A54180"/>
    <w:rsid w:val="00A5429C"/>
    <w:rsid w:val="00A5576B"/>
    <w:rsid w:val="00A62C6C"/>
    <w:rsid w:val="00A65062"/>
    <w:rsid w:val="00A65546"/>
    <w:rsid w:val="00A65846"/>
    <w:rsid w:val="00A679B7"/>
    <w:rsid w:val="00A71847"/>
    <w:rsid w:val="00A735A7"/>
    <w:rsid w:val="00A73ABD"/>
    <w:rsid w:val="00A7429B"/>
    <w:rsid w:val="00A7444B"/>
    <w:rsid w:val="00A74DA0"/>
    <w:rsid w:val="00A75643"/>
    <w:rsid w:val="00A76D25"/>
    <w:rsid w:val="00A76D85"/>
    <w:rsid w:val="00A76DC9"/>
    <w:rsid w:val="00A77874"/>
    <w:rsid w:val="00A77B39"/>
    <w:rsid w:val="00A82E1B"/>
    <w:rsid w:val="00A85047"/>
    <w:rsid w:val="00A90210"/>
    <w:rsid w:val="00A91879"/>
    <w:rsid w:val="00A952AD"/>
    <w:rsid w:val="00AA1A7C"/>
    <w:rsid w:val="00AA2859"/>
    <w:rsid w:val="00AA29DB"/>
    <w:rsid w:val="00AA647F"/>
    <w:rsid w:val="00AA72DA"/>
    <w:rsid w:val="00AB0B88"/>
    <w:rsid w:val="00AB17B4"/>
    <w:rsid w:val="00AB20AE"/>
    <w:rsid w:val="00AB2302"/>
    <w:rsid w:val="00AB2BB1"/>
    <w:rsid w:val="00AB4DB5"/>
    <w:rsid w:val="00AC1DB7"/>
    <w:rsid w:val="00AC585D"/>
    <w:rsid w:val="00AC6856"/>
    <w:rsid w:val="00AD06B5"/>
    <w:rsid w:val="00AD1AE7"/>
    <w:rsid w:val="00AD28E4"/>
    <w:rsid w:val="00AD3AF0"/>
    <w:rsid w:val="00AD47C1"/>
    <w:rsid w:val="00AD6625"/>
    <w:rsid w:val="00AD6E46"/>
    <w:rsid w:val="00AD7F03"/>
    <w:rsid w:val="00AE2655"/>
    <w:rsid w:val="00AE3024"/>
    <w:rsid w:val="00AE379D"/>
    <w:rsid w:val="00AE40D7"/>
    <w:rsid w:val="00AE7C63"/>
    <w:rsid w:val="00AE7D14"/>
    <w:rsid w:val="00AF0CAA"/>
    <w:rsid w:val="00AF1289"/>
    <w:rsid w:val="00AF2331"/>
    <w:rsid w:val="00AF5EC7"/>
    <w:rsid w:val="00AF5FD6"/>
    <w:rsid w:val="00AF63BE"/>
    <w:rsid w:val="00AF7E16"/>
    <w:rsid w:val="00B001F5"/>
    <w:rsid w:val="00B00AA0"/>
    <w:rsid w:val="00B00CFD"/>
    <w:rsid w:val="00B04192"/>
    <w:rsid w:val="00B0422C"/>
    <w:rsid w:val="00B04FBF"/>
    <w:rsid w:val="00B05828"/>
    <w:rsid w:val="00B105DE"/>
    <w:rsid w:val="00B12646"/>
    <w:rsid w:val="00B12E08"/>
    <w:rsid w:val="00B14C90"/>
    <w:rsid w:val="00B15569"/>
    <w:rsid w:val="00B1773A"/>
    <w:rsid w:val="00B17742"/>
    <w:rsid w:val="00B17FA6"/>
    <w:rsid w:val="00B2230D"/>
    <w:rsid w:val="00B22A62"/>
    <w:rsid w:val="00B25003"/>
    <w:rsid w:val="00B2553B"/>
    <w:rsid w:val="00B25A63"/>
    <w:rsid w:val="00B263CE"/>
    <w:rsid w:val="00B318DE"/>
    <w:rsid w:val="00B31B52"/>
    <w:rsid w:val="00B32837"/>
    <w:rsid w:val="00B32FAC"/>
    <w:rsid w:val="00B33112"/>
    <w:rsid w:val="00B33410"/>
    <w:rsid w:val="00B34313"/>
    <w:rsid w:val="00B3431D"/>
    <w:rsid w:val="00B343FF"/>
    <w:rsid w:val="00B35CFB"/>
    <w:rsid w:val="00B40453"/>
    <w:rsid w:val="00B405D9"/>
    <w:rsid w:val="00B4133F"/>
    <w:rsid w:val="00B42545"/>
    <w:rsid w:val="00B42E91"/>
    <w:rsid w:val="00B443F3"/>
    <w:rsid w:val="00B4553A"/>
    <w:rsid w:val="00B46859"/>
    <w:rsid w:val="00B47B02"/>
    <w:rsid w:val="00B5280A"/>
    <w:rsid w:val="00B60298"/>
    <w:rsid w:val="00B612CA"/>
    <w:rsid w:val="00B613EA"/>
    <w:rsid w:val="00B6189E"/>
    <w:rsid w:val="00B64BD9"/>
    <w:rsid w:val="00B64EB1"/>
    <w:rsid w:val="00B65567"/>
    <w:rsid w:val="00B67330"/>
    <w:rsid w:val="00B67535"/>
    <w:rsid w:val="00B705F9"/>
    <w:rsid w:val="00B70719"/>
    <w:rsid w:val="00B70A2D"/>
    <w:rsid w:val="00B71C7E"/>
    <w:rsid w:val="00B736D3"/>
    <w:rsid w:val="00B80D77"/>
    <w:rsid w:val="00B81ED3"/>
    <w:rsid w:val="00B82127"/>
    <w:rsid w:val="00B82617"/>
    <w:rsid w:val="00B84F8F"/>
    <w:rsid w:val="00B85E2E"/>
    <w:rsid w:val="00B86567"/>
    <w:rsid w:val="00BA012B"/>
    <w:rsid w:val="00BA0BB4"/>
    <w:rsid w:val="00BA1774"/>
    <w:rsid w:val="00BA1C0A"/>
    <w:rsid w:val="00BA2E54"/>
    <w:rsid w:val="00BA3185"/>
    <w:rsid w:val="00BA34E2"/>
    <w:rsid w:val="00BA3E6C"/>
    <w:rsid w:val="00BA5363"/>
    <w:rsid w:val="00BA584B"/>
    <w:rsid w:val="00BA7B8C"/>
    <w:rsid w:val="00BB18AB"/>
    <w:rsid w:val="00BB291C"/>
    <w:rsid w:val="00BB5931"/>
    <w:rsid w:val="00BB5BE9"/>
    <w:rsid w:val="00BB5E34"/>
    <w:rsid w:val="00BB631E"/>
    <w:rsid w:val="00BB647C"/>
    <w:rsid w:val="00BC1A7E"/>
    <w:rsid w:val="00BC28A7"/>
    <w:rsid w:val="00BC4AF8"/>
    <w:rsid w:val="00BC4BD1"/>
    <w:rsid w:val="00BC538C"/>
    <w:rsid w:val="00BC58BC"/>
    <w:rsid w:val="00BC6B30"/>
    <w:rsid w:val="00BC7207"/>
    <w:rsid w:val="00BD0693"/>
    <w:rsid w:val="00BD1379"/>
    <w:rsid w:val="00BD236B"/>
    <w:rsid w:val="00BD2B64"/>
    <w:rsid w:val="00BD3310"/>
    <w:rsid w:val="00BD55B3"/>
    <w:rsid w:val="00BD7E95"/>
    <w:rsid w:val="00BE12DB"/>
    <w:rsid w:val="00BE271A"/>
    <w:rsid w:val="00BE3846"/>
    <w:rsid w:val="00BE3DE2"/>
    <w:rsid w:val="00BE6D6D"/>
    <w:rsid w:val="00BF0070"/>
    <w:rsid w:val="00BF18D8"/>
    <w:rsid w:val="00BF54CE"/>
    <w:rsid w:val="00BF5A15"/>
    <w:rsid w:val="00BF5B9F"/>
    <w:rsid w:val="00BF6D1D"/>
    <w:rsid w:val="00C000C1"/>
    <w:rsid w:val="00C0204A"/>
    <w:rsid w:val="00C049A9"/>
    <w:rsid w:val="00C05BEB"/>
    <w:rsid w:val="00C07E0D"/>
    <w:rsid w:val="00C11D99"/>
    <w:rsid w:val="00C120B4"/>
    <w:rsid w:val="00C125BB"/>
    <w:rsid w:val="00C125F3"/>
    <w:rsid w:val="00C13BFC"/>
    <w:rsid w:val="00C1414B"/>
    <w:rsid w:val="00C14D05"/>
    <w:rsid w:val="00C150BC"/>
    <w:rsid w:val="00C16505"/>
    <w:rsid w:val="00C17105"/>
    <w:rsid w:val="00C17914"/>
    <w:rsid w:val="00C17D84"/>
    <w:rsid w:val="00C201B0"/>
    <w:rsid w:val="00C21796"/>
    <w:rsid w:val="00C22152"/>
    <w:rsid w:val="00C2399C"/>
    <w:rsid w:val="00C23DC7"/>
    <w:rsid w:val="00C23EC7"/>
    <w:rsid w:val="00C24DF0"/>
    <w:rsid w:val="00C253B0"/>
    <w:rsid w:val="00C266D8"/>
    <w:rsid w:val="00C267C5"/>
    <w:rsid w:val="00C26CA1"/>
    <w:rsid w:val="00C27090"/>
    <w:rsid w:val="00C3211F"/>
    <w:rsid w:val="00C3286A"/>
    <w:rsid w:val="00C334FC"/>
    <w:rsid w:val="00C34370"/>
    <w:rsid w:val="00C34576"/>
    <w:rsid w:val="00C35056"/>
    <w:rsid w:val="00C3662C"/>
    <w:rsid w:val="00C36E0B"/>
    <w:rsid w:val="00C4091E"/>
    <w:rsid w:val="00C41011"/>
    <w:rsid w:val="00C41F71"/>
    <w:rsid w:val="00C43139"/>
    <w:rsid w:val="00C44D5B"/>
    <w:rsid w:val="00C46927"/>
    <w:rsid w:val="00C46941"/>
    <w:rsid w:val="00C526EF"/>
    <w:rsid w:val="00C52FB1"/>
    <w:rsid w:val="00C54663"/>
    <w:rsid w:val="00C56FCF"/>
    <w:rsid w:val="00C5724E"/>
    <w:rsid w:val="00C57863"/>
    <w:rsid w:val="00C60133"/>
    <w:rsid w:val="00C61009"/>
    <w:rsid w:val="00C6101A"/>
    <w:rsid w:val="00C612E8"/>
    <w:rsid w:val="00C61DAF"/>
    <w:rsid w:val="00C65CA5"/>
    <w:rsid w:val="00C66A6A"/>
    <w:rsid w:val="00C66AA3"/>
    <w:rsid w:val="00C6709E"/>
    <w:rsid w:val="00C6710F"/>
    <w:rsid w:val="00C67C2D"/>
    <w:rsid w:val="00C72528"/>
    <w:rsid w:val="00C7340B"/>
    <w:rsid w:val="00C734F1"/>
    <w:rsid w:val="00C7542E"/>
    <w:rsid w:val="00C766A2"/>
    <w:rsid w:val="00C7773D"/>
    <w:rsid w:val="00C8015D"/>
    <w:rsid w:val="00C806C9"/>
    <w:rsid w:val="00C81143"/>
    <w:rsid w:val="00C816E3"/>
    <w:rsid w:val="00C82156"/>
    <w:rsid w:val="00C824FC"/>
    <w:rsid w:val="00C83F54"/>
    <w:rsid w:val="00C83F6C"/>
    <w:rsid w:val="00C848DC"/>
    <w:rsid w:val="00C86B55"/>
    <w:rsid w:val="00C87214"/>
    <w:rsid w:val="00C87ED1"/>
    <w:rsid w:val="00C917C2"/>
    <w:rsid w:val="00C91822"/>
    <w:rsid w:val="00C937B9"/>
    <w:rsid w:val="00C947BB"/>
    <w:rsid w:val="00C96B39"/>
    <w:rsid w:val="00C97B98"/>
    <w:rsid w:val="00CA0330"/>
    <w:rsid w:val="00CA20CB"/>
    <w:rsid w:val="00CA2F61"/>
    <w:rsid w:val="00CA3E55"/>
    <w:rsid w:val="00CA48DF"/>
    <w:rsid w:val="00CA4970"/>
    <w:rsid w:val="00CB4F01"/>
    <w:rsid w:val="00CB58B1"/>
    <w:rsid w:val="00CB7914"/>
    <w:rsid w:val="00CC08D6"/>
    <w:rsid w:val="00CC56F5"/>
    <w:rsid w:val="00CC6AE6"/>
    <w:rsid w:val="00CC6D33"/>
    <w:rsid w:val="00CC771E"/>
    <w:rsid w:val="00CD1733"/>
    <w:rsid w:val="00CD19D0"/>
    <w:rsid w:val="00CD26B7"/>
    <w:rsid w:val="00CD3D6E"/>
    <w:rsid w:val="00CD6073"/>
    <w:rsid w:val="00CD6696"/>
    <w:rsid w:val="00CD685D"/>
    <w:rsid w:val="00CE0AD2"/>
    <w:rsid w:val="00CE2203"/>
    <w:rsid w:val="00CE2456"/>
    <w:rsid w:val="00CE2682"/>
    <w:rsid w:val="00CE2AFE"/>
    <w:rsid w:val="00CE2BF1"/>
    <w:rsid w:val="00CE2D0C"/>
    <w:rsid w:val="00CE426E"/>
    <w:rsid w:val="00CE4AF8"/>
    <w:rsid w:val="00CE6965"/>
    <w:rsid w:val="00CE70DE"/>
    <w:rsid w:val="00CE7F82"/>
    <w:rsid w:val="00CF0107"/>
    <w:rsid w:val="00CF133D"/>
    <w:rsid w:val="00CF1C5C"/>
    <w:rsid w:val="00CF4178"/>
    <w:rsid w:val="00CF440F"/>
    <w:rsid w:val="00CF599A"/>
    <w:rsid w:val="00CF66A3"/>
    <w:rsid w:val="00CF723B"/>
    <w:rsid w:val="00D01755"/>
    <w:rsid w:val="00D051D6"/>
    <w:rsid w:val="00D055AB"/>
    <w:rsid w:val="00D058FD"/>
    <w:rsid w:val="00D0777E"/>
    <w:rsid w:val="00D07CD9"/>
    <w:rsid w:val="00D10BCE"/>
    <w:rsid w:val="00D12801"/>
    <w:rsid w:val="00D13816"/>
    <w:rsid w:val="00D13BBC"/>
    <w:rsid w:val="00D14DBA"/>
    <w:rsid w:val="00D1776E"/>
    <w:rsid w:val="00D20192"/>
    <w:rsid w:val="00D22793"/>
    <w:rsid w:val="00D232CA"/>
    <w:rsid w:val="00D238EC"/>
    <w:rsid w:val="00D246E0"/>
    <w:rsid w:val="00D249DE"/>
    <w:rsid w:val="00D258D5"/>
    <w:rsid w:val="00D25AA0"/>
    <w:rsid w:val="00D277C2"/>
    <w:rsid w:val="00D305E3"/>
    <w:rsid w:val="00D34DCF"/>
    <w:rsid w:val="00D37C12"/>
    <w:rsid w:val="00D4039B"/>
    <w:rsid w:val="00D4090D"/>
    <w:rsid w:val="00D41285"/>
    <w:rsid w:val="00D42FF4"/>
    <w:rsid w:val="00D465C8"/>
    <w:rsid w:val="00D46B77"/>
    <w:rsid w:val="00D4732E"/>
    <w:rsid w:val="00D502F9"/>
    <w:rsid w:val="00D50830"/>
    <w:rsid w:val="00D515F3"/>
    <w:rsid w:val="00D52E38"/>
    <w:rsid w:val="00D533B7"/>
    <w:rsid w:val="00D546E9"/>
    <w:rsid w:val="00D571D5"/>
    <w:rsid w:val="00D57329"/>
    <w:rsid w:val="00D63E89"/>
    <w:rsid w:val="00D650F2"/>
    <w:rsid w:val="00D65D2B"/>
    <w:rsid w:val="00D671B2"/>
    <w:rsid w:val="00D70D5C"/>
    <w:rsid w:val="00D70F78"/>
    <w:rsid w:val="00D72733"/>
    <w:rsid w:val="00D7306A"/>
    <w:rsid w:val="00D7345C"/>
    <w:rsid w:val="00D734B5"/>
    <w:rsid w:val="00D734F3"/>
    <w:rsid w:val="00D73E7D"/>
    <w:rsid w:val="00D740E4"/>
    <w:rsid w:val="00D74648"/>
    <w:rsid w:val="00D75A8D"/>
    <w:rsid w:val="00D77F92"/>
    <w:rsid w:val="00D82208"/>
    <w:rsid w:val="00D822E5"/>
    <w:rsid w:val="00D84048"/>
    <w:rsid w:val="00D8437E"/>
    <w:rsid w:val="00D859B9"/>
    <w:rsid w:val="00D85DD1"/>
    <w:rsid w:val="00D86E1D"/>
    <w:rsid w:val="00D91703"/>
    <w:rsid w:val="00D9172F"/>
    <w:rsid w:val="00D91C19"/>
    <w:rsid w:val="00D92300"/>
    <w:rsid w:val="00D9269A"/>
    <w:rsid w:val="00D951F9"/>
    <w:rsid w:val="00D9556A"/>
    <w:rsid w:val="00D96796"/>
    <w:rsid w:val="00D96B8B"/>
    <w:rsid w:val="00D96D0B"/>
    <w:rsid w:val="00D97729"/>
    <w:rsid w:val="00D97E0F"/>
    <w:rsid w:val="00DA01DE"/>
    <w:rsid w:val="00DA0492"/>
    <w:rsid w:val="00DA3DFC"/>
    <w:rsid w:val="00DA5490"/>
    <w:rsid w:val="00DA6E1A"/>
    <w:rsid w:val="00DA7D3A"/>
    <w:rsid w:val="00DB0036"/>
    <w:rsid w:val="00DB1679"/>
    <w:rsid w:val="00DB2AEC"/>
    <w:rsid w:val="00DB2EC5"/>
    <w:rsid w:val="00DB33BC"/>
    <w:rsid w:val="00DB3412"/>
    <w:rsid w:val="00DB37E1"/>
    <w:rsid w:val="00DB3EEF"/>
    <w:rsid w:val="00DB4301"/>
    <w:rsid w:val="00DB5E17"/>
    <w:rsid w:val="00DB5F01"/>
    <w:rsid w:val="00DB78E4"/>
    <w:rsid w:val="00DC0D26"/>
    <w:rsid w:val="00DC192D"/>
    <w:rsid w:val="00DC1B06"/>
    <w:rsid w:val="00DC2C05"/>
    <w:rsid w:val="00DC2F26"/>
    <w:rsid w:val="00DC318E"/>
    <w:rsid w:val="00DC4DE6"/>
    <w:rsid w:val="00DC509D"/>
    <w:rsid w:val="00DC525F"/>
    <w:rsid w:val="00DC562F"/>
    <w:rsid w:val="00DD1623"/>
    <w:rsid w:val="00DD6820"/>
    <w:rsid w:val="00DE161A"/>
    <w:rsid w:val="00DE4271"/>
    <w:rsid w:val="00DE6BA6"/>
    <w:rsid w:val="00DF0DC7"/>
    <w:rsid w:val="00DF1B6E"/>
    <w:rsid w:val="00DF2A9F"/>
    <w:rsid w:val="00DF4AE5"/>
    <w:rsid w:val="00DF507F"/>
    <w:rsid w:val="00DF5BF0"/>
    <w:rsid w:val="00DF7DF5"/>
    <w:rsid w:val="00E00042"/>
    <w:rsid w:val="00E0025D"/>
    <w:rsid w:val="00E0088A"/>
    <w:rsid w:val="00E00DAE"/>
    <w:rsid w:val="00E01E1A"/>
    <w:rsid w:val="00E0244A"/>
    <w:rsid w:val="00E03514"/>
    <w:rsid w:val="00E043A5"/>
    <w:rsid w:val="00E04F08"/>
    <w:rsid w:val="00E07803"/>
    <w:rsid w:val="00E07AA3"/>
    <w:rsid w:val="00E1474B"/>
    <w:rsid w:val="00E14A3A"/>
    <w:rsid w:val="00E14C3C"/>
    <w:rsid w:val="00E1795A"/>
    <w:rsid w:val="00E17EC3"/>
    <w:rsid w:val="00E216E6"/>
    <w:rsid w:val="00E22066"/>
    <w:rsid w:val="00E27EE6"/>
    <w:rsid w:val="00E30317"/>
    <w:rsid w:val="00E32FB3"/>
    <w:rsid w:val="00E33044"/>
    <w:rsid w:val="00E34535"/>
    <w:rsid w:val="00E34576"/>
    <w:rsid w:val="00E35DD3"/>
    <w:rsid w:val="00E35E72"/>
    <w:rsid w:val="00E360E1"/>
    <w:rsid w:val="00E37BE9"/>
    <w:rsid w:val="00E41165"/>
    <w:rsid w:val="00E4189B"/>
    <w:rsid w:val="00E43415"/>
    <w:rsid w:val="00E44B2F"/>
    <w:rsid w:val="00E44B76"/>
    <w:rsid w:val="00E45007"/>
    <w:rsid w:val="00E465D2"/>
    <w:rsid w:val="00E4670C"/>
    <w:rsid w:val="00E47F00"/>
    <w:rsid w:val="00E47FA8"/>
    <w:rsid w:val="00E50AD0"/>
    <w:rsid w:val="00E522ED"/>
    <w:rsid w:val="00E52856"/>
    <w:rsid w:val="00E52D1A"/>
    <w:rsid w:val="00E53D3D"/>
    <w:rsid w:val="00E543D7"/>
    <w:rsid w:val="00E55B55"/>
    <w:rsid w:val="00E561C9"/>
    <w:rsid w:val="00E562B3"/>
    <w:rsid w:val="00E569C6"/>
    <w:rsid w:val="00E56CDE"/>
    <w:rsid w:val="00E578C7"/>
    <w:rsid w:val="00E57CC4"/>
    <w:rsid w:val="00E61460"/>
    <w:rsid w:val="00E61CB1"/>
    <w:rsid w:val="00E633BD"/>
    <w:rsid w:val="00E635E3"/>
    <w:rsid w:val="00E6457C"/>
    <w:rsid w:val="00E6685B"/>
    <w:rsid w:val="00E6725F"/>
    <w:rsid w:val="00E672DD"/>
    <w:rsid w:val="00E70C81"/>
    <w:rsid w:val="00E70D70"/>
    <w:rsid w:val="00E716EC"/>
    <w:rsid w:val="00E71BA2"/>
    <w:rsid w:val="00E73711"/>
    <w:rsid w:val="00E742A3"/>
    <w:rsid w:val="00E7436B"/>
    <w:rsid w:val="00E7477C"/>
    <w:rsid w:val="00E74FF3"/>
    <w:rsid w:val="00E75D8A"/>
    <w:rsid w:val="00E7627B"/>
    <w:rsid w:val="00E763B6"/>
    <w:rsid w:val="00E77362"/>
    <w:rsid w:val="00E77748"/>
    <w:rsid w:val="00E81DB2"/>
    <w:rsid w:val="00E839BD"/>
    <w:rsid w:val="00E83C90"/>
    <w:rsid w:val="00E84302"/>
    <w:rsid w:val="00E84339"/>
    <w:rsid w:val="00E84359"/>
    <w:rsid w:val="00E856DB"/>
    <w:rsid w:val="00E85792"/>
    <w:rsid w:val="00E85DDD"/>
    <w:rsid w:val="00E866EE"/>
    <w:rsid w:val="00E86D90"/>
    <w:rsid w:val="00E86EEC"/>
    <w:rsid w:val="00E86FC7"/>
    <w:rsid w:val="00E91D60"/>
    <w:rsid w:val="00E93566"/>
    <w:rsid w:val="00E93A19"/>
    <w:rsid w:val="00E946F2"/>
    <w:rsid w:val="00E9470A"/>
    <w:rsid w:val="00E94714"/>
    <w:rsid w:val="00E9739A"/>
    <w:rsid w:val="00E979BC"/>
    <w:rsid w:val="00EA00B3"/>
    <w:rsid w:val="00EA2E1A"/>
    <w:rsid w:val="00EA47FC"/>
    <w:rsid w:val="00EA4BBD"/>
    <w:rsid w:val="00EA5BDE"/>
    <w:rsid w:val="00EA6556"/>
    <w:rsid w:val="00EA7676"/>
    <w:rsid w:val="00EB039A"/>
    <w:rsid w:val="00EB2B00"/>
    <w:rsid w:val="00EB5D8D"/>
    <w:rsid w:val="00EB61BB"/>
    <w:rsid w:val="00EB69A7"/>
    <w:rsid w:val="00EB6F0D"/>
    <w:rsid w:val="00EB6F5B"/>
    <w:rsid w:val="00EC1B0F"/>
    <w:rsid w:val="00EC1C1F"/>
    <w:rsid w:val="00EC347D"/>
    <w:rsid w:val="00EC685B"/>
    <w:rsid w:val="00EC7929"/>
    <w:rsid w:val="00EC7D6D"/>
    <w:rsid w:val="00ED17CA"/>
    <w:rsid w:val="00ED1CE4"/>
    <w:rsid w:val="00ED3058"/>
    <w:rsid w:val="00ED356E"/>
    <w:rsid w:val="00ED5B0C"/>
    <w:rsid w:val="00ED5DAF"/>
    <w:rsid w:val="00ED6A6A"/>
    <w:rsid w:val="00ED79BB"/>
    <w:rsid w:val="00ED7B0C"/>
    <w:rsid w:val="00ED7E7D"/>
    <w:rsid w:val="00EE0F7D"/>
    <w:rsid w:val="00EE1970"/>
    <w:rsid w:val="00EE1EA8"/>
    <w:rsid w:val="00EE3CD7"/>
    <w:rsid w:val="00EE6464"/>
    <w:rsid w:val="00EF0DF7"/>
    <w:rsid w:val="00EF1089"/>
    <w:rsid w:val="00EF30A3"/>
    <w:rsid w:val="00EF340F"/>
    <w:rsid w:val="00EF5153"/>
    <w:rsid w:val="00EF598E"/>
    <w:rsid w:val="00EF61AB"/>
    <w:rsid w:val="00EF6697"/>
    <w:rsid w:val="00EF6754"/>
    <w:rsid w:val="00EF7104"/>
    <w:rsid w:val="00EF7F2B"/>
    <w:rsid w:val="00F014C1"/>
    <w:rsid w:val="00F0196D"/>
    <w:rsid w:val="00F02056"/>
    <w:rsid w:val="00F029A6"/>
    <w:rsid w:val="00F033FF"/>
    <w:rsid w:val="00F0389B"/>
    <w:rsid w:val="00F03E9B"/>
    <w:rsid w:val="00F04AA4"/>
    <w:rsid w:val="00F0558B"/>
    <w:rsid w:val="00F077C4"/>
    <w:rsid w:val="00F10C6A"/>
    <w:rsid w:val="00F14C1F"/>
    <w:rsid w:val="00F157AB"/>
    <w:rsid w:val="00F15BEA"/>
    <w:rsid w:val="00F15C86"/>
    <w:rsid w:val="00F15CAE"/>
    <w:rsid w:val="00F16900"/>
    <w:rsid w:val="00F17382"/>
    <w:rsid w:val="00F211DE"/>
    <w:rsid w:val="00F25C24"/>
    <w:rsid w:val="00F263C9"/>
    <w:rsid w:val="00F272C1"/>
    <w:rsid w:val="00F27F08"/>
    <w:rsid w:val="00F30465"/>
    <w:rsid w:val="00F32F9E"/>
    <w:rsid w:val="00F33901"/>
    <w:rsid w:val="00F3451F"/>
    <w:rsid w:val="00F351DF"/>
    <w:rsid w:val="00F35E31"/>
    <w:rsid w:val="00F370D6"/>
    <w:rsid w:val="00F40269"/>
    <w:rsid w:val="00F40E71"/>
    <w:rsid w:val="00F42BB2"/>
    <w:rsid w:val="00F43823"/>
    <w:rsid w:val="00F45D36"/>
    <w:rsid w:val="00F46A0B"/>
    <w:rsid w:val="00F47C4F"/>
    <w:rsid w:val="00F51530"/>
    <w:rsid w:val="00F52229"/>
    <w:rsid w:val="00F53029"/>
    <w:rsid w:val="00F5311B"/>
    <w:rsid w:val="00F532EA"/>
    <w:rsid w:val="00F544D4"/>
    <w:rsid w:val="00F55F5C"/>
    <w:rsid w:val="00F5693C"/>
    <w:rsid w:val="00F60E96"/>
    <w:rsid w:val="00F616B6"/>
    <w:rsid w:val="00F61729"/>
    <w:rsid w:val="00F61802"/>
    <w:rsid w:val="00F62417"/>
    <w:rsid w:val="00F62CEA"/>
    <w:rsid w:val="00F654F5"/>
    <w:rsid w:val="00F66019"/>
    <w:rsid w:val="00F70B8D"/>
    <w:rsid w:val="00F731EA"/>
    <w:rsid w:val="00F75D5E"/>
    <w:rsid w:val="00F768AD"/>
    <w:rsid w:val="00F76DF8"/>
    <w:rsid w:val="00F800FB"/>
    <w:rsid w:val="00F817EC"/>
    <w:rsid w:val="00F81DC9"/>
    <w:rsid w:val="00F81DF3"/>
    <w:rsid w:val="00F81F50"/>
    <w:rsid w:val="00F82797"/>
    <w:rsid w:val="00F82E68"/>
    <w:rsid w:val="00F83248"/>
    <w:rsid w:val="00F84B5F"/>
    <w:rsid w:val="00F85D91"/>
    <w:rsid w:val="00F862EC"/>
    <w:rsid w:val="00F86DDD"/>
    <w:rsid w:val="00F87DDD"/>
    <w:rsid w:val="00F905A1"/>
    <w:rsid w:val="00F9178C"/>
    <w:rsid w:val="00F93BF9"/>
    <w:rsid w:val="00F9439D"/>
    <w:rsid w:val="00F95BE3"/>
    <w:rsid w:val="00F9636C"/>
    <w:rsid w:val="00F96681"/>
    <w:rsid w:val="00FA2536"/>
    <w:rsid w:val="00FA480F"/>
    <w:rsid w:val="00FA6CCC"/>
    <w:rsid w:val="00FB0996"/>
    <w:rsid w:val="00FB0F63"/>
    <w:rsid w:val="00FB14EC"/>
    <w:rsid w:val="00FB1E3B"/>
    <w:rsid w:val="00FB278C"/>
    <w:rsid w:val="00FB4F59"/>
    <w:rsid w:val="00FC1483"/>
    <w:rsid w:val="00FC1626"/>
    <w:rsid w:val="00FC4056"/>
    <w:rsid w:val="00FC4AD3"/>
    <w:rsid w:val="00FC677F"/>
    <w:rsid w:val="00FC6853"/>
    <w:rsid w:val="00FC7512"/>
    <w:rsid w:val="00FC76B6"/>
    <w:rsid w:val="00FC7715"/>
    <w:rsid w:val="00FD1D78"/>
    <w:rsid w:val="00FD332A"/>
    <w:rsid w:val="00FD338C"/>
    <w:rsid w:val="00FD357B"/>
    <w:rsid w:val="00FD53FF"/>
    <w:rsid w:val="00FD59BF"/>
    <w:rsid w:val="00FD7AAA"/>
    <w:rsid w:val="00FD7B36"/>
    <w:rsid w:val="00FE1447"/>
    <w:rsid w:val="00FE25F1"/>
    <w:rsid w:val="00FE339E"/>
    <w:rsid w:val="00FE3432"/>
    <w:rsid w:val="00FE3B7A"/>
    <w:rsid w:val="00FE4E44"/>
    <w:rsid w:val="00FE50A6"/>
    <w:rsid w:val="00FE514F"/>
    <w:rsid w:val="00FE5869"/>
    <w:rsid w:val="00FE5DFC"/>
    <w:rsid w:val="00FE5E18"/>
    <w:rsid w:val="00FE5F09"/>
    <w:rsid w:val="00FF1ADF"/>
    <w:rsid w:val="00FF4E84"/>
    <w:rsid w:val="00FF5387"/>
    <w:rsid w:val="00FF583A"/>
    <w:rsid w:val="00FF750C"/>
  </w:rsids>
  <m:mathPr>
    <m:mathFont m:val="Cambria Math"/>
    <m:brkBin m:val="before"/>
    <m:brkBinSub m:val="--"/>
    <m:smallFrac m:val="0"/>
    <m:dispDef m:val="0"/>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style="mso-position-vertical-relative:line" fill="f" fillcolor="white" stroke="f">
      <v:fill color="white" on="f"/>
      <v:stroke on="f"/>
      <v:textbox style="mso-rotate-with-shape:t"/>
      <o:colormru v:ext="edit" colors="#e1e9f3,#e1ebf7,#cfdded"/>
    </o:shapedefaults>
    <o:shapelayout v:ext="edit">
      <o:idmap v:ext="edit" data="1"/>
    </o:shapelayout>
  </w:shapeDefaults>
  <w:decimalSymbol w:val="."/>
  <w:listSeparator w:val=","/>
  <w14:docId w14:val="5BAC3A89"/>
  <w15:docId w15:val="{5DB04AEF-0146-4D39-9D36-431DC440B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after="200" w:line="276" w:lineRule="auto"/>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uiPriority="9"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iPriority="59" w:unhideWhenUsed="1"/>
    <w:lsdException w:name="Table Theme" w:semiHidden="1" w:unhideWhenUsed="1"/>
    <w:lsdException w:name="Placeholder Text" w:semiHidden="1" w:uiPriority="99" w:unhideWhenUsed="1"/>
    <w:lsdException w:name="No Spacing" w:uiPriority="99"/>
    <w:lsdException w:name="Light Shading" w:uiPriority="60"/>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B22A62"/>
    <w:pPr>
      <w:spacing w:after="60"/>
    </w:pPr>
    <w:rPr>
      <w:rFonts w:ascii="Arial" w:hAnsi="Arial"/>
      <w:lang w:val="en-GB"/>
    </w:rPr>
  </w:style>
  <w:style w:type="paragraph" w:styleId="Heading1">
    <w:name w:val="heading 1"/>
    <w:aliases w:val="Heading 1APP"/>
    <w:basedOn w:val="Normal"/>
    <w:next w:val="Normal"/>
    <w:link w:val="Heading1Char"/>
    <w:qFormat/>
    <w:rsid w:val="00A35B08"/>
    <w:pPr>
      <w:keepNext/>
      <w:numPr>
        <w:numId w:val="50"/>
      </w:numPr>
      <w:spacing w:after="120"/>
      <w:outlineLvl w:val="0"/>
    </w:pPr>
    <w:rPr>
      <w:rFonts w:cs="Arial"/>
      <w:bCs/>
      <w:color w:val="005A97"/>
      <w:kern w:val="32"/>
      <w:sz w:val="52"/>
      <w:szCs w:val="32"/>
    </w:rPr>
  </w:style>
  <w:style w:type="paragraph" w:styleId="Heading2">
    <w:name w:val="heading 2"/>
    <w:aliases w:val="Appendix,Heading 2 Appendix"/>
    <w:basedOn w:val="Normal"/>
    <w:next w:val="Normal"/>
    <w:link w:val="Heading2Char"/>
    <w:qFormat/>
    <w:rsid w:val="00A35B08"/>
    <w:pPr>
      <w:keepNext/>
      <w:tabs>
        <w:tab w:val="left" w:pos="720"/>
      </w:tabs>
      <w:spacing w:before="120" w:line="320" w:lineRule="atLeast"/>
      <w:outlineLvl w:val="1"/>
    </w:pPr>
    <w:rPr>
      <w:rFonts w:cs="Arial"/>
      <w:bCs/>
      <w:iCs/>
      <w:color w:val="AEC12D"/>
      <w:sz w:val="32"/>
      <w:szCs w:val="28"/>
    </w:rPr>
  </w:style>
  <w:style w:type="paragraph" w:styleId="Heading3">
    <w:name w:val="heading 3"/>
    <w:basedOn w:val="Normal"/>
    <w:next w:val="Normal"/>
    <w:link w:val="Heading3Char"/>
    <w:uiPriority w:val="9"/>
    <w:qFormat/>
    <w:rsid w:val="00A35B08"/>
    <w:pPr>
      <w:keepNext/>
      <w:numPr>
        <w:ilvl w:val="2"/>
        <w:numId w:val="50"/>
      </w:numPr>
      <w:tabs>
        <w:tab w:val="left" w:pos="1080"/>
      </w:tabs>
      <w:spacing w:before="120" w:after="20"/>
      <w:outlineLvl w:val="2"/>
    </w:pPr>
    <w:rPr>
      <w:rFonts w:cs="Arial"/>
      <w:b/>
      <w:bCs/>
      <w:sz w:val="26"/>
      <w:szCs w:val="26"/>
    </w:rPr>
  </w:style>
  <w:style w:type="paragraph" w:styleId="Heading4">
    <w:name w:val="heading 4"/>
    <w:basedOn w:val="Normal"/>
    <w:next w:val="Normal"/>
    <w:link w:val="Heading4Char"/>
    <w:uiPriority w:val="9"/>
    <w:unhideWhenUsed/>
    <w:qFormat/>
    <w:rsid w:val="00A35B08"/>
    <w:pPr>
      <w:spacing w:before="100" w:after="0"/>
      <w:outlineLvl w:val="3"/>
    </w:pPr>
    <w:rPr>
      <w:b/>
    </w:rPr>
  </w:style>
  <w:style w:type="paragraph" w:styleId="Heading5">
    <w:name w:val="heading 5"/>
    <w:aliases w:val="- Title"/>
    <w:basedOn w:val="Normal"/>
    <w:next w:val="Normal"/>
    <w:link w:val="Heading5Char"/>
    <w:unhideWhenUsed/>
    <w:qFormat/>
    <w:rsid w:val="00A35B08"/>
    <w:pPr>
      <w:keepNext/>
      <w:keepLines/>
      <w:numPr>
        <w:ilvl w:val="4"/>
        <w:numId w:val="50"/>
      </w:numPr>
      <w:spacing w:before="160" w:after="0"/>
      <w:outlineLvl w:val="4"/>
    </w:pPr>
    <w:rPr>
      <w:rFonts w:eastAsiaTheme="majorEastAsia" w:cstheme="majorBidi"/>
      <w:i/>
      <w:color w:val="2A77BB"/>
    </w:rPr>
  </w:style>
  <w:style w:type="paragraph" w:styleId="Heading6">
    <w:name w:val="heading 6"/>
    <w:basedOn w:val="Normal"/>
    <w:next w:val="Normal"/>
    <w:link w:val="Heading6Char"/>
    <w:semiHidden/>
    <w:unhideWhenUsed/>
    <w:qFormat/>
    <w:rsid w:val="00A35B08"/>
    <w:pPr>
      <w:keepNext/>
      <w:keepLines/>
      <w:numPr>
        <w:ilvl w:val="5"/>
        <w:numId w:val="50"/>
      </w:numPr>
      <w:spacing w:before="40" w:after="0"/>
      <w:outlineLvl w:val="5"/>
    </w:pPr>
    <w:rPr>
      <w:rFonts w:asciiTheme="majorHAnsi" w:eastAsiaTheme="majorEastAsia" w:hAnsiTheme="majorHAnsi" w:cstheme="majorBidi"/>
      <w:color w:val="322C2B" w:themeColor="accent1" w:themeShade="7F"/>
    </w:rPr>
  </w:style>
  <w:style w:type="paragraph" w:styleId="Heading7">
    <w:name w:val="heading 7"/>
    <w:basedOn w:val="Normal"/>
    <w:next w:val="Normal"/>
    <w:link w:val="Heading7Char"/>
    <w:semiHidden/>
    <w:unhideWhenUsed/>
    <w:qFormat/>
    <w:rsid w:val="00A35B08"/>
    <w:pPr>
      <w:keepNext/>
      <w:keepLines/>
      <w:numPr>
        <w:ilvl w:val="6"/>
        <w:numId w:val="50"/>
      </w:numPr>
      <w:spacing w:before="40" w:after="0"/>
      <w:outlineLvl w:val="6"/>
    </w:pPr>
    <w:rPr>
      <w:rFonts w:asciiTheme="majorHAnsi" w:eastAsiaTheme="majorEastAsia" w:hAnsiTheme="majorHAnsi" w:cstheme="majorBidi"/>
      <w:i/>
      <w:iCs/>
      <w:color w:val="322C2B" w:themeColor="accent1" w:themeShade="7F"/>
    </w:rPr>
  </w:style>
  <w:style w:type="paragraph" w:styleId="Heading8">
    <w:name w:val="heading 8"/>
    <w:basedOn w:val="Normal"/>
    <w:next w:val="Normal"/>
    <w:link w:val="Heading8Char"/>
    <w:semiHidden/>
    <w:unhideWhenUsed/>
    <w:qFormat/>
    <w:rsid w:val="00A35B08"/>
    <w:pPr>
      <w:keepNext/>
      <w:keepLines/>
      <w:numPr>
        <w:ilvl w:val="7"/>
        <w:numId w:val="50"/>
      </w:numPr>
      <w:spacing w:before="40" w:after="0"/>
      <w:outlineLvl w:val="7"/>
    </w:pPr>
    <w:rPr>
      <w:rFonts w:asciiTheme="majorHAnsi" w:eastAsiaTheme="majorEastAsia" w:hAnsiTheme="majorHAnsi" w:cstheme="majorBidi"/>
      <w:color w:val="0079CD" w:themeColor="text1" w:themeTint="D8"/>
      <w:sz w:val="21"/>
      <w:szCs w:val="21"/>
    </w:rPr>
  </w:style>
  <w:style w:type="paragraph" w:styleId="Heading9">
    <w:name w:val="heading 9"/>
    <w:basedOn w:val="Normal"/>
    <w:next w:val="Normal"/>
    <w:link w:val="Heading9Char"/>
    <w:unhideWhenUsed/>
    <w:qFormat/>
    <w:rsid w:val="00A35B08"/>
    <w:pPr>
      <w:keepNext/>
      <w:keepLines/>
      <w:numPr>
        <w:ilvl w:val="8"/>
        <w:numId w:val="50"/>
      </w:numPr>
      <w:spacing w:before="40" w:after="0"/>
      <w:outlineLvl w:val="8"/>
    </w:pPr>
    <w:rPr>
      <w:rFonts w:asciiTheme="majorHAnsi" w:eastAsiaTheme="majorEastAsia" w:hAnsiTheme="majorHAnsi" w:cstheme="majorBidi"/>
      <w:i/>
      <w:iCs/>
      <w:color w:val="0079C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
    <w:name w:val="Bullet 1"/>
    <w:basedOn w:val="Normal"/>
    <w:qFormat/>
    <w:rsid w:val="00021555"/>
    <w:pPr>
      <w:spacing w:after="160"/>
    </w:pPr>
  </w:style>
  <w:style w:type="paragraph" w:customStyle="1" w:styleId="Bullet2">
    <w:name w:val="Bullet 2"/>
    <w:basedOn w:val="Bullet1"/>
    <w:qFormat/>
    <w:rsid w:val="000E2370"/>
    <w:pPr>
      <w:numPr>
        <w:ilvl w:val="1"/>
      </w:numPr>
      <w:tabs>
        <w:tab w:val="num" w:pos="851"/>
      </w:tabs>
      <w:ind w:left="851" w:hanging="425"/>
    </w:pPr>
  </w:style>
  <w:style w:type="paragraph" w:customStyle="1" w:styleId="TableHeaderrow">
    <w:name w:val="Table Header row"/>
    <w:basedOn w:val="Tabletext"/>
    <w:qFormat/>
    <w:rsid w:val="00896387"/>
    <w:rPr>
      <w:b/>
      <w:bCs/>
      <w:color w:val="FFFFFF"/>
    </w:rPr>
  </w:style>
  <w:style w:type="paragraph" w:customStyle="1" w:styleId="HeadingTOC">
    <w:name w:val="Heading TOC"/>
    <w:basedOn w:val="Normal"/>
    <w:rsid w:val="00A35B08"/>
    <w:pPr>
      <w:spacing w:before="240" w:line="380" w:lineRule="atLeast"/>
    </w:pPr>
    <w:rPr>
      <w:color w:val="2A6EBB"/>
      <w:sz w:val="32"/>
    </w:rPr>
  </w:style>
  <w:style w:type="paragraph" w:styleId="TOC1">
    <w:name w:val="toc 1"/>
    <w:basedOn w:val="Normal"/>
    <w:next w:val="Normal"/>
    <w:autoRedefine/>
    <w:uiPriority w:val="39"/>
    <w:rsid w:val="00EC1C1F"/>
    <w:pPr>
      <w:tabs>
        <w:tab w:val="left" w:pos="567"/>
        <w:tab w:val="left" w:pos="1100"/>
        <w:tab w:val="left" w:pos="1560"/>
        <w:tab w:val="right" w:leader="dot" w:pos="9638"/>
      </w:tabs>
      <w:spacing w:before="200"/>
      <w:ind w:left="567" w:hanging="567"/>
    </w:pPr>
    <w:rPr>
      <w:b/>
      <w:noProof/>
      <w:color w:val="005A97"/>
      <w:sz w:val="22"/>
      <w:szCs w:val="22"/>
    </w:rPr>
  </w:style>
  <w:style w:type="paragraph" w:styleId="TOC2">
    <w:name w:val="toc 2"/>
    <w:basedOn w:val="Normal"/>
    <w:next w:val="Normal"/>
    <w:autoRedefine/>
    <w:uiPriority w:val="39"/>
    <w:rsid w:val="00B85E2E"/>
    <w:pPr>
      <w:tabs>
        <w:tab w:val="left" w:pos="567"/>
        <w:tab w:val="right" w:leader="dot" w:pos="9638"/>
      </w:tabs>
      <w:spacing w:after="140"/>
    </w:pPr>
    <w:rPr>
      <w:rFonts w:eastAsiaTheme="minorEastAsia" w:cs="Arial"/>
      <w:noProof/>
      <w:lang w:val="en-AU"/>
      <w14:scene3d>
        <w14:camera w14:prst="orthographicFront"/>
        <w14:lightRig w14:rig="threePt" w14:dir="t">
          <w14:rot w14:lat="0" w14:lon="0" w14:rev="0"/>
        </w14:lightRig>
      </w14:scene3d>
    </w:rPr>
  </w:style>
  <w:style w:type="character" w:styleId="Hyperlink">
    <w:name w:val="Hyperlink"/>
    <w:uiPriority w:val="99"/>
    <w:unhideWhenUsed/>
    <w:rsid w:val="00A35B08"/>
  </w:style>
  <w:style w:type="paragraph" w:styleId="BalloonText">
    <w:name w:val="Balloon Text"/>
    <w:basedOn w:val="Normal"/>
    <w:link w:val="BalloonTextChar"/>
    <w:uiPriority w:val="99"/>
    <w:semiHidden/>
    <w:unhideWhenUsed/>
    <w:rsid w:val="00A35B08"/>
    <w:pPr>
      <w:spacing w:after="0" w:line="240" w:lineRule="auto"/>
    </w:pPr>
    <w:rPr>
      <w:rFonts w:ascii="Segoe UI" w:hAnsi="Segoe UI" w:cs="Segoe UI"/>
      <w:sz w:val="18"/>
      <w:szCs w:val="18"/>
    </w:rPr>
  </w:style>
  <w:style w:type="table" w:styleId="TableGrid">
    <w:name w:val="Table Grid"/>
    <w:basedOn w:val="TableNormal"/>
    <w:uiPriority w:val="59"/>
    <w:rsid w:val="00A971F6"/>
    <w:pPr>
      <w:spacing w:line="260" w:lineRule="atLeast"/>
      <w:ind w:left="720"/>
    </w:pPr>
    <w:rPr>
      <w:rFonts w:ascii="Arial" w:hAnsi="Arial"/>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character" w:customStyle="1" w:styleId="BalloonTextChar">
    <w:name w:val="Balloon Text Char"/>
    <w:basedOn w:val="DefaultParagraphFont"/>
    <w:link w:val="BalloonText"/>
    <w:uiPriority w:val="99"/>
    <w:semiHidden/>
    <w:rsid w:val="00A35B08"/>
    <w:rPr>
      <w:rFonts w:ascii="Segoe UI" w:hAnsi="Segoe UI" w:cs="Segoe UI"/>
      <w:sz w:val="18"/>
      <w:szCs w:val="18"/>
      <w:lang w:val="en-GB"/>
    </w:rPr>
  </w:style>
  <w:style w:type="paragraph" w:customStyle="1" w:styleId="imprint">
    <w:name w:val="imprint"/>
    <w:basedOn w:val="BodyText"/>
    <w:uiPriority w:val="99"/>
    <w:rsid w:val="00A35B08"/>
    <w:pPr>
      <w:suppressAutoHyphens/>
      <w:autoSpaceDE w:val="0"/>
      <w:autoSpaceDN w:val="0"/>
      <w:adjustRightInd w:val="0"/>
      <w:spacing w:after="113" w:line="180" w:lineRule="atLeast"/>
      <w:textAlignment w:val="center"/>
    </w:pPr>
    <w:rPr>
      <w:rFonts w:ascii="Museo Sans 100" w:hAnsi="Museo Sans 100" w:cs="Museo Sans 100"/>
      <w:color w:val="000000"/>
      <w:sz w:val="14"/>
      <w:szCs w:val="14"/>
      <w:lang w:val="en-US"/>
    </w:rPr>
  </w:style>
  <w:style w:type="paragraph" w:styleId="Header">
    <w:name w:val="header"/>
    <w:basedOn w:val="Reportseriestitleinsidepages"/>
    <w:link w:val="HeaderChar"/>
    <w:uiPriority w:val="99"/>
    <w:rsid w:val="00A35B08"/>
    <w:pPr>
      <w:spacing w:after="200"/>
    </w:pPr>
    <w:rPr>
      <w:color w:val="7F7F7F" w:themeColor="accent4"/>
    </w:rPr>
  </w:style>
  <w:style w:type="paragraph" w:styleId="Footer">
    <w:name w:val="footer"/>
    <w:basedOn w:val="Normal"/>
    <w:link w:val="FooterChar"/>
    <w:uiPriority w:val="99"/>
    <w:rsid w:val="00A35B08"/>
    <w:pPr>
      <w:tabs>
        <w:tab w:val="center" w:pos="4153"/>
        <w:tab w:val="right" w:pos="8306"/>
      </w:tabs>
      <w:spacing w:before="100" w:after="100"/>
      <w:jc w:val="center"/>
    </w:pPr>
    <w:rPr>
      <w:color w:val="005A97"/>
      <w:sz w:val="16"/>
      <w:szCs w:val="16"/>
    </w:rPr>
  </w:style>
  <w:style w:type="paragraph" w:styleId="BodyText">
    <w:name w:val="Body Text"/>
    <w:basedOn w:val="Normal"/>
    <w:link w:val="BodyTextChar"/>
    <w:uiPriority w:val="99"/>
    <w:unhideWhenUsed/>
    <w:rsid w:val="00A35B08"/>
    <w:pPr>
      <w:spacing w:after="120"/>
    </w:pPr>
  </w:style>
  <w:style w:type="character" w:styleId="PageNumber">
    <w:name w:val="page number"/>
    <w:uiPriority w:val="99"/>
    <w:rsid w:val="00A35B08"/>
    <w:rPr>
      <w:color w:val="auto"/>
    </w:rPr>
  </w:style>
  <w:style w:type="character" w:customStyle="1" w:styleId="Heading5Char">
    <w:name w:val="Heading 5 Char"/>
    <w:aliases w:val="- Title Char"/>
    <w:basedOn w:val="DefaultParagraphFont"/>
    <w:link w:val="Heading5"/>
    <w:rsid w:val="00A35B08"/>
    <w:rPr>
      <w:rFonts w:ascii="Arial" w:eastAsiaTheme="majorEastAsia" w:hAnsi="Arial" w:cstheme="majorBidi"/>
      <w:i/>
      <w:color w:val="2A77BB"/>
      <w:lang w:val="en-GB"/>
    </w:rPr>
  </w:style>
  <w:style w:type="paragraph" w:styleId="FootnoteText">
    <w:name w:val="footnote text"/>
    <w:basedOn w:val="Normal"/>
    <w:link w:val="FootnoteTextChar"/>
    <w:uiPriority w:val="99"/>
    <w:rsid w:val="00A35B08"/>
    <w:pPr>
      <w:spacing w:after="80"/>
    </w:pPr>
    <w:rPr>
      <w:sz w:val="16"/>
      <w:szCs w:val="16"/>
    </w:rPr>
  </w:style>
  <w:style w:type="character" w:customStyle="1" w:styleId="FootnoteTextChar">
    <w:name w:val="Footnote Text Char"/>
    <w:link w:val="FootnoteText"/>
    <w:uiPriority w:val="99"/>
    <w:rsid w:val="00A35B08"/>
    <w:rPr>
      <w:rFonts w:ascii="Arial" w:hAnsi="Arial"/>
      <w:sz w:val="16"/>
      <w:szCs w:val="16"/>
      <w:lang w:val="en-GB"/>
    </w:rPr>
  </w:style>
  <w:style w:type="character" w:styleId="FootnoteReference">
    <w:name w:val="footnote reference"/>
    <w:uiPriority w:val="99"/>
    <w:unhideWhenUsed/>
    <w:rsid w:val="00A35B08"/>
    <w:rPr>
      <w:vertAlign w:val="superscript"/>
    </w:rPr>
  </w:style>
  <w:style w:type="character" w:customStyle="1" w:styleId="BodyTextChar">
    <w:name w:val="Body Text Char"/>
    <w:basedOn w:val="DefaultParagraphFont"/>
    <w:link w:val="BodyText"/>
    <w:uiPriority w:val="99"/>
    <w:rsid w:val="00A35B08"/>
    <w:rPr>
      <w:rFonts w:ascii="Arial" w:hAnsi="Arial"/>
      <w:lang w:val="en-GB"/>
    </w:rPr>
  </w:style>
  <w:style w:type="character" w:customStyle="1" w:styleId="Heading1Char">
    <w:name w:val="Heading 1 Char"/>
    <w:aliases w:val="Heading 1APP Char"/>
    <w:link w:val="Heading1"/>
    <w:rsid w:val="00A35B08"/>
    <w:rPr>
      <w:rFonts w:ascii="Arial" w:hAnsi="Arial" w:cs="Arial"/>
      <w:bCs/>
      <w:color w:val="005A97"/>
      <w:kern w:val="32"/>
      <w:sz w:val="52"/>
      <w:szCs w:val="32"/>
      <w:lang w:val="en-GB"/>
    </w:rPr>
  </w:style>
  <w:style w:type="character" w:customStyle="1" w:styleId="Heading2Char">
    <w:name w:val="Heading 2 Char"/>
    <w:aliases w:val="Appendix Char,Heading 2 Appendix Char"/>
    <w:link w:val="Heading2"/>
    <w:rsid w:val="00A35B08"/>
    <w:rPr>
      <w:rFonts w:ascii="Arial" w:hAnsi="Arial" w:cs="Arial"/>
      <w:bCs/>
      <w:iCs/>
      <w:color w:val="AEC12D"/>
      <w:sz w:val="32"/>
      <w:szCs w:val="28"/>
      <w:lang w:val="en-GB"/>
    </w:rPr>
  </w:style>
  <w:style w:type="character" w:customStyle="1" w:styleId="Heading3Char">
    <w:name w:val="Heading 3 Char"/>
    <w:link w:val="Heading3"/>
    <w:uiPriority w:val="9"/>
    <w:rsid w:val="00A35B08"/>
    <w:rPr>
      <w:rFonts w:ascii="Arial" w:hAnsi="Arial" w:cs="Arial"/>
      <w:b/>
      <w:bCs/>
      <w:sz w:val="26"/>
      <w:szCs w:val="26"/>
      <w:lang w:val="en-GB"/>
    </w:rPr>
  </w:style>
  <w:style w:type="paragraph" w:styleId="Caption">
    <w:name w:val="caption"/>
    <w:aliases w:val="Item,Table Caption,Figure,TABLE,Def_Title"/>
    <w:basedOn w:val="Normal"/>
    <w:next w:val="Normal"/>
    <w:uiPriority w:val="35"/>
    <w:unhideWhenUsed/>
    <w:qFormat/>
    <w:rsid w:val="009B7BE5"/>
    <w:pPr>
      <w:spacing w:after="100"/>
    </w:pPr>
    <w:rPr>
      <w:i/>
      <w:sz w:val="18"/>
      <w:szCs w:val="18"/>
    </w:rPr>
  </w:style>
  <w:style w:type="character" w:styleId="PlaceholderText">
    <w:name w:val="Placeholder Text"/>
    <w:basedOn w:val="DefaultParagraphFont"/>
    <w:uiPriority w:val="99"/>
    <w:semiHidden/>
    <w:rsid w:val="00A35B08"/>
    <w:rPr>
      <w:color w:val="808080"/>
    </w:rPr>
  </w:style>
  <w:style w:type="character" w:customStyle="1" w:styleId="Heading4Char">
    <w:name w:val="Heading 4 Char"/>
    <w:basedOn w:val="DefaultParagraphFont"/>
    <w:link w:val="Heading4"/>
    <w:uiPriority w:val="9"/>
    <w:rsid w:val="00A35B08"/>
    <w:rPr>
      <w:rFonts w:ascii="Arial" w:hAnsi="Arial"/>
      <w:b/>
      <w:lang w:val="en-GB"/>
    </w:rPr>
  </w:style>
  <w:style w:type="character" w:customStyle="1" w:styleId="FooterChar">
    <w:name w:val="Footer Char"/>
    <w:basedOn w:val="DefaultParagraphFont"/>
    <w:link w:val="Footer"/>
    <w:uiPriority w:val="99"/>
    <w:rsid w:val="00A35B08"/>
    <w:rPr>
      <w:rFonts w:ascii="Arial" w:hAnsi="Arial"/>
      <w:color w:val="005A97"/>
      <w:sz w:val="16"/>
      <w:szCs w:val="16"/>
      <w:lang w:val="en-GB"/>
    </w:rPr>
  </w:style>
  <w:style w:type="paragraph" w:customStyle="1" w:styleId="H2notinTOC">
    <w:name w:val="H2 not in TOC"/>
    <w:basedOn w:val="Heading2"/>
    <w:rsid w:val="00E86EEC"/>
  </w:style>
  <w:style w:type="paragraph" w:customStyle="1" w:styleId="H1notinTOC">
    <w:name w:val="H1 not in TOC"/>
    <w:basedOn w:val="Heading1"/>
    <w:rsid w:val="009B7BE5"/>
  </w:style>
  <w:style w:type="paragraph" w:customStyle="1" w:styleId="Tableheading">
    <w:name w:val="Table heading"/>
    <w:basedOn w:val="Normal"/>
    <w:qFormat/>
    <w:rsid w:val="002D44DF"/>
    <w:pPr>
      <w:keepNext/>
      <w:tabs>
        <w:tab w:val="left" w:pos="1080"/>
      </w:tabs>
      <w:spacing w:after="120"/>
      <w:outlineLvl w:val="2"/>
    </w:pPr>
    <w:rPr>
      <w:rFonts w:cs="Arial"/>
      <w:b/>
      <w:bCs/>
    </w:rPr>
  </w:style>
  <w:style w:type="paragraph" w:customStyle="1" w:styleId="Tabletext">
    <w:name w:val="Table text"/>
    <w:basedOn w:val="Normal"/>
    <w:qFormat/>
    <w:rsid w:val="005229A4"/>
    <w:pPr>
      <w:spacing w:before="40" w:after="40" w:line="240" w:lineRule="auto"/>
      <w:ind w:left="-28"/>
    </w:pPr>
    <w:rPr>
      <w:rFonts w:eastAsia="Calibri"/>
      <w:sz w:val="18"/>
      <w:szCs w:val="18"/>
      <w:lang w:val="en-AU" w:eastAsia="en-US"/>
    </w:rPr>
  </w:style>
  <w:style w:type="paragraph" w:customStyle="1" w:styleId="Notetext">
    <w:name w:val="Note text"/>
    <w:basedOn w:val="Normal"/>
    <w:qFormat/>
    <w:rsid w:val="00A35B08"/>
    <w:pPr>
      <w:spacing w:before="60" w:after="0" w:line="240" w:lineRule="auto"/>
    </w:pPr>
    <w:rPr>
      <w:sz w:val="16"/>
      <w:szCs w:val="16"/>
      <w:lang w:val="en-AU" w:eastAsia="en-US"/>
    </w:rPr>
  </w:style>
  <w:style w:type="paragraph" w:customStyle="1" w:styleId="Figuretitle">
    <w:name w:val="Figure title"/>
    <w:basedOn w:val="Normal"/>
    <w:qFormat/>
    <w:rsid w:val="00A53AE8"/>
    <w:pPr>
      <w:spacing w:before="40" w:after="100"/>
    </w:pPr>
    <w:rPr>
      <w:i/>
      <w:noProof/>
      <w:lang w:val="en-US" w:eastAsia="en-US"/>
    </w:rPr>
  </w:style>
  <w:style w:type="table" w:customStyle="1" w:styleId="GridTable4-Accent31">
    <w:name w:val="Grid Table 4 - Accent 31"/>
    <w:basedOn w:val="TableNormal"/>
    <w:uiPriority w:val="49"/>
    <w:rsid w:val="00AE7D14"/>
    <w:pPr>
      <w:spacing w:after="0" w:line="240" w:lineRule="auto"/>
    </w:pPr>
    <w:tblPr>
      <w:tblStyleRowBandSize w:val="1"/>
      <w:tblStyleColBandSize w:val="1"/>
      <w:tblBorders>
        <w:top w:val="single" w:sz="4" w:space="0" w:color="8B8B8B" w:themeColor="accent3" w:themeTint="99"/>
        <w:left w:val="single" w:sz="4" w:space="0" w:color="8B8B8B" w:themeColor="accent3" w:themeTint="99"/>
        <w:bottom w:val="single" w:sz="4" w:space="0" w:color="8B8B8B" w:themeColor="accent3" w:themeTint="99"/>
        <w:right w:val="single" w:sz="4" w:space="0" w:color="8B8B8B" w:themeColor="accent3" w:themeTint="99"/>
        <w:insideH w:val="single" w:sz="4" w:space="0" w:color="8B8B8B" w:themeColor="accent3" w:themeTint="99"/>
        <w:insideV w:val="single" w:sz="4" w:space="0" w:color="8B8B8B" w:themeColor="accent3" w:themeTint="99"/>
      </w:tblBorders>
    </w:tblPr>
    <w:tblStylePr w:type="firstRow">
      <w:rPr>
        <w:b/>
        <w:bCs/>
        <w:color w:val="ADD1EB" w:themeColor="background1"/>
      </w:rPr>
      <w:tblPr/>
      <w:tcPr>
        <w:tcBorders>
          <w:top w:val="single" w:sz="4" w:space="0" w:color="3F3F3F" w:themeColor="accent3"/>
          <w:left w:val="single" w:sz="4" w:space="0" w:color="3F3F3F" w:themeColor="accent3"/>
          <w:bottom w:val="single" w:sz="4" w:space="0" w:color="3F3F3F" w:themeColor="accent3"/>
          <w:right w:val="single" w:sz="4" w:space="0" w:color="3F3F3F" w:themeColor="accent3"/>
          <w:insideH w:val="nil"/>
          <w:insideV w:val="nil"/>
        </w:tcBorders>
        <w:shd w:val="clear" w:color="auto" w:fill="3F3F3F" w:themeFill="accent3"/>
      </w:tcPr>
    </w:tblStylePr>
    <w:tblStylePr w:type="lastRow">
      <w:rPr>
        <w:b/>
        <w:bCs/>
      </w:rPr>
      <w:tblPr/>
      <w:tcPr>
        <w:tcBorders>
          <w:top w:val="double" w:sz="4" w:space="0" w:color="3F3F3F" w:themeColor="accent3"/>
        </w:tcBorders>
      </w:tcPr>
    </w:tblStylePr>
    <w:tblStylePr w:type="firstCol">
      <w:rPr>
        <w:b/>
        <w:bCs/>
      </w:rPr>
    </w:tblStylePr>
    <w:tblStylePr w:type="lastCol">
      <w:rPr>
        <w:b/>
        <w:bCs/>
      </w:rPr>
    </w:tblStylePr>
    <w:tblStylePr w:type="band1Vert">
      <w:tblPr/>
      <w:tcPr>
        <w:shd w:val="clear" w:color="auto" w:fill="D8D8D8" w:themeFill="accent3" w:themeFillTint="33"/>
      </w:tcPr>
    </w:tblStylePr>
    <w:tblStylePr w:type="band1Horz">
      <w:tblPr/>
      <w:tcPr>
        <w:shd w:val="clear" w:color="auto" w:fill="D8D8D8" w:themeFill="accent3" w:themeFillTint="33"/>
      </w:tcPr>
    </w:tblStylePr>
  </w:style>
  <w:style w:type="paragraph" w:styleId="ListParagraph">
    <w:name w:val="List Paragraph"/>
    <w:basedOn w:val="Normal"/>
    <w:link w:val="ListParagraphChar"/>
    <w:uiPriority w:val="34"/>
    <w:qFormat/>
    <w:rsid w:val="00A35B08"/>
    <w:pPr>
      <w:numPr>
        <w:numId w:val="51"/>
      </w:numPr>
      <w:contextualSpacing/>
    </w:pPr>
  </w:style>
  <w:style w:type="character" w:styleId="Strong">
    <w:name w:val="Strong"/>
    <w:basedOn w:val="DefaultParagraphFont"/>
    <w:uiPriority w:val="22"/>
    <w:rsid w:val="00E9739A"/>
    <w:rPr>
      <w:b/>
      <w:bCs/>
    </w:rPr>
  </w:style>
  <w:style w:type="paragraph" w:styleId="NormalWeb">
    <w:name w:val="Normal (Web)"/>
    <w:basedOn w:val="Normal"/>
    <w:uiPriority w:val="99"/>
    <w:semiHidden/>
    <w:unhideWhenUsed/>
    <w:rsid w:val="00A35B08"/>
    <w:pPr>
      <w:spacing w:before="144" w:after="324" w:line="240" w:lineRule="auto"/>
    </w:pPr>
    <w:rPr>
      <w:rFonts w:ascii="Times New Roman" w:hAnsi="Times New Roman"/>
      <w:sz w:val="24"/>
      <w:szCs w:val="24"/>
      <w:lang w:val="en-AU"/>
    </w:rPr>
  </w:style>
  <w:style w:type="paragraph" w:customStyle="1" w:styleId="Reportseriestitleinsidepages">
    <w:name w:val="Report series title inside pages"/>
    <w:rsid w:val="00A35B08"/>
    <w:pPr>
      <w:spacing w:before="900" w:after="0"/>
      <w:jc w:val="right"/>
    </w:pPr>
    <w:rPr>
      <w:rFonts w:ascii="Arial" w:hAnsi="Arial"/>
      <w:color w:val="7F7F7F" w:themeColor="accent5" w:themeTint="80"/>
      <w:sz w:val="32"/>
      <w:szCs w:val="32"/>
      <w:lang w:val="en-GB"/>
    </w:rPr>
  </w:style>
  <w:style w:type="paragraph" w:customStyle="1" w:styleId="Reportcovertitle">
    <w:name w:val="Report cover title"/>
    <w:rsid w:val="00A35B08"/>
    <w:pPr>
      <w:jc w:val="right"/>
    </w:pPr>
    <w:rPr>
      <w:rFonts w:ascii="Arial" w:hAnsi="Arial" w:cs="Arial"/>
      <w:bCs/>
      <w:kern w:val="32"/>
      <w:sz w:val="52"/>
      <w:szCs w:val="32"/>
      <w:lang w:val="en-GB"/>
    </w:rPr>
  </w:style>
  <w:style w:type="paragraph" w:customStyle="1" w:styleId="Dateoncover">
    <w:name w:val="Date on cover"/>
    <w:basedOn w:val="Normal"/>
    <w:qFormat/>
    <w:rsid w:val="00B85E2E"/>
    <w:pPr>
      <w:spacing w:after="0"/>
      <w:jc w:val="right"/>
    </w:pPr>
    <w:rPr>
      <w:b/>
      <w:color w:val="999999" w:themeColor="accent6" w:themeShade="BF"/>
      <w:sz w:val="24"/>
      <w:szCs w:val="24"/>
    </w:rPr>
  </w:style>
  <w:style w:type="paragraph" w:customStyle="1" w:styleId="Reportcoversubtitle">
    <w:name w:val="Report cover subtitle"/>
    <w:basedOn w:val="Reportseriestitleinsidepages"/>
    <w:rsid w:val="009225C1"/>
    <w:pPr>
      <w:tabs>
        <w:tab w:val="left" w:pos="9638"/>
      </w:tabs>
      <w:spacing w:before="300"/>
      <w:ind w:right="-1"/>
    </w:pPr>
    <w:rPr>
      <w:color w:val="7F7F7F" w:themeColor="accent4"/>
    </w:rPr>
  </w:style>
  <w:style w:type="paragraph" w:customStyle="1" w:styleId="Reportseriestitle">
    <w:name w:val="Report series title"/>
    <w:rsid w:val="00A35B08"/>
    <w:pPr>
      <w:spacing w:before="900" w:after="0"/>
      <w:jc w:val="right"/>
    </w:pPr>
    <w:rPr>
      <w:rFonts w:ascii="Arial" w:hAnsi="Arial"/>
      <w:color w:val="2870A4" w:themeColor="background1" w:themeShade="80"/>
      <w:sz w:val="32"/>
      <w:szCs w:val="32"/>
      <w:lang w:val="en-GB"/>
    </w:rPr>
  </w:style>
  <w:style w:type="paragraph" w:customStyle="1" w:styleId="Head1x">
    <w:name w:val="Head 1 x"/>
    <w:next w:val="Normal"/>
    <w:uiPriority w:val="2"/>
    <w:qFormat/>
    <w:rsid w:val="00A35B08"/>
    <w:pPr>
      <w:spacing w:after="600" w:line="560" w:lineRule="atLeast"/>
      <w:outlineLvl w:val="0"/>
    </w:pPr>
    <w:rPr>
      <w:rFonts w:ascii="Arial" w:hAnsi="Arial" w:cs="Arial"/>
      <w:color w:val="005A97" w:themeColor="text1"/>
      <w:sz w:val="52"/>
      <w:szCs w:val="48"/>
      <w:lang w:val="en-US" w:eastAsia="en-US"/>
    </w:rPr>
  </w:style>
  <w:style w:type="paragraph" w:customStyle="1" w:styleId="Head2xx">
    <w:name w:val="Head 2 x.x"/>
    <w:next w:val="Normal"/>
    <w:uiPriority w:val="2"/>
    <w:qFormat/>
    <w:rsid w:val="00A35B08"/>
    <w:pPr>
      <w:spacing w:before="120" w:after="60" w:line="320" w:lineRule="atLeast"/>
      <w:outlineLvl w:val="0"/>
    </w:pPr>
    <w:rPr>
      <w:rFonts w:ascii="Arial" w:hAnsi="Arial" w:cs="Arial"/>
      <w:color w:val="AEC12D" w:themeColor="text2"/>
      <w:sz w:val="32"/>
      <w:szCs w:val="32"/>
      <w:lang w:eastAsia="en-US"/>
    </w:rPr>
  </w:style>
  <w:style w:type="paragraph" w:customStyle="1" w:styleId="Head3xxx">
    <w:name w:val="Head 3 x.x.x"/>
    <w:basedOn w:val="Normal"/>
    <w:link w:val="Head3xxxChar"/>
    <w:uiPriority w:val="9"/>
    <w:qFormat/>
    <w:rsid w:val="00A35B08"/>
    <w:pPr>
      <w:keepNext/>
      <w:spacing w:before="120" w:after="20"/>
      <w:outlineLvl w:val="2"/>
    </w:pPr>
    <w:rPr>
      <w:rFonts w:cs="Arial"/>
      <w:b/>
      <w:bCs/>
      <w:sz w:val="26"/>
      <w:szCs w:val="26"/>
    </w:rPr>
  </w:style>
  <w:style w:type="character" w:customStyle="1" w:styleId="Heading6Char">
    <w:name w:val="Heading 6 Char"/>
    <w:basedOn w:val="DefaultParagraphFont"/>
    <w:link w:val="Heading6"/>
    <w:semiHidden/>
    <w:rsid w:val="00A35B08"/>
    <w:rPr>
      <w:rFonts w:asciiTheme="majorHAnsi" w:eastAsiaTheme="majorEastAsia" w:hAnsiTheme="majorHAnsi" w:cstheme="majorBidi"/>
      <w:color w:val="322C2B" w:themeColor="accent1" w:themeShade="7F"/>
      <w:lang w:val="en-GB"/>
    </w:rPr>
  </w:style>
  <w:style w:type="character" w:customStyle="1" w:styleId="Heading7Char">
    <w:name w:val="Heading 7 Char"/>
    <w:basedOn w:val="DefaultParagraphFont"/>
    <w:link w:val="Heading7"/>
    <w:semiHidden/>
    <w:rsid w:val="00A35B08"/>
    <w:rPr>
      <w:rFonts w:asciiTheme="majorHAnsi" w:eastAsiaTheme="majorEastAsia" w:hAnsiTheme="majorHAnsi" w:cstheme="majorBidi"/>
      <w:i/>
      <w:iCs/>
      <w:color w:val="322C2B" w:themeColor="accent1" w:themeShade="7F"/>
      <w:lang w:val="en-GB"/>
    </w:rPr>
  </w:style>
  <w:style w:type="character" w:customStyle="1" w:styleId="Heading8Char">
    <w:name w:val="Heading 8 Char"/>
    <w:basedOn w:val="DefaultParagraphFont"/>
    <w:link w:val="Heading8"/>
    <w:semiHidden/>
    <w:rsid w:val="00A35B08"/>
    <w:rPr>
      <w:rFonts w:asciiTheme="majorHAnsi" w:eastAsiaTheme="majorEastAsia" w:hAnsiTheme="majorHAnsi" w:cstheme="majorBidi"/>
      <w:color w:val="0079CD" w:themeColor="text1" w:themeTint="D8"/>
      <w:sz w:val="21"/>
      <w:szCs w:val="21"/>
      <w:lang w:val="en-GB"/>
    </w:rPr>
  </w:style>
  <w:style w:type="character" w:customStyle="1" w:styleId="Heading9Char">
    <w:name w:val="Heading 9 Char"/>
    <w:basedOn w:val="DefaultParagraphFont"/>
    <w:link w:val="Heading9"/>
    <w:rsid w:val="00A35B08"/>
    <w:rPr>
      <w:rFonts w:asciiTheme="majorHAnsi" w:eastAsiaTheme="majorEastAsia" w:hAnsiTheme="majorHAnsi" w:cstheme="majorBidi"/>
      <w:i/>
      <w:iCs/>
      <w:color w:val="0079CD" w:themeColor="text1" w:themeTint="D8"/>
      <w:sz w:val="21"/>
      <w:szCs w:val="21"/>
      <w:lang w:val="en-GB"/>
    </w:rPr>
  </w:style>
  <w:style w:type="paragraph" w:customStyle="1" w:styleId="Para0">
    <w:name w:val="Para 0"/>
    <w:aliases w:val="Auto,After:  3 pt"/>
    <w:basedOn w:val="Normal"/>
    <w:link w:val="Para0Char"/>
    <w:qFormat/>
    <w:rsid w:val="008E3EAF"/>
    <w:rPr>
      <w:rFonts w:eastAsiaTheme="minorEastAsia" w:cstheme="minorBidi"/>
      <w:szCs w:val="24"/>
      <w:lang w:val="en-AU" w:eastAsia="en-US"/>
    </w:rPr>
  </w:style>
  <w:style w:type="paragraph" w:customStyle="1" w:styleId="Para0bullet">
    <w:name w:val="Para 0 bullet"/>
    <w:basedOn w:val="Normal"/>
    <w:link w:val="Para0bulletChar"/>
    <w:qFormat/>
    <w:rsid w:val="00A35B08"/>
  </w:style>
  <w:style w:type="paragraph" w:customStyle="1" w:styleId="Para1narrowarrow">
    <w:name w:val="Para 1 narrow arrow"/>
    <w:basedOn w:val="Normal"/>
    <w:rsid w:val="00651029"/>
    <w:pPr>
      <w:numPr>
        <w:ilvl w:val="1"/>
        <w:numId w:val="5"/>
      </w:numPr>
      <w:tabs>
        <w:tab w:val="left" w:pos="851"/>
      </w:tabs>
      <w:spacing w:after="120" w:line="240" w:lineRule="atLeast"/>
    </w:pPr>
    <w:rPr>
      <w:rFonts w:eastAsiaTheme="minorEastAsia" w:cstheme="minorBidi"/>
      <w:szCs w:val="24"/>
      <w:lang w:val="en-AU" w:eastAsia="en-US"/>
    </w:rPr>
  </w:style>
  <w:style w:type="paragraph" w:customStyle="1" w:styleId="SectionSubheading2">
    <w:name w:val="Section Sub heading 2"/>
    <w:basedOn w:val="Heading3"/>
    <w:next w:val="Para0"/>
    <w:qFormat/>
    <w:rsid w:val="00651029"/>
    <w:pPr>
      <w:keepLines/>
      <w:tabs>
        <w:tab w:val="clear" w:pos="1080"/>
      </w:tabs>
      <w:spacing w:before="240" w:after="120" w:line="240" w:lineRule="atLeast"/>
    </w:pPr>
    <w:rPr>
      <w:rFonts w:eastAsiaTheme="majorEastAsia" w:cstheme="majorBidi"/>
      <w:color w:val="00338D"/>
      <w:sz w:val="20"/>
      <w:szCs w:val="24"/>
      <w:lang w:val="en-AU" w:eastAsia="en-US"/>
    </w:rPr>
  </w:style>
  <w:style w:type="numbering" w:customStyle="1" w:styleId="SKMBulletList1">
    <w:name w:val="SKM Bullet List 1"/>
    <w:uiPriority w:val="99"/>
    <w:rsid w:val="00651029"/>
  </w:style>
  <w:style w:type="character" w:customStyle="1" w:styleId="Para0Char">
    <w:name w:val="Para 0 Char"/>
    <w:aliases w:val="Auto Char,After:  3 pt Char Char"/>
    <w:basedOn w:val="DefaultParagraphFont"/>
    <w:link w:val="Para0"/>
    <w:rsid w:val="008E3EAF"/>
    <w:rPr>
      <w:rFonts w:ascii="Arial" w:eastAsiaTheme="minorEastAsia" w:hAnsi="Arial" w:cstheme="minorBidi"/>
      <w:szCs w:val="24"/>
      <w:lang w:eastAsia="en-US"/>
    </w:rPr>
  </w:style>
  <w:style w:type="paragraph" w:customStyle="1" w:styleId="ContentBulletsDash">
    <w:name w:val="Content Bullets Dash"/>
    <w:basedOn w:val="Para0"/>
    <w:semiHidden/>
    <w:qFormat/>
    <w:rsid w:val="009841BB"/>
    <w:pPr>
      <w:numPr>
        <w:numId w:val="6"/>
      </w:numPr>
    </w:pPr>
  </w:style>
  <w:style w:type="paragraph" w:customStyle="1" w:styleId="Para0number">
    <w:name w:val="Para 0 number"/>
    <w:basedOn w:val="Para0"/>
    <w:qFormat/>
    <w:rsid w:val="00FD59BF"/>
    <w:pPr>
      <w:numPr>
        <w:numId w:val="7"/>
      </w:numPr>
      <w:tabs>
        <w:tab w:val="left" w:pos="851"/>
      </w:tabs>
    </w:pPr>
  </w:style>
  <w:style w:type="paragraph" w:customStyle="1" w:styleId="Para2roman">
    <w:name w:val="Para 2 roman"/>
    <w:basedOn w:val="Normal"/>
    <w:rsid w:val="00FD59BF"/>
    <w:pPr>
      <w:numPr>
        <w:ilvl w:val="2"/>
        <w:numId w:val="7"/>
      </w:numPr>
      <w:tabs>
        <w:tab w:val="left" w:pos="851"/>
      </w:tabs>
      <w:spacing w:after="120" w:line="240" w:lineRule="atLeast"/>
    </w:pPr>
    <w:rPr>
      <w:rFonts w:eastAsiaTheme="minorEastAsia" w:cstheme="minorBidi"/>
      <w:szCs w:val="24"/>
      <w:lang w:val="en-AU" w:eastAsia="en-US"/>
    </w:rPr>
  </w:style>
  <w:style w:type="numbering" w:customStyle="1" w:styleId="SKMNumberedList1">
    <w:name w:val="SKM Numbered List 1"/>
    <w:uiPriority w:val="99"/>
    <w:rsid w:val="00FD59BF"/>
    <w:pPr>
      <w:numPr>
        <w:numId w:val="7"/>
      </w:numPr>
    </w:pPr>
  </w:style>
  <w:style w:type="character" w:styleId="CommentReference">
    <w:name w:val="annotation reference"/>
    <w:basedOn w:val="DefaultParagraphFont"/>
    <w:uiPriority w:val="99"/>
    <w:semiHidden/>
    <w:unhideWhenUsed/>
    <w:rsid w:val="00A35B08"/>
    <w:rPr>
      <w:sz w:val="16"/>
      <w:szCs w:val="16"/>
    </w:rPr>
  </w:style>
  <w:style w:type="paragraph" w:styleId="CommentText">
    <w:name w:val="annotation text"/>
    <w:basedOn w:val="Normal"/>
    <w:link w:val="CommentTextChar"/>
    <w:uiPriority w:val="99"/>
    <w:unhideWhenUsed/>
    <w:rsid w:val="00A35B08"/>
    <w:pPr>
      <w:spacing w:after="220" w:line="240" w:lineRule="auto"/>
    </w:pPr>
    <w:rPr>
      <w:rFonts w:eastAsiaTheme="minorEastAsia" w:cstheme="minorBidi"/>
      <w:lang w:val="en-AU" w:eastAsia="en-US"/>
    </w:rPr>
  </w:style>
  <w:style w:type="character" w:customStyle="1" w:styleId="CommentTextChar">
    <w:name w:val="Comment Text Char"/>
    <w:basedOn w:val="DefaultParagraphFont"/>
    <w:link w:val="CommentText"/>
    <w:uiPriority w:val="99"/>
    <w:rsid w:val="00A35B08"/>
    <w:rPr>
      <w:rFonts w:ascii="Arial" w:eastAsiaTheme="minorEastAsia" w:hAnsi="Arial" w:cstheme="minorBidi"/>
      <w:lang w:eastAsia="en-US"/>
    </w:rPr>
  </w:style>
  <w:style w:type="paragraph" w:styleId="CommentSubject">
    <w:name w:val="annotation subject"/>
    <w:basedOn w:val="CommentText"/>
    <w:next w:val="CommentText"/>
    <w:link w:val="CommentSubjectChar"/>
    <w:uiPriority w:val="99"/>
    <w:semiHidden/>
    <w:unhideWhenUsed/>
    <w:rsid w:val="00A35B08"/>
    <w:pPr>
      <w:spacing w:after="200"/>
    </w:pPr>
    <w:rPr>
      <w:b/>
      <w:bCs/>
      <w:lang w:val="en-GB"/>
    </w:rPr>
  </w:style>
  <w:style w:type="character" w:customStyle="1" w:styleId="CommentSubjectChar">
    <w:name w:val="Comment Subject Char"/>
    <w:basedOn w:val="CommentTextChar"/>
    <w:link w:val="CommentSubject"/>
    <w:uiPriority w:val="99"/>
    <w:semiHidden/>
    <w:rsid w:val="00A35B08"/>
    <w:rPr>
      <w:rFonts w:ascii="Arial" w:eastAsiaTheme="minorEastAsia" w:hAnsi="Arial" w:cstheme="minorBidi"/>
      <w:b/>
      <w:bCs/>
      <w:lang w:val="en-GB" w:eastAsia="en-US"/>
    </w:rPr>
  </w:style>
  <w:style w:type="paragraph" w:customStyle="1" w:styleId="ContentBulletsLetter">
    <w:name w:val="Content Bullets Letter"/>
    <w:basedOn w:val="Para0"/>
    <w:semiHidden/>
    <w:qFormat/>
    <w:rsid w:val="000E020F"/>
    <w:pPr>
      <w:numPr>
        <w:numId w:val="8"/>
      </w:numPr>
    </w:pPr>
  </w:style>
  <w:style w:type="character" w:customStyle="1" w:styleId="HeaderChar">
    <w:name w:val="Header Char"/>
    <w:basedOn w:val="DefaultParagraphFont"/>
    <w:link w:val="Header"/>
    <w:uiPriority w:val="99"/>
    <w:rsid w:val="00A35B08"/>
    <w:rPr>
      <w:rFonts w:ascii="Arial" w:hAnsi="Arial"/>
      <w:color w:val="7F7F7F" w:themeColor="accent4"/>
      <w:sz w:val="32"/>
      <w:szCs w:val="32"/>
      <w:lang w:val="en-GB"/>
    </w:rPr>
  </w:style>
  <w:style w:type="paragraph" w:customStyle="1" w:styleId="Para0narrow">
    <w:name w:val="Para 0 narrow"/>
    <w:basedOn w:val="Para0"/>
    <w:next w:val="Para0"/>
    <w:qFormat/>
    <w:rsid w:val="007A3E0D"/>
  </w:style>
  <w:style w:type="paragraph" w:customStyle="1" w:styleId="Para0narrowbullet">
    <w:name w:val="Para 0 narrow bullet"/>
    <w:basedOn w:val="Para0bullet"/>
    <w:next w:val="Para0bullet"/>
    <w:qFormat/>
    <w:rsid w:val="007A3E0D"/>
    <w:pPr>
      <w:ind w:left="851" w:hanging="851"/>
    </w:pPr>
  </w:style>
  <w:style w:type="paragraph" w:customStyle="1" w:styleId="Bodynarrowbullet">
    <w:name w:val="Body narrow bullet"/>
    <w:basedOn w:val="Normal"/>
    <w:unhideWhenUsed/>
    <w:qFormat/>
    <w:rsid w:val="007A3E0D"/>
    <w:pPr>
      <w:numPr>
        <w:numId w:val="9"/>
      </w:numPr>
      <w:tabs>
        <w:tab w:val="left" w:pos="198"/>
      </w:tabs>
      <w:spacing w:before="240" w:line="240" w:lineRule="atLeast"/>
    </w:pPr>
    <w:rPr>
      <w:rFonts w:eastAsiaTheme="minorEastAsia" w:cstheme="minorBidi"/>
      <w:szCs w:val="24"/>
      <w:lang w:val="en-AU" w:eastAsia="en-US"/>
    </w:rPr>
  </w:style>
  <w:style w:type="paragraph" w:customStyle="1" w:styleId="Bodynarrowarrow">
    <w:name w:val="Body narrow arrow"/>
    <w:basedOn w:val="Para1narrowarrow"/>
    <w:semiHidden/>
    <w:unhideWhenUsed/>
    <w:rsid w:val="007A3E0D"/>
    <w:pPr>
      <w:numPr>
        <w:numId w:val="9"/>
      </w:numPr>
    </w:pPr>
  </w:style>
  <w:style w:type="numbering" w:customStyle="1" w:styleId="SKMBodyList">
    <w:name w:val="SKM Body List"/>
    <w:uiPriority w:val="99"/>
    <w:rsid w:val="007A3E0D"/>
    <w:pPr>
      <w:numPr>
        <w:numId w:val="9"/>
      </w:numPr>
    </w:pPr>
  </w:style>
  <w:style w:type="paragraph" w:customStyle="1" w:styleId="Para0bold">
    <w:name w:val="Para 0 bold"/>
    <w:basedOn w:val="Para0"/>
    <w:qFormat/>
    <w:rsid w:val="000B5EB4"/>
    <w:rPr>
      <w:b/>
    </w:rPr>
  </w:style>
  <w:style w:type="numbering" w:customStyle="1" w:styleId="NoList1">
    <w:name w:val="No List1"/>
    <w:next w:val="NoList"/>
    <w:uiPriority w:val="99"/>
    <w:semiHidden/>
    <w:unhideWhenUsed/>
    <w:rsid w:val="00A35B08"/>
  </w:style>
  <w:style w:type="paragraph" w:customStyle="1" w:styleId="Bodynarrow">
    <w:name w:val="Body narrow"/>
    <w:basedOn w:val="Normal"/>
    <w:qFormat/>
    <w:rsid w:val="006A18DD"/>
    <w:pPr>
      <w:spacing w:before="40" w:after="120" w:line="240" w:lineRule="atLeast"/>
      <w:ind w:left="3402"/>
    </w:pPr>
    <w:rPr>
      <w:sz w:val="19"/>
      <w:szCs w:val="24"/>
      <w:lang w:eastAsia="en-US"/>
    </w:rPr>
  </w:style>
  <w:style w:type="table" w:customStyle="1" w:styleId="TableGrid1">
    <w:name w:val="Table Grid1"/>
    <w:basedOn w:val="TableNormal"/>
    <w:next w:val="TableGrid"/>
    <w:uiPriority w:val="59"/>
    <w:rsid w:val="006A18DD"/>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6A18DD"/>
    <w:pPr>
      <w:spacing w:after="0" w:line="240" w:lineRule="auto"/>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rsid w:val="006A18DD"/>
    <w:pPr>
      <w:spacing w:after="0" w:line="240" w:lineRule="auto"/>
    </w:pPr>
    <w:rPr>
      <w:color w:val="004271" w:themeColor="text1" w:themeShade="BF"/>
    </w:rPr>
    <w:tblPr>
      <w:tblStyleRowBandSize w:val="1"/>
      <w:tblStyleColBandSize w:val="1"/>
      <w:tblBorders>
        <w:top w:val="single" w:sz="8" w:space="0" w:color="005A97" w:themeColor="text1"/>
        <w:bottom w:val="single" w:sz="8" w:space="0" w:color="005A97" w:themeColor="text1"/>
      </w:tblBorders>
    </w:tblPr>
    <w:tblStylePr w:type="firstRow">
      <w:pPr>
        <w:spacing w:before="0" w:after="0" w:line="240" w:lineRule="auto"/>
      </w:pPr>
      <w:rPr>
        <w:b/>
        <w:bCs/>
      </w:rPr>
      <w:tblPr/>
      <w:tcPr>
        <w:tcBorders>
          <w:top w:val="single" w:sz="8" w:space="0" w:color="005A97" w:themeColor="text1"/>
          <w:left w:val="nil"/>
          <w:bottom w:val="single" w:sz="8" w:space="0" w:color="005A97" w:themeColor="text1"/>
          <w:right w:val="nil"/>
          <w:insideH w:val="nil"/>
          <w:insideV w:val="nil"/>
        </w:tcBorders>
      </w:tcPr>
    </w:tblStylePr>
    <w:tblStylePr w:type="lastRow">
      <w:pPr>
        <w:spacing w:before="0" w:after="0" w:line="240" w:lineRule="auto"/>
      </w:pPr>
      <w:rPr>
        <w:b/>
        <w:bCs/>
      </w:rPr>
      <w:tblPr/>
      <w:tcPr>
        <w:tcBorders>
          <w:top w:val="single" w:sz="8" w:space="0" w:color="005A97" w:themeColor="text1"/>
          <w:left w:val="nil"/>
          <w:bottom w:val="single" w:sz="8" w:space="0" w:color="005A97"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AFF" w:themeFill="text1" w:themeFillTint="3F"/>
      </w:tcPr>
    </w:tblStylePr>
    <w:tblStylePr w:type="band1Horz">
      <w:tblPr/>
      <w:tcPr>
        <w:tcBorders>
          <w:left w:val="nil"/>
          <w:right w:val="nil"/>
          <w:insideH w:val="nil"/>
          <w:insideV w:val="nil"/>
        </w:tcBorders>
        <w:shd w:val="clear" w:color="auto" w:fill="A6DAFF" w:themeFill="text1" w:themeFillTint="3F"/>
      </w:tcPr>
    </w:tblStylePr>
  </w:style>
  <w:style w:type="paragraph" w:customStyle="1" w:styleId="ContentBulletsArrow">
    <w:name w:val="Content Bullets Arrow"/>
    <w:basedOn w:val="Para0"/>
    <w:semiHidden/>
    <w:qFormat/>
    <w:rsid w:val="00EC347D"/>
    <w:pPr>
      <w:numPr>
        <w:numId w:val="15"/>
      </w:numPr>
    </w:pPr>
    <w:rPr>
      <w:color w:val="00338D"/>
    </w:rPr>
  </w:style>
  <w:style w:type="table" w:styleId="LightList-Accent2">
    <w:name w:val="Light List Accent 2"/>
    <w:basedOn w:val="TableNormal"/>
    <w:uiPriority w:val="66"/>
    <w:rsid w:val="00BE6D6D"/>
    <w:pPr>
      <w:spacing w:after="0" w:line="240" w:lineRule="auto"/>
    </w:pPr>
    <w:tblPr>
      <w:tblStyleRowBandSize w:val="1"/>
      <w:tblStyleColBandSize w:val="1"/>
      <w:tblBorders>
        <w:top w:val="single" w:sz="8" w:space="0" w:color="C7BEBD" w:themeColor="accent2"/>
        <w:left w:val="single" w:sz="8" w:space="0" w:color="C7BEBD" w:themeColor="accent2"/>
        <w:bottom w:val="single" w:sz="8" w:space="0" w:color="C7BEBD" w:themeColor="accent2"/>
        <w:right w:val="single" w:sz="8" w:space="0" w:color="C7BEBD" w:themeColor="accent2"/>
      </w:tblBorders>
    </w:tblPr>
    <w:tblStylePr w:type="firstRow">
      <w:pPr>
        <w:spacing w:before="0" w:after="0" w:line="240" w:lineRule="auto"/>
      </w:pPr>
      <w:rPr>
        <w:b/>
        <w:bCs/>
        <w:color w:val="ADD1EB" w:themeColor="background1"/>
      </w:rPr>
      <w:tblPr/>
      <w:tcPr>
        <w:shd w:val="clear" w:color="auto" w:fill="C7BEBD" w:themeFill="accent2"/>
      </w:tcPr>
    </w:tblStylePr>
    <w:tblStylePr w:type="lastRow">
      <w:pPr>
        <w:spacing w:before="0" w:after="0" w:line="240" w:lineRule="auto"/>
      </w:pPr>
      <w:rPr>
        <w:b/>
        <w:bCs/>
      </w:rPr>
      <w:tblPr/>
      <w:tcPr>
        <w:tcBorders>
          <w:top w:val="double" w:sz="6" w:space="0" w:color="C7BEBD" w:themeColor="accent2"/>
          <w:left w:val="single" w:sz="8" w:space="0" w:color="C7BEBD" w:themeColor="accent2"/>
          <w:bottom w:val="single" w:sz="8" w:space="0" w:color="C7BEBD" w:themeColor="accent2"/>
          <w:right w:val="single" w:sz="8" w:space="0" w:color="C7BEBD" w:themeColor="accent2"/>
        </w:tcBorders>
      </w:tcPr>
    </w:tblStylePr>
    <w:tblStylePr w:type="firstCol">
      <w:rPr>
        <w:b/>
        <w:bCs/>
      </w:rPr>
    </w:tblStylePr>
    <w:tblStylePr w:type="lastCol">
      <w:rPr>
        <w:b/>
        <w:bCs/>
      </w:rPr>
    </w:tblStylePr>
    <w:tblStylePr w:type="band1Vert">
      <w:tblPr/>
      <w:tcPr>
        <w:tcBorders>
          <w:top w:val="single" w:sz="8" w:space="0" w:color="C7BEBD" w:themeColor="accent2"/>
          <w:left w:val="single" w:sz="8" w:space="0" w:color="C7BEBD" w:themeColor="accent2"/>
          <w:bottom w:val="single" w:sz="8" w:space="0" w:color="C7BEBD" w:themeColor="accent2"/>
          <w:right w:val="single" w:sz="8" w:space="0" w:color="C7BEBD" w:themeColor="accent2"/>
        </w:tcBorders>
      </w:tcPr>
    </w:tblStylePr>
    <w:tblStylePr w:type="band1Horz">
      <w:tblPr/>
      <w:tcPr>
        <w:tcBorders>
          <w:top w:val="single" w:sz="8" w:space="0" w:color="C7BEBD" w:themeColor="accent2"/>
          <w:left w:val="single" w:sz="8" w:space="0" w:color="C7BEBD" w:themeColor="accent2"/>
          <w:bottom w:val="single" w:sz="8" w:space="0" w:color="C7BEBD" w:themeColor="accent2"/>
          <w:right w:val="single" w:sz="8" w:space="0" w:color="C7BEBD" w:themeColor="accent2"/>
        </w:tcBorders>
      </w:tcPr>
    </w:tblStylePr>
  </w:style>
  <w:style w:type="paragraph" w:styleId="Revision">
    <w:name w:val="Revision"/>
    <w:hidden/>
    <w:uiPriority w:val="99"/>
    <w:semiHidden/>
    <w:rsid w:val="00947A79"/>
    <w:pPr>
      <w:spacing w:after="0" w:line="240" w:lineRule="auto"/>
    </w:pPr>
    <w:rPr>
      <w:rFonts w:ascii="Arial" w:hAnsi="Arial"/>
      <w:lang w:val="en-GB"/>
    </w:rPr>
  </w:style>
  <w:style w:type="paragraph" w:customStyle="1" w:styleId="Body">
    <w:name w:val="_Body"/>
    <w:qFormat/>
    <w:rsid w:val="00721F8C"/>
    <w:pPr>
      <w:spacing w:after="113" w:line="240" w:lineRule="atLeast"/>
    </w:pPr>
    <w:rPr>
      <w:rFonts w:ascii="Arial" w:hAnsi="Arial" w:cs="Arial"/>
      <w:sz w:val="18"/>
      <w:szCs w:val="24"/>
      <w:lang w:eastAsia="en-US"/>
    </w:rPr>
  </w:style>
  <w:style w:type="numbering" w:customStyle="1" w:styleId="BulletList">
    <w:name w:val="Bullet List"/>
    <w:uiPriority w:val="99"/>
    <w:rsid w:val="00721F8C"/>
    <w:pPr>
      <w:numPr>
        <w:numId w:val="16"/>
      </w:numPr>
    </w:pPr>
  </w:style>
  <w:style w:type="paragraph" w:styleId="ListBullet">
    <w:name w:val="List Bullet"/>
    <w:basedOn w:val="Normal"/>
    <w:unhideWhenUsed/>
    <w:rsid w:val="00A35B08"/>
    <w:pPr>
      <w:tabs>
        <w:tab w:val="num" w:pos="370"/>
      </w:tabs>
      <w:spacing w:after="220" w:line="240" w:lineRule="atLeast"/>
      <w:ind w:left="370" w:hanging="360"/>
      <w:contextualSpacing/>
    </w:pPr>
    <w:rPr>
      <w:rFonts w:eastAsiaTheme="minorEastAsia" w:cstheme="minorBidi"/>
      <w:szCs w:val="24"/>
      <w:lang w:val="en-AU" w:eastAsia="en-US"/>
    </w:rPr>
  </w:style>
  <w:style w:type="paragraph" w:styleId="ListBullet2">
    <w:name w:val="List Bullet 2"/>
    <w:basedOn w:val="Normal"/>
    <w:uiPriority w:val="99"/>
    <w:unhideWhenUsed/>
    <w:rsid w:val="00721F8C"/>
    <w:pPr>
      <w:numPr>
        <w:ilvl w:val="1"/>
        <w:numId w:val="17"/>
      </w:numPr>
    </w:pPr>
    <w:rPr>
      <w:rFonts w:eastAsia="Calibri"/>
      <w:sz w:val="22"/>
      <w:szCs w:val="22"/>
      <w:lang w:val="en-AU" w:eastAsia="en-US"/>
    </w:rPr>
  </w:style>
  <w:style w:type="paragraph" w:styleId="ListBullet3">
    <w:name w:val="List Bullet 3"/>
    <w:basedOn w:val="Normal"/>
    <w:uiPriority w:val="99"/>
    <w:unhideWhenUsed/>
    <w:rsid w:val="00721F8C"/>
    <w:pPr>
      <w:numPr>
        <w:ilvl w:val="2"/>
        <w:numId w:val="17"/>
      </w:numPr>
    </w:pPr>
    <w:rPr>
      <w:rFonts w:eastAsia="Calibri"/>
      <w:sz w:val="22"/>
      <w:szCs w:val="22"/>
      <w:lang w:val="en-AU" w:eastAsia="en-US"/>
    </w:rPr>
  </w:style>
  <w:style w:type="paragraph" w:styleId="ListBullet4">
    <w:name w:val="List Bullet 4"/>
    <w:basedOn w:val="Normal"/>
    <w:uiPriority w:val="99"/>
    <w:unhideWhenUsed/>
    <w:rsid w:val="00721F8C"/>
    <w:pPr>
      <w:numPr>
        <w:ilvl w:val="3"/>
        <w:numId w:val="17"/>
      </w:numPr>
    </w:pPr>
    <w:rPr>
      <w:rFonts w:eastAsia="Calibri"/>
      <w:sz w:val="22"/>
      <w:szCs w:val="22"/>
      <w:lang w:val="en-AU" w:eastAsia="en-US"/>
    </w:rPr>
  </w:style>
  <w:style w:type="paragraph" w:styleId="ListBullet5">
    <w:name w:val="List Bullet 5"/>
    <w:basedOn w:val="Normal"/>
    <w:uiPriority w:val="99"/>
    <w:unhideWhenUsed/>
    <w:rsid w:val="00721F8C"/>
    <w:pPr>
      <w:numPr>
        <w:ilvl w:val="4"/>
        <w:numId w:val="17"/>
      </w:numPr>
    </w:pPr>
    <w:rPr>
      <w:rFonts w:eastAsia="Calibri"/>
      <w:sz w:val="22"/>
      <w:szCs w:val="22"/>
      <w:lang w:val="en-AU" w:eastAsia="en-US"/>
    </w:rPr>
  </w:style>
  <w:style w:type="paragraph" w:customStyle="1" w:styleId="H2nonumbers">
    <w:name w:val="H2 no numbers"/>
    <w:basedOn w:val="Head2xx"/>
    <w:qFormat/>
    <w:rsid w:val="00C8015D"/>
  </w:style>
  <w:style w:type="paragraph" w:customStyle="1" w:styleId="H3nonumbers">
    <w:name w:val="H3 no numbers"/>
    <w:basedOn w:val="Normal"/>
    <w:qFormat/>
    <w:rsid w:val="00132584"/>
    <w:pPr>
      <w:keepNext/>
      <w:spacing w:before="120" w:after="20"/>
      <w:ind w:left="851" w:hanging="851"/>
      <w:outlineLvl w:val="2"/>
    </w:pPr>
    <w:rPr>
      <w:rFonts w:cs="Arial"/>
      <w:b/>
      <w:bCs/>
      <w:sz w:val="26"/>
      <w:szCs w:val="26"/>
    </w:rPr>
  </w:style>
  <w:style w:type="paragraph" w:customStyle="1" w:styleId="figurereturn">
    <w:name w:val="figure return"/>
    <w:basedOn w:val="Normal"/>
    <w:qFormat/>
    <w:rsid w:val="008D24D6"/>
    <w:pPr>
      <w:spacing w:after="0"/>
      <w:jc w:val="center"/>
    </w:pPr>
    <w:rPr>
      <w:noProof/>
      <w:lang w:val="en-AU"/>
    </w:rPr>
  </w:style>
  <w:style w:type="character" w:customStyle="1" w:styleId="Head3xxxChar">
    <w:name w:val="Head 3 x.x.x Char"/>
    <w:basedOn w:val="Heading3Char"/>
    <w:link w:val="Head3xxx"/>
    <w:uiPriority w:val="9"/>
    <w:rsid w:val="00A35B08"/>
    <w:rPr>
      <w:rFonts w:ascii="Arial" w:hAnsi="Arial" w:cs="Arial"/>
      <w:b/>
      <w:bCs/>
      <w:sz w:val="26"/>
      <w:szCs w:val="26"/>
      <w:lang w:val="en-GB"/>
    </w:rPr>
  </w:style>
  <w:style w:type="table" w:customStyle="1" w:styleId="TableGrid5">
    <w:name w:val="Table Grid5"/>
    <w:basedOn w:val="TableNormal"/>
    <w:next w:val="TableGrid"/>
    <w:uiPriority w:val="59"/>
    <w:rsid w:val="00880CD3"/>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0bulletChar">
    <w:name w:val="Para 0 bullet Char"/>
    <w:basedOn w:val="DefaultParagraphFont"/>
    <w:link w:val="Para0bullet"/>
    <w:locked/>
    <w:rsid w:val="00A35B08"/>
    <w:rPr>
      <w:rFonts w:ascii="Arial" w:hAnsi="Arial"/>
      <w:lang w:val="en-GB"/>
    </w:rPr>
  </w:style>
  <w:style w:type="paragraph" w:customStyle="1" w:styleId="H4">
    <w:name w:val="H4"/>
    <w:basedOn w:val="Normal"/>
    <w:qFormat/>
    <w:rsid w:val="001B0814"/>
    <w:pPr>
      <w:spacing w:before="120"/>
    </w:pPr>
    <w:rPr>
      <w:b/>
    </w:rPr>
  </w:style>
  <w:style w:type="paragraph" w:styleId="TableofFigures">
    <w:name w:val="table of figures"/>
    <w:basedOn w:val="Normal"/>
    <w:next w:val="Normal"/>
    <w:uiPriority w:val="99"/>
    <w:unhideWhenUsed/>
    <w:rsid w:val="00A35B08"/>
    <w:pPr>
      <w:ind w:left="400" w:hanging="400"/>
    </w:pPr>
  </w:style>
  <w:style w:type="paragraph" w:customStyle="1" w:styleId="Headinglevel4">
    <w:name w:val="Heading level 4"/>
    <w:basedOn w:val="Head3xxx"/>
    <w:link w:val="Headinglevel4Char"/>
    <w:qFormat/>
    <w:rsid w:val="00485E32"/>
    <w:pPr>
      <w:ind w:left="709" w:hanging="648"/>
    </w:pPr>
  </w:style>
  <w:style w:type="numbering" w:customStyle="1" w:styleId="SKMNumberedList11">
    <w:name w:val="SKM Numbered List 11"/>
    <w:uiPriority w:val="99"/>
    <w:rsid w:val="009B3448"/>
    <w:pPr>
      <w:numPr>
        <w:numId w:val="5"/>
      </w:numPr>
    </w:pPr>
  </w:style>
  <w:style w:type="table" w:customStyle="1" w:styleId="TableGrid2">
    <w:name w:val="Table Grid2"/>
    <w:basedOn w:val="TableNormal"/>
    <w:next w:val="TableGrid"/>
    <w:uiPriority w:val="59"/>
    <w:rsid w:val="009B344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tBulletsRomanNumeral">
    <w:name w:val="Content Bullets Roman Numeral"/>
    <w:basedOn w:val="Para0"/>
    <w:semiHidden/>
    <w:qFormat/>
    <w:rsid w:val="009B3448"/>
    <w:pPr>
      <w:numPr>
        <w:numId w:val="22"/>
      </w:numPr>
    </w:pPr>
    <w:rPr>
      <w:rFonts w:eastAsia="Times New Roman" w:cs="Times New Roman"/>
      <w:szCs w:val="20"/>
      <w:lang w:val="en-GB" w:eastAsia="en-AU"/>
    </w:rPr>
  </w:style>
  <w:style w:type="paragraph" w:customStyle="1" w:styleId="Body0">
    <w:name w:val="Body"/>
    <w:aliases w:val="b,body,bullet,Body1,bu,B,b Char Char Char Char Char Char Char Char,b Char"/>
    <w:rsid w:val="009B3448"/>
    <w:pPr>
      <w:spacing w:before="60" w:after="120" w:line="280" w:lineRule="atLeast"/>
    </w:pPr>
    <w:rPr>
      <w:rFonts w:ascii="Arial" w:hAnsi="Arial"/>
      <w:lang w:eastAsia="en-US"/>
    </w:rPr>
  </w:style>
  <w:style w:type="paragraph" w:customStyle="1" w:styleId="Para0dash">
    <w:name w:val="Para 0 dash"/>
    <w:basedOn w:val="Para0"/>
    <w:qFormat/>
    <w:rsid w:val="009B3448"/>
    <w:pPr>
      <w:numPr>
        <w:numId w:val="23"/>
      </w:numPr>
      <w:tabs>
        <w:tab w:val="left" w:pos="851"/>
      </w:tabs>
    </w:pPr>
    <w:rPr>
      <w:rFonts w:eastAsia="Times New Roman" w:cs="Times New Roman"/>
      <w:szCs w:val="20"/>
      <w:lang w:val="en-GB" w:eastAsia="en-AU"/>
    </w:rPr>
  </w:style>
  <w:style w:type="numbering" w:customStyle="1" w:styleId="SKMBulletList2">
    <w:name w:val="SKM Bullet List 2"/>
    <w:uiPriority w:val="99"/>
    <w:rsid w:val="009B3448"/>
    <w:pPr>
      <w:numPr>
        <w:numId w:val="23"/>
      </w:numPr>
    </w:pPr>
  </w:style>
  <w:style w:type="paragraph" w:customStyle="1" w:styleId="Tableitem">
    <w:name w:val="Table item"/>
    <w:basedOn w:val="Tabletext"/>
    <w:rsid w:val="009B3448"/>
    <w:pPr>
      <w:numPr>
        <w:numId w:val="24"/>
      </w:numPr>
      <w:spacing w:before="60" w:after="60" w:line="240" w:lineRule="atLeast"/>
    </w:pPr>
    <w:rPr>
      <w:rFonts w:eastAsiaTheme="minorEastAsia" w:cstheme="minorBidi"/>
      <w:sz w:val="20"/>
      <w:szCs w:val="24"/>
    </w:rPr>
  </w:style>
  <w:style w:type="table" w:customStyle="1" w:styleId="TableGrid3">
    <w:name w:val="Table Grid3"/>
    <w:basedOn w:val="TableNormal"/>
    <w:next w:val="TableGrid"/>
    <w:uiPriority w:val="59"/>
    <w:rsid w:val="009B344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B344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1">
    <w:name w:val="Grid Table 4 - Accent 311"/>
    <w:basedOn w:val="TableNormal"/>
    <w:uiPriority w:val="49"/>
    <w:rsid w:val="009B3448"/>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H5">
    <w:name w:val="H5"/>
    <w:basedOn w:val="H4"/>
    <w:qFormat/>
    <w:rsid w:val="009B3448"/>
    <w:pPr>
      <w:spacing w:before="40" w:after="0"/>
    </w:pPr>
    <w:rPr>
      <w:b w:val="0"/>
      <w:i/>
    </w:rPr>
  </w:style>
  <w:style w:type="character" w:customStyle="1" w:styleId="ListParagraphChar">
    <w:name w:val="List Paragraph Char"/>
    <w:basedOn w:val="DefaultParagraphFont"/>
    <w:link w:val="ListParagraph"/>
    <w:uiPriority w:val="34"/>
    <w:locked/>
    <w:rsid w:val="00A35B08"/>
    <w:rPr>
      <w:rFonts w:ascii="Arial" w:hAnsi="Arial"/>
      <w:lang w:val="en-GB"/>
    </w:rPr>
  </w:style>
  <w:style w:type="character" w:styleId="FollowedHyperlink">
    <w:name w:val="FollowedHyperlink"/>
    <w:semiHidden/>
    <w:rsid w:val="00A35B08"/>
    <w:rPr>
      <w:color w:val="800080"/>
      <w:u w:val="single"/>
    </w:rPr>
  </w:style>
  <w:style w:type="paragraph" w:customStyle="1" w:styleId="Figurekey">
    <w:name w:val="Figure key"/>
    <w:basedOn w:val="Figuretitle"/>
    <w:qFormat/>
    <w:rsid w:val="009B3448"/>
    <w:pPr>
      <w:jc w:val="center"/>
    </w:pPr>
    <w:rPr>
      <w:rFonts w:eastAsia="Calibri"/>
      <w:i w:val="0"/>
      <w:lang w:val="en-AU"/>
    </w:rPr>
  </w:style>
  <w:style w:type="paragraph" w:customStyle="1" w:styleId="Para0roman">
    <w:name w:val="Para 0 roman"/>
    <w:basedOn w:val="Para0"/>
    <w:qFormat/>
    <w:rsid w:val="009B3448"/>
    <w:pPr>
      <w:numPr>
        <w:numId w:val="25"/>
      </w:numPr>
      <w:tabs>
        <w:tab w:val="left" w:pos="851"/>
        <w:tab w:val="num" w:pos="1260"/>
      </w:tabs>
      <w:spacing w:after="120" w:line="240" w:lineRule="atLeast"/>
      <w:ind w:left="1260" w:hanging="360"/>
    </w:pPr>
  </w:style>
  <w:style w:type="numbering" w:customStyle="1" w:styleId="SKMNumberedList3">
    <w:name w:val="SKM Numbered List 3"/>
    <w:uiPriority w:val="99"/>
    <w:rsid w:val="009B3448"/>
    <w:pPr>
      <w:numPr>
        <w:numId w:val="25"/>
      </w:numPr>
    </w:pPr>
  </w:style>
  <w:style w:type="numbering" w:customStyle="1" w:styleId="SKMTablesmallitem">
    <w:name w:val="SKM Table small item"/>
    <w:uiPriority w:val="99"/>
    <w:rsid w:val="009B3448"/>
    <w:pPr>
      <w:numPr>
        <w:numId w:val="33"/>
      </w:numPr>
    </w:pPr>
  </w:style>
  <w:style w:type="paragraph" w:customStyle="1" w:styleId="Sectionheading">
    <w:name w:val="Section heading"/>
    <w:basedOn w:val="Normal"/>
    <w:next w:val="Para0"/>
    <w:qFormat/>
    <w:rsid w:val="009B3448"/>
    <w:pPr>
      <w:spacing w:after="120" w:line="360" w:lineRule="exact"/>
    </w:pPr>
    <w:rPr>
      <w:rFonts w:eastAsiaTheme="minorEastAsia" w:cstheme="minorBidi"/>
      <w:b/>
      <w:color w:val="00338D"/>
      <w:sz w:val="32"/>
      <w:szCs w:val="24"/>
      <w:lang w:val="en-AU" w:eastAsia="en-US"/>
    </w:rPr>
  </w:style>
  <w:style w:type="paragraph" w:customStyle="1" w:styleId="Bodysubheading">
    <w:name w:val="Body sub heading"/>
    <w:basedOn w:val="Normal"/>
    <w:next w:val="Para0narrow"/>
    <w:qFormat/>
    <w:rsid w:val="009B3448"/>
    <w:pPr>
      <w:keepNext/>
      <w:widowControl w:val="0"/>
      <w:spacing w:before="80" w:after="160" w:line="240" w:lineRule="atLeast"/>
    </w:pPr>
    <w:rPr>
      <w:rFonts w:eastAsiaTheme="minorEastAsia" w:cstheme="minorBidi"/>
      <w:b/>
      <w:color w:val="00338D"/>
      <w:sz w:val="19"/>
      <w:szCs w:val="24"/>
      <w:lang w:val="en-AU" w:eastAsia="en-US"/>
    </w:rPr>
  </w:style>
  <w:style w:type="character" w:customStyle="1" w:styleId="apple-converted-space">
    <w:name w:val="apple-converted-space"/>
    <w:basedOn w:val="DefaultParagraphFont"/>
    <w:rsid w:val="009B3448"/>
  </w:style>
  <w:style w:type="character" w:customStyle="1" w:styleId="fn">
    <w:name w:val="fn"/>
    <w:basedOn w:val="DefaultParagraphFont"/>
    <w:rsid w:val="009B3448"/>
  </w:style>
  <w:style w:type="table" w:customStyle="1" w:styleId="Table1">
    <w:name w:val="Table1"/>
    <w:basedOn w:val="TableNormal"/>
    <w:uiPriority w:val="99"/>
    <w:rsid w:val="00A35B08"/>
    <w:pPr>
      <w:spacing w:after="0" w:line="240" w:lineRule="auto"/>
    </w:pPr>
    <w:rPr>
      <w:rFonts w:asciiTheme="minorHAnsi" w:eastAsiaTheme="minorEastAsia" w:hAnsiTheme="minorHAnsi" w:cstheme="minorBidi"/>
      <w:sz w:val="24"/>
      <w:szCs w:val="24"/>
      <w:lang w:val="en-US" w:eastAsia="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paragraph" w:customStyle="1" w:styleId="Appendixsubheading1">
    <w:name w:val="Appendix subheading 1"/>
    <w:basedOn w:val="Normal"/>
    <w:next w:val="Para0"/>
    <w:qFormat/>
    <w:rsid w:val="009B3448"/>
    <w:pPr>
      <w:spacing w:before="240" w:after="120" w:line="280" w:lineRule="exact"/>
      <w:ind w:left="851" w:hanging="851"/>
    </w:pPr>
    <w:rPr>
      <w:rFonts w:eastAsiaTheme="minorEastAsia" w:cstheme="minorBidi"/>
      <w:b/>
      <w:color w:val="00338D"/>
      <w:sz w:val="24"/>
      <w:szCs w:val="24"/>
      <w:lang w:val="en-AU" w:eastAsia="en-US"/>
    </w:rPr>
  </w:style>
  <w:style w:type="paragraph" w:customStyle="1" w:styleId="Appendixsubheading2">
    <w:name w:val="Appendix subheading 2"/>
    <w:basedOn w:val="Normal"/>
    <w:next w:val="Para0"/>
    <w:qFormat/>
    <w:rsid w:val="009B3448"/>
    <w:pPr>
      <w:spacing w:before="240" w:after="120" w:line="240" w:lineRule="atLeast"/>
      <w:ind w:left="851" w:hanging="851"/>
    </w:pPr>
    <w:rPr>
      <w:rFonts w:eastAsiaTheme="minorEastAsia" w:cstheme="minorBidi"/>
      <w:b/>
      <w:color w:val="00338D"/>
      <w:szCs w:val="24"/>
      <w:lang w:val="en-AU" w:eastAsia="en-US"/>
    </w:rPr>
  </w:style>
  <w:style w:type="paragraph" w:customStyle="1" w:styleId="Bodytextquoteindent">
    <w:name w:val="Body text quote indent"/>
    <w:basedOn w:val="Normal"/>
    <w:qFormat/>
    <w:rsid w:val="009B3448"/>
    <w:pPr>
      <w:spacing w:after="120" w:line="264" w:lineRule="auto"/>
      <w:ind w:left="170" w:right="170"/>
    </w:pPr>
  </w:style>
  <w:style w:type="paragraph" w:styleId="TOC3">
    <w:name w:val="toc 3"/>
    <w:basedOn w:val="Normal"/>
    <w:next w:val="Normal"/>
    <w:autoRedefine/>
    <w:uiPriority w:val="39"/>
    <w:unhideWhenUsed/>
    <w:rsid w:val="00A35B08"/>
    <w:pPr>
      <w:spacing w:after="100"/>
      <w:ind w:left="400"/>
    </w:pPr>
  </w:style>
  <w:style w:type="paragraph" w:styleId="TOC4">
    <w:name w:val="toc 4"/>
    <w:basedOn w:val="Normal"/>
    <w:next w:val="Normal"/>
    <w:autoRedefine/>
    <w:uiPriority w:val="39"/>
    <w:unhideWhenUsed/>
    <w:rsid w:val="00A35B08"/>
    <w:pPr>
      <w:spacing w:after="100"/>
      <w:ind w:left="660"/>
    </w:pPr>
    <w:rPr>
      <w:rFonts w:asciiTheme="minorHAnsi" w:eastAsiaTheme="minorEastAsia" w:hAnsiTheme="minorHAnsi" w:cstheme="minorBidi"/>
      <w:sz w:val="22"/>
      <w:szCs w:val="22"/>
      <w:lang w:val="en-AU"/>
    </w:rPr>
  </w:style>
  <w:style w:type="paragraph" w:styleId="TOC5">
    <w:name w:val="toc 5"/>
    <w:basedOn w:val="Normal"/>
    <w:next w:val="Normal"/>
    <w:autoRedefine/>
    <w:uiPriority w:val="39"/>
    <w:unhideWhenUsed/>
    <w:rsid w:val="00A35B08"/>
    <w:pPr>
      <w:spacing w:after="100"/>
      <w:ind w:left="880"/>
    </w:pPr>
    <w:rPr>
      <w:rFonts w:asciiTheme="minorHAnsi" w:eastAsiaTheme="minorEastAsia" w:hAnsiTheme="minorHAnsi" w:cstheme="minorBidi"/>
      <w:sz w:val="22"/>
      <w:szCs w:val="22"/>
      <w:lang w:val="en-AU"/>
    </w:rPr>
  </w:style>
  <w:style w:type="paragraph" w:styleId="TOC6">
    <w:name w:val="toc 6"/>
    <w:basedOn w:val="Normal"/>
    <w:next w:val="Normal"/>
    <w:autoRedefine/>
    <w:uiPriority w:val="39"/>
    <w:unhideWhenUsed/>
    <w:rsid w:val="00A35B08"/>
    <w:pPr>
      <w:spacing w:after="100"/>
      <w:ind w:left="1100"/>
    </w:pPr>
    <w:rPr>
      <w:rFonts w:asciiTheme="minorHAnsi" w:eastAsiaTheme="minorEastAsia" w:hAnsiTheme="minorHAnsi" w:cstheme="minorBidi"/>
      <w:sz w:val="22"/>
      <w:szCs w:val="22"/>
      <w:lang w:val="en-AU"/>
    </w:rPr>
  </w:style>
  <w:style w:type="paragraph" w:styleId="TOC7">
    <w:name w:val="toc 7"/>
    <w:basedOn w:val="Normal"/>
    <w:next w:val="Normal"/>
    <w:autoRedefine/>
    <w:uiPriority w:val="39"/>
    <w:unhideWhenUsed/>
    <w:rsid w:val="00A35B08"/>
    <w:pPr>
      <w:spacing w:after="100"/>
      <w:ind w:left="1320"/>
    </w:pPr>
    <w:rPr>
      <w:rFonts w:asciiTheme="minorHAnsi" w:eastAsiaTheme="minorEastAsia" w:hAnsiTheme="minorHAnsi" w:cstheme="minorBidi"/>
      <w:sz w:val="22"/>
      <w:szCs w:val="22"/>
      <w:lang w:val="en-AU"/>
    </w:rPr>
  </w:style>
  <w:style w:type="paragraph" w:styleId="TOC8">
    <w:name w:val="toc 8"/>
    <w:basedOn w:val="Normal"/>
    <w:next w:val="Normal"/>
    <w:autoRedefine/>
    <w:uiPriority w:val="39"/>
    <w:unhideWhenUsed/>
    <w:rsid w:val="00A35B08"/>
    <w:pPr>
      <w:spacing w:after="100"/>
      <w:ind w:left="1540"/>
    </w:pPr>
    <w:rPr>
      <w:rFonts w:asciiTheme="minorHAnsi" w:eastAsiaTheme="minorEastAsia" w:hAnsiTheme="minorHAnsi" w:cstheme="minorBidi"/>
      <w:sz w:val="22"/>
      <w:szCs w:val="22"/>
      <w:lang w:val="en-AU"/>
    </w:rPr>
  </w:style>
  <w:style w:type="paragraph" w:styleId="TOC9">
    <w:name w:val="toc 9"/>
    <w:basedOn w:val="Normal"/>
    <w:next w:val="Normal"/>
    <w:autoRedefine/>
    <w:uiPriority w:val="39"/>
    <w:unhideWhenUsed/>
    <w:rsid w:val="00A35B08"/>
    <w:pPr>
      <w:spacing w:after="100"/>
      <w:ind w:left="1760"/>
    </w:pPr>
    <w:rPr>
      <w:rFonts w:asciiTheme="minorHAnsi" w:eastAsiaTheme="minorEastAsia" w:hAnsiTheme="minorHAnsi" w:cstheme="minorBidi"/>
      <w:sz w:val="22"/>
      <w:szCs w:val="22"/>
      <w:lang w:val="en-AU"/>
    </w:rPr>
  </w:style>
  <w:style w:type="character" w:customStyle="1" w:styleId="Headinglevel4Char">
    <w:name w:val="Heading level 4 Char"/>
    <w:basedOn w:val="Head3xxxChar"/>
    <w:link w:val="Headinglevel4"/>
    <w:rsid w:val="009B3448"/>
    <w:rPr>
      <w:rFonts w:ascii="Arial" w:hAnsi="Arial" w:cs="Arial"/>
      <w:b/>
      <w:bCs/>
      <w:sz w:val="26"/>
      <w:szCs w:val="26"/>
      <w:lang w:val="en-GB"/>
    </w:rPr>
  </w:style>
  <w:style w:type="paragraph" w:customStyle="1" w:styleId="bulletlist0">
    <w:name w:val="bullet list"/>
    <w:basedOn w:val="Normal"/>
    <w:rsid w:val="00A35B08"/>
    <w:pPr>
      <w:ind w:left="284" w:hanging="284"/>
    </w:pPr>
  </w:style>
  <w:style w:type="paragraph" w:customStyle="1" w:styleId="Figuretitleapp">
    <w:name w:val="Figure title app"/>
    <w:basedOn w:val="Figuretitle"/>
    <w:rsid w:val="00A35B08"/>
  </w:style>
  <w:style w:type="paragraph" w:customStyle="1" w:styleId="Head2app">
    <w:name w:val="Head 2 app"/>
    <w:basedOn w:val="Head2xx"/>
    <w:rsid w:val="00A35B08"/>
    <w:pPr>
      <w:ind w:left="1134" w:hanging="1134"/>
    </w:pPr>
  </w:style>
  <w:style w:type="paragraph" w:customStyle="1" w:styleId="Head3app">
    <w:name w:val="Head 3 app"/>
    <w:basedOn w:val="Head3xxx"/>
    <w:rsid w:val="00A35B08"/>
    <w:pPr>
      <w:ind w:left="1146" w:hanging="1146"/>
    </w:pPr>
  </w:style>
  <w:style w:type="paragraph" w:customStyle="1" w:styleId="figurenote">
    <w:name w:val="figure note"/>
    <w:basedOn w:val="Para0"/>
    <w:rsid w:val="000F59CF"/>
    <w:pPr>
      <w:tabs>
        <w:tab w:val="left" w:pos="142"/>
      </w:tabs>
      <w:spacing w:line="240" w:lineRule="auto"/>
    </w:pPr>
    <w:rPr>
      <w:i/>
      <w:sz w:val="18"/>
      <w:szCs w:val="18"/>
    </w:rPr>
  </w:style>
  <w:style w:type="paragraph" w:customStyle="1" w:styleId="CAF">
    <w:name w:val="CAF"/>
    <w:basedOn w:val="Normal"/>
    <w:qFormat/>
    <w:rsid w:val="00D4090D"/>
    <w:pPr>
      <w:spacing w:after="0" w:line="360" w:lineRule="auto"/>
    </w:pPr>
    <w:rPr>
      <w:rFonts w:ascii="Times New Roman" w:eastAsia="Times" w:hAnsi="Times New Roman" w:cs="Cambria"/>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300453">
      <w:bodyDiv w:val="1"/>
      <w:marLeft w:val="0"/>
      <w:marRight w:val="0"/>
      <w:marTop w:val="0"/>
      <w:marBottom w:val="0"/>
      <w:divBdr>
        <w:top w:val="none" w:sz="0" w:space="0" w:color="auto"/>
        <w:left w:val="none" w:sz="0" w:space="0" w:color="auto"/>
        <w:bottom w:val="none" w:sz="0" w:space="0" w:color="auto"/>
        <w:right w:val="none" w:sz="0" w:space="0" w:color="auto"/>
      </w:divBdr>
    </w:div>
    <w:div w:id="352876018">
      <w:bodyDiv w:val="1"/>
      <w:marLeft w:val="0"/>
      <w:marRight w:val="0"/>
      <w:marTop w:val="0"/>
      <w:marBottom w:val="0"/>
      <w:divBdr>
        <w:top w:val="none" w:sz="0" w:space="0" w:color="auto"/>
        <w:left w:val="none" w:sz="0" w:space="0" w:color="auto"/>
        <w:bottom w:val="none" w:sz="0" w:space="0" w:color="auto"/>
        <w:right w:val="none" w:sz="0" w:space="0" w:color="auto"/>
      </w:divBdr>
    </w:div>
    <w:div w:id="414284585">
      <w:bodyDiv w:val="1"/>
      <w:marLeft w:val="0"/>
      <w:marRight w:val="0"/>
      <w:marTop w:val="0"/>
      <w:marBottom w:val="0"/>
      <w:divBdr>
        <w:top w:val="none" w:sz="0" w:space="0" w:color="auto"/>
        <w:left w:val="none" w:sz="0" w:space="0" w:color="auto"/>
        <w:bottom w:val="none" w:sz="0" w:space="0" w:color="auto"/>
        <w:right w:val="none" w:sz="0" w:space="0" w:color="auto"/>
      </w:divBdr>
      <w:divsChild>
        <w:div w:id="399904906">
          <w:marLeft w:val="590"/>
          <w:marRight w:val="0"/>
          <w:marTop w:val="115"/>
          <w:marBottom w:val="0"/>
          <w:divBdr>
            <w:top w:val="none" w:sz="0" w:space="0" w:color="auto"/>
            <w:left w:val="none" w:sz="0" w:space="0" w:color="auto"/>
            <w:bottom w:val="none" w:sz="0" w:space="0" w:color="auto"/>
            <w:right w:val="none" w:sz="0" w:space="0" w:color="auto"/>
          </w:divBdr>
        </w:div>
      </w:divsChild>
    </w:div>
    <w:div w:id="610287539">
      <w:bodyDiv w:val="1"/>
      <w:marLeft w:val="0"/>
      <w:marRight w:val="0"/>
      <w:marTop w:val="0"/>
      <w:marBottom w:val="0"/>
      <w:divBdr>
        <w:top w:val="none" w:sz="0" w:space="0" w:color="auto"/>
        <w:left w:val="none" w:sz="0" w:space="0" w:color="auto"/>
        <w:bottom w:val="none" w:sz="0" w:space="0" w:color="auto"/>
        <w:right w:val="none" w:sz="0" w:space="0" w:color="auto"/>
      </w:divBdr>
    </w:div>
    <w:div w:id="772896332">
      <w:bodyDiv w:val="1"/>
      <w:marLeft w:val="0"/>
      <w:marRight w:val="0"/>
      <w:marTop w:val="0"/>
      <w:marBottom w:val="0"/>
      <w:divBdr>
        <w:top w:val="none" w:sz="0" w:space="0" w:color="auto"/>
        <w:left w:val="none" w:sz="0" w:space="0" w:color="auto"/>
        <w:bottom w:val="none" w:sz="0" w:space="0" w:color="auto"/>
        <w:right w:val="none" w:sz="0" w:space="0" w:color="auto"/>
      </w:divBdr>
    </w:div>
    <w:div w:id="1073041069">
      <w:bodyDiv w:val="1"/>
      <w:marLeft w:val="0"/>
      <w:marRight w:val="0"/>
      <w:marTop w:val="0"/>
      <w:marBottom w:val="0"/>
      <w:divBdr>
        <w:top w:val="none" w:sz="0" w:space="0" w:color="auto"/>
        <w:left w:val="none" w:sz="0" w:space="0" w:color="auto"/>
        <w:bottom w:val="none" w:sz="0" w:space="0" w:color="auto"/>
        <w:right w:val="none" w:sz="0" w:space="0" w:color="auto"/>
      </w:divBdr>
    </w:div>
    <w:div w:id="1185483226">
      <w:bodyDiv w:val="1"/>
      <w:marLeft w:val="0"/>
      <w:marRight w:val="0"/>
      <w:marTop w:val="0"/>
      <w:marBottom w:val="0"/>
      <w:divBdr>
        <w:top w:val="none" w:sz="0" w:space="0" w:color="auto"/>
        <w:left w:val="none" w:sz="0" w:space="0" w:color="auto"/>
        <w:bottom w:val="none" w:sz="0" w:space="0" w:color="auto"/>
        <w:right w:val="none" w:sz="0" w:space="0" w:color="auto"/>
      </w:divBdr>
    </w:div>
    <w:div w:id="1308559426">
      <w:bodyDiv w:val="1"/>
      <w:marLeft w:val="0"/>
      <w:marRight w:val="0"/>
      <w:marTop w:val="0"/>
      <w:marBottom w:val="0"/>
      <w:divBdr>
        <w:top w:val="none" w:sz="0" w:space="0" w:color="auto"/>
        <w:left w:val="none" w:sz="0" w:space="0" w:color="auto"/>
        <w:bottom w:val="none" w:sz="0" w:space="0" w:color="auto"/>
        <w:right w:val="none" w:sz="0" w:space="0" w:color="auto"/>
      </w:divBdr>
    </w:div>
    <w:div w:id="1511215159">
      <w:bodyDiv w:val="1"/>
      <w:marLeft w:val="0"/>
      <w:marRight w:val="0"/>
      <w:marTop w:val="0"/>
      <w:marBottom w:val="0"/>
      <w:divBdr>
        <w:top w:val="none" w:sz="0" w:space="0" w:color="auto"/>
        <w:left w:val="none" w:sz="0" w:space="0" w:color="auto"/>
        <w:bottom w:val="none" w:sz="0" w:space="0" w:color="auto"/>
        <w:right w:val="none" w:sz="0" w:space="0" w:color="auto"/>
      </w:divBdr>
      <w:divsChild>
        <w:div w:id="326594697">
          <w:marLeft w:val="0"/>
          <w:marRight w:val="0"/>
          <w:marTop w:val="0"/>
          <w:marBottom w:val="0"/>
          <w:divBdr>
            <w:top w:val="none" w:sz="0" w:space="0" w:color="auto"/>
            <w:left w:val="none" w:sz="0" w:space="0" w:color="auto"/>
            <w:bottom w:val="none" w:sz="0" w:space="0" w:color="auto"/>
            <w:right w:val="none" w:sz="0" w:space="0" w:color="auto"/>
          </w:divBdr>
          <w:divsChild>
            <w:div w:id="32461480">
              <w:marLeft w:val="0"/>
              <w:marRight w:val="0"/>
              <w:marTop w:val="0"/>
              <w:marBottom w:val="0"/>
              <w:divBdr>
                <w:top w:val="none" w:sz="0" w:space="0" w:color="auto"/>
                <w:left w:val="none" w:sz="0" w:space="0" w:color="auto"/>
                <w:bottom w:val="none" w:sz="0" w:space="0" w:color="auto"/>
                <w:right w:val="none" w:sz="0" w:space="0" w:color="auto"/>
              </w:divBdr>
              <w:divsChild>
                <w:div w:id="74595906">
                  <w:marLeft w:val="0"/>
                  <w:marRight w:val="0"/>
                  <w:marTop w:val="0"/>
                  <w:marBottom w:val="0"/>
                  <w:divBdr>
                    <w:top w:val="none" w:sz="0" w:space="0" w:color="auto"/>
                    <w:left w:val="none" w:sz="0" w:space="0" w:color="auto"/>
                    <w:bottom w:val="none" w:sz="0" w:space="0" w:color="auto"/>
                    <w:right w:val="none" w:sz="0" w:space="0" w:color="auto"/>
                  </w:divBdr>
                  <w:divsChild>
                    <w:div w:id="489253772">
                      <w:marLeft w:val="0"/>
                      <w:marRight w:val="0"/>
                      <w:marTop w:val="0"/>
                      <w:marBottom w:val="450"/>
                      <w:divBdr>
                        <w:top w:val="none" w:sz="0" w:space="0" w:color="auto"/>
                        <w:left w:val="none" w:sz="0" w:space="0" w:color="auto"/>
                        <w:bottom w:val="none" w:sz="0" w:space="0" w:color="auto"/>
                        <w:right w:val="none" w:sz="0" w:space="0" w:color="auto"/>
                      </w:divBdr>
                      <w:divsChild>
                        <w:div w:id="2118206753">
                          <w:marLeft w:val="1"/>
                          <w:marRight w:val="1"/>
                          <w:marTop w:val="0"/>
                          <w:marBottom w:val="0"/>
                          <w:divBdr>
                            <w:top w:val="none" w:sz="0" w:space="0" w:color="auto"/>
                            <w:left w:val="none" w:sz="0" w:space="0" w:color="auto"/>
                            <w:bottom w:val="none" w:sz="0" w:space="0" w:color="auto"/>
                            <w:right w:val="none" w:sz="0" w:space="0" w:color="auto"/>
                          </w:divBdr>
                          <w:divsChild>
                            <w:div w:id="1472016100">
                              <w:marLeft w:val="0"/>
                              <w:marRight w:val="0"/>
                              <w:marTop w:val="0"/>
                              <w:marBottom w:val="0"/>
                              <w:divBdr>
                                <w:top w:val="none" w:sz="0" w:space="0" w:color="auto"/>
                                <w:left w:val="none" w:sz="0" w:space="0" w:color="auto"/>
                                <w:bottom w:val="none" w:sz="0" w:space="0" w:color="auto"/>
                                <w:right w:val="none" w:sz="0" w:space="0" w:color="auto"/>
                              </w:divBdr>
                              <w:divsChild>
                                <w:div w:id="143381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1390564">
      <w:bodyDiv w:val="1"/>
      <w:marLeft w:val="0"/>
      <w:marRight w:val="0"/>
      <w:marTop w:val="0"/>
      <w:marBottom w:val="0"/>
      <w:divBdr>
        <w:top w:val="none" w:sz="0" w:space="0" w:color="auto"/>
        <w:left w:val="none" w:sz="0" w:space="0" w:color="auto"/>
        <w:bottom w:val="none" w:sz="0" w:space="0" w:color="auto"/>
        <w:right w:val="none" w:sz="0" w:space="0" w:color="auto"/>
      </w:divBdr>
    </w:div>
    <w:div w:id="2001812031">
      <w:bodyDiv w:val="1"/>
      <w:marLeft w:val="0"/>
      <w:marRight w:val="0"/>
      <w:marTop w:val="0"/>
      <w:marBottom w:val="0"/>
      <w:divBdr>
        <w:top w:val="none" w:sz="0" w:space="0" w:color="auto"/>
        <w:left w:val="none" w:sz="0" w:space="0" w:color="auto"/>
        <w:bottom w:val="none" w:sz="0" w:space="0" w:color="auto"/>
        <w:right w:val="none" w:sz="0" w:space="0" w:color="auto"/>
      </w:divBdr>
    </w:div>
    <w:div w:id="2030787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chiefscientist.nsw.gov.au/__data/assets/pdf_file/0010/31321/Life-Cycle-of-Coal-Seam-Gas-Report_FINAL_PJC.pdf" TargetMode="External"/><Relationship Id="rId21" Type="http://schemas.openxmlformats.org/officeDocument/2006/relationships/footer" Target="footer6.xml"/><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header" Target="header5.xml"/><Relationship Id="rId138" Type="http://schemas.openxmlformats.org/officeDocument/2006/relationships/hyperlink" Target="https://www.gov.uk/government/uploads/system/uploads/attachment_data/file/296949/LIT_8474_fbb1d4.pdf" TargetMode="External"/><Relationship Id="rId159" Type="http://schemas.openxmlformats.org/officeDocument/2006/relationships/hyperlink" Target="http://www.dec.ny.gov/data/dmn/rdsgeisfull0911.pdf" TargetMode="External"/><Relationship Id="rId170" Type="http://schemas.openxmlformats.org/officeDocument/2006/relationships/hyperlink" Target="http://www.resourcesandenergy.nsw.gov.au/__data/assets/pdf_file/0017/516113/nsw_aquifer_interference_policy.pdf" TargetMode="External"/><Relationship Id="rId191" Type="http://schemas.openxmlformats.org/officeDocument/2006/relationships/hyperlink" Target="http://www.planning.nsw.gov.au/planningsystem/pdf/southerncoalfieldinquiry_sca_monitoring.pdf" TargetMode="External"/><Relationship Id="rId205" Type="http://schemas.openxmlformats.org/officeDocument/2006/relationships/header" Target="header11.xml"/><Relationship Id="rId226" Type="http://schemas.openxmlformats.org/officeDocument/2006/relationships/header" Target="header12.xml"/><Relationship Id="rId247" Type="http://schemas.openxmlformats.org/officeDocument/2006/relationships/header" Target="header16.xml"/><Relationship Id="rId107" Type="http://schemas.openxmlformats.org/officeDocument/2006/relationships/hyperlink" Target="http://www.newstandard.com.au/wp-content/uploads/2011/11/APPEA_Code_of_Practice.pdf" TargetMode="External"/><Relationship Id="rId268" Type="http://schemas.openxmlformats.org/officeDocument/2006/relationships/image" Target="media/image109.png"/><Relationship Id="rId289" Type="http://schemas.openxmlformats.org/officeDocument/2006/relationships/footer" Target="footer12.xml"/><Relationship Id="rId11" Type="http://schemas.openxmlformats.org/officeDocument/2006/relationships/footer" Target="footer2.xml"/><Relationship Id="rId32" Type="http://schemas.openxmlformats.org/officeDocument/2006/relationships/image" Target="media/image15.png"/><Relationship Id="rId53" Type="http://schemas.openxmlformats.org/officeDocument/2006/relationships/image" Target="media/image35.png"/><Relationship Id="rId74" Type="http://schemas.openxmlformats.org/officeDocument/2006/relationships/hyperlink" Target="http://www.acola.org.au" TargetMode="External"/><Relationship Id="rId128" Type="http://schemas.openxmlformats.org/officeDocument/2006/relationships/hyperlink" Target="https://sarigbasis.pir.sa.gov.au/WebtopEw/ws/samref/sarig1/image/DDD/PGRG004.pdf" TargetMode="External"/><Relationship Id="rId149" Type="http://schemas.openxmlformats.org/officeDocument/2006/relationships/hyperlink" Target="http://onlinelibrary.wiley.com/doi/10.1111/gwat.12074/abstract?deniedAccessCustomisedMessage=&amp;userIsAuthenticated=false" TargetMode="External"/><Relationship Id="rId5" Type="http://schemas.openxmlformats.org/officeDocument/2006/relationships/webSettings" Target="webSettings.xml"/><Relationship Id="rId95" Type="http://schemas.openxmlformats.org/officeDocument/2006/relationships/image" Target="media/image61.png"/><Relationship Id="rId160" Type="http://schemas.openxmlformats.org/officeDocument/2006/relationships/hyperlink" Target="http://environment.gov.ab.ca/info/library/8181.pdf" TargetMode="External"/><Relationship Id="rId181" Type="http://schemas.openxmlformats.org/officeDocument/2006/relationships/hyperlink" Target="http://www.academia.edu/6887415/Unconventional_Gas_coal_seam_gas_shale_gas_and_tight_gas" TargetMode="External"/><Relationship Id="rId216" Type="http://schemas.openxmlformats.org/officeDocument/2006/relationships/image" Target="media/image69.png"/><Relationship Id="rId237" Type="http://schemas.openxmlformats.org/officeDocument/2006/relationships/image" Target="media/image86.jpeg"/><Relationship Id="rId258" Type="http://schemas.openxmlformats.org/officeDocument/2006/relationships/image" Target="media/image99.png"/><Relationship Id="rId279" Type="http://schemas.openxmlformats.org/officeDocument/2006/relationships/image" Target="media/image120.png"/><Relationship Id="rId22" Type="http://schemas.openxmlformats.org/officeDocument/2006/relationships/footer" Target="footer7.xml"/><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hyperlink" Target="https://www.ehp.qld.gov.au/management/impact-assessment/pdf/partnership-agreement.pdf" TargetMode="External"/><Relationship Id="rId139" Type="http://schemas.openxmlformats.org/officeDocument/2006/relationships/hyperlink" Target="http://www2.epa.gov/sites/production/files/documents/hf-report20121214.pdf" TargetMode="External"/><Relationship Id="rId290" Type="http://schemas.openxmlformats.org/officeDocument/2006/relationships/fontTable" Target="fontTable.xml"/><Relationship Id="rId85" Type="http://schemas.openxmlformats.org/officeDocument/2006/relationships/header" Target="header6.xml"/><Relationship Id="rId150" Type="http://schemas.openxmlformats.org/officeDocument/2006/relationships/hyperlink" Target="http://books.google.com.au/books?id=-gdO-NF1bb0C&amp;pg=PA13&amp;lpg=PA13&amp;dq=risk+assessment+receptors&amp;source=bl&amp;ots=aUpZ8IWfVs&amp;sig=UmB8O19JbhOWKiYJMQqYIVyIpzs&amp;hl=en&amp;sa=X&amp;ei=u3JIVMSbNsS5mwXAgoLwAw&amp;ved=0CE0Q6AEwCA" TargetMode="External"/><Relationship Id="rId171" Type="http://schemas.openxmlformats.org/officeDocument/2006/relationships/hyperlink" Target="file:///C:/Users/AHerford/Downloads/gde_risk_assessment_guidelines_volume_1_final_accessible%20(4).pdf" TargetMode="External"/><Relationship Id="rId192" Type="http://schemas.openxmlformats.org/officeDocument/2006/relationships/hyperlink" Target="http://yosemite.epa.gov/sab/sabproduct.nsf/0/D3483AB445AE61418525775900603E79/$File/Draft+Plan+to+Study+the+Potential+Impacts+of+Hydraulic+Fracturing+on+Drinking+Water+Resources-February+2011.pdf" TargetMode="External"/><Relationship Id="rId206" Type="http://schemas.openxmlformats.org/officeDocument/2006/relationships/image" Target="media/image64.png"/><Relationship Id="rId227" Type="http://schemas.openxmlformats.org/officeDocument/2006/relationships/header" Target="header13.xml"/><Relationship Id="rId248" Type="http://schemas.openxmlformats.org/officeDocument/2006/relationships/header" Target="header17.xml"/><Relationship Id="rId269" Type="http://schemas.openxmlformats.org/officeDocument/2006/relationships/image" Target="media/image110.png"/><Relationship Id="rId12" Type="http://schemas.openxmlformats.org/officeDocument/2006/relationships/header" Target="header3.xml"/><Relationship Id="rId33" Type="http://schemas.openxmlformats.org/officeDocument/2006/relationships/image" Target="media/image16.png"/><Relationship Id="rId108" Type="http://schemas.openxmlformats.org/officeDocument/2006/relationships/hyperlink" Target="http://www.resourcesandenergy.nsw.gov.au/landholders-and-community/coal-seam-gas/water-data-project" TargetMode="External"/><Relationship Id="rId129" Type="http://schemas.openxmlformats.org/officeDocument/2006/relationships/hyperlink" Target="http://www.pir.sa.gov.au/__data/assets/pdf_file/0019/218350/Excellence_in_O_and_G_Alexander_Mar2014.pdf" TargetMode="External"/><Relationship Id="rId280" Type="http://schemas.openxmlformats.org/officeDocument/2006/relationships/image" Target="media/image121.png"/><Relationship Id="rId54" Type="http://schemas.openxmlformats.org/officeDocument/2006/relationships/image" Target="media/image36.png"/><Relationship Id="rId75" Type="http://schemas.openxmlformats.org/officeDocument/2006/relationships/hyperlink" Target="http://www.depi.vic.gov.au/__data/assets/pdf_file/0005/188942/Improving-management-of-Victorias-groundwater-resoruces.pdf" TargetMode="External"/><Relationship Id="rId96" Type="http://schemas.openxmlformats.org/officeDocument/2006/relationships/image" Target="media/image62.png"/><Relationship Id="rId140" Type="http://schemas.openxmlformats.org/officeDocument/2006/relationships/hyperlink" Target="http://dialog-erdgasundfrac.de/sites/dialog-erdgasundfrac.de/files/Ex_HydrofrackingRiskAssessment_120611.pdf" TargetMode="External"/><Relationship Id="rId161" Type="http://schemas.openxmlformats.org/officeDocument/2006/relationships/hyperlink" Target="http://www.nopsema.gov.au/assets/Guidance-notes/N-04300-GN0107-Hazard-Identification.pdf" TargetMode="External"/><Relationship Id="rId182" Type="http://schemas.openxmlformats.org/officeDocument/2006/relationships/hyperlink" Target="http://onlinelibrary.wiley.com/doi/10.1111/j.1745-6584.2012.00990.x/abstract?deniedAccessCustomisedMessage=&amp;userIsAuthenticated=false" TargetMode="External"/><Relationship Id="rId217" Type="http://schemas.openxmlformats.org/officeDocument/2006/relationships/image" Target="media/image70.png"/><Relationship Id="rId6" Type="http://schemas.openxmlformats.org/officeDocument/2006/relationships/footnotes" Target="footnotes.xml"/><Relationship Id="rId238" Type="http://schemas.openxmlformats.org/officeDocument/2006/relationships/image" Target="media/image87.jpg"/><Relationship Id="rId259" Type="http://schemas.openxmlformats.org/officeDocument/2006/relationships/image" Target="media/image100.png"/><Relationship Id="rId23" Type="http://schemas.openxmlformats.org/officeDocument/2006/relationships/image" Target="media/image6.png"/><Relationship Id="rId119" Type="http://schemas.openxmlformats.org/officeDocument/2006/relationships/hyperlink" Target="https://www.gov.uk/government/uploads/system/uploads/attachment_data/file/277211/Water.pdf" TargetMode="External"/><Relationship Id="rId270" Type="http://schemas.openxmlformats.org/officeDocument/2006/relationships/image" Target="media/image111.emf"/><Relationship Id="rId291" Type="http://schemas.openxmlformats.org/officeDocument/2006/relationships/theme" Target="theme/theme1.xml"/><Relationship Id="rId44" Type="http://schemas.openxmlformats.org/officeDocument/2006/relationships/image" Target="media/image27.png"/><Relationship Id="rId65" Type="http://schemas.openxmlformats.org/officeDocument/2006/relationships/image" Target="media/image47.png"/><Relationship Id="rId86" Type="http://schemas.openxmlformats.org/officeDocument/2006/relationships/footer" Target="footer8.xml"/><Relationship Id="rId130" Type="http://schemas.openxmlformats.org/officeDocument/2006/relationships/hyperlink" Target="http://www.dnrm.qld.gov.au/__data/assets/pdf_file/0007/171646/report-csg-engagement-compliance-plan.pdf" TargetMode="External"/><Relationship Id="rId151" Type="http://schemas.openxmlformats.org/officeDocument/2006/relationships/hyperlink" Target="http://www.mde.state.md.us/programs/Land/mining/marcellus/Pages/Risk_Assessment.aspx" TargetMode="External"/><Relationship Id="rId172" Type="http://schemas.openxmlformats.org/officeDocument/2006/relationships/hyperlink" Target="http://www.resourcesandenergy.nsw.gov.au/landholders-and-community/coal-seam-gas/water-data-project" TargetMode="External"/><Relationship Id="rId193" Type="http://schemas.openxmlformats.org/officeDocument/2006/relationships/hyperlink" Target="http://www.water.wa.gov.au/PublicationStore/first/83807.pdf" TargetMode="External"/><Relationship Id="rId207" Type="http://schemas.openxmlformats.org/officeDocument/2006/relationships/image" Target="media/image65.png"/><Relationship Id="rId228" Type="http://schemas.openxmlformats.org/officeDocument/2006/relationships/image" Target="media/image79.png"/><Relationship Id="rId249" Type="http://schemas.openxmlformats.org/officeDocument/2006/relationships/footer" Target="footer9.xml"/><Relationship Id="rId13" Type="http://schemas.openxmlformats.org/officeDocument/2006/relationships/footer" Target="footer3.xml"/><Relationship Id="rId109" Type="http://schemas.openxmlformats.org/officeDocument/2006/relationships/hyperlink" Target="http://www.bcogc.ca/node/5854/download?documentID=874&amp;type=.pdf" TargetMode="External"/><Relationship Id="rId260" Type="http://schemas.openxmlformats.org/officeDocument/2006/relationships/image" Target="media/image101.png"/><Relationship Id="rId281" Type="http://schemas.openxmlformats.org/officeDocument/2006/relationships/image" Target="media/image122.png"/><Relationship Id="rId34" Type="http://schemas.openxmlformats.org/officeDocument/2006/relationships/image" Target="media/image17.png"/><Relationship Id="rId50" Type="http://schemas.openxmlformats.org/officeDocument/2006/relationships/oleObject" Target="embeddings/oleObject1.bin"/><Relationship Id="rId55" Type="http://schemas.openxmlformats.org/officeDocument/2006/relationships/image" Target="media/image37.png"/><Relationship Id="rId76" Type="http://schemas.openxmlformats.org/officeDocument/2006/relationships/hyperlink" Target="http://www.resources.nsw.gov.au" TargetMode="External"/><Relationship Id="rId97" Type="http://schemas.openxmlformats.org/officeDocument/2006/relationships/hyperlink" Target="http://www.accenture.com/SiteCollectionDocuments/PDF/Accenture-Water-And-Shale-Gas-Development.pdf" TargetMode="External"/><Relationship Id="rId104" Type="http://schemas.openxmlformats.org/officeDocument/2006/relationships/hyperlink" Target="http://www.aph.gov.au/binaries/library/pubs/rp/2007-08/08rp25.pdf" TargetMode="External"/><Relationship Id="rId120" Type="http://schemas.openxmlformats.org/officeDocument/2006/relationships/hyperlink" Target="https://www.ehp.qld.gov.au/management/non-mining/groundwater.html" TargetMode="External"/><Relationship Id="rId125" Type="http://schemas.openxmlformats.org/officeDocument/2006/relationships/hyperlink" Target="http://www.depi.vic.gov.au/water/governing-water-resources/environmental-contributions/groundwater-monitoring-of-the-state-observation-bore-network" TargetMode="External"/><Relationship Id="rId141" Type="http://schemas.openxmlformats.org/officeDocument/2006/relationships/hyperlink" Target="http://www.ga.gov.au/webtemp/image_cache/GA21116.pdf" TargetMode="External"/><Relationship Id="rId146" Type="http://schemas.openxmlformats.org/officeDocument/2006/relationships/hyperlink" Target="http://www.law.uq.edu.au/documents/cimel/Regulatory-Best-Practice-for-Coal-Seam-Gas-in-Queensland-Briefing-Paper.pdf" TargetMode="External"/><Relationship Id="rId167" Type="http://schemas.openxmlformats.org/officeDocument/2006/relationships/hyperlink" Target="http://www.resourcesandenergy.nsw.gov.au/__data/assets/pdf_file/0005/534830/NSW-Gas-Plan.pdf" TargetMode="External"/><Relationship Id="rId188" Type="http://schemas.openxmlformats.org/officeDocument/2006/relationships/hyperlink" Target="http://www.ciwem.org/media/1023226/Shale%20Gas%20and%20Water%20WEB.pdf" TargetMode="Externa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58.png"/><Relationship Id="rId162" Type="http://schemas.openxmlformats.org/officeDocument/2006/relationships/hyperlink" Target="http://www.chiefscientist.nsw.gov.au/__data/assets/pdf_file/0007/47086/140630-FINAL-Monitoring-Report.pdf" TargetMode="External"/><Relationship Id="rId183" Type="http://schemas.openxmlformats.org/officeDocument/2006/relationships/hyperlink" Target="http://archive.nwc.gov.au/__data/assets/pdf_file/0020/22907/Impacts-of-groundwater-extraction-on-streamflow-in-selected-catchments-throughout-Australia.pdf" TargetMode="External"/><Relationship Id="rId213" Type="http://schemas.openxmlformats.org/officeDocument/2006/relationships/diagramQuickStyle" Target="diagrams/quickStyle1.xml"/><Relationship Id="rId218" Type="http://schemas.openxmlformats.org/officeDocument/2006/relationships/image" Target="media/image71.png"/><Relationship Id="rId234" Type="http://schemas.openxmlformats.org/officeDocument/2006/relationships/image" Target="media/image83.jpeg"/><Relationship Id="rId239" Type="http://schemas.openxmlformats.org/officeDocument/2006/relationships/image" Target="media/image88.emf"/><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footer" Target="footer10.xml"/><Relationship Id="rId255" Type="http://schemas.openxmlformats.org/officeDocument/2006/relationships/image" Target="media/image96.png"/><Relationship Id="rId271" Type="http://schemas.openxmlformats.org/officeDocument/2006/relationships/image" Target="media/image112.emf"/><Relationship Id="rId276" Type="http://schemas.openxmlformats.org/officeDocument/2006/relationships/image" Target="media/image117.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jpg"/><Relationship Id="rId87" Type="http://schemas.openxmlformats.org/officeDocument/2006/relationships/image" Target="media/image53.png"/><Relationship Id="rId110" Type="http://schemas.openxmlformats.org/officeDocument/2006/relationships/hyperlink" Target="http://www.bom.gov.au/water/groundwater/gde/" TargetMode="External"/><Relationship Id="rId115" Type="http://schemas.openxmlformats.org/officeDocument/2006/relationships/hyperlink" Target="http://cteco.uconn.edu/guides/resource/CT_ECO_Resource_Guide_Water_Quality_Classifications.pdf" TargetMode="External"/><Relationship Id="rId131" Type="http://schemas.openxmlformats.org/officeDocument/2006/relationships/hyperlink" Target="http://specialplaces.namoi.xceed.com.au/client/multimedia/stage_3_report_final_v2_1__dec12.pdf" TargetMode="External"/><Relationship Id="rId136" Type="http://schemas.openxmlformats.org/officeDocument/2006/relationships/hyperlink" Target="http://www.petroleum.pir.sa.gov.au/__data/assets/pdf_file/0006/170889/Combined_doc_19_April.pdf" TargetMode="External"/><Relationship Id="rId157" Type="http://schemas.openxmlformats.org/officeDocument/2006/relationships/hyperlink" Target="https://www.nrcan.gc.ca/sites/www.nrcan.gc.ca/files/www/pdf/publications/emmc/Shale_Resources_e.pdf" TargetMode="External"/><Relationship Id="rId178" Type="http://schemas.openxmlformats.org/officeDocument/2006/relationships/hyperlink" Target="http://nywea.org/clearwaters/10-4-winter/8.pdf" TargetMode="External"/><Relationship Id="rId61" Type="http://schemas.openxmlformats.org/officeDocument/2006/relationships/image" Target="media/image43.png"/><Relationship Id="rId82" Type="http://schemas.openxmlformats.org/officeDocument/2006/relationships/hyperlink" Target="http://www.src.com.au/" TargetMode="External"/><Relationship Id="rId152" Type="http://schemas.openxmlformats.org/officeDocument/2006/relationships/hyperlink" Target="http://www.blm.gov/pgdata/etc/medialib/blm/mt/field_offices/miles_city/og_eis/techdocs.Par.2601" TargetMode="External"/><Relationship Id="rId173" Type="http://schemas.openxmlformats.org/officeDocument/2006/relationships/hyperlink" Target="http://www.resourcesandenergy.nsw.gov.au/__data/assets/pdf_file/0007/526633/Water-Monitoring-Framework-factsheet.pdf" TargetMode="External"/><Relationship Id="rId194" Type="http://schemas.openxmlformats.org/officeDocument/2006/relationships/hyperlink" Target="http://www.epa.vic.gov.au/~/media/Publications/S160.pdf" TargetMode="External"/><Relationship Id="rId199" Type="http://schemas.openxmlformats.org/officeDocument/2006/relationships/hyperlink" Target="http://www.dnrm.qld.gov.au/__data/assets/pdf_file/0011/106022/activity-1-2-poster.pdf" TargetMode="External"/><Relationship Id="rId203" Type="http://schemas.openxmlformats.org/officeDocument/2006/relationships/header" Target="header9.xml"/><Relationship Id="rId208" Type="http://schemas.openxmlformats.org/officeDocument/2006/relationships/image" Target="media/image66.png"/><Relationship Id="rId229" Type="http://schemas.openxmlformats.org/officeDocument/2006/relationships/image" Target="media/image80.png"/><Relationship Id="rId19" Type="http://schemas.openxmlformats.org/officeDocument/2006/relationships/image" Target="media/image4.png"/><Relationship Id="rId224" Type="http://schemas.openxmlformats.org/officeDocument/2006/relationships/image" Target="media/image77.emf"/><Relationship Id="rId240" Type="http://schemas.openxmlformats.org/officeDocument/2006/relationships/image" Target="media/image89.emf"/><Relationship Id="rId245" Type="http://schemas.openxmlformats.org/officeDocument/2006/relationships/hyperlink" Target="http://www.bom.gov.au/water/groundwater/gde/" TargetMode="External"/><Relationship Id="rId261" Type="http://schemas.openxmlformats.org/officeDocument/2006/relationships/image" Target="media/image102.png"/><Relationship Id="rId266" Type="http://schemas.openxmlformats.org/officeDocument/2006/relationships/image" Target="media/image107.png"/><Relationship Id="rId287" Type="http://schemas.openxmlformats.org/officeDocument/2006/relationships/hyperlink" Target="http://www.onshoregas.vic.gov.au/" TargetMode="External"/><Relationship Id="rId14" Type="http://schemas.openxmlformats.org/officeDocument/2006/relationships/footer" Target="footer4.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hyperlink" Target="http://www.epa.gov/safewater/ccl/pdf/sodium.pdf%20EPA%20822-R-03-006%20February%202003" TargetMode="External"/><Relationship Id="rId100" Type="http://schemas.openxmlformats.org/officeDocument/2006/relationships/hyperlink" Target="http://esrd.alberta.ca/water/education-guidelines/documents/Oilfield_Injection_Guideline_2006.pdf" TargetMode="External"/><Relationship Id="rId105" Type="http://schemas.openxmlformats.org/officeDocument/2006/relationships/hyperlink" Target="http://www.arrowenergy.com.au/__data/assets/pdf_file/0005/2966/126908_SGP_EIS_Groundwater_Factshet.pdf" TargetMode="External"/><Relationship Id="rId126" Type="http://schemas.openxmlformats.org/officeDocument/2006/relationships/hyperlink" Target="file:///C:/Users/AHerford/Downloads/rp-u301_2013-01.pdf" TargetMode="External"/><Relationship Id="rId147" Type="http://schemas.openxmlformats.org/officeDocument/2006/relationships/hyperlink" Target="http://www.iesc.environment.gov.au/publications/information-guidelines-independent-expert-scientific-committee-advice-coal-seam-gas" TargetMode="External"/><Relationship Id="rId168" Type="http://schemas.openxmlformats.org/officeDocument/2006/relationships/hyperlink" Target="http://www.chiefscientist.nsw.gov.au/__data/assets/pdf_file/0005/56912/140930-CSG-Final-Report.pdf" TargetMode="External"/><Relationship Id="rId282" Type="http://schemas.openxmlformats.org/officeDocument/2006/relationships/image" Target="media/image123.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hyperlink" Target="http://www.capp.ca/UpstreamDialogue/NaturalGas/Pages/default.aspx" TargetMode="External"/><Relationship Id="rId93" Type="http://schemas.openxmlformats.org/officeDocument/2006/relationships/image" Target="media/image59.png"/><Relationship Id="rId98" Type="http://schemas.openxmlformats.org/officeDocument/2006/relationships/hyperlink" Target="http://chesapeakeclimate.org/wp/wp-content/uploads/2014/02/Shale-gas-risk-assessment-for-Maryland_Feb2014.pdf" TargetMode="External"/><Relationship Id="rId121" Type="http://schemas.openxmlformats.org/officeDocument/2006/relationships/hyperlink" Target="http://www.environment.gov.au/system/files/resources/d078caf3-3923-4416-a743-0988ac3f1ee1/files/sig-water-resources.pdf" TargetMode="External"/><Relationship Id="rId142" Type="http://schemas.openxmlformats.org/officeDocument/2006/relationships/hyperlink" Target="http://www.santosglng.com/media/pdf1597/AttachmentD2_Groundwater.pdf" TargetMode="External"/><Relationship Id="rId163" Type="http://schemas.openxmlformats.org/officeDocument/2006/relationships/hyperlink" Target="https://www.nsw.gov.au/sites/default/files/csg-wellintegrity_sd_v01.pdf" TargetMode="External"/><Relationship Id="rId184" Type="http://schemas.openxmlformats.org/officeDocument/2006/relationships/hyperlink" Target="http://ro.uow.edu.au/cgi/viewcontent.cgi?article=1038&amp;context=thsci" TargetMode="External"/><Relationship Id="rId189" Type="http://schemas.openxmlformats.org/officeDocument/2006/relationships/hyperlink" Target="https://www.gov.uk/government/uploads/system/uploads/attachment_data/file/185935/UKOOGShaleGasWellGuidelines.pdf" TargetMode="External"/><Relationship Id="rId219" Type="http://schemas.openxmlformats.org/officeDocument/2006/relationships/image" Target="media/image72.png"/><Relationship Id="rId3" Type="http://schemas.openxmlformats.org/officeDocument/2006/relationships/styles" Target="styles.xml"/><Relationship Id="rId214" Type="http://schemas.openxmlformats.org/officeDocument/2006/relationships/diagramColors" Target="diagrams/colors1.xml"/><Relationship Id="rId230" Type="http://schemas.openxmlformats.org/officeDocument/2006/relationships/image" Target="media/image81.png"/><Relationship Id="rId235" Type="http://schemas.openxmlformats.org/officeDocument/2006/relationships/image" Target="media/image84.jpeg"/><Relationship Id="rId251" Type="http://schemas.openxmlformats.org/officeDocument/2006/relationships/header" Target="header18.xml"/><Relationship Id="rId256" Type="http://schemas.openxmlformats.org/officeDocument/2006/relationships/image" Target="media/image97.png"/><Relationship Id="rId277" Type="http://schemas.openxmlformats.org/officeDocument/2006/relationships/image" Target="media/image118.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9.emf"/><Relationship Id="rId116" Type="http://schemas.openxmlformats.org/officeDocument/2006/relationships/hyperlink" Target="http://lwa.gov.au/files/products/river-landscapes/px020312/px020312.pdf" TargetMode="External"/><Relationship Id="rId137" Type="http://schemas.openxmlformats.org/officeDocument/2006/relationships/hyperlink" Target="https://www.gov.uk/government/uploads/system/uploads/attachment_data/file/298242/geho0410bsip-e-e.pdf" TargetMode="External"/><Relationship Id="rId158" Type="http://schemas.openxmlformats.org/officeDocument/2006/relationships/hyperlink" Target="http://www.dec.ny.gov/energy/58440.html" TargetMode="External"/><Relationship Id="rId272" Type="http://schemas.openxmlformats.org/officeDocument/2006/relationships/image" Target="media/image113.png"/><Relationship Id="rId20" Type="http://schemas.openxmlformats.org/officeDocument/2006/relationships/image" Target="media/image5.png"/><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hyperlink" Target="http://scer.govspace.gov.au/files/2013/06/National-Harmonised-Regulatory-Framework-for-Natural-Gas-from-Coal-Seams.pdf" TargetMode="External"/><Relationship Id="rId88" Type="http://schemas.openxmlformats.org/officeDocument/2006/relationships/image" Target="media/image54.png"/><Relationship Id="rId111" Type="http://schemas.openxmlformats.org/officeDocument/2006/relationships/hyperlink" Target="https://www.spe-qld.org/useruploads/files/spe_166146_for_6_march_2014.pdf" TargetMode="External"/><Relationship Id="rId132" Type="http://schemas.openxmlformats.org/officeDocument/2006/relationships/hyperlink" Target="https://www.ehp.qld.gov.au/management/non-mining/documents/csg-water-measurable-criteria.pdf" TargetMode="External"/><Relationship Id="rId153" Type="http://schemas.openxmlformats.org/officeDocument/2006/relationships/hyperlink" Target="http://www.environment.gov.au/epbc/notices/assessments/pubs/coal-seam-gas-operations-impacts.pdf" TargetMode="External"/><Relationship Id="rId174" Type="http://schemas.openxmlformats.org/officeDocument/2006/relationships/hyperlink" Target="http://www.dec.ny.gov/docs/water_pdf/togs213.pdf" TargetMode="External"/><Relationship Id="rId179" Type="http://schemas.openxmlformats.org/officeDocument/2006/relationships/hyperlink" Target="http://ac.els-cdn.com/S1462901111001948/1-s2.0-S1462901111001948-main.pdf?_tid=d9d3021e-526d-11e4-ace9-00000aab0f6b&amp;acdnat=1413159428_bef54731abc60324c87ba0cbfbe55d3a" TargetMode="External"/><Relationship Id="rId195" Type="http://schemas.openxmlformats.org/officeDocument/2006/relationships/hyperlink" Target="http://www.pnas.org/conteandersonnt/109/30/11961.full.pdf+html" TargetMode="External"/><Relationship Id="rId209" Type="http://schemas.openxmlformats.org/officeDocument/2006/relationships/image" Target="media/image67.png"/><Relationship Id="rId190" Type="http://schemas.openxmlformats.org/officeDocument/2006/relationships/hyperlink" Target="http://ro.uow.edu.au/cgi/viewcontent.cgi?article=1376&amp;context=smhpapers" TargetMode="External"/><Relationship Id="rId204" Type="http://schemas.openxmlformats.org/officeDocument/2006/relationships/header" Target="header10.xml"/><Relationship Id="rId220" Type="http://schemas.openxmlformats.org/officeDocument/2006/relationships/image" Target="media/image73.png"/><Relationship Id="rId225" Type="http://schemas.openxmlformats.org/officeDocument/2006/relationships/image" Target="media/image78.png"/><Relationship Id="rId241" Type="http://schemas.openxmlformats.org/officeDocument/2006/relationships/image" Target="media/image90.emf"/><Relationship Id="rId246" Type="http://schemas.openxmlformats.org/officeDocument/2006/relationships/hyperlink" Target="http://www.acola.org.au" TargetMode="External"/><Relationship Id="rId267" Type="http://schemas.openxmlformats.org/officeDocument/2006/relationships/image" Target="media/image108.png"/><Relationship Id="rId288" Type="http://schemas.openxmlformats.org/officeDocument/2006/relationships/header" Target="header19.xml"/><Relationship Id="rId15" Type="http://schemas.openxmlformats.org/officeDocument/2006/relationships/header" Target="header4.xm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hyperlink" Target="http://www.arrowenergy.com.au/__data/assets/pdf_file/0016/8611/7040_12_Ch08_Rev1.pdf" TargetMode="External"/><Relationship Id="rId127" Type="http://schemas.openxmlformats.org/officeDocument/2006/relationships/hyperlink" Target="http://www.dec.ny.gov/docs/water_pdf/togs213.pdf" TargetMode="External"/><Relationship Id="rId262" Type="http://schemas.openxmlformats.org/officeDocument/2006/relationships/image" Target="media/image103.png"/><Relationship Id="rId283" Type="http://schemas.openxmlformats.org/officeDocument/2006/relationships/hyperlink" Target="http://creativecommons.org/licenses/by/4.0/" TargetMode="External"/><Relationship Id="rId10" Type="http://schemas.openxmlformats.org/officeDocument/2006/relationships/footer" Target="footer1.xml"/><Relationship Id="rId31" Type="http://schemas.openxmlformats.org/officeDocument/2006/relationships/image" Target="media/image14.emf"/><Relationship Id="rId52" Type="http://schemas.openxmlformats.org/officeDocument/2006/relationships/image" Target="media/image34.png"/><Relationship Id="rId73" Type="http://schemas.openxmlformats.org/officeDocument/2006/relationships/hyperlink" Target="https://www.spe-qld.org/useruploads/files/spe_166146_for_6_march_2014.pdf" TargetMode="External"/><Relationship Id="rId78" Type="http://schemas.openxmlformats.org/officeDocument/2006/relationships/hyperlink" Target="http://www.ga.gov.au/earthquakes/" TargetMode="External"/><Relationship Id="rId94" Type="http://schemas.openxmlformats.org/officeDocument/2006/relationships/image" Target="media/image60.png"/><Relationship Id="rId99" Type="http://schemas.openxmlformats.org/officeDocument/2006/relationships/hyperlink" Target="http://ec.europa.eu/environment/integration/energy/pdf/fracking%20study.pdf" TargetMode="External"/><Relationship Id="rId101" Type="http://schemas.openxmlformats.org/officeDocument/2006/relationships/hyperlink" Target="https://www.eagle.org/eagleExternalPortalWEB/ShowProperty/BEA%20Repository/Rules&amp;Guides/Current/97_RiskAssessApplMarine&amp;OffshoreO&amp;G/Pub97_RiskAssesment" TargetMode="External"/><Relationship Id="rId122" Type="http://schemas.openxmlformats.org/officeDocument/2006/relationships/hyperlink" Target="http://www.dmp.wa.gov.au/15139.aspx" TargetMode="External"/><Relationship Id="rId143" Type="http://schemas.openxmlformats.org/officeDocument/2006/relationships/hyperlink" Target="http://www.santos.com/library/Roma_Shallow_Gas_East_EMP_AppD.pdf" TargetMode="External"/><Relationship Id="rId148" Type="http://schemas.openxmlformats.org/officeDocument/2006/relationships/hyperlink" Target="http://www.worldenergyoutlook.org/media/weowebsite/2012/goldenrules/weo2012_goldenrulesreport.pdf" TargetMode="External"/><Relationship Id="rId164" Type="http://schemas.openxmlformats.org/officeDocument/2006/relationships/hyperlink" Target="file:///C:/Users/AHerford/Downloads/groundwater_coal_seam_gas_regulation_monitor.pdf" TargetMode="External"/><Relationship Id="rId169" Type="http://schemas.openxmlformats.org/officeDocument/2006/relationships/hyperlink" Target="http://www.chiefscientist.nsw.gov.au/__data/assets/pdf_file/0006/56913/140930-Final-Compliance-Report.pdf" TargetMode="External"/><Relationship Id="rId185" Type="http://schemas.openxmlformats.org/officeDocument/2006/relationships/hyperlink" Target="https://ceda.com.au/media/263565/cedaunconventionalenergyfinal.pdf"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pubs.acs.org/doi/pdf/10.1021/es502111u" TargetMode="External"/><Relationship Id="rId210" Type="http://schemas.openxmlformats.org/officeDocument/2006/relationships/image" Target="media/image68.png"/><Relationship Id="rId215" Type="http://schemas.microsoft.com/office/2007/relationships/diagramDrawing" Target="diagrams/drawing1.xml"/><Relationship Id="rId236" Type="http://schemas.openxmlformats.org/officeDocument/2006/relationships/image" Target="media/image85.jpeg"/><Relationship Id="rId257" Type="http://schemas.openxmlformats.org/officeDocument/2006/relationships/image" Target="media/image98.png"/><Relationship Id="rId278" Type="http://schemas.openxmlformats.org/officeDocument/2006/relationships/image" Target="media/image119.png"/><Relationship Id="rId26" Type="http://schemas.openxmlformats.org/officeDocument/2006/relationships/image" Target="media/image9.png"/><Relationship Id="rId231" Type="http://schemas.openxmlformats.org/officeDocument/2006/relationships/header" Target="header14.xml"/><Relationship Id="rId252" Type="http://schemas.openxmlformats.org/officeDocument/2006/relationships/footer" Target="footer11.xml"/><Relationship Id="rId273" Type="http://schemas.openxmlformats.org/officeDocument/2006/relationships/image" Target="media/image114.png"/><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hyperlink" Target="http://www.capp.ca/UpstreamDialogue/NaturalGas/Pages/default.aspx" TargetMode="External"/><Relationship Id="rId133" Type="http://schemas.openxmlformats.org/officeDocument/2006/relationships/hyperlink" Target="https://www.ehp.qld.gov.au/management/non-mining/documents/uwir-guideline.pdf" TargetMode="External"/><Relationship Id="rId154" Type="http://schemas.openxmlformats.org/officeDocument/2006/relationships/hyperlink" Target="http://onlinelibrary.wiley.com/doi/10.1111/j.1745-6584.2012.00933.x/full" TargetMode="External"/><Relationship Id="rId175" Type="http://schemas.openxmlformats.org/officeDocument/2006/relationships/hyperlink" Target="http://www.jws.com.au/images/news/migrated/TMB%20-20WA%20onshore%20regulations.pdf" TargetMode="External"/><Relationship Id="rId196" Type="http://schemas.openxmlformats.org/officeDocument/2006/relationships/hyperlink" Target="https://www.waterconnect.sa.gov.au/Content/Publications/DEWNR/DEWNR-TR-2014-02.pdf" TargetMode="External"/><Relationship Id="rId200" Type="http://schemas.openxmlformats.org/officeDocument/2006/relationships/header" Target="header7.xml"/><Relationship Id="rId16" Type="http://schemas.openxmlformats.org/officeDocument/2006/relationships/footer" Target="footer5.xml"/><Relationship Id="rId221" Type="http://schemas.openxmlformats.org/officeDocument/2006/relationships/image" Target="media/image74.png"/><Relationship Id="rId242" Type="http://schemas.openxmlformats.org/officeDocument/2006/relationships/image" Target="media/image91.emf"/><Relationship Id="rId263" Type="http://schemas.openxmlformats.org/officeDocument/2006/relationships/image" Target="media/image104.png"/><Relationship Id="rId284" Type="http://schemas.openxmlformats.org/officeDocument/2006/relationships/hyperlink" Target="http://creativecommons.org/licenses/by/4.0/" TargetMode="External"/><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hyperlink" Target="http://www.santos.com/library/Roma_Shallow_Gas_East_EMP_AppD.pdf" TargetMode="External"/><Relationship Id="rId102" Type="http://schemas.openxmlformats.org/officeDocument/2006/relationships/hyperlink" Target="http://www.chiefscientist.nsw.gov.au/__data/assets/pdf_file/0007/38158/WRL-2013-09-Final-November-2013.pdf" TargetMode="External"/><Relationship Id="rId123" Type="http://schemas.openxmlformats.org/officeDocument/2006/relationships/hyperlink" Target="http://www.environment.gov.au/system/files/resources/4d08becb-c90a-4637-bcbc-5772451f7c5e/files/nwmqs-groundwater-guidelines.pdf" TargetMode="External"/><Relationship Id="rId144" Type="http://schemas.openxmlformats.org/officeDocument/2006/relationships/hyperlink" Target="http://www.hse.gov.uk/offshore/sheet32006.pdf" TargetMode="External"/><Relationship Id="rId90" Type="http://schemas.openxmlformats.org/officeDocument/2006/relationships/image" Target="media/image56.png"/><Relationship Id="rId165" Type="http://schemas.openxmlformats.org/officeDocument/2006/relationships/hyperlink" Target="http://www.epa.nsw.gov.au/resources/clm/120932GroundGas.pdf" TargetMode="External"/><Relationship Id="rId186" Type="http://schemas.openxmlformats.org/officeDocument/2006/relationships/hyperlink" Target="http://www.tandfonline.com/doi/pdf/10.4296/cwrj1801025" TargetMode="External"/><Relationship Id="rId211" Type="http://schemas.openxmlformats.org/officeDocument/2006/relationships/diagramData" Target="diagrams/data1.xml"/><Relationship Id="rId232" Type="http://schemas.openxmlformats.org/officeDocument/2006/relationships/header" Target="header15.xml"/><Relationship Id="rId253" Type="http://schemas.openxmlformats.org/officeDocument/2006/relationships/image" Target="media/image94.emf"/><Relationship Id="rId274" Type="http://schemas.openxmlformats.org/officeDocument/2006/relationships/image" Target="media/image115.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chart" Target="charts/chart1.xml"/><Relationship Id="rId113" Type="http://schemas.openxmlformats.org/officeDocument/2006/relationships/hyperlink" Target="http://www.environment.gov.au/system/files/resources/d078caf3-3923-4416-a743-0988ac3f1ee1/files/sig-water-resources.pdf" TargetMode="External"/><Relationship Id="rId134" Type="http://schemas.openxmlformats.org/officeDocument/2006/relationships/hyperlink" Target="http://www.aer.ca/documents/reports/r2011-A.pdf" TargetMode="External"/><Relationship Id="rId80" Type="http://schemas.openxmlformats.org/officeDocument/2006/relationships/hyperlink" Target="http://www.aees.org.au/wp-content/uploads/2013/11/37-McCue-Kevin.pdf" TargetMode="External"/><Relationship Id="rId155" Type="http://schemas.openxmlformats.org/officeDocument/2006/relationships/hyperlink" Target="http://www.ncsl.org/documents/energy/frackingguide_060512.pdf" TargetMode="External"/><Relationship Id="rId176" Type="http://schemas.openxmlformats.org/officeDocument/2006/relationships/hyperlink" Target="http://www.dmp.wa.gov.au/documents/Draft_Resource_Regulations.pdf" TargetMode="External"/><Relationship Id="rId197" Type="http://schemas.openxmlformats.org/officeDocument/2006/relationships/hyperlink" Target="https://www.waterconnect.sa.gov.au/Content/Publications/DEWNR/Arckaringa_Pedirka_Stage1_Report.pdf" TargetMode="External"/><Relationship Id="rId201" Type="http://schemas.openxmlformats.org/officeDocument/2006/relationships/header" Target="header8.xml"/><Relationship Id="rId222" Type="http://schemas.openxmlformats.org/officeDocument/2006/relationships/image" Target="media/image75.png"/><Relationship Id="rId243" Type="http://schemas.openxmlformats.org/officeDocument/2006/relationships/image" Target="media/image92.png"/><Relationship Id="rId264" Type="http://schemas.openxmlformats.org/officeDocument/2006/relationships/image" Target="media/image105.png"/><Relationship Id="rId285" Type="http://schemas.openxmlformats.org/officeDocument/2006/relationships/hyperlink" Target="mailto:customer.service@delwp.vic.gov.au" TargetMode="External"/><Relationship Id="rId17" Type="http://schemas.openxmlformats.org/officeDocument/2006/relationships/hyperlink" Target="http://techalive.mtu.edu/meec/module04/Glossary.htm" TargetMode="External"/><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hyperlink" Target="http://books.google.com.au/books?id=LTqEEL6ROcgC&amp;dq=risk+assessment+aquifer&amp;source=gbs_navlinks_s" TargetMode="External"/><Relationship Id="rId124" Type="http://schemas.openxmlformats.org/officeDocument/2006/relationships/hyperlink" Target="http://www.depi.vic.gov.au/__data/assets/pdf_file/0005/188942/Improving-management-of-Victorias-groundwater-resoruces.pdf" TargetMode="External"/><Relationship Id="rId70" Type="http://schemas.openxmlformats.org/officeDocument/2006/relationships/image" Target="media/image51.jpeg"/><Relationship Id="rId91" Type="http://schemas.openxmlformats.org/officeDocument/2006/relationships/image" Target="media/image57.png"/><Relationship Id="rId145" Type="http://schemas.openxmlformats.org/officeDocument/2006/relationships/hyperlink" Target="http://www.nopsema.gov.au/assets/Guidance-notes/N-04300-GN0165-Risk-Assessment.pdf" TargetMode="External"/><Relationship Id="rId166" Type="http://schemas.openxmlformats.org/officeDocument/2006/relationships/hyperlink" Target="http://www.epa.nsw.gov.au/poeoraapp/default.aspx" TargetMode="External"/><Relationship Id="rId187" Type="http://schemas.openxmlformats.org/officeDocument/2006/relationships/hyperlink" Target="http://eprints.qut.edu.au/49293/2/49293.pdf" TargetMode="External"/><Relationship Id="rId1" Type="http://schemas.openxmlformats.org/officeDocument/2006/relationships/customXml" Target="../customXml/item1.xml"/><Relationship Id="rId212" Type="http://schemas.openxmlformats.org/officeDocument/2006/relationships/diagramLayout" Target="diagrams/layout1.xml"/><Relationship Id="rId233" Type="http://schemas.openxmlformats.org/officeDocument/2006/relationships/image" Target="media/image82.jpeg"/><Relationship Id="rId254" Type="http://schemas.openxmlformats.org/officeDocument/2006/relationships/image" Target="media/image95.png"/><Relationship Id="rId28" Type="http://schemas.openxmlformats.org/officeDocument/2006/relationships/image" Target="media/image11.png"/><Relationship Id="rId49" Type="http://schemas.openxmlformats.org/officeDocument/2006/relationships/image" Target="media/image32.emf"/><Relationship Id="rId114" Type="http://schemas.openxmlformats.org/officeDocument/2006/relationships/hyperlink" Target="http://www.environment.gov.au/system/files/resources/ee38b672-6faa-452e-979f-d97b7d425333/files/csg-modelling-groundwater-impacts.pdf" TargetMode="External"/><Relationship Id="rId275" Type="http://schemas.openxmlformats.org/officeDocument/2006/relationships/image" Target="media/image116.png"/><Relationship Id="rId60" Type="http://schemas.openxmlformats.org/officeDocument/2006/relationships/image" Target="media/image42.png"/><Relationship Id="rId81" Type="http://schemas.openxmlformats.org/officeDocument/2006/relationships/hyperlink" Target="http://www.srw.com.au/page/page.asp?page_Id=687" TargetMode="External"/><Relationship Id="rId135" Type="http://schemas.openxmlformats.org/officeDocument/2006/relationships/hyperlink" Target="http://www.aer.ca/documents/projects/URF/URF_DiscussionPaper_20121217.pdf" TargetMode="External"/><Relationship Id="rId156" Type="http://schemas.openxmlformats.org/officeDocument/2006/relationships/hyperlink" Target="https://www.gov.uk/government/uploads/system/uploads/attachment_data/file/69450/pb13670-green-leaves-iii-1111071.pdf" TargetMode="External"/><Relationship Id="rId177" Type="http://schemas.openxmlformats.org/officeDocument/2006/relationships/hyperlink" Target="http://www.novascotia.ca/nse/pollutionprevention/docs/Consultation.Hydraulic.Fracturing-Jurisdictional.Review.pdf" TargetMode="External"/><Relationship Id="rId198" Type="http://schemas.openxmlformats.org/officeDocument/2006/relationships/hyperlink" Target="http://www.dnrm.qld.gov.au/__data/assets/pdf_file/0020/106148/act-5-groundwater-risks-report.pdf" TargetMode="External"/><Relationship Id="rId202" Type="http://schemas.openxmlformats.org/officeDocument/2006/relationships/image" Target="media/image63.png"/><Relationship Id="rId223" Type="http://schemas.openxmlformats.org/officeDocument/2006/relationships/image" Target="media/image76.png"/><Relationship Id="rId244" Type="http://schemas.openxmlformats.org/officeDocument/2006/relationships/image" Target="media/image93.png"/><Relationship Id="rId18" Type="http://schemas.openxmlformats.org/officeDocument/2006/relationships/image" Target="media/image3.png"/><Relationship Id="rId39" Type="http://schemas.openxmlformats.org/officeDocument/2006/relationships/image" Target="media/image22.png"/><Relationship Id="rId265" Type="http://schemas.openxmlformats.org/officeDocument/2006/relationships/image" Target="media/image106.png"/><Relationship Id="rId286" Type="http://schemas.openxmlformats.org/officeDocument/2006/relationships/hyperlink" Target="http://www.relayservice.com.au"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footnotes.xml.rels><?xml version="1.0" encoding="UTF-8" standalone="yes"?>
<Relationships xmlns="http://schemas.openxmlformats.org/package/2006/relationships"><Relationship Id="rId2" Type="http://schemas.openxmlformats.org/officeDocument/2006/relationships/hyperlink" Target="http://www.dnrm.qld.gov.au/__data/assets/pdf_file/0020/106148/act-5-groundwater-risks-report.pdf" TargetMode="External"/><Relationship Id="rId1" Type="http://schemas.openxmlformats.org/officeDocument/2006/relationships/hyperlink" Target="http://www.dec.ny.gov/data/dmn/ogprdsgeisfull.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NUnland\Downloads\eq_344_1418185706037.csv"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3293963254593"/>
          <c:y val="5.1400554097404502E-2"/>
          <c:w val="0.83615048118985102"/>
          <c:h val="0.72881365289461497"/>
        </c:manualLayout>
      </c:layout>
      <c:barChart>
        <c:barDir val="col"/>
        <c:grouping val="clustered"/>
        <c:varyColors val="0"/>
        <c:ser>
          <c:idx val="0"/>
          <c:order val="0"/>
          <c:spPr>
            <a:solidFill>
              <a:srgbClr val="0000FF"/>
            </a:solidFill>
          </c:spPr>
          <c:invertIfNegative val="0"/>
          <c:cat>
            <c:strRef>
              <c:f>eq_344_1418185706037!$A$612:$A$617</c:f>
              <c:strCache>
                <c:ptCount val="6"/>
                <c:pt idx="0">
                  <c:v>0-0.9</c:v>
                </c:pt>
                <c:pt idx="1">
                  <c:v>1.0-1.9</c:v>
                </c:pt>
                <c:pt idx="2">
                  <c:v>2.0-2.9</c:v>
                </c:pt>
                <c:pt idx="3">
                  <c:v>3.0-3.9</c:v>
                </c:pt>
                <c:pt idx="4">
                  <c:v>4.0-4.9</c:v>
                </c:pt>
                <c:pt idx="5">
                  <c:v>5.0-5.9</c:v>
                </c:pt>
              </c:strCache>
            </c:strRef>
          </c:cat>
          <c:val>
            <c:numRef>
              <c:f>eq_344_1418185706037!$C$612:$C$617</c:f>
              <c:numCache>
                <c:formatCode>0</c:formatCode>
                <c:ptCount val="6"/>
                <c:pt idx="0">
                  <c:v>1</c:v>
                </c:pt>
                <c:pt idx="1">
                  <c:v>67</c:v>
                </c:pt>
                <c:pt idx="2">
                  <c:v>417</c:v>
                </c:pt>
                <c:pt idx="3">
                  <c:v>114</c:v>
                </c:pt>
                <c:pt idx="4">
                  <c:v>6</c:v>
                </c:pt>
                <c:pt idx="5">
                  <c:v>0</c:v>
                </c:pt>
              </c:numCache>
            </c:numRef>
          </c:val>
          <c:extLst>
            <c:ext xmlns:c16="http://schemas.microsoft.com/office/drawing/2014/chart" uri="{C3380CC4-5D6E-409C-BE32-E72D297353CC}">
              <c16:uniqueId val="{00000000-B4C5-48F4-913B-2811CCC39B2A}"/>
            </c:ext>
          </c:extLst>
        </c:ser>
        <c:dLbls>
          <c:showLegendKey val="0"/>
          <c:showVal val="0"/>
          <c:showCatName val="0"/>
          <c:showSerName val="0"/>
          <c:showPercent val="0"/>
          <c:showBubbleSize val="0"/>
        </c:dLbls>
        <c:gapWidth val="150"/>
        <c:axId val="372205056"/>
        <c:axId val="382726144"/>
      </c:barChart>
      <c:catAx>
        <c:axId val="372205056"/>
        <c:scaling>
          <c:orientation val="minMax"/>
        </c:scaling>
        <c:delete val="0"/>
        <c:axPos val="b"/>
        <c:title>
          <c:tx>
            <c:rich>
              <a:bodyPr/>
              <a:lstStyle/>
              <a:p>
                <a:pPr>
                  <a:defRPr/>
                </a:pPr>
                <a:r>
                  <a:rPr lang="en-US"/>
                  <a:t>Magnitude (M</a:t>
                </a:r>
                <a:r>
                  <a:rPr lang="en-US" baseline="-25000"/>
                  <a:t>L</a:t>
                </a:r>
                <a:r>
                  <a:rPr lang="en-US"/>
                  <a:t>)</a:t>
                </a:r>
              </a:p>
            </c:rich>
          </c:tx>
          <c:overlay val="0"/>
        </c:title>
        <c:numFmt formatCode="General" sourceLinked="0"/>
        <c:majorTickMark val="out"/>
        <c:minorTickMark val="none"/>
        <c:tickLblPos val="nextTo"/>
        <c:txPr>
          <a:bodyPr rot="-720000"/>
          <a:lstStyle/>
          <a:p>
            <a:pPr>
              <a:defRPr/>
            </a:pPr>
            <a:endParaRPr lang="en-US"/>
          </a:p>
        </c:txPr>
        <c:crossAx val="382726144"/>
        <c:crosses val="autoZero"/>
        <c:auto val="1"/>
        <c:lblAlgn val="ctr"/>
        <c:lblOffset val="100"/>
        <c:noMultiLvlLbl val="0"/>
      </c:catAx>
      <c:valAx>
        <c:axId val="382726144"/>
        <c:scaling>
          <c:orientation val="minMax"/>
        </c:scaling>
        <c:delete val="0"/>
        <c:axPos val="l"/>
        <c:majorGridlines/>
        <c:title>
          <c:tx>
            <c:rich>
              <a:bodyPr rot="-5400000" vert="horz"/>
              <a:lstStyle/>
              <a:p>
                <a:pPr>
                  <a:defRPr/>
                </a:pPr>
                <a:r>
                  <a:rPr lang="en-US"/>
                  <a:t>Number (1990-2014)</a:t>
                </a:r>
              </a:p>
            </c:rich>
          </c:tx>
          <c:layout>
            <c:manualLayout>
              <c:xMode val="edge"/>
              <c:yMode val="edge"/>
              <c:x val="7.76377952755906E-3"/>
              <c:y val="0.21126130067075"/>
            </c:manualLayout>
          </c:layout>
          <c:overlay val="0"/>
        </c:title>
        <c:numFmt formatCode="0" sourceLinked="1"/>
        <c:majorTickMark val="out"/>
        <c:minorTickMark val="none"/>
        <c:tickLblPos val="nextTo"/>
        <c:crossAx val="372205056"/>
        <c:crosses val="autoZero"/>
        <c:crossBetween val="between"/>
        <c:majorUnit val="100"/>
      </c:valAx>
      <c:spPr>
        <a:ln>
          <a:solidFill>
            <a:schemeClr val="tx1"/>
          </a:solidFill>
        </a:ln>
      </c:spPr>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6AC1F3-E10F-4FCA-9371-5163DAB52088}"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en-AU"/>
        </a:p>
      </dgm:t>
    </dgm:pt>
    <dgm:pt modelId="{59F1AE8B-4A01-4E2E-AF2F-2853BCF1E800}">
      <dgm:prSet phldrT="[Text]"/>
      <dgm:spPr/>
      <dgm:t>
        <a:bodyPr/>
        <a:lstStyle/>
        <a:p>
          <a:r>
            <a:rPr lang="en-AU"/>
            <a:t>Identify the type and location of GDEs</a:t>
          </a:r>
        </a:p>
      </dgm:t>
    </dgm:pt>
    <dgm:pt modelId="{3E640447-D411-4C64-9DE4-DB327A30B578}" type="parTrans" cxnId="{36A975D4-8EFD-4AA4-8FF5-00EF63FEE7E0}">
      <dgm:prSet/>
      <dgm:spPr/>
      <dgm:t>
        <a:bodyPr/>
        <a:lstStyle/>
        <a:p>
          <a:endParaRPr lang="en-AU"/>
        </a:p>
      </dgm:t>
    </dgm:pt>
    <dgm:pt modelId="{C7F362FD-FA30-43C5-AEB7-996801F1A034}" type="sibTrans" cxnId="{36A975D4-8EFD-4AA4-8FF5-00EF63FEE7E0}">
      <dgm:prSet/>
      <dgm:spPr/>
      <dgm:t>
        <a:bodyPr/>
        <a:lstStyle/>
        <a:p>
          <a:endParaRPr lang="en-AU"/>
        </a:p>
      </dgm:t>
    </dgm:pt>
    <dgm:pt modelId="{F355A1B7-9314-43E4-BB69-EA0880ABC5AF}">
      <dgm:prSet phldrT="[Text]"/>
      <dgm:spPr/>
      <dgm:t>
        <a:bodyPr/>
        <a:lstStyle/>
        <a:p>
          <a:r>
            <a:rPr lang="en-AU"/>
            <a:t>Apply management actions, including mitigation associated with each ‘box’ in the risk matrix.</a:t>
          </a:r>
        </a:p>
      </dgm:t>
    </dgm:pt>
    <dgm:pt modelId="{CDF4EE13-4C14-4167-9B1A-F5F297A6C105}" type="parTrans" cxnId="{01F9A014-E35D-40C3-AAF1-BECFB4C71750}">
      <dgm:prSet/>
      <dgm:spPr/>
      <dgm:t>
        <a:bodyPr/>
        <a:lstStyle/>
        <a:p>
          <a:endParaRPr lang="en-AU"/>
        </a:p>
      </dgm:t>
    </dgm:pt>
    <dgm:pt modelId="{2FF3D425-3543-470F-8CF4-1AB2B92279B2}" type="sibTrans" cxnId="{01F9A014-E35D-40C3-AAF1-BECFB4C71750}">
      <dgm:prSet/>
      <dgm:spPr/>
      <dgm:t>
        <a:bodyPr/>
        <a:lstStyle/>
        <a:p>
          <a:endParaRPr lang="en-AU"/>
        </a:p>
      </dgm:t>
    </dgm:pt>
    <dgm:pt modelId="{E84B8FAF-EE66-40FB-8086-5A218B6B60F8}">
      <dgm:prSet phldrT="[Text]"/>
      <dgm:spPr/>
      <dgm:t>
        <a:bodyPr/>
        <a:lstStyle/>
        <a:p>
          <a:r>
            <a:rPr lang="en-AU"/>
            <a:t>Infer or determine groundwater dependency.</a:t>
          </a:r>
        </a:p>
      </dgm:t>
    </dgm:pt>
    <dgm:pt modelId="{4D9A89F3-9FA1-43F6-A916-78C02D208A43}" type="parTrans" cxnId="{6AE7C1AE-F427-4B99-8256-D0AE0E59B380}">
      <dgm:prSet/>
      <dgm:spPr/>
      <dgm:t>
        <a:bodyPr/>
        <a:lstStyle/>
        <a:p>
          <a:endParaRPr lang="en-AU"/>
        </a:p>
      </dgm:t>
    </dgm:pt>
    <dgm:pt modelId="{21805F24-7193-4291-8939-D3F641C705DC}" type="sibTrans" cxnId="{6AE7C1AE-F427-4B99-8256-D0AE0E59B380}">
      <dgm:prSet/>
      <dgm:spPr/>
      <dgm:t>
        <a:bodyPr/>
        <a:lstStyle/>
        <a:p>
          <a:endParaRPr lang="en-AU"/>
        </a:p>
      </dgm:t>
    </dgm:pt>
    <dgm:pt modelId="{77D95AA4-82EF-498D-93E4-CA7B8AF1750B}">
      <dgm:prSet phldrT="[Text]"/>
      <dgm:spPr/>
      <dgm:t>
        <a:bodyPr/>
        <a:lstStyle/>
        <a:p>
          <a:r>
            <a:rPr lang="en-AU"/>
            <a:t>Identify High ecological Value Assets of aquifer</a:t>
          </a:r>
        </a:p>
      </dgm:t>
    </dgm:pt>
    <dgm:pt modelId="{561264B6-D0ED-4B19-BD05-CA65BA49E82B}" type="parTrans" cxnId="{8B0E9BA5-8C72-4DEF-8649-8E33B05CCFC5}">
      <dgm:prSet/>
      <dgm:spPr/>
      <dgm:t>
        <a:bodyPr/>
        <a:lstStyle/>
        <a:p>
          <a:endParaRPr lang="en-AU"/>
        </a:p>
      </dgm:t>
    </dgm:pt>
    <dgm:pt modelId="{C9A5ADDD-BF7C-4013-9536-D262518F75D6}" type="sibTrans" cxnId="{8B0E9BA5-8C72-4DEF-8649-8E33B05CCFC5}">
      <dgm:prSet/>
      <dgm:spPr/>
      <dgm:t>
        <a:bodyPr/>
        <a:lstStyle/>
        <a:p>
          <a:endParaRPr lang="en-AU"/>
        </a:p>
      </dgm:t>
    </dgm:pt>
    <dgm:pt modelId="{3BA1B584-106B-48DC-B51D-49D694C54815}">
      <dgm:prSet phldrT="[Text]"/>
      <dgm:spPr/>
      <dgm:t>
        <a:bodyPr/>
        <a:lstStyle/>
        <a:p>
          <a:r>
            <a:rPr lang="en-AU"/>
            <a:t>Apply the GDE Risk Matrix</a:t>
          </a:r>
        </a:p>
      </dgm:t>
    </dgm:pt>
    <dgm:pt modelId="{144F8DD8-4DD5-45E2-A72F-F459BCCC8DA8}" type="parTrans" cxnId="{AB8A8CCE-3885-45C3-B9E1-E8D8F56F5231}">
      <dgm:prSet/>
      <dgm:spPr/>
      <dgm:t>
        <a:bodyPr/>
        <a:lstStyle/>
        <a:p>
          <a:endParaRPr lang="en-AU"/>
        </a:p>
      </dgm:t>
    </dgm:pt>
    <dgm:pt modelId="{4689E024-4627-49CC-8B6D-C76D62F346DB}" type="sibTrans" cxnId="{AB8A8CCE-3885-45C3-B9E1-E8D8F56F5231}">
      <dgm:prSet/>
      <dgm:spPr/>
      <dgm:t>
        <a:bodyPr/>
        <a:lstStyle/>
        <a:p>
          <a:endParaRPr lang="en-AU"/>
        </a:p>
      </dgm:t>
    </dgm:pt>
    <dgm:pt modelId="{CC12A1E6-F268-4881-B392-B29EA0C12633}">
      <dgm:prSet phldrT="[Text]"/>
      <dgm:spPr/>
      <dgm:t>
        <a:bodyPr/>
        <a:lstStyle/>
        <a:p>
          <a:r>
            <a:rPr lang="en-AU"/>
            <a:t>Determine ecological value of GDEs and the associated aquifer.</a:t>
          </a:r>
        </a:p>
      </dgm:t>
    </dgm:pt>
    <dgm:pt modelId="{5F8FBD27-1832-4812-9684-5E0FC8D7EE1C}" type="parTrans" cxnId="{45BF8E76-EEF9-4F06-8AD6-11DD807C8467}">
      <dgm:prSet/>
      <dgm:spPr/>
      <dgm:t>
        <a:bodyPr/>
        <a:lstStyle/>
        <a:p>
          <a:endParaRPr lang="en-AU"/>
        </a:p>
      </dgm:t>
    </dgm:pt>
    <dgm:pt modelId="{70F5E613-3390-40D1-BF8E-F388843AD97F}" type="sibTrans" cxnId="{45BF8E76-EEF9-4F06-8AD6-11DD807C8467}">
      <dgm:prSet/>
      <dgm:spPr/>
      <dgm:t>
        <a:bodyPr/>
        <a:lstStyle/>
        <a:p>
          <a:endParaRPr lang="en-AU"/>
        </a:p>
      </dgm:t>
    </dgm:pt>
    <dgm:pt modelId="{4B446A01-B978-4181-92F6-D7D9504D46A6}">
      <dgm:prSet phldrT="[Text]"/>
      <dgm:spPr/>
      <dgm:t>
        <a:bodyPr/>
        <a:lstStyle/>
        <a:p>
          <a:r>
            <a:rPr lang="en-AU"/>
            <a:t>Determine the impact of an activity to identified GDEs</a:t>
          </a:r>
        </a:p>
      </dgm:t>
    </dgm:pt>
    <dgm:pt modelId="{2677BB0A-F97A-409A-88BA-D4032B6455A9}" type="parTrans" cxnId="{631C1FDE-99D7-4E92-90D5-43F778F72A6B}">
      <dgm:prSet/>
      <dgm:spPr/>
      <dgm:t>
        <a:bodyPr/>
        <a:lstStyle/>
        <a:p>
          <a:endParaRPr lang="en-AU"/>
        </a:p>
      </dgm:t>
    </dgm:pt>
    <dgm:pt modelId="{1493C276-D96C-4AEF-8F49-57E9D43070B7}" type="sibTrans" cxnId="{631C1FDE-99D7-4E92-90D5-43F778F72A6B}">
      <dgm:prSet/>
      <dgm:spPr/>
      <dgm:t>
        <a:bodyPr/>
        <a:lstStyle/>
        <a:p>
          <a:endParaRPr lang="en-AU"/>
        </a:p>
      </dgm:t>
    </dgm:pt>
    <dgm:pt modelId="{B67E38B0-514C-42E3-8CE9-699BC1F482BD}">
      <dgm:prSet phldrT="[Text]"/>
      <dgm:spPr/>
      <dgm:t>
        <a:bodyPr/>
        <a:lstStyle/>
        <a:p>
          <a:r>
            <a:rPr lang="en-AU"/>
            <a:t>Determine the magnitude of the risk to identified GDEs. </a:t>
          </a:r>
        </a:p>
      </dgm:t>
    </dgm:pt>
    <dgm:pt modelId="{8747A37A-7DE0-4C11-B65B-196FFBEC6BFE}" type="parTrans" cxnId="{E31C591E-7335-4204-9C8A-5E8E744F197C}">
      <dgm:prSet/>
      <dgm:spPr/>
      <dgm:t>
        <a:bodyPr/>
        <a:lstStyle/>
        <a:p>
          <a:endParaRPr lang="en-AU"/>
        </a:p>
      </dgm:t>
    </dgm:pt>
    <dgm:pt modelId="{E82A35ED-24CD-4785-860D-8EFE61C5D274}" type="sibTrans" cxnId="{E31C591E-7335-4204-9C8A-5E8E744F197C}">
      <dgm:prSet/>
      <dgm:spPr/>
      <dgm:t>
        <a:bodyPr/>
        <a:lstStyle/>
        <a:p>
          <a:endParaRPr lang="en-AU"/>
        </a:p>
      </dgm:t>
    </dgm:pt>
    <dgm:pt modelId="{5605458E-3296-4214-B485-CE08C17B62CB}" type="pres">
      <dgm:prSet presAssocID="{966AC1F3-E10F-4FCA-9371-5163DAB52088}" presName="diagram" presStyleCnt="0">
        <dgm:presLayoutVars>
          <dgm:dir/>
          <dgm:resizeHandles val="exact"/>
        </dgm:presLayoutVars>
      </dgm:prSet>
      <dgm:spPr/>
    </dgm:pt>
    <dgm:pt modelId="{B17FB33D-7E4B-4EF2-BCC0-F64546AC9D32}" type="pres">
      <dgm:prSet presAssocID="{59F1AE8B-4A01-4E2E-AF2F-2853BCF1E800}" presName="node" presStyleLbl="node1" presStyleIdx="0" presStyleCnt="8">
        <dgm:presLayoutVars>
          <dgm:bulletEnabled val="1"/>
        </dgm:presLayoutVars>
      </dgm:prSet>
      <dgm:spPr/>
    </dgm:pt>
    <dgm:pt modelId="{56A07309-8E50-4D72-A341-3480DD01091C}" type="pres">
      <dgm:prSet presAssocID="{C7F362FD-FA30-43C5-AEB7-996801F1A034}" presName="sibTrans" presStyleLbl="sibTrans2D1" presStyleIdx="0" presStyleCnt="7"/>
      <dgm:spPr/>
    </dgm:pt>
    <dgm:pt modelId="{07DDD095-5551-44D7-A5A8-5F69A0B7A6FE}" type="pres">
      <dgm:prSet presAssocID="{C7F362FD-FA30-43C5-AEB7-996801F1A034}" presName="connectorText" presStyleLbl="sibTrans2D1" presStyleIdx="0" presStyleCnt="7"/>
      <dgm:spPr/>
    </dgm:pt>
    <dgm:pt modelId="{344933EB-6F1F-4945-94AB-D7C2271CDE06}" type="pres">
      <dgm:prSet presAssocID="{E84B8FAF-EE66-40FB-8086-5A218B6B60F8}" presName="node" presStyleLbl="node1" presStyleIdx="1" presStyleCnt="8">
        <dgm:presLayoutVars>
          <dgm:bulletEnabled val="1"/>
        </dgm:presLayoutVars>
      </dgm:prSet>
      <dgm:spPr/>
    </dgm:pt>
    <dgm:pt modelId="{480352BB-78E2-49E5-A7AF-1FFD1D62F5E9}" type="pres">
      <dgm:prSet presAssocID="{21805F24-7193-4291-8939-D3F641C705DC}" presName="sibTrans" presStyleLbl="sibTrans2D1" presStyleIdx="1" presStyleCnt="7"/>
      <dgm:spPr/>
    </dgm:pt>
    <dgm:pt modelId="{42095376-7A96-4A79-9809-085B04529605}" type="pres">
      <dgm:prSet presAssocID="{21805F24-7193-4291-8939-D3F641C705DC}" presName="connectorText" presStyleLbl="sibTrans2D1" presStyleIdx="1" presStyleCnt="7"/>
      <dgm:spPr/>
    </dgm:pt>
    <dgm:pt modelId="{5D5E8BDB-4538-40AB-AB92-406C8DA1B09F}" type="pres">
      <dgm:prSet presAssocID="{77D95AA4-82EF-498D-93E4-CA7B8AF1750B}" presName="node" presStyleLbl="node1" presStyleIdx="2" presStyleCnt="8">
        <dgm:presLayoutVars>
          <dgm:bulletEnabled val="1"/>
        </dgm:presLayoutVars>
      </dgm:prSet>
      <dgm:spPr/>
    </dgm:pt>
    <dgm:pt modelId="{0881AB9F-C725-4347-A4D2-911FE793CE0E}" type="pres">
      <dgm:prSet presAssocID="{C9A5ADDD-BF7C-4013-9536-D262518F75D6}" presName="sibTrans" presStyleLbl="sibTrans2D1" presStyleIdx="2" presStyleCnt="7"/>
      <dgm:spPr/>
    </dgm:pt>
    <dgm:pt modelId="{3CC5CA89-955F-49CB-9029-AABF9C7F0C09}" type="pres">
      <dgm:prSet presAssocID="{C9A5ADDD-BF7C-4013-9536-D262518F75D6}" presName="connectorText" presStyleLbl="sibTrans2D1" presStyleIdx="2" presStyleCnt="7"/>
      <dgm:spPr/>
    </dgm:pt>
    <dgm:pt modelId="{3A434F70-6D91-4A93-A66B-C139BCCE2834}" type="pres">
      <dgm:prSet presAssocID="{CC12A1E6-F268-4881-B392-B29EA0C12633}" presName="node" presStyleLbl="node1" presStyleIdx="3" presStyleCnt="8">
        <dgm:presLayoutVars>
          <dgm:bulletEnabled val="1"/>
        </dgm:presLayoutVars>
      </dgm:prSet>
      <dgm:spPr/>
    </dgm:pt>
    <dgm:pt modelId="{635BD7BE-35C8-4076-940A-5CA980767A1B}" type="pres">
      <dgm:prSet presAssocID="{70F5E613-3390-40D1-BF8E-F388843AD97F}" presName="sibTrans" presStyleLbl="sibTrans2D1" presStyleIdx="3" presStyleCnt="7"/>
      <dgm:spPr/>
    </dgm:pt>
    <dgm:pt modelId="{E42729F8-C301-4A13-AA34-0C48D849C3DF}" type="pres">
      <dgm:prSet presAssocID="{70F5E613-3390-40D1-BF8E-F388843AD97F}" presName="connectorText" presStyleLbl="sibTrans2D1" presStyleIdx="3" presStyleCnt="7"/>
      <dgm:spPr/>
    </dgm:pt>
    <dgm:pt modelId="{CD974BA1-6458-457E-BFC9-51B2EB604A00}" type="pres">
      <dgm:prSet presAssocID="{4B446A01-B978-4181-92F6-D7D9504D46A6}" presName="node" presStyleLbl="node1" presStyleIdx="4" presStyleCnt="8">
        <dgm:presLayoutVars>
          <dgm:bulletEnabled val="1"/>
        </dgm:presLayoutVars>
      </dgm:prSet>
      <dgm:spPr/>
    </dgm:pt>
    <dgm:pt modelId="{E52A18AD-AAF2-4C5A-AB3B-1DCD703FC251}" type="pres">
      <dgm:prSet presAssocID="{1493C276-D96C-4AEF-8F49-57E9D43070B7}" presName="sibTrans" presStyleLbl="sibTrans2D1" presStyleIdx="4" presStyleCnt="7"/>
      <dgm:spPr/>
    </dgm:pt>
    <dgm:pt modelId="{220DBCF9-A929-4A71-9E73-C8F17E2809CC}" type="pres">
      <dgm:prSet presAssocID="{1493C276-D96C-4AEF-8F49-57E9D43070B7}" presName="connectorText" presStyleLbl="sibTrans2D1" presStyleIdx="4" presStyleCnt="7"/>
      <dgm:spPr/>
    </dgm:pt>
    <dgm:pt modelId="{EE75DB63-BFEA-4F69-8634-A0D5A976A804}" type="pres">
      <dgm:prSet presAssocID="{B67E38B0-514C-42E3-8CE9-699BC1F482BD}" presName="node" presStyleLbl="node1" presStyleIdx="5" presStyleCnt="8">
        <dgm:presLayoutVars>
          <dgm:bulletEnabled val="1"/>
        </dgm:presLayoutVars>
      </dgm:prSet>
      <dgm:spPr/>
    </dgm:pt>
    <dgm:pt modelId="{42A6EC7E-D4C7-48D6-B35C-700FDAE08D4E}" type="pres">
      <dgm:prSet presAssocID="{E82A35ED-24CD-4785-860D-8EFE61C5D274}" presName="sibTrans" presStyleLbl="sibTrans2D1" presStyleIdx="5" presStyleCnt="7"/>
      <dgm:spPr/>
    </dgm:pt>
    <dgm:pt modelId="{7055440C-0D26-4152-A4AF-93E7686C4141}" type="pres">
      <dgm:prSet presAssocID="{E82A35ED-24CD-4785-860D-8EFE61C5D274}" presName="connectorText" presStyleLbl="sibTrans2D1" presStyleIdx="5" presStyleCnt="7"/>
      <dgm:spPr/>
    </dgm:pt>
    <dgm:pt modelId="{DC26ED64-659B-415E-B7E6-44CF26BC1B34}" type="pres">
      <dgm:prSet presAssocID="{3BA1B584-106B-48DC-B51D-49D694C54815}" presName="node" presStyleLbl="node1" presStyleIdx="6" presStyleCnt="8">
        <dgm:presLayoutVars>
          <dgm:bulletEnabled val="1"/>
        </dgm:presLayoutVars>
      </dgm:prSet>
      <dgm:spPr/>
    </dgm:pt>
    <dgm:pt modelId="{4BDA44BC-B22C-4871-8EB8-CE44D1669E6B}" type="pres">
      <dgm:prSet presAssocID="{4689E024-4627-49CC-8B6D-C76D62F346DB}" presName="sibTrans" presStyleLbl="sibTrans2D1" presStyleIdx="6" presStyleCnt="7"/>
      <dgm:spPr/>
    </dgm:pt>
    <dgm:pt modelId="{1A3F8170-1865-486F-BBEC-03FCB9E3E788}" type="pres">
      <dgm:prSet presAssocID="{4689E024-4627-49CC-8B6D-C76D62F346DB}" presName="connectorText" presStyleLbl="sibTrans2D1" presStyleIdx="6" presStyleCnt="7"/>
      <dgm:spPr/>
    </dgm:pt>
    <dgm:pt modelId="{63C9D89A-5C18-4333-930F-731E71C13782}" type="pres">
      <dgm:prSet presAssocID="{F355A1B7-9314-43E4-BB69-EA0880ABC5AF}" presName="node" presStyleLbl="node1" presStyleIdx="7" presStyleCnt="8">
        <dgm:presLayoutVars>
          <dgm:bulletEnabled val="1"/>
        </dgm:presLayoutVars>
      </dgm:prSet>
      <dgm:spPr/>
    </dgm:pt>
  </dgm:ptLst>
  <dgm:cxnLst>
    <dgm:cxn modelId="{5456FF01-E2AE-4820-B542-63E62EEAA5DC}" type="presOf" srcId="{77D95AA4-82EF-498D-93E4-CA7B8AF1750B}" destId="{5D5E8BDB-4538-40AB-AB92-406C8DA1B09F}" srcOrd="0" destOrd="0" presId="urn:microsoft.com/office/officeart/2005/8/layout/process5"/>
    <dgm:cxn modelId="{01F9A014-E35D-40C3-AAF1-BECFB4C71750}" srcId="{966AC1F3-E10F-4FCA-9371-5163DAB52088}" destId="{F355A1B7-9314-43E4-BB69-EA0880ABC5AF}" srcOrd="7" destOrd="0" parTransId="{CDF4EE13-4C14-4167-9B1A-F5F297A6C105}" sibTransId="{2FF3D425-3543-470F-8CF4-1AB2B92279B2}"/>
    <dgm:cxn modelId="{E31C591E-7335-4204-9C8A-5E8E744F197C}" srcId="{966AC1F3-E10F-4FCA-9371-5163DAB52088}" destId="{B67E38B0-514C-42E3-8CE9-699BC1F482BD}" srcOrd="5" destOrd="0" parTransId="{8747A37A-7DE0-4C11-B65B-196FFBEC6BFE}" sibTransId="{E82A35ED-24CD-4785-860D-8EFE61C5D274}"/>
    <dgm:cxn modelId="{1B61D62E-ED04-447C-9A38-7D438E185138}" type="presOf" srcId="{C9A5ADDD-BF7C-4013-9536-D262518F75D6}" destId="{3CC5CA89-955F-49CB-9029-AABF9C7F0C09}" srcOrd="1" destOrd="0" presId="urn:microsoft.com/office/officeart/2005/8/layout/process5"/>
    <dgm:cxn modelId="{4C39D236-06DF-4CD2-8F53-6FAE07390DA3}" type="presOf" srcId="{3BA1B584-106B-48DC-B51D-49D694C54815}" destId="{DC26ED64-659B-415E-B7E6-44CF26BC1B34}" srcOrd="0" destOrd="0" presId="urn:microsoft.com/office/officeart/2005/8/layout/process5"/>
    <dgm:cxn modelId="{E36D1841-AA2E-4416-B201-520CECE28611}" type="presOf" srcId="{59F1AE8B-4A01-4E2E-AF2F-2853BCF1E800}" destId="{B17FB33D-7E4B-4EF2-BCC0-F64546AC9D32}" srcOrd="0" destOrd="0" presId="urn:microsoft.com/office/officeart/2005/8/layout/process5"/>
    <dgm:cxn modelId="{0A43A541-1E87-4F3D-89F2-B1D4C7B50C20}" type="presOf" srcId="{F355A1B7-9314-43E4-BB69-EA0880ABC5AF}" destId="{63C9D89A-5C18-4333-930F-731E71C13782}" srcOrd="0" destOrd="0" presId="urn:microsoft.com/office/officeart/2005/8/layout/process5"/>
    <dgm:cxn modelId="{35C3F049-6D0D-4D6B-B15A-FC8672ED0242}" type="presOf" srcId="{E82A35ED-24CD-4785-860D-8EFE61C5D274}" destId="{42A6EC7E-D4C7-48D6-B35C-700FDAE08D4E}" srcOrd="0" destOrd="0" presId="urn:microsoft.com/office/officeart/2005/8/layout/process5"/>
    <dgm:cxn modelId="{52D6704C-3925-4503-A920-C684A190116B}" type="presOf" srcId="{70F5E613-3390-40D1-BF8E-F388843AD97F}" destId="{E42729F8-C301-4A13-AA34-0C48D849C3DF}" srcOrd="1" destOrd="0" presId="urn:microsoft.com/office/officeart/2005/8/layout/process5"/>
    <dgm:cxn modelId="{6A28CD72-1E00-415B-B4F7-003BD38D0957}" type="presOf" srcId="{966AC1F3-E10F-4FCA-9371-5163DAB52088}" destId="{5605458E-3296-4214-B485-CE08C17B62CB}" srcOrd="0" destOrd="0" presId="urn:microsoft.com/office/officeart/2005/8/layout/process5"/>
    <dgm:cxn modelId="{ECE6F373-D171-4DA4-A93E-C8F1C1CB67C7}" type="presOf" srcId="{B67E38B0-514C-42E3-8CE9-699BC1F482BD}" destId="{EE75DB63-BFEA-4F69-8634-A0D5A976A804}" srcOrd="0" destOrd="0" presId="urn:microsoft.com/office/officeart/2005/8/layout/process5"/>
    <dgm:cxn modelId="{45BF8E76-EEF9-4F06-8AD6-11DD807C8467}" srcId="{966AC1F3-E10F-4FCA-9371-5163DAB52088}" destId="{CC12A1E6-F268-4881-B392-B29EA0C12633}" srcOrd="3" destOrd="0" parTransId="{5F8FBD27-1832-4812-9684-5E0FC8D7EE1C}" sibTransId="{70F5E613-3390-40D1-BF8E-F388843AD97F}"/>
    <dgm:cxn modelId="{D0AE7678-0826-4A64-AF6C-94381292B5E3}" type="presOf" srcId="{C9A5ADDD-BF7C-4013-9536-D262518F75D6}" destId="{0881AB9F-C725-4347-A4D2-911FE793CE0E}" srcOrd="0" destOrd="0" presId="urn:microsoft.com/office/officeart/2005/8/layout/process5"/>
    <dgm:cxn modelId="{AE56E27E-A191-437D-9947-76B0DC691C08}" type="presOf" srcId="{E84B8FAF-EE66-40FB-8086-5A218B6B60F8}" destId="{344933EB-6F1F-4945-94AB-D7C2271CDE06}" srcOrd="0" destOrd="0" presId="urn:microsoft.com/office/officeart/2005/8/layout/process5"/>
    <dgm:cxn modelId="{8B0E9BA5-8C72-4DEF-8649-8E33B05CCFC5}" srcId="{966AC1F3-E10F-4FCA-9371-5163DAB52088}" destId="{77D95AA4-82EF-498D-93E4-CA7B8AF1750B}" srcOrd="2" destOrd="0" parTransId="{561264B6-D0ED-4B19-BD05-CA65BA49E82B}" sibTransId="{C9A5ADDD-BF7C-4013-9536-D262518F75D6}"/>
    <dgm:cxn modelId="{ADB448A9-EE81-4572-B4C4-6E3A8F9DCF45}" type="presOf" srcId="{C7F362FD-FA30-43C5-AEB7-996801F1A034}" destId="{07DDD095-5551-44D7-A5A8-5F69A0B7A6FE}" srcOrd="1" destOrd="0" presId="urn:microsoft.com/office/officeart/2005/8/layout/process5"/>
    <dgm:cxn modelId="{6AE7C1AE-F427-4B99-8256-D0AE0E59B380}" srcId="{966AC1F3-E10F-4FCA-9371-5163DAB52088}" destId="{E84B8FAF-EE66-40FB-8086-5A218B6B60F8}" srcOrd="1" destOrd="0" parTransId="{4D9A89F3-9FA1-43F6-A916-78C02D208A43}" sibTransId="{21805F24-7193-4291-8939-D3F641C705DC}"/>
    <dgm:cxn modelId="{D3EE56B6-C862-4EEB-A932-292F89CCC890}" type="presOf" srcId="{21805F24-7193-4291-8939-D3F641C705DC}" destId="{480352BB-78E2-49E5-A7AF-1FFD1D62F5E9}" srcOrd="0" destOrd="0" presId="urn:microsoft.com/office/officeart/2005/8/layout/process5"/>
    <dgm:cxn modelId="{D95CF6B7-3B75-4C2B-99B8-8E51668A5159}" type="presOf" srcId="{1493C276-D96C-4AEF-8F49-57E9D43070B7}" destId="{E52A18AD-AAF2-4C5A-AB3B-1DCD703FC251}" srcOrd="0" destOrd="0" presId="urn:microsoft.com/office/officeart/2005/8/layout/process5"/>
    <dgm:cxn modelId="{7A6F96BB-39E6-4119-B9D7-62164405495F}" type="presOf" srcId="{CC12A1E6-F268-4881-B392-B29EA0C12633}" destId="{3A434F70-6D91-4A93-A66B-C139BCCE2834}" srcOrd="0" destOrd="0" presId="urn:microsoft.com/office/officeart/2005/8/layout/process5"/>
    <dgm:cxn modelId="{843EC7C7-FBA1-4179-BEAE-943AA310BD8D}" type="presOf" srcId="{4B446A01-B978-4181-92F6-D7D9504D46A6}" destId="{CD974BA1-6458-457E-BFC9-51B2EB604A00}" srcOrd="0" destOrd="0" presId="urn:microsoft.com/office/officeart/2005/8/layout/process5"/>
    <dgm:cxn modelId="{952F9BCC-050E-4695-AAFD-51D462B1569F}" type="presOf" srcId="{21805F24-7193-4291-8939-D3F641C705DC}" destId="{42095376-7A96-4A79-9809-085B04529605}" srcOrd="1" destOrd="0" presId="urn:microsoft.com/office/officeart/2005/8/layout/process5"/>
    <dgm:cxn modelId="{AB8A8CCE-3885-45C3-B9E1-E8D8F56F5231}" srcId="{966AC1F3-E10F-4FCA-9371-5163DAB52088}" destId="{3BA1B584-106B-48DC-B51D-49D694C54815}" srcOrd="6" destOrd="0" parTransId="{144F8DD8-4DD5-45E2-A72F-F459BCCC8DA8}" sibTransId="{4689E024-4627-49CC-8B6D-C76D62F346DB}"/>
    <dgm:cxn modelId="{36A975D4-8EFD-4AA4-8FF5-00EF63FEE7E0}" srcId="{966AC1F3-E10F-4FCA-9371-5163DAB52088}" destId="{59F1AE8B-4A01-4E2E-AF2F-2853BCF1E800}" srcOrd="0" destOrd="0" parTransId="{3E640447-D411-4C64-9DE4-DB327A30B578}" sibTransId="{C7F362FD-FA30-43C5-AEB7-996801F1A034}"/>
    <dgm:cxn modelId="{E8D8E5DA-4FA4-44EA-8622-542F421073A4}" type="presOf" srcId="{4689E024-4627-49CC-8B6D-C76D62F346DB}" destId="{1A3F8170-1865-486F-BBEC-03FCB9E3E788}" srcOrd="1" destOrd="0" presId="urn:microsoft.com/office/officeart/2005/8/layout/process5"/>
    <dgm:cxn modelId="{631C1FDE-99D7-4E92-90D5-43F778F72A6B}" srcId="{966AC1F3-E10F-4FCA-9371-5163DAB52088}" destId="{4B446A01-B978-4181-92F6-D7D9504D46A6}" srcOrd="4" destOrd="0" parTransId="{2677BB0A-F97A-409A-88BA-D4032B6455A9}" sibTransId="{1493C276-D96C-4AEF-8F49-57E9D43070B7}"/>
    <dgm:cxn modelId="{B4187EE0-B97F-4ADF-B59E-49BAE20141F0}" type="presOf" srcId="{C7F362FD-FA30-43C5-AEB7-996801F1A034}" destId="{56A07309-8E50-4D72-A341-3480DD01091C}" srcOrd="0" destOrd="0" presId="urn:microsoft.com/office/officeart/2005/8/layout/process5"/>
    <dgm:cxn modelId="{34798BF7-E8CD-428A-91A1-0E49A8DAD735}" type="presOf" srcId="{E82A35ED-24CD-4785-860D-8EFE61C5D274}" destId="{7055440C-0D26-4152-A4AF-93E7686C4141}" srcOrd="1" destOrd="0" presId="urn:microsoft.com/office/officeart/2005/8/layout/process5"/>
    <dgm:cxn modelId="{BA97BEF8-AF16-4601-A4A3-078EF750B3B2}" type="presOf" srcId="{1493C276-D96C-4AEF-8F49-57E9D43070B7}" destId="{220DBCF9-A929-4A71-9E73-C8F17E2809CC}" srcOrd="1" destOrd="0" presId="urn:microsoft.com/office/officeart/2005/8/layout/process5"/>
    <dgm:cxn modelId="{2561E8F8-997E-4854-837B-B9C8B99CC6D2}" type="presOf" srcId="{70F5E613-3390-40D1-BF8E-F388843AD97F}" destId="{635BD7BE-35C8-4076-940A-5CA980767A1B}" srcOrd="0" destOrd="0" presId="urn:microsoft.com/office/officeart/2005/8/layout/process5"/>
    <dgm:cxn modelId="{CE768DF9-0E27-4B18-9D85-A2667F357966}" type="presOf" srcId="{4689E024-4627-49CC-8B6D-C76D62F346DB}" destId="{4BDA44BC-B22C-4871-8EB8-CE44D1669E6B}" srcOrd="0" destOrd="0" presId="urn:microsoft.com/office/officeart/2005/8/layout/process5"/>
    <dgm:cxn modelId="{2D31F3EC-B79E-4CD7-B5D0-F9ECBF8DEDEB}" type="presParOf" srcId="{5605458E-3296-4214-B485-CE08C17B62CB}" destId="{B17FB33D-7E4B-4EF2-BCC0-F64546AC9D32}" srcOrd="0" destOrd="0" presId="urn:microsoft.com/office/officeart/2005/8/layout/process5"/>
    <dgm:cxn modelId="{28E4AF75-3EAD-4A67-B7B9-AD74285AF62B}" type="presParOf" srcId="{5605458E-3296-4214-B485-CE08C17B62CB}" destId="{56A07309-8E50-4D72-A341-3480DD01091C}" srcOrd="1" destOrd="0" presId="urn:microsoft.com/office/officeart/2005/8/layout/process5"/>
    <dgm:cxn modelId="{013A0784-76BF-45BE-B2DD-9B1BFB8FF0ED}" type="presParOf" srcId="{56A07309-8E50-4D72-A341-3480DD01091C}" destId="{07DDD095-5551-44D7-A5A8-5F69A0B7A6FE}" srcOrd="0" destOrd="0" presId="urn:microsoft.com/office/officeart/2005/8/layout/process5"/>
    <dgm:cxn modelId="{B3553EA3-8B5E-4DF4-99E7-DC77CD89785D}" type="presParOf" srcId="{5605458E-3296-4214-B485-CE08C17B62CB}" destId="{344933EB-6F1F-4945-94AB-D7C2271CDE06}" srcOrd="2" destOrd="0" presId="urn:microsoft.com/office/officeart/2005/8/layout/process5"/>
    <dgm:cxn modelId="{E46F7E43-4EA5-4AFC-AC7D-9C6405D6C711}" type="presParOf" srcId="{5605458E-3296-4214-B485-CE08C17B62CB}" destId="{480352BB-78E2-49E5-A7AF-1FFD1D62F5E9}" srcOrd="3" destOrd="0" presId="urn:microsoft.com/office/officeart/2005/8/layout/process5"/>
    <dgm:cxn modelId="{A408A273-BC1D-4E5E-9FA1-78ADAD8B5294}" type="presParOf" srcId="{480352BB-78E2-49E5-A7AF-1FFD1D62F5E9}" destId="{42095376-7A96-4A79-9809-085B04529605}" srcOrd="0" destOrd="0" presId="urn:microsoft.com/office/officeart/2005/8/layout/process5"/>
    <dgm:cxn modelId="{0D2EA6D5-47A4-4A80-B378-3B9A3ED7C0C7}" type="presParOf" srcId="{5605458E-3296-4214-B485-CE08C17B62CB}" destId="{5D5E8BDB-4538-40AB-AB92-406C8DA1B09F}" srcOrd="4" destOrd="0" presId="urn:microsoft.com/office/officeart/2005/8/layout/process5"/>
    <dgm:cxn modelId="{F1282125-C6CC-4040-9EA9-377B1A813E8C}" type="presParOf" srcId="{5605458E-3296-4214-B485-CE08C17B62CB}" destId="{0881AB9F-C725-4347-A4D2-911FE793CE0E}" srcOrd="5" destOrd="0" presId="urn:microsoft.com/office/officeart/2005/8/layout/process5"/>
    <dgm:cxn modelId="{3D1CFD7C-BACC-46D7-8FFB-19987D3A4B06}" type="presParOf" srcId="{0881AB9F-C725-4347-A4D2-911FE793CE0E}" destId="{3CC5CA89-955F-49CB-9029-AABF9C7F0C09}" srcOrd="0" destOrd="0" presId="urn:microsoft.com/office/officeart/2005/8/layout/process5"/>
    <dgm:cxn modelId="{AD09DF6E-43F1-4BAA-9BEC-A3580D549EB1}" type="presParOf" srcId="{5605458E-3296-4214-B485-CE08C17B62CB}" destId="{3A434F70-6D91-4A93-A66B-C139BCCE2834}" srcOrd="6" destOrd="0" presId="urn:microsoft.com/office/officeart/2005/8/layout/process5"/>
    <dgm:cxn modelId="{880B539F-A779-4501-9711-613471F739A7}" type="presParOf" srcId="{5605458E-3296-4214-B485-CE08C17B62CB}" destId="{635BD7BE-35C8-4076-940A-5CA980767A1B}" srcOrd="7" destOrd="0" presId="urn:microsoft.com/office/officeart/2005/8/layout/process5"/>
    <dgm:cxn modelId="{A8DA39A9-E3AB-4C08-BA96-0CCF6721FCB1}" type="presParOf" srcId="{635BD7BE-35C8-4076-940A-5CA980767A1B}" destId="{E42729F8-C301-4A13-AA34-0C48D849C3DF}" srcOrd="0" destOrd="0" presId="urn:microsoft.com/office/officeart/2005/8/layout/process5"/>
    <dgm:cxn modelId="{D95334AE-D52E-42C2-ACF3-0DAFC992B2E0}" type="presParOf" srcId="{5605458E-3296-4214-B485-CE08C17B62CB}" destId="{CD974BA1-6458-457E-BFC9-51B2EB604A00}" srcOrd="8" destOrd="0" presId="urn:microsoft.com/office/officeart/2005/8/layout/process5"/>
    <dgm:cxn modelId="{5864D0A0-A324-436B-B02B-E7C063F70CBC}" type="presParOf" srcId="{5605458E-3296-4214-B485-CE08C17B62CB}" destId="{E52A18AD-AAF2-4C5A-AB3B-1DCD703FC251}" srcOrd="9" destOrd="0" presId="urn:microsoft.com/office/officeart/2005/8/layout/process5"/>
    <dgm:cxn modelId="{B4529AE1-484E-4DD2-B03C-4EE238014219}" type="presParOf" srcId="{E52A18AD-AAF2-4C5A-AB3B-1DCD703FC251}" destId="{220DBCF9-A929-4A71-9E73-C8F17E2809CC}" srcOrd="0" destOrd="0" presId="urn:microsoft.com/office/officeart/2005/8/layout/process5"/>
    <dgm:cxn modelId="{617AC7FA-D1FC-4E00-A316-D6C5F18AC5F9}" type="presParOf" srcId="{5605458E-3296-4214-B485-CE08C17B62CB}" destId="{EE75DB63-BFEA-4F69-8634-A0D5A976A804}" srcOrd="10" destOrd="0" presId="urn:microsoft.com/office/officeart/2005/8/layout/process5"/>
    <dgm:cxn modelId="{A93C3B9A-1D61-434D-8DB4-07B2572AA953}" type="presParOf" srcId="{5605458E-3296-4214-B485-CE08C17B62CB}" destId="{42A6EC7E-D4C7-48D6-B35C-700FDAE08D4E}" srcOrd="11" destOrd="0" presId="urn:microsoft.com/office/officeart/2005/8/layout/process5"/>
    <dgm:cxn modelId="{96A5E5D2-B079-4EED-BF1B-4F3F4895590A}" type="presParOf" srcId="{42A6EC7E-D4C7-48D6-B35C-700FDAE08D4E}" destId="{7055440C-0D26-4152-A4AF-93E7686C4141}" srcOrd="0" destOrd="0" presId="urn:microsoft.com/office/officeart/2005/8/layout/process5"/>
    <dgm:cxn modelId="{C87F0D5D-AE44-4D6A-AC38-9DF8158CEECD}" type="presParOf" srcId="{5605458E-3296-4214-B485-CE08C17B62CB}" destId="{DC26ED64-659B-415E-B7E6-44CF26BC1B34}" srcOrd="12" destOrd="0" presId="urn:microsoft.com/office/officeart/2005/8/layout/process5"/>
    <dgm:cxn modelId="{714B46DD-8781-4719-91E9-D04C2A91C4C3}" type="presParOf" srcId="{5605458E-3296-4214-B485-CE08C17B62CB}" destId="{4BDA44BC-B22C-4871-8EB8-CE44D1669E6B}" srcOrd="13" destOrd="0" presId="urn:microsoft.com/office/officeart/2005/8/layout/process5"/>
    <dgm:cxn modelId="{CA16AE73-13F0-4732-9952-A34E31DBFE8C}" type="presParOf" srcId="{4BDA44BC-B22C-4871-8EB8-CE44D1669E6B}" destId="{1A3F8170-1865-486F-BBEC-03FCB9E3E788}" srcOrd="0" destOrd="0" presId="urn:microsoft.com/office/officeart/2005/8/layout/process5"/>
    <dgm:cxn modelId="{26324A78-A825-4673-A80A-A79E9D5481F9}" type="presParOf" srcId="{5605458E-3296-4214-B485-CE08C17B62CB}" destId="{63C9D89A-5C18-4333-930F-731E71C13782}" srcOrd="14" destOrd="0" presId="urn:microsoft.com/office/officeart/2005/8/layout/process5"/>
  </dgm:cxnLst>
  <dgm:bg/>
  <dgm:whole/>
  <dgm:extLst>
    <a:ext uri="http://schemas.microsoft.com/office/drawing/2008/diagram">
      <dsp:dataModelExt xmlns:dsp="http://schemas.microsoft.com/office/drawing/2008/diagram" relId="rId2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7FB33D-7E4B-4EF2-BCC0-F64546AC9D32}">
      <dsp:nvSpPr>
        <dsp:cNvPr id="0" name=""/>
        <dsp:cNvSpPr/>
      </dsp:nvSpPr>
      <dsp:spPr>
        <a:xfrm>
          <a:off x="627503" y="1205"/>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Identify the type and location of GDEs</a:t>
          </a:r>
        </a:p>
      </dsp:txBody>
      <dsp:txXfrm>
        <a:off x="648677" y="22379"/>
        <a:ext cx="1162527" cy="680577"/>
      </dsp:txXfrm>
    </dsp:sp>
    <dsp:sp modelId="{56A07309-8E50-4D72-A341-3480DD01091C}">
      <dsp:nvSpPr>
        <dsp:cNvPr id="0" name=""/>
        <dsp:cNvSpPr/>
      </dsp:nvSpPr>
      <dsp:spPr>
        <a:xfrm>
          <a:off x="1938407" y="213263"/>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1938407" y="273025"/>
        <a:ext cx="178803" cy="179285"/>
      </dsp:txXfrm>
    </dsp:sp>
    <dsp:sp modelId="{344933EB-6F1F-4945-94AB-D7C2271CDE06}">
      <dsp:nvSpPr>
        <dsp:cNvPr id="0" name=""/>
        <dsp:cNvSpPr/>
      </dsp:nvSpPr>
      <dsp:spPr>
        <a:xfrm>
          <a:off x="2314328" y="1205"/>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Infer or determine groundwater dependency.</a:t>
          </a:r>
        </a:p>
      </dsp:txBody>
      <dsp:txXfrm>
        <a:off x="2335502" y="22379"/>
        <a:ext cx="1162527" cy="680577"/>
      </dsp:txXfrm>
    </dsp:sp>
    <dsp:sp modelId="{480352BB-78E2-49E5-A7AF-1FFD1D62F5E9}">
      <dsp:nvSpPr>
        <dsp:cNvPr id="0" name=""/>
        <dsp:cNvSpPr/>
      </dsp:nvSpPr>
      <dsp:spPr>
        <a:xfrm>
          <a:off x="3625233" y="213263"/>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3625233" y="273025"/>
        <a:ext cx="178803" cy="179285"/>
      </dsp:txXfrm>
    </dsp:sp>
    <dsp:sp modelId="{5D5E8BDB-4538-40AB-AB92-406C8DA1B09F}">
      <dsp:nvSpPr>
        <dsp:cNvPr id="0" name=""/>
        <dsp:cNvSpPr/>
      </dsp:nvSpPr>
      <dsp:spPr>
        <a:xfrm>
          <a:off x="4001154" y="1205"/>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Identify High ecological Value Assets of aquifer</a:t>
          </a:r>
        </a:p>
      </dsp:txBody>
      <dsp:txXfrm>
        <a:off x="4022328" y="22379"/>
        <a:ext cx="1162527" cy="680577"/>
      </dsp:txXfrm>
    </dsp:sp>
    <dsp:sp modelId="{0881AB9F-C725-4347-A4D2-911FE793CE0E}">
      <dsp:nvSpPr>
        <dsp:cNvPr id="0" name=""/>
        <dsp:cNvSpPr/>
      </dsp:nvSpPr>
      <dsp:spPr>
        <a:xfrm rot="5400000">
          <a:off x="4475875" y="808472"/>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rot="-5400000">
        <a:off x="4513949" y="830160"/>
        <a:ext cx="179285" cy="178803"/>
      </dsp:txXfrm>
    </dsp:sp>
    <dsp:sp modelId="{3A434F70-6D91-4A93-A66B-C139BCCE2834}">
      <dsp:nvSpPr>
        <dsp:cNvPr id="0" name=""/>
        <dsp:cNvSpPr/>
      </dsp:nvSpPr>
      <dsp:spPr>
        <a:xfrm>
          <a:off x="4001154" y="1206080"/>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Determine ecological value of GDEs and the associated aquifer.</a:t>
          </a:r>
        </a:p>
      </dsp:txBody>
      <dsp:txXfrm>
        <a:off x="4022328" y="1227254"/>
        <a:ext cx="1162527" cy="680577"/>
      </dsp:txXfrm>
    </dsp:sp>
    <dsp:sp modelId="{635BD7BE-35C8-4076-940A-5CA980767A1B}">
      <dsp:nvSpPr>
        <dsp:cNvPr id="0" name=""/>
        <dsp:cNvSpPr/>
      </dsp:nvSpPr>
      <dsp:spPr>
        <a:xfrm rot="10800000">
          <a:off x="3639691" y="1418138"/>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rot="10800000">
        <a:off x="3716321" y="1477900"/>
        <a:ext cx="178803" cy="179285"/>
      </dsp:txXfrm>
    </dsp:sp>
    <dsp:sp modelId="{CD974BA1-6458-457E-BFC9-51B2EB604A00}">
      <dsp:nvSpPr>
        <dsp:cNvPr id="0" name=""/>
        <dsp:cNvSpPr/>
      </dsp:nvSpPr>
      <dsp:spPr>
        <a:xfrm>
          <a:off x="2314328" y="1206080"/>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Determine the impact of an activity to identified GDEs</a:t>
          </a:r>
        </a:p>
      </dsp:txBody>
      <dsp:txXfrm>
        <a:off x="2335502" y="1227254"/>
        <a:ext cx="1162527" cy="680577"/>
      </dsp:txXfrm>
    </dsp:sp>
    <dsp:sp modelId="{E52A18AD-AAF2-4C5A-AB3B-1DCD703FC251}">
      <dsp:nvSpPr>
        <dsp:cNvPr id="0" name=""/>
        <dsp:cNvSpPr/>
      </dsp:nvSpPr>
      <dsp:spPr>
        <a:xfrm rot="10800000">
          <a:off x="1952866" y="1418138"/>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rot="10800000">
        <a:off x="2029496" y="1477900"/>
        <a:ext cx="178803" cy="179285"/>
      </dsp:txXfrm>
    </dsp:sp>
    <dsp:sp modelId="{EE75DB63-BFEA-4F69-8634-A0D5A976A804}">
      <dsp:nvSpPr>
        <dsp:cNvPr id="0" name=""/>
        <dsp:cNvSpPr/>
      </dsp:nvSpPr>
      <dsp:spPr>
        <a:xfrm>
          <a:off x="627503" y="1206080"/>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Determine the magnitude of the risk to identified GDEs. </a:t>
          </a:r>
        </a:p>
      </dsp:txBody>
      <dsp:txXfrm>
        <a:off x="648677" y="1227254"/>
        <a:ext cx="1162527" cy="680577"/>
      </dsp:txXfrm>
    </dsp:sp>
    <dsp:sp modelId="{42A6EC7E-D4C7-48D6-B35C-700FDAE08D4E}">
      <dsp:nvSpPr>
        <dsp:cNvPr id="0" name=""/>
        <dsp:cNvSpPr/>
      </dsp:nvSpPr>
      <dsp:spPr>
        <a:xfrm rot="5400000">
          <a:off x="1102224" y="2013347"/>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rot="-5400000">
        <a:off x="1140298" y="2035035"/>
        <a:ext cx="179285" cy="178803"/>
      </dsp:txXfrm>
    </dsp:sp>
    <dsp:sp modelId="{DC26ED64-659B-415E-B7E6-44CF26BC1B34}">
      <dsp:nvSpPr>
        <dsp:cNvPr id="0" name=""/>
        <dsp:cNvSpPr/>
      </dsp:nvSpPr>
      <dsp:spPr>
        <a:xfrm>
          <a:off x="627503" y="2410956"/>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Apply the GDE Risk Matrix</a:t>
          </a:r>
        </a:p>
      </dsp:txBody>
      <dsp:txXfrm>
        <a:off x="648677" y="2432130"/>
        <a:ext cx="1162527" cy="680577"/>
      </dsp:txXfrm>
    </dsp:sp>
    <dsp:sp modelId="{4BDA44BC-B22C-4871-8EB8-CE44D1669E6B}">
      <dsp:nvSpPr>
        <dsp:cNvPr id="0" name=""/>
        <dsp:cNvSpPr/>
      </dsp:nvSpPr>
      <dsp:spPr>
        <a:xfrm>
          <a:off x="1938407" y="2623014"/>
          <a:ext cx="255433" cy="2988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1938407" y="2682776"/>
        <a:ext cx="178803" cy="179285"/>
      </dsp:txXfrm>
    </dsp:sp>
    <dsp:sp modelId="{63C9D89A-5C18-4333-930F-731E71C13782}">
      <dsp:nvSpPr>
        <dsp:cNvPr id="0" name=""/>
        <dsp:cNvSpPr/>
      </dsp:nvSpPr>
      <dsp:spPr>
        <a:xfrm>
          <a:off x="2314328" y="2410956"/>
          <a:ext cx="1204875" cy="7229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AU" sz="900" kern="1200"/>
            <a:t>Apply management actions, including mitigation associated with each ‘box’ in the risk matrix.</a:t>
          </a:r>
        </a:p>
      </dsp:txBody>
      <dsp:txXfrm>
        <a:off x="2335502" y="2432130"/>
        <a:ext cx="1162527" cy="68057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WSS colour palette">
      <a:dk1>
        <a:srgbClr val="005A97"/>
      </a:dk1>
      <a:lt1>
        <a:srgbClr val="ADD1EB"/>
      </a:lt1>
      <a:dk2>
        <a:srgbClr val="AEC12D"/>
      </a:dk2>
      <a:lt2>
        <a:srgbClr val="D5E17F"/>
      </a:lt2>
      <a:accent1>
        <a:srgbClr val="665A58"/>
      </a:accent1>
      <a:accent2>
        <a:srgbClr val="C7BEBD"/>
      </a:accent2>
      <a:accent3>
        <a:srgbClr val="3F3F3F"/>
      </a:accent3>
      <a:accent4>
        <a:srgbClr val="7F7F7F"/>
      </a:accent4>
      <a:accent5>
        <a:srgbClr val="000000"/>
      </a:accent5>
      <a:accent6>
        <a:srgbClr val="CDCDCD"/>
      </a:accent6>
      <a:hlink>
        <a:srgbClr val="FFFFFF"/>
      </a:hlink>
      <a:folHlink>
        <a:srgbClr val="FFFFFF"/>
      </a:folHlink>
    </a:clrScheme>
    <a:fontScheme name="WoVG">
      <a:majorFont>
        <a:latin typeface="Cambria"/>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D53E5D-FF54-4AF8-BBE4-11553C698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71310</Words>
  <Characters>406467</Characters>
  <Application>Microsoft Office Word</Application>
  <DocSecurity>0</DocSecurity>
  <Lines>3387</Lines>
  <Paragraphs>953</Paragraphs>
  <ScaleCrop>false</ScaleCrop>
  <HeadingPairs>
    <vt:vector size="2" baseType="variant">
      <vt:variant>
        <vt:lpstr>Title</vt:lpstr>
      </vt:variant>
      <vt:variant>
        <vt:i4>1</vt:i4>
      </vt:variant>
    </vt:vector>
  </HeadingPairs>
  <TitlesOfParts>
    <vt:vector size="1" baseType="lpstr">
      <vt:lpstr>Document</vt:lpstr>
    </vt:vector>
  </TitlesOfParts>
  <Company>Department of Innovation, Industry and Regional Development</Company>
  <LinksUpToDate>false</LinksUpToDate>
  <CharactersWithSpaces>476824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dc:title>
  <dc:creator>GHoxley</dc:creator>
  <cp:lastModifiedBy>Paula Farren (DEDJTR)</cp:lastModifiedBy>
  <cp:revision>2</cp:revision>
  <cp:lastPrinted>2015-07-07T01:24:00Z</cp:lastPrinted>
  <dcterms:created xsi:type="dcterms:W3CDTF">2017-11-30T04:12:00Z</dcterms:created>
  <dcterms:modified xsi:type="dcterms:W3CDTF">2017-11-30T04:12:00Z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e9e234fa-d02a-4681-a47f-070507049731</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Cassady O'Neill</vt:lpwstr>
  </property>
</Properties>
</file>