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E133" w14:textId="455D4F23" w:rsidR="00254F12" w:rsidRPr="007D789B" w:rsidRDefault="00254F12" w:rsidP="007D789B">
      <w:pPr>
        <w:pStyle w:val="Heading1"/>
        <w:framePr w:wrap="around"/>
        <w:shd w:val="clear" w:color="auto" w:fill="auto"/>
        <w:rPr>
          <w:color w:val="343741" w:themeColor="text2"/>
        </w:rPr>
      </w:pPr>
      <w:bookmarkStart w:id="0" w:name="_Toc106305998"/>
    </w:p>
    <w:sdt>
      <w:sdtPr>
        <w:rPr>
          <w:b/>
          <w:bCs w:val="0"/>
          <w:color w:val="343741" w:themeColor="text2"/>
          <w:sz w:val="36"/>
          <w:szCs w:val="36"/>
        </w:rPr>
        <w:alias w:val="Subtitle"/>
        <w:tag w:val=""/>
        <w:id w:val="328029620"/>
        <w:placeholder>
          <w:docPart w:val="B8DE0F47C7C447FA870B4D32ED7476D7"/>
        </w:placeholder>
        <w:dataBinding w:prefixMappings="xmlns:ns0='http://purl.org/dc/elements/1.1/' xmlns:ns1='http://schemas.openxmlformats.org/package/2006/metadata/core-properties' " w:xpath="/ns1:coreProperties[1]/ns0:subject[1]" w:storeItemID="{6C3C8BC8-F283-45AE-878A-BAB7291924A1}"/>
        <w:text/>
      </w:sdtPr>
      <w:sdtContent>
        <w:p w14:paraId="0D7D1109" w14:textId="0D17A6C2" w:rsidR="004C1F02" w:rsidRPr="008B1B31" w:rsidRDefault="00427977" w:rsidP="008B1B31">
          <w:pPr>
            <w:pStyle w:val="Subtitle"/>
            <w:framePr w:wrap="around"/>
            <w:shd w:val="clear" w:color="auto" w:fill="auto"/>
            <w:jc w:val="center"/>
            <w:rPr>
              <w:b/>
              <w:bCs w:val="0"/>
              <w:color w:val="343741" w:themeColor="text2"/>
              <w:sz w:val="36"/>
              <w:szCs w:val="36"/>
            </w:rPr>
          </w:pPr>
          <w:r w:rsidRPr="008B1B31">
            <w:rPr>
              <w:b/>
              <w:bCs w:val="0"/>
              <w:color w:val="343741" w:themeColor="text2"/>
              <w:sz w:val="36"/>
              <w:szCs w:val="36"/>
            </w:rPr>
            <w:t>Royalty Information Sheet - Minerals</w:t>
          </w:r>
        </w:p>
      </w:sdtContent>
    </w:sdt>
    <w:p w14:paraId="12033FE4" w14:textId="77777777" w:rsidR="00254F12" w:rsidRPr="004C1F02" w:rsidRDefault="00254F12" w:rsidP="004C1F02">
      <w:pPr>
        <w:pStyle w:val="xVicLogo"/>
        <w:framePr w:wrap="around"/>
      </w:pPr>
      <w:r w:rsidRPr="004C1F02">
        <w:rPr>
          <w:noProof/>
        </w:rPr>
        <w:drawing>
          <wp:inline distT="0" distB="0" distL="0" distR="0" wp14:anchorId="7BF0345D" wp14:editId="4915D197">
            <wp:extent cx="1540492" cy="444948"/>
            <wp:effectExtent l="0" t="0" r="0" b="0"/>
            <wp:docPr id="36" name="Cover_Logo_StateGov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540492" cy="444948"/>
                    </a:xfrm>
                    <a:prstGeom prst="rect">
                      <a:avLst/>
                    </a:prstGeom>
                  </pic:spPr>
                </pic:pic>
              </a:graphicData>
            </a:graphic>
          </wp:inline>
        </w:drawing>
      </w:r>
    </w:p>
    <w:p w14:paraId="21B6DB75" w14:textId="54ECA9F9" w:rsidR="00712437" w:rsidRDefault="00712437" w:rsidP="00712437">
      <w:pPr>
        <w:pStyle w:val="xPartnerLogo"/>
        <w:framePr w:wrap="around"/>
      </w:pPr>
      <w:hyperlink r:id="rId16" w:tooltip="Visit DEECA" w:history="1">
        <w:r w:rsidRPr="00712437">
          <w:rPr>
            <w:position w:val="6"/>
          </w:rPr>
          <w:t>deeca.vic.gov.au</w:t>
        </w:r>
      </w:hyperlink>
      <w:r>
        <w:t> </w:t>
      </w:r>
    </w:p>
    <w:bookmarkStart w:id="1" w:name="_Hlk143247946"/>
    <w:p w14:paraId="7F0DD1DF" w14:textId="07734AD8" w:rsidR="002F14AC" w:rsidRDefault="00A95451" w:rsidP="00FE7FB1">
      <w:pPr>
        <w:pStyle w:val="BodyText"/>
      </w:pPr>
      <w:r>
        <w:rPr>
          <w:noProof/>
        </w:rPr>
        <mc:AlternateContent>
          <mc:Choice Requires="wps">
            <w:drawing>
              <wp:anchor distT="45720" distB="45720" distL="114300" distR="114300" simplePos="0" relativeHeight="251711488" behindDoc="1" locked="0" layoutInCell="1" allowOverlap="1" wp14:anchorId="0D35679A" wp14:editId="36711C9D">
                <wp:simplePos x="0" y="0"/>
                <wp:positionH relativeFrom="column">
                  <wp:posOffset>-178435</wp:posOffset>
                </wp:positionH>
                <wp:positionV relativeFrom="paragraph">
                  <wp:posOffset>7846695</wp:posOffset>
                </wp:positionV>
                <wp:extent cx="6848475" cy="1095375"/>
                <wp:effectExtent l="0" t="0" r="28575" b="28575"/>
                <wp:wrapNone/>
                <wp:docPr id="431642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095375"/>
                        </a:xfrm>
                        <a:prstGeom prst="rect">
                          <a:avLst/>
                        </a:prstGeom>
                        <a:solidFill>
                          <a:srgbClr val="FFFFFF"/>
                        </a:solidFill>
                        <a:ln w="9525">
                          <a:solidFill>
                            <a:schemeClr val="bg1"/>
                          </a:solidFill>
                          <a:miter lim="800000"/>
                          <a:headEnd/>
                          <a:tailEnd/>
                        </a:ln>
                      </wps:spPr>
                      <wps:txbx>
                        <w:txbxContent>
                          <w:p w14:paraId="1A71C764" w14:textId="77777777" w:rsidR="00A95451" w:rsidRPr="005E088A" w:rsidRDefault="00A95451" w:rsidP="00A95451">
                            <w:pPr>
                              <w:pStyle w:val="FootnoteText"/>
                              <w:keepLines w:val="0"/>
                              <w:numPr>
                                <w:ilvl w:val="0"/>
                                <w:numId w:val="42"/>
                              </w:numPr>
                              <w:tabs>
                                <w:tab w:val="clear" w:pos="340"/>
                              </w:tabs>
                              <w:spacing w:before="40" w:after="0" w:line="240" w:lineRule="auto"/>
                              <w:ind w:left="714" w:hanging="357"/>
                              <w:rPr>
                                <w:color w:val="808080" w:themeColor="background1" w:themeShade="80"/>
                                <w:sz w:val="16"/>
                                <w:szCs w:val="16"/>
                              </w:rPr>
                            </w:pPr>
                            <w:r w:rsidRPr="005E088A">
                              <w:rPr>
                                <w:color w:val="808080" w:themeColor="background1" w:themeShade="80"/>
                                <w:sz w:val="16"/>
                                <w:szCs w:val="16"/>
                              </w:rPr>
                              <w:t>Act, s 12 (1)</w:t>
                            </w:r>
                          </w:p>
                          <w:p w14:paraId="19FB12BF" w14:textId="6D238F5A" w:rsidR="00A95451" w:rsidRPr="005E088A" w:rsidRDefault="00A95451" w:rsidP="00A95451">
                            <w:pPr>
                              <w:pStyle w:val="FootnoteText"/>
                              <w:keepLines w:val="0"/>
                              <w:numPr>
                                <w:ilvl w:val="0"/>
                                <w:numId w:val="42"/>
                              </w:numPr>
                              <w:tabs>
                                <w:tab w:val="clear" w:pos="340"/>
                              </w:tabs>
                              <w:spacing w:before="40" w:after="0" w:line="240" w:lineRule="auto"/>
                              <w:ind w:left="714" w:hanging="357"/>
                              <w:rPr>
                                <w:color w:val="808080" w:themeColor="background1" w:themeShade="80"/>
                                <w:sz w:val="16"/>
                                <w:szCs w:val="16"/>
                              </w:rPr>
                            </w:pPr>
                            <w:r w:rsidRPr="005E088A">
                              <w:rPr>
                                <w:color w:val="808080" w:themeColor="background1" w:themeShade="80"/>
                                <w:sz w:val="16"/>
                                <w:szCs w:val="16"/>
                              </w:rPr>
                              <w:t>Mineral Resources (Sustainable Development) (Mineral Industries) Regulations 2019,Regulation 6 (1) and Mineral Resources (Sustainable Development) (Mineral Industries) Amendment Regulations 2019, Regulation 5 (1)(a)</w:t>
                            </w:r>
                          </w:p>
                          <w:p w14:paraId="500AE930" w14:textId="57D3015F" w:rsidR="00A95451" w:rsidRPr="005E088A" w:rsidRDefault="00A95451" w:rsidP="00A95451">
                            <w:pPr>
                              <w:pStyle w:val="FootnoteText"/>
                              <w:keepLines w:val="0"/>
                              <w:numPr>
                                <w:ilvl w:val="0"/>
                                <w:numId w:val="42"/>
                              </w:numPr>
                              <w:tabs>
                                <w:tab w:val="clear" w:pos="340"/>
                              </w:tabs>
                              <w:spacing w:before="40" w:after="0" w:line="240" w:lineRule="auto"/>
                              <w:ind w:left="714" w:hanging="357"/>
                              <w:rPr>
                                <w:color w:val="808080" w:themeColor="background1" w:themeShade="80"/>
                                <w:sz w:val="16"/>
                                <w:szCs w:val="16"/>
                              </w:rPr>
                            </w:pPr>
                            <w:r w:rsidRPr="005E088A">
                              <w:rPr>
                                <w:color w:val="808080" w:themeColor="background1" w:themeShade="80"/>
                                <w:sz w:val="16"/>
                                <w:szCs w:val="16"/>
                              </w:rPr>
                              <w:t xml:space="preserve">Mineral Resources (Sustainable Development) (Mineral Industries) Amendment Regulations 2019, Regulation 5 (1)(b) </w:t>
                            </w:r>
                          </w:p>
                          <w:p w14:paraId="4DA0B6AF" w14:textId="77777777" w:rsidR="00A95451" w:rsidRPr="005E088A" w:rsidRDefault="00A95451" w:rsidP="00A95451">
                            <w:pPr>
                              <w:pStyle w:val="FootnoteText"/>
                              <w:keepLines w:val="0"/>
                              <w:numPr>
                                <w:ilvl w:val="0"/>
                                <w:numId w:val="42"/>
                              </w:numPr>
                              <w:tabs>
                                <w:tab w:val="clear" w:pos="340"/>
                              </w:tabs>
                              <w:spacing w:before="40" w:after="0" w:line="240" w:lineRule="auto"/>
                              <w:ind w:left="714" w:hanging="357"/>
                              <w:rPr>
                                <w:color w:val="808080" w:themeColor="background1" w:themeShade="80"/>
                              </w:rPr>
                            </w:pPr>
                            <w:r w:rsidRPr="005E088A">
                              <w:rPr>
                                <w:color w:val="808080" w:themeColor="background1" w:themeShade="80"/>
                                <w:sz w:val="16"/>
                                <w:szCs w:val="16"/>
                              </w:rPr>
                              <w:t>Mineral Resources (Sustainable Development) (Mineral Industries) Regulations 2019, Regulation 4</w:t>
                            </w:r>
                          </w:p>
                          <w:p w14:paraId="298D2A72" w14:textId="77777777" w:rsidR="00A95451" w:rsidRPr="005E088A" w:rsidRDefault="00A95451" w:rsidP="00A95451">
                            <w:pPr>
                              <w:pStyle w:val="FootnoteText"/>
                              <w:keepLines w:val="0"/>
                              <w:numPr>
                                <w:ilvl w:val="0"/>
                                <w:numId w:val="42"/>
                              </w:numPr>
                              <w:tabs>
                                <w:tab w:val="clear" w:pos="340"/>
                              </w:tabs>
                              <w:spacing w:before="40" w:after="0" w:line="240" w:lineRule="auto"/>
                              <w:ind w:left="714" w:hanging="357"/>
                              <w:rPr>
                                <w:color w:val="808080" w:themeColor="background1" w:themeShade="80"/>
                              </w:rPr>
                            </w:pPr>
                            <w:r w:rsidRPr="005E088A">
                              <w:rPr>
                                <w:color w:val="808080" w:themeColor="background1" w:themeShade="80"/>
                                <w:sz w:val="16"/>
                                <w:szCs w:val="16"/>
                              </w:rPr>
                              <w:t>Mineral Resources (Sustainable Development) (Mineral Industries) Regulations 2019, Regulation 7</w:t>
                            </w:r>
                          </w:p>
                          <w:p w14:paraId="4888111C" w14:textId="62981480" w:rsidR="00821E9B" w:rsidRDefault="00821E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5679A" id="_x0000_t202" coordsize="21600,21600" o:spt="202" path="m,l,21600r21600,l21600,xe">
                <v:stroke joinstyle="miter"/>
                <v:path gradientshapeok="t" o:connecttype="rect"/>
              </v:shapetype>
              <v:shape id="Text Box 2" o:spid="_x0000_s1026" type="#_x0000_t202" style="position:absolute;margin-left:-14.05pt;margin-top:617.85pt;width:539.25pt;height:86.25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" strokecolor="white [3212]">
                <v:textbox>
                  <w:txbxContent>
                    <w:p w14:paraId="1A71C764" w14:textId="77777777" w:rsidR="00A95451" w:rsidRPr="005E088A" w:rsidRDefault="00A95451" w:rsidP="00A95451">
                      <w:pPr>
                        <w:pStyle w:val="FootnoteText"/>
                        <w:keepLines w:val="0"/>
                        <w:numPr>
                          <w:ilvl w:val="0"/>
                          <w:numId w:val="42"/>
                        </w:numPr>
                        <w:tabs>
                          <w:tab w:val="clear" w:pos="340"/>
                        </w:tabs>
                        <w:spacing w:before="40" w:after="0" w:line="240" w:lineRule="auto"/>
                        <w:ind w:left="714" w:hanging="357"/>
                        <w:rPr>
                          <w:color w:val="808080" w:themeColor="background1" w:themeShade="80"/>
                          <w:sz w:val="16"/>
                          <w:szCs w:val="16"/>
                        </w:rPr>
                      </w:pPr>
                      <w:r w:rsidRPr="005E088A">
                        <w:rPr>
                          <w:color w:val="808080" w:themeColor="background1" w:themeShade="80"/>
                          <w:sz w:val="16"/>
                          <w:szCs w:val="16"/>
                        </w:rPr>
                        <w:t>Act, s 12 (1)</w:t>
                      </w:r>
                    </w:p>
                    <w:p w14:paraId="19FB12BF" w14:textId="6D238F5A" w:rsidR="00A95451" w:rsidRPr="005E088A" w:rsidRDefault="00A95451" w:rsidP="00A95451">
                      <w:pPr>
                        <w:pStyle w:val="FootnoteText"/>
                        <w:keepLines w:val="0"/>
                        <w:numPr>
                          <w:ilvl w:val="0"/>
                          <w:numId w:val="42"/>
                        </w:numPr>
                        <w:tabs>
                          <w:tab w:val="clear" w:pos="340"/>
                        </w:tabs>
                        <w:spacing w:before="40" w:after="0" w:line="240" w:lineRule="auto"/>
                        <w:ind w:left="714" w:hanging="357"/>
                        <w:rPr>
                          <w:color w:val="808080" w:themeColor="background1" w:themeShade="80"/>
                          <w:sz w:val="16"/>
                          <w:szCs w:val="16"/>
                        </w:rPr>
                      </w:pPr>
                      <w:r w:rsidRPr="005E088A">
                        <w:rPr>
                          <w:color w:val="808080" w:themeColor="background1" w:themeShade="80"/>
                          <w:sz w:val="16"/>
                          <w:szCs w:val="16"/>
                        </w:rPr>
                        <w:t xml:space="preserve">Mineral Resources (Sustainable Development) (Mineral Industries) Regulations </w:t>
                      </w:r>
                      <w:proofErr w:type="gramStart"/>
                      <w:r w:rsidRPr="005E088A">
                        <w:rPr>
                          <w:color w:val="808080" w:themeColor="background1" w:themeShade="80"/>
                          <w:sz w:val="16"/>
                          <w:szCs w:val="16"/>
                        </w:rPr>
                        <w:t>2019,Regulation</w:t>
                      </w:r>
                      <w:proofErr w:type="gramEnd"/>
                      <w:r w:rsidRPr="005E088A">
                        <w:rPr>
                          <w:color w:val="808080" w:themeColor="background1" w:themeShade="80"/>
                          <w:sz w:val="16"/>
                          <w:szCs w:val="16"/>
                        </w:rPr>
                        <w:t xml:space="preserve"> 6 (1) and Mineral Resources (Sustainable Development) (Mineral Industries) Amendment</w:t>
                      </w:r>
                      <w:r w:rsidRPr="005E088A">
                        <w:rPr>
                          <w:color w:val="808080" w:themeColor="background1" w:themeShade="80"/>
                          <w:sz w:val="16"/>
                          <w:szCs w:val="16"/>
                        </w:rPr>
                        <w:t xml:space="preserve"> </w:t>
                      </w:r>
                      <w:r w:rsidRPr="005E088A">
                        <w:rPr>
                          <w:color w:val="808080" w:themeColor="background1" w:themeShade="80"/>
                          <w:sz w:val="16"/>
                          <w:szCs w:val="16"/>
                        </w:rPr>
                        <w:t>Regulations 2019, Regulation 5 (1)(a)</w:t>
                      </w:r>
                    </w:p>
                    <w:p w14:paraId="500AE930" w14:textId="57D3015F" w:rsidR="00A95451" w:rsidRPr="005E088A" w:rsidRDefault="00A95451" w:rsidP="00A95451">
                      <w:pPr>
                        <w:pStyle w:val="FootnoteText"/>
                        <w:keepLines w:val="0"/>
                        <w:numPr>
                          <w:ilvl w:val="0"/>
                          <w:numId w:val="42"/>
                        </w:numPr>
                        <w:tabs>
                          <w:tab w:val="clear" w:pos="340"/>
                        </w:tabs>
                        <w:spacing w:before="40" w:after="0" w:line="240" w:lineRule="auto"/>
                        <w:ind w:left="714" w:hanging="357"/>
                        <w:rPr>
                          <w:color w:val="808080" w:themeColor="background1" w:themeShade="80"/>
                          <w:sz w:val="16"/>
                          <w:szCs w:val="16"/>
                        </w:rPr>
                      </w:pPr>
                      <w:r w:rsidRPr="005E088A">
                        <w:rPr>
                          <w:color w:val="808080" w:themeColor="background1" w:themeShade="80"/>
                          <w:sz w:val="16"/>
                          <w:szCs w:val="16"/>
                        </w:rPr>
                        <w:t>Mineral Resources (Sustainable Development) (Mineral Industries) Amendment Regulations 2019,</w:t>
                      </w:r>
                      <w:r w:rsidRPr="005E088A">
                        <w:rPr>
                          <w:color w:val="808080" w:themeColor="background1" w:themeShade="80"/>
                          <w:sz w:val="16"/>
                          <w:szCs w:val="16"/>
                        </w:rPr>
                        <w:t xml:space="preserve"> </w:t>
                      </w:r>
                      <w:r w:rsidRPr="005E088A">
                        <w:rPr>
                          <w:color w:val="808080" w:themeColor="background1" w:themeShade="80"/>
                          <w:sz w:val="16"/>
                          <w:szCs w:val="16"/>
                        </w:rPr>
                        <w:t xml:space="preserve">Regulation 5 (1)(b) </w:t>
                      </w:r>
                    </w:p>
                    <w:p w14:paraId="4DA0B6AF" w14:textId="77777777" w:rsidR="00A95451" w:rsidRPr="005E088A" w:rsidRDefault="00A95451" w:rsidP="00A95451">
                      <w:pPr>
                        <w:pStyle w:val="FootnoteText"/>
                        <w:keepLines w:val="0"/>
                        <w:numPr>
                          <w:ilvl w:val="0"/>
                          <w:numId w:val="42"/>
                        </w:numPr>
                        <w:tabs>
                          <w:tab w:val="clear" w:pos="340"/>
                        </w:tabs>
                        <w:spacing w:before="40" w:after="0" w:line="240" w:lineRule="auto"/>
                        <w:ind w:left="714" w:hanging="357"/>
                        <w:rPr>
                          <w:color w:val="808080" w:themeColor="background1" w:themeShade="80"/>
                        </w:rPr>
                      </w:pPr>
                      <w:r w:rsidRPr="005E088A">
                        <w:rPr>
                          <w:color w:val="808080" w:themeColor="background1" w:themeShade="80"/>
                          <w:sz w:val="16"/>
                          <w:szCs w:val="16"/>
                        </w:rPr>
                        <w:t>Mineral Resources (Sustainable Development) (Mineral Industries) Regulations 2019, Regulation 4</w:t>
                      </w:r>
                    </w:p>
                    <w:p w14:paraId="298D2A72" w14:textId="77777777" w:rsidR="00A95451" w:rsidRPr="005E088A" w:rsidRDefault="00A95451" w:rsidP="00A95451">
                      <w:pPr>
                        <w:pStyle w:val="FootnoteText"/>
                        <w:keepLines w:val="0"/>
                        <w:numPr>
                          <w:ilvl w:val="0"/>
                          <w:numId w:val="42"/>
                        </w:numPr>
                        <w:tabs>
                          <w:tab w:val="clear" w:pos="340"/>
                        </w:tabs>
                        <w:spacing w:before="40" w:after="0" w:line="240" w:lineRule="auto"/>
                        <w:ind w:left="714" w:hanging="357"/>
                        <w:rPr>
                          <w:color w:val="808080" w:themeColor="background1" w:themeShade="80"/>
                        </w:rPr>
                      </w:pPr>
                      <w:r w:rsidRPr="005E088A">
                        <w:rPr>
                          <w:color w:val="808080" w:themeColor="background1" w:themeShade="80"/>
                          <w:sz w:val="16"/>
                          <w:szCs w:val="16"/>
                        </w:rPr>
                        <w:t>Mineral Resources (Sustainable Development) (Mineral Industries) Regulations 2019, Regulation 7</w:t>
                      </w:r>
                    </w:p>
                    <w:p w14:paraId="4888111C" w14:textId="62981480" w:rsidR="00821E9B" w:rsidRDefault="00821E9B"/>
                  </w:txbxContent>
                </v:textbox>
              </v:shape>
            </w:pict>
          </mc:Fallback>
        </mc:AlternateContent>
      </w:r>
      <w:r>
        <w:rPr>
          <w:noProof/>
        </w:rPr>
        <mc:AlternateContent>
          <mc:Choice Requires="wps">
            <w:drawing>
              <wp:anchor distT="45720" distB="45720" distL="114300" distR="114300" simplePos="0" relativeHeight="251709440" behindDoc="0" locked="0" layoutInCell="1" allowOverlap="1" wp14:anchorId="42289234" wp14:editId="3B483D9F">
                <wp:simplePos x="0" y="0"/>
                <wp:positionH relativeFrom="column">
                  <wp:posOffset>-178435</wp:posOffset>
                </wp:positionH>
                <wp:positionV relativeFrom="paragraph">
                  <wp:posOffset>1398905</wp:posOffset>
                </wp:positionV>
                <wp:extent cx="6848475" cy="6486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486525"/>
                        </a:xfrm>
                        <a:prstGeom prst="rect">
                          <a:avLst/>
                        </a:prstGeom>
                        <a:solidFill>
                          <a:srgbClr val="FFFFFF"/>
                        </a:solidFill>
                        <a:ln w="9525">
                          <a:noFill/>
                          <a:miter lim="800000"/>
                          <a:headEnd/>
                          <a:tailEnd/>
                        </a:ln>
                      </wps:spPr>
                      <wps:txbx>
                        <w:txbxContent>
                          <w:p w14:paraId="67914005" w14:textId="53C69F74" w:rsidR="00810ABE" w:rsidRPr="00D847AB" w:rsidRDefault="00A41A97">
                            <w:r w:rsidRPr="00D847AB">
                              <w:t xml:space="preserve">The </w:t>
                            </w:r>
                            <w:r w:rsidRPr="00D847AB">
                              <w:rPr>
                                <w:i/>
                              </w:rPr>
                              <w:t>Mineral Resources (Sustainable Development) Act 1990</w:t>
                            </w:r>
                            <w:r w:rsidRPr="00D847AB">
                              <w:t xml:space="preserve"> (MRSDA) requires that </w:t>
                            </w:r>
                            <w:r w:rsidRPr="00D847AB">
                              <w:rPr>
                                <w:i/>
                              </w:rPr>
                              <w:t>“the holder of a mineral licence must pay royalties in accordance with the rate or method of assessment”</w:t>
                            </w:r>
                            <w:r w:rsidRPr="00D847AB">
                              <w:t>.</w:t>
                            </w:r>
                            <w:r w:rsidRPr="00D847AB">
                              <w:rPr>
                                <w:rStyle w:val="FootnoteReference"/>
                              </w:rPr>
                              <w:footnoteRef/>
                            </w:r>
                            <w:r w:rsidRPr="00D847AB">
                              <w:t xml:space="preserve"> Mineral Industries Regulations gives the royalty rate as 2.75 per cent of the “net market value” for all minerals other than lignite.</w:t>
                            </w:r>
                            <w:r w:rsidRPr="00D847AB">
                              <w:rPr>
                                <w:rStyle w:val="FootnoteReference"/>
                              </w:rPr>
                              <w:t>2</w:t>
                            </w:r>
                          </w:p>
                          <w:p w14:paraId="6C79A1D4" w14:textId="77777777" w:rsidR="009E682C" w:rsidRPr="00D847AB" w:rsidRDefault="009E682C" w:rsidP="009E682C">
                            <w:pPr>
                              <w:pStyle w:val="heading1blue"/>
                              <w:rPr>
                                <w:b/>
                                <w:bCs/>
                                <w:sz w:val="20"/>
                                <w:u w:val="single"/>
                              </w:rPr>
                            </w:pPr>
                            <w:r w:rsidRPr="00D847AB">
                              <w:rPr>
                                <w:b/>
                                <w:bCs/>
                                <w:sz w:val="20"/>
                                <w:u w:val="single"/>
                              </w:rPr>
                              <w:t>Net Market Value</w:t>
                            </w:r>
                          </w:p>
                          <w:p w14:paraId="11422BD1" w14:textId="30CF8F38" w:rsidR="009E682C" w:rsidRPr="00076C27" w:rsidRDefault="009E682C" w:rsidP="009E682C">
                            <w:pPr>
                              <w:pStyle w:val="bodycopy"/>
                            </w:pPr>
                            <w:r w:rsidRPr="00076C27">
                              <w:t xml:space="preserve">Net market value means the market value </w:t>
                            </w:r>
                            <w:proofErr w:type="spellStart"/>
                            <w:r>
                              <w:t>ie</w:t>
                            </w:r>
                            <w:proofErr w:type="spellEnd"/>
                            <w:r>
                              <w:t xml:space="preserve"> commercial value, </w:t>
                            </w:r>
                            <w:r w:rsidRPr="00076C27">
                              <w:t>of the mineral at the time it is first sold, transferred or disposed of less any costs reasonably, necessarily, and directly incurred by the licensee in connection with the sale, transfer or disposal (including insurance, freight and marketing).</w:t>
                            </w:r>
                            <w:r w:rsidR="0091114B">
                              <w:rPr>
                                <w:rStyle w:val="FootnoteReference"/>
                              </w:rPr>
                              <w:t>4</w:t>
                            </w:r>
                          </w:p>
                          <w:p w14:paraId="3297B6AF" w14:textId="77777777" w:rsidR="009E682C" w:rsidRDefault="009E682C" w:rsidP="009E682C">
                            <w:pPr>
                              <w:pStyle w:val="bodycopy"/>
                            </w:pPr>
                            <w:r>
                              <w:t xml:space="preserve">It should be noted that the minerals royalty under the MRSDA is a royalty on </w:t>
                            </w:r>
                            <w:r w:rsidRPr="00E50AC1">
                              <w:rPr>
                                <w:i/>
                              </w:rPr>
                              <w:t xml:space="preserve">value </w:t>
                            </w:r>
                            <w:r w:rsidRPr="00E50AC1">
                              <w:rPr>
                                <w:b/>
                                <w:i/>
                              </w:rPr>
                              <w:t>not profit</w:t>
                            </w:r>
                            <w:r>
                              <w:t>. As such, the costs that are deductible are only those that relate to the movement or sale of the finished product from the mine site to the customer.</w:t>
                            </w:r>
                          </w:p>
                          <w:p w14:paraId="409FC34A" w14:textId="77777777" w:rsidR="00D25BC9" w:rsidRDefault="00D25BC9" w:rsidP="00D25BC9">
                            <w:pPr>
                              <w:pStyle w:val="heading2black"/>
                            </w:pPr>
                            <w:r w:rsidRPr="00076C27">
                              <w:t xml:space="preserve">In determining </w:t>
                            </w:r>
                            <w:r w:rsidRPr="00076C27">
                              <w:rPr>
                                <w:i/>
                              </w:rPr>
                              <w:t>net market value,</w:t>
                            </w:r>
                            <w:r w:rsidRPr="00076C27">
                              <w:t xml:space="preserve"> the following should be observed</w:t>
                            </w:r>
                            <w:r>
                              <w:t>:</w:t>
                            </w:r>
                          </w:p>
                          <w:p w14:paraId="4C13D270" w14:textId="77777777" w:rsidR="00D25BC9" w:rsidRDefault="00D25BC9" w:rsidP="00D25BC9">
                            <w:pPr>
                              <w:pStyle w:val="bodycopy"/>
                            </w:pPr>
                            <w:r>
                              <w:t xml:space="preserve">The </w:t>
                            </w:r>
                            <w:r w:rsidRPr="00076C27">
                              <w:rPr>
                                <w:i/>
                              </w:rPr>
                              <w:t>market value of the mineral</w:t>
                            </w:r>
                            <w:r>
                              <w:t xml:space="preserve"> means the value of the mineral if it were sold to an unrelated party in an arms-length commercial sale. The transfer or sale of the mineral to a related party at a price not reflecting the market value </w:t>
                            </w:r>
                            <w:proofErr w:type="spellStart"/>
                            <w:r>
                              <w:t>ie</w:t>
                            </w:r>
                            <w:proofErr w:type="spellEnd"/>
                            <w:r>
                              <w:t xml:space="preserve"> commercial value of the mineral is not accepted as the </w:t>
                            </w:r>
                            <w:r w:rsidRPr="00076C27">
                              <w:rPr>
                                <w:i/>
                              </w:rPr>
                              <w:t>market value of the mineral</w:t>
                            </w:r>
                            <w:r>
                              <w:t>.</w:t>
                            </w:r>
                          </w:p>
                          <w:p w14:paraId="039C3C83" w14:textId="77777777" w:rsidR="00B20715" w:rsidRDefault="00B20715" w:rsidP="00B20715">
                            <w:pPr>
                              <w:pStyle w:val="bodycopy"/>
                            </w:pPr>
                            <w:r>
                              <w:t xml:space="preserve">Deductible costs are only those </w:t>
                            </w:r>
                            <w:r w:rsidRPr="00D847AB">
                              <w:rPr>
                                <w:b/>
                                <w:bCs/>
                              </w:rPr>
                              <w:t>directly</w:t>
                            </w:r>
                            <w:r>
                              <w:t xml:space="preserve"> incurred by the licensee in connection with the sale, transfer, or disposal of the mineral, and </w:t>
                            </w:r>
                            <w:r w:rsidRPr="00D847AB">
                              <w:rPr>
                                <w:b/>
                                <w:bCs/>
                              </w:rPr>
                              <w:t>may include</w:t>
                            </w:r>
                            <w:r>
                              <w:t>:</w:t>
                            </w:r>
                          </w:p>
                          <w:p w14:paraId="5CDC2A35" w14:textId="5DA101C1" w:rsidR="00D847AB" w:rsidRDefault="00897365" w:rsidP="00301F44">
                            <w:pPr>
                              <w:pStyle w:val="dotpoints"/>
                            </w:pPr>
                            <w:r>
                              <w:t>Direct m</w:t>
                            </w:r>
                            <w:r w:rsidR="00D847AB">
                              <w:t>arketing of the product</w:t>
                            </w:r>
                            <w:r w:rsidR="0032674B">
                              <w:t xml:space="preserve"> </w:t>
                            </w:r>
                            <w:r w:rsidR="00D847AB">
                              <w:t>*</w:t>
                            </w:r>
                          </w:p>
                          <w:p w14:paraId="306986C5" w14:textId="368E3F8C" w:rsidR="00D847AB" w:rsidRDefault="00D847AB" w:rsidP="00301F44">
                            <w:pPr>
                              <w:pStyle w:val="dotpoints"/>
                            </w:pPr>
                            <w:r>
                              <w:t xml:space="preserve">Cost of transit to the </w:t>
                            </w:r>
                            <w:r w:rsidR="00717927">
                              <w:t>point-of-sale</w:t>
                            </w:r>
                            <w:r>
                              <w:t xml:space="preserve"> </w:t>
                            </w:r>
                            <w:proofErr w:type="spellStart"/>
                            <w:r>
                              <w:t>ie</w:t>
                            </w:r>
                            <w:proofErr w:type="spellEnd"/>
                            <w:r>
                              <w:t xml:space="preserve"> processing facility*</w:t>
                            </w:r>
                          </w:p>
                          <w:p w14:paraId="66321DC4" w14:textId="33F34D12" w:rsidR="00301F44" w:rsidRDefault="00D847AB" w:rsidP="00301F44">
                            <w:pPr>
                              <w:pStyle w:val="dotpoints"/>
                            </w:pPr>
                            <w:r>
                              <w:t xml:space="preserve">Insurance of the product (if applicable) in transiting to the </w:t>
                            </w:r>
                            <w:r w:rsidR="00881DD4">
                              <w:t>point-of-sale</w:t>
                            </w:r>
                            <w:r w:rsidR="009B577C">
                              <w:t xml:space="preserve"> </w:t>
                            </w:r>
                            <w:proofErr w:type="spellStart"/>
                            <w:r w:rsidR="009B577C">
                              <w:t>ie</w:t>
                            </w:r>
                            <w:proofErr w:type="spellEnd"/>
                            <w:r w:rsidR="009B577C">
                              <w:t xml:space="preserve"> processing sale</w:t>
                            </w:r>
                            <w:r>
                              <w:t>*</w:t>
                            </w:r>
                          </w:p>
                          <w:p w14:paraId="06D5C084" w14:textId="5092F331" w:rsidR="005A632B" w:rsidRDefault="00D847AB" w:rsidP="005A632B">
                            <w:pPr>
                              <w:pStyle w:val="dotpoints"/>
                              <w:numPr>
                                <w:ilvl w:val="0"/>
                                <w:numId w:val="0"/>
                              </w:numPr>
                            </w:pPr>
                            <w:r>
                              <w:t xml:space="preserve">Records must be kept of all sales and production. </w:t>
                            </w:r>
                            <w:r w:rsidR="00541155">
                              <w:t xml:space="preserve">Mining operation costs are not deductible. </w:t>
                            </w:r>
                          </w:p>
                          <w:p w14:paraId="3D17300F" w14:textId="77777777" w:rsidR="00D847AB" w:rsidRDefault="00D847AB" w:rsidP="005A632B">
                            <w:pPr>
                              <w:pStyle w:val="dotpoints"/>
                              <w:numPr>
                                <w:ilvl w:val="0"/>
                                <w:numId w:val="0"/>
                              </w:numPr>
                            </w:pPr>
                          </w:p>
                          <w:p w14:paraId="514733C9" w14:textId="3283D165" w:rsidR="005A632B" w:rsidRPr="00D847AB" w:rsidRDefault="00D847AB" w:rsidP="005A632B">
                            <w:pPr>
                              <w:pStyle w:val="dotpoints"/>
                              <w:numPr>
                                <w:ilvl w:val="0"/>
                                <w:numId w:val="0"/>
                              </w:numPr>
                              <w:rPr>
                                <w:i/>
                                <w:iCs/>
                              </w:rPr>
                            </w:pPr>
                            <w:r>
                              <w:t>*</w:t>
                            </w:r>
                            <w:r w:rsidR="005A632B" w:rsidRPr="00D847AB">
                              <w:rPr>
                                <w:i/>
                                <w:iCs/>
                              </w:rPr>
                              <w:t>Costs claimed that are not ‘reasonable, necessary, and direct’ may be disallowed.</w:t>
                            </w:r>
                          </w:p>
                          <w:p w14:paraId="69B9AC71" w14:textId="77777777" w:rsidR="00115D5F" w:rsidRPr="00C659E3" w:rsidRDefault="00115D5F" w:rsidP="00115D5F">
                            <w:pPr>
                              <w:pStyle w:val="heading2black"/>
                            </w:pPr>
                            <w:r w:rsidRPr="009F1486">
                              <w:t xml:space="preserve">Minister’s power to determine </w:t>
                            </w:r>
                            <w:r w:rsidRPr="009F1486">
                              <w:rPr>
                                <w:i/>
                              </w:rPr>
                              <w:t>net market value</w:t>
                            </w:r>
                            <w:r w:rsidRPr="009F1486">
                              <w:t>:</w:t>
                            </w:r>
                          </w:p>
                          <w:p w14:paraId="131952FB" w14:textId="77777777" w:rsidR="00115D5F" w:rsidRPr="00D777CD" w:rsidRDefault="00115D5F" w:rsidP="00115D5F">
                            <w:pPr>
                              <w:pStyle w:val="bodycopy"/>
                            </w:pPr>
                            <w:r w:rsidRPr="00D777CD">
                              <w:t>If the Minister is of the opinion that the net market value reported in respect of a particular mineral is not a true or fair net market value of the mineral, the Minister may require the licensee to pay a royalty in relation to the mineral on the basis of the net market value of the mineral as determined by the Minister.</w:t>
                            </w:r>
                          </w:p>
                          <w:p w14:paraId="4D911830" w14:textId="58E67E23" w:rsidR="00115D5F" w:rsidRDefault="00115D5F" w:rsidP="00115D5F">
                            <w:pPr>
                              <w:pStyle w:val="bodycopy"/>
                            </w:pPr>
                            <w:r w:rsidRPr="00D777CD">
                              <w:t>This regulation may apply if the Minister is of the view that the costs reported in relation to the sale of that mineral do not all relate to that mineral, or are unreasonably high. This regulation may also apply if the Minister is of the view that the reported sale price of a mineral resulted from a transaction that was not a genuine commercial transaction because the parties to the contract were related bodies corporate.</w:t>
                            </w:r>
                            <w:r>
                              <w:rPr>
                                <w:rStyle w:val="FootnoteReference"/>
                              </w:rPr>
                              <w:t>5</w:t>
                            </w:r>
                          </w:p>
                          <w:p w14:paraId="6C012776" w14:textId="77777777" w:rsidR="005E088A" w:rsidRPr="00D777CD" w:rsidRDefault="005E088A" w:rsidP="00115D5F">
                            <w:pPr>
                              <w:pStyle w:val="bodycopy"/>
                            </w:pPr>
                          </w:p>
                          <w:p w14:paraId="503704A2" w14:textId="77777777" w:rsidR="00115D5F" w:rsidRDefault="00115D5F" w:rsidP="005A632B">
                            <w:pPr>
                              <w:pStyle w:val="dotpoints"/>
                              <w:numPr>
                                <w:ilvl w:val="0"/>
                                <w:numId w:val="0"/>
                              </w:numPr>
                            </w:pPr>
                          </w:p>
                          <w:p w14:paraId="0DB8D526" w14:textId="77777777" w:rsidR="005A632B" w:rsidRDefault="005A632B" w:rsidP="005A632B">
                            <w:pPr>
                              <w:pStyle w:val="dotpoints"/>
                              <w:numPr>
                                <w:ilvl w:val="0"/>
                                <w:numId w:val="0"/>
                              </w:numPr>
                              <w:ind w:left="357"/>
                            </w:pPr>
                          </w:p>
                          <w:p w14:paraId="42566BEE" w14:textId="77777777" w:rsidR="00301F44" w:rsidRDefault="00301F44" w:rsidP="00B20715">
                            <w:pPr>
                              <w:pStyle w:val="bodycopy"/>
                            </w:pPr>
                          </w:p>
                          <w:p w14:paraId="59A75607" w14:textId="77777777" w:rsidR="00B20715" w:rsidRDefault="00B20715" w:rsidP="00D25BC9">
                            <w:pPr>
                              <w:pStyle w:val="bodycopy"/>
                            </w:pPr>
                          </w:p>
                          <w:p w14:paraId="5CDEDAB8" w14:textId="77777777" w:rsidR="009E682C" w:rsidRDefault="009E682C" w:rsidP="00953D9E">
                            <w:pPr>
                              <w:pStyle w:val="bodycopy"/>
                            </w:pPr>
                          </w:p>
                          <w:p w14:paraId="3290179E" w14:textId="77777777" w:rsidR="00953D9E" w:rsidRDefault="00953D9E">
                            <w:pPr>
                              <w:rPr>
                                <w:sz w:val="28"/>
                                <w:szCs w:val="28"/>
                              </w:rPr>
                            </w:pPr>
                          </w:p>
                          <w:p w14:paraId="2AC70FB4" w14:textId="77777777" w:rsidR="003E63E7" w:rsidRPr="00430553" w:rsidRDefault="003E63E7">
                            <w:pPr>
                              <w:rPr>
                                <w:rStyle w:val="FootnoteReference"/>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89234" id="_x0000_t202" coordsize="21600,21600" o:spt="202" path="m,l,21600r21600,l21600,xe">
                <v:stroke joinstyle="miter"/>
                <v:path gradientshapeok="t" o:connecttype="rect"/>
              </v:shapetype>
              <v:shape id="_x0000_s1027" type="#_x0000_t202" style="position:absolute;margin-left:-14.05pt;margin-top:110.15pt;width:539.25pt;height:510.7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" stroked="f">
                <v:textbox>
                  <w:txbxContent>
                    <w:p w14:paraId="67914005" w14:textId="53C69F74" w:rsidR="00810ABE" w:rsidRPr="00D847AB" w:rsidRDefault="00A41A97">
                      <w:r w:rsidRPr="00D847AB">
                        <w:t xml:space="preserve">The </w:t>
                      </w:r>
                      <w:r w:rsidRPr="00D847AB">
                        <w:rPr>
                          <w:i/>
                        </w:rPr>
                        <w:t>Mineral Resources (Sustainable Development) Act 1990</w:t>
                      </w:r>
                      <w:r w:rsidRPr="00D847AB">
                        <w:t xml:space="preserve"> (MRSDA) requires that </w:t>
                      </w:r>
                      <w:r w:rsidRPr="00D847AB">
                        <w:rPr>
                          <w:i/>
                        </w:rPr>
                        <w:t>“the holder of a mineral licence must pay royalties in accordance with the rate or method of assessment”</w:t>
                      </w:r>
                      <w:r w:rsidRPr="00D847AB">
                        <w:t>.</w:t>
                      </w:r>
                      <w:r w:rsidRPr="00D847AB">
                        <w:rPr>
                          <w:rStyle w:val="FootnoteReference"/>
                        </w:rPr>
                        <w:footnoteRef/>
                      </w:r>
                      <w:r w:rsidRPr="00D847AB">
                        <w:t xml:space="preserve"> Mineral Industries Regulations gives the royalty rate as 2.75 per cent of the “net market value” for all minerals other than lignite.</w:t>
                      </w:r>
                      <w:r w:rsidRPr="00D847AB">
                        <w:rPr>
                          <w:rStyle w:val="FootnoteReference"/>
                        </w:rPr>
                        <w:t>2</w:t>
                      </w:r>
                    </w:p>
                    <w:p w14:paraId="6C79A1D4" w14:textId="77777777" w:rsidR="009E682C" w:rsidRPr="00D847AB" w:rsidRDefault="009E682C" w:rsidP="009E682C">
                      <w:pPr>
                        <w:pStyle w:val="heading1blue"/>
                        <w:rPr>
                          <w:b/>
                          <w:bCs/>
                          <w:sz w:val="20"/>
                          <w:u w:val="single"/>
                        </w:rPr>
                      </w:pPr>
                      <w:r w:rsidRPr="00D847AB">
                        <w:rPr>
                          <w:b/>
                          <w:bCs/>
                          <w:sz w:val="20"/>
                          <w:u w:val="single"/>
                        </w:rPr>
                        <w:t>Net Market Value</w:t>
                      </w:r>
                    </w:p>
                    <w:p w14:paraId="11422BD1" w14:textId="30CF8F38" w:rsidR="009E682C" w:rsidRPr="00076C27" w:rsidRDefault="009E682C" w:rsidP="009E682C">
                      <w:pPr>
                        <w:pStyle w:val="bodycopy"/>
                      </w:pPr>
                      <w:r w:rsidRPr="00076C27">
                        <w:t xml:space="preserve">Net market value means the market value </w:t>
                      </w:r>
                      <w:proofErr w:type="spellStart"/>
                      <w:r>
                        <w:t>ie</w:t>
                      </w:r>
                      <w:proofErr w:type="spellEnd"/>
                      <w:r>
                        <w:t xml:space="preserve"> commercial value, </w:t>
                      </w:r>
                      <w:r w:rsidRPr="00076C27">
                        <w:t>of the mineral at the time it is first sold, transferred or disposed of less any costs reasonably, necessarily, and directly incurred by the licensee in connection with the sale, transfer or disposal (including insurance, freight and marketing).</w:t>
                      </w:r>
                      <w:r w:rsidR="0091114B">
                        <w:rPr>
                          <w:rStyle w:val="FootnoteReference"/>
                        </w:rPr>
                        <w:t>4</w:t>
                      </w:r>
                    </w:p>
                    <w:p w14:paraId="3297B6AF" w14:textId="77777777" w:rsidR="009E682C" w:rsidRDefault="009E682C" w:rsidP="009E682C">
                      <w:pPr>
                        <w:pStyle w:val="bodycopy"/>
                      </w:pPr>
                      <w:r>
                        <w:t xml:space="preserve">It should be noted that the minerals royalty under the MRSDA is a royalty on </w:t>
                      </w:r>
                      <w:r w:rsidRPr="00E50AC1">
                        <w:rPr>
                          <w:i/>
                        </w:rPr>
                        <w:t xml:space="preserve">value </w:t>
                      </w:r>
                      <w:r w:rsidRPr="00E50AC1">
                        <w:rPr>
                          <w:b/>
                          <w:i/>
                        </w:rPr>
                        <w:t>not profit</w:t>
                      </w:r>
                      <w:r>
                        <w:t>. As such, the costs that are deductible are only those that relate to the movement or sale of the finished product from the mine site to the customer.</w:t>
                      </w:r>
                    </w:p>
                    <w:p w14:paraId="409FC34A" w14:textId="77777777" w:rsidR="00D25BC9" w:rsidRDefault="00D25BC9" w:rsidP="00D25BC9">
                      <w:pPr>
                        <w:pStyle w:val="heading2black"/>
                      </w:pPr>
                      <w:r w:rsidRPr="00076C27">
                        <w:t xml:space="preserve">In determining </w:t>
                      </w:r>
                      <w:r w:rsidRPr="00076C27">
                        <w:rPr>
                          <w:i/>
                        </w:rPr>
                        <w:t>net market value,</w:t>
                      </w:r>
                      <w:r w:rsidRPr="00076C27">
                        <w:t xml:space="preserve"> the following should be observed</w:t>
                      </w:r>
                      <w:r>
                        <w:t>:</w:t>
                      </w:r>
                    </w:p>
                    <w:p w14:paraId="4C13D270" w14:textId="77777777" w:rsidR="00D25BC9" w:rsidRDefault="00D25BC9" w:rsidP="00D25BC9">
                      <w:pPr>
                        <w:pStyle w:val="bodycopy"/>
                      </w:pPr>
                      <w:r>
                        <w:t xml:space="preserve">The </w:t>
                      </w:r>
                      <w:r w:rsidRPr="00076C27">
                        <w:rPr>
                          <w:i/>
                        </w:rPr>
                        <w:t>market value of the mineral</w:t>
                      </w:r>
                      <w:r>
                        <w:t xml:space="preserve"> means the value of the mineral if it were sold to an unrelated party in an arms-length commercial sale. The transfer or sale of the mineral to a related party at a price not reflecting the market value </w:t>
                      </w:r>
                      <w:proofErr w:type="spellStart"/>
                      <w:r>
                        <w:t>ie</w:t>
                      </w:r>
                      <w:proofErr w:type="spellEnd"/>
                      <w:r>
                        <w:t xml:space="preserve"> commercial value of the mineral is not accepted as the </w:t>
                      </w:r>
                      <w:r w:rsidRPr="00076C27">
                        <w:rPr>
                          <w:i/>
                        </w:rPr>
                        <w:t>market value of the mineral</w:t>
                      </w:r>
                      <w:r>
                        <w:t>.</w:t>
                      </w:r>
                    </w:p>
                    <w:p w14:paraId="039C3C83" w14:textId="77777777" w:rsidR="00B20715" w:rsidRDefault="00B20715" w:rsidP="00B20715">
                      <w:pPr>
                        <w:pStyle w:val="bodycopy"/>
                      </w:pPr>
                      <w:r>
                        <w:t xml:space="preserve">Deductible costs are only those </w:t>
                      </w:r>
                      <w:r w:rsidRPr="00D847AB">
                        <w:rPr>
                          <w:b/>
                          <w:bCs/>
                        </w:rPr>
                        <w:t>directly</w:t>
                      </w:r>
                      <w:r>
                        <w:t xml:space="preserve"> incurred by the licensee in connection with the sale, transfer, or disposal of the mineral, and </w:t>
                      </w:r>
                      <w:r w:rsidRPr="00D847AB">
                        <w:rPr>
                          <w:b/>
                          <w:bCs/>
                        </w:rPr>
                        <w:t>may include</w:t>
                      </w:r>
                      <w:r>
                        <w:t>:</w:t>
                      </w:r>
                    </w:p>
                    <w:p w14:paraId="5CDC2A35" w14:textId="5DA101C1" w:rsidR="00D847AB" w:rsidRDefault="00897365" w:rsidP="00301F44">
                      <w:pPr>
                        <w:pStyle w:val="dotpoints"/>
                      </w:pPr>
                      <w:r>
                        <w:t>Direct m</w:t>
                      </w:r>
                      <w:r w:rsidR="00D847AB">
                        <w:t>arketing of the product</w:t>
                      </w:r>
                      <w:r w:rsidR="0032674B">
                        <w:t xml:space="preserve"> </w:t>
                      </w:r>
                      <w:r w:rsidR="00D847AB">
                        <w:t>*</w:t>
                      </w:r>
                    </w:p>
                    <w:p w14:paraId="306986C5" w14:textId="368E3F8C" w:rsidR="00D847AB" w:rsidRDefault="00D847AB" w:rsidP="00301F44">
                      <w:pPr>
                        <w:pStyle w:val="dotpoints"/>
                      </w:pPr>
                      <w:r>
                        <w:t xml:space="preserve">Cost of transit to the </w:t>
                      </w:r>
                      <w:r w:rsidR="00717927">
                        <w:t>point-of-sale</w:t>
                      </w:r>
                      <w:r>
                        <w:t xml:space="preserve"> </w:t>
                      </w:r>
                      <w:proofErr w:type="spellStart"/>
                      <w:r>
                        <w:t>ie</w:t>
                      </w:r>
                      <w:proofErr w:type="spellEnd"/>
                      <w:r>
                        <w:t xml:space="preserve"> processing facility*</w:t>
                      </w:r>
                    </w:p>
                    <w:p w14:paraId="66321DC4" w14:textId="33F34D12" w:rsidR="00301F44" w:rsidRDefault="00D847AB" w:rsidP="00301F44">
                      <w:pPr>
                        <w:pStyle w:val="dotpoints"/>
                      </w:pPr>
                      <w:r>
                        <w:t xml:space="preserve">Insurance of the product (if applicable) in transiting to the </w:t>
                      </w:r>
                      <w:r w:rsidR="00881DD4">
                        <w:t>point-of-sale</w:t>
                      </w:r>
                      <w:r w:rsidR="009B577C">
                        <w:t xml:space="preserve"> </w:t>
                      </w:r>
                      <w:proofErr w:type="spellStart"/>
                      <w:r w:rsidR="009B577C">
                        <w:t>ie</w:t>
                      </w:r>
                      <w:proofErr w:type="spellEnd"/>
                      <w:r w:rsidR="009B577C">
                        <w:t xml:space="preserve"> processing sale</w:t>
                      </w:r>
                      <w:r>
                        <w:t>*</w:t>
                      </w:r>
                    </w:p>
                    <w:p w14:paraId="06D5C084" w14:textId="5092F331" w:rsidR="005A632B" w:rsidRDefault="00D847AB" w:rsidP="005A632B">
                      <w:pPr>
                        <w:pStyle w:val="dotpoints"/>
                        <w:numPr>
                          <w:ilvl w:val="0"/>
                          <w:numId w:val="0"/>
                        </w:numPr>
                      </w:pPr>
                      <w:r>
                        <w:t xml:space="preserve">Records must be kept of all sales and production. </w:t>
                      </w:r>
                      <w:r w:rsidR="00541155">
                        <w:t xml:space="preserve">Mining operation costs are not deductible. </w:t>
                      </w:r>
                    </w:p>
                    <w:p w14:paraId="3D17300F" w14:textId="77777777" w:rsidR="00D847AB" w:rsidRDefault="00D847AB" w:rsidP="005A632B">
                      <w:pPr>
                        <w:pStyle w:val="dotpoints"/>
                        <w:numPr>
                          <w:ilvl w:val="0"/>
                          <w:numId w:val="0"/>
                        </w:numPr>
                      </w:pPr>
                    </w:p>
                    <w:p w14:paraId="514733C9" w14:textId="3283D165" w:rsidR="005A632B" w:rsidRPr="00D847AB" w:rsidRDefault="00D847AB" w:rsidP="005A632B">
                      <w:pPr>
                        <w:pStyle w:val="dotpoints"/>
                        <w:numPr>
                          <w:ilvl w:val="0"/>
                          <w:numId w:val="0"/>
                        </w:numPr>
                        <w:rPr>
                          <w:i/>
                          <w:iCs/>
                        </w:rPr>
                      </w:pPr>
                      <w:r>
                        <w:t>*</w:t>
                      </w:r>
                      <w:r w:rsidR="005A632B" w:rsidRPr="00D847AB">
                        <w:rPr>
                          <w:i/>
                          <w:iCs/>
                        </w:rPr>
                        <w:t>Costs claimed that are not ‘reasonable, necessary, and direct’ may be disallowed.</w:t>
                      </w:r>
                    </w:p>
                    <w:p w14:paraId="69B9AC71" w14:textId="77777777" w:rsidR="00115D5F" w:rsidRPr="00C659E3" w:rsidRDefault="00115D5F" w:rsidP="00115D5F">
                      <w:pPr>
                        <w:pStyle w:val="heading2black"/>
                      </w:pPr>
                      <w:r w:rsidRPr="009F1486">
                        <w:t xml:space="preserve">Minister’s power to determine </w:t>
                      </w:r>
                      <w:r w:rsidRPr="009F1486">
                        <w:rPr>
                          <w:i/>
                        </w:rPr>
                        <w:t>net market value</w:t>
                      </w:r>
                      <w:r w:rsidRPr="009F1486">
                        <w:t>:</w:t>
                      </w:r>
                    </w:p>
                    <w:p w14:paraId="131952FB" w14:textId="77777777" w:rsidR="00115D5F" w:rsidRPr="00D777CD" w:rsidRDefault="00115D5F" w:rsidP="00115D5F">
                      <w:pPr>
                        <w:pStyle w:val="bodycopy"/>
                      </w:pPr>
                      <w:r w:rsidRPr="00D777CD">
                        <w:t>If the Minister is of the opinion that the net market value reported in respect of a particular mineral is not a true or fair net market value of the mineral, the Minister may require the licensee to pay a royalty in relation to the mineral on the basis of the net market value of the mineral as determined by the Minister.</w:t>
                      </w:r>
                    </w:p>
                    <w:p w14:paraId="4D911830" w14:textId="58E67E23" w:rsidR="00115D5F" w:rsidRDefault="00115D5F" w:rsidP="00115D5F">
                      <w:pPr>
                        <w:pStyle w:val="bodycopy"/>
                      </w:pPr>
                      <w:r w:rsidRPr="00D777CD">
                        <w:t>This regulation may apply if the Minister is of the view that the costs reported in relation to the sale of that mineral do not all relate to that mineral, or are unreasonably high. This regulation may also apply if the Minister is of the view that the reported sale price of a mineral resulted from a transaction that was not a genuine commercial transaction because the parties to the contract were related bodies corporate.</w:t>
                      </w:r>
                      <w:r>
                        <w:rPr>
                          <w:rStyle w:val="FootnoteReference"/>
                        </w:rPr>
                        <w:t>5</w:t>
                      </w:r>
                    </w:p>
                    <w:p w14:paraId="6C012776" w14:textId="77777777" w:rsidR="005E088A" w:rsidRPr="00D777CD" w:rsidRDefault="005E088A" w:rsidP="00115D5F">
                      <w:pPr>
                        <w:pStyle w:val="bodycopy"/>
                      </w:pPr>
                    </w:p>
                    <w:p w14:paraId="503704A2" w14:textId="77777777" w:rsidR="00115D5F" w:rsidRDefault="00115D5F" w:rsidP="005A632B">
                      <w:pPr>
                        <w:pStyle w:val="dotpoints"/>
                        <w:numPr>
                          <w:ilvl w:val="0"/>
                          <w:numId w:val="0"/>
                        </w:numPr>
                      </w:pPr>
                    </w:p>
                    <w:p w14:paraId="0DB8D526" w14:textId="77777777" w:rsidR="005A632B" w:rsidRDefault="005A632B" w:rsidP="005A632B">
                      <w:pPr>
                        <w:pStyle w:val="dotpoints"/>
                        <w:numPr>
                          <w:ilvl w:val="0"/>
                          <w:numId w:val="0"/>
                        </w:numPr>
                        <w:ind w:left="357"/>
                      </w:pPr>
                    </w:p>
                    <w:p w14:paraId="42566BEE" w14:textId="77777777" w:rsidR="00301F44" w:rsidRDefault="00301F44" w:rsidP="00B20715">
                      <w:pPr>
                        <w:pStyle w:val="bodycopy"/>
                      </w:pPr>
                    </w:p>
                    <w:p w14:paraId="59A75607" w14:textId="77777777" w:rsidR="00B20715" w:rsidRDefault="00B20715" w:rsidP="00D25BC9">
                      <w:pPr>
                        <w:pStyle w:val="bodycopy"/>
                      </w:pPr>
                    </w:p>
                    <w:p w14:paraId="5CDEDAB8" w14:textId="77777777" w:rsidR="009E682C" w:rsidRDefault="009E682C" w:rsidP="00953D9E">
                      <w:pPr>
                        <w:pStyle w:val="bodycopy"/>
                      </w:pPr>
                    </w:p>
                    <w:p w14:paraId="3290179E" w14:textId="77777777" w:rsidR="00953D9E" w:rsidRDefault="00953D9E">
                      <w:pPr>
                        <w:rPr>
                          <w:sz w:val="28"/>
                          <w:szCs w:val="28"/>
                        </w:rPr>
                      </w:pPr>
                    </w:p>
                    <w:p w14:paraId="2AC70FB4" w14:textId="77777777" w:rsidR="003E63E7" w:rsidRPr="00430553" w:rsidRDefault="003E63E7">
                      <w:pPr>
                        <w:rPr>
                          <w:rStyle w:val="FootnoteReference"/>
                          <w:sz w:val="28"/>
                          <w:szCs w:val="28"/>
                        </w:rPr>
                      </w:pPr>
                    </w:p>
                  </w:txbxContent>
                </v:textbox>
                <w10:wrap type="square"/>
              </v:shape>
            </w:pict>
          </mc:Fallback>
        </mc:AlternateContent>
      </w:r>
      <w:r w:rsidR="00F17EB8" w:rsidRPr="008C2AF1">
        <w:rPr>
          <w:noProof/>
        </w:rPr>
        <w:drawing>
          <wp:anchor distT="0" distB="0" distL="114300" distR="114300" simplePos="0" relativeHeight="251707392" behindDoc="1" locked="0" layoutInCell="1" allowOverlap="1" wp14:anchorId="31C7A6A6" wp14:editId="37CCEA4B">
            <wp:simplePos x="0" y="0"/>
            <wp:positionH relativeFrom="page">
              <wp:align>right</wp:align>
            </wp:positionH>
            <wp:positionV relativeFrom="page">
              <wp:align>top</wp:align>
            </wp:positionV>
            <wp:extent cx="7560000" cy="2221200"/>
            <wp:effectExtent l="0" t="0" r="0" b="1905"/>
            <wp:wrapNone/>
            <wp:docPr id="2054841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41545" name="Picture 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7560000" cy="2221200"/>
                    </a:xfrm>
                    <a:prstGeom prst="rect">
                      <a:avLst/>
                    </a:prstGeom>
                  </pic:spPr>
                </pic:pic>
              </a:graphicData>
            </a:graphic>
            <wp14:sizeRelH relativeFrom="margin">
              <wp14:pctWidth>0</wp14:pctWidth>
            </wp14:sizeRelH>
            <wp14:sizeRelV relativeFrom="margin">
              <wp14:pctHeight>0</wp14:pctHeight>
            </wp14:sizeRelV>
          </wp:anchor>
        </w:drawing>
      </w:r>
      <w:r w:rsidR="00427977">
        <w:t xml:space="preserve"> </w:t>
      </w:r>
      <w:bookmarkEnd w:id="1"/>
    </w:p>
    <w:p w14:paraId="503944F5" w14:textId="64816A2B" w:rsidR="008C06B8" w:rsidRDefault="00677D56" w:rsidP="00FE7FB1">
      <w:pPr>
        <w:pStyle w:val="BodyText"/>
      </w:pPr>
      <w:r>
        <w:rPr>
          <w:noProof/>
        </w:rPr>
        <w:drawing>
          <wp:anchor distT="0" distB="0" distL="114300" distR="114300" simplePos="0" relativeHeight="251666430" behindDoc="0" locked="1" layoutInCell="1" allowOverlap="1" wp14:anchorId="0882E0A1" wp14:editId="49A958E6">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p>
    <w:p w14:paraId="5DBC479D" w14:textId="259A4416" w:rsidR="00427977" w:rsidRDefault="00427977" w:rsidP="004C1F02"/>
    <w:p w14:paraId="71F7CA1E" w14:textId="77777777" w:rsidR="00427977" w:rsidRDefault="00427977" w:rsidP="004C1F02"/>
    <w:bookmarkEnd w:id="0"/>
    <w:p w14:paraId="6800A614" w14:textId="0E9AFB10" w:rsidR="00525647" w:rsidRPr="0043084F" w:rsidRDefault="00525647"/>
    <w:sectPr w:rsidR="00525647" w:rsidRPr="0043084F" w:rsidSect="0075598D">
      <w:headerReference w:type="default" r:id="rId21"/>
      <w:footerReference w:type="even" r:id="rId22"/>
      <w:footerReference w:type="default" r:id="rId23"/>
      <w:footerReference w:type="first" r:id="rId24"/>
      <w:type w:val="continuous"/>
      <w:pgSz w:w="11907" w:h="16839" w:code="9"/>
      <w:pgMar w:top="1418" w:right="851" w:bottom="992" w:left="851"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6D47" w14:textId="77777777" w:rsidR="00782484" w:rsidRDefault="00782484" w:rsidP="00CD157B">
      <w:pPr>
        <w:pStyle w:val="NoSpacing"/>
      </w:pPr>
    </w:p>
    <w:p w14:paraId="0D862758" w14:textId="77777777" w:rsidR="00782484" w:rsidRDefault="00782484"/>
  </w:endnote>
  <w:endnote w:type="continuationSeparator" w:id="0">
    <w:p w14:paraId="0F0BE96F" w14:textId="77777777" w:rsidR="00782484" w:rsidRDefault="00782484" w:rsidP="00CD157B">
      <w:pPr>
        <w:pStyle w:val="NoSpacing"/>
      </w:pPr>
    </w:p>
    <w:p w14:paraId="5706EDE9" w14:textId="77777777" w:rsidR="00782484" w:rsidRDefault="00782484"/>
  </w:endnote>
  <w:endnote w:type="continuationNotice" w:id="1">
    <w:p w14:paraId="5A1CABA3" w14:textId="77777777" w:rsidR="00782484" w:rsidRDefault="00782484" w:rsidP="00CD157B">
      <w:pPr>
        <w:pStyle w:val="NoSpacing"/>
      </w:pPr>
    </w:p>
    <w:p w14:paraId="18F166BB" w14:textId="77777777" w:rsidR="00782484" w:rsidRDefault="00782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DC14" w14:textId="77777777" w:rsidR="00125463" w:rsidRDefault="00125463">
    <w:pPr>
      <w:pStyle w:val="Footer"/>
    </w:pPr>
    <w:r>
      <w:rPr>
        <w:noProof/>
      </w:rPr>
      <mc:AlternateContent>
        <mc:Choice Requires="wps">
          <w:drawing>
            <wp:anchor distT="0" distB="0" distL="0" distR="0" simplePos="0" relativeHeight="251680768" behindDoc="0" locked="0" layoutInCell="1" allowOverlap="1" wp14:anchorId="37D812B3" wp14:editId="77522482">
              <wp:simplePos x="635" y="635"/>
              <wp:positionH relativeFrom="page">
                <wp:align>center</wp:align>
              </wp:positionH>
              <wp:positionV relativeFrom="page">
                <wp:align>bottom</wp:align>
              </wp:positionV>
              <wp:extent cx="443865" cy="443865"/>
              <wp:effectExtent l="0" t="0" r="635" b="0"/>
              <wp:wrapNone/>
              <wp:docPr id="43"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643A9" w14:textId="77777777" w:rsidR="00125463" w:rsidRPr="00125463" w:rsidRDefault="00125463" w:rsidP="00125463">
                          <w:pPr>
                            <w:spacing w:after="0"/>
                            <w:rPr>
                              <w:rFonts w:ascii="Calibri" w:eastAsia="Calibri" w:hAnsi="Calibri" w:cs="Calibri"/>
                              <w:noProof/>
                              <w:color w:val="000000"/>
                              <w:sz w:val="24"/>
                              <w:szCs w:val="24"/>
                            </w:rPr>
                          </w:pPr>
                          <w:r w:rsidRPr="00125463">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812B3" id="_x0000_t202" coordsize="21600,21600" o:spt="202" path="m,l,21600r21600,l21600,xe">
              <v:stroke joinstyle="miter"/>
              <v:path gradientshapeok="t" o:connecttype="rect"/>
            </v:shapetype>
            <v:shape id="Text Box 43" o:spid="_x0000_s1028" type="#_x0000_t202" alt="OFFICIAL"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77643A9" w14:textId="77777777" w:rsidR="00125463" w:rsidRPr="00125463" w:rsidRDefault="00125463" w:rsidP="00125463">
                    <w:pPr>
                      <w:spacing w:after="0"/>
                      <w:rPr>
                        <w:rFonts w:ascii="Calibri" w:eastAsia="Calibri" w:hAnsi="Calibri" w:cs="Calibri"/>
                        <w:noProof/>
                        <w:color w:val="000000"/>
                        <w:sz w:val="24"/>
                        <w:szCs w:val="24"/>
                      </w:rPr>
                    </w:pPr>
                    <w:r w:rsidRPr="00125463">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1577" w14:textId="77777777" w:rsidR="00125463" w:rsidRDefault="00125463">
    <w:pPr>
      <w:pStyle w:val="Footer"/>
    </w:pPr>
    <w:r>
      <w:rPr>
        <w:noProof/>
      </w:rPr>
      <mc:AlternateContent>
        <mc:Choice Requires="wps">
          <w:drawing>
            <wp:anchor distT="0" distB="0" distL="0" distR="0" simplePos="0" relativeHeight="251681792" behindDoc="0" locked="0" layoutInCell="1" allowOverlap="1" wp14:anchorId="254F7402" wp14:editId="7422300A">
              <wp:simplePos x="635" y="635"/>
              <wp:positionH relativeFrom="page">
                <wp:align>center</wp:align>
              </wp:positionH>
              <wp:positionV relativeFrom="page">
                <wp:align>bottom</wp:align>
              </wp:positionV>
              <wp:extent cx="443865" cy="443865"/>
              <wp:effectExtent l="0" t="0" r="635" b="0"/>
              <wp:wrapNone/>
              <wp:docPr id="45"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7A5ADD" w14:textId="77777777" w:rsidR="00125463" w:rsidRPr="00125463" w:rsidRDefault="00125463" w:rsidP="00125463">
                          <w:pPr>
                            <w:spacing w:after="0"/>
                            <w:rPr>
                              <w:rFonts w:ascii="Calibri" w:eastAsia="Calibri" w:hAnsi="Calibri" w:cs="Calibri"/>
                              <w:noProof/>
                              <w:color w:val="000000"/>
                              <w:sz w:val="24"/>
                              <w:szCs w:val="24"/>
                            </w:rPr>
                          </w:pPr>
                          <w:r w:rsidRPr="00125463">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4F7402" id="_x0000_t202" coordsize="21600,21600" o:spt="202" path="m,l,21600r21600,l21600,xe">
              <v:stroke joinstyle="miter"/>
              <v:path gradientshapeok="t" o:connecttype="rect"/>
            </v:shapetype>
            <v:shape id="Text Box 45" o:spid="_x0000_s1029" type="#_x0000_t202" alt="OFFICIAL" style="position:absolute;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E7A5ADD" w14:textId="77777777" w:rsidR="00125463" w:rsidRPr="00125463" w:rsidRDefault="00125463" w:rsidP="00125463">
                    <w:pPr>
                      <w:spacing w:after="0"/>
                      <w:rPr>
                        <w:rFonts w:ascii="Calibri" w:eastAsia="Calibri" w:hAnsi="Calibri" w:cs="Calibri"/>
                        <w:noProof/>
                        <w:color w:val="000000"/>
                        <w:sz w:val="24"/>
                        <w:szCs w:val="24"/>
                      </w:rPr>
                    </w:pPr>
                    <w:r w:rsidRPr="00125463">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5E5B" w14:textId="77777777" w:rsidR="00125463" w:rsidRDefault="00125463">
    <w:pPr>
      <w:pStyle w:val="Footer"/>
    </w:pPr>
    <w:r>
      <w:rPr>
        <w:noProof/>
      </w:rPr>
      <mc:AlternateContent>
        <mc:Choice Requires="wps">
          <w:drawing>
            <wp:anchor distT="0" distB="0" distL="0" distR="0" simplePos="0" relativeHeight="251679744" behindDoc="0" locked="0" layoutInCell="1" allowOverlap="1" wp14:anchorId="5E99DC21" wp14:editId="4F9EB86D">
              <wp:simplePos x="635" y="635"/>
              <wp:positionH relativeFrom="page">
                <wp:align>center</wp:align>
              </wp:positionH>
              <wp:positionV relativeFrom="page">
                <wp:align>bottom</wp:align>
              </wp:positionV>
              <wp:extent cx="443865" cy="443865"/>
              <wp:effectExtent l="0" t="0" r="635" b="0"/>
              <wp:wrapNone/>
              <wp:docPr id="42"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31071" w14:textId="77777777" w:rsidR="00125463" w:rsidRPr="00125463" w:rsidRDefault="00125463" w:rsidP="00125463">
                          <w:pPr>
                            <w:spacing w:after="0"/>
                            <w:rPr>
                              <w:rFonts w:ascii="Calibri" w:eastAsia="Calibri" w:hAnsi="Calibri" w:cs="Calibri"/>
                              <w:noProof/>
                              <w:color w:val="000000"/>
                              <w:sz w:val="24"/>
                              <w:szCs w:val="24"/>
                            </w:rPr>
                          </w:pPr>
                          <w:r w:rsidRPr="00125463">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99DC21" id="_x0000_t202" coordsize="21600,21600" o:spt="202" path="m,l,21600r21600,l21600,xe">
              <v:stroke joinstyle="miter"/>
              <v:path gradientshapeok="t" o:connecttype="rect"/>
            </v:shapetype>
            <v:shape id="Text Box 42" o:spid="_x0000_s1030"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1D31071" w14:textId="77777777" w:rsidR="00125463" w:rsidRPr="00125463" w:rsidRDefault="00125463" w:rsidP="00125463">
                    <w:pPr>
                      <w:spacing w:after="0"/>
                      <w:rPr>
                        <w:rFonts w:ascii="Calibri" w:eastAsia="Calibri" w:hAnsi="Calibri" w:cs="Calibri"/>
                        <w:noProof/>
                        <w:color w:val="000000"/>
                        <w:sz w:val="24"/>
                        <w:szCs w:val="24"/>
                      </w:rPr>
                    </w:pPr>
                    <w:r w:rsidRPr="00125463">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F40D" w14:textId="77777777" w:rsidR="00782484" w:rsidRPr="0056073C" w:rsidRDefault="00782484" w:rsidP="005D764F">
      <w:pPr>
        <w:pStyle w:val="FootnoteSeparator"/>
      </w:pPr>
    </w:p>
    <w:p w14:paraId="02BD6926" w14:textId="77777777" w:rsidR="00782484" w:rsidRDefault="00782484"/>
  </w:footnote>
  <w:footnote w:type="continuationSeparator" w:id="0">
    <w:p w14:paraId="7EE14AC2" w14:textId="77777777" w:rsidR="00782484" w:rsidRPr="00CA30B7" w:rsidRDefault="00782484" w:rsidP="006D5A90">
      <w:pPr>
        <w:rPr>
          <w:lang w:val="en-US"/>
        </w:rPr>
      </w:pPr>
      <w:r w:rsidRPr="00CA30B7">
        <w:rPr>
          <w:lang w:val="en-US"/>
        </w:rPr>
        <w:t>_______</w:t>
      </w:r>
    </w:p>
    <w:p w14:paraId="23FE0158" w14:textId="77777777" w:rsidR="00782484" w:rsidRDefault="00782484"/>
  </w:footnote>
  <w:footnote w:type="continuationNotice" w:id="1">
    <w:p w14:paraId="562C0703" w14:textId="77777777" w:rsidR="00782484" w:rsidRDefault="00782484" w:rsidP="006D5A90"/>
    <w:p w14:paraId="7215E543" w14:textId="77777777" w:rsidR="00782484" w:rsidRDefault="00782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39C4" w14:textId="77777777" w:rsidR="00CD157B" w:rsidRPr="00CD157B" w:rsidRDefault="002D38FC" w:rsidP="00CD157B">
    <w:pPr>
      <w:pStyle w:val="Header"/>
    </w:pPr>
    <w:r w:rsidRPr="002D38FC">
      <w:t xml:space="preserve"> </w:t>
    </w:r>
    <w:r w:rsidR="007D789B" w:rsidRPr="007D789B">
      <w:rPr>
        <w:noProof/>
      </w:rPr>
      <w:drawing>
        <wp:anchor distT="0" distB="0" distL="114300" distR="114300" simplePos="0" relativeHeight="251684864" behindDoc="1" locked="0" layoutInCell="1" allowOverlap="1" wp14:anchorId="1C77092A" wp14:editId="1DA75798">
          <wp:simplePos x="0" y="0"/>
          <wp:positionH relativeFrom="page">
            <wp:align>left</wp:align>
          </wp:positionH>
          <wp:positionV relativeFrom="page">
            <wp:align>top</wp:align>
          </wp:positionV>
          <wp:extent cx="7560000" cy="446400"/>
          <wp:effectExtent l="0" t="0" r="0" b="0"/>
          <wp:wrapNone/>
          <wp:docPr id="516589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0586"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44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343741"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343741" w:themeColor="text2"/>
        <w:position w:val="2"/>
        <w:sz w:val="20"/>
      </w:rPr>
    </w:lvl>
    <w:lvl w:ilvl="2">
      <w:start w:val="1"/>
      <w:numFmt w:val="bullet"/>
      <w:lvlText w:val="–"/>
      <w:lvlJc w:val="left"/>
      <w:pPr>
        <w:tabs>
          <w:tab w:val="num" w:pos="1361"/>
        </w:tabs>
        <w:ind w:left="1361" w:hanging="340"/>
      </w:pPr>
      <w:rPr>
        <w:rFonts w:ascii="Arial" w:hAnsi="Arial" w:hint="default"/>
        <w:color w:val="343741"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343741"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343741"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343741"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2F20F69"/>
    <w:multiLevelType w:val="hybridMultilevel"/>
    <w:tmpl w:val="7B62D7EC"/>
    <w:lvl w:ilvl="0" w:tplc="2FECC33C">
      <w:start w:val="1"/>
      <w:numFmt w:val="decimal"/>
      <w:lvlText w:val="%1."/>
      <w:lvlJc w:val="left"/>
      <w:pPr>
        <w:ind w:left="720" w:hanging="360"/>
      </w:pPr>
      <w:rPr>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343741" w:themeColor="text2"/>
      </w:rPr>
    </w:lvl>
    <w:lvl w:ilvl="1">
      <w:start w:val="1"/>
      <w:numFmt w:val="bullet"/>
      <w:lvlText w:val="—"/>
      <w:lvlJc w:val="left"/>
      <w:pPr>
        <w:ind w:left="680" w:hanging="340"/>
      </w:pPr>
      <w:rPr>
        <w:rFonts w:ascii="Calibri" w:hAnsi="Calibri" w:hint="default"/>
        <w:color w:val="343741"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343741" w:themeColor="text2"/>
      </w:rPr>
    </w:lvl>
    <w:lvl w:ilvl="1">
      <w:start w:val="1"/>
      <w:numFmt w:val="bullet"/>
      <w:lvlText w:val="–"/>
      <w:lvlJc w:val="left"/>
      <w:pPr>
        <w:ind w:left="539" w:hanging="227"/>
      </w:pPr>
      <w:rPr>
        <w:rFonts w:ascii="Arial" w:hAnsi="Arial" w:hint="default"/>
        <w:color w:val="343741"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343741" w:themeColor="text2"/>
        <w:sz w:val="32"/>
      </w:rPr>
    </w:lvl>
    <w:lvl w:ilvl="1">
      <w:start w:val="1"/>
      <w:numFmt w:val="decimal"/>
      <w:lvlText w:val="%2."/>
      <w:lvlJc w:val="left"/>
      <w:pPr>
        <w:tabs>
          <w:tab w:val="num" w:pos="992"/>
        </w:tabs>
        <w:ind w:left="992" w:hanging="992"/>
      </w:pPr>
      <w:rPr>
        <w:rFonts w:hint="default"/>
        <w:b w:val="0"/>
        <w:i w:val="0"/>
        <w:color w:val="343741"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43741"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343741"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343741" w:themeColor="text2"/>
        <w:position w:val="2"/>
        <w:sz w:val="20"/>
      </w:rPr>
    </w:lvl>
    <w:lvl w:ilvl="2">
      <w:start w:val="1"/>
      <w:numFmt w:val="bullet"/>
      <w:lvlText w:val="–"/>
      <w:lvlJc w:val="left"/>
      <w:pPr>
        <w:tabs>
          <w:tab w:val="num" w:pos="1361"/>
        </w:tabs>
        <w:ind w:left="1361" w:hanging="340"/>
      </w:pPr>
      <w:rPr>
        <w:rFonts w:ascii="Arial" w:hAnsi="Arial" w:hint="default"/>
        <w:color w:val="343741"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50" w15:restartNumberingAfterBreak="0">
    <w:nsid w:val="7D284207"/>
    <w:multiLevelType w:val="multilevel"/>
    <w:tmpl w:val="DF7C4DD0"/>
    <w:name w:val="Lst_HighlightBullets"/>
    <w:lvl w:ilvl="0">
      <w:start w:val="1"/>
      <w:numFmt w:val="bullet"/>
      <w:pStyle w:val="HighlightBoxBullet"/>
      <w:lvlText w:val=""/>
      <w:lvlJc w:val="left"/>
      <w:pPr>
        <w:ind w:left="644" w:hanging="360"/>
      </w:pPr>
      <w:rPr>
        <w:rFonts w:ascii="Symbol" w:hAnsi="Symbol" w:hint="default"/>
        <w:color w:val="343741"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343741"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1"/>
  </w:num>
  <w:num w:numId="2" w16cid:durableId="1128745877">
    <w:abstractNumId w:val="12"/>
  </w:num>
  <w:num w:numId="3" w16cid:durableId="170411264">
    <w:abstractNumId w:val="41"/>
  </w:num>
  <w:num w:numId="4" w16cid:durableId="985085104">
    <w:abstractNumId w:val="10"/>
  </w:num>
  <w:num w:numId="5" w16cid:durableId="1872112631">
    <w:abstractNumId w:val="13"/>
  </w:num>
  <w:num w:numId="6" w16cid:durableId="336812815">
    <w:abstractNumId w:val="27"/>
  </w:num>
  <w:num w:numId="7" w16cid:durableId="155153463">
    <w:abstractNumId w:val="3"/>
  </w:num>
  <w:num w:numId="8" w16cid:durableId="1428236886">
    <w:abstractNumId w:val="30"/>
  </w:num>
  <w:num w:numId="9" w16cid:durableId="1644658156">
    <w:abstractNumId w:val="21"/>
  </w:num>
  <w:num w:numId="10" w16cid:durableId="103154041">
    <w:abstractNumId w:val="32"/>
  </w:num>
  <w:num w:numId="11" w16cid:durableId="2129203638">
    <w:abstractNumId w:val="35"/>
  </w:num>
  <w:num w:numId="12" w16cid:durableId="377365663">
    <w:abstractNumId w:val="28"/>
  </w:num>
  <w:num w:numId="13" w16cid:durableId="1308436166">
    <w:abstractNumId w:val="29"/>
  </w:num>
  <w:num w:numId="14" w16cid:durableId="1335643199">
    <w:abstractNumId w:val="39"/>
  </w:num>
  <w:num w:numId="15" w16cid:durableId="384449836">
    <w:abstractNumId w:val="8"/>
  </w:num>
  <w:num w:numId="16" w16cid:durableId="1160577431">
    <w:abstractNumId w:val="31"/>
  </w:num>
  <w:num w:numId="17" w16cid:durableId="27071314">
    <w:abstractNumId w:val="7"/>
  </w:num>
  <w:num w:numId="18" w16cid:durableId="338120444">
    <w:abstractNumId w:val="5"/>
  </w:num>
  <w:num w:numId="19" w16cid:durableId="1673139647">
    <w:abstractNumId w:val="17"/>
  </w:num>
  <w:num w:numId="20" w16cid:durableId="1975480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4"/>
  </w:num>
  <w:num w:numId="26" w16cid:durableId="893349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4"/>
  </w:num>
  <w:num w:numId="30" w16cid:durableId="1579175524">
    <w:abstractNumId w:val="0"/>
  </w:num>
  <w:num w:numId="31" w16cid:durableId="1199856773">
    <w:abstractNumId w:val="2"/>
  </w:num>
  <w:num w:numId="32" w16cid:durableId="2138447666">
    <w:abstractNumId w:val="1"/>
  </w:num>
  <w:num w:numId="33" w16cid:durableId="334118162">
    <w:abstractNumId w:val="37"/>
  </w:num>
  <w:num w:numId="34" w16cid:durableId="196283207">
    <w:abstractNumId w:val="40"/>
  </w:num>
  <w:num w:numId="35" w16cid:durableId="1742215375">
    <w:abstractNumId w:val="50"/>
  </w:num>
  <w:num w:numId="36" w16cid:durableId="664823544">
    <w:abstractNumId w:val="45"/>
  </w:num>
  <w:num w:numId="37" w16cid:durableId="592250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7"/>
  </w:num>
  <w:num w:numId="40" w16cid:durableId="160104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9929808">
    <w:abstractNumId w:val="49"/>
  </w:num>
  <w:num w:numId="42" w16cid:durableId="1447264145">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C41B1"/>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516"/>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4AA"/>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3CF"/>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156"/>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0830"/>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D5F"/>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46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423E"/>
    <w:rsid w:val="00144787"/>
    <w:rsid w:val="00145946"/>
    <w:rsid w:val="00145F74"/>
    <w:rsid w:val="0014604E"/>
    <w:rsid w:val="00146947"/>
    <w:rsid w:val="00147141"/>
    <w:rsid w:val="0014722D"/>
    <w:rsid w:val="001479E6"/>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E91"/>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0D2"/>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B56"/>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4AC"/>
    <w:rsid w:val="002F15F9"/>
    <w:rsid w:val="002F198D"/>
    <w:rsid w:val="002F1E3D"/>
    <w:rsid w:val="002F2A86"/>
    <w:rsid w:val="002F2DC3"/>
    <w:rsid w:val="002F3731"/>
    <w:rsid w:val="002F41ED"/>
    <w:rsid w:val="002F4C0A"/>
    <w:rsid w:val="002F5105"/>
    <w:rsid w:val="002F5718"/>
    <w:rsid w:val="002F6407"/>
    <w:rsid w:val="002F647B"/>
    <w:rsid w:val="002F7E61"/>
    <w:rsid w:val="00300A07"/>
    <w:rsid w:val="00300DB5"/>
    <w:rsid w:val="0030113D"/>
    <w:rsid w:val="00301647"/>
    <w:rsid w:val="0030192B"/>
    <w:rsid w:val="00301F44"/>
    <w:rsid w:val="0030259D"/>
    <w:rsid w:val="00302822"/>
    <w:rsid w:val="00302A0C"/>
    <w:rsid w:val="00302ACE"/>
    <w:rsid w:val="00303508"/>
    <w:rsid w:val="00303E72"/>
    <w:rsid w:val="0030427C"/>
    <w:rsid w:val="003042D4"/>
    <w:rsid w:val="00304AC1"/>
    <w:rsid w:val="003055C4"/>
    <w:rsid w:val="00305B2B"/>
    <w:rsid w:val="003060A8"/>
    <w:rsid w:val="00306252"/>
    <w:rsid w:val="00306727"/>
    <w:rsid w:val="00306FA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4B"/>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5A"/>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AF5"/>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04"/>
    <w:rsid w:val="003C3B57"/>
    <w:rsid w:val="003C5140"/>
    <w:rsid w:val="003C6914"/>
    <w:rsid w:val="003C6ECF"/>
    <w:rsid w:val="003C75D1"/>
    <w:rsid w:val="003C7903"/>
    <w:rsid w:val="003C7A8F"/>
    <w:rsid w:val="003C7D07"/>
    <w:rsid w:val="003D1B95"/>
    <w:rsid w:val="003D2616"/>
    <w:rsid w:val="003D2A34"/>
    <w:rsid w:val="003D2CD9"/>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3E7"/>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6DFD"/>
    <w:rsid w:val="0040743E"/>
    <w:rsid w:val="004075D4"/>
    <w:rsid w:val="0040777B"/>
    <w:rsid w:val="00407885"/>
    <w:rsid w:val="004100F3"/>
    <w:rsid w:val="00410659"/>
    <w:rsid w:val="0041164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977"/>
    <w:rsid w:val="004302B1"/>
    <w:rsid w:val="00430302"/>
    <w:rsid w:val="00430553"/>
    <w:rsid w:val="0043079E"/>
    <w:rsid w:val="0043084F"/>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4E9"/>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AA1"/>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155"/>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69B"/>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32B"/>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88A"/>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CF4"/>
    <w:rsid w:val="0060005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27F94"/>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F9A"/>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56"/>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2FE"/>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C8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56EA"/>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437"/>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17927"/>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7BB"/>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98D"/>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B2F"/>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69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484"/>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3C6"/>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89B"/>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0ABE"/>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1E9B"/>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232"/>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47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9F"/>
    <w:rsid w:val="008802B7"/>
    <w:rsid w:val="00880C5F"/>
    <w:rsid w:val="00880E76"/>
    <w:rsid w:val="00881290"/>
    <w:rsid w:val="008818D2"/>
    <w:rsid w:val="00881B71"/>
    <w:rsid w:val="00881D78"/>
    <w:rsid w:val="00881DD4"/>
    <w:rsid w:val="008822A9"/>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365"/>
    <w:rsid w:val="0089760C"/>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B31"/>
    <w:rsid w:val="008B26A7"/>
    <w:rsid w:val="008B2799"/>
    <w:rsid w:val="008B2C26"/>
    <w:rsid w:val="008B3E1B"/>
    <w:rsid w:val="008B4899"/>
    <w:rsid w:val="008B4DF1"/>
    <w:rsid w:val="008B634B"/>
    <w:rsid w:val="008B6764"/>
    <w:rsid w:val="008B6856"/>
    <w:rsid w:val="008B69AE"/>
    <w:rsid w:val="008B6FE3"/>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AF1"/>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F2C"/>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3FAD"/>
    <w:rsid w:val="009042E1"/>
    <w:rsid w:val="00904B85"/>
    <w:rsid w:val="00905833"/>
    <w:rsid w:val="00906019"/>
    <w:rsid w:val="0090660F"/>
    <w:rsid w:val="00906DA2"/>
    <w:rsid w:val="009071FB"/>
    <w:rsid w:val="00907A00"/>
    <w:rsid w:val="00907F64"/>
    <w:rsid w:val="0091029D"/>
    <w:rsid w:val="0091073A"/>
    <w:rsid w:val="00910879"/>
    <w:rsid w:val="0091114B"/>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4C8"/>
    <w:rsid w:val="0094658C"/>
    <w:rsid w:val="0094698A"/>
    <w:rsid w:val="00947363"/>
    <w:rsid w:val="0094798C"/>
    <w:rsid w:val="0095024D"/>
    <w:rsid w:val="00950442"/>
    <w:rsid w:val="009507FC"/>
    <w:rsid w:val="00950DEE"/>
    <w:rsid w:val="00951D00"/>
    <w:rsid w:val="00952061"/>
    <w:rsid w:val="0095276B"/>
    <w:rsid w:val="00952E11"/>
    <w:rsid w:val="00953333"/>
    <w:rsid w:val="00953555"/>
    <w:rsid w:val="0095361C"/>
    <w:rsid w:val="00953A35"/>
    <w:rsid w:val="00953D9E"/>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4E"/>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151"/>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77C"/>
    <w:rsid w:val="009B6AD3"/>
    <w:rsid w:val="009B6C35"/>
    <w:rsid w:val="009B71CC"/>
    <w:rsid w:val="009C00D2"/>
    <w:rsid w:val="009C016A"/>
    <w:rsid w:val="009C01E9"/>
    <w:rsid w:val="009C0365"/>
    <w:rsid w:val="009C058E"/>
    <w:rsid w:val="009C09EA"/>
    <w:rsid w:val="009C0B48"/>
    <w:rsid w:val="009C1135"/>
    <w:rsid w:val="009C15BB"/>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E45"/>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82C"/>
    <w:rsid w:val="009E6AC9"/>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6C33"/>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A97"/>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91F"/>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694"/>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451"/>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258"/>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1B1"/>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961"/>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3D9D"/>
    <w:rsid w:val="00B149D2"/>
    <w:rsid w:val="00B15095"/>
    <w:rsid w:val="00B15554"/>
    <w:rsid w:val="00B15BE8"/>
    <w:rsid w:val="00B15FB4"/>
    <w:rsid w:val="00B16199"/>
    <w:rsid w:val="00B16BF4"/>
    <w:rsid w:val="00B16C3E"/>
    <w:rsid w:val="00B16D88"/>
    <w:rsid w:val="00B16E6E"/>
    <w:rsid w:val="00B1709C"/>
    <w:rsid w:val="00B17A38"/>
    <w:rsid w:val="00B17D0E"/>
    <w:rsid w:val="00B202A1"/>
    <w:rsid w:val="00B20374"/>
    <w:rsid w:val="00B206BF"/>
    <w:rsid w:val="00B20715"/>
    <w:rsid w:val="00B20775"/>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3EC"/>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889"/>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48D8"/>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8AC"/>
    <w:rsid w:val="00C12DF5"/>
    <w:rsid w:val="00C1326F"/>
    <w:rsid w:val="00C134A4"/>
    <w:rsid w:val="00C14CC8"/>
    <w:rsid w:val="00C15406"/>
    <w:rsid w:val="00C15BF4"/>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5989"/>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16"/>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1B3"/>
    <w:rsid w:val="00D22981"/>
    <w:rsid w:val="00D22E4F"/>
    <w:rsid w:val="00D2321D"/>
    <w:rsid w:val="00D2329D"/>
    <w:rsid w:val="00D23787"/>
    <w:rsid w:val="00D2427A"/>
    <w:rsid w:val="00D251FD"/>
    <w:rsid w:val="00D25287"/>
    <w:rsid w:val="00D25BC9"/>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AB"/>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1B2"/>
    <w:rsid w:val="00D92630"/>
    <w:rsid w:val="00D9276B"/>
    <w:rsid w:val="00D938C3"/>
    <w:rsid w:val="00D93902"/>
    <w:rsid w:val="00D94560"/>
    <w:rsid w:val="00D94AA8"/>
    <w:rsid w:val="00D94B21"/>
    <w:rsid w:val="00D94D40"/>
    <w:rsid w:val="00D94FFF"/>
    <w:rsid w:val="00D9534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70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404"/>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3888"/>
    <w:rsid w:val="00EE47B3"/>
    <w:rsid w:val="00EE4D70"/>
    <w:rsid w:val="00EE4FF5"/>
    <w:rsid w:val="00EE521D"/>
    <w:rsid w:val="00EE59CC"/>
    <w:rsid w:val="00EE5A9A"/>
    <w:rsid w:val="00EE6450"/>
    <w:rsid w:val="00EE64AC"/>
    <w:rsid w:val="00EE6632"/>
    <w:rsid w:val="00EE6B64"/>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EB8"/>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224D"/>
    <w:rsid w:val="00F92490"/>
    <w:rsid w:val="00F929BC"/>
    <w:rsid w:val="00F92F98"/>
    <w:rsid w:val="00F930A6"/>
    <w:rsid w:val="00F9333C"/>
    <w:rsid w:val="00F93948"/>
    <w:rsid w:val="00F93D1E"/>
    <w:rsid w:val="00F94805"/>
    <w:rsid w:val="00F9492D"/>
    <w:rsid w:val="00F9513B"/>
    <w:rsid w:val="00F95192"/>
    <w:rsid w:val="00F9531F"/>
    <w:rsid w:val="00F955D0"/>
    <w:rsid w:val="00F95C7E"/>
    <w:rsid w:val="00F96043"/>
    <w:rsid w:val="00F960F4"/>
    <w:rsid w:val="00F9624B"/>
    <w:rsid w:val="00F966D2"/>
    <w:rsid w:val="00F96C8D"/>
    <w:rsid w:val="00F96DC1"/>
    <w:rsid w:val="00F979C1"/>
    <w:rsid w:val="00F97A47"/>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769"/>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9A42F"/>
  <w15:docId w15:val="{43BF8343-ED25-452F-A672-79BC94BF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343741"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343741"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343741" w:themeColor="text2"/>
      <w:sz w:val="28"/>
      <w:szCs w:val="26"/>
    </w:rPr>
  </w:style>
  <w:style w:type="paragraph" w:styleId="Heading4">
    <w:name w:val="heading 4"/>
    <w:basedOn w:val="BodyText"/>
    <w:next w:val="BodyText"/>
    <w:link w:val="Heading4Char"/>
    <w:qFormat/>
    <w:rsid w:val="005C5E94"/>
    <w:pPr>
      <w:spacing w:before="200"/>
      <w:outlineLvl w:val="3"/>
    </w:pPr>
    <w:rPr>
      <w:b/>
      <w:bCs/>
      <w:color w:val="343741"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343741"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343741"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343741"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343741"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343741" w:themeColor="text2"/>
      <w:sz w:val="28"/>
      <w:szCs w:val="26"/>
    </w:rPr>
  </w:style>
  <w:style w:type="character" w:customStyle="1" w:styleId="Heading4Char">
    <w:name w:val="Heading 4 Char"/>
    <w:basedOn w:val="DefaultParagraphFont"/>
    <w:link w:val="Heading4"/>
    <w:rsid w:val="005C5E94"/>
    <w:rPr>
      <w:b/>
      <w:bCs/>
      <w:color w:val="343741"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343741"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343741"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343741"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343741"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343741"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343741"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343741"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FEBD1" w:themeFill="accent1" w:themeFillTint="33"/>
    </w:tcPr>
    <w:tblStylePr w:type="firstRow">
      <w:rPr>
        <w:b/>
        <w:bCs/>
      </w:rPr>
      <w:tblPr/>
      <w:tcPr>
        <w:shd w:val="clear" w:color="auto" w:fill="FFD7A3" w:themeFill="accent1" w:themeFillTint="66"/>
      </w:tcPr>
    </w:tblStylePr>
    <w:tblStylePr w:type="lastRow">
      <w:rPr>
        <w:b/>
        <w:bCs/>
        <w:color w:val="232222" w:themeColor="text1"/>
      </w:rPr>
      <w:tblPr/>
      <w:tcPr>
        <w:shd w:val="clear" w:color="auto" w:fill="FFD7A3" w:themeFill="accent1" w:themeFillTint="66"/>
      </w:tcPr>
    </w:tblStylePr>
    <w:tblStylePr w:type="firstCol">
      <w:rPr>
        <w:color w:val="FFFFFF" w:themeColor="background1"/>
      </w:rPr>
      <w:tblPr/>
      <w:tcPr>
        <w:shd w:val="clear" w:color="auto" w:fill="D37800" w:themeFill="accent1" w:themeFillShade="BF"/>
      </w:tcPr>
    </w:tblStylePr>
    <w:tblStylePr w:type="lastCol">
      <w:rPr>
        <w:color w:val="FFFFFF" w:themeColor="background1"/>
      </w:rPr>
      <w:tblPr/>
      <w:tcPr>
        <w:shd w:val="clear" w:color="auto" w:fill="D37800" w:themeFill="accent1" w:themeFillShade="BF"/>
      </w:tcPr>
    </w:tblStylePr>
    <w:tblStylePr w:type="band1Vert">
      <w:tblPr/>
      <w:tcPr>
        <w:shd w:val="clear" w:color="auto" w:fill="FFCE8D" w:themeFill="accent1" w:themeFillTint="7F"/>
      </w:tcPr>
    </w:tblStylePr>
    <w:tblStylePr w:type="band1Horz">
      <w:tblPr/>
      <w:tcPr>
        <w:shd w:val="clear" w:color="auto" w:fill="FFCE8D"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2" w:themeFillTint="33"/>
    </w:tcPr>
    <w:tblStylePr w:type="firstRow">
      <w:rPr>
        <w:b/>
        <w:bCs/>
      </w:rPr>
      <w:tblPr/>
      <w:tcPr>
        <w:shd w:val="clear" w:color="auto" w:fill="7AFFF7" w:themeFill="accent2" w:themeFillTint="66"/>
      </w:tcPr>
    </w:tblStylePr>
    <w:tblStylePr w:type="lastRow">
      <w:rPr>
        <w:b/>
        <w:bCs/>
        <w:color w:val="232222" w:themeColor="text1"/>
      </w:rPr>
      <w:tblPr/>
      <w:tcPr>
        <w:shd w:val="clear" w:color="auto" w:fill="7AFFF7" w:themeFill="accent2" w:themeFillTint="66"/>
      </w:tcPr>
    </w:tblStylePr>
    <w:tblStylePr w:type="firstCol">
      <w:rPr>
        <w:color w:val="FFFFFF" w:themeColor="background1"/>
      </w:rPr>
      <w:tblPr/>
      <w:tcPr>
        <w:shd w:val="clear" w:color="auto" w:fill="00857D" w:themeFill="accent2" w:themeFillShade="BF"/>
      </w:tcPr>
    </w:tblStylePr>
    <w:tblStylePr w:type="lastCol">
      <w:rPr>
        <w:color w:val="FFFFFF" w:themeColor="background1"/>
      </w:rPr>
      <w:tblPr/>
      <w:tcPr>
        <w:shd w:val="clear" w:color="auto" w:fill="00857D" w:themeFill="accent2" w:themeFillShade="BF"/>
      </w:tcPr>
    </w:tblStylePr>
    <w:tblStylePr w:type="band1Vert">
      <w:tblPr/>
      <w:tcPr>
        <w:shd w:val="clear" w:color="auto" w:fill="59FFF5" w:themeFill="accent2" w:themeFillTint="7F"/>
      </w:tcPr>
    </w:tblStylePr>
    <w:tblStylePr w:type="band1Horz">
      <w:tblPr/>
      <w:tcPr>
        <w:shd w:val="clear" w:color="auto" w:fill="59FFF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232222"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D2D4DC" w:themeFill="accent4" w:themeFillTint="33"/>
    </w:tcPr>
    <w:tblStylePr w:type="firstRow">
      <w:rPr>
        <w:b/>
        <w:bCs/>
      </w:rPr>
      <w:tblPr/>
      <w:tcPr>
        <w:shd w:val="clear" w:color="auto" w:fill="A6AAB9" w:themeFill="accent4" w:themeFillTint="66"/>
      </w:tcPr>
    </w:tblStylePr>
    <w:tblStylePr w:type="lastRow">
      <w:rPr>
        <w:b/>
        <w:bCs/>
        <w:color w:val="232222" w:themeColor="text1"/>
      </w:rPr>
      <w:tblPr/>
      <w:tcPr>
        <w:shd w:val="clear" w:color="auto" w:fill="A6AAB9" w:themeFill="accent4" w:themeFillTint="66"/>
      </w:tcPr>
    </w:tblStylePr>
    <w:tblStylePr w:type="firstCol">
      <w:rPr>
        <w:color w:val="FFFFFF" w:themeColor="background1"/>
      </w:rPr>
      <w:tblPr/>
      <w:tcPr>
        <w:shd w:val="clear" w:color="auto" w:fill="262830" w:themeFill="accent4" w:themeFillShade="BF"/>
      </w:tcPr>
    </w:tblStylePr>
    <w:tblStylePr w:type="lastCol">
      <w:rPr>
        <w:color w:val="FFFFFF" w:themeColor="background1"/>
      </w:rPr>
      <w:tblPr/>
      <w:tcPr>
        <w:shd w:val="clear" w:color="auto" w:fill="262830" w:themeFill="accent4" w:themeFillShade="BF"/>
      </w:tcPr>
    </w:tblStylePr>
    <w:tblStylePr w:type="band1Vert">
      <w:tblPr/>
      <w:tcPr>
        <w:shd w:val="clear" w:color="auto" w:fill="9196A8" w:themeFill="accent4" w:themeFillTint="7F"/>
      </w:tcPr>
    </w:tblStylePr>
    <w:tblStylePr w:type="band1Horz">
      <w:tblPr/>
      <w:tcPr>
        <w:shd w:val="clear" w:color="auto" w:fill="9196A8"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FF3E3" w:themeFill="accent5" w:themeFillTint="33"/>
    </w:tcPr>
    <w:tblStylePr w:type="firstRow">
      <w:rPr>
        <w:b/>
        <w:bCs/>
      </w:rPr>
      <w:tblPr/>
      <w:tcPr>
        <w:shd w:val="clear" w:color="auto" w:fill="FFE7C8" w:themeFill="accent5" w:themeFillTint="66"/>
      </w:tcPr>
    </w:tblStylePr>
    <w:tblStylePr w:type="lastRow">
      <w:rPr>
        <w:b/>
        <w:bCs/>
        <w:color w:val="232222" w:themeColor="text1"/>
      </w:rPr>
      <w:tblPr/>
      <w:tcPr>
        <w:shd w:val="clear" w:color="auto" w:fill="FFE7C8" w:themeFill="accent5" w:themeFillTint="66"/>
      </w:tcPr>
    </w:tblStylePr>
    <w:tblStylePr w:type="firstCol">
      <w:rPr>
        <w:color w:val="FFFFFF" w:themeColor="background1"/>
      </w:rPr>
      <w:tblPr/>
      <w:tcPr>
        <w:shd w:val="clear" w:color="auto" w:fill="FF9D18" w:themeFill="accent5" w:themeFillShade="BF"/>
      </w:tcPr>
    </w:tblStylePr>
    <w:tblStylePr w:type="lastCol">
      <w:rPr>
        <w:color w:val="FFFFFF" w:themeColor="background1"/>
      </w:rPr>
      <w:tblPr/>
      <w:tcPr>
        <w:shd w:val="clear" w:color="auto" w:fill="FF9D18" w:themeFill="accent5" w:themeFillShade="BF"/>
      </w:tcPr>
    </w:tblStylePr>
    <w:tblStylePr w:type="band1Vert">
      <w:tblPr/>
      <w:tcPr>
        <w:shd w:val="clear" w:color="auto" w:fill="FFE2BA" w:themeFill="accent5" w:themeFillTint="7F"/>
      </w:tcPr>
    </w:tblStylePr>
    <w:tblStylePr w:type="band1Horz">
      <w:tblPr/>
      <w:tcPr>
        <w:shd w:val="clear" w:color="auto" w:fill="FFE2BA"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B3FFFA" w:themeFill="accent6" w:themeFillTint="33"/>
    </w:tcPr>
    <w:tblStylePr w:type="firstRow">
      <w:rPr>
        <w:b/>
        <w:bCs/>
      </w:rPr>
      <w:tblPr/>
      <w:tcPr>
        <w:shd w:val="clear" w:color="auto" w:fill="68FFF6" w:themeFill="accent6" w:themeFillTint="66"/>
      </w:tcPr>
    </w:tblStylePr>
    <w:tblStylePr w:type="lastRow">
      <w:rPr>
        <w:b/>
        <w:bCs/>
        <w:color w:val="232222" w:themeColor="text1"/>
      </w:rPr>
      <w:tblPr/>
      <w:tcPr>
        <w:shd w:val="clear" w:color="auto" w:fill="68FFF6" w:themeFill="accent6" w:themeFillTint="66"/>
      </w:tcPr>
    </w:tblStylePr>
    <w:tblStylePr w:type="firstCol">
      <w:rPr>
        <w:color w:val="FFFFFF" w:themeColor="background1"/>
      </w:rPr>
      <w:tblPr/>
      <w:tcPr>
        <w:shd w:val="clear" w:color="auto" w:fill="00645E" w:themeFill="accent6" w:themeFillShade="BF"/>
      </w:tcPr>
    </w:tblStylePr>
    <w:tblStylePr w:type="lastCol">
      <w:rPr>
        <w:color w:val="FFFFFF" w:themeColor="background1"/>
      </w:rPr>
      <w:tblPr/>
      <w:tcPr>
        <w:shd w:val="clear" w:color="auto" w:fill="00645E" w:themeFill="accent6" w:themeFillShade="BF"/>
      </w:tcPr>
    </w:tblStylePr>
    <w:tblStylePr w:type="band1Vert">
      <w:tblPr/>
      <w:tcPr>
        <w:shd w:val="clear" w:color="auto" w:fill="43FFF4" w:themeFill="accent6" w:themeFillTint="7F"/>
      </w:tcPr>
    </w:tblStylePr>
    <w:tblStylePr w:type="band1Horz">
      <w:tblPr/>
      <w:tcPr>
        <w:shd w:val="clear" w:color="auto" w:fill="43FFF4"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FF5E8" w:themeFill="accent1"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C6" w:themeFill="accent1" w:themeFillTint="3F"/>
      </w:tcPr>
    </w:tblStylePr>
    <w:tblStylePr w:type="band1Horz">
      <w:tblPr/>
      <w:tcPr>
        <w:shd w:val="clear" w:color="auto" w:fill="FFEBD1"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DEFFFD" w:themeFill="accent2"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2" w:themeFillTint="3F"/>
      </w:tcPr>
    </w:tblStylePr>
    <w:tblStylePr w:type="band1Horz">
      <w:tblPr/>
      <w:tcPr>
        <w:shd w:val="clear" w:color="auto" w:fill="BCFFFB"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282B33" w:themeFill="accent4" w:themeFillShade="CC"/>
      </w:tcPr>
    </w:tblStylePr>
    <w:tblStylePr w:type="lastRow">
      <w:rPr>
        <w:b/>
        <w:bCs/>
        <w:color w:val="282B33"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9EAEE"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AD4" w:themeFill="accent4" w:themeFillTint="3F"/>
      </w:tcPr>
    </w:tblStylePr>
    <w:tblStylePr w:type="band1Horz">
      <w:tblPr/>
      <w:tcPr>
        <w:shd w:val="clear" w:color="auto" w:fill="D2D4D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FF9F1" w:themeFill="accent5" w:themeFillTint="19"/>
    </w:tcPr>
    <w:tblStylePr w:type="firstRow">
      <w:rPr>
        <w:b/>
        <w:bCs/>
        <w:color w:val="FFFFFF" w:themeColor="background1"/>
      </w:rPr>
      <w:tblPr/>
      <w:tcPr>
        <w:tcBorders>
          <w:bottom w:val="single" w:sz="12" w:space="0" w:color="FFFFFF" w:themeColor="background1"/>
        </w:tcBorders>
        <w:shd w:val="clear" w:color="auto" w:fill="006B65" w:themeFill="accent6" w:themeFillShade="CC"/>
      </w:tcPr>
    </w:tblStylePr>
    <w:tblStylePr w:type="lastRow">
      <w:rPr>
        <w:b/>
        <w:bCs/>
        <w:color w:val="006B65"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DD" w:themeFill="accent5" w:themeFillTint="3F"/>
      </w:tcPr>
    </w:tblStylePr>
    <w:tblStylePr w:type="band1Horz">
      <w:tblPr/>
      <w:tcPr>
        <w:shd w:val="clear" w:color="auto" w:fill="FFF3E3"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DAFFFC" w:themeFill="accent6" w:themeFillTint="19"/>
    </w:tcPr>
    <w:tblStylePr w:type="firstRow">
      <w:rPr>
        <w:b/>
        <w:bCs/>
        <w:color w:val="FFFFFF" w:themeColor="background1"/>
      </w:rPr>
      <w:tblPr/>
      <w:tcPr>
        <w:tcBorders>
          <w:bottom w:val="single" w:sz="12" w:space="0" w:color="FFFFFF" w:themeColor="background1"/>
        </w:tcBorders>
        <w:shd w:val="clear" w:color="auto" w:fill="FFA52B" w:themeFill="accent5" w:themeFillShade="CC"/>
      </w:tcPr>
    </w:tblStylePr>
    <w:tblStylePr w:type="lastRow">
      <w:rPr>
        <w:b/>
        <w:bCs/>
        <w:color w:val="FFA52B"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F9" w:themeFill="accent6" w:themeFillTint="3F"/>
      </w:tcPr>
    </w:tblStylePr>
    <w:tblStylePr w:type="band1Horz">
      <w:tblPr/>
      <w:tcPr>
        <w:shd w:val="clear" w:color="auto" w:fill="B3FFFA"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00B2A8"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00B2A8" w:themeColor="accent2"/>
        <w:left w:val="single" w:sz="4" w:space="0" w:color="FF9E1B" w:themeColor="accent1"/>
        <w:bottom w:val="single" w:sz="4" w:space="0" w:color="FF9E1B" w:themeColor="accent1"/>
        <w:right w:val="single" w:sz="4" w:space="0" w:color="FF9E1B" w:themeColor="accent1"/>
        <w:insideH w:val="single" w:sz="4" w:space="0" w:color="FFFFFF" w:themeColor="background1"/>
        <w:insideV w:val="single" w:sz="4" w:space="0" w:color="FFFFFF" w:themeColor="background1"/>
      </w:tblBorders>
    </w:tblPr>
    <w:tcPr>
      <w:shd w:val="clear" w:color="auto" w:fill="FFF5E8" w:themeFill="accent1"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6000" w:themeFill="accent1" w:themeFillShade="99"/>
      </w:tcPr>
    </w:tblStylePr>
    <w:tblStylePr w:type="firstCol">
      <w:rPr>
        <w:color w:val="FFFFFF" w:themeColor="background1"/>
      </w:rPr>
      <w:tblPr/>
      <w:tcPr>
        <w:tcBorders>
          <w:top w:val="nil"/>
          <w:left w:val="nil"/>
          <w:bottom w:val="nil"/>
          <w:right w:val="nil"/>
          <w:insideH w:val="single" w:sz="4" w:space="0" w:color="A96000" w:themeColor="accent1" w:themeShade="99"/>
          <w:insideV w:val="nil"/>
        </w:tcBorders>
        <w:shd w:val="clear" w:color="auto" w:fill="A96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96000" w:themeFill="accent1" w:themeFillShade="99"/>
      </w:tcPr>
    </w:tblStylePr>
    <w:tblStylePr w:type="band1Vert">
      <w:tblPr/>
      <w:tcPr>
        <w:shd w:val="clear" w:color="auto" w:fill="FFD7A3" w:themeFill="accent1" w:themeFillTint="66"/>
      </w:tcPr>
    </w:tblStylePr>
    <w:tblStylePr w:type="band1Horz">
      <w:tblPr/>
      <w:tcPr>
        <w:shd w:val="clear" w:color="auto" w:fill="FFCE8D"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00B2A8" w:themeColor="accent2"/>
        <w:left w:val="single" w:sz="4" w:space="0" w:color="00B2A8" w:themeColor="accent2"/>
        <w:bottom w:val="single" w:sz="4" w:space="0" w:color="00B2A8" w:themeColor="accent2"/>
        <w:right w:val="single" w:sz="4" w:space="0" w:color="00B2A8" w:themeColor="accent2"/>
        <w:insideH w:val="single" w:sz="4" w:space="0" w:color="FFFFFF" w:themeColor="background1"/>
        <w:insideV w:val="single" w:sz="4" w:space="0" w:color="FFFFFF" w:themeColor="background1"/>
      </w:tblBorders>
    </w:tblPr>
    <w:tcPr>
      <w:shd w:val="clear" w:color="auto" w:fill="DEFFFD" w:themeFill="accent2"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4" w:themeFill="accent2" w:themeFillShade="99"/>
      </w:tcPr>
    </w:tblStylePr>
    <w:tblStylePr w:type="firstCol">
      <w:rPr>
        <w:color w:val="FFFFFF" w:themeColor="background1"/>
      </w:rPr>
      <w:tblPr/>
      <w:tcPr>
        <w:tcBorders>
          <w:top w:val="nil"/>
          <w:left w:val="nil"/>
          <w:bottom w:val="nil"/>
          <w:right w:val="nil"/>
          <w:insideH w:val="single" w:sz="4" w:space="0" w:color="006A64" w:themeColor="accent2" w:themeShade="99"/>
          <w:insideV w:val="nil"/>
        </w:tcBorders>
        <w:shd w:val="clear" w:color="auto" w:fill="006A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A64" w:themeFill="accent2" w:themeFillShade="99"/>
      </w:tcPr>
    </w:tblStylePr>
    <w:tblStylePr w:type="band1Vert">
      <w:tblPr/>
      <w:tcPr>
        <w:shd w:val="clear" w:color="auto" w:fill="7AFFF7" w:themeFill="accent2" w:themeFillTint="66"/>
      </w:tcPr>
    </w:tblStylePr>
    <w:tblStylePr w:type="band1Horz">
      <w:tblPr/>
      <w:tcPr>
        <w:shd w:val="clear" w:color="auto" w:fill="59FFF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333641"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3336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CEDC00" w:themeColor="accent3"/>
        <w:left w:val="single" w:sz="4" w:space="0" w:color="333641" w:themeColor="accent4"/>
        <w:bottom w:val="single" w:sz="4" w:space="0" w:color="333641" w:themeColor="accent4"/>
        <w:right w:val="single" w:sz="4" w:space="0" w:color="333641" w:themeColor="accent4"/>
        <w:insideH w:val="single" w:sz="4" w:space="0" w:color="FFFFFF" w:themeColor="background1"/>
        <w:insideV w:val="single" w:sz="4" w:space="0" w:color="FFFFFF" w:themeColor="background1"/>
      </w:tblBorders>
    </w:tblPr>
    <w:tcPr>
      <w:shd w:val="clear" w:color="auto" w:fill="E9EAEE"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026" w:themeFill="accent4" w:themeFillShade="99"/>
      </w:tcPr>
    </w:tblStylePr>
    <w:tblStylePr w:type="firstCol">
      <w:rPr>
        <w:color w:val="FFFFFF" w:themeColor="background1"/>
      </w:rPr>
      <w:tblPr/>
      <w:tcPr>
        <w:tcBorders>
          <w:top w:val="nil"/>
          <w:left w:val="nil"/>
          <w:bottom w:val="nil"/>
          <w:right w:val="nil"/>
          <w:insideH w:val="single" w:sz="4" w:space="0" w:color="1E2026" w:themeColor="accent4" w:themeShade="99"/>
          <w:insideV w:val="nil"/>
        </w:tcBorders>
        <w:shd w:val="clear" w:color="auto" w:fill="1E20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2026" w:themeFill="accent4" w:themeFillShade="99"/>
      </w:tcPr>
    </w:tblStylePr>
    <w:tblStylePr w:type="band1Vert">
      <w:tblPr/>
      <w:tcPr>
        <w:shd w:val="clear" w:color="auto" w:fill="A6AAB9" w:themeFill="accent4" w:themeFillTint="66"/>
      </w:tcPr>
    </w:tblStylePr>
    <w:tblStylePr w:type="band1Horz">
      <w:tblPr/>
      <w:tcPr>
        <w:shd w:val="clear" w:color="auto" w:fill="9196A8"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0867F" w:themeColor="accent6"/>
        <w:left w:val="single" w:sz="4" w:space="0" w:color="FFC576" w:themeColor="accent5"/>
        <w:bottom w:val="single" w:sz="4" w:space="0" w:color="FFC576" w:themeColor="accent5"/>
        <w:right w:val="single" w:sz="4" w:space="0" w:color="FFC576" w:themeColor="accent5"/>
        <w:insideH w:val="single" w:sz="4" w:space="0" w:color="FFFFFF" w:themeColor="background1"/>
        <w:insideV w:val="single" w:sz="4" w:space="0" w:color="FFFFFF" w:themeColor="background1"/>
      </w:tblBorders>
    </w:tblPr>
    <w:tcPr>
      <w:shd w:val="clear" w:color="auto" w:fill="FFF9F1" w:themeFill="accent5" w:themeFillTint="19"/>
    </w:tcPr>
    <w:tblStylePr w:type="firstRow">
      <w:rPr>
        <w:b/>
        <w:bCs/>
      </w:rPr>
      <w:tblPr/>
      <w:tcPr>
        <w:tcBorders>
          <w:top w:val="nil"/>
          <w:left w:val="nil"/>
          <w:bottom w:val="single" w:sz="24" w:space="0" w:color="0086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8000" w:themeFill="accent5" w:themeFillShade="99"/>
      </w:tcPr>
    </w:tblStylePr>
    <w:tblStylePr w:type="firstCol">
      <w:rPr>
        <w:color w:val="FFFFFF" w:themeColor="background1"/>
      </w:rPr>
      <w:tblPr/>
      <w:tcPr>
        <w:tcBorders>
          <w:top w:val="nil"/>
          <w:left w:val="nil"/>
          <w:bottom w:val="nil"/>
          <w:right w:val="nil"/>
          <w:insideH w:val="single" w:sz="4" w:space="0" w:color="DF8000" w:themeColor="accent5" w:themeShade="99"/>
          <w:insideV w:val="nil"/>
        </w:tcBorders>
        <w:shd w:val="clear" w:color="auto" w:fill="DF8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F8000" w:themeFill="accent5" w:themeFillShade="99"/>
      </w:tcPr>
    </w:tblStylePr>
    <w:tblStylePr w:type="band1Vert">
      <w:tblPr/>
      <w:tcPr>
        <w:shd w:val="clear" w:color="auto" w:fill="FFE7C8" w:themeFill="accent5" w:themeFillTint="66"/>
      </w:tcPr>
    </w:tblStylePr>
    <w:tblStylePr w:type="band1Horz">
      <w:tblPr/>
      <w:tcPr>
        <w:shd w:val="clear" w:color="auto" w:fill="FFE2BA"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FFC576" w:themeColor="accent5"/>
        <w:left w:val="single" w:sz="4" w:space="0" w:color="00867F" w:themeColor="accent6"/>
        <w:bottom w:val="single" w:sz="4" w:space="0" w:color="00867F" w:themeColor="accent6"/>
        <w:right w:val="single" w:sz="4" w:space="0" w:color="00867F" w:themeColor="accent6"/>
        <w:insideH w:val="single" w:sz="4" w:space="0" w:color="FFFFFF" w:themeColor="background1"/>
        <w:insideV w:val="single" w:sz="4" w:space="0" w:color="FFFFFF" w:themeColor="background1"/>
      </w:tblBorders>
    </w:tblPr>
    <w:tcPr>
      <w:shd w:val="clear" w:color="auto" w:fill="DAFFFC" w:themeFill="accent6" w:themeFillTint="19"/>
    </w:tcPr>
    <w:tblStylePr w:type="firstRow">
      <w:rPr>
        <w:b/>
        <w:bCs/>
      </w:rPr>
      <w:tblPr/>
      <w:tcPr>
        <w:tcBorders>
          <w:top w:val="nil"/>
          <w:left w:val="nil"/>
          <w:bottom w:val="single" w:sz="24" w:space="0" w:color="FFC5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4B" w:themeFill="accent6" w:themeFillShade="99"/>
      </w:tcPr>
    </w:tblStylePr>
    <w:tblStylePr w:type="firstCol">
      <w:rPr>
        <w:color w:val="FFFFFF" w:themeColor="background1"/>
      </w:rPr>
      <w:tblPr/>
      <w:tcPr>
        <w:tcBorders>
          <w:top w:val="nil"/>
          <w:left w:val="nil"/>
          <w:bottom w:val="nil"/>
          <w:right w:val="nil"/>
          <w:insideH w:val="single" w:sz="4" w:space="0" w:color="00504B" w:themeColor="accent6" w:themeShade="99"/>
          <w:insideV w:val="nil"/>
        </w:tcBorders>
        <w:shd w:val="clear" w:color="auto" w:fill="0050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04B" w:themeFill="accent6" w:themeFillShade="99"/>
      </w:tcPr>
    </w:tblStylePr>
    <w:tblStylePr w:type="band1Vert">
      <w:tblPr/>
      <w:tcPr>
        <w:shd w:val="clear" w:color="auto" w:fill="68FFF6" w:themeFill="accent6" w:themeFillTint="66"/>
      </w:tcPr>
    </w:tblStylePr>
    <w:tblStylePr w:type="band1Horz">
      <w:tblPr/>
      <w:tcPr>
        <w:shd w:val="clear" w:color="auto" w:fill="43FFF4"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F9E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C5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378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37800" w:themeFill="accent1" w:themeFillShade="BF"/>
      </w:tcPr>
    </w:tblStylePr>
    <w:tblStylePr w:type="band1Vert">
      <w:tblPr/>
      <w:tcPr>
        <w:tcBorders>
          <w:top w:val="nil"/>
          <w:left w:val="nil"/>
          <w:bottom w:val="nil"/>
          <w:right w:val="nil"/>
          <w:insideH w:val="nil"/>
          <w:insideV w:val="nil"/>
        </w:tcBorders>
        <w:shd w:val="clear" w:color="auto" w:fill="D37800" w:themeFill="accent1" w:themeFillShade="BF"/>
      </w:tcPr>
    </w:tblStylePr>
    <w:tblStylePr w:type="band1Horz">
      <w:tblPr/>
      <w:tcPr>
        <w:tcBorders>
          <w:top w:val="nil"/>
          <w:left w:val="nil"/>
          <w:bottom w:val="nil"/>
          <w:right w:val="nil"/>
          <w:insideH w:val="nil"/>
          <w:insideV w:val="nil"/>
        </w:tcBorders>
        <w:shd w:val="clear" w:color="auto" w:fill="D37800"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00B2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5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57D" w:themeFill="accent2" w:themeFillShade="BF"/>
      </w:tcPr>
    </w:tblStylePr>
    <w:tblStylePr w:type="band1Vert">
      <w:tblPr/>
      <w:tcPr>
        <w:tcBorders>
          <w:top w:val="nil"/>
          <w:left w:val="nil"/>
          <w:bottom w:val="nil"/>
          <w:right w:val="nil"/>
          <w:insideH w:val="nil"/>
          <w:insideV w:val="nil"/>
        </w:tcBorders>
        <w:shd w:val="clear" w:color="auto" w:fill="00857D" w:themeFill="accent2" w:themeFillShade="BF"/>
      </w:tcPr>
    </w:tblStylePr>
    <w:tblStylePr w:type="band1Horz">
      <w:tblPr/>
      <w:tcPr>
        <w:tcBorders>
          <w:top w:val="nil"/>
          <w:left w:val="nil"/>
          <w:bottom w:val="nil"/>
          <w:right w:val="nil"/>
          <w:insideH w:val="nil"/>
          <w:insideV w:val="nil"/>
        </w:tcBorders>
        <w:shd w:val="clear" w:color="auto" w:fill="00857D"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3336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91A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28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2830" w:themeFill="accent4" w:themeFillShade="BF"/>
      </w:tcPr>
    </w:tblStylePr>
    <w:tblStylePr w:type="band1Vert">
      <w:tblPr/>
      <w:tcPr>
        <w:tcBorders>
          <w:top w:val="nil"/>
          <w:left w:val="nil"/>
          <w:bottom w:val="nil"/>
          <w:right w:val="nil"/>
          <w:insideH w:val="nil"/>
          <w:insideV w:val="nil"/>
        </w:tcBorders>
        <w:shd w:val="clear" w:color="auto" w:fill="262830" w:themeFill="accent4" w:themeFillShade="BF"/>
      </w:tcPr>
    </w:tblStylePr>
    <w:tblStylePr w:type="band1Horz">
      <w:tblPr/>
      <w:tcPr>
        <w:tcBorders>
          <w:top w:val="nil"/>
          <w:left w:val="nil"/>
          <w:bottom w:val="nil"/>
          <w:right w:val="nil"/>
          <w:insideH w:val="nil"/>
          <w:insideV w:val="nil"/>
        </w:tcBorders>
        <w:shd w:val="clear" w:color="auto" w:fill="262830"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FFC5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B96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9D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9D18" w:themeFill="accent5" w:themeFillShade="BF"/>
      </w:tcPr>
    </w:tblStylePr>
    <w:tblStylePr w:type="band1Vert">
      <w:tblPr/>
      <w:tcPr>
        <w:tcBorders>
          <w:top w:val="nil"/>
          <w:left w:val="nil"/>
          <w:bottom w:val="nil"/>
          <w:right w:val="nil"/>
          <w:insideH w:val="nil"/>
          <w:insideV w:val="nil"/>
        </w:tcBorders>
        <w:shd w:val="clear" w:color="auto" w:fill="FF9D18" w:themeFill="accent5" w:themeFillShade="BF"/>
      </w:tcPr>
    </w:tblStylePr>
    <w:tblStylePr w:type="band1Horz">
      <w:tblPr/>
      <w:tcPr>
        <w:tcBorders>
          <w:top w:val="nil"/>
          <w:left w:val="nil"/>
          <w:bottom w:val="nil"/>
          <w:right w:val="nil"/>
          <w:insideH w:val="nil"/>
          <w:insideV w:val="nil"/>
        </w:tcBorders>
        <w:shd w:val="clear" w:color="auto" w:fill="FF9D1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0867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42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45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45E" w:themeFill="accent6" w:themeFillShade="BF"/>
      </w:tcPr>
    </w:tblStylePr>
    <w:tblStylePr w:type="band1Vert">
      <w:tblPr/>
      <w:tcPr>
        <w:tcBorders>
          <w:top w:val="nil"/>
          <w:left w:val="nil"/>
          <w:bottom w:val="nil"/>
          <w:right w:val="nil"/>
          <w:insideH w:val="nil"/>
          <w:insideV w:val="nil"/>
        </w:tcBorders>
        <w:shd w:val="clear" w:color="auto" w:fill="00645E" w:themeFill="accent6" w:themeFillShade="BF"/>
      </w:tcPr>
    </w:tblStylePr>
    <w:tblStylePr w:type="band1Horz">
      <w:tblPr/>
      <w:tcPr>
        <w:tcBorders>
          <w:top w:val="nil"/>
          <w:left w:val="nil"/>
          <w:bottom w:val="nil"/>
          <w:right w:val="nil"/>
          <w:insideH w:val="nil"/>
          <w:insideV w:val="nil"/>
        </w:tcBorders>
        <w:shd w:val="clear" w:color="auto" w:fill="00645E"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FD7A3" w:themeColor="accent1" w:themeTint="66"/>
        <w:left w:val="single" w:sz="4" w:space="0" w:color="FFD7A3" w:themeColor="accent1" w:themeTint="66"/>
        <w:bottom w:val="single" w:sz="4" w:space="0" w:color="FFD7A3" w:themeColor="accent1" w:themeTint="66"/>
        <w:right w:val="single" w:sz="4" w:space="0" w:color="FFD7A3" w:themeColor="accent1" w:themeTint="66"/>
        <w:insideH w:val="single" w:sz="4" w:space="0" w:color="FFD7A3" w:themeColor="accent1" w:themeTint="66"/>
        <w:insideV w:val="single" w:sz="4" w:space="0" w:color="FFD7A3" w:themeColor="accent1" w:themeTint="66"/>
      </w:tblBorders>
    </w:tblPr>
    <w:tblStylePr w:type="firstRow">
      <w:rPr>
        <w:b/>
        <w:bCs/>
      </w:rPr>
      <w:tblPr/>
      <w:tcPr>
        <w:tcBorders>
          <w:bottom w:val="single" w:sz="12" w:space="0" w:color="FFC476" w:themeColor="accent1" w:themeTint="99"/>
        </w:tcBorders>
      </w:tcPr>
    </w:tblStylePr>
    <w:tblStylePr w:type="lastRow">
      <w:rPr>
        <w:b/>
        <w:bCs/>
      </w:rPr>
      <w:tblPr/>
      <w:tcPr>
        <w:tcBorders>
          <w:top w:val="double" w:sz="2" w:space="0" w:color="FFC47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7AFFF7" w:themeColor="accent2" w:themeTint="66"/>
        <w:left w:val="single" w:sz="4" w:space="0" w:color="7AFFF7" w:themeColor="accent2" w:themeTint="66"/>
        <w:bottom w:val="single" w:sz="4" w:space="0" w:color="7AFFF7" w:themeColor="accent2" w:themeTint="66"/>
        <w:right w:val="single" w:sz="4" w:space="0" w:color="7AFFF7" w:themeColor="accent2" w:themeTint="66"/>
        <w:insideH w:val="single" w:sz="4" w:space="0" w:color="7AFFF7" w:themeColor="accent2" w:themeTint="66"/>
        <w:insideV w:val="single" w:sz="4" w:space="0" w:color="7AFFF7" w:themeColor="accent2" w:themeTint="66"/>
      </w:tblBorders>
    </w:tblPr>
    <w:tblStylePr w:type="firstRow">
      <w:rPr>
        <w:b/>
        <w:bCs/>
      </w:rPr>
      <w:tblPr/>
      <w:tcPr>
        <w:tcBorders>
          <w:bottom w:val="single" w:sz="12" w:space="0" w:color="37FFF3" w:themeColor="accent2" w:themeTint="99"/>
        </w:tcBorders>
      </w:tcPr>
    </w:tblStylePr>
    <w:tblStylePr w:type="lastRow">
      <w:rPr>
        <w:b/>
        <w:bCs/>
      </w:rPr>
      <w:tblPr/>
      <w:tcPr>
        <w:tcBorders>
          <w:top w:val="double" w:sz="2" w:space="0" w:color="37FFF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A6AAB9" w:themeColor="accent4" w:themeTint="66"/>
        <w:left w:val="single" w:sz="4" w:space="0" w:color="A6AAB9" w:themeColor="accent4" w:themeTint="66"/>
        <w:bottom w:val="single" w:sz="4" w:space="0" w:color="A6AAB9" w:themeColor="accent4" w:themeTint="66"/>
        <w:right w:val="single" w:sz="4" w:space="0" w:color="A6AAB9" w:themeColor="accent4" w:themeTint="66"/>
        <w:insideH w:val="single" w:sz="4" w:space="0" w:color="A6AAB9" w:themeColor="accent4" w:themeTint="66"/>
        <w:insideV w:val="single" w:sz="4" w:space="0" w:color="A6AAB9" w:themeColor="accent4" w:themeTint="66"/>
      </w:tblBorders>
    </w:tblPr>
    <w:tblStylePr w:type="firstRow">
      <w:rPr>
        <w:b/>
        <w:bCs/>
      </w:rPr>
      <w:tblPr/>
      <w:tcPr>
        <w:tcBorders>
          <w:bottom w:val="single" w:sz="12" w:space="0" w:color="7A8097" w:themeColor="accent4" w:themeTint="99"/>
        </w:tcBorders>
      </w:tcPr>
    </w:tblStylePr>
    <w:tblStylePr w:type="lastRow">
      <w:rPr>
        <w:b/>
        <w:bCs/>
      </w:rPr>
      <w:tblPr/>
      <w:tcPr>
        <w:tcBorders>
          <w:top w:val="double" w:sz="2" w:space="0" w:color="7A809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FFE7C8" w:themeColor="accent5" w:themeTint="66"/>
        <w:left w:val="single" w:sz="4" w:space="0" w:color="FFE7C8" w:themeColor="accent5" w:themeTint="66"/>
        <w:bottom w:val="single" w:sz="4" w:space="0" w:color="FFE7C8" w:themeColor="accent5" w:themeTint="66"/>
        <w:right w:val="single" w:sz="4" w:space="0" w:color="FFE7C8" w:themeColor="accent5" w:themeTint="66"/>
        <w:insideH w:val="single" w:sz="4" w:space="0" w:color="FFE7C8" w:themeColor="accent5" w:themeTint="66"/>
        <w:insideV w:val="single" w:sz="4" w:space="0" w:color="FFE7C8" w:themeColor="accent5" w:themeTint="66"/>
      </w:tblBorders>
    </w:tblPr>
    <w:tblStylePr w:type="firstRow">
      <w:rPr>
        <w:b/>
        <w:bCs/>
      </w:rPr>
      <w:tblPr/>
      <w:tcPr>
        <w:tcBorders>
          <w:bottom w:val="single" w:sz="12" w:space="0" w:color="FFDCAC" w:themeColor="accent5" w:themeTint="99"/>
        </w:tcBorders>
      </w:tcPr>
    </w:tblStylePr>
    <w:tblStylePr w:type="lastRow">
      <w:rPr>
        <w:b/>
        <w:bCs/>
      </w:rPr>
      <w:tblPr/>
      <w:tcPr>
        <w:tcBorders>
          <w:top w:val="double" w:sz="2" w:space="0" w:color="FFDCA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68FFF6" w:themeColor="accent6" w:themeTint="66"/>
        <w:left w:val="single" w:sz="4" w:space="0" w:color="68FFF6" w:themeColor="accent6" w:themeTint="66"/>
        <w:bottom w:val="single" w:sz="4" w:space="0" w:color="68FFF6" w:themeColor="accent6" w:themeTint="66"/>
        <w:right w:val="single" w:sz="4" w:space="0" w:color="68FFF6" w:themeColor="accent6" w:themeTint="66"/>
        <w:insideH w:val="single" w:sz="4" w:space="0" w:color="68FFF6" w:themeColor="accent6" w:themeTint="66"/>
        <w:insideV w:val="single" w:sz="4" w:space="0" w:color="68FFF6" w:themeColor="accent6" w:themeTint="66"/>
      </w:tblBorders>
    </w:tblPr>
    <w:tblStylePr w:type="firstRow">
      <w:rPr>
        <w:b/>
        <w:bCs/>
      </w:rPr>
      <w:tblPr/>
      <w:tcPr>
        <w:tcBorders>
          <w:bottom w:val="single" w:sz="12" w:space="0" w:color="1DFFF2" w:themeColor="accent6" w:themeTint="99"/>
        </w:tcBorders>
      </w:tcPr>
    </w:tblStylePr>
    <w:tblStylePr w:type="lastRow">
      <w:rPr>
        <w:b/>
        <w:bCs/>
      </w:rPr>
      <w:tblPr/>
      <w:tcPr>
        <w:tcBorders>
          <w:top w:val="double" w:sz="2" w:space="0" w:color="1DFFF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FC476" w:themeColor="accent1" w:themeTint="99"/>
        <w:bottom w:val="single" w:sz="2" w:space="0" w:color="FFC476" w:themeColor="accent1" w:themeTint="99"/>
        <w:insideH w:val="single" w:sz="2" w:space="0" w:color="FFC476" w:themeColor="accent1" w:themeTint="99"/>
        <w:insideV w:val="single" w:sz="2" w:space="0" w:color="FFC476" w:themeColor="accent1" w:themeTint="99"/>
      </w:tblBorders>
    </w:tblPr>
    <w:tblStylePr w:type="firstRow">
      <w:rPr>
        <w:b/>
        <w:bCs/>
      </w:rPr>
      <w:tblPr/>
      <w:tcPr>
        <w:tcBorders>
          <w:top w:val="nil"/>
          <w:bottom w:val="single" w:sz="12" w:space="0" w:color="FFC476" w:themeColor="accent1" w:themeTint="99"/>
          <w:insideH w:val="nil"/>
          <w:insideV w:val="nil"/>
        </w:tcBorders>
        <w:shd w:val="clear" w:color="auto" w:fill="FFFFFF" w:themeFill="background1"/>
      </w:tcPr>
    </w:tblStylePr>
    <w:tblStylePr w:type="lastRow">
      <w:rPr>
        <w:b/>
        <w:bCs/>
      </w:rPr>
      <w:tblPr/>
      <w:tcPr>
        <w:tcBorders>
          <w:top w:val="double" w:sz="2" w:space="0" w:color="FFC47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37FFF3" w:themeColor="accent2" w:themeTint="99"/>
        <w:bottom w:val="single" w:sz="2" w:space="0" w:color="37FFF3" w:themeColor="accent2" w:themeTint="99"/>
        <w:insideH w:val="single" w:sz="2" w:space="0" w:color="37FFF3" w:themeColor="accent2" w:themeTint="99"/>
        <w:insideV w:val="single" w:sz="2" w:space="0" w:color="37FFF3" w:themeColor="accent2" w:themeTint="99"/>
      </w:tblBorders>
    </w:tblPr>
    <w:tblStylePr w:type="firstRow">
      <w:rPr>
        <w:b/>
        <w:bCs/>
      </w:rPr>
      <w:tblPr/>
      <w:tcPr>
        <w:tcBorders>
          <w:top w:val="nil"/>
          <w:bottom w:val="single" w:sz="12" w:space="0" w:color="37FFF3" w:themeColor="accent2" w:themeTint="99"/>
          <w:insideH w:val="nil"/>
          <w:insideV w:val="nil"/>
        </w:tcBorders>
        <w:shd w:val="clear" w:color="auto" w:fill="FFFFFF" w:themeFill="background1"/>
      </w:tcPr>
    </w:tblStylePr>
    <w:tblStylePr w:type="lastRow">
      <w:rPr>
        <w:b/>
        <w:bCs/>
      </w:rPr>
      <w:tblPr/>
      <w:tcPr>
        <w:tcBorders>
          <w:top w:val="double" w:sz="2" w:space="0" w:color="37FFF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7A8097" w:themeColor="accent4" w:themeTint="99"/>
        <w:bottom w:val="single" w:sz="2" w:space="0" w:color="7A8097" w:themeColor="accent4" w:themeTint="99"/>
        <w:insideH w:val="single" w:sz="2" w:space="0" w:color="7A8097" w:themeColor="accent4" w:themeTint="99"/>
        <w:insideV w:val="single" w:sz="2" w:space="0" w:color="7A8097" w:themeColor="accent4" w:themeTint="99"/>
      </w:tblBorders>
    </w:tblPr>
    <w:tblStylePr w:type="firstRow">
      <w:rPr>
        <w:b/>
        <w:bCs/>
      </w:rPr>
      <w:tblPr/>
      <w:tcPr>
        <w:tcBorders>
          <w:top w:val="nil"/>
          <w:bottom w:val="single" w:sz="12" w:space="0" w:color="7A8097" w:themeColor="accent4" w:themeTint="99"/>
          <w:insideH w:val="nil"/>
          <w:insideV w:val="nil"/>
        </w:tcBorders>
        <w:shd w:val="clear" w:color="auto" w:fill="FFFFFF" w:themeFill="background1"/>
      </w:tcPr>
    </w:tblStylePr>
    <w:tblStylePr w:type="lastRow">
      <w:rPr>
        <w:b/>
        <w:bCs/>
      </w:rPr>
      <w:tblPr/>
      <w:tcPr>
        <w:tcBorders>
          <w:top w:val="double" w:sz="2" w:space="0" w:color="7A80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FFDCAC" w:themeColor="accent5" w:themeTint="99"/>
        <w:bottom w:val="single" w:sz="2" w:space="0" w:color="FFDCAC" w:themeColor="accent5" w:themeTint="99"/>
        <w:insideH w:val="single" w:sz="2" w:space="0" w:color="FFDCAC" w:themeColor="accent5" w:themeTint="99"/>
        <w:insideV w:val="single" w:sz="2" w:space="0" w:color="FFDCAC" w:themeColor="accent5" w:themeTint="99"/>
      </w:tblBorders>
    </w:tblPr>
    <w:tblStylePr w:type="firstRow">
      <w:rPr>
        <w:b/>
        <w:bCs/>
      </w:rPr>
      <w:tblPr/>
      <w:tcPr>
        <w:tcBorders>
          <w:top w:val="nil"/>
          <w:bottom w:val="single" w:sz="12" w:space="0" w:color="FFDCAC" w:themeColor="accent5" w:themeTint="99"/>
          <w:insideH w:val="nil"/>
          <w:insideV w:val="nil"/>
        </w:tcBorders>
        <w:shd w:val="clear" w:color="auto" w:fill="FFFFFF" w:themeFill="background1"/>
      </w:tcPr>
    </w:tblStylePr>
    <w:tblStylePr w:type="lastRow">
      <w:rPr>
        <w:b/>
        <w:bCs/>
      </w:rPr>
      <w:tblPr/>
      <w:tcPr>
        <w:tcBorders>
          <w:top w:val="double" w:sz="2" w:space="0" w:color="FFDC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1DFFF2" w:themeColor="accent6" w:themeTint="99"/>
        <w:bottom w:val="single" w:sz="2" w:space="0" w:color="1DFFF2" w:themeColor="accent6" w:themeTint="99"/>
        <w:insideH w:val="single" w:sz="2" w:space="0" w:color="1DFFF2" w:themeColor="accent6" w:themeTint="99"/>
        <w:insideV w:val="single" w:sz="2" w:space="0" w:color="1DFFF2" w:themeColor="accent6" w:themeTint="99"/>
      </w:tblBorders>
    </w:tblPr>
    <w:tblStylePr w:type="firstRow">
      <w:rPr>
        <w:b/>
        <w:bCs/>
      </w:rPr>
      <w:tblPr/>
      <w:tcPr>
        <w:tcBorders>
          <w:top w:val="nil"/>
          <w:bottom w:val="single" w:sz="12" w:space="0" w:color="1DFFF2" w:themeColor="accent6" w:themeTint="99"/>
          <w:insideH w:val="nil"/>
          <w:insideV w:val="nil"/>
        </w:tcBorders>
        <w:shd w:val="clear" w:color="auto" w:fill="FFFFFF" w:themeFill="background1"/>
      </w:tcPr>
    </w:tblStylePr>
    <w:tblStylePr w:type="lastRow">
      <w:rPr>
        <w:b/>
        <w:bCs/>
      </w:rPr>
      <w:tblPr/>
      <w:tcPr>
        <w:tcBorders>
          <w:top w:val="double" w:sz="2" w:space="0" w:color="1DFFF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bottom w:val="single" w:sz="4" w:space="0" w:color="FFC476" w:themeColor="accent1" w:themeTint="99"/>
        </w:tcBorders>
      </w:tcPr>
    </w:tblStylePr>
    <w:tblStylePr w:type="nwCell">
      <w:tblPr/>
      <w:tcPr>
        <w:tcBorders>
          <w:bottom w:val="single" w:sz="4" w:space="0" w:color="FFC476" w:themeColor="accent1" w:themeTint="99"/>
        </w:tcBorders>
      </w:tcPr>
    </w:tblStylePr>
    <w:tblStylePr w:type="seCell">
      <w:tblPr/>
      <w:tcPr>
        <w:tcBorders>
          <w:top w:val="single" w:sz="4" w:space="0" w:color="FFC476" w:themeColor="accent1" w:themeTint="99"/>
        </w:tcBorders>
      </w:tcPr>
    </w:tblStylePr>
    <w:tblStylePr w:type="swCell">
      <w:tblPr/>
      <w:tcPr>
        <w:tcBorders>
          <w:top w:val="single" w:sz="4" w:space="0" w:color="FFC476"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3" w:themeColor="accent2" w:themeTint="99"/>
        </w:tcBorders>
      </w:tcPr>
    </w:tblStylePr>
    <w:tblStylePr w:type="nwCell">
      <w:tblPr/>
      <w:tcPr>
        <w:tcBorders>
          <w:bottom w:val="single" w:sz="4" w:space="0" w:color="37FFF3" w:themeColor="accent2" w:themeTint="99"/>
        </w:tcBorders>
      </w:tcPr>
    </w:tblStylePr>
    <w:tblStylePr w:type="seCell">
      <w:tblPr/>
      <w:tcPr>
        <w:tcBorders>
          <w:top w:val="single" w:sz="4" w:space="0" w:color="37FFF3" w:themeColor="accent2" w:themeTint="99"/>
        </w:tcBorders>
      </w:tcPr>
    </w:tblStylePr>
    <w:tblStylePr w:type="swCell">
      <w:tblPr/>
      <w:tcPr>
        <w:tcBorders>
          <w:top w:val="single" w:sz="4" w:space="0" w:color="37FFF3"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bottom w:val="single" w:sz="4" w:space="0" w:color="7A8097" w:themeColor="accent4" w:themeTint="99"/>
        </w:tcBorders>
      </w:tcPr>
    </w:tblStylePr>
    <w:tblStylePr w:type="nwCell">
      <w:tblPr/>
      <w:tcPr>
        <w:tcBorders>
          <w:bottom w:val="single" w:sz="4" w:space="0" w:color="7A8097" w:themeColor="accent4" w:themeTint="99"/>
        </w:tcBorders>
      </w:tcPr>
    </w:tblStylePr>
    <w:tblStylePr w:type="seCell">
      <w:tblPr/>
      <w:tcPr>
        <w:tcBorders>
          <w:top w:val="single" w:sz="4" w:space="0" w:color="7A8097" w:themeColor="accent4" w:themeTint="99"/>
        </w:tcBorders>
      </w:tcPr>
    </w:tblStylePr>
    <w:tblStylePr w:type="swCell">
      <w:tblPr/>
      <w:tcPr>
        <w:tcBorders>
          <w:top w:val="single" w:sz="4" w:space="0" w:color="7A8097"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bottom w:val="single" w:sz="4" w:space="0" w:color="FFDCAC" w:themeColor="accent5" w:themeTint="99"/>
        </w:tcBorders>
      </w:tcPr>
    </w:tblStylePr>
    <w:tblStylePr w:type="nwCell">
      <w:tblPr/>
      <w:tcPr>
        <w:tcBorders>
          <w:bottom w:val="single" w:sz="4" w:space="0" w:color="FFDCAC" w:themeColor="accent5" w:themeTint="99"/>
        </w:tcBorders>
      </w:tcPr>
    </w:tblStylePr>
    <w:tblStylePr w:type="seCell">
      <w:tblPr/>
      <w:tcPr>
        <w:tcBorders>
          <w:top w:val="single" w:sz="4" w:space="0" w:color="FFDCAC" w:themeColor="accent5" w:themeTint="99"/>
        </w:tcBorders>
      </w:tcPr>
    </w:tblStylePr>
    <w:tblStylePr w:type="swCell">
      <w:tblPr/>
      <w:tcPr>
        <w:tcBorders>
          <w:top w:val="single" w:sz="4" w:space="0" w:color="FFDCAC"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bottom w:val="single" w:sz="4" w:space="0" w:color="1DFFF2" w:themeColor="accent6" w:themeTint="99"/>
        </w:tcBorders>
      </w:tcPr>
    </w:tblStylePr>
    <w:tblStylePr w:type="nwCell">
      <w:tblPr/>
      <w:tcPr>
        <w:tcBorders>
          <w:bottom w:val="single" w:sz="4" w:space="0" w:color="1DFFF2" w:themeColor="accent6" w:themeTint="99"/>
        </w:tcBorders>
      </w:tcPr>
    </w:tblStylePr>
    <w:tblStylePr w:type="seCell">
      <w:tblPr/>
      <w:tcPr>
        <w:tcBorders>
          <w:top w:val="single" w:sz="4" w:space="0" w:color="1DFFF2" w:themeColor="accent6" w:themeTint="99"/>
        </w:tcBorders>
      </w:tcPr>
    </w:tblStylePr>
    <w:tblStylePr w:type="swCell">
      <w:tblPr/>
      <w:tcPr>
        <w:tcBorders>
          <w:top w:val="single" w:sz="4" w:space="0" w:color="1DFFF2"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color w:val="FFFFFF" w:themeColor="background1"/>
      </w:rPr>
      <w:tblPr/>
      <w:tcPr>
        <w:tcBorders>
          <w:top w:val="single" w:sz="4" w:space="0" w:color="FF9E1B" w:themeColor="accent1"/>
          <w:left w:val="single" w:sz="4" w:space="0" w:color="FF9E1B" w:themeColor="accent1"/>
          <w:bottom w:val="single" w:sz="4" w:space="0" w:color="FF9E1B" w:themeColor="accent1"/>
          <w:right w:val="single" w:sz="4" w:space="0" w:color="FF9E1B" w:themeColor="accent1"/>
          <w:insideH w:val="nil"/>
          <w:insideV w:val="nil"/>
        </w:tcBorders>
        <w:shd w:val="clear" w:color="auto" w:fill="FF9E1B" w:themeFill="accent1"/>
      </w:tcPr>
    </w:tblStylePr>
    <w:tblStylePr w:type="lastRow">
      <w:rPr>
        <w:b/>
        <w:bCs/>
      </w:rPr>
      <w:tblPr/>
      <w:tcPr>
        <w:tcBorders>
          <w:top w:val="double" w:sz="4" w:space="0" w:color="FF9E1B" w:themeColor="accent1"/>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color w:val="FFFFFF" w:themeColor="background1"/>
      </w:rPr>
      <w:tblPr/>
      <w:tcPr>
        <w:tcBorders>
          <w:top w:val="single" w:sz="4" w:space="0" w:color="00B2A8" w:themeColor="accent2"/>
          <w:left w:val="single" w:sz="4" w:space="0" w:color="00B2A8" w:themeColor="accent2"/>
          <w:bottom w:val="single" w:sz="4" w:space="0" w:color="00B2A8" w:themeColor="accent2"/>
          <w:right w:val="single" w:sz="4" w:space="0" w:color="00B2A8" w:themeColor="accent2"/>
          <w:insideH w:val="nil"/>
          <w:insideV w:val="nil"/>
        </w:tcBorders>
        <w:shd w:val="clear" w:color="auto" w:fill="00B2A8" w:themeFill="accent2"/>
      </w:tcPr>
    </w:tblStylePr>
    <w:tblStylePr w:type="lastRow">
      <w:rPr>
        <w:b/>
        <w:bCs/>
      </w:rPr>
      <w:tblPr/>
      <w:tcPr>
        <w:tcBorders>
          <w:top w:val="double" w:sz="4" w:space="0" w:color="00B2A8" w:themeColor="accent2"/>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color w:val="FFFFFF" w:themeColor="background1"/>
      </w:rPr>
      <w:tblPr/>
      <w:tcPr>
        <w:tcBorders>
          <w:top w:val="single" w:sz="4" w:space="0" w:color="333641" w:themeColor="accent4"/>
          <w:left w:val="single" w:sz="4" w:space="0" w:color="333641" w:themeColor="accent4"/>
          <w:bottom w:val="single" w:sz="4" w:space="0" w:color="333641" w:themeColor="accent4"/>
          <w:right w:val="single" w:sz="4" w:space="0" w:color="333641" w:themeColor="accent4"/>
          <w:insideH w:val="nil"/>
          <w:insideV w:val="nil"/>
        </w:tcBorders>
        <w:shd w:val="clear" w:color="auto" w:fill="333641" w:themeFill="accent4"/>
      </w:tcPr>
    </w:tblStylePr>
    <w:tblStylePr w:type="lastRow">
      <w:rPr>
        <w:b/>
        <w:bCs/>
      </w:rPr>
      <w:tblPr/>
      <w:tcPr>
        <w:tcBorders>
          <w:top w:val="double" w:sz="4" w:space="0" w:color="333641" w:themeColor="accent4"/>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color w:val="FFFFFF" w:themeColor="background1"/>
      </w:rPr>
      <w:tblPr/>
      <w:tcPr>
        <w:tcBorders>
          <w:top w:val="single" w:sz="4" w:space="0" w:color="FFC576" w:themeColor="accent5"/>
          <w:left w:val="single" w:sz="4" w:space="0" w:color="FFC576" w:themeColor="accent5"/>
          <w:bottom w:val="single" w:sz="4" w:space="0" w:color="FFC576" w:themeColor="accent5"/>
          <w:right w:val="single" w:sz="4" w:space="0" w:color="FFC576" w:themeColor="accent5"/>
          <w:insideH w:val="nil"/>
          <w:insideV w:val="nil"/>
        </w:tcBorders>
        <w:shd w:val="clear" w:color="auto" w:fill="FFC576" w:themeFill="accent5"/>
      </w:tcPr>
    </w:tblStylePr>
    <w:tblStylePr w:type="lastRow">
      <w:rPr>
        <w:b/>
        <w:bCs/>
      </w:rPr>
      <w:tblPr/>
      <w:tcPr>
        <w:tcBorders>
          <w:top w:val="double" w:sz="4" w:space="0" w:color="FFC576" w:themeColor="accent5"/>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color w:val="FFFFFF" w:themeColor="background1"/>
      </w:rPr>
      <w:tblPr/>
      <w:tcPr>
        <w:tcBorders>
          <w:top w:val="single" w:sz="4" w:space="0" w:color="00867F" w:themeColor="accent6"/>
          <w:left w:val="single" w:sz="4" w:space="0" w:color="00867F" w:themeColor="accent6"/>
          <w:bottom w:val="single" w:sz="4" w:space="0" w:color="00867F" w:themeColor="accent6"/>
          <w:right w:val="single" w:sz="4" w:space="0" w:color="00867F" w:themeColor="accent6"/>
          <w:insideH w:val="nil"/>
          <w:insideV w:val="nil"/>
        </w:tcBorders>
        <w:shd w:val="clear" w:color="auto" w:fill="00867F" w:themeFill="accent6"/>
      </w:tcPr>
    </w:tblStylePr>
    <w:tblStylePr w:type="lastRow">
      <w:rPr>
        <w:b/>
        <w:bCs/>
      </w:rPr>
      <w:tblPr/>
      <w:tcPr>
        <w:tcBorders>
          <w:top w:val="double" w:sz="4" w:space="0" w:color="00867F" w:themeColor="accent6"/>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E1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E1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E1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E1B" w:themeFill="accent1"/>
      </w:tcPr>
    </w:tblStylePr>
    <w:tblStylePr w:type="band1Vert">
      <w:tblPr/>
      <w:tcPr>
        <w:shd w:val="clear" w:color="auto" w:fill="FFD7A3" w:themeFill="accent1" w:themeFillTint="66"/>
      </w:tcPr>
    </w:tblStylePr>
    <w:tblStylePr w:type="band1Horz">
      <w:tblPr/>
      <w:tcPr>
        <w:shd w:val="clear" w:color="auto" w:fill="FFD7A3"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8" w:themeFill="accent2"/>
      </w:tcPr>
    </w:tblStylePr>
    <w:tblStylePr w:type="band1Vert">
      <w:tblPr/>
      <w:tcPr>
        <w:shd w:val="clear" w:color="auto" w:fill="7AFFF7" w:themeFill="accent2" w:themeFillTint="66"/>
      </w:tcPr>
    </w:tblStylePr>
    <w:tblStylePr w:type="band1Horz">
      <w:tblPr/>
      <w:tcPr>
        <w:shd w:val="clear" w:color="auto" w:fill="7AFFF7"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4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6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6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6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641" w:themeFill="accent4"/>
      </w:tcPr>
    </w:tblStylePr>
    <w:tblStylePr w:type="band1Vert">
      <w:tblPr/>
      <w:tcPr>
        <w:shd w:val="clear" w:color="auto" w:fill="A6AAB9" w:themeFill="accent4" w:themeFillTint="66"/>
      </w:tcPr>
    </w:tblStylePr>
    <w:tblStylePr w:type="band1Horz">
      <w:tblPr/>
      <w:tcPr>
        <w:shd w:val="clear" w:color="auto" w:fill="A6AAB9"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5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5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5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576" w:themeFill="accent5"/>
      </w:tcPr>
    </w:tblStylePr>
    <w:tblStylePr w:type="band1Vert">
      <w:tblPr/>
      <w:tcPr>
        <w:shd w:val="clear" w:color="auto" w:fill="FFE7C8" w:themeFill="accent5" w:themeFillTint="66"/>
      </w:tcPr>
    </w:tblStylePr>
    <w:tblStylePr w:type="band1Horz">
      <w:tblPr/>
      <w:tcPr>
        <w:shd w:val="clear" w:color="auto" w:fill="FFE7C8"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67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67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67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67F" w:themeFill="accent6"/>
      </w:tcPr>
    </w:tblStylePr>
    <w:tblStylePr w:type="band1Vert">
      <w:tblPr/>
      <w:tcPr>
        <w:shd w:val="clear" w:color="auto" w:fill="68FFF6" w:themeFill="accent6" w:themeFillTint="66"/>
      </w:tcPr>
    </w:tblStylePr>
    <w:tblStylePr w:type="band1Horz">
      <w:tblPr/>
      <w:tcPr>
        <w:shd w:val="clear" w:color="auto" w:fill="68FFF6"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D37800" w:themeColor="accent1" w:themeShade="BF"/>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bottom w:val="single" w:sz="12" w:space="0" w:color="FFC476" w:themeColor="accent1" w:themeTint="99"/>
        </w:tcBorders>
      </w:tcPr>
    </w:tblStylePr>
    <w:tblStylePr w:type="lastRow">
      <w:rPr>
        <w:b/>
        <w:bCs/>
      </w:rPr>
      <w:tblPr/>
      <w:tcPr>
        <w:tcBorders>
          <w:top w:val="doub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6Colorful-Accent2">
    <w:name w:val="Grid Table 6 Colorful Accent 2"/>
    <w:basedOn w:val="TableNormal"/>
    <w:uiPriority w:val="51"/>
    <w:semiHidden/>
    <w:rsid w:val="0058629F"/>
    <w:rPr>
      <w:color w:val="00857D" w:themeColor="accent2" w:themeShade="BF"/>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bottom w:val="single" w:sz="12" w:space="0" w:color="37FFF3" w:themeColor="accent2" w:themeTint="99"/>
        </w:tcBorders>
      </w:tcPr>
    </w:tblStylePr>
    <w:tblStylePr w:type="lastRow">
      <w:rPr>
        <w:b/>
        <w:bCs/>
      </w:rPr>
      <w:tblPr/>
      <w:tcPr>
        <w:tcBorders>
          <w:top w:val="doub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6Colorful-Accent3">
    <w:name w:val="Grid Table 6 Colorful Accent 3"/>
    <w:basedOn w:val="TableNormal"/>
    <w:uiPriority w:val="51"/>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rful-Accent4">
    <w:name w:val="Grid Table 6 Colorful Accent 4"/>
    <w:basedOn w:val="TableNormal"/>
    <w:uiPriority w:val="51"/>
    <w:semiHidden/>
    <w:rsid w:val="0058629F"/>
    <w:rPr>
      <w:color w:val="262830" w:themeColor="accent4" w:themeShade="BF"/>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bottom w:val="single" w:sz="12" w:space="0" w:color="7A8097" w:themeColor="accent4" w:themeTint="99"/>
        </w:tcBorders>
      </w:tcPr>
    </w:tblStylePr>
    <w:tblStylePr w:type="lastRow">
      <w:rPr>
        <w:b/>
        <w:bCs/>
      </w:rPr>
      <w:tblPr/>
      <w:tcPr>
        <w:tcBorders>
          <w:top w:val="doub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6Colorful-Accent5">
    <w:name w:val="Grid Table 6 Colorful Accent 5"/>
    <w:basedOn w:val="TableNormal"/>
    <w:uiPriority w:val="51"/>
    <w:semiHidden/>
    <w:rsid w:val="0058629F"/>
    <w:rPr>
      <w:color w:val="FF9D18" w:themeColor="accent5" w:themeShade="BF"/>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bottom w:val="single" w:sz="12" w:space="0" w:color="FFDCAC" w:themeColor="accent5" w:themeTint="99"/>
        </w:tcBorders>
      </w:tcPr>
    </w:tblStylePr>
    <w:tblStylePr w:type="lastRow">
      <w:rPr>
        <w:b/>
        <w:bCs/>
      </w:rPr>
      <w:tblPr/>
      <w:tcPr>
        <w:tcBorders>
          <w:top w:val="doub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6Colorful-Accent6">
    <w:name w:val="Grid Table 6 Colorful Accent 6"/>
    <w:basedOn w:val="TableNormal"/>
    <w:uiPriority w:val="51"/>
    <w:semiHidden/>
    <w:rsid w:val="0058629F"/>
    <w:rPr>
      <w:color w:val="00645E" w:themeColor="accent6" w:themeShade="BF"/>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bottom w:val="single" w:sz="12" w:space="0" w:color="1DFFF2" w:themeColor="accent6" w:themeTint="99"/>
        </w:tcBorders>
      </w:tcPr>
    </w:tblStylePr>
    <w:tblStylePr w:type="lastRow">
      <w:rPr>
        <w:b/>
        <w:bCs/>
      </w:rPr>
      <w:tblPr/>
      <w:tcPr>
        <w:tcBorders>
          <w:top w:val="doub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D37800" w:themeColor="accent1" w:themeShade="BF"/>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bottom w:val="single" w:sz="4" w:space="0" w:color="FFC476" w:themeColor="accent1" w:themeTint="99"/>
        </w:tcBorders>
      </w:tcPr>
    </w:tblStylePr>
    <w:tblStylePr w:type="nwCell">
      <w:tblPr/>
      <w:tcPr>
        <w:tcBorders>
          <w:bottom w:val="single" w:sz="4" w:space="0" w:color="FFC476" w:themeColor="accent1" w:themeTint="99"/>
        </w:tcBorders>
      </w:tcPr>
    </w:tblStylePr>
    <w:tblStylePr w:type="seCell">
      <w:tblPr/>
      <w:tcPr>
        <w:tcBorders>
          <w:top w:val="single" w:sz="4" w:space="0" w:color="FFC476" w:themeColor="accent1" w:themeTint="99"/>
        </w:tcBorders>
      </w:tcPr>
    </w:tblStylePr>
    <w:tblStylePr w:type="swCell">
      <w:tblPr/>
      <w:tcPr>
        <w:tcBorders>
          <w:top w:val="single" w:sz="4" w:space="0" w:color="FFC476" w:themeColor="accent1" w:themeTint="99"/>
        </w:tcBorders>
      </w:tcPr>
    </w:tblStylePr>
  </w:style>
  <w:style w:type="table" w:styleId="GridTable7Colorful-Accent2">
    <w:name w:val="Grid Table 7 Colorful Accent 2"/>
    <w:basedOn w:val="TableNormal"/>
    <w:uiPriority w:val="52"/>
    <w:semiHidden/>
    <w:rsid w:val="0058629F"/>
    <w:rPr>
      <w:color w:val="00857D" w:themeColor="accent2" w:themeShade="BF"/>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3" w:themeColor="accent2" w:themeTint="99"/>
        </w:tcBorders>
      </w:tcPr>
    </w:tblStylePr>
    <w:tblStylePr w:type="nwCell">
      <w:tblPr/>
      <w:tcPr>
        <w:tcBorders>
          <w:bottom w:val="single" w:sz="4" w:space="0" w:color="37FFF3" w:themeColor="accent2" w:themeTint="99"/>
        </w:tcBorders>
      </w:tcPr>
    </w:tblStylePr>
    <w:tblStylePr w:type="seCell">
      <w:tblPr/>
      <w:tcPr>
        <w:tcBorders>
          <w:top w:val="single" w:sz="4" w:space="0" w:color="37FFF3" w:themeColor="accent2" w:themeTint="99"/>
        </w:tcBorders>
      </w:tcPr>
    </w:tblStylePr>
    <w:tblStylePr w:type="swCell">
      <w:tblPr/>
      <w:tcPr>
        <w:tcBorders>
          <w:top w:val="single" w:sz="4" w:space="0" w:color="37FFF3" w:themeColor="accent2" w:themeTint="99"/>
        </w:tcBorders>
      </w:tcPr>
    </w:tblStylePr>
  </w:style>
  <w:style w:type="table" w:styleId="GridTable7Colorful-Accent3">
    <w:name w:val="Grid Table 7 Colorful Accent 3"/>
    <w:basedOn w:val="TableNormal"/>
    <w:uiPriority w:val="52"/>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rful-Accent4">
    <w:name w:val="Grid Table 7 Colorful Accent 4"/>
    <w:basedOn w:val="TableNormal"/>
    <w:uiPriority w:val="52"/>
    <w:semiHidden/>
    <w:rsid w:val="0058629F"/>
    <w:rPr>
      <w:color w:val="262830" w:themeColor="accent4" w:themeShade="BF"/>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bottom w:val="single" w:sz="4" w:space="0" w:color="7A8097" w:themeColor="accent4" w:themeTint="99"/>
        </w:tcBorders>
      </w:tcPr>
    </w:tblStylePr>
    <w:tblStylePr w:type="nwCell">
      <w:tblPr/>
      <w:tcPr>
        <w:tcBorders>
          <w:bottom w:val="single" w:sz="4" w:space="0" w:color="7A8097" w:themeColor="accent4" w:themeTint="99"/>
        </w:tcBorders>
      </w:tcPr>
    </w:tblStylePr>
    <w:tblStylePr w:type="seCell">
      <w:tblPr/>
      <w:tcPr>
        <w:tcBorders>
          <w:top w:val="single" w:sz="4" w:space="0" w:color="7A8097" w:themeColor="accent4" w:themeTint="99"/>
        </w:tcBorders>
      </w:tcPr>
    </w:tblStylePr>
    <w:tblStylePr w:type="swCell">
      <w:tblPr/>
      <w:tcPr>
        <w:tcBorders>
          <w:top w:val="single" w:sz="4" w:space="0" w:color="7A8097" w:themeColor="accent4" w:themeTint="99"/>
        </w:tcBorders>
      </w:tcPr>
    </w:tblStylePr>
  </w:style>
  <w:style w:type="table" w:styleId="GridTable7Colorful-Accent5">
    <w:name w:val="Grid Table 7 Colorful Accent 5"/>
    <w:basedOn w:val="TableNormal"/>
    <w:uiPriority w:val="52"/>
    <w:semiHidden/>
    <w:rsid w:val="0058629F"/>
    <w:rPr>
      <w:color w:val="FF9D18" w:themeColor="accent5" w:themeShade="BF"/>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bottom w:val="single" w:sz="4" w:space="0" w:color="FFDCAC" w:themeColor="accent5" w:themeTint="99"/>
        </w:tcBorders>
      </w:tcPr>
    </w:tblStylePr>
    <w:tblStylePr w:type="nwCell">
      <w:tblPr/>
      <w:tcPr>
        <w:tcBorders>
          <w:bottom w:val="single" w:sz="4" w:space="0" w:color="FFDCAC" w:themeColor="accent5" w:themeTint="99"/>
        </w:tcBorders>
      </w:tcPr>
    </w:tblStylePr>
    <w:tblStylePr w:type="seCell">
      <w:tblPr/>
      <w:tcPr>
        <w:tcBorders>
          <w:top w:val="single" w:sz="4" w:space="0" w:color="FFDCAC" w:themeColor="accent5" w:themeTint="99"/>
        </w:tcBorders>
      </w:tcPr>
    </w:tblStylePr>
    <w:tblStylePr w:type="swCell">
      <w:tblPr/>
      <w:tcPr>
        <w:tcBorders>
          <w:top w:val="single" w:sz="4" w:space="0" w:color="FFDCAC" w:themeColor="accent5" w:themeTint="99"/>
        </w:tcBorders>
      </w:tcPr>
    </w:tblStylePr>
  </w:style>
  <w:style w:type="table" w:styleId="GridTable7Colorful-Accent6">
    <w:name w:val="Grid Table 7 Colorful Accent 6"/>
    <w:basedOn w:val="TableNormal"/>
    <w:uiPriority w:val="52"/>
    <w:semiHidden/>
    <w:rsid w:val="0058629F"/>
    <w:rPr>
      <w:color w:val="00645E" w:themeColor="accent6" w:themeShade="BF"/>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bottom w:val="single" w:sz="4" w:space="0" w:color="1DFFF2" w:themeColor="accent6" w:themeTint="99"/>
        </w:tcBorders>
      </w:tcPr>
    </w:tblStylePr>
    <w:tblStylePr w:type="nwCell">
      <w:tblPr/>
      <w:tcPr>
        <w:tcBorders>
          <w:bottom w:val="single" w:sz="4" w:space="0" w:color="1DFFF2" w:themeColor="accent6" w:themeTint="99"/>
        </w:tcBorders>
      </w:tcPr>
    </w:tblStylePr>
    <w:tblStylePr w:type="seCell">
      <w:tblPr/>
      <w:tcPr>
        <w:tcBorders>
          <w:top w:val="single" w:sz="4" w:space="0" w:color="1DFFF2" w:themeColor="accent6" w:themeTint="99"/>
        </w:tcBorders>
      </w:tcPr>
    </w:tblStylePr>
    <w:tblStylePr w:type="swCell">
      <w:tblPr/>
      <w:tcPr>
        <w:tcBorders>
          <w:top w:val="single" w:sz="4" w:space="0" w:color="1DFFF2"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insideH w:val="single" w:sz="8" w:space="0" w:color="FF9E1B" w:themeColor="accent1"/>
        <w:insideV w:val="single" w:sz="8" w:space="0" w:color="FF9E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E1B" w:themeColor="accent1"/>
          <w:left w:val="single" w:sz="8" w:space="0" w:color="FF9E1B" w:themeColor="accent1"/>
          <w:bottom w:val="single" w:sz="18" w:space="0" w:color="FF9E1B" w:themeColor="accent1"/>
          <w:right w:val="single" w:sz="8" w:space="0" w:color="FF9E1B" w:themeColor="accent1"/>
          <w:insideH w:val="nil"/>
          <w:insideV w:val="single" w:sz="8" w:space="0" w:color="FF9E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E1B" w:themeColor="accent1"/>
          <w:left w:val="single" w:sz="8" w:space="0" w:color="FF9E1B" w:themeColor="accent1"/>
          <w:bottom w:val="single" w:sz="8" w:space="0" w:color="FF9E1B" w:themeColor="accent1"/>
          <w:right w:val="single" w:sz="8" w:space="0" w:color="FF9E1B" w:themeColor="accent1"/>
          <w:insideH w:val="nil"/>
          <w:insideV w:val="single" w:sz="8" w:space="0" w:color="FF9E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tblStylePr w:type="band1Vert">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shd w:val="clear" w:color="auto" w:fill="FFE6C6" w:themeFill="accent1" w:themeFillTint="3F"/>
      </w:tcPr>
    </w:tblStylePr>
    <w:tblStylePr w:type="band1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insideV w:val="single" w:sz="8" w:space="0" w:color="FF9E1B" w:themeColor="accent1"/>
        </w:tcBorders>
        <w:shd w:val="clear" w:color="auto" w:fill="FFE6C6" w:themeFill="accent1" w:themeFillTint="3F"/>
      </w:tcPr>
    </w:tblStylePr>
    <w:tblStylePr w:type="band2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insideV w:val="single" w:sz="8" w:space="0" w:color="FF9E1B"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insideH w:val="single" w:sz="8" w:space="0" w:color="00B2A8" w:themeColor="accent2"/>
        <w:insideV w:val="single" w:sz="8" w:space="0" w:color="00B2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8" w:themeColor="accent2"/>
          <w:left w:val="single" w:sz="8" w:space="0" w:color="00B2A8" w:themeColor="accent2"/>
          <w:bottom w:val="single" w:sz="18" w:space="0" w:color="00B2A8" w:themeColor="accent2"/>
          <w:right w:val="single" w:sz="8" w:space="0" w:color="00B2A8" w:themeColor="accent2"/>
          <w:insideH w:val="nil"/>
          <w:insideV w:val="single" w:sz="8" w:space="0" w:color="00B2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8" w:themeColor="accent2"/>
          <w:left w:val="single" w:sz="8" w:space="0" w:color="00B2A8" w:themeColor="accent2"/>
          <w:bottom w:val="single" w:sz="8" w:space="0" w:color="00B2A8" w:themeColor="accent2"/>
          <w:right w:val="single" w:sz="8" w:space="0" w:color="00B2A8" w:themeColor="accent2"/>
          <w:insideH w:val="nil"/>
          <w:insideV w:val="single" w:sz="8" w:space="0" w:color="00B2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tblStylePr w:type="band1Vert">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shd w:val="clear" w:color="auto" w:fill="ACFFFA" w:themeFill="accent2" w:themeFillTint="3F"/>
      </w:tcPr>
    </w:tblStylePr>
    <w:tblStylePr w:type="band1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insideV w:val="single" w:sz="8" w:space="0" w:color="00B2A8" w:themeColor="accent2"/>
        </w:tcBorders>
        <w:shd w:val="clear" w:color="auto" w:fill="ACFFFA" w:themeFill="accent2" w:themeFillTint="3F"/>
      </w:tcPr>
    </w:tblStylePr>
    <w:tblStylePr w:type="band2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insideV w:val="single" w:sz="8" w:space="0" w:color="00B2A8"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insideH w:val="single" w:sz="8" w:space="0" w:color="333641" w:themeColor="accent4"/>
        <w:insideV w:val="single" w:sz="8" w:space="0" w:color="3336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641" w:themeColor="accent4"/>
          <w:left w:val="single" w:sz="8" w:space="0" w:color="333641" w:themeColor="accent4"/>
          <w:bottom w:val="single" w:sz="18" w:space="0" w:color="333641" w:themeColor="accent4"/>
          <w:right w:val="single" w:sz="8" w:space="0" w:color="333641" w:themeColor="accent4"/>
          <w:insideH w:val="nil"/>
          <w:insideV w:val="single" w:sz="8" w:space="0" w:color="3336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641" w:themeColor="accent4"/>
          <w:left w:val="single" w:sz="8" w:space="0" w:color="333641" w:themeColor="accent4"/>
          <w:bottom w:val="single" w:sz="8" w:space="0" w:color="333641" w:themeColor="accent4"/>
          <w:right w:val="single" w:sz="8" w:space="0" w:color="333641" w:themeColor="accent4"/>
          <w:insideH w:val="nil"/>
          <w:insideV w:val="single" w:sz="8" w:space="0" w:color="3336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tblStylePr w:type="band1Vert">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shd w:val="clear" w:color="auto" w:fill="C8CAD4" w:themeFill="accent4" w:themeFillTint="3F"/>
      </w:tcPr>
    </w:tblStylePr>
    <w:tblStylePr w:type="band1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insideV w:val="single" w:sz="8" w:space="0" w:color="333641" w:themeColor="accent4"/>
        </w:tcBorders>
        <w:shd w:val="clear" w:color="auto" w:fill="C8CAD4" w:themeFill="accent4" w:themeFillTint="3F"/>
      </w:tcPr>
    </w:tblStylePr>
    <w:tblStylePr w:type="band2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insideV w:val="single" w:sz="8" w:space="0" w:color="333641"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insideH w:val="single" w:sz="8" w:space="0" w:color="FFC576" w:themeColor="accent5"/>
        <w:insideV w:val="single" w:sz="8" w:space="0" w:color="FFC5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76" w:themeColor="accent5"/>
          <w:left w:val="single" w:sz="8" w:space="0" w:color="FFC576" w:themeColor="accent5"/>
          <w:bottom w:val="single" w:sz="18" w:space="0" w:color="FFC576" w:themeColor="accent5"/>
          <w:right w:val="single" w:sz="8" w:space="0" w:color="FFC576" w:themeColor="accent5"/>
          <w:insideH w:val="nil"/>
          <w:insideV w:val="single" w:sz="8" w:space="0" w:color="FFC5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76" w:themeColor="accent5"/>
          <w:left w:val="single" w:sz="8" w:space="0" w:color="FFC576" w:themeColor="accent5"/>
          <w:bottom w:val="single" w:sz="8" w:space="0" w:color="FFC576" w:themeColor="accent5"/>
          <w:right w:val="single" w:sz="8" w:space="0" w:color="FFC576" w:themeColor="accent5"/>
          <w:insideH w:val="nil"/>
          <w:insideV w:val="single" w:sz="8" w:space="0" w:color="FFC5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tblStylePr w:type="band1Vert">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shd w:val="clear" w:color="auto" w:fill="FFF0DD" w:themeFill="accent5" w:themeFillTint="3F"/>
      </w:tcPr>
    </w:tblStylePr>
    <w:tblStylePr w:type="band1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insideV w:val="single" w:sz="8" w:space="0" w:color="FFC576" w:themeColor="accent5"/>
        </w:tcBorders>
        <w:shd w:val="clear" w:color="auto" w:fill="FFF0DD" w:themeFill="accent5" w:themeFillTint="3F"/>
      </w:tcPr>
    </w:tblStylePr>
    <w:tblStylePr w:type="band2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insideV w:val="single" w:sz="8" w:space="0" w:color="FFC576"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insideH w:val="single" w:sz="8" w:space="0" w:color="00867F" w:themeColor="accent6"/>
        <w:insideV w:val="single" w:sz="8" w:space="0" w:color="00867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7F" w:themeColor="accent6"/>
          <w:left w:val="single" w:sz="8" w:space="0" w:color="00867F" w:themeColor="accent6"/>
          <w:bottom w:val="single" w:sz="18" w:space="0" w:color="00867F" w:themeColor="accent6"/>
          <w:right w:val="single" w:sz="8" w:space="0" w:color="00867F" w:themeColor="accent6"/>
          <w:insideH w:val="nil"/>
          <w:insideV w:val="single" w:sz="8" w:space="0" w:color="00867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7F" w:themeColor="accent6"/>
          <w:left w:val="single" w:sz="8" w:space="0" w:color="00867F" w:themeColor="accent6"/>
          <w:bottom w:val="single" w:sz="8" w:space="0" w:color="00867F" w:themeColor="accent6"/>
          <w:right w:val="single" w:sz="8" w:space="0" w:color="00867F" w:themeColor="accent6"/>
          <w:insideH w:val="nil"/>
          <w:insideV w:val="single" w:sz="8" w:space="0" w:color="00867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tblStylePr w:type="band1Vert">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shd w:val="clear" w:color="auto" w:fill="A2FFF9" w:themeFill="accent6" w:themeFillTint="3F"/>
      </w:tcPr>
    </w:tblStylePr>
    <w:tblStylePr w:type="band1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insideV w:val="single" w:sz="8" w:space="0" w:color="00867F" w:themeColor="accent6"/>
        </w:tcBorders>
        <w:shd w:val="clear" w:color="auto" w:fill="A2FFF9" w:themeFill="accent6" w:themeFillTint="3F"/>
      </w:tcPr>
    </w:tblStylePr>
    <w:tblStylePr w:type="band2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insideV w:val="single" w:sz="8" w:space="0" w:color="00867F"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tblBorders>
    </w:tblPr>
    <w:tblStylePr w:type="firstRow">
      <w:pPr>
        <w:spacing w:before="0" w:after="0" w:line="240" w:lineRule="auto"/>
      </w:pPr>
      <w:rPr>
        <w:b/>
        <w:bCs/>
        <w:color w:val="FFFFFF" w:themeColor="background1"/>
      </w:rPr>
      <w:tblPr/>
      <w:tcPr>
        <w:shd w:val="clear" w:color="auto" w:fill="FF9E1B" w:themeFill="accent1"/>
      </w:tcPr>
    </w:tblStylePr>
    <w:tblStylePr w:type="lastRow">
      <w:pPr>
        <w:spacing w:before="0" w:after="0" w:line="240" w:lineRule="auto"/>
      </w:pPr>
      <w:rPr>
        <w:b/>
        <w:bCs/>
      </w:rPr>
      <w:tblPr/>
      <w:tcPr>
        <w:tcBorders>
          <w:top w:val="double" w:sz="6" w:space="0" w:color="FF9E1B" w:themeColor="accent1"/>
          <w:left w:val="single" w:sz="8" w:space="0" w:color="FF9E1B" w:themeColor="accent1"/>
          <w:bottom w:val="single" w:sz="8" w:space="0" w:color="FF9E1B" w:themeColor="accent1"/>
          <w:right w:val="single" w:sz="8" w:space="0" w:color="FF9E1B" w:themeColor="accent1"/>
        </w:tcBorders>
      </w:tcPr>
    </w:tblStylePr>
    <w:tblStylePr w:type="firstCol">
      <w:rPr>
        <w:b/>
        <w:bCs/>
      </w:rPr>
    </w:tblStylePr>
    <w:tblStylePr w:type="lastCol">
      <w:rPr>
        <w:b/>
        <w:bCs/>
      </w:rPr>
    </w:tblStylePr>
    <w:tblStylePr w:type="band1Vert">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tblStylePr w:type="band1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tblBorders>
    </w:tblPr>
    <w:tblStylePr w:type="firstRow">
      <w:pPr>
        <w:spacing w:before="0" w:after="0" w:line="240" w:lineRule="auto"/>
      </w:pPr>
      <w:rPr>
        <w:b/>
        <w:bCs/>
        <w:color w:val="FFFFFF" w:themeColor="background1"/>
      </w:rPr>
      <w:tblPr/>
      <w:tcPr>
        <w:shd w:val="clear" w:color="auto" w:fill="00B2A8" w:themeFill="accent2"/>
      </w:tcPr>
    </w:tblStylePr>
    <w:tblStylePr w:type="lastRow">
      <w:pPr>
        <w:spacing w:before="0" w:after="0" w:line="240" w:lineRule="auto"/>
      </w:pPr>
      <w:rPr>
        <w:b/>
        <w:bCs/>
      </w:rPr>
      <w:tblPr/>
      <w:tcPr>
        <w:tcBorders>
          <w:top w:val="double" w:sz="6" w:space="0" w:color="00B2A8" w:themeColor="accent2"/>
          <w:left w:val="single" w:sz="8" w:space="0" w:color="00B2A8" w:themeColor="accent2"/>
          <w:bottom w:val="single" w:sz="8" w:space="0" w:color="00B2A8" w:themeColor="accent2"/>
          <w:right w:val="single" w:sz="8" w:space="0" w:color="00B2A8" w:themeColor="accent2"/>
        </w:tcBorders>
      </w:tcPr>
    </w:tblStylePr>
    <w:tblStylePr w:type="firstCol">
      <w:rPr>
        <w:b/>
        <w:bCs/>
      </w:rPr>
    </w:tblStylePr>
    <w:tblStylePr w:type="lastCol">
      <w:rPr>
        <w:b/>
        <w:bCs/>
      </w:rPr>
    </w:tblStylePr>
    <w:tblStylePr w:type="band1Vert">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tblStylePr w:type="band1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tblBorders>
    </w:tblPr>
    <w:tblStylePr w:type="firstRow">
      <w:pPr>
        <w:spacing w:before="0" w:after="0" w:line="240" w:lineRule="auto"/>
      </w:pPr>
      <w:rPr>
        <w:b/>
        <w:bCs/>
        <w:color w:val="FFFFFF" w:themeColor="background1"/>
      </w:rPr>
      <w:tblPr/>
      <w:tcPr>
        <w:shd w:val="clear" w:color="auto" w:fill="333641" w:themeFill="accent4"/>
      </w:tcPr>
    </w:tblStylePr>
    <w:tblStylePr w:type="lastRow">
      <w:pPr>
        <w:spacing w:before="0" w:after="0" w:line="240" w:lineRule="auto"/>
      </w:pPr>
      <w:rPr>
        <w:b/>
        <w:bCs/>
      </w:rPr>
      <w:tblPr/>
      <w:tcPr>
        <w:tcBorders>
          <w:top w:val="double" w:sz="6" w:space="0" w:color="333641" w:themeColor="accent4"/>
          <w:left w:val="single" w:sz="8" w:space="0" w:color="333641" w:themeColor="accent4"/>
          <w:bottom w:val="single" w:sz="8" w:space="0" w:color="333641" w:themeColor="accent4"/>
          <w:right w:val="single" w:sz="8" w:space="0" w:color="333641" w:themeColor="accent4"/>
        </w:tcBorders>
      </w:tcPr>
    </w:tblStylePr>
    <w:tblStylePr w:type="firstCol">
      <w:rPr>
        <w:b/>
        <w:bCs/>
      </w:rPr>
    </w:tblStylePr>
    <w:tblStylePr w:type="lastCol">
      <w:rPr>
        <w:b/>
        <w:bCs/>
      </w:rPr>
    </w:tblStylePr>
    <w:tblStylePr w:type="band1Vert">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tblStylePr w:type="band1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tblBorders>
    </w:tblPr>
    <w:tblStylePr w:type="firstRow">
      <w:pPr>
        <w:spacing w:before="0" w:after="0" w:line="240" w:lineRule="auto"/>
      </w:pPr>
      <w:rPr>
        <w:b/>
        <w:bCs/>
        <w:color w:val="FFFFFF" w:themeColor="background1"/>
      </w:rPr>
      <w:tblPr/>
      <w:tcPr>
        <w:shd w:val="clear" w:color="auto" w:fill="FFC576" w:themeFill="accent5"/>
      </w:tcPr>
    </w:tblStylePr>
    <w:tblStylePr w:type="lastRow">
      <w:pPr>
        <w:spacing w:before="0" w:after="0" w:line="240" w:lineRule="auto"/>
      </w:pPr>
      <w:rPr>
        <w:b/>
        <w:bCs/>
      </w:rPr>
      <w:tblPr/>
      <w:tcPr>
        <w:tcBorders>
          <w:top w:val="double" w:sz="6" w:space="0" w:color="FFC576" w:themeColor="accent5"/>
          <w:left w:val="single" w:sz="8" w:space="0" w:color="FFC576" w:themeColor="accent5"/>
          <w:bottom w:val="single" w:sz="8" w:space="0" w:color="FFC576" w:themeColor="accent5"/>
          <w:right w:val="single" w:sz="8" w:space="0" w:color="FFC576" w:themeColor="accent5"/>
        </w:tcBorders>
      </w:tcPr>
    </w:tblStylePr>
    <w:tblStylePr w:type="firstCol">
      <w:rPr>
        <w:b/>
        <w:bCs/>
      </w:rPr>
    </w:tblStylePr>
    <w:tblStylePr w:type="lastCol">
      <w:rPr>
        <w:b/>
        <w:bCs/>
      </w:rPr>
    </w:tblStylePr>
    <w:tblStylePr w:type="band1Vert">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tblStylePr w:type="band1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tblBorders>
    </w:tblPr>
    <w:tblStylePr w:type="firstRow">
      <w:pPr>
        <w:spacing w:before="0" w:after="0" w:line="240" w:lineRule="auto"/>
      </w:pPr>
      <w:rPr>
        <w:b/>
        <w:bCs/>
        <w:color w:val="FFFFFF" w:themeColor="background1"/>
      </w:rPr>
      <w:tblPr/>
      <w:tcPr>
        <w:shd w:val="clear" w:color="auto" w:fill="00867F" w:themeFill="accent6"/>
      </w:tcPr>
    </w:tblStylePr>
    <w:tblStylePr w:type="lastRow">
      <w:pPr>
        <w:spacing w:before="0" w:after="0" w:line="240" w:lineRule="auto"/>
      </w:pPr>
      <w:rPr>
        <w:b/>
        <w:bCs/>
      </w:rPr>
      <w:tblPr/>
      <w:tcPr>
        <w:tcBorders>
          <w:top w:val="double" w:sz="6" w:space="0" w:color="00867F" w:themeColor="accent6"/>
          <w:left w:val="single" w:sz="8" w:space="0" w:color="00867F" w:themeColor="accent6"/>
          <w:bottom w:val="single" w:sz="8" w:space="0" w:color="00867F" w:themeColor="accent6"/>
          <w:right w:val="single" w:sz="8" w:space="0" w:color="00867F" w:themeColor="accent6"/>
        </w:tcBorders>
      </w:tcPr>
    </w:tblStylePr>
    <w:tblStylePr w:type="firstCol">
      <w:rPr>
        <w:b/>
        <w:bCs/>
      </w:rPr>
    </w:tblStylePr>
    <w:tblStylePr w:type="lastCol">
      <w:rPr>
        <w:b/>
        <w:bCs/>
      </w:rPr>
    </w:tblStylePr>
    <w:tblStylePr w:type="band1Vert">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tblStylePr w:type="band1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D37800" w:themeColor="accent1" w:themeShade="BF"/>
    </w:rPr>
    <w:tblPr>
      <w:tblStyleRowBandSize w:val="1"/>
      <w:tblStyleColBandSize w:val="1"/>
      <w:tblBorders>
        <w:top w:val="single" w:sz="8" w:space="0" w:color="FF9E1B" w:themeColor="accent1"/>
        <w:bottom w:val="single" w:sz="8" w:space="0" w:color="FF9E1B" w:themeColor="accent1"/>
      </w:tblBorders>
    </w:tblPr>
    <w:tblStylePr w:type="firstRow">
      <w:pPr>
        <w:spacing w:before="0" w:after="0" w:line="240" w:lineRule="auto"/>
      </w:pPr>
      <w:rPr>
        <w:b/>
        <w:bCs/>
      </w:rPr>
      <w:tblPr/>
      <w:tcPr>
        <w:tcBorders>
          <w:top w:val="single" w:sz="8" w:space="0" w:color="FF9E1B" w:themeColor="accent1"/>
          <w:left w:val="nil"/>
          <w:bottom w:val="single" w:sz="8" w:space="0" w:color="FF9E1B" w:themeColor="accent1"/>
          <w:right w:val="nil"/>
          <w:insideH w:val="nil"/>
          <w:insideV w:val="nil"/>
        </w:tcBorders>
      </w:tcPr>
    </w:tblStylePr>
    <w:tblStylePr w:type="lastRow">
      <w:pPr>
        <w:spacing w:before="0" w:after="0" w:line="240" w:lineRule="auto"/>
      </w:pPr>
      <w:rPr>
        <w:b/>
        <w:bCs/>
      </w:rPr>
      <w:tblPr/>
      <w:tcPr>
        <w:tcBorders>
          <w:top w:val="single" w:sz="8" w:space="0" w:color="FF9E1B" w:themeColor="accent1"/>
          <w:left w:val="nil"/>
          <w:bottom w:val="single" w:sz="8" w:space="0" w:color="FF9E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C6" w:themeFill="accent1" w:themeFillTint="3F"/>
      </w:tcPr>
    </w:tblStylePr>
    <w:tblStylePr w:type="band1Horz">
      <w:tblPr/>
      <w:tcPr>
        <w:tcBorders>
          <w:left w:val="nil"/>
          <w:right w:val="nil"/>
          <w:insideH w:val="nil"/>
          <w:insideV w:val="nil"/>
        </w:tcBorders>
        <w:shd w:val="clear" w:color="auto" w:fill="FFE6C6" w:themeFill="accent1" w:themeFillTint="3F"/>
      </w:tcPr>
    </w:tblStylePr>
  </w:style>
  <w:style w:type="table" w:styleId="LightShading-Accent2">
    <w:name w:val="Light Shading Accent 2"/>
    <w:basedOn w:val="TableNormal"/>
    <w:uiPriority w:val="60"/>
    <w:semiHidden/>
    <w:rsid w:val="0058629F"/>
    <w:rPr>
      <w:color w:val="00857D" w:themeColor="accent2" w:themeShade="BF"/>
    </w:rPr>
    <w:tblPr>
      <w:tblStyleRowBandSize w:val="1"/>
      <w:tblStyleColBandSize w:val="1"/>
      <w:tblBorders>
        <w:top w:val="single" w:sz="8" w:space="0" w:color="00B2A8" w:themeColor="accent2"/>
        <w:bottom w:val="single" w:sz="8" w:space="0" w:color="00B2A8" w:themeColor="accent2"/>
      </w:tblBorders>
    </w:tblPr>
    <w:tblStylePr w:type="firstRow">
      <w:pPr>
        <w:spacing w:before="0" w:after="0" w:line="240" w:lineRule="auto"/>
      </w:pPr>
      <w:rPr>
        <w:b/>
        <w:bCs/>
      </w:rPr>
      <w:tblPr/>
      <w:tcPr>
        <w:tcBorders>
          <w:top w:val="single" w:sz="8" w:space="0" w:color="00B2A8" w:themeColor="accent2"/>
          <w:left w:val="nil"/>
          <w:bottom w:val="single" w:sz="8" w:space="0" w:color="00B2A8" w:themeColor="accent2"/>
          <w:right w:val="nil"/>
          <w:insideH w:val="nil"/>
          <w:insideV w:val="nil"/>
        </w:tcBorders>
      </w:tcPr>
    </w:tblStylePr>
    <w:tblStylePr w:type="lastRow">
      <w:pPr>
        <w:spacing w:before="0" w:after="0" w:line="240" w:lineRule="auto"/>
      </w:pPr>
      <w:rPr>
        <w:b/>
        <w:bCs/>
      </w:rPr>
      <w:tblPr/>
      <w:tcPr>
        <w:tcBorders>
          <w:top w:val="single" w:sz="8" w:space="0" w:color="00B2A8" w:themeColor="accent2"/>
          <w:left w:val="nil"/>
          <w:bottom w:val="single" w:sz="8" w:space="0" w:color="00B2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2" w:themeFillTint="3F"/>
      </w:tcPr>
    </w:tblStylePr>
    <w:tblStylePr w:type="band1Horz">
      <w:tblPr/>
      <w:tcPr>
        <w:tcBorders>
          <w:left w:val="nil"/>
          <w:right w:val="nil"/>
          <w:insideH w:val="nil"/>
          <w:insideV w:val="nil"/>
        </w:tcBorders>
        <w:shd w:val="clear" w:color="auto" w:fill="ACFFFA" w:themeFill="accent2" w:themeFillTint="3F"/>
      </w:tcPr>
    </w:tblStylePr>
  </w:style>
  <w:style w:type="table" w:styleId="LightShading-Accent3">
    <w:name w:val="Light Shading Accent 3"/>
    <w:basedOn w:val="TableNormal"/>
    <w:uiPriority w:val="60"/>
    <w:semiHidden/>
    <w:rsid w:val="0058629F"/>
    <w:rPr>
      <w:color w:val="99A400" w:themeColor="accent3" w:themeShade="BF"/>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58629F"/>
    <w:rPr>
      <w:color w:val="262830" w:themeColor="accent4" w:themeShade="BF"/>
    </w:rPr>
    <w:tblPr>
      <w:tblStyleRowBandSize w:val="1"/>
      <w:tblStyleColBandSize w:val="1"/>
      <w:tblBorders>
        <w:top w:val="single" w:sz="8" w:space="0" w:color="333641" w:themeColor="accent4"/>
        <w:bottom w:val="single" w:sz="8" w:space="0" w:color="333641" w:themeColor="accent4"/>
      </w:tblBorders>
    </w:tblPr>
    <w:tblStylePr w:type="firstRow">
      <w:pPr>
        <w:spacing w:before="0" w:after="0" w:line="240" w:lineRule="auto"/>
      </w:pPr>
      <w:rPr>
        <w:b/>
        <w:bCs/>
      </w:rPr>
      <w:tblPr/>
      <w:tcPr>
        <w:tcBorders>
          <w:top w:val="single" w:sz="8" w:space="0" w:color="333641" w:themeColor="accent4"/>
          <w:left w:val="nil"/>
          <w:bottom w:val="single" w:sz="8" w:space="0" w:color="333641" w:themeColor="accent4"/>
          <w:right w:val="nil"/>
          <w:insideH w:val="nil"/>
          <w:insideV w:val="nil"/>
        </w:tcBorders>
      </w:tcPr>
    </w:tblStylePr>
    <w:tblStylePr w:type="lastRow">
      <w:pPr>
        <w:spacing w:before="0" w:after="0" w:line="240" w:lineRule="auto"/>
      </w:pPr>
      <w:rPr>
        <w:b/>
        <w:bCs/>
      </w:rPr>
      <w:tblPr/>
      <w:tcPr>
        <w:tcBorders>
          <w:top w:val="single" w:sz="8" w:space="0" w:color="333641" w:themeColor="accent4"/>
          <w:left w:val="nil"/>
          <w:bottom w:val="single" w:sz="8" w:space="0" w:color="3336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AD4" w:themeFill="accent4" w:themeFillTint="3F"/>
      </w:tcPr>
    </w:tblStylePr>
    <w:tblStylePr w:type="band1Horz">
      <w:tblPr/>
      <w:tcPr>
        <w:tcBorders>
          <w:left w:val="nil"/>
          <w:right w:val="nil"/>
          <w:insideH w:val="nil"/>
          <w:insideV w:val="nil"/>
        </w:tcBorders>
        <w:shd w:val="clear" w:color="auto" w:fill="C8CAD4" w:themeFill="accent4" w:themeFillTint="3F"/>
      </w:tcPr>
    </w:tblStylePr>
  </w:style>
  <w:style w:type="table" w:styleId="LightShading-Accent5">
    <w:name w:val="Light Shading Accent 5"/>
    <w:basedOn w:val="TableNormal"/>
    <w:uiPriority w:val="60"/>
    <w:semiHidden/>
    <w:rsid w:val="0058629F"/>
    <w:rPr>
      <w:color w:val="FF9D18" w:themeColor="accent5" w:themeShade="BF"/>
    </w:rPr>
    <w:tblPr>
      <w:tblStyleRowBandSize w:val="1"/>
      <w:tblStyleColBandSize w:val="1"/>
      <w:tblBorders>
        <w:top w:val="single" w:sz="8" w:space="0" w:color="FFC576" w:themeColor="accent5"/>
        <w:bottom w:val="single" w:sz="8" w:space="0" w:color="FFC576" w:themeColor="accent5"/>
      </w:tblBorders>
    </w:tblPr>
    <w:tblStylePr w:type="firstRow">
      <w:pPr>
        <w:spacing w:before="0" w:after="0" w:line="240" w:lineRule="auto"/>
      </w:pPr>
      <w:rPr>
        <w:b/>
        <w:bCs/>
      </w:rPr>
      <w:tblPr/>
      <w:tcPr>
        <w:tcBorders>
          <w:top w:val="single" w:sz="8" w:space="0" w:color="FFC576" w:themeColor="accent5"/>
          <w:left w:val="nil"/>
          <w:bottom w:val="single" w:sz="8" w:space="0" w:color="FFC576" w:themeColor="accent5"/>
          <w:right w:val="nil"/>
          <w:insideH w:val="nil"/>
          <w:insideV w:val="nil"/>
        </w:tcBorders>
      </w:tcPr>
    </w:tblStylePr>
    <w:tblStylePr w:type="lastRow">
      <w:pPr>
        <w:spacing w:before="0" w:after="0" w:line="240" w:lineRule="auto"/>
      </w:pPr>
      <w:rPr>
        <w:b/>
        <w:bCs/>
      </w:rPr>
      <w:tblPr/>
      <w:tcPr>
        <w:tcBorders>
          <w:top w:val="single" w:sz="8" w:space="0" w:color="FFC576" w:themeColor="accent5"/>
          <w:left w:val="nil"/>
          <w:bottom w:val="single" w:sz="8" w:space="0" w:color="FFC5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DD" w:themeFill="accent5" w:themeFillTint="3F"/>
      </w:tcPr>
    </w:tblStylePr>
    <w:tblStylePr w:type="band1Horz">
      <w:tblPr/>
      <w:tcPr>
        <w:tcBorders>
          <w:left w:val="nil"/>
          <w:right w:val="nil"/>
          <w:insideH w:val="nil"/>
          <w:insideV w:val="nil"/>
        </w:tcBorders>
        <w:shd w:val="clear" w:color="auto" w:fill="FFF0DD" w:themeFill="accent5" w:themeFillTint="3F"/>
      </w:tcPr>
    </w:tblStylePr>
  </w:style>
  <w:style w:type="table" w:styleId="LightShading-Accent6">
    <w:name w:val="Light Shading Accent 6"/>
    <w:basedOn w:val="TableNormal"/>
    <w:uiPriority w:val="60"/>
    <w:semiHidden/>
    <w:rsid w:val="0058629F"/>
    <w:rPr>
      <w:color w:val="00645E" w:themeColor="accent6" w:themeShade="BF"/>
    </w:rPr>
    <w:tblPr>
      <w:tblStyleRowBandSize w:val="1"/>
      <w:tblStyleColBandSize w:val="1"/>
      <w:tblBorders>
        <w:top w:val="single" w:sz="8" w:space="0" w:color="00867F" w:themeColor="accent6"/>
        <w:bottom w:val="single" w:sz="8" w:space="0" w:color="00867F" w:themeColor="accent6"/>
      </w:tblBorders>
    </w:tblPr>
    <w:tblStylePr w:type="firstRow">
      <w:pPr>
        <w:spacing w:before="0" w:after="0" w:line="240" w:lineRule="auto"/>
      </w:pPr>
      <w:rPr>
        <w:b/>
        <w:bCs/>
      </w:rPr>
      <w:tblPr/>
      <w:tcPr>
        <w:tcBorders>
          <w:top w:val="single" w:sz="8" w:space="0" w:color="00867F" w:themeColor="accent6"/>
          <w:left w:val="nil"/>
          <w:bottom w:val="single" w:sz="8" w:space="0" w:color="00867F" w:themeColor="accent6"/>
          <w:right w:val="nil"/>
          <w:insideH w:val="nil"/>
          <w:insideV w:val="nil"/>
        </w:tcBorders>
      </w:tcPr>
    </w:tblStylePr>
    <w:tblStylePr w:type="lastRow">
      <w:pPr>
        <w:spacing w:before="0" w:after="0" w:line="240" w:lineRule="auto"/>
      </w:pPr>
      <w:rPr>
        <w:b/>
        <w:bCs/>
      </w:rPr>
      <w:tblPr/>
      <w:tcPr>
        <w:tcBorders>
          <w:top w:val="single" w:sz="8" w:space="0" w:color="00867F" w:themeColor="accent6"/>
          <w:left w:val="nil"/>
          <w:bottom w:val="single" w:sz="8" w:space="0" w:color="0086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F9" w:themeFill="accent6" w:themeFillTint="3F"/>
      </w:tcPr>
    </w:tblStylePr>
    <w:tblStylePr w:type="band1Horz">
      <w:tblPr/>
      <w:tcPr>
        <w:tcBorders>
          <w:left w:val="nil"/>
          <w:right w:val="nil"/>
          <w:insideH w:val="nil"/>
          <w:insideV w:val="nil"/>
        </w:tcBorders>
        <w:shd w:val="clear" w:color="auto" w:fill="A2FFF9"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FC476" w:themeColor="accent1" w:themeTint="99"/>
        </w:tcBorders>
      </w:tcPr>
    </w:tblStylePr>
    <w:tblStylePr w:type="lastRow">
      <w:rPr>
        <w:b/>
        <w:bCs/>
      </w:rPr>
      <w:tblPr/>
      <w:tcPr>
        <w:tcBorders>
          <w:top w:val="sing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37FFF3" w:themeColor="accent2" w:themeTint="99"/>
        </w:tcBorders>
      </w:tcPr>
    </w:tblStylePr>
    <w:tblStylePr w:type="lastRow">
      <w:rPr>
        <w:b/>
        <w:bCs/>
      </w:rPr>
      <w:tblPr/>
      <w:tcPr>
        <w:tcBorders>
          <w:top w:val="sing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7A8097" w:themeColor="accent4" w:themeTint="99"/>
        </w:tcBorders>
      </w:tcPr>
    </w:tblStylePr>
    <w:tblStylePr w:type="lastRow">
      <w:rPr>
        <w:b/>
        <w:bCs/>
      </w:rPr>
      <w:tblPr/>
      <w:tcPr>
        <w:tcBorders>
          <w:top w:val="sing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FFDCAC" w:themeColor="accent5" w:themeTint="99"/>
        </w:tcBorders>
      </w:tcPr>
    </w:tblStylePr>
    <w:tblStylePr w:type="lastRow">
      <w:rPr>
        <w:b/>
        <w:bCs/>
      </w:rPr>
      <w:tblPr/>
      <w:tcPr>
        <w:tcBorders>
          <w:top w:val="sing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1DFFF2" w:themeColor="accent6" w:themeTint="99"/>
        </w:tcBorders>
      </w:tcPr>
    </w:tblStylePr>
    <w:tblStylePr w:type="lastRow">
      <w:rPr>
        <w:b/>
        <w:bCs/>
      </w:rPr>
      <w:tblPr/>
      <w:tcPr>
        <w:tcBorders>
          <w:top w:val="sing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FC476" w:themeColor="accent1" w:themeTint="99"/>
        <w:bottom w:val="single" w:sz="4" w:space="0" w:color="FFC476" w:themeColor="accent1" w:themeTint="99"/>
        <w:insideH w:val="single" w:sz="4" w:space="0" w:color="FFC47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37FFF3" w:themeColor="accent2" w:themeTint="99"/>
        <w:bottom w:val="single" w:sz="4" w:space="0" w:color="37FFF3" w:themeColor="accent2" w:themeTint="99"/>
        <w:insideH w:val="single" w:sz="4" w:space="0" w:color="37FFF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7A8097" w:themeColor="accent4" w:themeTint="99"/>
        <w:bottom w:val="single" w:sz="4" w:space="0" w:color="7A8097" w:themeColor="accent4" w:themeTint="99"/>
        <w:insideH w:val="single" w:sz="4" w:space="0" w:color="7A80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FFDCAC" w:themeColor="accent5" w:themeTint="99"/>
        <w:bottom w:val="single" w:sz="4" w:space="0" w:color="FFDCAC" w:themeColor="accent5" w:themeTint="99"/>
        <w:insideH w:val="single" w:sz="4" w:space="0" w:color="FFDC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1DFFF2" w:themeColor="accent6" w:themeTint="99"/>
        <w:bottom w:val="single" w:sz="4" w:space="0" w:color="1DFFF2" w:themeColor="accent6" w:themeTint="99"/>
        <w:insideH w:val="single" w:sz="4" w:space="0" w:color="1DFFF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FF9E1B" w:themeColor="accent1"/>
        <w:left w:val="single" w:sz="4" w:space="0" w:color="FF9E1B" w:themeColor="accent1"/>
        <w:bottom w:val="single" w:sz="4" w:space="0" w:color="FF9E1B" w:themeColor="accent1"/>
        <w:right w:val="single" w:sz="4" w:space="0" w:color="FF9E1B" w:themeColor="accent1"/>
      </w:tblBorders>
    </w:tblPr>
    <w:tblStylePr w:type="firstRow">
      <w:rPr>
        <w:b/>
        <w:bCs/>
        <w:color w:val="FFFFFF" w:themeColor="background1"/>
      </w:rPr>
      <w:tblPr/>
      <w:tcPr>
        <w:shd w:val="clear" w:color="auto" w:fill="FF9E1B" w:themeFill="accent1"/>
      </w:tcPr>
    </w:tblStylePr>
    <w:tblStylePr w:type="lastRow">
      <w:rPr>
        <w:b/>
        <w:bCs/>
      </w:rPr>
      <w:tblPr/>
      <w:tcPr>
        <w:tcBorders>
          <w:top w:val="double" w:sz="4" w:space="0" w:color="FF9E1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E1B" w:themeColor="accent1"/>
          <w:right w:val="single" w:sz="4" w:space="0" w:color="FF9E1B" w:themeColor="accent1"/>
        </w:tcBorders>
      </w:tcPr>
    </w:tblStylePr>
    <w:tblStylePr w:type="band1Horz">
      <w:tblPr/>
      <w:tcPr>
        <w:tcBorders>
          <w:top w:val="single" w:sz="4" w:space="0" w:color="FF9E1B" w:themeColor="accent1"/>
          <w:bottom w:val="single" w:sz="4" w:space="0" w:color="FF9E1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E1B" w:themeColor="accent1"/>
          <w:left w:val="nil"/>
        </w:tcBorders>
      </w:tcPr>
    </w:tblStylePr>
    <w:tblStylePr w:type="swCell">
      <w:tblPr/>
      <w:tcPr>
        <w:tcBorders>
          <w:top w:val="double" w:sz="4" w:space="0" w:color="FF9E1B"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00B2A8" w:themeColor="accent2"/>
        <w:left w:val="single" w:sz="4" w:space="0" w:color="00B2A8" w:themeColor="accent2"/>
        <w:bottom w:val="single" w:sz="4" w:space="0" w:color="00B2A8" w:themeColor="accent2"/>
        <w:right w:val="single" w:sz="4" w:space="0" w:color="00B2A8" w:themeColor="accent2"/>
      </w:tblBorders>
    </w:tblPr>
    <w:tblStylePr w:type="firstRow">
      <w:rPr>
        <w:b/>
        <w:bCs/>
        <w:color w:val="FFFFFF" w:themeColor="background1"/>
      </w:rPr>
      <w:tblPr/>
      <w:tcPr>
        <w:shd w:val="clear" w:color="auto" w:fill="00B2A8" w:themeFill="accent2"/>
      </w:tcPr>
    </w:tblStylePr>
    <w:tblStylePr w:type="lastRow">
      <w:rPr>
        <w:b/>
        <w:bCs/>
      </w:rPr>
      <w:tblPr/>
      <w:tcPr>
        <w:tcBorders>
          <w:top w:val="double" w:sz="4" w:space="0" w:color="00B2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8" w:themeColor="accent2"/>
          <w:right w:val="single" w:sz="4" w:space="0" w:color="00B2A8" w:themeColor="accent2"/>
        </w:tcBorders>
      </w:tcPr>
    </w:tblStylePr>
    <w:tblStylePr w:type="band1Horz">
      <w:tblPr/>
      <w:tcPr>
        <w:tcBorders>
          <w:top w:val="single" w:sz="4" w:space="0" w:color="00B2A8" w:themeColor="accent2"/>
          <w:bottom w:val="single" w:sz="4" w:space="0" w:color="00B2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8" w:themeColor="accent2"/>
          <w:left w:val="nil"/>
        </w:tcBorders>
      </w:tcPr>
    </w:tblStylePr>
    <w:tblStylePr w:type="swCell">
      <w:tblPr/>
      <w:tcPr>
        <w:tcBorders>
          <w:top w:val="double" w:sz="4" w:space="0" w:color="00B2A8"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333641" w:themeColor="accent4"/>
        <w:left w:val="single" w:sz="4" w:space="0" w:color="333641" w:themeColor="accent4"/>
        <w:bottom w:val="single" w:sz="4" w:space="0" w:color="333641" w:themeColor="accent4"/>
        <w:right w:val="single" w:sz="4" w:space="0" w:color="333641" w:themeColor="accent4"/>
      </w:tblBorders>
    </w:tblPr>
    <w:tblStylePr w:type="firstRow">
      <w:rPr>
        <w:b/>
        <w:bCs/>
        <w:color w:val="FFFFFF" w:themeColor="background1"/>
      </w:rPr>
      <w:tblPr/>
      <w:tcPr>
        <w:shd w:val="clear" w:color="auto" w:fill="333641" w:themeFill="accent4"/>
      </w:tcPr>
    </w:tblStylePr>
    <w:tblStylePr w:type="lastRow">
      <w:rPr>
        <w:b/>
        <w:bCs/>
      </w:rPr>
      <w:tblPr/>
      <w:tcPr>
        <w:tcBorders>
          <w:top w:val="double" w:sz="4" w:space="0" w:color="3336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641" w:themeColor="accent4"/>
          <w:right w:val="single" w:sz="4" w:space="0" w:color="333641" w:themeColor="accent4"/>
        </w:tcBorders>
      </w:tcPr>
    </w:tblStylePr>
    <w:tblStylePr w:type="band1Horz">
      <w:tblPr/>
      <w:tcPr>
        <w:tcBorders>
          <w:top w:val="single" w:sz="4" w:space="0" w:color="333641" w:themeColor="accent4"/>
          <w:bottom w:val="single" w:sz="4" w:space="0" w:color="3336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641" w:themeColor="accent4"/>
          <w:left w:val="nil"/>
        </w:tcBorders>
      </w:tcPr>
    </w:tblStylePr>
    <w:tblStylePr w:type="swCell">
      <w:tblPr/>
      <w:tcPr>
        <w:tcBorders>
          <w:top w:val="double" w:sz="4" w:space="0" w:color="333641"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FFC576" w:themeColor="accent5"/>
        <w:left w:val="single" w:sz="4" w:space="0" w:color="FFC576" w:themeColor="accent5"/>
        <w:bottom w:val="single" w:sz="4" w:space="0" w:color="FFC576" w:themeColor="accent5"/>
        <w:right w:val="single" w:sz="4" w:space="0" w:color="FFC576" w:themeColor="accent5"/>
      </w:tblBorders>
    </w:tblPr>
    <w:tblStylePr w:type="firstRow">
      <w:rPr>
        <w:b/>
        <w:bCs/>
        <w:color w:val="FFFFFF" w:themeColor="background1"/>
      </w:rPr>
      <w:tblPr/>
      <w:tcPr>
        <w:shd w:val="clear" w:color="auto" w:fill="FFC576" w:themeFill="accent5"/>
      </w:tcPr>
    </w:tblStylePr>
    <w:tblStylePr w:type="lastRow">
      <w:rPr>
        <w:b/>
        <w:bCs/>
      </w:rPr>
      <w:tblPr/>
      <w:tcPr>
        <w:tcBorders>
          <w:top w:val="double" w:sz="4" w:space="0" w:color="FFC5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576" w:themeColor="accent5"/>
          <w:right w:val="single" w:sz="4" w:space="0" w:color="FFC576" w:themeColor="accent5"/>
        </w:tcBorders>
      </w:tcPr>
    </w:tblStylePr>
    <w:tblStylePr w:type="band1Horz">
      <w:tblPr/>
      <w:tcPr>
        <w:tcBorders>
          <w:top w:val="single" w:sz="4" w:space="0" w:color="FFC576" w:themeColor="accent5"/>
          <w:bottom w:val="single" w:sz="4" w:space="0" w:color="FFC5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576" w:themeColor="accent5"/>
          <w:left w:val="nil"/>
        </w:tcBorders>
      </w:tcPr>
    </w:tblStylePr>
    <w:tblStylePr w:type="swCell">
      <w:tblPr/>
      <w:tcPr>
        <w:tcBorders>
          <w:top w:val="double" w:sz="4" w:space="0" w:color="FFC576"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0867F" w:themeColor="accent6"/>
        <w:left w:val="single" w:sz="4" w:space="0" w:color="00867F" w:themeColor="accent6"/>
        <w:bottom w:val="single" w:sz="4" w:space="0" w:color="00867F" w:themeColor="accent6"/>
        <w:right w:val="single" w:sz="4" w:space="0" w:color="00867F" w:themeColor="accent6"/>
      </w:tblBorders>
    </w:tblPr>
    <w:tblStylePr w:type="firstRow">
      <w:rPr>
        <w:b/>
        <w:bCs/>
        <w:color w:val="FFFFFF" w:themeColor="background1"/>
      </w:rPr>
      <w:tblPr/>
      <w:tcPr>
        <w:shd w:val="clear" w:color="auto" w:fill="00867F" w:themeFill="accent6"/>
      </w:tcPr>
    </w:tblStylePr>
    <w:tblStylePr w:type="lastRow">
      <w:rPr>
        <w:b/>
        <w:bCs/>
      </w:rPr>
      <w:tblPr/>
      <w:tcPr>
        <w:tcBorders>
          <w:top w:val="double" w:sz="4" w:space="0" w:color="0086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67F" w:themeColor="accent6"/>
          <w:right w:val="single" w:sz="4" w:space="0" w:color="00867F" w:themeColor="accent6"/>
        </w:tcBorders>
      </w:tcPr>
    </w:tblStylePr>
    <w:tblStylePr w:type="band1Horz">
      <w:tblPr/>
      <w:tcPr>
        <w:tcBorders>
          <w:top w:val="single" w:sz="4" w:space="0" w:color="00867F" w:themeColor="accent6"/>
          <w:bottom w:val="single" w:sz="4" w:space="0" w:color="0086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67F" w:themeColor="accent6"/>
          <w:left w:val="nil"/>
        </w:tcBorders>
      </w:tcPr>
    </w:tblStylePr>
    <w:tblStylePr w:type="swCell">
      <w:tblPr/>
      <w:tcPr>
        <w:tcBorders>
          <w:top w:val="double" w:sz="4" w:space="0" w:color="00867F"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tblBorders>
    </w:tblPr>
    <w:tblStylePr w:type="firstRow">
      <w:rPr>
        <w:b/>
        <w:bCs/>
        <w:color w:val="FFFFFF" w:themeColor="background1"/>
      </w:rPr>
      <w:tblPr/>
      <w:tcPr>
        <w:tcBorders>
          <w:top w:val="single" w:sz="4" w:space="0" w:color="FF9E1B" w:themeColor="accent1"/>
          <w:left w:val="single" w:sz="4" w:space="0" w:color="FF9E1B" w:themeColor="accent1"/>
          <w:bottom w:val="single" w:sz="4" w:space="0" w:color="FF9E1B" w:themeColor="accent1"/>
          <w:right w:val="single" w:sz="4" w:space="0" w:color="FF9E1B" w:themeColor="accent1"/>
          <w:insideH w:val="nil"/>
        </w:tcBorders>
        <w:shd w:val="clear" w:color="auto" w:fill="FF9E1B" w:themeFill="accent1"/>
      </w:tcPr>
    </w:tblStylePr>
    <w:tblStylePr w:type="lastRow">
      <w:rPr>
        <w:b/>
        <w:bCs/>
      </w:rPr>
      <w:tblPr/>
      <w:tcPr>
        <w:tcBorders>
          <w:top w:val="doub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tblBorders>
    </w:tblPr>
    <w:tblStylePr w:type="firstRow">
      <w:rPr>
        <w:b/>
        <w:bCs/>
        <w:color w:val="FFFFFF" w:themeColor="background1"/>
      </w:rPr>
      <w:tblPr/>
      <w:tcPr>
        <w:tcBorders>
          <w:top w:val="single" w:sz="4" w:space="0" w:color="00B2A8" w:themeColor="accent2"/>
          <w:left w:val="single" w:sz="4" w:space="0" w:color="00B2A8" w:themeColor="accent2"/>
          <w:bottom w:val="single" w:sz="4" w:space="0" w:color="00B2A8" w:themeColor="accent2"/>
          <w:right w:val="single" w:sz="4" w:space="0" w:color="00B2A8" w:themeColor="accent2"/>
          <w:insideH w:val="nil"/>
        </w:tcBorders>
        <w:shd w:val="clear" w:color="auto" w:fill="00B2A8" w:themeFill="accent2"/>
      </w:tcPr>
    </w:tblStylePr>
    <w:tblStylePr w:type="lastRow">
      <w:rPr>
        <w:b/>
        <w:bCs/>
      </w:rPr>
      <w:tblPr/>
      <w:tcPr>
        <w:tcBorders>
          <w:top w:val="doub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tblBorders>
    </w:tblPr>
    <w:tblStylePr w:type="firstRow">
      <w:rPr>
        <w:b/>
        <w:bCs/>
        <w:color w:val="FFFFFF" w:themeColor="background1"/>
      </w:rPr>
      <w:tblPr/>
      <w:tcPr>
        <w:tcBorders>
          <w:top w:val="single" w:sz="4" w:space="0" w:color="333641" w:themeColor="accent4"/>
          <w:left w:val="single" w:sz="4" w:space="0" w:color="333641" w:themeColor="accent4"/>
          <w:bottom w:val="single" w:sz="4" w:space="0" w:color="333641" w:themeColor="accent4"/>
          <w:right w:val="single" w:sz="4" w:space="0" w:color="333641" w:themeColor="accent4"/>
          <w:insideH w:val="nil"/>
        </w:tcBorders>
        <w:shd w:val="clear" w:color="auto" w:fill="333641" w:themeFill="accent4"/>
      </w:tcPr>
    </w:tblStylePr>
    <w:tblStylePr w:type="lastRow">
      <w:rPr>
        <w:b/>
        <w:bCs/>
      </w:rPr>
      <w:tblPr/>
      <w:tcPr>
        <w:tcBorders>
          <w:top w:val="doub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tblBorders>
    </w:tblPr>
    <w:tblStylePr w:type="firstRow">
      <w:rPr>
        <w:b/>
        <w:bCs/>
        <w:color w:val="FFFFFF" w:themeColor="background1"/>
      </w:rPr>
      <w:tblPr/>
      <w:tcPr>
        <w:tcBorders>
          <w:top w:val="single" w:sz="4" w:space="0" w:color="FFC576" w:themeColor="accent5"/>
          <w:left w:val="single" w:sz="4" w:space="0" w:color="FFC576" w:themeColor="accent5"/>
          <w:bottom w:val="single" w:sz="4" w:space="0" w:color="FFC576" w:themeColor="accent5"/>
          <w:right w:val="single" w:sz="4" w:space="0" w:color="FFC576" w:themeColor="accent5"/>
          <w:insideH w:val="nil"/>
        </w:tcBorders>
        <w:shd w:val="clear" w:color="auto" w:fill="FFC576" w:themeFill="accent5"/>
      </w:tcPr>
    </w:tblStylePr>
    <w:tblStylePr w:type="lastRow">
      <w:rPr>
        <w:b/>
        <w:bCs/>
      </w:rPr>
      <w:tblPr/>
      <w:tcPr>
        <w:tcBorders>
          <w:top w:val="doub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tblBorders>
    </w:tblPr>
    <w:tblStylePr w:type="firstRow">
      <w:rPr>
        <w:b/>
        <w:bCs/>
        <w:color w:val="FFFFFF" w:themeColor="background1"/>
      </w:rPr>
      <w:tblPr/>
      <w:tcPr>
        <w:tcBorders>
          <w:top w:val="single" w:sz="4" w:space="0" w:color="00867F" w:themeColor="accent6"/>
          <w:left w:val="single" w:sz="4" w:space="0" w:color="00867F" w:themeColor="accent6"/>
          <w:bottom w:val="single" w:sz="4" w:space="0" w:color="00867F" w:themeColor="accent6"/>
          <w:right w:val="single" w:sz="4" w:space="0" w:color="00867F" w:themeColor="accent6"/>
          <w:insideH w:val="nil"/>
        </w:tcBorders>
        <w:shd w:val="clear" w:color="auto" w:fill="00867F" w:themeFill="accent6"/>
      </w:tcPr>
    </w:tblStylePr>
    <w:tblStylePr w:type="lastRow">
      <w:rPr>
        <w:b/>
        <w:bCs/>
      </w:rPr>
      <w:tblPr/>
      <w:tcPr>
        <w:tcBorders>
          <w:top w:val="doub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F9E1B" w:themeColor="accent1"/>
        <w:left w:val="single" w:sz="24" w:space="0" w:color="FF9E1B" w:themeColor="accent1"/>
        <w:bottom w:val="single" w:sz="24" w:space="0" w:color="FF9E1B" w:themeColor="accent1"/>
        <w:right w:val="single" w:sz="24" w:space="0" w:color="FF9E1B" w:themeColor="accent1"/>
      </w:tblBorders>
    </w:tblPr>
    <w:tcPr>
      <w:shd w:val="clear" w:color="auto" w:fill="FF9E1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00B2A8" w:themeColor="accent2"/>
        <w:left w:val="single" w:sz="24" w:space="0" w:color="00B2A8" w:themeColor="accent2"/>
        <w:bottom w:val="single" w:sz="24" w:space="0" w:color="00B2A8" w:themeColor="accent2"/>
        <w:right w:val="single" w:sz="24" w:space="0" w:color="00B2A8" w:themeColor="accent2"/>
      </w:tblBorders>
    </w:tblPr>
    <w:tcPr>
      <w:shd w:val="clear" w:color="auto" w:fill="00B2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333641" w:themeColor="accent4"/>
        <w:left w:val="single" w:sz="24" w:space="0" w:color="333641" w:themeColor="accent4"/>
        <w:bottom w:val="single" w:sz="24" w:space="0" w:color="333641" w:themeColor="accent4"/>
        <w:right w:val="single" w:sz="24" w:space="0" w:color="333641" w:themeColor="accent4"/>
      </w:tblBorders>
    </w:tblPr>
    <w:tcPr>
      <w:shd w:val="clear" w:color="auto" w:fill="3336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FFC576" w:themeColor="accent5"/>
        <w:left w:val="single" w:sz="24" w:space="0" w:color="FFC576" w:themeColor="accent5"/>
        <w:bottom w:val="single" w:sz="24" w:space="0" w:color="FFC576" w:themeColor="accent5"/>
        <w:right w:val="single" w:sz="24" w:space="0" w:color="FFC576" w:themeColor="accent5"/>
      </w:tblBorders>
    </w:tblPr>
    <w:tcPr>
      <w:shd w:val="clear" w:color="auto" w:fill="FFC5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0867F" w:themeColor="accent6"/>
        <w:left w:val="single" w:sz="24" w:space="0" w:color="00867F" w:themeColor="accent6"/>
        <w:bottom w:val="single" w:sz="24" w:space="0" w:color="00867F" w:themeColor="accent6"/>
        <w:right w:val="single" w:sz="24" w:space="0" w:color="00867F" w:themeColor="accent6"/>
      </w:tblBorders>
    </w:tblPr>
    <w:tcPr>
      <w:shd w:val="clear" w:color="auto" w:fill="00867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D37800" w:themeColor="accent1" w:themeShade="BF"/>
    </w:rPr>
    <w:tblPr>
      <w:tblStyleRowBandSize w:val="1"/>
      <w:tblStyleColBandSize w:val="1"/>
      <w:tblBorders>
        <w:top w:val="single" w:sz="4" w:space="0" w:color="FF9E1B" w:themeColor="accent1"/>
        <w:bottom w:val="single" w:sz="4" w:space="0" w:color="FF9E1B" w:themeColor="accent1"/>
      </w:tblBorders>
    </w:tblPr>
    <w:tblStylePr w:type="firstRow">
      <w:rPr>
        <w:b/>
        <w:bCs/>
      </w:rPr>
      <w:tblPr/>
      <w:tcPr>
        <w:tcBorders>
          <w:bottom w:val="single" w:sz="4" w:space="0" w:color="FF9E1B" w:themeColor="accent1"/>
        </w:tcBorders>
      </w:tcPr>
    </w:tblStylePr>
    <w:tblStylePr w:type="lastRow">
      <w:rPr>
        <w:b/>
        <w:bCs/>
      </w:rPr>
      <w:tblPr/>
      <w:tcPr>
        <w:tcBorders>
          <w:top w:val="double" w:sz="4" w:space="0" w:color="FF9E1B" w:themeColor="accent1"/>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6Colorful-Accent2">
    <w:name w:val="List Table 6 Colorful Accent 2"/>
    <w:basedOn w:val="TableNormal"/>
    <w:uiPriority w:val="51"/>
    <w:semiHidden/>
    <w:rsid w:val="0058629F"/>
    <w:rPr>
      <w:color w:val="00857D" w:themeColor="accent2" w:themeShade="BF"/>
    </w:rPr>
    <w:tblPr>
      <w:tblStyleRowBandSize w:val="1"/>
      <w:tblStyleColBandSize w:val="1"/>
      <w:tblBorders>
        <w:top w:val="single" w:sz="4" w:space="0" w:color="00B2A8" w:themeColor="accent2"/>
        <w:bottom w:val="single" w:sz="4" w:space="0" w:color="00B2A8" w:themeColor="accent2"/>
      </w:tblBorders>
    </w:tblPr>
    <w:tblStylePr w:type="firstRow">
      <w:rPr>
        <w:b/>
        <w:bCs/>
      </w:rPr>
      <w:tblPr/>
      <w:tcPr>
        <w:tcBorders>
          <w:bottom w:val="single" w:sz="4" w:space="0" w:color="00B2A8" w:themeColor="accent2"/>
        </w:tcBorders>
      </w:tcPr>
    </w:tblStylePr>
    <w:tblStylePr w:type="lastRow">
      <w:rPr>
        <w:b/>
        <w:bCs/>
      </w:rPr>
      <w:tblPr/>
      <w:tcPr>
        <w:tcBorders>
          <w:top w:val="double" w:sz="4" w:space="0" w:color="00B2A8" w:themeColor="accent2"/>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6Colorful-Accent3">
    <w:name w:val="List Table 6 Colorful Accent 3"/>
    <w:basedOn w:val="TableNormal"/>
    <w:uiPriority w:val="51"/>
    <w:semiHidden/>
    <w:rsid w:val="0058629F"/>
    <w:rPr>
      <w:color w:val="99A400" w:themeColor="accent3" w:themeShade="BF"/>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rful-Accent4">
    <w:name w:val="List Table 6 Colorful Accent 4"/>
    <w:basedOn w:val="TableNormal"/>
    <w:uiPriority w:val="51"/>
    <w:semiHidden/>
    <w:rsid w:val="0058629F"/>
    <w:rPr>
      <w:color w:val="262830" w:themeColor="accent4" w:themeShade="BF"/>
    </w:rPr>
    <w:tblPr>
      <w:tblStyleRowBandSize w:val="1"/>
      <w:tblStyleColBandSize w:val="1"/>
      <w:tblBorders>
        <w:top w:val="single" w:sz="4" w:space="0" w:color="333641" w:themeColor="accent4"/>
        <w:bottom w:val="single" w:sz="4" w:space="0" w:color="333641" w:themeColor="accent4"/>
      </w:tblBorders>
    </w:tblPr>
    <w:tblStylePr w:type="firstRow">
      <w:rPr>
        <w:b/>
        <w:bCs/>
      </w:rPr>
      <w:tblPr/>
      <w:tcPr>
        <w:tcBorders>
          <w:bottom w:val="single" w:sz="4" w:space="0" w:color="333641" w:themeColor="accent4"/>
        </w:tcBorders>
      </w:tcPr>
    </w:tblStylePr>
    <w:tblStylePr w:type="lastRow">
      <w:rPr>
        <w:b/>
        <w:bCs/>
      </w:rPr>
      <w:tblPr/>
      <w:tcPr>
        <w:tcBorders>
          <w:top w:val="double" w:sz="4" w:space="0" w:color="333641" w:themeColor="accent4"/>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6Colorful-Accent5">
    <w:name w:val="List Table 6 Colorful Accent 5"/>
    <w:basedOn w:val="TableNormal"/>
    <w:uiPriority w:val="51"/>
    <w:semiHidden/>
    <w:rsid w:val="0058629F"/>
    <w:rPr>
      <w:color w:val="FF9D18" w:themeColor="accent5" w:themeShade="BF"/>
    </w:rPr>
    <w:tblPr>
      <w:tblStyleRowBandSize w:val="1"/>
      <w:tblStyleColBandSize w:val="1"/>
      <w:tblBorders>
        <w:top w:val="single" w:sz="4" w:space="0" w:color="FFC576" w:themeColor="accent5"/>
        <w:bottom w:val="single" w:sz="4" w:space="0" w:color="FFC576" w:themeColor="accent5"/>
      </w:tblBorders>
    </w:tblPr>
    <w:tblStylePr w:type="firstRow">
      <w:rPr>
        <w:b/>
        <w:bCs/>
      </w:rPr>
      <w:tblPr/>
      <w:tcPr>
        <w:tcBorders>
          <w:bottom w:val="single" w:sz="4" w:space="0" w:color="FFC576" w:themeColor="accent5"/>
        </w:tcBorders>
      </w:tcPr>
    </w:tblStylePr>
    <w:tblStylePr w:type="lastRow">
      <w:rPr>
        <w:b/>
        <w:bCs/>
      </w:rPr>
      <w:tblPr/>
      <w:tcPr>
        <w:tcBorders>
          <w:top w:val="double" w:sz="4" w:space="0" w:color="FFC576" w:themeColor="accent5"/>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6Colorful-Accent6">
    <w:name w:val="List Table 6 Colorful Accent 6"/>
    <w:basedOn w:val="TableNormal"/>
    <w:uiPriority w:val="51"/>
    <w:semiHidden/>
    <w:rsid w:val="0058629F"/>
    <w:rPr>
      <w:color w:val="00645E" w:themeColor="accent6" w:themeShade="BF"/>
    </w:rPr>
    <w:tblPr>
      <w:tblStyleRowBandSize w:val="1"/>
      <w:tblStyleColBandSize w:val="1"/>
      <w:tblBorders>
        <w:top w:val="single" w:sz="4" w:space="0" w:color="00867F" w:themeColor="accent6"/>
        <w:bottom w:val="single" w:sz="4" w:space="0" w:color="00867F" w:themeColor="accent6"/>
      </w:tblBorders>
    </w:tblPr>
    <w:tblStylePr w:type="firstRow">
      <w:rPr>
        <w:b/>
        <w:bCs/>
      </w:rPr>
      <w:tblPr/>
      <w:tcPr>
        <w:tcBorders>
          <w:bottom w:val="single" w:sz="4" w:space="0" w:color="00867F" w:themeColor="accent6"/>
        </w:tcBorders>
      </w:tcPr>
    </w:tblStylePr>
    <w:tblStylePr w:type="lastRow">
      <w:rPr>
        <w:b/>
        <w:bCs/>
      </w:rPr>
      <w:tblPr/>
      <w:tcPr>
        <w:tcBorders>
          <w:top w:val="double" w:sz="4" w:space="0" w:color="00867F" w:themeColor="accent6"/>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D378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E1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E1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E1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E1B" w:themeColor="accent1"/>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00857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8" w:themeColor="accent2"/>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99A4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2628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6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6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6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641" w:themeColor="accent4"/>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FF9D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5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5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5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576" w:themeColor="accent5"/>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0645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67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67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67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67F" w:themeColor="accent6"/>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single" w:sz="8" w:space="0" w:color="FFB554" w:themeColor="accent1" w:themeTint="BF"/>
        <w:insideV w:val="single" w:sz="8" w:space="0" w:color="FFB554" w:themeColor="accent1" w:themeTint="BF"/>
      </w:tblBorders>
    </w:tblPr>
    <w:tcPr>
      <w:shd w:val="clear" w:color="auto" w:fill="FFE6C6" w:themeFill="accent1" w:themeFillTint="3F"/>
    </w:tcPr>
    <w:tblStylePr w:type="firstRow">
      <w:rPr>
        <w:b/>
        <w:bCs/>
      </w:rPr>
    </w:tblStylePr>
    <w:tblStylePr w:type="lastRow">
      <w:rPr>
        <w:b/>
        <w:bCs/>
      </w:rPr>
      <w:tblPr/>
      <w:tcPr>
        <w:tcBorders>
          <w:top w:val="single" w:sz="18" w:space="0" w:color="FFB554" w:themeColor="accent1" w:themeTint="BF"/>
        </w:tcBorders>
      </w:tcPr>
    </w:tblStylePr>
    <w:tblStylePr w:type="firstCol">
      <w:rPr>
        <w:b/>
        <w:bCs/>
      </w:rPr>
    </w:tblStylePr>
    <w:tblStylePr w:type="lastCol">
      <w:rPr>
        <w:b/>
        <w:bCs/>
      </w:rPr>
    </w:tblStylePr>
    <w:tblStylePr w:type="band1Vert">
      <w:tblPr/>
      <w:tcPr>
        <w:shd w:val="clear" w:color="auto" w:fill="FFCE8D" w:themeFill="accent1" w:themeFillTint="7F"/>
      </w:tcPr>
    </w:tblStylePr>
    <w:tblStylePr w:type="band1Horz">
      <w:tblPr/>
      <w:tcPr>
        <w:shd w:val="clear" w:color="auto" w:fill="FFCE8D"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single" w:sz="8" w:space="0" w:color="06FFF0" w:themeColor="accent2" w:themeTint="BF"/>
        <w:insideV w:val="single" w:sz="8" w:space="0" w:color="06FFF0" w:themeColor="accent2" w:themeTint="BF"/>
      </w:tblBorders>
    </w:tblPr>
    <w:tcPr>
      <w:shd w:val="clear" w:color="auto" w:fill="ACFFFA" w:themeFill="accent2" w:themeFillTint="3F"/>
    </w:tcPr>
    <w:tblStylePr w:type="firstRow">
      <w:rPr>
        <w:b/>
        <w:bCs/>
      </w:rPr>
    </w:tblStylePr>
    <w:tblStylePr w:type="lastRow">
      <w:rPr>
        <w:b/>
        <w:bCs/>
      </w:rPr>
      <w:tblPr/>
      <w:tcPr>
        <w:tcBorders>
          <w:top w:val="single" w:sz="18" w:space="0" w:color="06FFF0" w:themeColor="accent2" w:themeTint="BF"/>
        </w:tcBorders>
      </w:tcPr>
    </w:tblStylePr>
    <w:tblStylePr w:type="firstCol">
      <w:rPr>
        <w:b/>
        <w:bCs/>
      </w:rPr>
    </w:tblStylePr>
    <w:tblStylePr w:type="lastCol">
      <w:rPr>
        <w:b/>
        <w:bCs/>
      </w:rPr>
    </w:tblStylePr>
    <w:tblStylePr w:type="band1Vert">
      <w:tblPr/>
      <w:tcPr>
        <w:shd w:val="clear" w:color="auto" w:fill="59FFF5" w:themeFill="accent2" w:themeFillTint="7F"/>
      </w:tcPr>
    </w:tblStylePr>
    <w:tblStylePr w:type="band1Horz">
      <w:tblPr/>
      <w:tcPr>
        <w:shd w:val="clear" w:color="auto" w:fill="59FFF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single" w:sz="8" w:space="0" w:color="5E6378" w:themeColor="accent4" w:themeTint="BF"/>
        <w:insideV w:val="single" w:sz="8" w:space="0" w:color="5E6378" w:themeColor="accent4" w:themeTint="BF"/>
      </w:tblBorders>
    </w:tblPr>
    <w:tcPr>
      <w:shd w:val="clear" w:color="auto" w:fill="C8CAD4" w:themeFill="accent4" w:themeFillTint="3F"/>
    </w:tcPr>
    <w:tblStylePr w:type="firstRow">
      <w:rPr>
        <w:b/>
        <w:bCs/>
      </w:rPr>
    </w:tblStylePr>
    <w:tblStylePr w:type="lastRow">
      <w:rPr>
        <w:b/>
        <w:bCs/>
      </w:rPr>
      <w:tblPr/>
      <w:tcPr>
        <w:tcBorders>
          <w:top w:val="single" w:sz="18" w:space="0" w:color="5E6378" w:themeColor="accent4" w:themeTint="BF"/>
        </w:tcBorders>
      </w:tcPr>
    </w:tblStylePr>
    <w:tblStylePr w:type="firstCol">
      <w:rPr>
        <w:b/>
        <w:bCs/>
      </w:rPr>
    </w:tblStylePr>
    <w:tblStylePr w:type="lastCol">
      <w:rPr>
        <w:b/>
        <w:bCs/>
      </w:rPr>
    </w:tblStylePr>
    <w:tblStylePr w:type="band1Vert">
      <w:tblPr/>
      <w:tcPr>
        <w:shd w:val="clear" w:color="auto" w:fill="9196A8" w:themeFill="accent4" w:themeFillTint="7F"/>
      </w:tcPr>
    </w:tblStylePr>
    <w:tblStylePr w:type="band1Horz">
      <w:tblPr/>
      <w:tcPr>
        <w:shd w:val="clear" w:color="auto" w:fill="9196A8"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single" w:sz="8" w:space="0" w:color="FFD398" w:themeColor="accent5" w:themeTint="BF"/>
        <w:insideV w:val="single" w:sz="8" w:space="0" w:color="FFD398" w:themeColor="accent5" w:themeTint="BF"/>
      </w:tblBorders>
    </w:tblPr>
    <w:tcPr>
      <w:shd w:val="clear" w:color="auto" w:fill="FFF0DD" w:themeFill="accent5" w:themeFillTint="3F"/>
    </w:tcPr>
    <w:tblStylePr w:type="firstRow">
      <w:rPr>
        <w:b/>
        <w:bCs/>
      </w:rPr>
    </w:tblStylePr>
    <w:tblStylePr w:type="lastRow">
      <w:rPr>
        <w:b/>
        <w:bCs/>
      </w:rPr>
      <w:tblPr/>
      <w:tcPr>
        <w:tcBorders>
          <w:top w:val="single" w:sz="18" w:space="0" w:color="FFD398" w:themeColor="accent5" w:themeTint="BF"/>
        </w:tcBorders>
      </w:tcPr>
    </w:tblStylePr>
    <w:tblStylePr w:type="firstCol">
      <w:rPr>
        <w:b/>
        <w:bCs/>
      </w:rPr>
    </w:tblStylePr>
    <w:tblStylePr w:type="lastCol">
      <w:rPr>
        <w:b/>
        <w:bCs/>
      </w:rPr>
    </w:tblStylePr>
    <w:tblStylePr w:type="band1Vert">
      <w:tblPr/>
      <w:tcPr>
        <w:shd w:val="clear" w:color="auto" w:fill="FFE2BA" w:themeFill="accent5" w:themeFillTint="7F"/>
      </w:tcPr>
    </w:tblStylePr>
    <w:tblStylePr w:type="band1Horz">
      <w:tblPr/>
      <w:tcPr>
        <w:shd w:val="clear" w:color="auto" w:fill="FFE2BA"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single" w:sz="8" w:space="0" w:color="00E4D7" w:themeColor="accent6" w:themeTint="BF"/>
        <w:insideV w:val="single" w:sz="8" w:space="0" w:color="00E4D7" w:themeColor="accent6" w:themeTint="BF"/>
      </w:tblBorders>
    </w:tblPr>
    <w:tcPr>
      <w:shd w:val="clear" w:color="auto" w:fill="A2FFF9" w:themeFill="accent6" w:themeFillTint="3F"/>
    </w:tcPr>
    <w:tblStylePr w:type="firstRow">
      <w:rPr>
        <w:b/>
        <w:bCs/>
      </w:rPr>
    </w:tblStylePr>
    <w:tblStylePr w:type="lastRow">
      <w:rPr>
        <w:b/>
        <w:bCs/>
      </w:rPr>
      <w:tblPr/>
      <w:tcPr>
        <w:tcBorders>
          <w:top w:val="single" w:sz="18" w:space="0" w:color="00E4D7" w:themeColor="accent6" w:themeTint="BF"/>
        </w:tcBorders>
      </w:tcPr>
    </w:tblStylePr>
    <w:tblStylePr w:type="firstCol">
      <w:rPr>
        <w:b/>
        <w:bCs/>
      </w:rPr>
    </w:tblStylePr>
    <w:tblStylePr w:type="lastCol">
      <w:rPr>
        <w:b/>
        <w:bCs/>
      </w:rPr>
    </w:tblStylePr>
    <w:tblStylePr w:type="band1Vert">
      <w:tblPr/>
      <w:tcPr>
        <w:shd w:val="clear" w:color="auto" w:fill="43FFF4" w:themeFill="accent6" w:themeFillTint="7F"/>
      </w:tcPr>
    </w:tblStylePr>
    <w:tblStylePr w:type="band1Horz">
      <w:tblPr/>
      <w:tcPr>
        <w:shd w:val="clear" w:color="auto" w:fill="43FFF4"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insideH w:val="single" w:sz="8" w:space="0" w:color="FF9E1B" w:themeColor="accent1"/>
        <w:insideV w:val="single" w:sz="8" w:space="0" w:color="FF9E1B" w:themeColor="accent1"/>
      </w:tblBorders>
    </w:tblPr>
    <w:tcPr>
      <w:shd w:val="clear" w:color="auto" w:fill="FFE6C6" w:themeFill="accent1" w:themeFillTint="3F"/>
    </w:tcPr>
    <w:tblStylePr w:type="firstRow">
      <w:rPr>
        <w:b/>
        <w:bCs/>
        <w:color w:val="232222" w:themeColor="text1"/>
      </w:rPr>
      <w:tblPr/>
      <w:tcPr>
        <w:shd w:val="clear" w:color="auto" w:fill="FFF5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BD1" w:themeFill="accent1" w:themeFillTint="33"/>
      </w:tcPr>
    </w:tblStylePr>
    <w:tblStylePr w:type="band1Vert">
      <w:tblPr/>
      <w:tcPr>
        <w:shd w:val="clear" w:color="auto" w:fill="FFCE8D" w:themeFill="accent1" w:themeFillTint="7F"/>
      </w:tcPr>
    </w:tblStylePr>
    <w:tblStylePr w:type="band1Horz">
      <w:tblPr/>
      <w:tcPr>
        <w:tcBorders>
          <w:insideH w:val="single" w:sz="6" w:space="0" w:color="FF9E1B" w:themeColor="accent1"/>
          <w:insideV w:val="single" w:sz="6" w:space="0" w:color="FF9E1B" w:themeColor="accent1"/>
        </w:tcBorders>
        <w:shd w:val="clear" w:color="auto" w:fill="FFCE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insideH w:val="single" w:sz="8" w:space="0" w:color="00B2A8" w:themeColor="accent2"/>
        <w:insideV w:val="single" w:sz="8" w:space="0" w:color="00B2A8" w:themeColor="accent2"/>
      </w:tblBorders>
    </w:tblPr>
    <w:tcPr>
      <w:shd w:val="clear" w:color="auto" w:fill="ACFFFA" w:themeFill="accent2" w:themeFillTint="3F"/>
    </w:tcPr>
    <w:tblStylePr w:type="firstRow">
      <w:rPr>
        <w:b/>
        <w:bCs/>
        <w:color w:val="232222" w:themeColor="text1"/>
      </w:rPr>
      <w:tblPr/>
      <w:tcPr>
        <w:shd w:val="clear" w:color="auto" w:fill="DEFFFD"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2" w:themeFillTint="33"/>
      </w:tcPr>
    </w:tblStylePr>
    <w:tblStylePr w:type="band1Vert">
      <w:tblPr/>
      <w:tcPr>
        <w:shd w:val="clear" w:color="auto" w:fill="59FFF5" w:themeFill="accent2" w:themeFillTint="7F"/>
      </w:tcPr>
    </w:tblStylePr>
    <w:tblStylePr w:type="band1Horz">
      <w:tblPr/>
      <w:tcPr>
        <w:tcBorders>
          <w:insideH w:val="single" w:sz="6" w:space="0" w:color="00B2A8" w:themeColor="accent2"/>
          <w:insideV w:val="single" w:sz="6" w:space="0" w:color="00B2A8" w:themeColor="accent2"/>
        </w:tcBorders>
        <w:shd w:val="clear" w:color="auto" w:fill="59FFF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232222" w:themeColor="text1"/>
      </w:rPr>
      <w:tblPr/>
      <w:tcPr>
        <w:shd w:val="clear" w:color="auto" w:fill="FDFFE2"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insideH w:val="single" w:sz="8" w:space="0" w:color="333641" w:themeColor="accent4"/>
        <w:insideV w:val="single" w:sz="8" w:space="0" w:color="333641" w:themeColor="accent4"/>
      </w:tblBorders>
    </w:tblPr>
    <w:tcPr>
      <w:shd w:val="clear" w:color="auto" w:fill="C8CAD4" w:themeFill="accent4" w:themeFillTint="3F"/>
    </w:tcPr>
    <w:tblStylePr w:type="firstRow">
      <w:rPr>
        <w:b/>
        <w:bCs/>
        <w:color w:val="232222" w:themeColor="text1"/>
      </w:rPr>
      <w:tblPr/>
      <w:tcPr>
        <w:shd w:val="clear" w:color="auto" w:fill="E9EAEE"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2D4DC" w:themeFill="accent4" w:themeFillTint="33"/>
      </w:tcPr>
    </w:tblStylePr>
    <w:tblStylePr w:type="band1Vert">
      <w:tblPr/>
      <w:tcPr>
        <w:shd w:val="clear" w:color="auto" w:fill="9196A8" w:themeFill="accent4" w:themeFillTint="7F"/>
      </w:tcPr>
    </w:tblStylePr>
    <w:tblStylePr w:type="band1Horz">
      <w:tblPr/>
      <w:tcPr>
        <w:tcBorders>
          <w:insideH w:val="single" w:sz="6" w:space="0" w:color="333641" w:themeColor="accent4"/>
          <w:insideV w:val="single" w:sz="6" w:space="0" w:color="333641" w:themeColor="accent4"/>
        </w:tcBorders>
        <w:shd w:val="clear" w:color="auto" w:fill="9196A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insideH w:val="single" w:sz="8" w:space="0" w:color="FFC576" w:themeColor="accent5"/>
        <w:insideV w:val="single" w:sz="8" w:space="0" w:color="FFC576" w:themeColor="accent5"/>
      </w:tblBorders>
    </w:tblPr>
    <w:tcPr>
      <w:shd w:val="clear" w:color="auto" w:fill="FFF0DD" w:themeFill="accent5" w:themeFillTint="3F"/>
    </w:tcPr>
    <w:tblStylePr w:type="firstRow">
      <w:rPr>
        <w:b/>
        <w:bCs/>
        <w:color w:val="232222" w:themeColor="text1"/>
      </w:rPr>
      <w:tblPr/>
      <w:tcPr>
        <w:shd w:val="clear" w:color="auto" w:fill="FFF9F1"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F3E3" w:themeFill="accent5" w:themeFillTint="33"/>
      </w:tcPr>
    </w:tblStylePr>
    <w:tblStylePr w:type="band1Vert">
      <w:tblPr/>
      <w:tcPr>
        <w:shd w:val="clear" w:color="auto" w:fill="FFE2BA" w:themeFill="accent5" w:themeFillTint="7F"/>
      </w:tcPr>
    </w:tblStylePr>
    <w:tblStylePr w:type="band1Horz">
      <w:tblPr/>
      <w:tcPr>
        <w:tcBorders>
          <w:insideH w:val="single" w:sz="6" w:space="0" w:color="FFC576" w:themeColor="accent5"/>
          <w:insideV w:val="single" w:sz="6" w:space="0" w:color="FFC576" w:themeColor="accent5"/>
        </w:tcBorders>
        <w:shd w:val="clear" w:color="auto" w:fill="FFE2B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insideH w:val="single" w:sz="8" w:space="0" w:color="00867F" w:themeColor="accent6"/>
        <w:insideV w:val="single" w:sz="8" w:space="0" w:color="00867F" w:themeColor="accent6"/>
      </w:tblBorders>
    </w:tblPr>
    <w:tcPr>
      <w:shd w:val="clear" w:color="auto" w:fill="A2FFF9" w:themeFill="accent6" w:themeFillTint="3F"/>
    </w:tcPr>
    <w:tblStylePr w:type="firstRow">
      <w:rPr>
        <w:b/>
        <w:bCs/>
        <w:color w:val="232222" w:themeColor="text1"/>
      </w:rPr>
      <w:tblPr/>
      <w:tcPr>
        <w:shd w:val="clear" w:color="auto" w:fill="DAFF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3FFFA" w:themeFill="accent6" w:themeFillTint="33"/>
      </w:tcPr>
    </w:tblStylePr>
    <w:tblStylePr w:type="band1Vert">
      <w:tblPr/>
      <w:tcPr>
        <w:shd w:val="clear" w:color="auto" w:fill="43FFF4" w:themeFill="accent6" w:themeFillTint="7F"/>
      </w:tcPr>
    </w:tblStylePr>
    <w:tblStylePr w:type="band1Horz">
      <w:tblPr/>
      <w:tcPr>
        <w:tcBorders>
          <w:insideH w:val="single" w:sz="6" w:space="0" w:color="00867F" w:themeColor="accent6"/>
          <w:insideV w:val="single" w:sz="6" w:space="0" w:color="00867F" w:themeColor="accent6"/>
        </w:tcBorders>
        <w:shd w:val="clear" w:color="auto" w:fill="43FFF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E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E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E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E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8D"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A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6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6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6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6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6A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6A8"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5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5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5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5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BA"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7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7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7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7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F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F4"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343741"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F9E1B" w:themeColor="accent1"/>
        <w:bottom w:val="single" w:sz="8" w:space="0" w:color="FF9E1B" w:themeColor="accent1"/>
      </w:tblBorders>
    </w:tblPr>
    <w:tblStylePr w:type="firstRow">
      <w:rPr>
        <w:rFonts w:asciiTheme="majorHAnsi" w:eastAsiaTheme="majorEastAsia" w:hAnsiTheme="majorHAnsi" w:cstheme="majorBidi"/>
      </w:rPr>
      <w:tblPr/>
      <w:tcPr>
        <w:tcBorders>
          <w:top w:val="nil"/>
          <w:bottom w:val="single" w:sz="8" w:space="0" w:color="FF9E1B" w:themeColor="accent1"/>
        </w:tcBorders>
      </w:tcPr>
    </w:tblStylePr>
    <w:tblStylePr w:type="lastRow">
      <w:rPr>
        <w:b/>
        <w:bCs/>
        <w:color w:val="343741" w:themeColor="text2"/>
      </w:rPr>
      <w:tblPr/>
      <w:tcPr>
        <w:tcBorders>
          <w:top w:val="single" w:sz="8" w:space="0" w:color="FF9E1B" w:themeColor="accent1"/>
          <w:bottom w:val="single" w:sz="8" w:space="0" w:color="FF9E1B" w:themeColor="accent1"/>
        </w:tcBorders>
      </w:tcPr>
    </w:tblStylePr>
    <w:tblStylePr w:type="firstCol">
      <w:rPr>
        <w:b/>
        <w:bCs/>
      </w:rPr>
    </w:tblStylePr>
    <w:tblStylePr w:type="lastCol">
      <w:rPr>
        <w:b/>
        <w:bCs/>
      </w:rPr>
      <w:tblPr/>
      <w:tcPr>
        <w:tcBorders>
          <w:top w:val="single" w:sz="8" w:space="0" w:color="FF9E1B" w:themeColor="accent1"/>
          <w:bottom w:val="single" w:sz="8" w:space="0" w:color="FF9E1B" w:themeColor="accent1"/>
        </w:tcBorders>
      </w:tcPr>
    </w:tblStylePr>
    <w:tblStylePr w:type="band1Vert">
      <w:tblPr/>
      <w:tcPr>
        <w:shd w:val="clear" w:color="auto" w:fill="FFE6C6" w:themeFill="accent1" w:themeFillTint="3F"/>
      </w:tcPr>
    </w:tblStylePr>
    <w:tblStylePr w:type="band1Horz">
      <w:tblPr/>
      <w:tcPr>
        <w:shd w:val="clear" w:color="auto" w:fill="FFE6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00B2A8" w:themeColor="accent2"/>
        <w:bottom w:val="single" w:sz="8" w:space="0" w:color="00B2A8" w:themeColor="accent2"/>
      </w:tblBorders>
    </w:tblPr>
    <w:tblStylePr w:type="firstRow">
      <w:rPr>
        <w:rFonts w:asciiTheme="majorHAnsi" w:eastAsiaTheme="majorEastAsia" w:hAnsiTheme="majorHAnsi" w:cstheme="majorBidi"/>
      </w:rPr>
      <w:tblPr/>
      <w:tcPr>
        <w:tcBorders>
          <w:top w:val="nil"/>
          <w:bottom w:val="single" w:sz="8" w:space="0" w:color="00B2A8" w:themeColor="accent2"/>
        </w:tcBorders>
      </w:tcPr>
    </w:tblStylePr>
    <w:tblStylePr w:type="lastRow">
      <w:rPr>
        <w:b/>
        <w:bCs/>
        <w:color w:val="343741" w:themeColor="text2"/>
      </w:rPr>
      <w:tblPr/>
      <w:tcPr>
        <w:tcBorders>
          <w:top w:val="single" w:sz="8" w:space="0" w:color="00B2A8" w:themeColor="accent2"/>
          <w:bottom w:val="single" w:sz="8" w:space="0" w:color="00B2A8" w:themeColor="accent2"/>
        </w:tcBorders>
      </w:tcPr>
    </w:tblStylePr>
    <w:tblStylePr w:type="firstCol">
      <w:rPr>
        <w:b/>
        <w:bCs/>
      </w:rPr>
    </w:tblStylePr>
    <w:tblStylePr w:type="lastCol">
      <w:rPr>
        <w:b/>
        <w:bCs/>
      </w:rPr>
      <w:tblPr/>
      <w:tcPr>
        <w:tcBorders>
          <w:top w:val="single" w:sz="8" w:space="0" w:color="00B2A8" w:themeColor="accent2"/>
          <w:bottom w:val="single" w:sz="8" w:space="0" w:color="00B2A8" w:themeColor="accent2"/>
        </w:tcBorders>
      </w:tcPr>
    </w:tblStylePr>
    <w:tblStylePr w:type="band1Vert">
      <w:tblPr/>
      <w:tcPr>
        <w:shd w:val="clear" w:color="auto" w:fill="ACFFFA" w:themeFill="accent2" w:themeFillTint="3F"/>
      </w:tcPr>
    </w:tblStylePr>
    <w:tblStylePr w:type="band1Horz">
      <w:tblPr/>
      <w:tcPr>
        <w:shd w:val="clear" w:color="auto" w:fill="ACFFF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343741"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333641" w:themeColor="accent4"/>
        <w:bottom w:val="single" w:sz="8" w:space="0" w:color="333641" w:themeColor="accent4"/>
      </w:tblBorders>
    </w:tblPr>
    <w:tblStylePr w:type="firstRow">
      <w:rPr>
        <w:rFonts w:asciiTheme="majorHAnsi" w:eastAsiaTheme="majorEastAsia" w:hAnsiTheme="majorHAnsi" w:cstheme="majorBidi"/>
      </w:rPr>
      <w:tblPr/>
      <w:tcPr>
        <w:tcBorders>
          <w:top w:val="nil"/>
          <w:bottom w:val="single" w:sz="8" w:space="0" w:color="333641" w:themeColor="accent4"/>
        </w:tcBorders>
      </w:tcPr>
    </w:tblStylePr>
    <w:tblStylePr w:type="lastRow">
      <w:rPr>
        <w:b/>
        <w:bCs/>
        <w:color w:val="343741" w:themeColor="text2"/>
      </w:rPr>
      <w:tblPr/>
      <w:tcPr>
        <w:tcBorders>
          <w:top w:val="single" w:sz="8" w:space="0" w:color="333641" w:themeColor="accent4"/>
          <w:bottom w:val="single" w:sz="8" w:space="0" w:color="333641" w:themeColor="accent4"/>
        </w:tcBorders>
      </w:tcPr>
    </w:tblStylePr>
    <w:tblStylePr w:type="firstCol">
      <w:rPr>
        <w:b/>
        <w:bCs/>
      </w:rPr>
    </w:tblStylePr>
    <w:tblStylePr w:type="lastCol">
      <w:rPr>
        <w:b/>
        <w:bCs/>
      </w:rPr>
      <w:tblPr/>
      <w:tcPr>
        <w:tcBorders>
          <w:top w:val="single" w:sz="8" w:space="0" w:color="333641" w:themeColor="accent4"/>
          <w:bottom w:val="single" w:sz="8" w:space="0" w:color="333641" w:themeColor="accent4"/>
        </w:tcBorders>
      </w:tcPr>
    </w:tblStylePr>
    <w:tblStylePr w:type="band1Vert">
      <w:tblPr/>
      <w:tcPr>
        <w:shd w:val="clear" w:color="auto" w:fill="C8CAD4" w:themeFill="accent4" w:themeFillTint="3F"/>
      </w:tcPr>
    </w:tblStylePr>
    <w:tblStylePr w:type="band1Horz">
      <w:tblPr/>
      <w:tcPr>
        <w:shd w:val="clear" w:color="auto" w:fill="C8CAD4"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FFC576" w:themeColor="accent5"/>
        <w:bottom w:val="single" w:sz="8" w:space="0" w:color="FFC576" w:themeColor="accent5"/>
      </w:tblBorders>
    </w:tblPr>
    <w:tblStylePr w:type="firstRow">
      <w:rPr>
        <w:rFonts w:asciiTheme="majorHAnsi" w:eastAsiaTheme="majorEastAsia" w:hAnsiTheme="majorHAnsi" w:cstheme="majorBidi"/>
      </w:rPr>
      <w:tblPr/>
      <w:tcPr>
        <w:tcBorders>
          <w:top w:val="nil"/>
          <w:bottom w:val="single" w:sz="8" w:space="0" w:color="FFC576" w:themeColor="accent5"/>
        </w:tcBorders>
      </w:tcPr>
    </w:tblStylePr>
    <w:tblStylePr w:type="lastRow">
      <w:rPr>
        <w:b/>
        <w:bCs/>
        <w:color w:val="343741" w:themeColor="text2"/>
      </w:rPr>
      <w:tblPr/>
      <w:tcPr>
        <w:tcBorders>
          <w:top w:val="single" w:sz="8" w:space="0" w:color="FFC576" w:themeColor="accent5"/>
          <w:bottom w:val="single" w:sz="8" w:space="0" w:color="FFC576" w:themeColor="accent5"/>
        </w:tcBorders>
      </w:tcPr>
    </w:tblStylePr>
    <w:tblStylePr w:type="firstCol">
      <w:rPr>
        <w:b/>
        <w:bCs/>
      </w:rPr>
    </w:tblStylePr>
    <w:tblStylePr w:type="lastCol">
      <w:rPr>
        <w:b/>
        <w:bCs/>
      </w:rPr>
      <w:tblPr/>
      <w:tcPr>
        <w:tcBorders>
          <w:top w:val="single" w:sz="8" w:space="0" w:color="FFC576" w:themeColor="accent5"/>
          <w:bottom w:val="single" w:sz="8" w:space="0" w:color="FFC576" w:themeColor="accent5"/>
        </w:tcBorders>
      </w:tcPr>
    </w:tblStylePr>
    <w:tblStylePr w:type="band1Vert">
      <w:tblPr/>
      <w:tcPr>
        <w:shd w:val="clear" w:color="auto" w:fill="FFF0DD" w:themeFill="accent5" w:themeFillTint="3F"/>
      </w:tcPr>
    </w:tblStylePr>
    <w:tblStylePr w:type="band1Horz">
      <w:tblPr/>
      <w:tcPr>
        <w:shd w:val="clear" w:color="auto" w:fill="FFF0DD"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0867F" w:themeColor="accent6"/>
        <w:bottom w:val="single" w:sz="8" w:space="0" w:color="00867F" w:themeColor="accent6"/>
      </w:tblBorders>
    </w:tblPr>
    <w:tblStylePr w:type="firstRow">
      <w:rPr>
        <w:rFonts w:asciiTheme="majorHAnsi" w:eastAsiaTheme="majorEastAsia" w:hAnsiTheme="majorHAnsi" w:cstheme="majorBidi"/>
      </w:rPr>
      <w:tblPr/>
      <w:tcPr>
        <w:tcBorders>
          <w:top w:val="nil"/>
          <w:bottom w:val="single" w:sz="8" w:space="0" w:color="00867F" w:themeColor="accent6"/>
        </w:tcBorders>
      </w:tcPr>
    </w:tblStylePr>
    <w:tblStylePr w:type="lastRow">
      <w:rPr>
        <w:b/>
        <w:bCs/>
        <w:color w:val="343741" w:themeColor="text2"/>
      </w:rPr>
      <w:tblPr/>
      <w:tcPr>
        <w:tcBorders>
          <w:top w:val="single" w:sz="8" w:space="0" w:color="00867F" w:themeColor="accent6"/>
          <w:bottom w:val="single" w:sz="8" w:space="0" w:color="00867F" w:themeColor="accent6"/>
        </w:tcBorders>
      </w:tcPr>
    </w:tblStylePr>
    <w:tblStylePr w:type="firstCol">
      <w:rPr>
        <w:b/>
        <w:bCs/>
      </w:rPr>
    </w:tblStylePr>
    <w:tblStylePr w:type="lastCol">
      <w:rPr>
        <w:b/>
        <w:bCs/>
      </w:rPr>
      <w:tblPr/>
      <w:tcPr>
        <w:tcBorders>
          <w:top w:val="single" w:sz="8" w:space="0" w:color="00867F" w:themeColor="accent6"/>
          <w:bottom w:val="single" w:sz="8" w:space="0" w:color="00867F" w:themeColor="accent6"/>
        </w:tcBorders>
      </w:tcPr>
    </w:tblStylePr>
    <w:tblStylePr w:type="band1Vert">
      <w:tblPr/>
      <w:tcPr>
        <w:shd w:val="clear" w:color="auto" w:fill="A2FFF9" w:themeFill="accent6" w:themeFillTint="3F"/>
      </w:tcPr>
    </w:tblStylePr>
    <w:tblStylePr w:type="band1Horz">
      <w:tblPr/>
      <w:tcPr>
        <w:shd w:val="clear" w:color="auto" w:fill="A2FFF9"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tblBorders>
    </w:tblPr>
    <w:tblStylePr w:type="firstRow">
      <w:rPr>
        <w:sz w:val="24"/>
        <w:szCs w:val="24"/>
      </w:rPr>
      <w:tblPr/>
      <w:tcPr>
        <w:tcBorders>
          <w:top w:val="nil"/>
          <w:left w:val="nil"/>
          <w:bottom w:val="single" w:sz="24" w:space="0" w:color="FF9E1B" w:themeColor="accent1"/>
          <w:right w:val="nil"/>
          <w:insideH w:val="nil"/>
          <w:insideV w:val="nil"/>
        </w:tcBorders>
        <w:shd w:val="clear" w:color="auto" w:fill="FFFFFF" w:themeFill="background1"/>
      </w:tcPr>
    </w:tblStylePr>
    <w:tblStylePr w:type="lastRow">
      <w:tblPr/>
      <w:tcPr>
        <w:tcBorders>
          <w:top w:val="single" w:sz="8" w:space="0" w:color="FF9E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E1B" w:themeColor="accent1"/>
          <w:insideH w:val="nil"/>
          <w:insideV w:val="nil"/>
        </w:tcBorders>
        <w:shd w:val="clear" w:color="auto" w:fill="FFFFFF" w:themeFill="background1"/>
      </w:tcPr>
    </w:tblStylePr>
    <w:tblStylePr w:type="lastCol">
      <w:tblPr/>
      <w:tcPr>
        <w:tcBorders>
          <w:top w:val="nil"/>
          <w:left w:val="single" w:sz="8" w:space="0" w:color="FF9E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C6" w:themeFill="accent1" w:themeFillTint="3F"/>
      </w:tcPr>
    </w:tblStylePr>
    <w:tblStylePr w:type="band1Horz">
      <w:tblPr/>
      <w:tcPr>
        <w:tcBorders>
          <w:top w:val="nil"/>
          <w:bottom w:val="nil"/>
          <w:insideH w:val="nil"/>
          <w:insideV w:val="nil"/>
        </w:tcBorders>
        <w:shd w:val="clear" w:color="auto" w:fill="FFE6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tblBorders>
    </w:tblPr>
    <w:tblStylePr w:type="firstRow">
      <w:rPr>
        <w:sz w:val="24"/>
        <w:szCs w:val="24"/>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tblPr/>
      <w:tcPr>
        <w:tcBorders>
          <w:top w:val="single" w:sz="8" w:space="0" w:color="00B2A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8" w:themeColor="accent2"/>
          <w:insideH w:val="nil"/>
          <w:insideV w:val="nil"/>
        </w:tcBorders>
        <w:shd w:val="clear" w:color="auto" w:fill="FFFFFF" w:themeFill="background1"/>
      </w:tcPr>
    </w:tblStylePr>
    <w:tblStylePr w:type="lastCol">
      <w:tblPr/>
      <w:tcPr>
        <w:tcBorders>
          <w:top w:val="nil"/>
          <w:left w:val="single" w:sz="8" w:space="0" w:color="00B2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2" w:themeFillTint="3F"/>
      </w:tcPr>
    </w:tblStylePr>
    <w:tblStylePr w:type="band1Horz">
      <w:tblPr/>
      <w:tcPr>
        <w:tcBorders>
          <w:top w:val="nil"/>
          <w:bottom w:val="nil"/>
          <w:insideH w:val="nil"/>
          <w:insideV w:val="nil"/>
        </w:tcBorders>
        <w:shd w:val="clear" w:color="auto" w:fill="ACF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tblBorders>
    </w:tblPr>
    <w:tblStylePr w:type="firstRow">
      <w:rPr>
        <w:sz w:val="24"/>
        <w:szCs w:val="24"/>
      </w:rPr>
      <w:tblPr/>
      <w:tcPr>
        <w:tcBorders>
          <w:top w:val="nil"/>
          <w:left w:val="nil"/>
          <w:bottom w:val="single" w:sz="24" w:space="0" w:color="333641" w:themeColor="accent4"/>
          <w:right w:val="nil"/>
          <w:insideH w:val="nil"/>
          <w:insideV w:val="nil"/>
        </w:tcBorders>
        <w:shd w:val="clear" w:color="auto" w:fill="FFFFFF" w:themeFill="background1"/>
      </w:tcPr>
    </w:tblStylePr>
    <w:tblStylePr w:type="lastRow">
      <w:tblPr/>
      <w:tcPr>
        <w:tcBorders>
          <w:top w:val="single" w:sz="8" w:space="0" w:color="3336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641" w:themeColor="accent4"/>
          <w:insideH w:val="nil"/>
          <w:insideV w:val="nil"/>
        </w:tcBorders>
        <w:shd w:val="clear" w:color="auto" w:fill="FFFFFF" w:themeFill="background1"/>
      </w:tcPr>
    </w:tblStylePr>
    <w:tblStylePr w:type="lastCol">
      <w:tblPr/>
      <w:tcPr>
        <w:tcBorders>
          <w:top w:val="nil"/>
          <w:left w:val="single" w:sz="8" w:space="0" w:color="3336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AD4" w:themeFill="accent4" w:themeFillTint="3F"/>
      </w:tcPr>
    </w:tblStylePr>
    <w:tblStylePr w:type="band1Horz">
      <w:tblPr/>
      <w:tcPr>
        <w:tcBorders>
          <w:top w:val="nil"/>
          <w:bottom w:val="nil"/>
          <w:insideH w:val="nil"/>
          <w:insideV w:val="nil"/>
        </w:tcBorders>
        <w:shd w:val="clear" w:color="auto" w:fill="C8CA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tblBorders>
    </w:tblPr>
    <w:tblStylePr w:type="firstRow">
      <w:rPr>
        <w:sz w:val="24"/>
        <w:szCs w:val="24"/>
      </w:rPr>
      <w:tblPr/>
      <w:tcPr>
        <w:tcBorders>
          <w:top w:val="nil"/>
          <w:left w:val="nil"/>
          <w:bottom w:val="single" w:sz="24" w:space="0" w:color="FFC576" w:themeColor="accent5"/>
          <w:right w:val="nil"/>
          <w:insideH w:val="nil"/>
          <w:insideV w:val="nil"/>
        </w:tcBorders>
        <w:shd w:val="clear" w:color="auto" w:fill="FFFFFF" w:themeFill="background1"/>
      </w:tcPr>
    </w:tblStylePr>
    <w:tblStylePr w:type="lastRow">
      <w:tblPr/>
      <w:tcPr>
        <w:tcBorders>
          <w:top w:val="single" w:sz="8" w:space="0" w:color="FFC57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576" w:themeColor="accent5"/>
          <w:insideH w:val="nil"/>
          <w:insideV w:val="nil"/>
        </w:tcBorders>
        <w:shd w:val="clear" w:color="auto" w:fill="FFFFFF" w:themeFill="background1"/>
      </w:tcPr>
    </w:tblStylePr>
    <w:tblStylePr w:type="lastCol">
      <w:tblPr/>
      <w:tcPr>
        <w:tcBorders>
          <w:top w:val="nil"/>
          <w:left w:val="single" w:sz="8" w:space="0" w:color="FFC5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DD" w:themeFill="accent5" w:themeFillTint="3F"/>
      </w:tcPr>
    </w:tblStylePr>
    <w:tblStylePr w:type="band1Horz">
      <w:tblPr/>
      <w:tcPr>
        <w:tcBorders>
          <w:top w:val="nil"/>
          <w:bottom w:val="nil"/>
          <w:insideH w:val="nil"/>
          <w:insideV w:val="nil"/>
        </w:tcBorders>
        <w:shd w:val="clear" w:color="auto" w:fill="FFF0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tblBorders>
    </w:tblPr>
    <w:tblStylePr w:type="firstRow">
      <w:rPr>
        <w:sz w:val="24"/>
        <w:szCs w:val="24"/>
      </w:rPr>
      <w:tblPr/>
      <w:tcPr>
        <w:tcBorders>
          <w:top w:val="nil"/>
          <w:left w:val="nil"/>
          <w:bottom w:val="single" w:sz="24" w:space="0" w:color="00867F" w:themeColor="accent6"/>
          <w:right w:val="nil"/>
          <w:insideH w:val="nil"/>
          <w:insideV w:val="nil"/>
        </w:tcBorders>
        <w:shd w:val="clear" w:color="auto" w:fill="FFFFFF" w:themeFill="background1"/>
      </w:tcPr>
    </w:tblStylePr>
    <w:tblStylePr w:type="lastRow">
      <w:tblPr/>
      <w:tcPr>
        <w:tcBorders>
          <w:top w:val="single" w:sz="8" w:space="0" w:color="00867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7F" w:themeColor="accent6"/>
          <w:insideH w:val="nil"/>
          <w:insideV w:val="nil"/>
        </w:tcBorders>
        <w:shd w:val="clear" w:color="auto" w:fill="FFFFFF" w:themeFill="background1"/>
      </w:tcPr>
    </w:tblStylePr>
    <w:tblStylePr w:type="lastCol">
      <w:tblPr/>
      <w:tcPr>
        <w:tcBorders>
          <w:top w:val="nil"/>
          <w:left w:val="single" w:sz="8" w:space="0" w:color="00867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F9" w:themeFill="accent6" w:themeFillTint="3F"/>
      </w:tcPr>
    </w:tblStylePr>
    <w:tblStylePr w:type="band1Horz">
      <w:tblPr/>
      <w:tcPr>
        <w:tcBorders>
          <w:top w:val="nil"/>
          <w:bottom w:val="nil"/>
          <w:insideH w:val="nil"/>
          <w:insideV w:val="nil"/>
        </w:tcBorders>
        <w:shd w:val="clear" w:color="auto" w:fill="A2FF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single" w:sz="8" w:space="0" w:color="FFB554" w:themeColor="accent1" w:themeTint="BF"/>
      </w:tblBorders>
    </w:tblPr>
    <w:tblStylePr w:type="firstRow">
      <w:pPr>
        <w:spacing w:before="0" w:after="0" w:line="240" w:lineRule="auto"/>
      </w:pPr>
      <w:rPr>
        <w:b/>
        <w:bCs/>
        <w:color w:val="FFFFFF" w:themeColor="background1"/>
      </w:rPr>
      <w:tblPr/>
      <w:tcPr>
        <w:tc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nil"/>
          <w:insideV w:val="nil"/>
        </w:tcBorders>
        <w:shd w:val="clear" w:color="auto" w:fill="FF9E1B" w:themeFill="accent1"/>
      </w:tcPr>
    </w:tblStylePr>
    <w:tblStylePr w:type="lastRow">
      <w:pPr>
        <w:spacing w:before="0" w:after="0" w:line="240" w:lineRule="auto"/>
      </w:pPr>
      <w:rPr>
        <w:b/>
        <w:bCs/>
      </w:rPr>
      <w:tblPr/>
      <w:tcPr>
        <w:tcBorders>
          <w:top w:val="double" w:sz="6"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C6" w:themeFill="accent1" w:themeFillTint="3F"/>
      </w:tcPr>
    </w:tblStylePr>
    <w:tblStylePr w:type="band1Horz">
      <w:tblPr/>
      <w:tcPr>
        <w:tcBorders>
          <w:insideH w:val="nil"/>
          <w:insideV w:val="nil"/>
        </w:tcBorders>
        <w:shd w:val="clear" w:color="auto" w:fill="FFE6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single" w:sz="8" w:space="0" w:color="06FFF0" w:themeColor="accent2" w:themeTint="BF"/>
      </w:tblBorders>
    </w:tblPr>
    <w:tblStylePr w:type="firstRow">
      <w:pPr>
        <w:spacing w:before="0" w:after="0" w:line="240" w:lineRule="auto"/>
      </w:pPr>
      <w:rPr>
        <w:b/>
        <w:bCs/>
        <w:color w:val="FFFFFF" w:themeColor="background1"/>
      </w:rPr>
      <w:tblPr/>
      <w:tcPr>
        <w:tc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nil"/>
          <w:insideV w:val="nil"/>
        </w:tcBorders>
        <w:shd w:val="clear" w:color="auto" w:fill="00B2A8" w:themeFill="accent2"/>
      </w:tcPr>
    </w:tblStylePr>
    <w:tblStylePr w:type="lastRow">
      <w:pPr>
        <w:spacing w:before="0" w:after="0" w:line="240" w:lineRule="auto"/>
      </w:pPr>
      <w:rPr>
        <w:b/>
        <w:bCs/>
      </w:rPr>
      <w:tblPr/>
      <w:tcPr>
        <w:tcBorders>
          <w:top w:val="double" w:sz="6"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2" w:themeFillTint="3F"/>
      </w:tcPr>
    </w:tblStylePr>
    <w:tblStylePr w:type="band1Horz">
      <w:tblPr/>
      <w:tcPr>
        <w:tcBorders>
          <w:insideH w:val="nil"/>
          <w:insideV w:val="nil"/>
        </w:tcBorders>
        <w:shd w:val="clear" w:color="auto" w:fill="ACF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single" w:sz="8" w:space="0" w:color="5E6378" w:themeColor="accent4" w:themeTint="BF"/>
      </w:tblBorders>
    </w:tblPr>
    <w:tblStylePr w:type="firstRow">
      <w:pPr>
        <w:spacing w:before="0" w:after="0" w:line="240" w:lineRule="auto"/>
      </w:pPr>
      <w:rPr>
        <w:b/>
        <w:bCs/>
        <w:color w:val="FFFFFF" w:themeColor="background1"/>
      </w:rPr>
      <w:tblPr/>
      <w:tcPr>
        <w:tc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nil"/>
          <w:insideV w:val="nil"/>
        </w:tcBorders>
        <w:shd w:val="clear" w:color="auto" w:fill="333641" w:themeFill="accent4"/>
      </w:tcPr>
    </w:tblStylePr>
    <w:tblStylePr w:type="lastRow">
      <w:pPr>
        <w:spacing w:before="0" w:after="0" w:line="240" w:lineRule="auto"/>
      </w:pPr>
      <w:rPr>
        <w:b/>
        <w:bCs/>
      </w:rPr>
      <w:tblPr/>
      <w:tcPr>
        <w:tcBorders>
          <w:top w:val="double" w:sz="6"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8CAD4" w:themeFill="accent4" w:themeFillTint="3F"/>
      </w:tcPr>
    </w:tblStylePr>
    <w:tblStylePr w:type="band1Horz">
      <w:tblPr/>
      <w:tcPr>
        <w:tcBorders>
          <w:insideH w:val="nil"/>
          <w:insideV w:val="nil"/>
        </w:tcBorders>
        <w:shd w:val="clear" w:color="auto" w:fill="C8CA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single" w:sz="8" w:space="0" w:color="FFD398" w:themeColor="accent5" w:themeTint="BF"/>
      </w:tblBorders>
    </w:tblPr>
    <w:tblStylePr w:type="firstRow">
      <w:pPr>
        <w:spacing w:before="0" w:after="0" w:line="240" w:lineRule="auto"/>
      </w:pPr>
      <w:rPr>
        <w:b/>
        <w:bCs/>
        <w:color w:val="FFFFFF" w:themeColor="background1"/>
      </w:rPr>
      <w:tblPr/>
      <w:tcPr>
        <w:tc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nil"/>
          <w:insideV w:val="nil"/>
        </w:tcBorders>
        <w:shd w:val="clear" w:color="auto" w:fill="FFC576" w:themeFill="accent5"/>
      </w:tcPr>
    </w:tblStylePr>
    <w:tblStylePr w:type="lastRow">
      <w:pPr>
        <w:spacing w:before="0" w:after="0" w:line="240" w:lineRule="auto"/>
      </w:pPr>
      <w:rPr>
        <w:b/>
        <w:bCs/>
      </w:rPr>
      <w:tblPr/>
      <w:tcPr>
        <w:tcBorders>
          <w:top w:val="double" w:sz="6"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DD" w:themeFill="accent5" w:themeFillTint="3F"/>
      </w:tcPr>
    </w:tblStylePr>
    <w:tblStylePr w:type="band1Horz">
      <w:tblPr/>
      <w:tcPr>
        <w:tcBorders>
          <w:insideH w:val="nil"/>
          <w:insideV w:val="nil"/>
        </w:tcBorders>
        <w:shd w:val="clear" w:color="auto" w:fill="FFF0D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single" w:sz="8" w:space="0" w:color="00E4D7" w:themeColor="accent6" w:themeTint="BF"/>
      </w:tblBorders>
    </w:tblPr>
    <w:tblStylePr w:type="firstRow">
      <w:pPr>
        <w:spacing w:before="0" w:after="0" w:line="240" w:lineRule="auto"/>
      </w:pPr>
      <w:rPr>
        <w:b/>
        <w:bCs/>
        <w:color w:val="FFFFFF" w:themeColor="background1"/>
      </w:rPr>
      <w:tblPr/>
      <w:tcPr>
        <w:tc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nil"/>
          <w:insideV w:val="nil"/>
        </w:tcBorders>
        <w:shd w:val="clear" w:color="auto" w:fill="00867F" w:themeFill="accent6"/>
      </w:tcPr>
    </w:tblStylePr>
    <w:tblStylePr w:type="lastRow">
      <w:pPr>
        <w:spacing w:before="0" w:after="0" w:line="240" w:lineRule="auto"/>
      </w:pPr>
      <w:rPr>
        <w:b/>
        <w:bCs/>
      </w:rPr>
      <w:tblPr/>
      <w:tcPr>
        <w:tcBorders>
          <w:top w:val="double" w:sz="6"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nil"/>
          <w:insideV w:val="nil"/>
        </w:tcBorders>
      </w:tcPr>
    </w:tblStylePr>
    <w:tblStylePr w:type="firstCol">
      <w:rPr>
        <w:b/>
        <w:bCs/>
      </w:rPr>
    </w:tblStylePr>
    <w:tblStylePr w:type="lastCol">
      <w:rPr>
        <w:b/>
        <w:bCs/>
      </w:rPr>
    </w:tblStylePr>
    <w:tblStylePr w:type="band1Vert">
      <w:tblPr/>
      <w:tcPr>
        <w:shd w:val="clear" w:color="auto" w:fill="A2FFF9" w:themeFill="accent6" w:themeFillTint="3F"/>
      </w:tcPr>
    </w:tblStylePr>
    <w:tblStylePr w:type="band1Horz">
      <w:tblPr/>
      <w:tcPr>
        <w:tcBorders>
          <w:insideH w:val="nil"/>
          <w:insideV w:val="nil"/>
        </w:tcBorders>
        <w:shd w:val="clear" w:color="auto" w:fill="A2FF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E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E1B" w:themeFill="accent1"/>
      </w:tcPr>
    </w:tblStylePr>
    <w:tblStylePr w:type="lastCol">
      <w:rPr>
        <w:b/>
        <w:bCs/>
        <w:color w:val="FFFFFF" w:themeColor="background1"/>
      </w:rPr>
      <w:tblPr/>
      <w:tcPr>
        <w:tcBorders>
          <w:left w:val="nil"/>
          <w:right w:val="nil"/>
          <w:insideH w:val="nil"/>
          <w:insideV w:val="nil"/>
        </w:tcBorders>
        <w:shd w:val="clear" w:color="auto" w:fill="FF9E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8" w:themeFill="accent2"/>
      </w:tcPr>
    </w:tblStylePr>
    <w:tblStylePr w:type="lastCol">
      <w:rPr>
        <w:b/>
        <w:bCs/>
        <w:color w:val="FFFFFF" w:themeColor="background1"/>
      </w:rPr>
      <w:tblPr/>
      <w:tcPr>
        <w:tcBorders>
          <w:left w:val="nil"/>
          <w:right w:val="nil"/>
          <w:insideH w:val="nil"/>
          <w:insideV w:val="nil"/>
        </w:tcBorders>
        <w:shd w:val="clear" w:color="auto" w:fill="00B2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6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641" w:themeFill="accent4"/>
      </w:tcPr>
    </w:tblStylePr>
    <w:tblStylePr w:type="lastCol">
      <w:rPr>
        <w:b/>
        <w:bCs/>
        <w:color w:val="FFFFFF" w:themeColor="background1"/>
      </w:rPr>
      <w:tblPr/>
      <w:tcPr>
        <w:tcBorders>
          <w:left w:val="nil"/>
          <w:right w:val="nil"/>
          <w:insideH w:val="nil"/>
          <w:insideV w:val="nil"/>
        </w:tcBorders>
        <w:shd w:val="clear" w:color="auto" w:fill="3336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5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576" w:themeFill="accent5"/>
      </w:tcPr>
    </w:tblStylePr>
    <w:tblStylePr w:type="lastCol">
      <w:rPr>
        <w:b/>
        <w:bCs/>
        <w:color w:val="FFFFFF" w:themeColor="background1"/>
      </w:rPr>
      <w:tblPr/>
      <w:tcPr>
        <w:tcBorders>
          <w:left w:val="nil"/>
          <w:right w:val="nil"/>
          <w:insideH w:val="nil"/>
          <w:insideV w:val="nil"/>
        </w:tcBorders>
        <w:shd w:val="clear" w:color="auto" w:fill="FFC5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7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7F" w:themeFill="accent6"/>
      </w:tcPr>
    </w:tblStylePr>
    <w:tblStylePr w:type="lastCol">
      <w:rPr>
        <w:b/>
        <w:bCs/>
        <w:color w:val="FFFFFF" w:themeColor="background1"/>
      </w:rPr>
      <w:tblPr/>
      <w:tcPr>
        <w:tcBorders>
          <w:left w:val="nil"/>
          <w:right w:val="nil"/>
          <w:insideH w:val="nil"/>
          <w:insideV w:val="nil"/>
        </w:tcBorders>
        <w:shd w:val="clear" w:color="auto" w:fill="00867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712437"/>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FF9E1B" w:themeFill="accent1"/>
      </w:tcPr>
    </w:tblStylePr>
    <w:tblStylePr w:type="firstCol">
      <w:tblPr/>
      <w:tcPr>
        <w:shd w:val="clear" w:color="auto" w:fill="FFFFFF" w:themeFill="background1"/>
      </w:tcPr>
    </w:tblStylePr>
    <w:tblStylePr w:type="band1Vert">
      <w:tblPr/>
      <w:tcPr>
        <w:shd w:val="clear" w:color="auto" w:fill="F5F7D4"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343741"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343741" w:themeColor="text2"/>
      <w:kern w:val="28"/>
      <w:sz w:val="25"/>
      <w:szCs w:val="42"/>
    </w:rPr>
  </w:style>
  <w:style w:type="paragraph" w:customStyle="1" w:styleId="xPartnerLogo">
    <w:name w:val="xPartnerLogo"/>
    <w:basedOn w:val="NoSpacing"/>
    <w:uiPriority w:val="99"/>
    <w:rsid w:val="00712437"/>
    <w:pPr>
      <w:framePr w:h="709" w:hRule="exact" w:wrap="around" w:vAnchor="page" w:hAnchor="page" w:x="568" w:y="15452" w:anchorLock="1"/>
      <w:spacing w:after="40" w:line="300" w:lineRule="atLeast"/>
      <w:contextualSpacing/>
    </w:pPr>
    <w:rPr>
      <w:b/>
      <w:color w:val="343741" w:themeColor="text2"/>
      <w:sz w:val="25"/>
    </w:r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343741"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343741"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F9E1B"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6842FE"/>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6842FE"/>
    <w:pPr>
      <w:pBdr>
        <w:top w:val="single" w:sz="4" w:space="14" w:color="FF9E1B" w:themeColor="accent1"/>
        <w:left w:val="single" w:sz="4" w:space="12" w:color="FF9E1B" w:themeColor="accent1"/>
        <w:bottom w:val="single" w:sz="4" w:space="14" w:color="FF9E1B" w:themeColor="accent1"/>
        <w:right w:val="single" w:sz="4" w:space="12" w:color="FF9E1B" w:themeColor="accent1"/>
      </w:pBdr>
      <w:shd w:val="clear" w:color="auto" w:fill="FF9E1B" w:themeFill="accent1"/>
      <w:tabs>
        <w:tab w:val="left" w:pos="2268"/>
        <w:tab w:val="left" w:pos="4536"/>
        <w:tab w:val="left" w:pos="6804"/>
        <w:tab w:val="right" w:pos="9638"/>
      </w:tabs>
      <w:spacing w:line="300" w:lineRule="exact"/>
      <w:ind w:left="283" w:right="283"/>
    </w:pPr>
    <w:rPr>
      <w:color w:val="343741"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6842FE"/>
    <w:pPr>
      <w:keepNext/>
    </w:pPr>
    <w:rPr>
      <w:b/>
      <w:color w:val="343741" w:themeColor="text2"/>
    </w:rPr>
  </w:style>
  <w:style w:type="paragraph" w:customStyle="1" w:styleId="TableHeadingCentre">
    <w:name w:val="Table Heading Centre"/>
    <w:basedOn w:val="TableTextCentre"/>
    <w:qFormat/>
    <w:rsid w:val="006842FE"/>
    <w:pPr>
      <w:keepNext/>
    </w:pPr>
    <w:rPr>
      <w:b/>
      <w:color w:val="343741" w:themeColor="text2"/>
    </w:rPr>
  </w:style>
  <w:style w:type="paragraph" w:customStyle="1" w:styleId="TableHeadingRight">
    <w:name w:val="Table Heading Right"/>
    <w:basedOn w:val="TableTextRight"/>
    <w:qFormat/>
    <w:rsid w:val="006842FE"/>
    <w:pPr>
      <w:keepNext/>
    </w:pPr>
    <w:rPr>
      <w:b/>
      <w:color w:val="343741"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bodycopy">
    <w:name w:val="# body copy"/>
    <w:basedOn w:val="Normal"/>
    <w:qFormat/>
    <w:rsid w:val="00953D9E"/>
    <w:pPr>
      <w:spacing w:before="0" w:line="240" w:lineRule="auto"/>
    </w:pPr>
    <w:rPr>
      <w:rFonts w:ascii="Arial" w:hAnsi="Arial" w:cs="Arial"/>
      <w:color w:val="53565A"/>
    </w:rPr>
  </w:style>
  <w:style w:type="paragraph" w:customStyle="1" w:styleId="heading1blue">
    <w:name w:val="# heading 1 blue"/>
    <w:basedOn w:val="Normal"/>
    <w:next w:val="bodycopy"/>
    <w:qFormat/>
    <w:rsid w:val="00953D9E"/>
    <w:pPr>
      <w:keepNext/>
      <w:spacing w:before="240" w:line="240" w:lineRule="auto"/>
    </w:pPr>
    <w:rPr>
      <w:rFonts w:ascii="Arial" w:hAnsi="Arial" w:cs="Arial"/>
      <w:color w:val="232222" w:themeColor="text1"/>
      <w:sz w:val="24"/>
    </w:rPr>
  </w:style>
  <w:style w:type="paragraph" w:customStyle="1" w:styleId="heading2black">
    <w:name w:val="# heading 2 black"/>
    <w:basedOn w:val="Normal"/>
    <w:next w:val="bodycopy"/>
    <w:qFormat/>
    <w:rsid w:val="00D25BC9"/>
    <w:pPr>
      <w:keepNext/>
      <w:spacing w:before="240" w:line="240" w:lineRule="auto"/>
    </w:pPr>
    <w:rPr>
      <w:rFonts w:ascii="Arial" w:hAnsi="Arial" w:cs="Arial"/>
      <w:b/>
    </w:rPr>
  </w:style>
  <w:style w:type="paragraph" w:customStyle="1" w:styleId="dotpoints">
    <w:name w:val="# dot points"/>
    <w:basedOn w:val="Normal"/>
    <w:link w:val="dotpointsChar"/>
    <w:qFormat/>
    <w:rsid w:val="00301F44"/>
    <w:pPr>
      <w:keepLines/>
      <w:numPr>
        <w:numId w:val="41"/>
      </w:numPr>
      <w:spacing w:before="180" w:after="180" w:line="300" w:lineRule="auto"/>
      <w:ind w:left="357" w:hanging="357"/>
      <w:contextualSpacing/>
    </w:pPr>
    <w:rPr>
      <w:rFonts w:ascii="Arial" w:hAnsi="Arial" w:cs="Arial"/>
      <w:color w:val="53565A"/>
    </w:rPr>
  </w:style>
  <w:style w:type="character" w:customStyle="1" w:styleId="dotpointsChar">
    <w:name w:val="# dot points Char"/>
    <w:basedOn w:val="DefaultParagraphFont"/>
    <w:link w:val="dotpoints"/>
    <w:rsid w:val="00301F44"/>
    <w:rPr>
      <w:rFonts w:ascii="Arial" w:hAnsi="Arial" w:cs="Arial"/>
      <w:color w:val="5356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sv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Users/fionadurante/Downloads/deeca.vic.gov.au" TargetMode="External"/><Relationship Id="rId20"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SE\GroupData\Office%20Templates\Resources%20Victoria%20Templates\Resources%20Victoria%20Branded%20Templates\Branded%20templates\Resources%20Victoria_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E0F47C7C447FA870B4D32ED7476D7"/>
        <w:category>
          <w:name w:val="General"/>
          <w:gallery w:val="placeholder"/>
        </w:category>
        <w:types>
          <w:type w:val="bbPlcHdr"/>
        </w:types>
        <w:behaviors>
          <w:behavior w:val="content"/>
        </w:behaviors>
        <w:guid w:val="{7F9C1335-46BD-47EE-88E8-2B4889C0C6BE}"/>
      </w:docPartPr>
      <w:docPartBody>
        <w:p w:rsidR="006B48A4" w:rsidRDefault="00000000">
          <w:pPr>
            <w:pStyle w:val="B8DE0F47C7C447FA870B4D32ED7476D7"/>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A1"/>
    <w:rsid w:val="00305D5B"/>
    <w:rsid w:val="003A22A1"/>
    <w:rsid w:val="006B48A4"/>
    <w:rsid w:val="00843232"/>
    <w:rsid w:val="00CD5989"/>
    <w:rsid w:val="00DD0B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11C152CAB9DF43858E521DF844F9811A">
    <w:name w:val="11C152CAB9DF43858E521DF844F9811A"/>
  </w:style>
  <w:style w:type="paragraph" w:customStyle="1" w:styleId="B8DE0F47C7C447FA870B4D32ED7476D7">
    <w:name w:val="B8DE0F47C7C447FA870B4D32ED747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RV Theme">
  <a:themeElements>
    <a:clrScheme name="Resources Victoria">
      <a:dk1>
        <a:srgbClr val="232222"/>
      </a:dk1>
      <a:lt1>
        <a:srgbClr val="FFFFFF"/>
      </a:lt1>
      <a:dk2>
        <a:srgbClr val="343741"/>
      </a:dk2>
      <a:lt2>
        <a:srgbClr val="F5F7D4"/>
      </a:lt2>
      <a:accent1>
        <a:srgbClr val="FF9E1B"/>
      </a:accent1>
      <a:accent2>
        <a:srgbClr val="00B2A8"/>
      </a:accent2>
      <a:accent3>
        <a:srgbClr val="CEDC00"/>
      </a:accent3>
      <a:accent4>
        <a:srgbClr val="333641"/>
      </a:accent4>
      <a:accent5>
        <a:srgbClr val="FFC576"/>
      </a:accent5>
      <a:accent6>
        <a:srgbClr val="00867F"/>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RV Theme" id="{76192CC8-431D-4A79-B590-98B1E08F5F6F}" vid="{083FB27F-90AB-4E76-B35A-CEB7F7CEB0E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23e25f-3515-47c2-8267-0aee33ac6f52" xsi:nil="true"/>
    <lcf76f155ced4ddcb4097134ff3c332f xmlns="ff26ce2b-4944-4569-8f5e-3d9e38049cd2">
      <Terms xmlns="http://schemas.microsoft.com/office/infopath/2007/PartnerControls"/>
    </lcf76f155ced4ddcb4097134ff3c332f>
    <Comment xmlns="aa5be67e-42de-49c1-8a25-9a14d99a34fa" xsi:nil="true"/>
    <SharedWithUsers xmlns="d95fa365-6051-4755-a57a-b1b515a65ccf">
      <UserInfo>
        <DisplayName>Joanne M Wood (DEECA)</DisplayName>
        <AccountId>76</AccountId>
        <AccountType/>
      </UserInfo>
    </SharedWithUsers>
  </documentManagement>
</p:propertie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7F783AE598045141A87FD1273195DF7D" ma:contentTypeVersion="21" ma:contentTypeDescription="Create a new document." ma:contentTypeScope="" ma:versionID="935728ab79e57ace62704506900eb996">
  <xsd:schema xmlns:xsd="http://www.w3.org/2001/XMLSchema" xmlns:xs="http://www.w3.org/2001/XMLSchema" xmlns:p="http://schemas.microsoft.com/office/2006/metadata/properties" xmlns:ns2="d95fa365-6051-4755-a57a-b1b515a65ccf" xmlns:ns3="aa5be67e-42de-49c1-8a25-9a14d99a34fa" xmlns:ns4="ff26ce2b-4944-4569-8f5e-3d9e38049cd2" xmlns:ns5="7f23e25f-3515-47c2-8267-0aee33ac6f52" xmlns:ns6="a5f32de4-e402-4188-b034-e71ca7d22e54" targetNamespace="http://schemas.microsoft.com/office/2006/metadata/properties" ma:root="true" ma:fieldsID="8ddb3090ff793af5e65edb5c49edeef3" ns2:_="" ns3:_="" ns4:_="" ns5:_="" ns6:_="">
    <xsd:import namespace="d95fa365-6051-4755-a57a-b1b515a65ccf"/>
    <xsd:import namespace="aa5be67e-42de-49c1-8a25-9a14d99a34fa"/>
    <xsd:import namespace="ff26ce2b-4944-4569-8f5e-3d9e38049cd2"/>
    <xsd:import namespace="7f23e25f-3515-47c2-8267-0aee33ac6f52"/>
    <xsd:import namespace="a5f32de4-e402-4188-b034-e71ca7d22e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Comment" minOccurs="0"/>
                <xsd:element ref="ns4:lcf76f155ced4ddcb4097134ff3c332f" minOccurs="0"/>
                <xsd:element ref="ns5:TaxCatchAll" minOccurs="0"/>
                <xsd:element ref="ns3:MediaLengthInSeconds" minOccurs="0"/>
                <xsd:element ref="ns3:MediaServiceObjectDetectorVersions" minOccurs="0"/>
                <xsd:element ref="ns3: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fa365-6051-4755-a57a-b1b515a65ccf"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5be67e-42de-49c1-8a25-9a14d99a34fa"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omment" ma:index="17" nillable="true" ma:displayName="Comment" ma:format="Dropdown" ma:internalName="Comment">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6ce2b-4944-4569-8f5e-3d9e38049cd2"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23e25f-3515-47c2-8267-0aee33ac6f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b500f50-979e-438b-b060-39c81d559261}" ma:internalName="TaxCatchAll" ma:showField="CatchAllData" ma:web="7f23e25f-3515-47c2-8267-0aee33ac6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7f23e25f-3515-47c2-8267-0aee33ac6f52"/>
    <ds:schemaRef ds:uri="ff26ce2b-4944-4569-8f5e-3d9e38049cd2"/>
    <ds:schemaRef ds:uri="aa5be67e-42de-49c1-8a25-9a14d99a34fa"/>
    <ds:schemaRef ds:uri="d95fa365-6051-4755-a57a-b1b515a65ccf"/>
  </ds:schemaRefs>
</ds:datastoreItem>
</file>

<file path=customXml/itemProps4.xml><?xml version="1.0" encoding="utf-8"?>
<ds:datastoreItem xmlns:ds="http://schemas.openxmlformats.org/officeDocument/2006/customXml" ds:itemID="{80174846-86E1-49C9-931C-867F6AF767FF}">
  <ds:schemaRefs>
    <ds:schemaRef ds:uri="Microsoft.SharePoint.Taxonomy.ContentTypeSync"/>
  </ds:schemaRefs>
</ds:datastoreItem>
</file>

<file path=customXml/itemProps5.xml><?xml version="1.0" encoding="utf-8"?>
<ds:datastoreItem xmlns:ds="http://schemas.openxmlformats.org/officeDocument/2006/customXml" ds:itemID="{786FC96E-80B6-4020-95B6-2B6FEAFECE19}">
  <ds:schemaRefs>
    <ds:schemaRef ds:uri="http://schemas.microsoft.com/sharepoint/events"/>
  </ds:schemaRefs>
</ds:datastoreItem>
</file>

<file path=customXml/itemProps6.xml><?xml version="1.0" encoding="utf-8"?>
<ds:datastoreItem xmlns:ds="http://schemas.openxmlformats.org/officeDocument/2006/customXml" ds:itemID="{E30AF557-65BB-4BC4-BDCF-3B7919E90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fa365-6051-4755-a57a-b1b515a65ccf"/>
    <ds:schemaRef ds:uri="aa5be67e-42de-49c1-8a25-9a14d99a34fa"/>
    <ds:schemaRef ds:uri="ff26ce2b-4944-4569-8f5e-3d9e38049cd2"/>
    <ds:schemaRef ds:uri="7f23e25f-3515-47c2-8267-0aee33ac6f52"/>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Resources Victoria_Factsheet.dotx</Template>
  <TotalTime>28</TotalTime>
  <Pages>1</Pages>
  <Words>25</Words>
  <Characters>132</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Royalty Information Sheet - Minerals</dc:subject>
  <dc:creator>Maree W Cloney (DEDJTR)</dc:creator>
  <cp:keywords/>
  <dc:description/>
  <cp:lastModifiedBy>Joanne M Wood (DEECA)</cp:lastModifiedBy>
  <cp:revision>14</cp:revision>
  <cp:lastPrinted>2022-06-17T02:14:00Z</cp:lastPrinted>
  <dcterms:created xsi:type="dcterms:W3CDTF">2026-03-17T01:16:00Z</dcterms:created>
  <dcterms:modified xsi:type="dcterms:W3CDTF">2026-03-17T01:39:00Z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0x0101007F783AE598045141A87FD1273195DF7D</vt:lpwstr>
  </property>
  <property fmtid="{D5CDD505-2E9C-101B-9397-08002B2CF9AE}" pid="5" name="MediaServiceImageTags">
    <vt:lpwstr/>
  </property>
  <property fmtid="{D5CDD505-2E9C-101B-9397-08002B2CF9AE}" pid="6" name="ClassificationContentMarkingFooterShapeIds">
    <vt:lpwstr>1b,1f,28,2a,2b,2d</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2024-03-08T03:02:24Z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08d02ccb-7ba7-46a5-af37-9dbd30aef4cc</vt:lpwstr>
  </property>
  <property fmtid="{D5CDD505-2E9C-101B-9397-08002B2CF9AE}" pid="15" name="MSIP_Label_4257e2ab-f512-40e2-9c9a-c64247360765_ContentBits">
    <vt:lpwstr>2</vt:lpwstr>
  </property>
</Properties>
</file>