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467B8" w14:textId="0AD44A46" w:rsidR="00A06DFE" w:rsidRDefault="003200BC" w:rsidP="00A06DFE">
      <w:pPr>
        <w:jc w:val="right"/>
        <w:rPr>
          <w:color w:val="auto"/>
          <w:lang w:val="en-AU"/>
        </w:rPr>
      </w:pPr>
      <w:bookmarkStart w:id="0" w:name="_GoBack"/>
      <w:bookmarkEnd w:id="0"/>
      <w:r w:rsidRPr="00A11CC5">
        <w:rPr>
          <w:noProof/>
          <w:color w:val="auto"/>
          <w:u w:color="FFFFFF" w:themeColor="background1"/>
          <w:lang w:val="en-AU" w:eastAsia="en-AU"/>
        </w:rPr>
        <w:drawing>
          <wp:anchor distT="0" distB="0" distL="114300" distR="114300" simplePos="0" relativeHeight="251658240" behindDoc="1" locked="0" layoutInCell="1" allowOverlap="1" wp14:anchorId="1F319DE8" wp14:editId="7CF85FC1">
            <wp:simplePos x="0" y="0"/>
            <wp:positionH relativeFrom="page">
              <wp:align>left</wp:align>
            </wp:positionH>
            <wp:positionV relativeFrom="paragraph">
              <wp:posOffset>0</wp:posOffset>
            </wp:positionV>
            <wp:extent cx="7555230" cy="6551295"/>
            <wp:effectExtent l="0" t="0" r="7620" b="1905"/>
            <wp:wrapTight wrapText="bothSides">
              <wp:wrapPolygon edited="0">
                <wp:start x="0" y="0"/>
                <wp:lineTo x="0" y="21543"/>
                <wp:lineTo x="21567" y="21543"/>
                <wp:lineTo x="215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60087" cy="65560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2C9510" w14:textId="3B29937F" w:rsidR="007178D5" w:rsidRDefault="007178D5" w:rsidP="00A06DFE">
      <w:pPr>
        <w:jc w:val="right"/>
        <w:rPr>
          <w:color w:val="auto"/>
          <w:lang w:val="en-AU"/>
        </w:rPr>
      </w:pPr>
    </w:p>
    <w:p w14:paraId="29DBC7E8" w14:textId="450C3233" w:rsidR="007178D5" w:rsidRDefault="007178D5" w:rsidP="00A06DFE">
      <w:pPr>
        <w:jc w:val="right"/>
        <w:rPr>
          <w:color w:val="auto"/>
          <w:lang w:val="en-AU"/>
        </w:rPr>
      </w:pPr>
      <w:r>
        <w:rPr>
          <w:noProof/>
          <w:color w:val="auto"/>
          <w:lang w:val="en-AU"/>
        </w:rPr>
        <w:drawing>
          <wp:anchor distT="0" distB="0" distL="114300" distR="114300" simplePos="0" relativeHeight="251659264" behindDoc="1" locked="0" layoutInCell="1" allowOverlap="1" wp14:anchorId="3EF7DA83" wp14:editId="3B25BE57">
            <wp:simplePos x="0" y="0"/>
            <wp:positionH relativeFrom="column">
              <wp:posOffset>5353050</wp:posOffset>
            </wp:positionH>
            <wp:positionV relativeFrom="paragraph">
              <wp:posOffset>15875</wp:posOffset>
            </wp:positionV>
            <wp:extent cx="1485862" cy="447675"/>
            <wp:effectExtent l="0" t="0" r="635" b="0"/>
            <wp:wrapTight wrapText="bothSides">
              <wp:wrapPolygon edited="0">
                <wp:start x="0" y="0"/>
                <wp:lineTo x="0" y="20221"/>
                <wp:lineTo x="21332" y="20221"/>
                <wp:lineTo x="2133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rand Victoria State Gov DJPR pms 2945 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5862" cy="447675"/>
                    </a:xfrm>
                    <a:prstGeom prst="rect">
                      <a:avLst/>
                    </a:prstGeom>
                  </pic:spPr>
                </pic:pic>
              </a:graphicData>
            </a:graphic>
            <wp14:sizeRelH relativeFrom="page">
              <wp14:pctWidth>0</wp14:pctWidth>
            </wp14:sizeRelH>
            <wp14:sizeRelV relativeFrom="page">
              <wp14:pctHeight>0</wp14:pctHeight>
            </wp14:sizeRelV>
          </wp:anchor>
        </w:drawing>
      </w:r>
    </w:p>
    <w:p w14:paraId="0B6DF7A3" w14:textId="27A286FD" w:rsidR="000A2DB2" w:rsidRDefault="000A2DB2">
      <w:pPr>
        <w:widowControl/>
        <w:suppressAutoHyphens w:val="0"/>
        <w:autoSpaceDE/>
        <w:autoSpaceDN/>
        <w:adjustRightInd/>
        <w:spacing w:before="200" w:after="200" w:line="276" w:lineRule="auto"/>
        <w:textAlignment w:val="auto"/>
        <w:rPr>
          <w:color w:val="auto"/>
          <w:lang w:val="en-AU"/>
        </w:rPr>
      </w:pPr>
      <w:r>
        <w:rPr>
          <w:color w:val="auto"/>
          <w:lang w:val="en-AU"/>
        </w:rPr>
        <w:br w:type="page"/>
      </w:r>
    </w:p>
    <w:p w14:paraId="6C244653" w14:textId="77777777" w:rsidR="000A2DB2" w:rsidRDefault="000A2DB2" w:rsidP="006E186E">
      <w:pPr>
        <w:rPr>
          <w:color w:val="auto"/>
          <w:lang w:val="en-AU"/>
        </w:rPr>
      </w:pPr>
    </w:p>
    <w:p w14:paraId="27CD4162" w14:textId="0CC20CB3" w:rsidR="006E186E" w:rsidRPr="00A11CC5" w:rsidRDefault="006E186E" w:rsidP="006E186E">
      <w:pPr>
        <w:rPr>
          <w:color w:val="auto"/>
          <w:lang w:val="en-AU"/>
        </w:rPr>
      </w:pPr>
      <w:r w:rsidRPr="00A11CC5">
        <w:rPr>
          <w:color w:val="auto"/>
          <w:lang w:val="en-AU"/>
        </w:rPr>
        <w:t>Acknowledgement of Victoria’s Traditional Owners</w:t>
      </w:r>
    </w:p>
    <w:p w14:paraId="08520E18" w14:textId="4900FF23" w:rsidR="006E186E" w:rsidRPr="00A11CC5" w:rsidRDefault="006E186E" w:rsidP="006E186E">
      <w:pPr>
        <w:rPr>
          <w:color w:val="auto"/>
          <w:lang w:val="en-AU"/>
        </w:rPr>
      </w:pPr>
      <w:r w:rsidRPr="00A11CC5">
        <w:rPr>
          <w:color w:val="auto"/>
          <w:lang w:val="en-AU"/>
        </w:rPr>
        <w:t>The Victorian Government proudly acknowledges Victorian Traditional Owners as Victoria’s first peoples and pays its respects to their Elders past and present.</w:t>
      </w:r>
    </w:p>
    <w:p w14:paraId="4EF358C1" w14:textId="49A9B97F" w:rsidR="006E186E" w:rsidRPr="00A11CC5" w:rsidRDefault="006E186E" w:rsidP="006E186E">
      <w:pPr>
        <w:rPr>
          <w:color w:val="auto"/>
          <w:lang w:val="en-AU"/>
        </w:rPr>
      </w:pPr>
      <w:r w:rsidRPr="00A11CC5">
        <w:rPr>
          <w:color w:val="auto"/>
          <w:lang w:val="en-AU"/>
        </w:rPr>
        <w:t>We recognise the intrinsic connection of the first peoples to their Country for countless generations and their inherent obligation to maintain and strengthen their distinct cultural rights and responsibilities to care for their Country.</w:t>
      </w:r>
    </w:p>
    <w:p w14:paraId="68A0BA21" w14:textId="438874B6" w:rsidR="006E186E" w:rsidRPr="00A11CC5" w:rsidRDefault="006E186E" w:rsidP="006E186E">
      <w:pPr>
        <w:rPr>
          <w:color w:val="auto"/>
          <w:lang w:val="en-AU"/>
        </w:rPr>
      </w:pPr>
      <w:r w:rsidRPr="00A11CC5">
        <w:rPr>
          <w:color w:val="auto"/>
          <w:lang w:val="en-AU"/>
        </w:rPr>
        <w:t>We value Traditional Owners’ role in the management of land, water and biodiversity and acknowledge the ongoing contribution this makes to our earth resources.</w:t>
      </w:r>
    </w:p>
    <w:p w14:paraId="791171E8" w14:textId="77777777" w:rsidR="006E186E" w:rsidRPr="00A11CC5" w:rsidRDefault="006E186E" w:rsidP="006E186E">
      <w:pPr>
        <w:rPr>
          <w:color w:val="auto"/>
          <w:lang w:val="en-AU"/>
        </w:rPr>
      </w:pPr>
      <w:r w:rsidRPr="00A11CC5">
        <w:rPr>
          <w:color w:val="auto"/>
          <w:lang w:val="en-AU"/>
        </w:rPr>
        <w:t>We have distinct legislative obligations to Traditional Owner groups that are paramount in our responsibilities in managing Victoria’s resources.</w:t>
      </w:r>
    </w:p>
    <w:p w14:paraId="2D4BBD08" w14:textId="77777777" w:rsidR="006E186E" w:rsidRPr="00A11CC5" w:rsidRDefault="006E186E" w:rsidP="006E186E">
      <w:pPr>
        <w:rPr>
          <w:color w:val="auto"/>
          <w:lang w:val="en-AU"/>
        </w:rPr>
      </w:pPr>
      <w:r w:rsidRPr="00A11CC5">
        <w:rPr>
          <w:color w:val="auto"/>
          <w:lang w:val="en-AU"/>
        </w:rPr>
        <w:t>We support the need for genuine and lasting partnerships with Aboriginal people and communities to understand culture and connections to Country in the way we plan for and regulate our earth resources.</w:t>
      </w:r>
    </w:p>
    <w:p w14:paraId="4D9F972D" w14:textId="77777777" w:rsidR="006E186E" w:rsidRPr="00A11CC5" w:rsidRDefault="006E186E" w:rsidP="006E186E">
      <w:pPr>
        <w:tabs>
          <w:tab w:val="left" w:pos="2235"/>
        </w:tabs>
        <w:spacing w:before="120"/>
        <w:rPr>
          <w:color w:val="auto"/>
          <w:lang w:val="en-AU"/>
        </w:rPr>
      </w:pPr>
      <w:r w:rsidRPr="00A11CC5">
        <w:rPr>
          <w:color w:val="auto"/>
          <w:lang w:val="en-AU"/>
        </w:rPr>
        <w:t>Disclaimer</w:t>
      </w:r>
      <w:r w:rsidRPr="00A11CC5">
        <w:rPr>
          <w:color w:val="auto"/>
          <w:lang w:val="en-AU"/>
        </w:rPr>
        <w:tab/>
      </w:r>
    </w:p>
    <w:p w14:paraId="7E7766D2" w14:textId="77777777" w:rsidR="006E186E" w:rsidRPr="00A11CC5" w:rsidRDefault="006E186E" w:rsidP="006E186E">
      <w:pPr>
        <w:spacing w:before="120"/>
        <w:rPr>
          <w:color w:val="auto"/>
          <w:lang w:val="en-AU"/>
        </w:rPr>
      </w:pPr>
      <w:r w:rsidRPr="00A11CC5">
        <w:rPr>
          <w:color w:val="auto"/>
          <w:lang w:val="en-AU"/>
        </w:rPr>
        <w:t>The information contained in this report is provided for general guidance and assistance only and is not intended as advice.</w:t>
      </w:r>
      <w:r w:rsidR="00FC3FAD" w:rsidRPr="00A11CC5">
        <w:rPr>
          <w:color w:val="auto"/>
          <w:lang w:val="en-AU"/>
        </w:rPr>
        <w:t xml:space="preserve"> </w:t>
      </w:r>
      <w:r w:rsidRPr="00A11CC5">
        <w:rPr>
          <w:color w:val="auto"/>
          <w:lang w:val="en-AU"/>
        </w:rPr>
        <w:t>You should make your own enquiries as to the appropriateness and suitability of the information provided. 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 the information (or the use of the information) which is provided or referred to in the report.</w:t>
      </w:r>
    </w:p>
    <w:p w14:paraId="45B07F73" w14:textId="77777777" w:rsidR="00D410B5" w:rsidRPr="00A11CC5" w:rsidRDefault="00D410B5" w:rsidP="006E186E">
      <w:pPr>
        <w:spacing w:before="120"/>
        <w:rPr>
          <w:color w:val="auto"/>
          <w:lang w:val="en-AU"/>
        </w:rPr>
      </w:pPr>
    </w:p>
    <w:p w14:paraId="1F162DAE" w14:textId="164A2B60" w:rsidR="006E186E" w:rsidRPr="00A11CC5" w:rsidRDefault="006E186E" w:rsidP="006E186E">
      <w:pPr>
        <w:spacing w:before="120"/>
        <w:rPr>
          <w:color w:val="auto"/>
          <w:lang w:val="en-AU"/>
        </w:rPr>
      </w:pPr>
      <w:r w:rsidRPr="00A11CC5">
        <w:rPr>
          <w:color w:val="auto"/>
          <w:lang w:val="en-AU"/>
        </w:rPr>
        <w:t>Authorised by the Victorian Government</w:t>
      </w:r>
      <w:r w:rsidRPr="00A11CC5">
        <w:rPr>
          <w:color w:val="auto"/>
          <w:lang w:val="en-AU"/>
        </w:rPr>
        <w:br/>
        <w:t>Depar</w:t>
      </w:r>
      <w:r w:rsidR="00F33581" w:rsidRPr="00A11CC5">
        <w:rPr>
          <w:color w:val="auto"/>
          <w:lang w:val="en-AU"/>
        </w:rPr>
        <w:t xml:space="preserve">tment of </w:t>
      </w:r>
      <w:r w:rsidRPr="00A11CC5">
        <w:rPr>
          <w:color w:val="auto"/>
          <w:lang w:val="en-AU"/>
        </w:rPr>
        <w:t xml:space="preserve">Jobs, </w:t>
      </w:r>
      <w:r w:rsidR="008E53D3">
        <w:rPr>
          <w:color w:val="auto"/>
          <w:lang w:val="en-AU"/>
        </w:rPr>
        <w:t>Precin</w:t>
      </w:r>
      <w:r w:rsidR="00F35885">
        <w:rPr>
          <w:color w:val="auto"/>
          <w:lang w:val="en-AU"/>
        </w:rPr>
        <w:t>c</w:t>
      </w:r>
      <w:r w:rsidR="008E53D3">
        <w:rPr>
          <w:color w:val="auto"/>
          <w:lang w:val="en-AU"/>
        </w:rPr>
        <w:t>ts</w:t>
      </w:r>
      <w:r w:rsidR="007D6058">
        <w:rPr>
          <w:color w:val="auto"/>
          <w:lang w:val="en-AU"/>
        </w:rPr>
        <w:t xml:space="preserve"> and Regions</w:t>
      </w:r>
      <w:r w:rsidRPr="00A11CC5">
        <w:rPr>
          <w:color w:val="auto"/>
          <w:lang w:val="en-AU"/>
        </w:rPr>
        <w:br/>
        <w:t>1 Spring Street Melbourne Victoria 3000</w:t>
      </w:r>
      <w:r w:rsidRPr="00A11CC5">
        <w:rPr>
          <w:color w:val="auto"/>
          <w:lang w:val="en-AU"/>
        </w:rPr>
        <w:br/>
        <w:t>Telephone (03) 9651 9999</w:t>
      </w:r>
    </w:p>
    <w:p w14:paraId="3AF5BE4F" w14:textId="77777777" w:rsidR="00D227EC" w:rsidRPr="00A11CC5" w:rsidRDefault="00D227EC" w:rsidP="00D227EC">
      <w:pPr>
        <w:pStyle w:val="bodycopy"/>
        <w:rPr>
          <w:color w:val="auto"/>
          <w:u w:color="FFFFFF" w:themeColor="background1"/>
          <w:lang w:val="en-AU"/>
        </w:rPr>
      </w:pPr>
      <w:r w:rsidRPr="00A11CC5">
        <w:rPr>
          <w:color w:val="auto"/>
          <w:u w:color="FFFFFF" w:themeColor="background1"/>
          <w:lang w:val="en-AU"/>
        </w:rPr>
        <w:t xml:space="preserve">© Copyright State of Victoria, Department of </w:t>
      </w:r>
      <w:r>
        <w:rPr>
          <w:color w:val="auto"/>
          <w:u w:color="FFFFFF" w:themeColor="background1"/>
          <w:lang w:val="en-AU"/>
        </w:rPr>
        <w:t xml:space="preserve">Jobs, Precincts and Regions </w:t>
      </w:r>
      <w:r w:rsidRPr="00A11CC5">
        <w:rPr>
          <w:color w:val="auto"/>
          <w:u w:color="FFFFFF" w:themeColor="background1"/>
          <w:lang w:val="en-AU"/>
        </w:rPr>
        <w:t>2018</w:t>
      </w:r>
    </w:p>
    <w:p w14:paraId="7E8C0914" w14:textId="77777777" w:rsidR="006E186E" w:rsidRPr="00A11CC5" w:rsidRDefault="006E186E" w:rsidP="006E186E">
      <w:pPr>
        <w:spacing w:before="120"/>
        <w:rPr>
          <w:color w:val="auto"/>
          <w:lang w:val="en-AU"/>
        </w:rPr>
      </w:pPr>
      <w:r w:rsidRPr="00A11CC5">
        <w:rPr>
          <w:color w:val="auto"/>
          <w:lang w:val="en-AU"/>
        </w:rPr>
        <w:t xml:space="preserve">Except for any logos, emblems, trademarks, artwork and photography this document is made available under the terms of the Creative Commons Attribution 3.0 Australia </w:t>
      </w:r>
      <w:r w:rsidR="00A23DBD" w:rsidRPr="00A11CC5">
        <w:rPr>
          <w:color w:val="auto"/>
          <w:lang w:val="en-AU"/>
        </w:rPr>
        <w:t>lic</w:t>
      </w:r>
      <w:r w:rsidR="008A267C" w:rsidRPr="00A11CC5">
        <w:rPr>
          <w:color w:val="auto"/>
          <w:lang w:val="en-AU"/>
        </w:rPr>
        <w:t>enc</w:t>
      </w:r>
      <w:r w:rsidR="00A23DBD" w:rsidRPr="00A11CC5">
        <w:rPr>
          <w:color w:val="auto"/>
          <w:lang w:val="en-AU"/>
        </w:rPr>
        <w:t>e</w:t>
      </w:r>
      <w:r w:rsidRPr="00A11CC5">
        <w:rPr>
          <w:color w:val="auto"/>
          <w:lang w:val="en-AU"/>
        </w:rPr>
        <w:t>.</w:t>
      </w:r>
    </w:p>
    <w:p w14:paraId="5D4545D1" w14:textId="22D0735E" w:rsidR="006E186E" w:rsidRPr="0069604C" w:rsidRDefault="006E186E" w:rsidP="006E186E">
      <w:pPr>
        <w:spacing w:before="120"/>
        <w:rPr>
          <w:color w:val="0000FF"/>
          <w:lang w:val="en-AU"/>
        </w:rPr>
      </w:pPr>
      <w:r w:rsidRPr="00A11CC5">
        <w:rPr>
          <w:color w:val="auto"/>
          <w:lang w:val="en-AU"/>
        </w:rPr>
        <w:t xml:space="preserve">For more information see the Earth Resources Regulation website </w:t>
      </w:r>
      <w:hyperlink r:id="rId13" w:tooltip="Earth Resources Regulation website" w:history="1">
        <w:r w:rsidRPr="0069604C">
          <w:rPr>
            <w:rStyle w:val="Hyperlink"/>
            <w:color w:val="0000FF"/>
            <w:lang w:val="en-AU"/>
          </w:rPr>
          <w:t>www.earthresources.vic.gov.au/earth-resources-regulation</w:t>
        </w:r>
      </w:hyperlink>
    </w:p>
    <w:p w14:paraId="40EFA7BC" w14:textId="77777777" w:rsidR="000953F4" w:rsidRDefault="006E186E" w:rsidP="000953F4">
      <w:pPr>
        <w:rPr>
          <w:rFonts w:ascii="Calibri" w:hAnsi="Calibri" w:cs="Calibri"/>
          <w:color w:val="auto"/>
          <w:sz w:val="22"/>
          <w:szCs w:val="22"/>
          <w:lang w:val="en-AU"/>
        </w:rPr>
      </w:pPr>
      <w:r w:rsidRPr="000953F4">
        <w:rPr>
          <w:color w:val="auto"/>
          <w:lang w:val="en-AU"/>
        </w:rPr>
        <w:t xml:space="preserve">This document is also available in PDF and accessible Word format at </w:t>
      </w:r>
      <w:r w:rsidRPr="000953F4">
        <w:rPr>
          <w:color w:val="auto"/>
          <w:lang w:val="en-AU"/>
        </w:rPr>
        <w:br/>
      </w:r>
      <w:hyperlink r:id="rId14" w:history="1">
        <w:r w:rsidR="000953F4">
          <w:rPr>
            <w:rStyle w:val="Hyperlink"/>
          </w:rPr>
          <w:t>http://earthresources.vic.gov.au/earth-resources-regulation/about-us/regulator-and-industry-reporting/earth-resources-regulation-annual-statistical-report/</w:t>
        </w:r>
      </w:hyperlink>
    </w:p>
    <w:p w14:paraId="7181B0B0" w14:textId="35964A19" w:rsidR="00970D78" w:rsidRPr="00A11CC5" w:rsidRDefault="00970D78" w:rsidP="000953F4">
      <w:pPr>
        <w:spacing w:before="120"/>
        <w:rPr>
          <w:color w:val="auto"/>
          <w:lang w:val="en-AU"/>
        </w:rPr>
      </w:pPr>
    </w:p>
    <w:p w14:paraId="7E915F7B" w14:textId="0409A220" w:rsidR="006E186E" w:rsidRPr="00A11CC5" w:rsidRDefault="006E186E">
      <w:pPr>
        <w:widowControl/>
        <w:suppressAutoHyphens w:val="0"/>
        <w:autoSpaceDE/>
        <w:autoSpaceDN/>
        <w:adjustRightInd/>
        <w:spacing w:before="200" w:after="200" w:line="276" w:lineRule="auto"/>
        <w:textAlignment w:val="auto"/>
        <w:rPr>
          <w:rFonts w:eastAsiaTheme="majorEastAsia" w:cs="Arial"/>
          <w:b/>
          <w:bCs/>
          <w:color w:val="auto"/>
          <w:sz w:val="20"/>
          <w:szCs w:val="20"/>
          <w:u w:color="FFFFFF" w:themeColor="background1"/>
          <w:lang w:val="en-AU"/>
        </w:rPr>
      </w:pPr>
      <w:r w:rsidRPr="00A11CC5">
        <w:rPr>
          <w:rFonts w:cs="Arial"/>
          <w:b/>
          <w:bCs/>
          <w:caps/>
          <w:color w:val="auto"/>
          <w:sz w:val="20"/>
          <w:szCs w:val="20"/>
          <w:u w:color="FFFFFF" w:themeColor="background1"/>
          <w:lang w:val="en-AU"/>
        </w:rPr>
        <w:br w:type="page"/>
      </w:r>
    </w:p>
    <w:sdt>
      <w:sdtPr>
        <w:rPr>
          <w:rFonts w:eastAsiaTheme="minorHAnsi" w:cs="ArialMT"/>
          <w:caps w:val="0"/>
          <w:color w:val="auto"/>
          <w:sz w:val="24"/>
          <w:szCs w:val="24"/>
        </w:rPr>
        <w:id w:val="1861238435"/>
        <w:docPartObj>
          <w:docPartGallery w:val="Table of Contents"/>
          <w:docPartUnique/>
        </w:docPartObj>
      </w:sdtPr>
      <w:sdtEndPr>
        <w:rPr>
          <w:b/>
          <w:bCs/>
          <w:noProof/>
        </w:rPr>
      </w:sdtEndPr>
      <w:sdtContent>
        <w:p w14:paraId="2A08F183" w14:textId="77777777" w:rsidR="00DF7AC1" w:rsidRPr="00CF1A62" w:rsidRDefault="00DF7AC1" w:rsidP="00CF1A62">
          <w:pPr>
            <w:pStyle w:val="TOCHeading"/>
            <w:jc w:val="center"/>
            <w:rPr>
              <w:color w:val="auto"/>
              <w:sz w:val="24"/>
              <w:szCs w:val="24"/>
            </w:rPr>
          </w:pPr>
          <w:r w:rsidRPr="00CF1A62">
            <w:rPr>
              <w:color w:val="auto"/>
              <w:sz w:val="24"/>
              <w:szCs w:val="24"/>
            </w:rPr>
            <w:t>TABLE OF Contents</w:t>
          </w:r>
        </w:p>
        <w:p w14:paraId="4A7708BB" w14:textId="393A99A8" w:rsidR="006F6559" w:rsidRPr="00CF1A62" w:rsidRDefault="00DF7AC1" w:rsidP="00D227EC">
          <w:pPr>
            <w:pStyle w:val="TOC1"/>
            <w:spacing w:line="360" w:lineRule="auto"/>
            <w:rPr>
              <w:rFonts w:asciiTheme="minorHAnsi" w:eastAsiaTheme="minorEastAsia" w:hAnsiTheme="minorHAnsi" w:cstheme="minorBidi"/>
              <w:color w:val="auto"/>
              <w:sz w:val="24"/>
              <w:szCs w:val="24"/>
              <w:lang w:val="en-AU" w:eastAsia="en-AU"/>
            </w:rPr>
          </w:pPr>
          <w:r w:rsidRPr="00CF1A62">
            <w:rPr>
              <w:color w:val="auto"/>
              <w:sz w:val="24"/>
              <w:szCs w:val="24"/>
            </w:rPr>
            <w:fldChar w:fldCharType="begin"/>
          </w:r>
          <w:r w:rsidRPr="00CF1A62">
            <w:rPr>
              <w:color w:val="auto"/>
              <w:sz w:val="24"/>
              <w:szCs w:val="24"/>
            </w:rPr>
            <w:instrText xml:space="preserve"> TOC \o "1-3" \h \z \u </w:instrText>
          </w:r>
          <w:r w:rsidRPr="00CF1A62">
            <w:rPr>
              <w:color w:val="auto"/>
              <w:sz w:val="24"/>
              <w:szCs w:val="24"/>
            </w:rPr>
            <w:fldChar w:fldCharType="separate"/>
          </w:r>
          <w:hyperlink w:anchor="_Toc533149006" w:history="1">
            <w:r w:rsidR="006F6559" w:rsidRPr="00CF1A62">
              <w:rPr>
                <w:rStyle w:val="Hyperlink"/>
                <w:rFonts w:cs="Arial"/>
                <w:color w:val="auto"/>
                <w:sz w:val="24"/>
                <w:szCs w:val="24"/>
                <w:u w:color="FFFFFF" w:themeColor="background1"/>
                <w:lang w:val="en-AU"/>
              </w:rPr>
              <w:t>1</w:t>
            </w:r>
            <w:r w:rsidR="006F6559" w:rsidRPr="00CF1A62">
              <w:rPr>
                <w:rFonts w:asciiTheme="minorHAnsi" w:eastAsiaTheme="minorEastAsia" w:hAnsiTheme="minorHAnsi" w:cstheme="minorBidi"/>
                <w:color w:val="auto"/>
                <w:sz w:val="24"/>
                <w:szCs w:val="24"/>
                <w:lang w:val="en-AU" w:eastAsia="en-AU"/>
              </w:rPr>
              <w:tab/>
            </w:r>
            <w:r w:rsidR="006F6559" w:rsidRPr="00CF1A62">
              <w:rPr>
                <w:rStyle w:val="Hyperlink"/>
                <w:rFonts w:cs="Arial"/>
                <w:color w:val="auto"/>
                <w:sz w:val="24"/>
                <w:szCs w:val="24"/>
                <w:u w:color="FFFFFF" w:themeColor="background1"/>
                <w:lang w:val="en-AU"/>
              </w:rPr>
              <w:t>Introduction</w:t>
            </w:r>
            <w:r w:rsidR="006F6559" w:rsidRPr="00CF1A62">
              <w:rPr>
                <w:webHidden/>
                <w:color w:val="auto"/>
                <w:sz w:val="24"/>
                <w:szCs w:val="24"/>
              </w:rPr>
              <w:tab/>
            </w:r>
            <w:r w:rsidR="006F6559" w:rsidRPr="00CF1A62">
              <w:rPr>
                <w:webHidden/>
                <w:color w:val="auto"/>
                <w:sz w:val="24"/>
                <w:szCs w:val="24"/>
              </w:rPr>
              <w:fldChar w:fldCharType="begin"/>
            </w:r>
            <w:r w:rsidR="006F6559" w:rsidRPr="00CF1A62">
              <w:rPr>
                <w:webHidden/>
                <w:color w:val="auto"/>
                <w:sz w:val="24"/>
                <w:szCs w:val="24"/>
              </w:rPr>
              <w:instrText xml:space="preserve"> PAGEREF _Toc533149006 \h </w:instrText>
            </w:r>
            <w:r w:rsidR="006F6559" w:rsidRPr="00CF1A62">
              <w:rPr>
                <w:webHidden/>
                <w:color w:val="auto"/>
                <w:sz w:val="24"/>
                <w:szCs w:val="24"/>
              </w:rPr>
            </w:r>
            <w:r w:rsidR="006F6559" w:rsidRPr="00CF1A62">
              <w:rPr>
                <w:webHidden/>
                <w:color w:val="auto"/>
                <w:sz w:val="24"/>
                <w:szCs w:val="24"/>
              </w:rPr>
              <w:fldChar w:fldCharType="separate"/>
            </w:r>
            <w:r w:rsidR="00C1739B">
              <w:rPr>
                <w:webHidden/>
                <w:color w:val="auto"/>
                <w:sz w:val="24"/>
                <w:szCs w:val="24"/>
              </w:rPr>
              <w:t>4</w:t>
            </w:r>
            <w:r w:rsidR="006F6559" w:rsidRPr="00CF1A62">
              <w:rPr>
                <w:webHidden/>
                <w:color w:val="auto"/>
                <w:sz w:val="24"/>
                <w:szCs w:val="24"/>
              </w:rPr>
              <w:fldChar w:fldCharType="end"/>
            </w:r>
          </w:hyperlink>
        </w:p>
        <w:p w14:paraId="5396DDBA" w14:textId="74ABB943" w:rsidR="006F6559" w:rsidRPr="00CF1A62" w:rsidRDefault="00601E77" w:rsidP="00D227EC">
          <w:pPr>
            <w:pStyle w:val="TOC1"/>
            <w:spacing w:line="360" w:lineRule="auto"/>
            <w:rPr>
              <w:rFonts w:asciiTheme="minorHAnsi" w:eastAsiaTheme="minorEastAsia" w:hAnsiTheme="minorHAnsi" w:cstheme="minorBidi"/>
              <w:color w:val="auto"/>
              <w:sz w:val="24"/>
              <w:szCs w:val="24"/>
              <w:lang w:val="en-AU" w:eastAsia="en-AU"/>
            </w:rPr>
          </w:pPr>
          <w:hyperlink w:anchor="_Toc533149007" w:history="1">
            <w:r w:rsidR="006F6559" w:rsidRPr="00CF1A62">
              <w:rPr>
                <w:rStyle w:val="Hyperlink"/>
                <w:rFonts w:cs="Arial"/>
                <w:color w:val="auto"/>
                <w:sz w:val="24"/>
                <w:szCs w:val="24"/>
                <w:u w:color="FFFFFF" w:themeColor="background1"/>
                <w:lang w:val="en-AU"/>
              </w:rPr>
              <w:t>2</w:t>
            </w:r>
            <w:r w:rsidR="006F6559" w:rsidRPr="00CF1A62">
              <w:rPr>
                <w:rFonts w:asciiTheme="minorHAnsi" w:eastAsiaTheme="minorEastAsia" w:hAnsiTheme="minorHAnsi" w:cstheme="minorBidi"/>
                <w:color w:val="auto"/>
                <w:sz w:val="24"/>
                <w:szCs w:val="24"/>
                <w:lang w:val="en-AU" w:eastAsia="en-AU"/>
              </w:rPr>
              <w:tab/>
            </w:r>
            <w:r w:rsidR="006F6559" w:rsidRPr="00CF1A62">
              <w:rPr>
                <w:rStyle w:val="Hyperlink"/>
                <w:rFonts w:cs="Arial"/>
                <w:color w:val="auto"/>
                <w:sz w:val="24"/>
                <w:szCs w:val="24"/>
                <w:u w:color="FFFFFF" w:themeColor="background1"/>
                <w:lang w:val="en-AU"/>
              </w:rPr>
              <w:t>Minerals</w:t>
            </w:r>
            <w:r w:rsidR="006F6559" w:rsidRPr="00CF1A62">
              <w:rPr>
                <w:webHidden/>
                <w:color w:val="auto"/>
                <w:sz w:val="24"/>
                <w:szCs w:val="24"/>
              </w:rPr>
              <w:tab/>
            </w:r>
            <w:r w:rsidR="006F6559" w:rsidRPr="00CF1A62">
              <w:rPr>
                <w:webHidden/>
                <w:color w:val="auto"/>
                <w:sz w:val="24"/>
                <w:szCs w:val="24"/>
              </w:rPr>
              <w:fldChar w:fldCharType="begin"/>
            </w:r>
            <w:r w:rsidR="006F6559" w:rsidRPr="00CF1A62">
              <w:rPr>
                <w:webHidden/>
                <w:color w:val="auto"/>
                <w:sz w:val="24"/>
                <w:szCs w:val="24"/>
              </w:rPr>
              <w:instrText xml:space="preserve"> PAGEREF _Toc533149007 \h </w:instrText>
            </w:r>
            <w:r w:rsidR="006F6559" w:rsidRPr="00CF1A62">
              <w:rPr>
                <w:webHidden/>
                <w:color w:val="auto"/>
                <w:sz w:val="24"/>
                <w:szCs w:val="24"/>
              </w:rPr>
            </w:r>
            <w:r w:rsidR="006F6559" w:rsidRPr="00CF1A62">
              <w:rPr>
                <w:webHidden/>
                <w:color w:val="auto"/>
                <w:sz w:val="24"/>
                <w:szCs w:val="24"/>
              </w:rPr>
              <w:fldChar w:fldCharType="separate"/>
            </w:r>
            <w:r w:rsidR="00C1739B">
              <w:rPr>
                <w:webHidden/>
                <w:color w:val="auto"/>
                <w:sz w:val="24"/>
                <w:szCs w:val="24"/>
              </w:rPr>
              <w:t>5</w:t>
            </w:r>
            <w:r w:rsidR="006F6559" w:rsidRPr="00CF1A62">
              <w:rPr>
                <w:webHidden/>
                <w:color w:val="auto"/>
                <w:sz w:val="24"/>
                <w:szCs w:val="24"/>
              </w:rPr>
              <w:fldChar w:fldCharType="end"/>
            </w:r>
          </w:hyperlink>
        </w:p>
        <w:p w14:paraId="5DC502B5" w14:textId="432F99AA" w:rsidR="006F6559" w:rsidRPr="00CF1A62" w:rsidRDefault="00CF1A62" w:rsidP="00D227EC">
          <w:pPr>
            <w:pStyle w:val="TOC2"/>
            <w:spacing w:line="360" w:lineRule="auto"/>
            <w:jc w:val="center"/>
            <w:rPr>
              <w:rFonts w:asciiTheme="minorHAnsi" w:eastAsiaTheme="minorEastAsia" w:hAnsiTheme="minorHAnsi" w:cstheme="minorBidi"/>
              <w:noProof/>
              <w:color w:val="auto"/>
              <w:sz w:val="24"/>
              <w:szCs w:val="24"/>
              <w:lang w:val="en-AU" w:eastAsia="en-AU"/>
            </w:rPr>
          </w:pPr>
          <w:r>
            <w:rPr>
              <w:rStyle w:val="Hyperlink"/>
              <w:noProof/>
              <w:color w:val="auto"/>
              <w:sz w:val="24"/>
              <w:szCs w:val="24"/>
              <w:u w:val="none"/>
            </w:rPr>
            <w:tab/>
          </w:r>
          <w:hyperlink w:anchor="_Toc533149008" w:history="1">
            <w:r w:rsidR="006F6559" w:rsidRPr="00CF1A62">
              <w:rPr>
                <w:rStyle w:val="Hyperlink"/>
                <w:noProof/>
                <w:color w:val="auto"/>
                <w:sz w:val="24"/>
                <w:szCs w:val="24"/>
                <w:lang w:val="en-AU"/>
              </w:rPr>
              <w:t>2.1</w:t>
            </w:r>
            <w:r w:rsidRPr="00CF1A62">
              <w:rPr>
                <w:rFonts w:asciiTheme="minorHAnsi" w:eastAsiaTheme="minorEastAsia" w:hAnsiTheme="minorHAnsi" w:cstheme="minorBidi"/>
                <w:noProof/>
                <w:color w:val="auto"/>
                <w:sz w:val="24"/>
                <w:szCs w:val="24"/>
                <w:lang w:val="en-AU" w:eastAsia="en-AU"/>
              </w:rPr>
              <w:t xml:space="preserve"> </w:t>
            </w:r>
            <w:r w:rsidR="006F6559" w:rsidRPr="00CF1A62">
              <w:rPr>
                <w:rStyle w:val="Hyperlink"/>
                <w:noProof/>
                <w:color w:val="auto"/>
                <w:sz w:val="24"/>
                <w:szCs w:val="24"/>
                <w:lang w:val="en-AU"/>
              </w:rPr>
              <w:t>Mineral tenements</w:t>
            </w:r>
            <w:r w:rsidR="006F6559" w:rsidRPr="00CF1A62">
              <w:rPr>
                <w:noProof/>
                <w:webHidden/>
                <w:color w:val="auto"/>
                <w:sz w:val="24"/>
                <w:szCs w:val="24"/>
              </w:rPr>
              <w:tab/>
            </w:r>
            <w:r w:rsidR="006F6559" w:rsidRPr="00CF1A62">
              <w:rPr>
                <w:noProof/>
                <w:webHidden/>
                <w:color w:val="auto"/>
                <w:sz w:val="24"/>
                <w:szCs w:val="24"/>
              </w:rPr>
              <w:fldChar w:fldCharType="begin"/>
            </w:r>
            <w:r w:rsidR="006F6559" w:rsidRPr="00CF1A62">
              <w:rPr>
                <w:noProof/>
                <w:webHidden/>
                <w:color w:val="auto"/>
                <w:sz w:val="24"/>
                <w:szCs w:val="24"/>
              </w:rPr>
              <w:instrText xml:space="preserve"> PAGEREF _Toc533149008 \h </w:instrText>
            </w:r>
            <w:r w:rsidR="006F6559" w:rsidRPr="00CF1A62">
              <w:rPr>
                <w:noProof/>
                <w:webHidden/>
                <w:color w:val="auto"/>
                <w:sz w:val="24"/>
                <w:szCs w:val="24"/>
              </w:rPr>
            </w:r>
            <w:r w:rsidR="006F6559" w:rsidRPr="00CF1A62">
              <w:rPr>
                <w:noProof/>
                <w:webHidden/>
                <w:color w:val="auto"/>
                <w:sz w:val="24"/>
                <w:szCs w:val="24"/>
              </w:rPr>
              <w:fldChar w:fldCharType="separate"/>
            </w:r>
            <w:r w:rsidR="00C1739B">
              <w:rPr>
                <w:noProof/>
                <w:webHidden/>
                <w:color w:val="auto"/>
                <w:sz w:val="24"/>
                <w:szCs w:val="24"/>
              </w:rPr>
              <w:t>5</w:t>
            </w:r>
            <w:r w:rsidR="006F6559" w:rsidRPr="00CF1A62">
              <w:rPr>
                <w:noProof/>
                <w:webHidden/>
                <w:color w:val="auto"/>
                <w:sz w:val="24"/>
                <w:szCs w:val="24"/>
              </w:rPr>
              <w:fldChar w:fldCharType="end"/>
            </w:r>
          </w:hyperlink>
        </w:p>
        <w:p w14:paraId="6A05C74C" w14:textId="35487526" w:rsidR="006F6559" w:rsidRPr="00CF1A62" w:rsidRDefault="00CF1A62" w:rsidP="00D227EC">
          <w:pPr>
            <w:pStyle w:val="TOC2"/>
            <w:spacing w:line="360" w:lineRule="auto"/>
            <w:jc w:val="center"/>
            <w:rPr>
              <w:rFonts w:asciiTheme="minorHAnsi" w:eastAsiaTheme="minorEastAsia" w:hAnsiTheme="minorHAnsi" w:cstheme="minorBidi"/>
              <w:noProof/>
              <w:color w:val="auto"/>
              <w:sz w:val="24"/>
              <w:szCs w:val="24"/>
              <w:lang w:val="en-AU" w:eastAsia="en-AU"/>
            </w:rPr>
          </w:pPr>
          <w:r w:rsidRPr="00CF1A62">
            <w:rPr>
              <w:rStyle w:val="Hyperlink"/>
              <w:noProof/>
              <w:color w:val="auto"/>
              <w:sz w:val="24"/>
              <w:szCs w:val="24"/>
              <w:u w:val="none"/>
            </w:rPr>
            <w:tab/>
          </w:r>
          <w:hyperlink w:anchor="_Toc533149009" w:history="1">
            <w:r w:rsidR="006F6559" w:rsidRPr="00CF1A62">
              <w:rPr>
                <w:rStyle w:val="Hyperlink"/>
                <w:noProof/>
                <w:color w:val="auto"/>
                <w:sz w:val="24"/>
                <w:szCs w:val="24"/>
                <w:lang w:val="en-AU"/>
              </w:rPr>
              <w:t>2.2</w:t>
            </w:r>
            <w:r w:rsidRPr="00CF1A62">
              <w:rPr>
                <w:rFonts w:asciiTheme="minorHAnsi" w:eastAsiaTheme="minorEastAsia" w:hAnsiTheme="minorHAnsi" w:cstheme="minorBidi"/>
                <w:noProof/>
                <w:color w:val="auto"/>
                <w:sz w:val="24"/>
                <w:szCs w:val="24"/>
                <w:lang w:val="en-AU" w:eastAsia="en-AU"/>
              </w:rPr>
              <w:t xml:space="preserve"> </w:t>
            </w:r>
            <w:r w:rsidR="006F6559" w:rsidRPr="00CF1A62">
              <w:rPr>
                <w:rStyle w:val="Hyperlink"/>
                <w:noProof/>
                <w:color w:val="auto"/>
                <w:sz w:val="24"/>
                <w:szCs w:val="24"/>
                <w:lang w:val="en-AU"/>
              </w:rPr>
              <w:t>Mineral exploration and mining expenditure</w:t>
            </w:r>
            <w:r w:rsidR="006F6559" w:rsidRPr="00CF1A62">
              <w:rPr>
                <w:noProof/>
                <w:webHidden/>
                <w:color w:val="auto"/>
                <w:sz w:val="24"/>
                <w:szCs w:val="24"/>
              </w:rPr>
              <w:tab/>
            </w:r>
            <w:r w:rsidR="006F6559" w:rsidRPr="00CF1A62">
              <w:rPr>
                <w:noProof/>
                <w:webHidden/>
                <w:color w:val="auto"/>
                <w:sz w:val="24"/>
                <w:szCs w:val="24"/>
              </w:rPr>
              <w:fldChar w:fldCharType="begin"/>
            </w:r>
            <w:r w:rsidR="006F6559" w:rsidRPr="00CF1A62">
              <w:rPr>
                <w:noProof/>
                <w:webHidden/>
                <w:color w:val="auto"/>
                <w:sz w:val="24"/>
                <w:szCs w:val="24"/>
              </w:rPr>
              <w:instrText xml:space="preserve"> PAGEREF _Toc533149009 \h </w:instrText>
            </w:r>
            <w:r w:rsidR="006F6559" w:rsidRPr="00CF1A62">
              <w:rPr>
                <w:noProof/>
                <w:webHidden/>
                <w:color w:val="auto"/>
                <w:sz w:val="24"/>
                <w:szCs w:val="24"/>
              </w:rPr>
            </w:r>
            <w:r w:rsidR="006F6559" w:rsidRPr="00CF1A62">
              <w:rPr>
                <w:noProof/>
                <w:webHidden/>
                <w:color w:val="auto"/>
                <w:sz w:val="24"/>
                <w:szCs w:val="24"/>
              </w:rPr>
              <w:fldChar w:fldCharType="separate"/>
            </w:r>
            <w:r w:rsidR="00C1739B">
              <w:rPr>
                <w:noProof/>
                <w:webHidden/>
                <w:color w:val="auto"/>
                <w:sz w:val="24"/>
                <w:szCs w:val="24"/>
              </w:rPr>
              <w:t>9</w:t>
            </w:r>
            <w:r w:rsidR="006F6559" w:rsidRPr="00CF1A62">
              <w:rPr>
                <w:noProof/>
                <w:webHidden/>
                <w:color w:val="auto"/>
                <w:sz w:val="24"/>
                <w:szCs w:val="24"/>
              </w:rPr>
              <w:fldChar w:fldCharType="end"/>
            </w:r>
          </w:hyperlink>
        </w:p>
        <w:p w14:paraId="7ABB9DE0" w14:textId="507E2AFA" w:rsidR="006F6559" w:rsidRPr="00CF1A62" w:rsidRDefault="00CF1A62" w:rsidP="00D227EC">
          <w:pPr>
            <w:pStyle w:val="TOC2"/>
            <w:spacing w:line="360" w:lineRule="auto"/>
            <w:jc w:val="center"/>
            <w:rPr>
              <w:rFonts w:asciiTheme="minorHAnsi" w:eastAsiaTheme="minorEastAsia" w:hAnsiTheme="minorHAnsi" w:cstheme="minorBidi"/>
              <w:noProof/>
              <w:color w:val="auto"/>
              <w:sz w:val="24"/>
              <w:szCs w:val="24"/>
              <w:lang w:val="en-AU" w:eastAsia="en-AU"/>
            </w:rPr>
          </w:pPr>
          <w:r w:rsidRPr="00CF1A62">
            <w:rPr>
              <w:rStyle w:val="Hyperlink"/>
              <w:noProof/>
              <w:color w:val="auto"/>
              <w:sz w:val="24"/>
              <w:szCs w:val="24"/>
              <w:u w:val="none"/>
            </w:rPr>
            <w:tab/>
          </w:r>
          <w:hyperlink w:anchor="_Toc533149010" w:history="1">
            <w:r w:rsidR="006F6559" w:rsidRPr="00CF1A62">
              <w:rPr>
                <w:rStyle w:val="Hyperlink"/>
                <w:noProof/>
                <w:color w:val="auto"/>
                <w:sz w:val="24"/>
                <w:szCs w:val="24"/>
                <w:lang w:val="en-AU"/>
              </w:rPr>
              <w:t>2.3</w:t>
            </w:r>
            <w:r w:rsidRPr="00CF1A62">
              <w:rPr>
                <w:rFonts w:asciiTheme="minorHAnsi" w:eastAsiaTheme="minorEastAsia" w:hAnsiTheme="minorHAnsi" w:cstheme="minorBidi"/>
                <w:noProof/>
                <w:color w:val="auto"/>
                <w:sz w:val="24"/>
                <w:szCs w:val="24"/>
                <w:lang w:val="en-AU" w:eastAsia="en-AU"/>
              </w:rPr>
              <w:t xml:space="preserve"> </w:t>
            </w:r>
            <w:r w:rsidR="006F6559" w:rsidRPr="00CF1A62">
              <w:rPr>
                <w:rStyle w:val="Hyperlink"/>
                <w:noProof/>
                <w:color w:val="auto"/>
                <w:sz w:val="24"/>
                <w:szCs w:val="24"/>
                <w:lang w:val="en-AU"/>
              </w:rPr>
              <w:t>Mineral production</w:t>
            </w:r>
            <w:r w:rsidR="006F6559" w:rsidRPr="00CF1A62">
              <w:rPr>
                <w:noProof/>
                <w:webHidden/>
                <w:color w:val="auto"/>
                <w:sz w:val="24"/>
                <w:szCs w:val="24"/>
              </w:rPr>
              <w:tab/>
            </w:r>
            <w:r w:rsidR="006F6559" w:rsidRPr="00CF1A62">
              <w:rPr>
                <w:noProof/>
                <w:webHidden/>
                <w:color w:val="auto"/>
                <w:sz w:val="24"/>
                <w:szCs w:val="24"/>
              </w:rPr>
              <w:fldChar w:fldCharType="begin"/>
            </w:r>
            <w:r w:rsidR="006F6559" w:rsidRPr="00CF1A62">
              <w:rPr>
                <w:noProof/>
                <w:webHidden/>
                <w:color w:val="auto"/>
                <w:sz w:val="24"/>
                <w:szCs w:val="24"/>
              </w:rPr>
              <w:instrText xml:space="preserve"> PAGEREF _Toc533149010 \h </w:instrText>
            </w:r>
            <w:r w:rsidR="006F6559" w:rsidRPr="00CF1A62">
              <w:rPr>
                <w:noProof/>
                <w:webHidden/>
                <w:color w:val="auto"/>
                <w:sz w:val="24"/>
                <w:szCs w:val="24"/>
              </w:rPr>
            </w:r>
            <w:r w:rsidR="006F6559" w:rsidRPr="00CF1A62">
              <w:rPr>
                <w:noProof/>
                <w:webHidden/>
                <w:color w:val="auto"/>
                <w:sz w:val="24"/>
                <w:szCs w:val="24"/>
              </w:rPr>
              <w:fldChar w:fldCharType="separate"/>
            </w:r>
            <w:r w:rsidR="00C1739B">
              <w:rPr>
                <w:noProof/>
                <w:webHidden/>
                <w:color w:val="auto"/>
                <w:sz w:val="24"/>
                <w:szCs w:val="24"/>
              </w:rPr>
              <w:t>11</w:t>
            </w:r>
            <w:r w:rsidR="006F6559" w:rsidRPr="00CF1A62">
              <w:rPr>
                <w:noProof/>
                <w:webHidden/>
                <w:color w:val="auto"/>
                <w:sz w:val="24"/>
                <w:szCs w:val="24"/>
              </w:rPr>
              <w:fldChar w:fldCharType="end"/>
            </w:r>
          </w:hyperlink>
        </w:p>
        <w:p w14:paraId="0AA49077" w14:textId="211C3D8E" w:rsidR="006F6559" w:rsidRPr="00CF1A62" w:rsidRDefault="00601E77" w:rsidP="00D227EC">
          <w:pPr>
            <w:pStyle w:val="TOC1"/>
            <w:spacing w:line="360" w:lineRule="auto"/>
            <w:rPr>
              <w:rFonts w:asciiTheme="minorHAnsi" w:eastAsiaTheme="minorEastAsia" w:hAnsiTheme="minorHAnsi" w:cstheme="minorBidi"/>
              <w:color w:val="auto"/>
              <w:sz w:val="24"/>
              <w:szCs w:val="24"/>
              <w:lang w:val="en-AU" w:eastAsia="en-AU"/>
            </w:rPr>
          </w:pPr>
          <w:hyperlink w:anchor="_Toc533149011" w:history="1">
            <w:r w:rsidR="006F6559" w:rsidRPr="00CF1A62">
              <w:rPr>
                <w:rStyle w:val="Hyperlink"/>
                <w:rFonts w:cs="Arial"/>
                <w:color w:val="auto"/>
                <w:sz w:val="24"/>
                <w:szCs w:val="24"/>
                <w:u w:color="FFFFFF" w:themeColor="background1"/>
                <w:lang w:val="en-AU"/>
              </w:rPr>
              <w:t>3</w:t>
            </w:r>
            <w:r w:rsidR="006F6559" w:rsidRPr="00CF1A62">
              <w:rPr>
                <w:rFonts w:asciiTheme="minorHAnsi" w:eastAsiaTheme="minorEastAsia" w:hAnsiTheme="minorHAnsi" w:cstheme="minorBidi"/>
                <w:color w:val="auto"/>
                <w:sz w:val="24"/>
                <w:szCs w:val="24"/>
                <w:lang w:val="en-AU" w:eastAsia="en-AU"/>
              </w:rPr>
              <w:tab/>
            </w:r>
            <w:r w:rsidR="006F6559" w:rsidRPr="00CF1A62">
              <w:rPr>
                <w:rStyle w:val="Hyperlink"/>
                <w:rFonts w:cs="Arial"/>
                <w:color w:val="auto"/>
                <w:sz w:val="24"/>
                <w:szCs w:val="24"/>
                <w:u w:color="FFFFFF" w:themeColor="background1"/>
                <w:lang w:val="en-AU"/>
              </w:rPr>
              <w:t>Extractive resources</w:t>
            </w:r>
            <w:r w:rsidR="006F6559" w:rsidRPr="00CF1A62">
              <w:rPr>
                <w:webHidden/>
                <w:color w:val="auto"/>
                <w:sz w:val="24"/>
                <w:szCs w:val="24"/>
              </w:rPr>
              <w:tab/>
            </w:r>
            <w:r w:rsidR="006F6559" w:rsidRPr="00CF1A62">
              <w:rPr>
                <w:webHidden/>
                <w:color w:val="auto"/>
                <w:sz w:val="24"/>
                <w:szCs w:val="24"/>
              </w:rPr>
              <w:fldChar w:fldCharType="begin"/>
            </w:r>
            <w:r w:rsidR="006F6559" w:rsidRPr="00CF1A62">
              <w:rPr>
                <w:webHidden/>
                <w:color w:val="auto"/>
                <w:sz w:val="24"/>
                <w:szCs w:val="24"/>
              </w:rPr>
              <w:instrText xml:space="preserve"> PAGEREF _Toc533149011 \h </w:instrText>
            </w:r>
            <w:r w:rsidR="006F6559" w:rsidRPr="00CF1A62">
              <w:rPr>
                <w:webHidden/>
                <w:color w:val="auto"/>
                <w:sz w:val="24"/>
                <w:szCs w:val="24"/>
              </w:rPr>
            </w:r>
            <w:r w:rsidR="006F6559" w:rsidRPr="00CF1A62">
              <w:rPr>
                <w:webHidden/>
                <w:color w:val="auto"/>
                <w:sz w:val="24"/>
                <w:szCs w:val="24"/>
              </w:rPr>
              <w:fldChar w:fldCharType="separate"/>
            </w:r>
            <w:r w:rsidR="00C1739B">
              <w:rPr>
                <w:webHidden/>
                <w:color w:val="auto"/>
                <w:sz w:val="24"/>
                <w:szCs w:val="24"/>
              </w:rPr>
              <w:t>13</w:t>
            </w:r>
            <w:r w:rsidR="006F6559" w:rsidRPr="00CF1A62">
              <w:rPr>
                <w:webHidden/>
                <w:color w:val="auto"/>
                <w:sz w:val="24"/>
                <w:szCs w:val="24"/>
              </w:rPr>
              <w:fldChar w:fldCharType="end"/>
            </w:r>
          </w:hyperlink>
        </w:p>
        <w:p w14:paraId="6646E2E5" w14:textId="5CFB0A31" w:rsidR="006F6559" w:rsidRPr="00CF1A62" w:rsidRDefault="00601E77" w:rsidP="00D227EC">
          <w:pPr>
            <w:pStyle w:val="TOC1"/>
            <w:spacing w:line="360" w:lineRule="auto"/>
            <w:rPr>
              <w:rFonts w:asciiTheme="minorHAnsi" w:eastAsiaTheme="minorEastAsia" w:hAnsiTheme="minorHAnsi" w:cstheme="minorBidi"/>
              <w:color w:val="auto"/>
              <w:sz w:val="24"/>
              <w:szCs w:val="24"/>
              <w:lang w:val="en-AU" w:eastAsia="en-AU"/>
            </w:rPr>
          </w:pPr>
          <w:hyperlink w:anchor="_Toc533149012" w:history="1">
            <w:r w:rsidR="006F6559" w:rsidRPr="00CF1A62">
              <w:rPr>
                <w:rStyle w:val="Hyperlink"/>
                <w:rFonts w:cs="Arial"/>
                <w:color w:val="auto"/>
                <w:sz w:val="24"/>
                <w:szCs w:val="24"/>
                <w:u w:color="FFFFFF" w:themeColor="background1"/>
                <w:lang w:val="en-AU"/>
              </w:rPr>
              <w:t>4</w:t>
            </w:r>
            <w:r w:rsidR="006F6559" w:rsidRPr="00CF1A62">
              <w:rPr>
                <w:rFonts w:asciiTheme="minorHAnsi" w:eastAsiaTheme="minorEastAsia" w:hAnsiTheme="minorHAnsi" w:cstheme="minorBidi"/>
                <w:color w:val="auto"/>
                <w:sz w:val="24"/>
                <w:szCs w:val="24"/>
                <w:lang w:val="en-AU" w:eastAsia="en-AU"/>
              </w:rPr>
              <w:tab/>
            </w:r>
            <w:r w:rsidR="006F6559" w:rsidRPr="00CF1A62">
              <w:rPr>
                <w:rStyle w:val="Hyperlink"/>
                <w:rFonts w:cs="Arial"/>
                <w:color w:val="auto"/>
                <w:sz w:val="24"/>
                <w:szCs w:val="24"/>
                <w:u w:color="FFFFFF" w:themeColor="background1"/>
                <w:lang w:val="en-AU"/>
              </w:rPr>
              <w:t>Revenue and bonds</w:t>
            </w:r>
            <w:r w:rsidR="006F6559" w:rsidRPr="00CF1A62">
              <w:rPr>
                <w:webHidden/>
                <w:color w:val="auto"/>
                <w:sz w:val="24"/>
                <w:szCs w:val="24"/>
              </w:rPr>
              <w:tab/>
            </w:r>
            <w:r w:rsidR="006F6559" w:rsidRPr="00CF1A62">
              <w:rPr>
                <w:webHidden/>
                <w:color w:val="auto"/>
                <w:sz w:val="24"/>
                <w:szCs w:val="24"/>
              </w:rPr>
              <w:fldChar w:fldCharType="begin"/>
            </w:r>
            <w:r w:rsidR="006F6559" w:rsidRPr="00CF1A62">
              <w:rPr>
                <w:webHidden/>
                <w:color w:val="auto"/>
                <w:sz w:val="24"/>
                <w:szCs w:val="24"/>
              </w:rPr>
              <w:instrText xml:space="preserve"> PAGEREF _Toc533149012 \h </w:instrText>
            </w:r>
            <w:r w:rsidR="006F6559" w:rsidRPr="00CF1A62">
              <w:rPr>
                <w:webHidden/>
                <w:color w:val="auto"/>
                <w:sz w:val="24"/>
                <w:szCs w:val="24"/>
              </w:rPr>
            </w:r>
            <w:r w:rsidR="006F6559" w:rsidRPr="00CF1A62">
              <w:rPr>
                <w:webHidden/>
                <w:color w:val="auto"/>
                <w:sz w:val="24"/>
                <w:szCs w:val="24"/>
              </w:rPr>
              <w:fldChar w:fldCharType="separate"/>
            </w:r>
            <w:r w:rsidR="00C1739B">
              <w:rPr>
                <w:webHidden/>
                <w:color w:val="auto"/>
                <w:sz w:val="24"/>
                <w:szCs w:val="24"/>
              </w:rPr>
              <w:t>16</w:t>
            </w:r>
            <w:r w:rsidR="006F6559" w:rsidRPr="00CF1A62">
              <w:rPr>
                <w:webHidden/>
                <w:color w:val="auto"/>
                <w:sz w:val="24"/>
                <w:szCs w:val="24"/>
              </w:rPr>
              <w:fldChar w:fldCharType="end"/>
            </w:r>
          </w:hyperlink>
        </w:p>
        <w:p w14:paraId="487B57D6" w14:textId="3DBF91F1" w:rsidR="006F6559" w:rsidRPr="00CF1A62" w:rsidRDefault="00CF1A62" w:rsidP="00D227EC">
          <w:pPr>
            <w:pStyle w:val="TOC2"/>
            <w:spacing w:line="360" w:lineRule="auto"/>
            <w:jc w:val="center"/>
            <w:rPr>
              <w:rFonts w:asciiTheme="minorHAnsi" w:eastAsiaTheme="minorEastAsia" w:hAnsiTheme="minorHAnsi" w:cstheme="minorBidi"/>
              <w:noProof/>
              <w:color w:val="auto"/>
              <w:sz w:val="24"/>
              <w:szCs w:val="24"/>
              <w:lang w:val="en-AU" w:eastAsia="en-AU"/>
            </w:rPr>
          </w:pPr>
          <w:r w:rsidRPr="00CF1A62">
            <w:rPr>
              <w:rStyle w:val="Hyperlink"/>
              <w:noProof/>
              <w:color w:val="auto"/>
              <w:sz w:val="24"/>
              <w:szCs w:val="24"/>
              <w:u w:val="none"/>
            </w:rPr>
            <w:tab/>
          </w:r>
          <w:hyperlink w:anchor="_Toc533149013" w:history="1">
            <w:r w:rsidR="006F6559" w:rsidRPr="00CF1A62">
              <w:rPr>
                <w:rStyle w:val="Hyperlink"/>
                <w:noProof/>
                <w:color w:val="auto"/>
                <w:sz w:val="24"/>
                <w:szCs w:val="24"/>
                <w:lang w:val="en-AU"/>
              </w:rPr>
              <w:t>4.1</w:t>
            </w:r>
            <w:r w:rsidRPr="00CF1A62">
              <w:rPr>
                <w:rFonts w:asciiTheme="minorHAnsi" w:eastAsiaTheme="minorEastAsia" w:hAnsiTheme="minorHAnsi" w:cstheme="minorBidi"/>
                <w:noProof/>
                <w:color w:val="auto"/>
                <w:sz w:val="24"/>
                <w:szCs w:val="24"/>
                <w:lang w:val="en-AU" w:eastAsia="en-AU"/>
              </w:rPr>
              <w:t xml:space="preserve"> </w:t>
            </w:r>
            <w:r w:rsidR="006F6559" w:rsidRPr="00CF1A62">
              <w:rPr>
                <w:rStyle w:val="Hyperlink"/>
                <w:noProof/>
                <w:color w:val="auto"/>
                <w:sz w:val="24"/>
                <w:szCs w:val="24"/>
                <w:lang w:val="en-AU"/>
              </w:rPr>
              <w:t>Revenue Payable</w:t>
            </w:r>
            <w:r w:rsidR="006F6559" w:rsidRPr="00CF1A62">
              <w:rPr>
                <w:noProof/>
                <w:webHidden/>
                <w:color w:val="auto"/>
                <w:sz w:val="24"/>
                <w:szCs w:val="24"/>
              </w:rPr>
              <w:tab/>
            </w:r>
            <w:r w:rsidR="006F6559" w:rsidRPr="00CF1A62">
              <w:rPr>
                <w:noProof/>
                <w:webHidden/>
                <w:color w:val="auto"/>
                <w:sz w:val="24"/>
                <w:szCs w:val="24"/>
              </w:rPr>
              <w:fldChar w:fldCharType="begin"/>
            </w:r>
            <w:r w:rsidR="006F6559" w:rsidRPr="00CF1A62">
              <w:rPr>
                <w:noProof/>
                <w:webHidden/>
                <w:color w:val="auto"/>
                <w:sz w:val="24"/>
                <w:szCs w:val="24"/>
              </w:rPr>
              <w:instrText xml:space="preserve"> PAGEREF _Toc533149013 \h </w:instrText>
            </w:r>
            <w:r w:rsidR="006F6559" w:rsidRPr="00CF1A62">
              <w:rPr>
                <w:noProof/>
                <w:webHidden/>
                <w:color w:val="auto"/>
                <w:sz w:val="24"/>
                <w:szCs w:val="24"/>
              </w:rPr>
            </w:r>
            <w:r w:rsidR="006F6559" w:rsidRPr="00CF1A62">
              <w:rPr>
                <w:noProof/>
                <w:webHidden/>
                <w:color w:val="auto"/>
                <w:sz w:val="24"/>
                <w:szCs w:val="24"/>
              </w:rPr>
              <w:fldChar w:fldCharType="separate"/>
            </w:r>
            <w:r w:rsidR="00C1739B">
              <w:rPr>
                <w:noProof/>
                <w:webHidden/>
                <w:color w:val="auto"/>
                <w:sz w:val="24"/>
                <w:szCs w:val="24"/>
              </w:rPr>
              <w:t>16</w:t>
            </w:r>
            <w:r w:rsidR="006F6559" w:rsidRPr="00CF1A62">
              <w:rPr>
                <w:noProof/>
                <w:webHidden/>
                <w:color w:val="auto"/>
                <w:sz w:val="24"/>
                <w:szCs w:val="24"/>
              </w:rPr>
              <w:fldChar w:fldCharType="end"/>
            </w:r>
          </w:hyperlink>
        </w:p>
        <w:p w14:paraId="3EE5951E" w14:textId="5761B4E1" w:rsidR="006F6559" w:rsidRPr="00CF1A62" w:rsidRDefault="00CF1A62" w:rsidP="00D227EC">
          <w:pPr>
            <w:pStyle w:val="TOC2"/>
            <w:spacing w:line="360" w:lineRule="auto"/>
            <w:jc w:val="center"/>
            <w:rPr>
              <w:rFonts w:asciiTheme="minorHAnsi" w:eastAsiaTheme="minorEastAsia" w:hAnsiTheme="minorHAnsi" w:cstheme="minorBidi"/>
              <w:noProof/>
              <w:color w:val="auto"/>
              <w:sz w:val="24"/>
              <w:szCs w:val="24"/>
              <w:lang w:val="en-AU" w:eastAsia="en-AU"/>
            </w:rPr>
          </w:pPr>
          <w:r w:rsidRPr="00CF1A62">
            <w:rPr>
              <w:rStyle w:val="Hyperlink"/>
              <w:noProof/>
              <w:color w:val="auto"/>
              <w:sz w:val="24"/>
              <w:szCs w:val="24"/>
              <w:u w:val="none"/>
            </w:rPr>
            <w:tab/>
          </w:r>
          <w:hyperlink w:anchor="_Toc533149014" w:history="1">
            <w:r w:rsidR="006F6559" w:rsidRPr="00CF1A62">
              <w:rPr>
                <w:rStyle w:val="Hyperlink"/>
                <w:noProof/>
                <w:color w:val="auto"/>
                <w:sz w:val="24"/>
                <w:szCs w:val="24"/>
                <w:lang w:val="en-AU"/>
              </w:rPr>
              <w:t>4.2</w:t>
            </w:r>
            <w:r w:rsidRPr="00CF1A62">
              <w:rPr>
                <w:rFonts w:asciiTheme="minorHAnsi" w:eastAsiaTheme="minorEastAsia" w:hAnsiTheme="minorHAnsi" w:cstheme="minorBidi"/>
                <w:noProof/>
                <w:color w:val="auto"/>
                <w:sz w:val="24"/>
                <w:szCs w:val="24"/>
                <w:lang w:val="en-AU" w:eastAsia="en-AU"/>
              </w:rPr>
              <w:t xml:space="preserve"> </w:t>
            </w:r>
            <w:r w:rsidR="006F6559" w:rsidRPr="00CF1A62">
              <w:rPr>
                <w:rStyle w:val="Hyperlink"/>
                <w:noProof/>
                <w:color w:val="auto"/>
                <w:sz w:val="24"/>
                <w:szCs w:val="24"/>
                <w:lang w:val="en-AU"/>
              </w:rPr>
              <w:t>Rehabilitation bonds</w:t>
            </w:r>
            <w:r w:rsidR="006F6559" w:rsidRPr="00CF1A62">
              <w:rPr>
                <w:noProof/>
                <w:webHidden/>
                <w:color w:val="auto"/>
                <w:sz w:val="24"/>
                <w:szCs w:val="24"/>
              </w:rPr>
              <w:tab/>
            </w:r>
            <w:r w:rsidR="006F6559" w:rsidRPr="00CF1A62">
              <w:rPr>
                <w:noProof/>
                <w:webHidden/>
                <w:color w:val="auto"/>
                <w:sz w:val="24"/>
                <w:szCs w:val="24"/>
              </w:rPr>
              <w:fldChar w:fldCharType="begin"/>
            </w:r>
            <w:r w:rsidR="006F6559" w:rsidRPr="00CF1A62">
              <w:rPr>
                <w:noProof/>
                <w:webHidden/>
                <w:color w:val="auto"/>
                <w:sz w:val="24"/>
                <w:szCs w:val="24"/>
              </w:rPr>
              <w:instrText xml:space="preserve"> PAGEREF _Toc533149014 \h </w:instrText>
            </w:r>
            <w:r w:rsidR="006F6559" w:rsidRPr="00CF1A62">
              <w:rPr>
                <w:noProof/>
                <w:webHidden/>
                <w:color w:val="auto"/>
                <w:sz w:val="24"/>
                <w:szCs w:val="24"/>
              </w:rPr>
            </w:r>
            <w:r w:rsidR="006F6559" w:rsidRPr="00CF1A62">
              <w:rPr>
                <w:noProof/>
                <w:webHidden/>
                <w:color w:val="auto"/>
                <w:sz w:val="24"/>
                <w:szCs w:val="24"/>
              </w:rPr>
              <w:fldChar w:fldCharType="separate"/>
            </w:r>
            <w:r w:rsidR="00C1739B">
              <w:rPr>
                <w:noProof/>
                <w:webHidden/>
                <w:color w:val="auto"/>
                <w:sz w:val="24"/>
                <w:szCs w:val="24"/>
              </w:rPr>
              <w:t>18</w:t>
            </w:r>
            <w:r w:rsidR="006F6559" w:rsidRPr="00CF1A62">
              <w:rPr>
                <w:noProof/>
                <w:webHidden/>
                <w:color w:val="auto"/>
                <w:sz w:val="24"/>
                <w:szCs w:val="24"/>
              </w:rPr>
              <w:fldChar w:fldCharType="end"/>
            </w:r>
          </w:hyperlink>
        </w:p>
        <w:p w14:paraId="08967AB7" w14:textId="720AD3F2" w:rsidR="006F6559" w:rsidRPr="00CF1A62" w:rsidRDefault="00601E77" w:rsidP="00D227EC">
          <w:pPr>
            <w:pStyle w:val="TOC1"/>
            <w:spacing w:line="360" w:lineRule="auto"/>
            <w:rPr>
              <w:rFonts w:asciiTheme="minorHAnsi" w:eastAsiaTheme="minorEastAsia" w:hAnsiTheme="minorHAnsi" w:cstheme="minorBidi"/>
              <w:color w:val="auto"/>
              <w:sz w:val="24"/>
              <w:szCs w:val="24"/>
              <w:lang w:val="en-AU" w:eastAsia="en-AU"/>
            </w:rPr>
          </w:pPr>
          <w:hyperlink w:anchor="_Toc533149015" w:history="1">
            <w:r w:rsidR="006F6559" w:rsidRPr="00CF1A62">
              <w:rPr>
                <w:rStyle w:val="Hyperlink"/>
                <w:rFonts w:cs="Arial"/>
                <w:color w:val="auto"/>
                <w:sz w:val="24"/>
                <w:szCs w:val="24"/>
                <w:u w:color="FFFFFF" w:themeColor="background1"/>
                <w:lang w:val="en-AU"/>
              </w:rPr>
              <w:t>5</w:t>
            </w:r>
            <w:r w:rsidR="006F6559" w:rsidRPr="00CF1A62">
              <w:rPr>
                <w:rFonts w:asciiTheme="minorHAnsi" w:eastAsiaTheme="minorEastAsia" w:hAnsiTheme="minorHAnsi" w:cstheme="minorBidi"/>
                <w:color w:val="auto"/>
                <w:sz w:val="24"/>
                <w:szCs w:val="24"/>
                <w:lang w:val="en-AU" w:eastAsia="en-AU"/>
              </w:rPr>
              <w:tab/>
            </w:r>
            <w:r w:rsidR="006F6559" w:rsidRPr="00CF1A62">
              <w:rPr>
                <w:rStyle w:val="Hyperlink"/>
                <w:rFonts w:cs="Arial"/>
                <w:color w:val="auto"/>
                <w:sz w:val="24"/>
                <w:szCs w:val="24"/>
                <w:u w:color="FFFFFF" w:themeColor="background1"/>
                <w:lang w:val="en-AU"/>
              </w:rPr>
              <w:t>Monitoring, compliance and enforcement</w:t>
            </w:r>
            <w:r w:rsidR="006F6559" w:rsidRPr="00CF1A62">
              <w:rPr>
                <w:webHidden/>
                <w:color w:val="auto"/>
                <w:sz w:val="24"/>
                <w:szCs w:val="24"/>
              </w:rPr>
              <w:tab/>
            </w:r>
            <w:r w:rsidR="006F6559" w:rsidRPr="00CF1A62">
              <w:rPr>
                <w:webHidden/>
                <w:color w:val="auto"/>
                <w:sz w:val="24"/>
                <w:szCs w:val="24"/>
              </w:rPr>
              <w:fldChar w:fldCharType="begin"/>
            </w:r>
            <w:r w:rsidR="006F6559" w:rsidRPr="00CF1A62">
              <w:rPr>
                <w:webHidden/>
                <w:color w:val="auto"/>
                <w:sz w:val="24"/>
                <w:szCs w:val="24"/>
              </w:rPr>
              <w:instrText xml:space="preserve"> PAGEREF _Toc533149015 \h </w:instrText>
            </w:r>
            <w:r w:rsidR="006F6559" w:rsidRPr="00CF1A62">
              <w:rPr>
                <w:webHidden/>
                <w:color w:val="auto"/>
                <w:sz w:val="24"/>
                <w:szCs w:val="24"/>
              </w:rPr>
            </w:r>
            <w:r w:rsidR="006F6559" w:rsidRPr="00CF1A62">
              <w:rPr>
                <w:webHidden/>
                <w:color w:val="auto"/>
                <w:sz w:val="24"/>
                <w:szCs w:val="24"/>
              </w:rPr>
              <w:fldChar w:fldCharType="separate"/>
            </w:r>
            <w:r w:rsidR="00C1739B">
              <w:rPr>
                <w:webHidden/>
                <w:color w:val="auto"/>
                <w:sz w:val="24"/>
                <w:szCs w:val="24"/>
              </w:rPr>
              <w:t>20</w:t>
            </w:r>
            <w:r w:rsidR="006F6559" w:rsidRPr="00CF1A62">
              <w:rPr>
                <w:webHidden/>
                <w:color w:val="auto"/>
                <w:sz w:val="24"/>
                <w:szCs w:val="24"/>
              </w:rPr>
              <w:fldChar w:fldCharType="end"/>
            </w:r>
          </w:hyperlink>
        </w:p>
        <w:p w14:paraId="0FEE77A7" w14:textId="41896D51" w:rsidR="006F6559" w:rsidRPr="00CF1A62" w:rsidRDefault="00601E77" w:rsidP="00D227EC">
          <w:pPr>
            <w:pStyle w:val="TOC1"/>
            <w:spacing w:line="360" w:lineRule="auto"/>
            <w:rPr>
              <w:rFonts w:asciiTheme="minorHAnsi" w:eastAsiaTheme="minorEastAsia" w:hAnsiTheme="minorHAnsi" w:cstheme="minorBidi"/>
              <w:color w:val="auto"/>
              <w:sz w:val="24"/>
              <w:szCs w:val="24"/>
              <w:lang w:val="en-AU" w:eastAsia="en-AU"/>
            </w:rPr>
          </w:pPr>
          <w:hyperlink w:anchor="_Toc533149016" w:history="1">
            <w:r w:rsidR="006F6559" w:rsidRPr="00CF1A62">
              <w:rPr>
                <w:rStyle w:val="Hyperlink"/>
                <w:rFonts w:cs="Arial"/>
                <w:color w:val="auto"/>
                <w:sz w:val="24"/>
                <w:szCs w:val="24"/>
                <w:u w:color="FFFFFF" w:themeColor="background1"/>
                <w:lang w:val="en-AU"/>
              </w:rPr>
              <w:t>6</w:t>
            </w:r>
            <w:r w:rsidR="006F6559" w:rsidRPr="00CF1A62">
              <w:rPr>
                <w:rFonts w:asciiTheme="minorHAnsi" w:eastAsiaTheme="minorEastAsia" w:hAnsiTheme="minorHAnsi" w:cstheme="minorBidi"/>
                <w:color w:val="auto"/>
                <w:sz w:val="24"/>
                <w:szCs w:val="24"/>
                <w:lang w:val="en-AU" w:eastAsia="en-AU"/>
              </w:rPr>
              <w:tab/>
            </w:r>
            <w:r w:rsidR="006F6559" w:rsidRPr="00CF1A62">
              <w:rPr>
                <w:rStyle w:val="Hyperlink"/>
                <w:rFonts w:cs="Arial"/>
                <w:color w:val="auto"/>
                <w:sz w:val="24"/>
                <w:szCs w:val="24"/>
                <w:u w:color="FFFFFF" w:themeColor="background1"/>
                <w:lang w:val="en-AU"/>
              </w:rPr>
              <w:t>Petroleum, geothermal and pipelines</w:t>
            </w:r>
            <w:r w:rsidR="006F6559" w:rsidRPr="00CF1A62">
              <w:rPr>
                <w:webHidden/>
                <w:color w:val="auto"/>
                <w:sz w:val="24"/>
                <w:szCs w:val="24"/>
              </w:rPr>
              <w:tab/>
            </w:r>
            <w:r w:rsidR="006F6559" w:rsidRPr="00CF1A62">
              <w:rPr>
                <w:webHidden/>
                <w:color w:val="auto"/>
                <w:sz w:val="24"/>
                <w:szCs w:val="24"/>
              </w:rPr>
              <w:fldChar w:fldCharType="begin"/>
            </w:r>
            <w:r w:rsidR="006F6559" w:rsidRPr="00CF1A62">
              <w:rPr>
                <w:webHidden/>
                <w:color w:val="auto"/>
                <w:sz w:val="24"/>
                <w:szCs w:val="24"/>
              </w:rPr>
              <w:instrText xml:space="preserve"> PAGEREF _Toc533149016 \h </w:instrText>
            </w:r>
            <w:r w:rsidR="006F6559" w:rsidRPr="00CF1A62">
              <w:rPr>
                <w:webHidden/>
                <w:color w:val="auto"/>
                <w:sz w:val="24"/>
                <w:szCs w:val="24"/>
              </w:rPr>
            </w:r>
            <w:r w:rsidR="006F6559" w:rsidRPr="00CF1A62">
              <w:rPr>
                <w:webHidden/>
                <w:color w:val="auto"/>
                <w:sz w:val="24"/>
                <w:szCs w:val="24"/>
              </w:rPr>
              <w:fldChar w:fldCharType="separate"/>
            </w:r>
            <w:r w:rsidR="00C1739B">
              <w:rPr>
                <w:webHidden/>
                <w:color w:val="auto"/>
                <w:sz w:val="24"/>
                <w:szCs w:val="24"/>
              </w:rPr>
              <w:t>21</w:t>
            </w:r>
            <w:r w:rsidR="006F6559" w:rsidRPr="00CF1A62">
              <w:rPr>
                <w:webHidden/>
                <w:color w:val="auto"/>
                <w:sz w:val="24"/>
                <w:szCs w:val="24"/>
              </w:rPr>
              <w:fldChar w:fldCharType="end"/>
            </w:r>
          </w:hyperlink>
        </w:p>
        <w:p w14:paraId="4A710BD9" w14:textId="677450B9" w:rsidR="006F6559" w:rsidRPr="00CF1A62" w:rsidRDefault="00CF1A62" w:rsidP="00D227EC">
          <w:pPr>
            <w:pStyle w:val="TOC2"/>
            <w:spacing w:line="360" w:lineRule="auto"/>
            <w:jc w:val="center"/>
            <w:rPr>
              <w:rFonts w:asciiTheme="minorHAnsi" w:eastAsiaTheme="minorEastAsia" w:hAnsiTheme="minorHAnsi" w:cstheme="minorBidi"/>
              <w:noProof/>
              <w:color w:val="auto"/>
              <w:sz w:val="24"/>
              <w:szCs w:val="24"/>
              <w:lang w:val="en-AU" w:eastAsia="en-AU"/>
            </w:rPr>
          </w:pPr>
          <w:r w:rsidRPr="00CF1A62">
            <w:rPr>
              <w:rStyle w:val="Hyperlink"/>
              <w:noProof/>
              <w:color w:val="auto"/>
              <w:sz w:val="24"/>
              <w:szCs w:val="24"/>
              <w:u w:val="none"/>
            </w:rPr>
            <w:tab/>
          </w:r>
          <w:hyperlink w:anchor="_Toc533149017" w:history="1">
            <w:r w:rsidR="006F6559" w:rsidRPr="00CF1A62">
              <w:rPr>
                <w:rStyle w:val="Hyperlink"/>
                <w:noProof/>
                <w:color w:val="auto"/>
                <w:sz w:val="24"/>
                <w:szCs w:val="24"/>
                <w:lang w:val="en-AU"/>
              </w:rPr>
              <w:t>6.1</w:t>
            </w:r>
            <w:r w:rsidRPr="00CF1A62">
              <w:rPr>
                <w:rFonts w:asciiTheme="minorHAnsi" w:eastAsiaTheme="minorEastAsia" w:hAnsiTheme="minorHAnsi" w:cstheme="minorBidi"/>
                <w:noProof/>
                <w:color w:val="auto"/>
                <w:sz w:val="24"/>
                <w:szCs w:val="24"/>
                <w:lang w:val="en-AU" w:eastAsia="en-AU"/>
              </w:rPr>
              <w:t xml:space="preserve"> </w:t>
            </w:r>
            <w:r w:rsidR="006F6559" w:rsidRPr="00CF1A62">
              <w:rPr>
                <w:rStyle w:val="Hyperlink"/>
                <w:noProof/>
                <w:color w:val="auto"/>
                <w:sz w:val="24"/>
                <w:szCs w:val="24"/>
                <w:lang w:val="en-AU"/>
              </w:rPr>
              <w:t>Petroleum</w:t>
            </w:r>
            <w:r w:rsidR="006F6559" w:rsidRPr="00CF1A62">
              <w:rPr>
                <w:noProof/>
                <w:webHidden/>
                <w:color w:val="auto"/>
                <w:sz w:val="24"/>
                <w:szCs w:val="24"/>
              </w:rPr>
              <w:tab/>
            </w:r>
            <w:r w:rsidR="006F6559" w:rsidRPr="00CF1A62">
              <w:rPr>
                <w:noProof/>
                <w:webHidden/>
                <w:color w:val="auto"/>
                <w:sz w:val="24"/>
                <w:szCs w:val="24"/>
              </w:rPr>
              <w:fldChar w:fldCharType="begin"/>
            </w:r>
            <w:r w:rsidR="006F6559" w:rsidRPr="00CF1A62">
              <w:rPr>
                <w:noProof/>
                <w:webHidden/>
                <w:color w:val="auto"/>
                <w:sz w:val="24"/>
                <w:szCs w:val="24"/>
              </w:rPr>
              <w:instrText xml:space="preserve"> PAGEREF _Toc533149017 \h </w:instrText>
            </w:r>
            <w:r w:rsidR="006F6559" w:rsidRPr="00CF1A62">
              <w:rPr>
                <w:noProof/>
                <w:webHidden/>
                <w:color w:val="auto"/>
                <w:sz w:val="24"/>
                <w:szCs w:val="24"/>
              </w:rPr>
            </w:r>
            <w:r w:rsidR="006F6559" w:rsidRPr="00CF1A62">
              <w:rPr>
                <w:noProof/>
                <w:webHidden/>
                <w:color w:val="auto"/>
                <w:sz w:val="24"/>
                <w:szCs w:val="24"/>
              </w:rPr>
              <w:fldChar w:fldCharType="separate"/>
            </w:r>
            <w:r w:rsidR="00C1739B">
              <w:rPr>
                <w:noProof/>
                <w:webHidden/>
                <w:color w:val="auto"/>
                <w:sz w:val="24"/>
                <w:szCs w:val="24"/>
              </w:rPr>
              <w:t>21</w:t>
            </w:r>
            <w:r w:rsidR="006F6559" w:rsidRPr="00CF1A62">
              <w:rPr>
                <w:noProof/>
                <w:webHidden/>
                <w:color w:val="auto"/>
                <w:sz w:val="24"/>
                <w:szCs w:val="24"/>
              </w:rPr>
              <w:fldChar w:fldCharType="end"/>
            </w:r>
          </w:hyperlink>
        </w:p>
        <w:p w14:paraId="6DE056ED" w14:textId="4DB23376" w:rsidR="006F6559" w:rsidRPr="00CF1A62" w:rsidRDefault="00CF1A62" w:rsidP="00D227EC">
          <w:pPr>
            <w:pStyle w:val="TOC2"/>
            <w:spacing w:line="360" w:lineRule="auto"/>
            <w:jc w:val="center"/>
            <w:rPr>
              <w:rFonts w:asciiTheme="minorHAnsi" w:eastAsiaTheme="minorEastAsia" w:hAnsiTheme="minorHAnsi" w:cstheme="minorBidi"/>
              <w:noProof/>
              <w:color w:val="auto"/>
              <w:sz w:val="24"/>
              <w:szCs w:val="24"/>
              <w:lang w:val="en-AU" w:eastAsia="en-AU"/>
            </w:rPr>
          </w:pPr>
          <w:r w:rsidRPr="00CF1A62">
            <w:rPr>
              <w:rStyle w:val="Hyperlink"/>
              <w:noProof/>
              <w:color w:val="auto"/>
              <w:sz w:val="24"/>
              <w:szCs w:val="24"/>
              <w:u w:val="none"/>
            </w:rPr>
            <w:tab/>
          </w:r>
          <w:hyperlink w:anchor="_Toc533149018" w:history="1">
            <w:r w:rsidR="006F6559" w:rsidRPr="00CF1A62">
              <w:rPr>
                <w:rStyle w:val="Hyperlink"/>
                <w:noProof/>
                <w:color w:val="auto"/>
                <w:sz w:val="24"/>
                <w:szCs w:val="24"/>
                <w:lang w:val="en-AU"/>
              </w:rPr>
              <w:t>6.2</w:t>
            </w:r>
            <w:r w:rsidRPr="00CF1A62">
              <w:rPr>
                <w:rFonts w:asciiTheme="minorHAnsi" w:eastAsiaTheme="minorEastAsia" w:hAnsiTheme="minorHAnsi" w:cstheme="minorBidi"/>
                <w:noProof/>
                <w:color w:val="auto"/>
                <w:sz w:val="24"/>
                <w:szCs w:val="24"/>
                <w:lang w:val="en-AU" w:eastAsia="en-AU"/>
              </w:rPr>
              <w:t xml:space="preserve"> </w:t>
            </w:r>
            <w:r w:rsidR="006F6559" w:rsidRPr="00CF1A62">
              <w:rPr>
                <w:rStyle w:val="Hyperlink"/>
                <w:noProof/>
                <w:color w:val="auto"/>
                <w:sz w:val="24"/>
                <w:szCs w:val="24"/>
                <w:lang w:val="en-AU"/>
              </w:rPr>
              <w:t>Petroleum tenements</w:t>
            </w:r>
            <w:r w:rsidR="006F6559" w:rsidRPr="00CF1A62">
              <w:rPr>
                <w:noProof/>
                <w:webHidden/>
                <w:color w:val="auto"/>
                <w:sz w:val="24"/>
                <w:szCs w:val="24"/>
              </w:rPr>
              <w:tab/>
            </w:r>
            <w:r w:rsidR="006F6559" w:rsidRPr="00CF1A62">
              <w:rPr>
                <w:noProof/>
                <w:webHidden/>
                <w:color w:val="auto"/>
                <w:sz w:val="24"/>
                <w:szCs w:val="24"/>
              </w:rPr>
              <w:fldChar w:fldCharType="begin"/>
            </w:r>
            <w:r w:rsidR="006F6559" w:rsidRPr="00CF1A62">
              <w:rPr>
                <w:noProof/>
                <w:webHidden/>
                <w:color w:val="auto"/>
                <w:sz w:val="24"/>
                <w:szCs w:val="24"/>
              </w:rPr>
              <w:instrText xml:space="preserve"> PAGEREF _Toc533149018 \h </w:instrText>
            </w:r>
            <w:r w:rsidR="006F6559" w:rsidRPr="00CF1A62">
              <w:rPr>
                <w:noProof/>
                <w:webHidden/>
                <w:color w:val="auto"/>
                <w:sz w:val="24"/>
                <w:szCs w:val="24"/>
              </w:rPr>
            </w:r>
            <w:r w:rsidR="006F6559" w:rsidRPr="00CF1A62">
              <w:rPr>
                <w:noProof/>
                <w:webHidden/>
                <w:color w:val="auto"/>
                <w:sz w:val="24"/>
                <w:szCs w:val="24"/>
              </w:rPr>
              <w:fldChar w:fldCharType="separate"/>
            </w:r>
            <w:r w:rsidR="00C1739B">
              <w:rPr>
                <w:noProof/>
                <w:webHidden/>
                <w:color w:val="auto"/>
                <w:sz w:val="24"/>
                <w:szCs w:val="24"/>
              </w:rPr>
              <w:t>21</w:t>
            </w:r>
            <w:r w:rsidR="006F6559" w:rsidRPr="00CF1A62">
              <w:rPr>
                <w:noProof/>
                <w:webHidden/>
                <w:color w:val="auto"/>
                <w:sz w:val="24"/>
                <w:szCs w:val="24"/>
              </w:rPr>
              <w:fldChar w:fldCharType="end"/>
            </w:r>
          </w:hyperlink>
        </w:p>
        <w:p w14:paraId="5273ACCB" w14:textId="1E088183" w:rsidR="006F6559" w:rsidRPr="00CF1A62" w:rsidRDefault="00601E77" w:rsidP="00D227EC">
          <w:pPr>
            <w:pStyle w:val="TOC3"/>
            <w:tabs>
              <w:tab w:val="left" w:pos="1760"/>
            </w:tabs>
            <w:spacing w:line="360" w:lineRule="auto"/>
            <w:jc w:val="center"/>
            <w:rPr>
              <w:rFonts w:asciiTheme="minorHAnsi" w:eastAsiaTheme="minorEastAsia" w:hAnsiTheme="minorHAnsi" w:cstheme="minorBidi"/>
              <w:noProof/>
              <w:color w:val="auto"/>
              <w:sz w:val="24"/>
              <w:szCs w:val="24"/>
              <w:lang w:val="en-AU" w:eastAsia="en-AU"/>
            </w:rPr>
          </w:pPr>
          <w:hyperlink w:anchor="_Toc533149019" w:history="1">
            <w:r w:rsidR="006F6559" w:rsidRPr="00CF1A62">
              <w:rPr>
                <w:rStyle w:val="Hyperlink"/>
                <w:rFonts w:cs="Arial"/>
                <w:noProof/>
                <w:color w:val="auto"/>
                <w:sz w:val="24"/>
                <w:szCs w:val="24"/>
                <w:u w:color="FFFFFF" w:themeColor="background1"/>
                <w:lang w:val="en-AU"/>
              </w:rPr>
              <w:t>6.2.2</w:t>
            </w:r>
            <w:r w:rsidR="006F6559" w:rsidRPr="00CF1A62">
              <w:rPr>
                <w:rFonts w:asciiTheme="minorHAnsi" w:eastAsiaTheme="minorEastAsia" w:hAnsiTheme="minorHAnsi" w:cstheme="minorBidi"/>
                <w:noProof/>
                <w:color w:val="auto"/>
                <w:sz w:val="24"/>
                <w:szCs w:val="24"/>
                <w:lang w:val="en-AU" w:eastAsia="en-AU"/>
              </w:rPr>
              <w:tab/>
            </w:r>
            <w:r w:rsidR="006F6559" w:rsidRPr="00CF1A62">
              <w:rPr>
                <w:rStyle w:val="Hyperlink"/>
                <w:rFonts w:cs="Arial"/>
                <w:noProof/>
                <w:color w:val="auto"/>
                <w:sz w:val="24"/>
                <w:szCs w:val="24"/>
                <w:u w:color="FFFFFF" w:themeColor="background1"/>
                <w:lang w:val="en-AU"/>
              </w:rPr>
              <w:t>Petroleum exploration and development</w:t>
            </w:r>
            <w:r w:rsidR="006F6559" w:rsidRPr="00CF1A62">
              <w:rPr>
                <w:noProof/>
                <w:webHidden/>
                <w:color w:val="auto"/>
                <w:sz w:val="24"/>
                <w:szCs w:val="24"/>
              </w:rPr>
              <w:tab/>
            </w:r>
            <w:r w:rsidR="006F6559" w:rsidRPr="00CF1A62">
              <w:rPr>
                <w:noProof/>
                <w:webHidden/>
                <w:color w:val="auto"/>
                <w:sz w:val="24"/>
                <w:szCs w:val="24"/>
              </w:rPr>
              <w:fldChar w:fldCharType="begin"/>
            </w:r>
            <w:r w:rsidR="006F6559" w:rsidRPr="00CF1A62">
              <w:rPr>
                <w:noProof/>
                <w:webHidden/>
                <w:color w:val="auto"/>
                <w:sz w:val="24"/>
                <w:szCs w:val="24"/>
              </w:rPr>
              <w:instrText xml:space="preserve"> PAGEREF _Toc533149019 \h </w:instrText>
            </w:r>
            <w:r w:rsidR="006F6559" w:rsidRPr="00CF1A62">
              <w:rPr>
                <w:noProof/>
                <w:webHidden/>
                <w:color w:val="auto"/>
                <w:sz w:val="24"/>
                <w:szCs w:val="24"/>
              </w:rPr>
            </w:r>
            <w:r w:rsidR="006F6559" w:rsidRPr="00CF1A62">
              <w:rPr>
                <w:noProof/>
                <w:webHidden/>
                <w:color w:val="auto"/>
                <w:sz w:val="24"/>
                <w:szCs w:val="24"/>
              </w:rPr>
              <w:fldChar w:fldCharType="separate"/>
            </w:r>
            <w:r w:rsidR="00C1739B">
              <w:rPr>
                <w:noProof/>
                <w:webHidden/>
                <w:color w:val="auto"/>
                <w:sz w:val="24"/>
                <w:szCs w:val="24"/>
              </w:rPr>
              <w:t>23</w:t>
            </w:r>
            <w:r w:rsidR="006F6559" w:rsidRPr="00CF1A62">
              <w:rPr>
                <w:noProof/>
                <w:webHidden/>
                <w:color w:val="auto"/>
                <w:sz w:val="24"/>
                <w:szCs w:val="24"/>
              </w:rPr>
              <w:fldChar w:fldCharType="end"/>
            </w:r>
          </w:hyperlink>
        </w:p>
        <w:p w14:paraId="3AB8DAC3" w14:textId="5D3F88E1" w:rsidR="006F6559" w:rsidRPr="00CF1A62" w:rsidRDefault="00601E77" w:rsidP="00D227EC">
          <w:pPr>
            <w:pStyle w:val="TOC3"/>
            <w:tabs>
              <w:tab w:val="left" w:pos="1760"/>
            </w:tabs>
            <w:spacing w:line="360" w:lineRule="auto"/>
            <w:jc w:val="center"/>
            <w:rPr>
              <w:rFonts w:asciiTheme="minorHAnsi" w:eastAsiaTheme="minorEastAsia" w:hAnsiTheme="minorHAnsi" w:cstheme="minorBidi"/>
              <w:noProof/>
              <w:color w:val="auto"/>
              <w:sz w:val="24"/>
              <w:szCs w:val="24"/>
              <w:lang w:val="en-AU" w:eastAsia="en-AU"/>
            </w:rPr>
          </w:pPr>
          <w:hyperlink w:anchor="_Toc533149020" w:history="1">
            <w:r w:rsidR="006F6559" w:rsidRPr="00CF1A62">
              <w:rPr>
                <w:rStyle w:val="Hyperlink"/>
                <w:rFonts w:cs="Arial"/>
                <w:noProof/>
                <w:color w:val="auto"/>
                <w:sz w:val="24"/>
                <w:szCs w:val="24"/>
                <w:u w:color="FFFFFF" w:themeColor="background1"/>
                <w:lang w:val="en-AU"/>
              </w:rPr>
              <w:t>6.2.3</w:t>
            </w:r>
            <w:r w:rsidR="006F6559" w:rsidRPr="00CF1A62">
              <w:rPr>
                <w:rFonts w:asciiTheme="minorHAnsi" w:eastAsiaTheme="minorEastAsia" w:hAnsiTheme="minorHAnsi" w:cstheme="minorBidi"/>
                <w:noProof/>
                <w:color w:val="auto"/>
                <w:sz w:val="24"/>
                <w:szCs w:val="24"/>
                <w:lang w:val="en-AU" w:eastAsia="en-AU"/>
              </w:rPr>
              <w:tab/>
            </w:r>
            <w:r w:rsidR="006F6559" w:rsidRPr="00CF1A62">
              <w:rPr>
                <w:rStyle w:val="Hyperlink"/>
                <w:rFonts w:cs="Arial"/>
                <w:noProof/>
                <w:color w:val="auto"/>
                <w:sz w:val="24"/>
                <w:szCs w:val="24"/>
                <w:u w:color="FFFFFF" w:themeColor="background1"/>
                <w:lang w:val="en-AU"/>
              </w:rPr>
              <w:t>Geothermal Energy</w:t>
            </w:r>
            <w:r w:rsidR="006F6559" w:rsidRPr="00CF1A62">
              <w:rPr>
                <w:noProof/>
                <w:webHidden/>
                <w:color w:val="auto"/>
                <w:sz w:val="24"/>
                <w:szCs w:val="24"/>
              </w:rPr>
              <w:tab/>
            </w:r>
            <w:r w:rsidR="006F6559" w:rsidRPr="00CF1A62">
              <w:rPr>
                <w:noProof/>
                <w:webHidden/>
                <w:color w:val="auto"/>
                <w:sz w:val="24"/>
                <w:szCs w:val="24"/>
              </w:rPr>
              <w:fldChar w:fldCharType="begin"/>
            </w:r>
            <w:r w:rsidR="006F6559" w:rsidRPr="00CF1A62">
              <w:rPr>
                <w:noProof/>
                <w:webHidden/>
                <w:color w:val="auto"/>
                <w:sz w:val="24"/>
                <w:szCs w:val="24"/>
              </w:rPr>
              <w:instrText xml:space="preserve"> PAGEREF _Toc533149020 \h </w:instrText>
            </w:r>
            <w:r w:rsidR="006F6559" w:rsidRPr="00CF1A62">
              <w:rPr>
                <w:noProof/>
                <w:webHidden/>
                <w:color w:val="auto"/>
                <w:sz w:val="24"/>
                <w:szCs w:val="24"/>
              </w:rPr>
            </w:r>
            <w:r w:rsidR="006F6559" w:rsidRPr="00CF1A62">
              <w:rPr>
                <w:noProof/>
                <w:webHidden/>
                <w:color w:val="auto"/>
                <w:sz w:val="24"/>
                <w:szCs w:val="24"/>
              </w:rPr>
              <w:fldChar w:fldCharType="separate"/>
            </w:r>
            <w:r w:rsidR="00C1739B">
              <w:rPr>
                <w:noProof/>
                <w:webHidden/>
                <w:color w:val="auto"/>
                <w:sz w:val="24"/>
                <w:szCs w:val="24"/>
              </w:rPr>
              <w:t>25</w:t>
            </w:r>
            <w:r w:rsidR="006F6559" w:rsidRPr="00CF1A62">
              <w:rPr>
                <w:noProof/>
                <w:webHidden/>
                <w:color w:val="auto"/>
                <w:sz w:val="24"/>
                <w:szCs w:val="24"/>
              </w:rPr>
              <w:fldChar w:fldCharType="end"/>
            </w:r>
          </w:hyperlink>
        </w:p>
        <w:p w14:paraId="60AD3DB5" w14:textId="7FBCFC4E" w:rsidR="006F6559" w:rsidRPr="00CF1A62" w:rsidRDefault="00601E77" w:rsidP="00D227EC">
          <w:pPr>
            <w:pStyle w:val="TOC3"/>
            <w:tabs>
              <w:tab w:val="left" w:pos="1760"/>
            </w:tabs>
            <w:spacing w:line="360" w:lineRule="auto"/>
            <w:jc w:val="center"/>
            <w:rPr>
              <w:rFonts w:asciiTheme="minorHAnsi" w:eastAsiaTheme="minorEastAsia" w:hAnsiTheme="minorHAnsi" w:cstheme="minorBidi"/>
              <w:noProof/>
              <w:color w:val="auto"/>
              <w:sz w:val="24"/>
              <w:szCs w:val="24"/>
              <w:lang w:val="en-AU" w:eastAsia="en-AU"/>
            </w:rPr>
          </w:pPr>
          <w:hyperlink w:anchor="_Toc533149021" w:history="1">
            <w:r w:rsidR="006F6559" w:rsidRPr="00CF1A62">
              <w:rPr>
                <w:rStyle w:val="Hyperlink"/>
                <w:rFonts w:cs="Arial"/>
                <w:noProof/>
                <w:color w:val="auto"/>
                <w:sz w:val="24"/>
                <w:szCs w:val="24"/>
                <w:u w:color="FFFFFF" w:themeColor="background1"/>
                <w:lang w:val="en-AU"/>
              </w:rPr>
              <w:t>6.2.4</w:t>
            </w:r>
            <w:r w:rsidR="006F6559" w:rsidRPr="00CF1A62">
              <w:rPr>
                <w:rFonts w:asciiTheme="minorHAnsi" w:eastAsiaTheme="minorEastAsia" w:hAnsiTheme="minorHAnsi" w:cstheme="minorBidi"/>
                <w:noProof/>
                <w:color w:val="auto"/>
                <w:sz w:val="24"/>
                <w:szCs w:val="24"/>
                <w:lang w:val="en-AU" w:eastAsia="en-AU"/>
              </w:rPr>
              <w:tab/>
            </w:r>
            <w:r w:rsidR="006F6559" w:rsidRPr="00CF1A62">
              <w:rPr>
                <w:rStyle w:val="Hyperlink"/>
                <w:rFonts w:cs="Arial"/>
                <w:noProof/>
                <w:color w:val="auto"/>
                <w:sz w:val="24"/>
                <w:szCs w:val="24"/>
                <w:u w:color="FFFFFF" w:themeColor="background1"/>
                <w:lang w:val="en-AU"/>
              </w:rPr>
              <w:t>Geothermal energy tenements</w:t>
            </w:r>
            <w:r w:rsidR="006F6559" w:rsidRPr="00CF1A62">
              <w:rPr>
                <w:noProof/>
                <w:webHidden/>
                <w:color w:val="auto"/>
                <w:sz w:val="24"/>
                <w:szCs w:val="24"/>
              </w:rPr>
              <w:tab/>
            </w:r>
            <w:r w:rsidR="006F6559" w:rsidRPr="00CF1A62">
              <w:rPr>
                <w:noProof/>
                <w:webHidden/>
                <w:color w:val="auto"/>
                <w:sz w:val="24"/>
                <w:szCs w:val="24"/>
              </w:rPr>
              <w:fldChar w:fldCharType="begin"/>
            </w:r>
            <w:r w:rsidR="006F6559" w:rsidRPr="00CF1A62">
              <w:rPr>
                <w:noProof/>
                <w:webHidden/>
                <w:color w:val="auto"/>
                <w:sz w:val="24"/>
                <w:szCs w:val="24"/>
              </w:rPr>
              <w:instrText xml:space="preserve"> PAGEREF _Toc533149021 \h </w:instrText>
            </w:r>
            <w:r w:rsidR="006F6559" w:rsidRPr="00CF1A62">
              <w:rPr>
                <w:noProof/>
                <w:webHidden/>
                <w:color w:val="auto"/>
                <w:sz w:val="24"/>
                <w:szCs w:val="24"/>
              </w:rPr>
            </w:r>
            <w:r w:rsidR="006F6559" w:rsidRPr="00CF1A62">
              <w:rPr>
                <w:noProof/>
                <w:webHidden/>
                <w:color w:val="auto"/>
                <w:sz w:val="24"/>
                <w:szCs w:val="24"/>
              </w:rPr>
              <w:fldChar w:fldCharType="separate"/>
            </w:r>
            <w:r w:rsidR="00C1739B">
              <w:rPr>
                <w:noProof/>
                <w:webHidden/>
                <w:color w:val="auto"/>
                <w:sz w:val="24"/>
                <w:szCs w:val="24"/>
              </w:rPr>
              <w:t>25</w:t>
            </w:r>
            <w:r w:rsidR="006F6559" w:rsidRPr="00CF1A62">
              <w:rPr>
                <w:noProof/>
                <w:webHidden/>
                <w:color w:val="auto"/>
                <w:sz w:val="24"/>
                <w:szCs w:val="24"/>
              </w:rPr>
              <w:fldChar w:fldCharType="end"/>
            </w:r>
          </w:hyperlink>
        </w:p>
        <w:p w14:paraId="712544E8" w14:textId="74C3B390" w:rsidR="006F6559" w:rsidRPr="00CF1A62" w:rsidRDefault="00CF1A62" w:rsidP="00D227EC">
          <w:pPr>
            <w:pStyle w:val="TOC2"/>
            <w:spacing w:line="360" w:lineRule="auto"/>
            <w:jc w:val="center"/>
            <w:rPr>
              <w:rFonts w:asciiTheme="minorHAnsi" w:eastAsiaTheme="minorEastAsia" w:hAnsiTheme="minorHAnsi" w:cstheme="minorBidi"/>
              <w:noProof/>
              <w:color w:val="auto"/>
              <w:sz w:val="24"/>
              <w:szCs w:val="24"/>
              <w:lang w:val="en-AU" w:eastAsia="en-AU"/>
            </w:rPr>
          </w:pPr>
          <w:r w:rsidRPr="00CF1A62">
            <w:rPr>
              <w:rStyle w:val="Hyperlink"/>
              <w:noProof/>
              <w:color w:val="auto"/>
              <w:sz w:val="24"/>
              <w:szCs w:val="24"/>
              <w:u w:val="none"/>
            </w:rPr>
            <w:tab/>
          </w:r>
          <w:hyperlink w:anchor="_Toc533149022" w:history="1">
            <w:r w:rsidR="006F6559" w:rsidRPr="00CF1A62">
              <w:rPr>
                <w:rStyle w:val="Hyperlink"/>
                <w:noProof/>
                <w:color w:val="auto"/>
                <w:sz w:val="24"/>
                <w:szCs w:val="24"/>
                <w:lang w:val="en-AU"/>
              </w:rPr>
              <w:t>6.3</w:t>
            </w:r>
            <w:r w:rsidRPr="00CF1A62">
              <w:rPr>
                <w:rFonts w:asciiTheme="minorHAnsi" w:eastAsiaTheme="minorEastAsia" w:hAnsiTheme="minorHAnsi" w:cstheme="minorBidi"/>
                <w:noProof/>
                <w:color w:val="auto"/>
                <w:sz w:val="24"/>
                <w:szCs w:val="24"/>
                <w:lang w:val="en-AU" w:eastAsia="en-AU"/>
              </w:rPr>
              <w:t xml:space="preserve"> </w:t>
            </w:r>
            <w:r w:rsidR="006F6559" w:rsidRPr="00CF1A62">
              <w:rPr>
                <w:rStyle w:val="Hyperlink"/>
                <w:noProof/>
                <w:color w:val="auto"/>
                <w:sz w:val="24"/>
                <w:szCs w:val="24"/>
                <w:lang w:val="en-AU"/>
              </w:rPr>
              <w:t>Offshore Pipelines</w:t>
            </w:r>
            <w:r w:rsidR="006F6559" w:rsidRPr="00CF1A62">
              <w:rPr>
                <w:noProof/>
                <w:webHidden/>
                <w:color w:val="auto"/>
                <w:sz w:val="24"/>
                <w:szCs w:val="24"/>
              </w:rPr>
              <w:tab/>
            </w:r>
            <w:r w:rsidR="006F6559" w:rsidRPr="00CF1A62">
              <w:rPr>
                <w:noProof/>
                <w:webHidden/>
                <w:color w:val="auto"/>
                <w:sz w:val="24"/>
                <w:szCs w:val="24"/>
              </w:rPr>
              <w:fldChar w:fldCharType="begin"/>
            </w:r>
            <w:r w:rsidR="006F6559" w:rsidRPr="00CF1A62">
              <w:rPr>
                <w:noProof/>
                <w:webHidden/>
                <w:color w:val="auto"/>
                <w:sz w:val="24"/>
                <w:szCs w:val="24"/>
              </w:rPr>
              <w:instrText xml:space="preserve"> PAGEREF _Toc533149022 \h </w:instrText>
            </w:r>
            <w:r w:rsidR="006F6559" w:rsidRPr="00CF1A62">
              <w:rPr>
                <w:noProof/>
                <w:webHidden/>
                <w:color w:val="auto"/>
                <w:sz w:val="24"/>
                <w:szCs w:val="24"/>
              </w:rPr>
            </w:r>
            <w:r w:rsidR="006F6559" w:rsidRPr="00CF1A62">
              <w:rPr>
                <w:noProof/>
                <w:webHidden/>
                <w:color w:val="auto"/>
                <w:sz w:val="24"/>
                <w:szCs w:val="24"/>
              </w:rPr>
              <w:fldChar w:fldCharType="separate"/>
            </w:r>
            <w:r w:rsidR="00C1739B">
              <w:rPr>
                <w:noProof/>
                <w:webHidden/>
                <w:color w:val="auto"/>
                <w:sz w:val="24"/>
                <w:szCs w:val="24"/>
              </w:rPr>
              <w:t>25</w:t>
            </w:r>
            <w:r w:rsidR="006F6559" w:rsidRPr="00CF1A62">
              <w:rPr>
                <w:noProof/>
                <w:webHidden/>
                <w:color w:val="auto"/>
                <w:sz w:val="24"/>
                <w:szCs w:val="24"/>
              </w:rPr>
              <w:fldChar w:fldCharType="end"/>
            </w:r>
          </w:hyperlink>
        </w:p>
        <w:p w14:paraId="10F31708" w14:textId="2DF350D0" w:rsidR="00DF7AC1" w:rsidRPr="00A11CC5" w:rsidRDefault="00DF7AC1" w:rsidP="00D227EC">
          <w:pPr>
            <w:spacing w:line="360" w:lineRule="auto"/>
            <w:jc w:val="center"/>
            <w:rPr>
              <w:color w:val="auto"/>
            </w:rPr>
          </w:pPr>
          <w:r w:rsidRPr="00CF1A62">
            <w:rPr>
              <w:b/>
              <w:bCs/>
              <w:noProof/>
              <w:color w:val="auto"/>
              <w:sz w:val="24"/>
              <w:szCs w:val="24"/>
            </w:rPr>
            <w:fldChar w:fldCharType="end"/>
          </w:r>
        </w:p>
      </w:sdtContent>
    </w:sdt>
    <w:p w14:paraId="58C7419B" w14:textId="77777777" w:rsidR="00BD3F3F" w:rsidRPr="00A11CC5" w:rsidRDefault="00BD3F3F" w:rsidP="00D227EC">
      <w:pPr>
        <w:spacing w:line="360" w:lineRule="auto"/>
        <w:rPr>
          <w:rFonts w:cs="Arial"/>
          <w:color w:val="auto"/>
          <w:spacing w:val="-10"/>
          <w:sz w:val="28"/>
          <w:u w:color="FFFFFF" w:themeColor="background1"/>
          <w:lang w:val="en-AU"/>
        </w:rPr>
      </w:pPr>
      <w:r w:rsidRPr="00A11CC5">
        <w:rPr>
          <w:rFonts w:cs="Arial"/>
          <w:color w:val="auto"/>
          <w:u w:color="FFFFFF" w:themeColor="background1"/>
          <w:lang w:val="en-AU"/>
        </w:rPr>
        <w:br w:type="page"/>
      </w:r>
    </w:p>
    <w:p w14:paraId="6F2CBDE2" w14:textId="662731EC" w:rsidR="00DB0772" w:rsidRPr="00A11CC5" w:rsidRDefault="00BD3F3F" w:rsidP="00684C16">
      <w:pPr>
        <w:pStyle w:val="Heading1"/>
        <w:rPr>
          <w:rFonts w:cs="Arial"/>
          <w:color w:val="auto"/>
          <w:sz w:val="28"/>
          <w:szCs w:val="28"/>
          <w:u w:color="FFFFFF" w:themeColor="background1"/>
          <w:lang w:val="en-AU"/>
        </w:rPr>
      </w:pPr>
      <w:bookmarkStart w:id="1" w:name="_Toc533149006"/>
      <w:r w:rsidRPr="00A11CC5">
        <w:rPr>
          <w:rFonts w:cs="Arial"/>
          <w:color w:val="auto"/>
          <w:sz w:val="28"/>
          <w:szCs w:val="28"/>
          <w:u w:color="FFFFFF" w:themeColor="background1"/>
          <w:lang w:val="en-AU"/>
        </w:rPr>
        <w:lastRenderedPageBreak/>
        <w:t>Introduction</w:t>
      </w:r>
      <w:bookmarkEnd w:id="1"/>
    </w:p>
    <w:p w14:paraId="227D7A7E" w14:textId="54CF1192" w:rsidR="005C619D" w:rsidRDefault="005C619D" w:rsidP="006559CC">
      <w:pPr>
        <w:pStyle w:val="bodycopy"/>
        <w:spacing w:after="0" w:line="240" w:lineRule="auto"/>
        <w:rPr>
          <w:color w:val="auto"/>
          <w:sz w:val="20"/>
          <w:szCs w:val="20"/>
          <w:u w:color="FFFFFF" w:themeColor="background1"/>
          <w:lang w:val="en-AU"/>
        </w:rPr>
      </w:pPr>
      <w:r w:rsidRPr="00A11CC5">
        <w:rPr>
          <w:color w:val="auto"/>
          <w:sz w:val="20"/>
          <w:szCs w:val="20"/>
          <w:u w:color="FFFFFF" w:themeColor="background1"/>
          <w:lang w:val="en-AU"/>
        </w:rPr>
        <w:t xml:space="preserve">The Earth Resources Regulation Branch in the Department of </w:t>
      </w:r>
      <w:r w:rsidR="008E53D3">
        <w:rPr>
          <w:color w:val="auto"/>
          <w:sz w:val="20"/>
          <w:szCs w:val="20"/>
          <w:u w:color="FFFFFF" w:themeColor="background1"/>
          <w:lang w:val="en-AU"/>
        </w:rPr>
        <w:t>Jobs</w:t>
      </w:r>
      <w:r w:rsidR="000E7FBA">
        <w:rPr>
          <w:color w:val="auto"/>
          <w:sz w:val="20"/>
          <w:szCs w:val="20"/>
          <w:u w:color="FFFFFF" w:themeColor="background1"/>
          <w:lang w:val="en-AU"/>
        </w:rPr>
        <w:t>,</w:t>
      </w:r>
      <w:r w:rsidR="008E53D3">
        <w:rPr>
          <w:color w:val="auto"/>
          <w:sz w:val="20"/>
          <w:szCs w:val="20"/>
          <w:u w:color="FFFFFF" w:themeColor="background1"/>
          <w:lang w:val="en-AU"/>
        </w:rPr>
        <w:t xml:space="preserve"> Precincts</w:t>
      </w:r>
      <w:r w:rsidR="00484EE0">
        <w:rPr>
          <w:color w:val="auto"/>
          <w:sz w:val="20"/>
          <w:szCs w:val="20"/>
          <w:u w:color="FFFFFF" w:themeColor="background1"/>
          <w:lang w:val="en-AU"/>
        </w:rPr>
        <w:t xml:space="preserve"> and Regions</w:t>
      </w:r>
      <w:r w:rsidRPr="00A11CC5">
        <w:rPr>
          <w:color w:val="auto"/>
          <w:sz w:val="20"/>
          <w:szCs w:val="20"/>
          <w:u w:color="FFFFFF" w:themeColor="background1"/>
          <w:lang w:val="en-AU"/>
        </w:rPr>
        <w:t xml:space="preserve"> (</w:t>
      </w:r>
      <w:r w:rsidR="00484EE0">
        <w:rPr>
          <w:color w:val="auto"/>
          <w:sz w:val="20"/>
          <w:szCs w:val="20"/>
          <w:u w:color="FFFFFF" w:themeColor="background1"/>
          <w:lang w:val="en-AU"/>
        </w:rPr>
        <w:t>DJPR</w:t>
      </w:r>
      <w:r w:rsidRPr="00A11CC5">
        <w:rPr>
          <w:color w:val="auto"/>
          <w:sz w:val="20"/>
          <w:szCs w:val="20"/>
          <w:u w:color="FFFFFF" w:themeColor="background1"/>
          <w:lang w:val="en-AU"/>
        </w:rPr>
        <w:t xml:space="preserve">) is responsible for the regulation of minerals, extractives, petroleum, pipelines, geothermal and carbon storage </w:t>
      </w:r>
      <w:r w:rsidR="001168D1" w:rsidRPr="00A11CC5">
        <w:rPr>
          <w:color w:val="auto"/>
          <w:sz w:val="20"/>
          <w:szCs w:val="20"/>
          <w:u w:color="FFFFFF" w:themeColor="background1"/>
          <w:lang w:val="en-AU"/>
        </w:rPr>
        <w:t>activities</w:t>
      </w:r>
      <w:r w:rsidRPr="00A11CC5">
        <w:rPr>
          <w:color w:val="auto"/>
          <w:sz w:val="20"/>
          <w:szCs w:val="20"/>
          <w:u w:color="FFFFFF" w:themeColor="background1"/>
          <w:lang w:val="en-AU"/>
        </w:rPr>
        <w:t xml:space="preserve"> in Victoria and offshore (Victorian) waters. The </w:t>
      </w:r>
      <w:r w:rsidR="001168D1" w:rsidRPr="00A11CC5">
        <w:rPr>
          <w:color w:val="auto"/>
          <w:sz w:val="20"/>
          <w:szCs w:val="20"/>
          <w:u w:color="FFFFFF" w:themeColor="background1"/>
          <w:lang w:val="en-AU"/>
        </w:rPr>
        <w:t>Earth Resources Regulation administers</w:t>
      </w:r>
      <w:r w:rsidRPr="00A11CC5">
        <w:rPr>
          <w:color w:val="auto"/>
          <w:sz w:val="20"/>
          <w:szCs w:val="20"/>
          <w:u w:color="FFFFFF" w:themeColor="background1"/>
          <w:lang w:val="en-AU"/>
        </w:rPr>
        <w:t xml:space="preserve"> a consistent and transparent </w:t>
      </w:r>
      <w:r w:rsidR="00484EE0">
        <w:rPr>
          <w:color w:val="auto"/>
          <w:sz w:val="20"/>
          <w:szCs w:val="20"/>
          <w:u w:color="FFFFFF" w:themeColor="background1"/>
          <w:lang w:val="en-AU"/>
        </w:rPr>
        <w:t>regulatory</w:t>
      </w:r>
      <w:r w:rsidRPr="00A11CC5">
        <w:rPr>
          <w:color w:val="auto"/>
          <w:sz w:val="20"/>
          <w:szCs w:val="20"/>
          <w:u w:color="FFFFFF" w:themeColor="background1"/>
          <w:lang w:val="en-AU"/>
        </w:rPr>
        <w:t xml:space="preserve"> regime</w:t>
      </w:r>
      <w:r w:rsidR="001168D1" w:rsidRPr="00A11CC5">
        <w:rPr>
          <w:color w:val="auto"/>
          <w:sz w:val="20"/>
          <w:szCs w:val="20"/>
          <w:u w:color="FFFFFF" w:themeColor="background1"/>
          <w:lang w:val="en-AU"/>
        </w:rPr>
        <w:t xml:space="preserve"> and conducts </w:t>
      </w:r>
      <w:r w:rsidRPr="00A11CC5">
        <w:rPr>
          <w:color w:val="auto"/>
          <w:sz w:val="20"/>
          <w:szCs w:val="20"/>
          <w:u w:color="FFFFFF" w:themeColor="background1"/>
          <w:lang w:val="en-AU"/>
        </w:rPr>
        <w:t xml:space="preserve">monitoring and </w:t>
      </w:r>
      <w:r w:rsidR="001168D1" w:rsidRPr="00A11CC5">
        <w:rPr>
          <w:color w:val="auto"/>
          <w:sz w:val="20"/>
          <w:szCs w:val="20"/>
          <w:u w:color="FFFFFF" w:themeColor="background1"/>
          <w:lang w:val="en-AU"/>
        </w:rPr>
        <w:t>compliance operations to</w:t>
      </w:r>
      <w:r w:rsidRPr="00A11CC5">
        <w:rPr>
          <w:color w:val="auto"/>
          <w:sz w:val="20"/>
          <w:szCs w:val="20"/>
          <w:u w:color="FFFFFF" w:themeColor="background1"/>
          <w:lang w:val="en-AU"/>
        </w:rPr>
        <w:t xml:space="preserve"> ensure </w:t>
      </w:r>
      <w:r w:rsidR="001168D1" w:rsidRPr="00A11CC5">
        <w:rPr>
          <w:color w:val="auto"/>
          <w:sz w:val="20"/>
          <w:szCs w:val="20"/>
          <w:u w:color="FFFFFF" w:themeColor="background1"/>
          <w:lang w:val="en-AU"/>
        </w:rPr>
        <w:t>that authority holders</w:t>
      </w:r>
      <w:r w:rsidRPr="00A11CC5">
        <w:rPr>
          <w:color w:val="auto"/>
          <w:sz w:val="20"/>
          <w:szCs w:val="20"/>
          <w:u w:color="FFFFFF" w:themeColor="background1"/>
          <w:lang w:val="en-AU"/>
        </w:rPr>
        <w:t xml:space="preserve"> comply with their statutory obligations.</w:t>
      </w:r>
    </w:p>
    <w:p w14:paraId="68CC7CE4" w14:textId="77777777" w:rsidR="006559CC" w:rsidRPr="00A11CC5" w:rsidRDefault="006559CC" w:rsidP="006559CC">
      <w:pPr>
        <w:pStyle w:val="bodycopy"/>
        <w:spacing w:after="0" w:line="240" w:lineRule="auto"/>
        <w:rPr>
          <w:color w:val="auto"/>
          <w:sz w:val="20"/>
          <w:szCs w:val="20"/>
          <w:u w:color="FFFFFF" w:themeColor="background1"/>
          <w:lang w:val="en-AU"/>
        </w:rPr>
      </w:pPr>
    </w:p>
    <w:p w14:paraId="42D1031F" w14:textId="50AF1443" w:rsidR="005C619D" w:rsidRPr="00A11CC5" w:rsidRDefault="005C619D" w:rsidP="006559CC">
      <w:pPr>
        <w:pStyle w:val="bodycopy"/>
        <w:spacing w:after="0" w:line="240" w:lineRule="auto"/>
        <w:rPr>
          <w:color w:val="auto"/>
          <w:sz w:val="20"/>
          <w:szCs w:val="20"/>
          <w:u w:color="FFFFFF" w:themeColor="background1"/>
          <w:lang w:val="en-AU"/>
        </w:rPr>
      </w:pPr>
      <w:r w:rsidRPr="00A11CC5">
        <w:rPr>
          <w:color w:val="auto"/>
          <w:sz w:val="20"/>
          <w:szCs w:val="20"/>
          <w:u w:color="FFFFFF" w:themeColor="background1"/>
          <w:lang w:val="en-AU"/>
        </w:rPr>
        <w:t>Earth Resources Regulation adminis</w:t>
      </w:r>
      <w:r w:rsidR="006559CC">
        <w:rPr>
          <w:color w:val="auto"/>
          <w:sz w:val="20"/>
          <w:szCs w:val="20"/>
          <w:u w:color="FFFFFF" w:themeColor="background1"/>
          <w:lang w:val="en-AU"/>
        </w:rPr>
        <w:t>ters</w:t>
      </w:r>
      <w:r w:rsidR="009775E5" w:rsidRPr="00A11CC5">
        <w:rPr>
          <w:color w:val="auto"/>
          <w:sz w:val="20"/>
          <w:szCs w:val="20"/>
          <w:u w:color="FFFFFF" w:themeColor="background1"/>
          <w:lang w:val="en-AU"/>
        </w:rPr>
        <w:t xml:space="preserve"> the following Acts.</w:t>
      </w:r>
    </w:p>
    <w:p w14:paraId="6771A3CF" w14:textId="77777777" w:rsidR="005C619D" w:rsidRPr="00A11CC5" w:rsidRDefault="005C619D" w:rsidP="006559CC">
      <w:pPr>
        <w:pStyle w:val="ListParagraph"/>
        <w:numPr>
          <w:ilvl w:val="0"/>
          <w:numId w:val="3"/>
        </w:numPr>
        <w:spacing w:after="0" w:line="240" w:lineRule="auto"/>
        <w:ind w:left="425" w:hanging="425"/>
        <w:jc w:val="both"/>
        <w:rPr>
          <w:rFonts w:cs="Arial"/>
          <w:color w:val="auto"/>
          <w:sz w:val="20"/>
          <w:szCs w:val="20"/>
          <w:u w:color="FFFFFF" w:themeColor="background1"/>
          <w:lang w:val="en-AU"/>
        </w:rPr>
      </w:pPr>
      <w:r w:rsidRPr="00A11CC5">
        <w:rPr>
          <w:rFonts w:cs="Arial"/>
          <w:i/>
          <w:color w:val="auto"/>
          <w:sz w:val="20"/>
          <w:szCs w:val="20"/>
          <w:u w:color="FFFFFF" w:themeColor="background1"/>
          <w:lang w:val="en-AU"/>
        </w:rPr>
        <w:t>Mineral Resources (Sustainable Development) Act 1990</w:t>
      </w:r>
      <w:r w:rsidRPr="00A11CC5">
        <w:rPr>
          <w:rFonts w:cs="Arial"/>
          <w:color w:val="auto"/>
          <w:sz w:val="20"/>
          <w:szCs w:val="20"/>
          <w:u w:color="FFFFFF" w:themeColor="background1"/>
          <w:lang w:val="en-AU"/>
        </w:rPr>
        <w:t xml:space="preserve"> (MRSDA) (mineral exploration, mining and quarrying);</w:t>
      </w:r>
    </w:p>
    <w:p w14:paraId="0DA63D74" w14:textId="77777777" w:rsidR="005C619D" w:rsidRPr="00A11CC5" w:rsidRDefault="005C619D" w:rsidP="006559CC">
      <w:pPr>
        <w:pStyle w:val="ListParagraph"/>
        <w:numPr>
          <w:ilvl w:val="0"/>
          <w:numId w:val="3"/>
        </w:numPr>
        <w:spacing w:after="0" w:line="240" w:lineRule="auto"/>
        <w:ind w:left="425" w:hanging="425"/>
        <w:jc w:val="both"/>
        <w:rPr>
          <w:rFonts w:cs="Arial"/>
          <w:color w:val="auto"/>
          <w:sz w:val="20"/>
          <w:szCs w:val="20"/>
          <w:u w:color="FFFFFF" w:themeColor="background1"/>
          <w:lang w:val="en-AU"/>
        </w:rPr>
      </w:pPr>
      <w:r w:rsidRPr="00A11CC5">
        <w:rPr>
          <w:rFonts w:cs="Arial"/>
          <w:i/>
          <w:color w:val="auto"/>
          <w:sz w:val="20"/>
          <w:szCs w:val="20"/>
          <w:u w:color="FFFFFF" w:themeColor="background1"/>
          <w:lang w:val="en-AU"/>
        </w:rPr>
        <w:t>Offshore Petroleum and Greenhouse Gas Storage Act 2010</w:t>
      </w:r>
      <w:r w:rsidRPr="00A11CC5">
        <w:rPr>
          <w:rFonts w:cs="Arial"/>
          <w:color w:val="auto"/>
          <w:sz w:val="20"/>
          <w:szCs w:val="20"/>
          <w:u w:color="FFFFFF" w:themeColor="background1"/>
          <w:lang w:val="en-AU"/>
        </w:rPr>
        <w:t xml:space="preserve"> (OPGGSA) (petroleum exploration and development, greenhouse gas storage and pipelines in the Victorian offshore waters);</w:t>
      </w:r>
    </w:p>
    <w:p w14:paraId="3D904B48" w14:textId="77777777" w:rsidR="005C619D" w:rsidRPr="00A11CC5" w:rsidRDefault="005C619D" w:rsidP="006559CC">
      <w:pPr>
        <w:pStyle w:val="ListParagraph"/>
        <w:numPr>
          <w:ilvl w:val="0"/>
          <w:numId w:val="3"/>
        </w:numPr>
        <w:spacing w:after="0" w:line="240" w:lineRule="auto"/>
        <w:ind w:left="425" w:hanging="425"/>
        <w:jc w:val="both"/>
        <w:rPr>
          <w:rFonts w:cs="Arial"/>
          <w:color w:val="auto"/>
          <w:sz w:val="20"/>
          <w:szCs w:val="20"/>
          <w:u w:color="FFFFFF" w:themeColor="background1"/>
          <w:lang w:val="en-AU"/>
        </w:rPr>
      </w:pPr>
      <w:r w:rsidRPr="00A11CC5">
        <w:rPr>
          <w:rFonts w:cs="Arial"/>
          <w:i/>
          <w:color w:val="auto"/>
          <w:sz w:val="20"/>
          <w:szCs w:val="20"/>
          <w:u w:color="FFFFFF" w:themeColor="background1"/>
          <w:lang w:val="en-AU"/>
        </w:rPr>
        <w:t>Petroleum Act 1998</w:t>
      </w:r>
      <w:r w:rsidRPr="00A11CC5">
        <w:rPr>
          <w:rFonts w:cs="Arial"/>
          <w:color w:val="auto"/>
          <w:sz w:val="20"/>
          <w:szCs w:val="20"/>
          <w:u w:color="FFFFFF" w:themeColor="background1"/>
          <w:lang w:val="en-AU"/>
        </w:rPr>
        <w:t xml:space="preserve"> (petroleum exploration and development onshore);</w:t>
      </w:r>
    </w:p>
    <w:p w14:paraId="44AE4473" w14:textId="77777777" w:rsidR="005C619D" w:rsidRPr="00A11CC5" w:rsidRDefault="005C619D" w:rsidP="006559CC">
      <w:pPr>
        <w:pStyle w:val="ListParagraph"/>
        <w:numPr>
          <w:ilvl w:val="0"/>
          <w:numId w:val="3"/>
        </w:numPr>
        <w:spacing w:after="0" w:line="240" w:lineRule="auto"/>
        <w:ind w:left="425" w:hanging="425"/>
        <w:jc w:val="both"/>
        <w:rPr>
          <w:rFonts w:cs="Arial"/>
          <w:color w:val="auto"/>
          <w:sz w:val="20"/>
          <w:szCs w:val="20"/>
          <w:u w:color="FFFFFF" w:themeColor="background1"/>
          <w:lang w:val="en-AU"/>
        </w:rPr>
      </w:pPr>
      <w:r w:rsidRPr="00A11CC5">
        <w:rPr>
          <w:rFonts w:cs="Arial"/>
          <w:i/>
          <w:color w:val="auto"/>
          <w:sz w:val="20"/>
          <w:szCs w:val="20"/>
          <w:u w:color="FFFFFF" w:themeColor="background1"/>
          <w:lang w:val="en-AU"/>
        </w:rPr>
        <w:t>Geothermal Energy Resources Act 2005</w:t>
      </w:r>
      <w:r w:rsidRPr="00A11CC5">
        <w:rPr>
          <w:rFonts w:cs="Arial"/>
          <w:color w:val="auto"/>
          <w:sz w:val="20"/>
          <w:szCs w:val="20"/>
          <w:u w:color="FFFFFF" w:themeColor="background1"/>
          <w:lang w:val="en-AU"/>
        </w:rPr>
        <w:t xml:space="preserve"> (geothermal energy exploration and development); and</w:t>
      </w:r>
    </w:p>
    <w:p w14:paraId="6C84D6F4" w14:textId="7A9376EA" w:rsidR="005C619D" w:rsidRDefault="005C619D" w:rsidP="006559CC">
      <w:pPr>
        <w:pStyle w:val="ListParagraph"/>
        <w:numPr>
          <w:ilvl w:val="0"/>
          <w:numId w:val="3"/>
        </w:numPr>
        <w:spacing w:after="0" w:line="240" w:lineRule="auto"/>
        <w:ind w:left="425" w:hanging="425"/>
        <w:jc w:val="both"/>
        <w:rPr>
          <w:rFonts w:cs="Arial"/>
          <w:color w:val="auto"/>
          <w:sz w:val="20"/>
          <w:szCs w:val="20"/>
          <w:u w:color="FFFFFF" w:themeColor="background1"/>
          <w:lang w:val="en-AU"/>
        </w:rPr>
      </w:pPr>
      <w:r w:rsidRPr="00A11CC5">
        <w:rPr>
          <w:rFonts w:cs="Arial"/>
          <w:i/>
          <w:color w:val="auto"/>
          <w:sz w:val="20"/>
          <w:szCs w:val="20"/>
          <w:u w:color="FFFFFF" w:themeColor="background1"/>
          <w:lang w:val="en-AU"/>
        </w:rPr>
        <w:t>Greenhouse Gas Geological Sequestration Act 2008</w:t>
      </w:r>
      <w:r w:rsidRPr="00A11CC5">
        <w:rPr>
          <w:rFonts w:cs="Arial"/>
          <w:color w:val="auto"/>
          <w:sz w:val="20"/>
          <w:szCs w:val="20"/>
          <w:u w:color="FFFFFF" w:themeColor="background1"/>
          <w:lang w:val="en-AU"/>
        </w:rPr>
        <w:t xml:space="preserve"> (greenhouse gas storage onshore).</w:t>
      </w:r>
    </w:p>
    <w:p w14:paraId="0645E1BA" w14:textId="77777777" w:rsidR="008E53D3" w:rsidRPr="00A11CC5" w:rsidRDefault="008E53D3" w:rsidP="008E53D3">
      <w:pPr>
        <w:pStyle w:val="ListParagraph"/>
        <w:spacing w:before="240" w:after="0" w:line="240" w:lineRule="auto"/>
        <w:ind w:left="425"/>
        <w:jc w:val="both"/>
        <w:rPr>
          <w:rFonts w:cs="Arial"/>
          <w:color w:val="auto"/>
          <w:sz w:val="20"/>
          <w:szCs w:val="20"/>
          <w:u w:color="FFFFFF" w:themeColor="background1"/>
          <w:lang w:val="en-AU"/>
        </w:rPr>
      </w:pPr>
    </w:p>
    <w:p w14:paraId="3F372D0D" w14:textId="67A91C30" w:rsidR="005C619D" w:rsidRDefault="00BF3C9D" w:rsidP="008E53D3">
      <w:pPr>
        <w:pStyle w:val="bodycopy"/>
        <w:spacing w:after="0" w:line="240" w:lineRule="auto"/>
        <w:rPr>
          <w:color w:val="auto"/>
          <w:sz w:val="20"/>
          <w:szCs w:val="20"/>
          <w:u w:color="FFFFFF" w:themeColor="background1"/>
          <w:lang w:val="en-AU"/>
        </w:rPr>
      </w:pPr>
      <w:r w:rsidRPr="00C62DDE">
        <w:rPr>
          <w:color w:val="auto"/>
          <w:sz w:val="20"/>
          <w:szCs w:val="20"/>
          <w:u w:color="FFFFFF" w:themeColor="background1"/>
          <w:lang w:val="en-AU"/>
        </w:rPr>
        <w:t>The 2017-18</w:t>
      </w:r>
      <w:r w:rsidR="005C619D" w:rsidRPr="00C62DDE">
        <w:rPr>
          <w:color w:val="auto"/>
          <w:sz w:val="20"/>
          <w:szCs w:val="20"/>
          <w:u w:color="FFFFFF" w:themeColor="background1"/>
          <w:lang w:val="en-AU"/>
        </w:rPr>
        <w:t xml:space="preserve"> Statistical Report </w:t>
      </w:r>
      <w:r w:rsidR="000A319A" w:rsidRPr="00C62DDE">
        <w:rPr>
          <w:color w:val="auto"/>
          <w:sz w:val="20"/>
          <w:szCs w:val="20"/>
          <w:u w:color="FFFFFF" w:themeColor="background1"/>
          <w:lang w:val="en-AU"/>
        </w:rPr>
        <w:t>presents</w:t>
      </w:r>
      <w:r w:rsidR="005C619D" w:rsidRPr="00C62DDE">
        <w:rPr>
          <w:color w:val="auto"/>
          <w:sz w:val="20"/>
          <w:szCs w:val="20"/>
          <w:u w:color="FFFFFF" w:themeColor="background1"/>
          <w:lang w:val="en-AU"/>
        </w:rPr>
        <w:t xml:space="preserve"> a compilation of data as reported by Victoria’s earth resources </w:t>
      </w:r>
      <w:r w:rsidR="000A319A" w:rsidRPr="00C62DDE">
        <w:rPr>
          <w:color w:val="auto"/>
          <w:sz w:val="20"/>
          <w:szCs w:val="20"/>
          <w:u w:color="FFFFFF" w:themeColor="background1"/>
          <w:lang w:val="en-AU"/>
        </w:rPr>
        <w:t>authority holders</w:t>
      </w:r>
      <w:r w:rsidR="005C619D" w:rsidRPr="00C62DDE">
        <w:rPr>
          <w:color w:val="auto"/>
          <w:sz w:val="20"/>
          <w:szCs w:val="20"/>
          <w:u w:color="FFFFFF" w:themeColor="background1"/>
          <w:lang w:val="en-AU"/>
        </w:rPr>
        <w:t xml:space="preserve"> to Earth Resources Regulation. The report includes data on </w:t>
      </w:r>
      <w:r w:rsidR="000A319A" w:rsidRPr="00C62DDE">
        <w:rPr>
          <w:color w:val="auto"/>
          <w:sz w:val="20"/>
          <w:szCs w:val="20"/>
          <w:u w:color="FFFFFF" w:themeColor="background1"/>
          <w:lang w:val="en-AU"/>
        </w:rPr>
        <w:t xml:space="preserve">exploration, </w:t>
      </w:r>
      <w:r w:rsidR="005C619D" w:rsidRPr="00C62DDE">
        <w:rPr>
          <w:color w:val="auto"/>
          <w:sz w:val="20"/>
          <w:szCs w:val="20"/>
          <w:u w:color="FFFFFF" w:themeColor="background1"/>
          <w:lang w:val="en-AU"/>
        </w:rPr>
        <w:t>production, expenditure, revenues and regulatory actions.</w:t>
      </w:r>
    </w:p>
    <w:p w14:paraId="5DAB5313" w14:textId="77777777" w:rsidR="006559CC" w:rsidRPr="00C62DDE" w:rsidRDefault="006559CC" w:rsidP="008E53D3">
      <w:pPr>
        <w:pStyle w:val="bodycopy"/>
        <w:spacing w:after="0" w:line="240" w:lineRule="auto"/>
        <w:rPr>
          <w:color w:val="auto"/>
          <w:sz w:val="20"/>
          <w:szCs w:val="20"/>
          <w:u w:color="FFFFFF" w:themeColor="background1"/>
          <w:lang w:val="en-AU"/>
        </w:rPr>
      </w:pPr>
    </w:p>
    <w:p w14:paraId="088C8216" w14:textId="7FB2A694" w:rsidR="006559CC" w:rsidRDefault="005C619D" w:rsidP="008E53D3">
      <w:pPr>
        <w:pStyle w:val="bodycopy"/>
        <w:spacing w:after="0" w:line="240" w:lineRule="auto"/>
        <w:rPr>
          <w:color w:val="auto"/>
          <w:sz w:val="20"/>
          <w:szCs w:val="20"/>
          <w:u w:color="FFFFFF" w:themeColor="background1"/>
          <w:lang w:val="en-AU"/>
        </w:rPr>
      </w:pPr>
      <w:r w:rsidRPr="008223FB">
        <w:rPr>
          <w:color w:val="auto"/>
          <w:sz w:val="20"/>
          <w:szCs w:val="20"/>
          <w:u w:color="FFFFFF" w:themeColor="background1"/>
          <w:lang w:val="en-AU"/>
        </w:rPr>
        <w:t xml:space="preserve">All production and expenditure figures are certified by authority holders and submitted to </w:t>
      </w:r>
      <w:r w:rsidR="000A319A" w:rsidRPr="008223FB">
        <w:rPr>
          <w:color w:val="auto"/>
          <w:sz w:val="20"/>
          <w:szCs w:val="20"/>
          <w:u w:color="FFFFFF" w:themeColor="background1"/>
          <w:lang w:val="en-AU"/>
        </w:rPr>
        <w:t>Earth Resources Regulation</w:t>
      </w:r>
      <w:r w:rsidRPr="008223FB">
        <w:rPr>
          <w:color w:val="auto"/>
          <w:sz w:val="20"/>
          <w:szCs w:val="20"/>
          <w:u w:color="FFFFFF" w:themeColor="background1"/>
          <w:lang w:val="en-AU"/>
        </w:rPr>
        <w:t>.</w:t>
      </w:r>
      <w:r w:rsidR="00AC15DD" w:rsidRPr="008223FB">
        <w:rPr>
          <w:color w:val="auto"/>
          <w:sz w:val="20"/>
          <w:szCs w:val="20"/>
          <w:u w:color="FFFFFF" w:themeColor="background1"/>
          <w:lang w:val="en-AU"/>
        </w:rPr>
        <w:t xml:space="preserve"> As at </w:t>
      </w:r>
      <w:r w:rsidR="00C16E0C">
        <w:rPr>
          <w:color w:val="auto"/>
          <w:sz w:val="20"/>
          <w:szCs w:val="20"/>
          <w:u w:color="FFFFFF" w:themeColor="background1"/>
          <w:lang w:val="en-AU"/>
        </w:rPr>
        <w:t>17</w:t>
      </w:r>
      <w:r w:rsidR="00C16E0C" w:rsidRPr="00C16E0C">
        <w:rPr>
          <w:color w:val="auto"/>
          <w:sz w:val="20"/>
          <w:szCs w:val="20"/>
          <w:u w:color="FFFFFF" w:themeColor="background1"/>
          <w:vertAlign w:val="superscript"/>
          <w:lang w:val="en-AU"/>
        </w:rPr>
        <w:t>th</w:t>
      </w:r>
      <w:r w:rsidR="00E7601A">
        <w:rPr>
          <w:color w:val="auto"/>
          <w:sz w:val="20"/>
          <w:szCs w:val="20"/>
          <w:u w:color="FFFFFF" w:themeColor="background1"/>
          <w:lang w:val="en-AU"/>
        </w:rPr>
        <w:t xml:space="preserve"> December 2018,</w:t>
      </w:r>
      <w:r w:rsidR="00BA35C1">
        <w:rPr>
          <w:color w:val="auto"/>
          <w:sz w:val="20"/>
          <w:szCs w:val="20"/>
          <w:u w:color="FFFFFF" w:themeColor="background1"/>
          <w:lang w:val="en-AU"/>
        </w:rPr>
        <w:t xml:space="preserve"> </w:t>
      </w:r>
      <w:r w:rsidR="00E7601A">
        <w:rPr>
          <w:color w:val="auto"/>
          <w:sz w:val="20"/>
          <w:szCs w:val="20"/>
          <w:u w:color="FFFFFF" w:themeColor="background1"/>
          <w:lang w:val="en-AU"/>
        </w:rPr>
        <w:t>85</w:t>
      </w:r>
      <w:r w:rsidR="006559CC">
        <w:rPr>
          <w:color w:val="auto"/>
          <w:sz w:val="20"/>
          <w:szCs w:val="20"/>
          <w:u w:color="FFFFFF" w:themeColor="background1"/>
          <w:lang w:val="en-AU"/>
        </w:rPr>
        <w:t xml:space="preserve"> per cent </w:t>
      </w:r>
      <w:r w:rsidR="00AC15DD" w:rsidRPr="008223FB">
        <w:rPr>
          <w:color w:val="auto"/>
          <w:sz w:val="20"/>
          <w:szCs w:val="20"/>
          <w:u w:color="FFFFFF" w:themeColor="background1"/>
          <w:lang w:val="en-AU"/>
        </w:rPr>
        <w:t xml:space="preserve">of </w:t>
      </w:r>
      <w:r w:rsidR="00BA35C1">
        <w:rPr>
          <w:color w:val="auto"/>
          <w:sz w:val="20"/>
          <w:szCs w:val="20"/>
          <w:u w:color="FFFFFF" w:themeColor="background1"/>
          <w:lang w:val="en-AU"/>
        </w:rPr>
        <w:t xml:space="preserve">active </w:t>
      </w:r>
      <w:r w:rsidR="00AC15DD" w:rsidRPr="008223FB">
        <w:rPr>
          <w:color w:val="auto"/>
          <w:sz w:val="20"/>
          <w:szCs w:val="20"/>
          <w:u w:color="FFFFFF" w:themeColor="background1"/>
          <w:lang w:val="en-AU"/>
        </w:rPr>
        <w:t>M</w:t>
      </w:r>
      <w:r w:rsidR="003C6346" w:rsidRPr="008223FB">
        <w:rPr>
          <w:color w:val="auto"/>
          <w:sz w:val="20"/>
          <w:szCs w:val="20"/>
          <w:u w:color="FFFFFF" w:themeColor="background1"/>
          <w:lang w:val="en-AU"/>
        </w:rPr>
        <w:t xml:space="preserve">RSDA </w:t>
      </w:r>
      <w:r w:rsidR="006559CC">
        <w:rPr>
          <w:color w:val="auto"/>
          <w:sz w:val="20"/>
          <w:szCs w:val="20"/>
          <w:u w:color="FFFFFF" w:themeColor="background1"/>
          <w:lang w:val="en-AU"/>
        </w:rPr>
        <w:t>authority</w:t>
      </w:r>
      <w:r w:rsidR="00BA35C1">
        <w:rPr>
          <w:color w:val="auto"/>
          <w:sz w:val="20"/>
          <w:szCs w:val="20"/>
          <w:u w:color="FFFFFF" w:themeColor="background1"/>
          <w:lang w:val="en-AU"/>
        </w:rPr>
        <w:t xml:space="preserve"> holders</w:t>
      </w:r>
      <w:r w:rsidR="00C9411F">
        <w:rPr>
          <w:color w:val="auto"/>
          <w:sz w:val="20"/>
          <w:szCs w:val="20"/>
          <w:u w:color="FFFFFF" w:themeColor="background1"/>
          <w:lang w:val="en-AU"/>
        </w:rPr>
        <w:t xml:space="preserve"> have submitted a</w:t>
      </w:r>
      <w:r w:rsidR="006559CC">
        <w:rPr>
          <w:color w:val="auto"/>
          <w:sz w:val="20"/>
          <w:szCs w:val="20"/>
          <w:u w:color="FFFFFF" w:themeColor="background1"/>
          <w:lang w:val="en-AU"/>
        </w:rPr>
        <w:t>n annual</w:t>
      </w:r>
      <w:r w:rsidR="003C6346" w:rsidRPr="008223FB">
        <w:rPr>
          <w:color w:val="auto"/>
          <w:sz w:val="20"/>
          <w:szCs w:val="20"/>
          <w:u w:color="FFFFFF" w:themeColor="background1"/>
          <w:lang w:val="en-AU"/>
        </w:rPr>
        <w:t xml:space="preserve"> </w:t>
      </w:r>
      <w:r w:rsidR="00C9411F">
        <w:rPr>
          <w:color w:val="auto"/>
          <w:sz w:val="20"/>
          <w:szCs w:val="20"/>
          <w:u w:color="FFFFFF" w:themeColor="background1"/>
          <w:lang w:val="en-AU"/>
        </w:rPr>
        <w:t xml:space="preserve">Production &amp; Royalty / </w:t>
      </w:r>
      <w:r w:rsidR="008B7B80" w:rsidRPr="008223FB">
        <w:rPr>
          <w:color w:val="auto"/>
          <w:sz w:val="20"/>
          <w:szCs w:val="20"/>
          <w:u w:color="FFFFFF" w:themeColor="background1"/>
          <w:lang w:val="en-AU"/>
        </w:rPr>
        <w:t xml:space="preserve">Expenditure </w:t>
      </w:r>
      <w:r w:rsidR="00C9411F">
        <w:rPr>
          <w:color w:val="auto"/>
          <w:sz w:val="20"/>
          <w:szCs w:val="20"/>
          <w:u w:color="FFFFFF" w:themeColor="background1"/>
          <w:lang w:val="en-AU"/>
        </w:rPr>
        <w:t>&amp;</w:t>
      </w:r>
      <w:r w:rsidR="00956645" w:rsidRPr="008223FB">
        <w:rPr>
          <w:color w:val="auto"/>
          <w:sz w:val="20"/>
          <w:szCs w:val="20"/>
          <w:u w:color="FFFFFF" w:themeColor="background1"/>
          <w:lang w:val="en-AU"/>
        </w:rPr>
        <w:t xml:space="preserve"> </w:t>
      </w:r>
      <w:r w:rsidR="006559CC">
        <w:rPr>
          <w:color w:val="auto"/>
          <w:sz w:val="20"/>
          <w:szCs w:val="20"/>
          <w:u w:color="FFFFFF" w:themeColor="background1"/>
          <w:lang w:val="en-AU"/>
        </w:rPr>
        <w:t xml:space="preserve">Activity. </w:t>
      </w:r>
      <w:r w:rsidR="00782947">
        <w:rPr>
          <w:color w:val="auto"/>
          <w:sz w:val="20"/>
          <w:szCs w:val="20"/>
          <w:u w:color="FFFFFF" w:themeColor="background1"/>
          <w:lang w:val="en-AU"/>
        </w:rPr>
        <w:t>For Petroleum producing licences, there were two that had production. The other licences did not produce</w:t>
      </w:r>
      <w:r w:rsidR="00782947" w:rsidRPr="00782947">
        <w:rPr>
          <w:color w:val="auto"/>
          <w:sz w:val="20"/>
          <w:szCs w:val="20"/>
          <w:u w:color="FFFFFF" w:themeColor="background1"/>
          <w:lang w:val="en-AU"/>
        </w:rPr>
        <w:t xml:space="preserve"> </w:t>
      </w:r>
      <w:r w:rsidR="00782947">
        <w:rPr>
          <w:color w:val="auto"/>
          <w:sz w:val="20"/>
          <w:szCs w:val="20"/>
          <w:u w:color="FFFFFF" w:themeColor="background1"/>
          <w:lang w:val="en-AU"/>
        </w:rPr>
        <w:t>during the year.</w:t>
      </w:r>
    </w:p>
    <w:p w14:paraId="168EAD41" w14:textId="77777777" w:rsidR="006559CC" w:rsidRDefault="006559CC" w:rsidP="008E53D3">
      <w:pPr>
        <w:pStyle w:val="bodycopy"/>
        <w:spacing w:after="0" w:line="240" w:lineRule="auto"/>
        <w:rPr>
          <w:color w:val="auto"/>
          <w:sz w:val="20"/>
          <w:szCs w:val="20"/>
          <w:u w:color="FFFFFF" w:themeColor="background1"/>
          <w:lang w:val="en-AU"/>
        </w:rPr>
      </w:pPr>
    </w:p>
    <w:p w14:paraId="42C82077" w14:textId="4374E680" w:rsidR="005C619D" w:rsidRDefault="00046093" w:rsidP="008E53D3">
      <w:pPr>
        <w:pStyle w:val="bodycopy"/>
        <w:spacing w:after="0" w:line="240" w:lineRule="auto"/>
        <w:rPr>
          <w:color w:val="auto"/>
          <w:sz w:val="20"/>
          <w:szCs w:val="20"/>
          <w:u w:color="FFFFFF" w:themeColor="background1"/>
          <w:lang w:val="en-AU"/>
        </w:rPr>
      </w:pPr>
      <w:r>
        <w:rPr>
          <w:color w:val="auto"/>
          <w:sz w:val="20"/>
          <w:szCs w:val="20"/>
          <w:u w:color="FFFFFF" w:themeColor="background1"/>
          <w:lang w:val="en-AU"/>
        </w:rPr>
        <w:t xml:space="preserve">The annual statistical </w:t>
      </w:r>
      <w:r w:rsidR="00C9411F">
        <w:rPr>
          <w:color w:val="auto"/>
          <w:sz w:val="20"/>
          <w:szCs w:val="20"/>
          <w:u w:color="FFFFFF" w:themeColor="background1"/>
          <w:lang w:val="en-AU"/>
        </w:rPr>
        <w:t xml:space="preserve">report </w:t>
      </w:r>
      <w:r>
        <w:rPr>
          <w:color w:val="auto"/>
          <w:sz w:val="20"/>
          <w:szCs w:val="20"/>
          <w:u w:color="FFFFFF" w:themeColor="background1"/>
          <w:lang w:val="en-AU"/>
        </w:rPr>
        <w:t xml:space="preserve">may be revised in the future as more </w:t>
      </w:r>
      <w:r w:rsidR="00C9411F">
        <w:rPr>
          <w:color w:val="auto"/>
          <w:sz w:val="20"/>
          <w:szCs w:val="20"/>
          <w:u w:color="FFFFFF" w:themeColor="background1"/>
          <w:lang w:val="en-AU"/>
        </w:rPr>
        <w:t xml:space="preserve">Production / </w:t>
      </w:r>
      <w:r w:rsidR="00BA35C1" w:rsidRPr="008223FB">
        <w:rPr>
          <w:color w:val="auto"/>
          <w:sz w:val="20"/>
          <w:szCs w:val="20"/>
          <w:u w:color="FFFFFF" w:themeColor="background1"/>
          <w:lang w:val="en-AU"/>
        </w:rPr>
        <w:t>Expenditure and Activity</w:t>
      </w:r>
      <w:r w:rsidR="00BA35C1">
        <w:rPr>
          <w:color w:val="auto"/>
          <w:sz w:val="20"/>
          <w:szCs w:val="20"/>
          <w:u w:color="FFFFFF" w:themeColor="background1"/>
          <w:lang w:val="en-AU"/>
        </w:rPr>
        <w:t xml:space="preserve"> </w:t>
      </w:r>
      <w:r>
        <w:rPr>
          <w:color w:val="auto"/>
          <w:sz w:val="20"/>
          <w:szCs w:val="20"/>
          <w:u w:color="FFFFFF" w:themeColor="background1"/>
          <w:lang w:val="en-AU"/>
        </w:rPr>
        <w:t>report</w:t>
      </w:r>
      <w:r w:rsidR="006559CC">
        <w:rPr>
          <w:color w:val="auto"/>
          <w:sz w:val="20"/>
          <w:szCs w:val="20"/>
          <w:u w:color="FFFFFF" w:themeColor="background1"/>
          <w:lang w:val="en-AU"/>
        </w:rPr>
        <w:t>s are received from the industry following compliance actions by Earth Resources Regulation.</w:t>
      </w:r>
    </w:p>
    <w:p w14:paraId="4977B8D7" w14:textId="77777777" w:rsidR="008E53D3" w:rsidRDefault="008E53D3" w:rsidP="008E53D3">
      <w:pPr>
        <w:pStyle w:val="bodycopy"/>
        <w:spacing w:after="0" w:line="240" w:lineRule="auto"/>
        <w:rPr>
          <w:color w:val="auto"/>
          <w:sz w:val="20"/>
          <w:szCs w:val="20"/>
          <w:u w:color="FFFFFF" w:themeColor="background1"/>
          <w:lang w:val="en-AU"/>
        </w:rPr>
      </w:pPr>
    </w:p>
    <w:tbl>
      <w:tblPr>
        <w:tblStyle w:val="GridTable4-Accent1"/>
        <w:tblpPr w:leftFromText="180" w:rightFromText="180" w:vertAnchor="text" w:horzAnchor="margin" w:tblpY="281"/>
        <w:tblW w:w="10112" w:type="dxa"/>
        <w:tblLook w:val="04E0" w:firstRow="1" w:lastRow="1" w:firstColumn="1" w:lastColumn="0" w:noHBand="0" w:noVBand="1"/>
      </w:tblPr>
      <w:tblGrid>
        <w:gridCol w:w="2344"/>
        <w:gridCol w:w="2187"/>
        <w:gridCol w:w="1954"/>
        <w:gridCol w:w="2072"/>
        <w:gridCol w:w="1555"/>
      </w:tblGrid>
      <w:tr w:rsidR="00F35885" w:rsidRPr="004B0AE3" w14:paraId="77BA59A6" w14:textId="77777777" w:rsidTr="00F35885">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344" w:type="dxa"/>
            <w:noWrap/>
            <w:vAlign w:val="center"/>
            <w:hideMark/>
          </w:tcPr>
          <w:p w14:paraId="15944C93" w14:textId="77777777" w:rsidR="00F35885" w:rsidRPr="00E8392D" w:rsidRDefault="00F35885" w:rsidP="00F35885">
            <w:pPr>
              <w:widowControl/>
              <w:suppressAutoHyphens w:val="0"/>
              <w:autoSpaceDE/>
              <w:autoSpaceDN/>
              <w:adjustRightInd/>
              <w:spacing w:after="0" w:line="240" w:lineRule="auto"/>
              <w:jc w:val="center"/>
              <w:textAlignment w:val="auto"/>
              <w:rPr>
                <w:rFonts w:eastAsia="Times New Roman" w:cs="Arial"/>
                <w:color w:val="FFFFFF" w:themeColor="background1"/>
                <w:sz w:val="16"/>
                <w:szCs w:val="16"/>
                <w:lang w:val="en-AU" w:eastAsia="en-AU"/>
              </w:rPr>
            </w:pPr>
            <w:r w:rsidRPr="00E8392D">
              <w:rPr>
                <w:rFonts w:eastAsia="Times New Roman" w:cs="Arial"/>
                <w:color w:val="FFFFFF" w:themeColor="background1"/>
                <w:sz w:val="16"/>
                <w:szCs w:val="16"/>
                <w:lang w:val="en-AU" w:eastAsia="en-AU"/>
              </w:rPr>
              <w:t>Licence Types</w:t>
            </w:r>
          </w:p>
        </w:tc>
        <w:tc>
          <w:tcPr>
            <w:tcW w:w="2187" w:type="dxa"/>
            <w:noWrap/>
            <w:vAlign w:val="center"/>
            <w:hideMark/>
          </w:tcPr>
          <w:p w14:paraId="754A50A8" w14:textId="77777777" w:rsidR="00F35885" w:rsidRPr="00E8392D" w:rsidRDefault="00F35885" w:rsidP="00F35885">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6"/>
                <w:szCs w:val="16"/>
                <w:lang w:val="en-AU" w:eastAsia="en-AU"/>
              </w:rPr>
            </w:pPr>
            <w:r w:rsidRPr="00E8392D">
              <w:rPr>
                <w:rFonts w:eastAsia="Times New Roman" w:cs="Arial"/>
                <w:color w:val="FFFFFF" w:themeColor="background1"/>
                <w:sz w:val="16"/>
                <w:szCs w:val="16"/>
                <w:lang w:val="en-AU" w:eastAsia="en-AU"/>
              </w:rPr>
              <w:t>Active Tenements</w:t>
            </w:r>
            <w:r>
              <w:rPr>
                <w:rFonts w:eastAsia="Times New Roman" w:cs="Arial"/>
                <w:color w:val="FFFFFF" w:themeColor="background1"/>
                <w:sz w:val="16"/>
                <w:szCs w:val="16"/>
                <w:lang w:val="en-AU" w:eastAsia="en-AU"/>
              </w:rPr>
              <w:t xml:space="preserve"> as at 30</w:t>
            </w:r>
            <w:r w:rsidRPr="00E8392D">
              <w:rPr>
                <w:rFonts w:eastAsia="Times New Roman" w:cs="Arial"/>
                <w:color w:val="FFFFFF" w:themeColor="background1"/>
                <w:sz w:val="16"/>
                <w:szCs w:val="16"/>
                <w:vertAlign w:val="superscript"/>
                <w:lang w:val="en-AU" w:eastAsia="en-AU"/>
              </w:rPr>
              <w:t>th</w:t>
            </w:r>
            <w:r>
              <w:rPr>
                <w:rFonts w:eastAsia="Times New Roman" w:cs="Arial"/>
                <w:color w:val="FFFFFF" w:themeColor="background1"/>
                <w:sz w:val="16"/>
                <w:szCs w:val="16"/>
                <w:lang w:val="en-AU" w:eastAsia="en-AU"/>
              </w:rPr>
              <w:t xml:space="preserve"> Jun 2018</w:t>
            </w:r>
          </w:p>
        </w:tc>
        <w:tc>
          <w:tcPr>
            <w:tcW w:w="1954" w:type="dxa"/>
            <w:noWrap/>
            <w:vAlign w:val="center"/>
            <w:hideMark/>
          </w:tcPr>
          <w:p w14:paraId="3F053225" w14:textId="77777777" w:rsidR="00F35885" w:rsidRPr="00E8392D" w:rsidRDefault="00F35885" w:rsidP="00F35885">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6"/>
                <w:szCs w:val="16"/>
                <w:lang w:val="en-AU" w:eastAsia="en-AU"/>
              </w:rPr>
            </w:pPr>
            <w:r w:rsidRPr="00E8392D">
              <w:rPr>
                <w:rFonts w:eastAsia="Times New Roman" w:cs="Arial"/>
                <w:color w:val="FFFFFF" w:themeColor="background1"/>
                <w:sz w:val="16"/>
                <w:szCs w:val="16"/>
                <w:lang w:val="en-AU" w:eastAsia="en-AU"/>
              </w:rPr>
              <w:t>Report Received</w:t>
            </w:r>
          </w:p>
        </w:tc>
        <w:tc>
          <w:tcPr>
            <w:tcW w:w="2072" w:type="dxa"/>
            <w:noWrap/>
            <w:vAlign w:val="center"/>
            <w:hideMark/>
          </w:tcPr>
          <w:p w14:paraId="45618BAF" w14:textId="77777777" w:rsidR="00F35885" w:rsidRPr="00E8392D" w:rsidRDefault="00F35885" w:rsidP="00F35885">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6"/>
                <w:szCs w:val="16"/>
                <w:lang w:val="en-AU" w:eastAsia="en-AU"/>
              </w:rPr>
            </w:pPr>
            <w:r w:rsidRPr="00E8392D">
              <w:rPr>
                <w:rFonts w:eastAsia="Times New Roman" w:cs="Arial"/>
                <w:color w:val="FFFFFF" w:themeColor="background1"/>
                <w:sz w:val="16"/>
                <w:szCs w:val="16"/>
                <w:lang w:val="en-AU" w:eastAsia="en-AU"/>
              </w:rPr>
              <w:t>Yet To Submit Report</w:t>
            </w:r>
          </w:p>
        </w:tc>
        <w:tc>
          <w:tcPr>
            <w:tcW w:w="1555" w:type="dxa"/>
            <w:noWrap/>
            <w:vAlign w:val="center"/>
            <w:hideMark/>
          </w:tcPr>
          <w:p w14:paraId="4A389509" w14:textId="77777777" w:rsidR="00F35885" w:rsidRPr="00E8392D" w:rsidRDefault="00F35885" w:rsidP="00F35885">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6"/>
                <w:szCs w:val="16"/>
                <w:lang w:val="en-AU" w:eastAsia="en-AU"/>
              </w:rPr>
            </w:pPr>
            <w:r w:rsidRPr="00E8392D">
              <w:rPr>
                <w:rFonts w:eastAsia="Times New Roman" w:cs="Arial"/>
                <w:color w:val="FFFFFF" w:themeColor="background1"/>
                <w:sz w:val="16"/>
                <w:szCs w:val="16"/>
                <w:lang w:val="en-AU" w:eastAsia="en-AU"/>
              </w:rPr>
              <w:t>Submission Rate</w:t>
            </w:r>
          </w:p>
        </w:tc>
      </w:tr>
      <w:tr w:rsidR="00F35885" w:rsidRPr="004B0AE3" w14:paraId="57E78A69" w14:textId="77777777" w:rsidTr="00F3588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344" w:type="dxa"/>
            <w:noWrap/>
            <w:vAlign w:val="center"/>
            <w:hideMark/>
          </w:tcPr>
          <w:p w14:paraId="430E3E46" w14:textId="77777777" w:rsidR="00F35885" w:rsidRPr="00E8392D" w:rsidRDefault="00F35885" w:rsidP="00F35885">
            <w:pPr>
              <w:widowControl/>
              <w:suppressAutoHyphens w:val="0"/>
              <w:autoSpaceDE/>
              <w:autoSpaceDN/>
              <w:adjustRightInd/>
              <w:spacing w:after="0" w:line="240" w:lineRule="auto"/>
              <w:jc w:val="center"/>
              <w:textAlignment w:val="auto"/>
              <w:rPr>
                <w:rFonts w:eastAsia="Times New Roman" w:cs="Arial"/>
                <w:color w:val="000000"/>
                <w:sz w:val="16"/>
                <w:szCs w:val="16"/>
                <w:lang w:val="en-AU" w:eastAsia="en-AU"/>
              </w:rPr>
            </w:pPr>
            <w:r w:rsidRPr="00E8392D">
              <w:rPr>
                <w:rFonts w:eastAsia="Times New Roman" w:cs="Arial"/>
                <w:color w:val="000000"/>
                <w:sz w:val="16"/>
                <w:szCs w:val="16"/>
                <w:lang w:val="en-AU" w:eastAsia="en-AU"/>
              </w:rPr>
              <w:t>Mining licences</w:t>
            </w:r>
          </w:p>
        </w:tc>
        <w:tc>
          <w:tcPr>
            <w:tcW w:w="2187" w:type="dxa"/>
            <w:noWrap/>
            <w:vAlign w:val="center"/>
            <w:hideMark/>
          </w:tcPr>
          <w:p w14:paraId="1477DEC5" w14:textId="77777777" w:rsidR="00F35885" w:rsidRPr="00E8392D" w:rsidRDefault="00F35885" w:rsidP="00F35885">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6"/>
                <w:szCs w:val="16"/>
                <w:lang w:val="en-AU" w:eastAsia="en-AU"/>
              </w:rPr>
            </w:pPr>
            <w:r w:rsidRPr="00E8392D">
              <w:rPr>
                <w:rFonts w:eastAsia="Times New Roman" w:cs="Arial"/>
                <w:b/>
                <w:color w:val="000000"/>
                <w:sz w:val="16"/>
                <w:szCs w:val="16"/>
                <w:lang w:val="en-AU" w:eastAsia="en-AU"/>
              </w:rPr>
              <w:t>156</w:t>
            </w:r>
          </w:p>
        </w:tc>
        <w:tc>
          <w:tcPr>
            <w:tcW w:w="1954" w:type="dxa"/>
            <w:noWrap/>
            <w:vAlign w:val="center"/>
            <w:hideMark/>
          </w:tcPr>
          <w:p w14:paraId="55A9EF27" w14:textId="77777777" w:rsidR="00F35885" w:rsidRPr="00E8392D" w:rsidRDefault="00F35885" w:rsidP="00F35885">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val="en-AU" w:eastAsia="en-AU"/>
              </w:rPr>
            </w:pPr>
            <w:r w:rsidRPr="00E8392D">
              <w:rPr>
                <w:rFonts w:eastAsia="Times New Roman" w:cs="Arial"/>
                <w:color w:val="000000"/>
                <w:sz w:val="16"/>
                <w:szCs w:val="16"/>
                <w:lang w:val="en-AU" w:eastAsia="en-AU"/>
              </w:rPr>
              <w:t>136</w:t>
            </w:r>
          </w:p>
        </w:tc>
        <w:tc>
          <w:tcPr>
            <w:tcW w:w="2072" w:type="dxa"/>
            <w:noWrap/>
            <w:vAlign w:val="center"/>
            <w:hideMark/>
          </w:tcPr>
          <w:p w14:paraId="73487EDC" w14:textId="77777777" w:rsidR="00F35885" w:rsidRPr="00E8392D" w:rsidRDefault="00F35885" w:rsidP="00F35885">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val="en-AU" w:eastAsia="en-AU"/>
              </w:rPr>
            </w:pPr>
            <w:r w:rsidRPr="00E8392D">
              <w:rPr>
                <w:rFonts w:eastAsia="Times New Roman" w:cs="Arial"/>
                <w:color w:val="000000"/>
                <w:sz w:val="16"/>
                <w:szCs w:val="16"/>
                <w:lang w:val="en-AU" w:eastAsia="en-AU"/>
              </w:rPr>
              <w:t>20</w:t>
            </w:r>
          </w:p>
        </w:tc>
        <w:tc>
          <w:tcPr>
            <w:tcW w:w="1555" w:type="dxa"/>
            <w:noWrap/>
            <w:vAlign w:val="center"/>
            <w:hideMark/>
          </w:tcPr>
          <w:p w14:paraId="3F37BA01" w14:textId="77777777" w:rsidR="00F35885" w:rsidRPr="00E8392D" w:rsidRDefault="00F35885" w:rsidP="00F35885">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6"/>
                <w:szCs w:val="16"/>
                <w:lang w:val="en-AU" w:eastAsia="en-AU"/>
              </w:rPr>
            </w:pPr>
            <w:r w:rsidRPr="00E8392D">
              <w:rPr>
                <w:rFonts w:eastAsia="Times New Roman" w:cs="Arial"/>
                <w:b/>
                <w:color w:val="000000"/>
                <w:sz w:val="16"/>
                <w:szCs w:val="16"/>
                <w:lang w:val="en-AU" w:eastAsia="en-AU"/>
              </w:rPr>
              <w:t>87%</w:t>
            </w:r>
          </w:p>
        </w:tc>
      </w:tr>
      <w:tr w:rsidR="00F35885" w:rsidRPr="004B0AE3" w14:paraId="4CD07F42" w14:textId="77777777" w:rsidTr="00F35885">
        <w:trPr>
          <w:trHeight w:val="256"/>
        </w:trPr>
        <w:tc>
          <w:tcPr>
            <w:cnfStyle w:val="001000000000" w:firstRow="0" w:lastRow="0" w:firstColumn="1" w:lastColumn="0" w:oddVBand="0" w:evenVBand="0" w:oddHBand="0" w:evenHBand="0" w:firstRowFirstColumn="0" w:firstRowLastColumn="0" w:lastRowFirstColumn="0" w:lastRowLastColumn="0"/>
            <w:tcW w:w="2344" w:type="dxa"/>
            <w:noWrap/>
            <w:vAlign w:val="center"/>
            <w:hideMark/>
          </w:tcPr>
          <w:p w14:paraId="68B5B403" w14:textId="77777777" w:rsidR="00F35885" w:rsidRPr="00E8392D" w:rsidRDefault="00F35885" w:rsidP="00F35885">
            <w:pPr>
              <w:widowControl/>
              <w:suppressAutoHyphens w:val="0"/>
              <w:autoSpaceDE/>
              <w:autoSpaceDN/>
              <w:adjustRightInd/>
              <w:spacing w:after="0" w:line="240" w:lineRule="auto"/>
              <w:jc w:val="center"/>
              <w:textAlignment w:val="auto"/>
              <w:rPr>
                <w:rFonts w:eastAsia="Times New Roman" w:cs="Arial"/>
                <w:color w:val="000000"/>
                <w:sz w:val="16"/>
                <w:szCs w:val="16"/>
                <w:lang w:val="en-AU" w:eastAsia="en-AU"/>
              </w:rPr>
            </w:pPr>
            <w:r w:rsidRPr="00E8392D">
              <w:rPr>
                <w:rFonts w:eastAsia="Times New Roman" w:cs="Arial"/>
                <w:color w:val="000000"/>
                <w:sz w:val="16"/>
                <w:szCs w:val="16"/>
                <w:lang w:val="en-AU" w:eastAsia="en-AU"/>
              </w:rPr>
              <w:t>Exploration Licences</w:t>
            </w:r>
          </w:p>
        </w:tc>
        <w:tc>
          <w:tcPr>
            <w:tcW w:w="2187" w:type="dxa"/>
            <w:noWrap/>
            <w:vAlign w:val="center"/>
            <w:hideMark/>
          </w:tcPr>
          <w:p w14:paraId="1DC7B713" w14:textId="77777777" w:rsidR="00F35885" w:rsidRPr="00E8392D" w:rsidRDefault="00F35885" w:rsidP="00F35885">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6"/>
                <w:szCs w:val="16"/>
                <w:lang w:val="en-AU" w:eastAsia="en-AU"/>
              </w:rPr>
            </w:pPr>
            <w:r w:rsidRPr="00E8392D">
              <w:rPr>
                <w:rFonts w:eastAsia="Times New Roman" w:cs="Arial"/>
                <w:b/>
                <w:color w:val="000000"/>
                <w:sz w:val="16"/>
                <w:szCs w:val="16"/>
                <w:lang w:val="en-AU" w:eastAsia="en-AU"/>
              </w:rPr>
              <w:t>200</w:t>
            </w:r>
          </w:p>
        </w:tc>
        <w:tc>
          <w:tcPr>
            <w:tcW w:w="1954" w:type="dxa"/>
            <w:noWrap/>
            <w:vAlign w:val="center"/>
            <w:hideMark/>
          </w:tcPr>
          <w:p w14:paraId="11C72188" w14:textId="77777777" w:rsidR="00F35885" w:rsidRPr="00E8392D" w:rsidRDefault="00F35885" w:rsidP="00F35885">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val="en-AU" w:eastAsia="en-AU"/>
              </w:rPr>
            </w:pPr>
            <w:r w:rsidRPr="00E8392D">
              <w:rPr>
                <w:rFonts w:eastAsia="Times New Roman" w:cs="Arial"/>
                <w:color w:val="000000"/>
                <w:sz w:val="16"/>
                <w:szCs w:val="16"/>
                <w:lang w:val="en-AU" w:eastAsia="en-AU"/>
              </w:rPr>
              <w:t>181</w:t>
            </w:r>
          </w:p>
        </w:tc>
        <w:tc>
          <w:tcPr>
            <w:tcW w:w="2072" w:type="dxa"/>
            <w:noWrap/>
            <w:vAlign w:val="center"/>
            <w:hideMark/>
          </w:tcPr>
          <w:p w14:paraId="1F5E18C7" w14:textId="77777777" w:rsidR="00F35885" w:rsidRPr="00E8392D" w:rsidRDefault="00F35885" w:rsidP="00F35885">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val="en-AU" w:eastAsia="en-AU"/>
              </w:rPr>
            </w:pPr>
            <w:r w:rsidRPr="00E8392D">
              <w:rPr>
                <w:rFonts w:eastAsia="Times New Roman" w:cs="Arial"/>
                <w:color w:val="000000"/>
                <w:sz w:val="16"/>
                <w:szCs w:val="16"/>
                <w:lang w:val="en-AU" w:eastAsia="en-AU"/>
              </w:rPr>
              <w:t>39</w:t>
            </w:r>
          </w:p>
        </w:tc>
        <w:tc>
          <w:tcPr>
            <w:tcW w:w="1555" w:type="dxa"/>
            <w:noWrap/>
            <w:vAlign w:val="center"/>
            <w:hideMark/>
          </w:tcPr>
          <w:p w14:paraId="77E950DF" w14:textId="77777777" w:rsidR="00F35885" w:rsidRPr="00E8392D" w:rsidRDefault="00F35885" w:rsidP="00F35885">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6"/>
                <w:szCs w:val="16"/>
                <w:lang w:val="en-AU" w:eastAsia="en-AU"/>
              </w:rPr>
            </w:pPr>
            <w:r w:rsidRPr="00E8392D">
              <w:rPr>
                <w:rFonts w:eastAsia="Times New Roman" w:cs="Arial"/>
                <w:b/>
                <w:color w:val="000000"/>
                <w:sz w:val="16"/>
                <w:szCs w:val="16"/>
                <w:lang w:val="en-AU" w:eastAsia="en-AU"/>
              </w:rPr>
              <w:t>91%</w:t>
            </w:r>
          </w:p>
        </w:tc>
      </w:tr>
      <w:tr w:rsidR="00F35885" w:rsidRPr="004B0AE3" w14:paraId="26AB4B9B" w14:textId="77777777" w:rsidTr="00F3588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344" w:type="dxa"/>
            <w:noWrap/>
            <w:vAlign w:val="center"/>
            <w:hideMark/>
          </w:tcPr>
          <w:p w14:paraId="75AEF7BE" w14:textId="77777777" w:rsidR="00F35885" w:rsidRPr="00E8392D" w:rsidRDefault="00F35885" w:rsidP="00F35885">
            <w:pPr>
              <w:widowControl/>
              <w:suppressAutoHyphens w:val="0"/>
              <w:autoSpaceDE/>
              <w:autoSpaceDN/>
              <w:adjustRightInd/>
              <w:spacing w:after="0" w:line="240" w:lineRule="auto"/>
              <w:jc w:val="center"/>
              <w:textAlignment w:val="auto"/>
              <w:rPr>
                <w:rFonts w:eastAsia="Times New Roman" w:cs="Arial"/>
                <w:color w:val="000000"/>
                <w:sz w:val="16"/>
                <w:szCs w:val="16"/>
                <w:lang w:val="en-AU" w:eastAsia="en-AU"/>
              </w:rPr>
            </w:pPr>
            <w:r w:rsidRPr="00E8392D">
              <w:rPr>
                <w:rFonts w:eastAsia="Times New Roman" w:cs="Arial"/>
                <w:color w:val="000000"/>
                <w:sz w:val="16"/>
                <w:szCs w:val="16"/>
                <w:lang w:val="en-AU" w:eastAsia="en-AU"/>
              </w:rPr>
              <w:t>Retention Licences</w:t>
            </w:r>
          </w:p>
        </w:tc>
        <w:tc>
          <w:tcPr>
            <w:tcW w:w="2187" w:type="dxa"/>
            <w:noWrap/>
            <w:vAlign w:val="center"/>
            <w:hideMark/>
          </w:tcPr>
          <w:p w14:paraId="54631C06" w14:textId="77777777" w:rsidR="00F35885" w:rsidRPr="00E8392D" w:rsidRDefault="00F35885" w:rsidP="00F35885">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6"/>
                <w:szCs w:val="16"/>
                <w:lang w:val="en-AU" w:eastAsia="en-AU"/>
              </w:rPr>
            </w:pPr>
            <w:r w:rsidRPr="00E8392D">
              <w:rPr>
                <w:rFonts w:eastAsia="Times New Roman" w:cs="Arial"/>
                <w:b/>
                <w:color w:val="000000"/>
                <w:sz w:val="16"/>
                <w:szCs w:val="16"/>
                <w:lang w:val="en-AU" w:eastAsia="en-AU"/>
              </w:rPr>
              <w:t>20</w:t>
            </w:r>
          </w:p>
        </w:tc>
        <w:tc>
          <w:tcPr>
            <w:tcW w:w="1954" w:type="dxa"/>
            <w:noWrap/>
            <w:vAlign w:val="center"/>
            <w:hideMark/>
          </w:tcPr>
          <w:p w14:paraId="7936F083" w14:textId="77777777" w:rsidR="00F35885" w:rsidRPr="00E8392D" w:rsidRDefault="00F35885" w:rsidP="00F35885">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val="en-AU" w:eastAsia="en-AU"/>
              </w:rPr>
            </w:pPr>
            <w:r w:rsidRPr="00E8392D">
              <w:rPr>
                <w:rFonts w:eastAsia="Times New Roman" w:cs="Arial"/>
                <w:color w:val="000000"/>
                <w:sz w:val="16"/>
                <w:szCs w:val="16"/>
                <w:lang w:val="en-AU" w:eastAsia="en-AU"/>
              </w:rPr>
              <w:t>17</w:t>
            </w:r>
          </w:p>
        </w:tc>
        <w:tc>
          <w:tcPr>
            <w:tcW w:w="2072" w:type="dxa"/>
            <w:noWrap/>
            <w:vAlign w:val="center"/>
            <w:hideMark/>
          </w:tcPr>
          <w:p w14:paraId="4BB5C5BA" w14:textId="77777777" w:rsidR="00F35885" w:rsidRPr="00E8392D" w:rsidRDefault="00F35885" w:rsidP="00F35885">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val="en-AU" w:eastAsia="en-AU"/>
              </w:rPr>
            </w:pPr>
            <w:r w:rsidRPr="00E8392D">
              <w:rPr>
                <w:rFonts w:eastAsia="Times New Roman" w:cs="Arial"/>
                <w:color w:val="000000"/>
                <w:sz w:val="16"/>
                <w:szCs w:val="16"/>
                <w:lang w:val="en-AU" w:eastAsia="en-AU"/>
              </w:rPr>
              <w:t>4</w:t>
            </w:r>
          </w:p>
        </w:tc>
        <w:tc>
          <w:tcPr>
            <w:tcW w:w="1555" w:type="dxa"/>
            <w:noWrap/>
            <w:vAlign w:val="center"/>
            <w:hideMark/>
          </w:tcPr>
          <w:p w14:paraId="176F5F64" w14:textId="77777777" w:rsidR="00F35885" w:rsidRPr="00E8392D" w:rsidRDefault="00F35885" w:rsidP="00F35885">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6"/>
                <w:szCs w:val="16"/>
                <w:lang w:val="en-AU" w:eastAsia="en-AU"/>
              </w:rPr>
            </w:pPr>
            <w:r w:rsidRPr="00E8392D">
              <w:rPr>
                <w:rFonts w:eastAsia="Times New Roman" w:cs="Arial"/>
                <w:b/>
                <w:color w:val="000000"/>
                <w:sz w:val="16"/>
                <w:szCs w:val="16"/>
                <w:lang w:val="en-AU" w:eastAsia="en-AU"/>
              </w:rPr>
              <w:t>85%</w:t>
            </w:r>
          </w:p>
        </w:tc>
      </w:tr>
      <w:tr w:rsidR="00F35885" w:rsidRPr="004B0AE3" w14:paraId="3CACD17D" w14:textId="77777777" w:rsidTr="00F35885">
        <w:trPr>
          <w:trHeight w:val="256"/>
        </w:trPr>
        <w:tc>
          <w:tcPr>
            <w:cnfStyle w:val="001000000000" w:firstRow="0" w:lastRow="0" w:firstColumn="1" w:lastColumn="0" w:oddVBand="0" w:evenVBand="0" w:oddHBand="0" w:evenHBand="0" w:firstRowFirstColumn="0" w:firstRowLastColumn="0" w:lastRowFirstColumn="0" w:lastRowLastColumn="0"/>
            <w:tcW w:w="2344" w:type="dxa"/>
            <w:noWrap/>
            <w:vAlign w:val="center"/>
            <w:hideMark/>
          </w:tcPr>
          <w:p w14:paraId="14804FB4" w14:textId="77777777" w:rsidR="00F35885" w:rsidRPr="00E8392D" w:rsidRDefault="00F35885" w:rsidP="00F35885">
            <w:pPr>
              <w:widowControl/>
              <w:suppressAutoHyphens w:val="0"/>
              <w:autoSpaceDE/>
              <w:autoSpaceDN/>
              <w:adjustRightInd/>
              <w:spacing w:after="0" w:line="240" w:lineRule="auto"/>
              <w:jc w:val="center"/>
              <w:textAlignment w:val="auto"/>
              <w:rPr>
                <w:rFonts w:eastAsia="Times New Roman" w:cs="Arial"/>
                <w:color w:val="000000"/>
                <w:sz w:val="16"/>
                <w:szCs w:val="16"/>
                <w:lang w:val="en-AU" w:eastAsia="en-AU"/>
              </w:rPr>
            </w:pPr>
            <w:r w:rsidRPr="00E8392D">
              <w:rPr>
                <w:rFonts w:eastAsia="Times New Roman" w:cs="Arial"/>
                <w:color w:val="000000"/>
                <w:sz w:val="16"/>
                <w:szCs w:val="16"/>
                <w:lang w:val="en-AU" w:eastAsia="en-AU"/>
              </w:rPr>
              <w:t>Prospecting Licences</w:t>
            </w:r>
          </w:p>
        </w:tc>
        <w:tc>
          <w:tcPr>
            <w:tcW w:w="2187" w:type="dxa"/>
            <w:noWrap/>
            <w:vAlign w:val="center"/>
            <w:hideMark/>
          </w:tcPr>
          <w:p w14:paraId="197E706E" w14:textId="77777777" w:rsidR="00F35885" w:rsidRPr="00E8392D" w:rsidRDefault="00F35885" w:rsidP="00F35885">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6"/>
                <w:szCs w:val="16"/>
                <w:lang w:val="en-AU" w:eastAsia="en-AU"/>
              </w:rPr>
            </w:pPr>
            <w:r w:rsidRPr="00E8392D">
              <w:rPr>
                <w:rFonts w:eastAsia="Times New Roman" w:cs="Arial"/>
                <w:b/>
                <w:color w:val="000000"/>
                <w:sz w:val="16"/>
                <w:szCs w:val="16"/>
                <w:lang w:val="en-AU" w:eastAsia="en-AU"/>
              </w:rPr>
              <w:t>59</w:t>
            </w:r>
          </w:p>
        </w:tc>
        <w:tc>
          <w:tcPr>
            <w:tcW w:w="1954" w:type="dxa"/>
            <w:noWrap/>
            <w:vAlign w:val="center"/>
            <w:hideMark/>
          </w:tcPr>
          <w:p w14:paraId="22ABDCBE" w14:textId="77777777" w:rsidR="00F35885" w:rsidRPr="00E8392D" w:rsidRDefault="00F35885" w:rsidP="00F35885">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val="en-AU" w:eastAsia="en-AU"/>
              </w:rPr>
            </w:pPr>
            <w:r w:rsidRPr="00E8392D">
              <w:rPr>
                <w:rFonts w:eastAsia="Times New Roman" w:cs="Arial"/>
                <w:color w:val="000000"/>
                <w:sz w:val="16"/>
                <w:szCs w:val="16"/>
                <w:lang w:val="en-AU" w:eastAsia="en-AU"/>
              </w:rPr>
              <w:t>45</w:t>
            </w:r>
          </w:p>
        </w:tc>
        <w:tc>
          <w:tcPr>
            <w:tcW w:w="2072" w:type="dxa"/>
            <w:noWrap/>
            <w:vAlign w:val="center"/>
            <w:hideMark/>
          </w:tcPr>
          <w:p w14:paraId="36402204" w14:textId="77777777" w:rsidR="00F35885" w:rsidRPr="00E8392D" w:rsidRDefault="00F35885" w:rsidP="00F35885">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val="en-AU" w:eastAsia="en-AU"/>
              </w:rPr>
            </w:pPr>
            <w:r w:rsidRPr="00E8392D">
              <w:rPr>
                <w:rFonts w:eastAsia="Times New Roman" w:cs="Arial"/>
                <w:color w:val="000000"/>
                <w:sz w:val="16"/>
                <w:szCs w:val="16"/>
                <w:lang w:val="en-AU" w:eastAsia="en-AU"/>
              </w:rPr>
              <w:t>15</w:t>
            </w:r>
          </w:p>
        </w:tc>
        <w:tc>
          <w:tcPr>
            <w:tcW w:w="1555" w:type="dxa"/>
            <w:noWrap/>
            <w:vAlign w:val="center"/>
            <w:hideMark/>
          </w:tcPr>
          <w:p w14:paraId="5565C7BF" w14:textId="77777777" w:rsidR="00F35885" w:rsidRPr="00E8392D" w:rsidRDefault="00F35885" w:rsidP="00F35885">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6"/>
                <w:szCs w:val="16"/>
                <w:lang w:val="en-AU" w:eastAsia="en-AU"/>
              </w:rPr>
            </w:pPr>
            <w:r w:rsidRPr="00E8392D">
              <w:rPr>
                <w:rFonts w:eastAsia="Times New Roman" w:cs="Arial"/>
                <w:b/>
                <w:color w:val="000000"/>
                <w:sz w:val="16"/>
                <w:szCs w:val="16"/>
                <w:lang w:val="en-AU" w:eastAsia="en-AU"/>
              </w:rPr>
              <w:t>76%</w:t>
            </w:r>
          </w:p>
        </w:tc>
      </w:tr>
      <w:tr w:rsidR="00F35885" w:rsidRPr="004B0AE3" w14:paraId="3B9C2D40" w14:textId="77777777" w:rsidTr="00F3588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344" w:type="dxa"/>
            <w:noWrap/>
            <w:vAlign w:val="center"/>
            <w:hideMark/>
          </w:tcPr>
          <w:p w14:paraId="4CED7FDA" w14:textId="77777777" w:rsidR="00F35885" w:rsidRPr="00E8392D" w:rsidRDefault="00F35885" w:rsidP="00F35885">
            <w:pPr>
              <w:widowControl/>
              <w:suppressAutoHyphens w:val="0"/>
              <w:autoSpaceDE/>
              <w:autoSpaceDN/>
              <w:adjustRightInd/>
              <w:spacing w:after="0" w:line="240" w:lineRule="auto"/>
              <w:jc w:val="center"/>
              <w:textAlignment w:val="auto"/>
              <w:rPr>
                <w:rFonts w:eastAsia="Times New Roman" w:cs="Arial"/>
                <w:color w:val="000000"/>
                <w:sz w:val="16"/>
                <w:szCs w:val="16"/>
                <w:lang w:val="en-AU" w:eastAsia="en-AU"/>
              </w:rPr>
            </w:pPr>
            <w:r w:rsidRPr="00E8392D">
              <w:rPr>
                <w:rFonts w:eastAsia="Times New Roman" w:cs="Arial"/>
                <w:color w:val="000000"/>
                <w:sz w:val="16"/>
                <w:szCs w:val="16"/>
                <w:lang w:val="en-AU" w:eastAsia="en-AU"/>
              </w:rPr>
              <w:t>Work Authority</w:t>
            </w:r>
          </w:p>
        </w:tc>
        <w:tc>
          <w:tcPr>
            <w:tcW w:w="2187" w:type="dxa"/>
            <w:noWrap/>
            <w:vAlign w:val="center"/>
            <w:hideMark/>
          </w:tcPr>
          <w:p w14:paraId="4E4EA70F" w14:textId="77777777" w:rsidR="00F35885" w:rsidRPr="00E8392D" w:rsidRDefault="00F35885" w:rsidP="00F35885">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6"/>
                <w:szCs w:val="16"/>
                <w:lang w:val="en-AU" w:eastAsia="en-AU"/>
              </w:rPr>
            </w:pPr>
            <w:r w:rsidRPr="00E8392D">
              <w:rPr>
                <w:rFonts w:eastAsia="Times New Roman" w:cs="Arial"/>
                <w:b/>
                <w:color w:val="000000"/>
                <w:sz w:val="16"/>
                <w:szCs w:val="16"/>
                <w:lang w:val="en-AU" w:eastAsia="en-AU"/>
              </w:rPr>
              <w:t>881</w:t>
            </w:r>
          </w:p>
        </w:tc>
        <w:tc>
          <w:tcPr>
            <w:tcW w:w="1954" w:type="dxa"/>
            <w:noWrap/>
            <w:vAlign w:val="center"/>
            <w:hideMark/>
          </w:tcPr>
          <w:p w14:paraId="3A6BD4A0" w14:textId="77777777" w:rsidR="00F35885" w:rsidRPr="00E8392D" w:rsidRDefault="00F35885" w:rsidP="00F35885">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val="en-AU" w:eastAsia="en-AU"/>
              </w:rPr>
            </w:pPr>
            <w:r w:rsidRPr="00E8392D">
              <w:rPr>
                <w:rFonts w:eastAsia="Times New Roman" w:cs="Arial"/>
                <w:color w:val="000000"/>
                <w:sz w:val="16"/>
                <w:szCs w:val="16"/>
                <w:lang w:val="en-AU" w:eastAsia="en-AU"/>
              </w:rPr>
              <w:t>741</w:t>
            </w:r>
          </w:p>
        </w:tc>
        <w:tc>
          <w:tcPr>
            <w:tcW w:w="2072" w:type="dxa"/>
            <w:noWrap/>
            <w:vAlign w:val="center"/>
            <w:hideMark/>
          </w:tcPr>
          <w:p w14:paraId="55C8C05C" w14:textId="77777777" w:rsidR="00F35885" w:rsidRPr="00E8392D" w:rsidRDefault="00F35885" w:rsidP="00F35885">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val="en-AU" w:eastAsia="en-AU"/>
              </w:rPr>
            </w:pPr>
            <w:r w:rsidRPr="00E8392D">
              <w:rPr>
                <w:rFonts w:eastAsia="Times New Roman" w:cs="Arial"/>
                <w:color w:val="000000"/>
                <w:sz w:val="16"/>
                <w:szCs w:val="16"/>
                <w:lang w:val="en-AU" w:eastAsia="en-AU"/>
              </w:rPr>
              <w:t>149</w:t>
            </w:r>
          </w:p>
        </w:tc>
        <w:tc>
          <w:tcPr>
            <w:tcW w:w="1555" w:type="dxa"/>
            <w:noWrap/>
            <w:vAlign w:val="center"/>
            <w:hideMark/>
          </w:tcPr>
          <w:p w14:paraId="11887925" w14:textId="77777777" w:rsidR="00F35885" w:rsidRPr="00E8392D" w:rsidRDefault="00F35885" w:rsidP="00F35885">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6"/>
                <w:szCs w:val="16"/>
                <w:lang w:val="en-AU" w:eastAsia="en-AU"/>
              </w:rPr>
            </w:pPr>
            <w:r w:rsidRPr="00E8392D">
              <w:rPr>
                <w:rFonts w:eastAsia="Times New Roman" w:cs="Arial"/>
                <w:b/>
                <w:color w:val="000000"/>
                <w:sz w:val="16"/>
                <w:szCs w:val="16"/>
                <w:lang w:val="en-AU" w:eastAsia="en-AU"/>
              </w:rPr>
              <w:t>84%</w:t>
            </w:r>
          </w:p>
        </w:tc>
      </w:tr>
      <w:tr w:rsidR="00F35885" w:rsidRPr="004B0AE3" w14:paraId="4969A657" w14:textId="77777777" w:rsidTr="00F35885">
        <w:trPr>
          <w:cnfStyle w:val="010000000000" w:firstRow="0" w:lastRow="1"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344" w:type="dxa"/>
            <w:noWrap/>
            <w:vAlign w:val="center"/>
            <w:hideMark/>
          </w:tcPr>
          <w:p w14:paraId="7180BB8D" w14:textId="77777777" w:rsidR="00F35885" w:rsidRPr="00E8392D" w:rsidRDefault="00F35885" w:rsidP="00F35885">
            <w:pPr>
              <w:widowControl/>
              <w:suppressAutoHyphens w:val="0"/>
              <w:autoSpaceDE/>
              <w:autoSpaceDN/>
              <w:adjustRightInd/>
              <w:spacing w:after="0" w:line="240" w:lineRule="auto"/>
              <w:jc w:val="center"/>
              <w:textAlignment w:val="auto"/>
              <w:rPr>
                <w:rFonts w:eastAsia="Times New Roman" w:cs="Arial"/>
                <w:color w:val="000000"/>
                <w:sz w:val="16"/>
                <w:szCs w:val="16"/>
                <w:lang w:val="en-AU" w:eastAsia="en-AU"/>
              </w:rPr>
            </w:pPr>
          </w:p>
        </w:tc>
        <w:tc>
          <w:tcPr>
            <w:tcW w:w="2187" w:type="dxa"/>
            <w:noWrap/>
            <w:vAlign w:val="center"/>
            <w:hideMark/>
          </w:tcPr>
          <w:p w14:paraId="72A7FF1D" w14:textId="77777777" w:rsidR="00F35885" w:rsidRPr="00E8392D" w:rsidRDefault="00F35885" w:rsidP="00F35885">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color w:val="000000"/>
                <w:sz w:val="16"/>
                <w:szCs w:val="16"/>
                <w:lang w:val="en-AU" w:eastAsia="en-AU"/>
              </w:rPr>
            </w:pPr>
            <w:r>
              <w:rPr>
                <w:rFonts w:eastAsia="Times New Roman" w:cs="Arial"/>
                <w:color w:val="000000"/>
                <w:sz w:val="16"/>
                <w:szCs w:val="16"/>
                <w:lang w:val="en-AU" w:eastAsia="en-AU"/>
              </w:rPr>
              <w:fldChar w:fldCharType="begin"/>
            </w:r>
            <w:r>
              <w:rPr>
                <w:rFonts w:eastAsia="Times New Roman" w:cs="Arial"/>
                <w:color w:val="000000"/>
                <w:sz w:val="16"/>
                <w:szCs w:val="16"/>
                <w:lang w:val="en-AU" w:eastAsia="en-AU"/>
              </w:rPr>
              <w:instrText xml:space="preserve"> =SUM(ABOVE) </w:instrText>
            </w:r>
            <w:r>
              <w:rPr>
                <w:rFonts w:eastAsia="Times New Roman" w:cs="Arial"/>
                <w:color w:val="000000"/>
                <w:sz w:val="16"/>
                <w:szCs w:val="16"/>
                <w:lang w:val="en-AU" w:eastAsia="en-AU"/>
              </w:rPr>
              <w:fldChar w:fldCharType="separate"/>
            </w:r>
            <w:r>
              <w:rPr>
                <w:rFonts w:eastAsia="Times New Roman" w:cs="Arial"/>
                <w:noProof/>
                <w:color w:val="000000"/>
                <w:sz w:val="16"/>
                <w:szCs w:val="16"/>
                <w:lang w:val="en-AU" w:eastAsia="en-AU"/>
              </w:rPr>
              <w:t>1316</w:t>
            </w:r>
            <w:r>
              <w:rPr>
                <w:rFonts w:eastAsia="Times New Roman" w:cs="Arial"/>
                <w:color w:val="000000"/>
                <w:sz w:val="16"/>
                <w:szCs w:val="16"/>
                <w:lang w:val="en-AU" w:eastAsia="en-AU"/>
              </w:rPr>
              <w:fldChar w:fldCharType="end"/>
            </w:r>
          </w:p>
        </w:tc>
        <w:tc>
          <w:tcPr>
            <w:tcW w:w="1954" w:type="dxa"/>
            <w:noWrap/>
            <w:vAlign w:val="center"/>
            <w:hideMark/>
          </w:tcPr>
          <w:p w14:paraId="31F2F525" w14:textId="77777777" w:rsidR="00F35885" w:rsidRPr="00E8392D" w:rsidRDefault="00F35885" w:rsidP="00F35885">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color w:val="000000"/>
                <w:sz w:val="16"/>
                <w:szCs w:val="16"/>
                <w:lang w:val="en-AU" w:eastAsia="en-AU"/>
              </w:rPr>
            </w:pPr>
            <w:r>
              <w:rPr>
                <w:rFonts w:eastAsia="Times New Roman" w:cs="Arial"/>
                <w:color w:val="000000"/>
                <w:sz w:val="16"/>
                <w:szCs w:val="16"/>
                <w:lang w:val="en-AU" w:eastAsia="en-AU"/>
              </w:rPr>
              <w:fldChar w:fldCharType="begin"/>
            </w:r>
            <w:r>
              <w:rPr>
                <w:rFonts w:eastAsia="Times New Roman" w:cs="Arial"/>
                <w:color w:val="000000"/>
                <w:sz w:val="16"/>
                <w:szCs w:val="16"/>
                <w:lang w:val="en-AU" w:eastAsia="en-AU"/>
              </w:rPr>
              <w:instrText xml:space="preserve"> =SUM(ABOVE) </w:instrText>
            </w:r>
            <w:r>
              <w:rPr>
                <w:rFonts w:eastAsia="Times New Roman" w:cs="Arial"/>
                <w:color w:val="000000"/>
                <w:sz w:val="16"/>
                <w:szCs w:val="16"/>
                <w:lang w:val="en-AU" w:eastAsia="en-AU"/>
              </w:rPr>
              <w:fldChar w:fldCharType="separate"/>
            </w:r>
            <w:r>
              <w:rPr>
                <w:rFonts w:eastAsia="Times New Roman" w:cs="Arial"/>
                <w:noProof/>
                <w:color w:val="000000"/>
                <w:sz w:val="16"/>
                <w:szCs w:val="16"/>
                <w:lang w:val="en-AU" w:eastAsia="en-AU"/>
              </w:rPr>
              <w:t>1120</w:t>
            </w:r>
            <w:r>
              <w:rPr>
                <w:rFonts w:eastAsia="Times New Roman" w:cs="Arial"/>
                <w:color w:val="000000"/>
                <w:sz w:val="16"/>
                <w:szCs w:val="16"/>
                <w:lang w:val="en-AU" w:eastAsia="en-AU"/>
              </w:rPr>
              <w:fldChar w:fldCharType="end"/>
            </w:r>
          </w:p>
        </w:tc>
        <w:tc>
          <w:tcPr>
            <w:tcW w:w="2072" w:type="dxa"/>
            <w:noWrap/>
            <w:vAlign w:val="center"/>
            <w:hideMark/>
          </w:tcPr>
          <w:p w14:paraId="50B35EC9" w14:textId="77777777" w:rsidR="00F35885" w:rsidRPr="00E8392D" w:rsidRDefault="00F35885" w:rsidP="00F35885">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color w:val="000000"/>
                <w:sz w:val="16"/>
                <w:szCs w:val="16"/>
                <w:lang w:val="en-AU" w:eastAsia="en-AU"/>
              </w:rPr>
            </w:pPr>
            <w:r>
              <w:rPr>
                <w:rFonts w:eastAsia="Times New Roman" w:cs="Arial"/>
                <w:color w:val="000000"/>
                <w:sz w:val="16"/>
                <w:szCs w:val="16"/>
                <w:lang w:val="en-AU" w:eastAsia="en-AU"/>
              </w:rPr>
              <w:fldChar w:fldCharType="begin"/>
            </w:r>
            <w:r>
              <w:rPr>
                <w:rFonts w:eastAsia="Times New Roman" w:cs="Arial"/>
                <w:color w:val="000000"/>
                <w:sz w:val="16"/>
                <w:szCs w:val="16"/>
                <w:lang w:val="en-AU" w:eastAsia="en-AU"/>
              </w:rPr>
              <w:instrText xml:space="preserve"> =SUM(ABOVE) </w:instrText>
            </w:r>
            <w:r>
              <w:rPr>
                <w:rFonts w:eastAsia="Times New Roman" w:cs="Arial"/>
                <w:color w:val="000000"/>
                <w:sz w:val="16"/>
                <w:szCs w:val="16"/>
                <w:lang w:val="en-AU" w:eastAsia="en-AU"/>
              </w:rPr>
              <w:fldChar w:fldCharType="separate"/>
            </w:r>
            <w:r>
              <w:rPr>
                <w:rFonts w:eastAsia="Times New Roman" w:cs="Arial"/>
                <w:noProof/>
                <w:color w:val="000000"/>
                <w:sz w:val="16"/>
                <w:szCs w:val="16"/>
                <w:lang w:val="en-AU" w:eastAsia="en-AU"/>
              </w:rPr>
              <w:t>227</w:t>
            </w:r>
            <w:r>
              <w:rPr>
                <w:rFonts w:eastAsia="Times New Roman" w:cs="Arial"/>
                <w:color w:val="000000"/>
                <w:sz w:val="16"/>
                <w:szCs w:val="16"/>
                <w:lang w:val="en-AU" w:eastAsia="en-AU"/>
              </w:rPr>
              <w:fldChar w:fldCharType="end"/>
            </w:r>
          </w:p>
        </w:tc>
        <w:tc>
          <w:tcPr>
            <w:tcW w:w="1555" w:type="dxa"/>
            <w:noWrap/>
            <w:vAlign w:val="center"/>
            <w:hideMark/>
          </w:tcPr>
          <w:p w14:paraId="0C4836C4" w14:textId="77777777" w:rsidR="00F35885" w:rsidRPr="00E8392D" w:rsidRDefault="00F35885" w:rsidP="00F35885">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color w:val="000000"/>
                <w:sz w:val="16"/>
                <w:szCs w:val="16"/>
                <w:lang w:val="en-AU" w:eastAsia="en-AU"/>
              </w:rPr>
            </w:pPr>
            <w:r w:rsidRPr="00E8392D">
              <w:rPr>
                <w:rFonts w:eastAsia="Times New Roman" w:cs="Arial"/>
                <w:color w:val="000000"/>
                <w:sz w:val="16"/>
                <w:szCs w:val="16"/>
                <w:lang w:val="en-AU" w:eastAsia="en-AU"/>
              </w:rPr>
              <w:t>85%</w:t>
            </w:r>
          </w:p>
        </w:tc>
      </w:tr>
    </w:tbl>
    <w:p w14:paraId="628B0032" w14:textId="0BD54E9F" w:rsidR="008E53D3" w:rsidRPr="00B27B13" w:rsidRDefault="008E53D3" w:rsidP="008E53D3">
      <w:pPr>
        <w:pStyle w:val="bodycopy"/>
        <w:spacing w:after="0" w:line="240" w:lineRule="auto"/>
        <w:rPr>
          <w:b/>
          <w:color w:val="auto"/>
          <w:u w:color="FFFFFF" w:themeColor="background1"/>
          <w:lang w:val="en-AU"/>
        </w:rPr>
      </w:pPr>
      <w:r w:rsidRPr="00B27B13">
        <w:rPr>
          <w:b/>
          <w:color w:val="auto"/>
          <w:u w:color="FFFFFF" w:themeColor="background1"/>
          <w:lang w:val="en-AU"/>
        </w:rPr>
        <w:t>Table 1.1 MRSDA</w:t>
      </w:r>
      <w:r w:rsidR="00F35885" w:rsidRPr="00B27B13">
        <w:rPr>
          <w:b/>
          <w:color w:val="auto"/>
          <w:u w:color="FFFFFF" w:themeColor="background1"/>
          <w:lang w:val="en-AU"/>
        </w:rPr>
        <w:t xml:space="preserve"> Production &amp; Royalty / Expenditure &amp; Activity report submission rate</w:t>
      </w:r>
    </w:p>
    <w:p w14:paraId="578C6317" w14:textId="77777777" w:rsidR="00F35885" w:rsidRDefault="00F35885" w:rsidP="008E53D3">
      <w:pPr>
        <w:pStyle w:val="bodycopy"/>
        <w:spacing w:after="0" w:line="240" w:lineRule="auto"/>
        <w:rPr>
          <w:b/>
          <w:color w:val="auto"/>
          <w:sz w:val="20"/>
          <w:szCs w:val="20"/>
          <w:u w:color="FFFFFF" w:themeColor="background1"/>
          <w:lang w:val="en-AU"/>
        </w:rPr>
      </w:pPr>
    </w:p>
    <w:p w14:paraId="12925FC8" w14:textId="3FC255B4" w:rsidR="000A319A" w:rsidRPr="00CB0692" w:rsidRDefault="00603423" w:rsidP="008E53D3">
      <w:pPr>
        <w:pStyle w:val="bodycopy"/>
        <w:spacing w:after="0" w:line="240" w:lineRule="auto"/>
        <w:rPr>
          <w:b/>
          <w:color w:val="auto"/>
          <w:sz w:val="20"/>
          <w:szCs w:val="20"/>
          <w:u w:color="FFFFFF" w:themeColor="background1"/>
          <w:lang w:val="en-AU"/>
        </w:rPr>
      </w:pPr>
      <w:r w:rsidRPr="00CB0692">
        <w:rPr>
          <w:b/>
          <w:color w:val="auto"/>
          <w:sz w:val="20"/>
          <w:szCs w:val="20"/>
          <w:u w:color="FFFFFF" w:themeColor="background1"/>
          <w:lang w:val="en-AU"/>
        </w:rPr>
        <w:t>K</w:t>
      </w:r>
      <w:r w:rsidR="000A319A" w:rsidRPr="00CB0692">
        <w:rPr>
          <w:b/>
          <w:color w:val="auto"/>
          <w:sz w:val="20"/>
          <w:szCs w:val="20"/>
          <w:u w:color="FFFFFF" w:themeColor="background1"/>
          <w:lang w:val="en-AU"/>
        </w:rPr>
        <w:t xml:space="preserve">ey </w:t>
      </w:r>
      <w:r w:rsidRPr="00CB0692">
        <w:rPr>
          <w:b/>
          <w:color w:val="auto"/>
          <w:sz w:val="20"/>
          <w:szCs w:val="20"/>
          <w:u w:color="FFFFFF" w:themeColor="background1"/>
          <w:lang w:val="en-AU"/>
        </w:rPr>
        <w:t xml:space="preserve">observations and </w:t>
      </w:r>
      <w:r w:rsidR="000A319A" w:rsidRPr="00CB0692">
        <w:rPr>
          <w:b/>
          <w:color w:val="auto"/>
          <w:sz w:val="20"/>
          <w:szCs w:val="20"/>
          <w:u w:color="FFFFFF" w:themeColor="background1"/>
          <w:lang w:val="en-AU"/>
        </w:rPr>
        <w:t xml:space="preserve">statistics </w:t>
      </w:r>
      <w:r w:rsidR="00996D14" w:rsidRPr="00CB0692">
        <w:rPr>
          <w:b/>
          <w:color w:val="auto"/>
          <w:sz w:val="20"/>
          <w:szCs w:val="20"/>
          <w:u w:color="FFFFFF" w:themeColor="background1"/>
          <w:lang w:val="en-AU"/>
        </w:rPr>
        <w:t>for 2017-18</w:t>
      </w:r>
      <w:r w:rsidRPr="00CB0692">
        <w:rPr>
          <w:b/>
          <w:color w:val="auto"/>
          <w:sz w:val="20"/>
          <w:szCs w:val="20"/>
          <w:u w:color="FFFFFF" w:themeColor="background1"/>
          <w:lang w:val="en-AU"/>
        </w:rPr>
        <w:t xml:space="preserve"> include</w:t>
      </w:r>
      <w:r w:rsidR="000A319A" w:rsidRPr="00CB0692">
        <w:rPr>
          <w:b/>
          <w:color w:val="auto"/>
          <w:sz w:val="20"/>
          <w:szCs w:val="20"/>
          <w:u w:color="FFFFFF" w:themeColor="background1"/>
          <w:lang w:val="en-AU"/>
        </w:rPr>
        <w:t>:</w:t>
      </w:r>
    </w:p>
    <w:p w14:paraId="048DF753" w14:textId="50882D67" w:rsidR="00D97B94" w:rsidRPr="00046093" w:rsidRDefault="00D97B94" w:rsidP="008E53D3">
      <w:pPr>
        <w:pStyle w:val="bodycopy"/>
        <w:spacing w:after="0" w:line="240" w:lineRule="auto"/>
        <w:rPr>
          <w:b/>
          <w:color w:val="auto"/>
          <w:sz w:val="20"/>
          <w:szCs w:val="20"/>
          <w:u w:color="FFFFFF" w:themeColor="background1"/>
          <w:lang w:val="en-AU"/>
        </w:rPr>
      </w:pPr>
      <w:r w:rsidRPr="00046093">
        <w:rPr>
          <w:b/>
          <w:color w:val="auto"/>
          <w:sz w:val="20"/>
          <w:szCs w:val="20"/>
          <w:u w:color="FFFFFF" w:themeColor="background1"/>
          <w:lang w:val="en-AU"/>
        </w:rPr>
        <w:t>Mineral</w:t>
      </w:r>
    </w:p>
    <w:p w14:paraId="14713A60" w14:textId="37DA4379" w:rsidR="00BB197F" w:rsidRPr="00961E1E" w:rsidRDefault="00603038" w:rsidP="008E53D3">
      <w:pPr>
        <w:pStyle w:val="BodyText"/>
        <w:numPr>
          <w:ilvl w:val="0"/>
          <w:numId w:val="25"/>
        </w:numPr>
        <w:spacing w:before="0" w:after="0" w:line="240" w:lineRule="auto"/>
        <w:rPr>
          <w:rFonts w:cs="Arial"/>
          <w:szCs w:val="20"/>
          <w:u w:color="FFFFFF" w:themeColor="background1"/>
          <w:lang w:val="en-AU"/>
        </w:rPr>
      </w:pPr>
      <w:r>
        <w:rPr>
          <w:rFonts w:cs="Arial"/>
          <w:szCs w:val="20"/>
          <w:u w:color="FFFFFF" w:themeColor="background1"/>
          <w:lang w:val="en-AU"/>
        </w:rPr>
        <w:t>There were 435 active</w:t>
      </w:r>
      <w:r w:rsidR="00507CD0" w:rsidRPr="00961E1E">
        <w:rPr>
          <w:rFonts w:cs="Arial"/>
          <w:szCs w:val="20"/>
          <w:u w:color="FFFFFF" w:themeColor="background1"/>
          <w:lang w:val="en-AU"/>
        </w:rPr>
        <w:t xml:space="preserve"> mineral licences as at 30 June 2018</w:t>
      </w:r>
      <w:r w:rsidR="00BB197F" w:rsidRPr="00961E1E">
        <w:rPr>
          <w:rFonts w:cs="Arial"/>
          <w:szCs w:val="20"/>
          <w:u w:color="FFFFFF" w:themeColor="background1"/>
          <w:lang w:val="en-AU"/>
        </w:rPr>
        <w:t xml:space="preserve">, </w:t>
      </w:r>
      <w:r w:rsidR="00507CD0" w:rsidRPr="00961E1E">
        <w:rPr>
          <w:rFonts w:cs="Arial"/>
          <w:szCs w:val="20"/>
          <w:u w:color="FFFFFF" w:themeColor="background1"/>
          <w:lang w:val="en-AU"/>
        </w:rPr>
        <w:t>a 5.8% increase compared to</w:t>
      </w:r>
      <w:r>
        <w:rPr>
          <w:rFonts w:cs="Arial"/>
          <w:szCs w:val="20"/>
          <w:u w:color="FFFFFF" w:themeColor="background1"/>
          <w:lang w:val="en-AU"/>
        </w:rPr>
        <w:t xml:space="preserve"> 411 in</w:t>
      </w:r>
      <w:r w:rsidR="00507CD0" w:rsidRPr="00961E1E">
        <w:rPr>
          <w:rFonts w:cs="Arial"/>
          <w:szCs w:val="20"/>
          <w:u w:color="FFFFFF" w:themeColor="background1"/>
          <w:lang w:val="en-AU"/>
        </w:rPr>
        <w:t xml:space="preserve"> 2016-17</w:t>
      </w:r>
      <w:r w:rsidR="00BB197F" w:rsidRPr="00961E1E">
        <w:rPr>
          <w:rFonts w:cs="Arial"/>
          <w:szCs w:val="20"/>
          <w:u w:color="FFFFFF" w:themeColor="background1"/>
          <w:lang w:val="en-AU"/>
        </w:rPr>
        <w:t>.</w:t>
      </w:r>
    </w:p>
    <w:p w14:paraId="56D929A0" w14:textId="5C0F9C82" w:rsidR="00BB197F" w:rsidRPr="00961E1E" w:rsidRDefault="00BB197F" w:rsidP="008E53D3">
      <w:pPr>
        <w:pStyle w:val="BodyText"/>
        <w:numPr>
          <w:ilvl w:val="0"/>
          <w:numId w:val="25"/>
        </w:numPr>
        <w:spacing w:before="0" w:after="0" w:line="240" w:lineRule="auto"/>
        <w:rPr>
          <w:rFonts w:cs="Arial"/>
          <w:szCs w:val="20"/>
          <w:u w:color="FFFFFF" w:themeColor="background1"/>
          <w:lang w:val="en-AU"/>
        </w:rPr>
      </w:pPr>
      <w:r w:rsidRPr="00961E1E">
        <w:rPr>
          <w:rFonts w:cs="Arial"/>
          <w:szCs w:val="20"/>
          <w:u w:color="FFFFFF" w:themeColor="background1"/>
          <w:lang w:val="en-AU"/>
        </w:rPr>
        <w:t xml:space="preserve">The number of </w:t>
      </w:r>
      <w:r w:rsidR="00DF03BA">
        <w:rPr>
          <w:rFonts w:cs="Arial"/>
          <w:szCs w:val="20"/>
          <w:u w:color="FFFFFF" w:themeColor="background1"/>
          <w:lang w:val="en-AU"/>
        </w:rPr>
        <w:t xml:space="preserve">new mineral </w:t>
      </w:r>
      <w:r w:rsidRPr="00961E1E">
        <w:rPr>
          <w:rFonts w:cs="Arial"/>
          <w:szCs w:val="20"/>
          <w:u w:color="FFFFFF" w:themeColor="background1"/>
          <w:lang w:val="en-AU"/>
        </w:rPr>
        <w:t xml:space="preserve">licences granted and renewed increased </w:t>
      </w:r>
      <w:r w:rsidR="00961E1E" w:rsidRPr="00961E1E">
        <w:rPr>
          <w:rFonts w:cs="Arial"/>
          <w:szCs w:val="20"/>
          <w:u w:color="FFFFFF" w:themeColor="background1"/>
          <w:lang w:val="en-AU"/>
        </w:rPr>
        <w:t xml:space="preserve">from 68 </w:t>
      </w:r>
      <w:r w:rsidR="00DF03BA" w:rsidRPr="00961E1E">
        <w:rPr>
          <w:rFonts w:cs="Arial"/>
          <w:szCs w:val="20"/>
          <w:u w:color="FFFFFF" w:themeColor="background1"/>
          <w:lang w:val="en-AU"/>
        </w:rPr>
        <w:t xml:space="preserve">to140 </w:t>
      </w:r>
      <w:r w:rsidR="00DF03BA">
        <w:rPr>
          <w:rFonts w:cs="Arial"/>
          <w:szCs w:val="20"/>
          <w:u w:color="FFFFFF" w:themeColor="background1"/>
          <w:lang w:val="en-AU"/>
        </w:rPr>
        <w:t>in 2017-18</w:t>
      </w:r>
      <w:r w:rsidRPr="00961E1E">
        <w:rPr>
          <w:rFonts w:cs="Arial"/>
          <w:szCs w:val="20"/>
          <w:u w:color="FFFFFF" w:themeColor="background1"/>
          <w:lang w:val="en-AU"/>
        </w:rPr>
        <w:t>.</w:t>
      </w:r>
    </w:p>
    <w:p w14:paraId="29B44079" w14:textId="094C5F6D" w:rsidR="00D97B94" w:rsidRPr="005E321D" w:rsidRDefault="00D97B94" w:rsidP="008E53D3">
      <w:pPr>
        <w:pStyle w:val="BodyText"/>
        <w:numPr>
          <w:ilvl w:val="0"/>
          <w:numId w:val="25"/>
        </w:numPr>
        <w:spacing w:before="0" w:after="0" w:line="240" w:lineRule="auto"/>
        <w:rPr>
          <w:rFonts w:cs="Arial"/>
          <w:szCs w:val="20"/>
          <w:u w:color="FFFFFF" w:themeColor="background1"/>
          <w:lang w:val="en-AU"/>
        </w:rPr>
      </w:pPr>
      <w:r w:rsidRPr="005E321D">
        <w:rPr>
          <w:u w:color="FFFFFF" w:themeColor="background1"/>
          <w:lang w:val="en-AU"/>
        </w:rPr>
        <w:t xml:space="preserve">The </w:t>
      </w:r>
      <w:r w:rsidRPr="005E321D">
        <w:rPr>
          <w:rFonts w:eastAsia="Times New Roman"/>
          <w:u w:color="FFFFFF" w:themeColor="background1"/>
          <w:lang w:val="en-AU"/>
        </w:rPr>
        <w:t>amount spent on explor</w:t>
      </w:r>
      <w:r w:rsidR="00072B75">
        <w:rPr>
          <w:rFonts w:eastAsia="Times New Roman"/>
          <w:u w:color="FFFFFF" w:themeColor="background1"/>
          <w:lang w:val="en-AU"/>
        </w:rPr>
        <w:t>ation increased 51% from $44.3</w:t>
      </w:r>
      <w:r w:rsidRPr="005E321D">
        <w:rPr>
          <w:rFonts w:eastAsia="Times New Roman"/>
          <w:u w:color="FFFFFF" w:themeColor="background1"/>
          <w:lang w:val="en-AU"/>
        </w:rPr>
        <w:t xml:space="preserve"> million to $67.0 million.</w:t>
      </w:r>
    </w:p>
    <w:p w14:paraId="31568525" w14:textId="646E5E6D" w:rsidR="006559CC" w:rsidRPr="006559CC" w:rsidRDefault="004338D4" w:rsidP="006559CC">
      <w:pPr>
        <w:pStyle w:val="BodyText"/>
        <w:numPr>
          <w:ilvl w:val="0"/>
          <w:numId w:val="25"/>
        </w:numPr>
        <w:spacing w:before="0" w:after="0" w:line="240" w:lineRule="auto"/>
        <w:rPr>
          <w:rFonts w:cs="Arial"/>
          <w:szCs w:val="20"/>
          <w:u w:color="FFFFFF" w:themeColor="background1"/>
          <w:lang w:val="en-AU"/>
        </w:rPr>
      </w:pPr>
      <w:r w:rsidRPr="00477D17">
        <w:rPr>
          <w:rFonts w:cs="Arial"/>
          <w:szCs w:val="20"/>
          <w:u w:color="FFFFFF" w:themeColor="background1"/>
          <w:lang w:val="en-AU"/>
        </w:rPr>
        <w:t>The</w:t>
      </w:r>
      <w:r w:rsidR="000A319A" w:rsidRPr="00477D17">
        <w:rPr>
          <w:rFonts w:cs="Arial"/>
          <w:szCs w:val="20"/>
          <w:u w:color="FFFFFF" w:themeColor="background1"/>
          <w:lang w:val="en-AU"/>
        </w:rPr>
        <w:t xml:space="preserve"> production </w:t>
      </w:r>
      <w:r w:rsidR="00BB197F" w:rsidRPr="00477D17">
        <w:rPr>
          <w:rFonts w:cs="Arial"/>
          <w:szCs w:val="20"/>
          <w:u w:color="FFFFFF" w:themeColor="background1"/>
          <w:lang w:val="en-AU"/>
        </w:rPr>
        <w:t>of gold remained</w:t>
      </w:r>
      <w:r w:rsidR="000A319A" w:rsidRPr="00477D17">
        <w:rPr>
          <w:rFonts w:cs="Arial"/>
          <w:szCs w:val="20"/>
          <w:u w:color="FFFFFF" w:themeColor="background1"/>
          <w:lang w:val="en-AU"/>
        </w:rPr>
        <w:t xml:space="preserve"> high with </w:t>
      </w:r>
      <w:r w:rsidR="00BB197F" w:rsidRPr="00477D17">
        <w:rPr>
          <w:rFonts w:cs="Arial"/>
          <w:szCs w:val="20"/>
          <w:u w:color="FFFFFF" w:themeColor="background1"/>
          <w:lang w:val="en-AU"/>
        </w:rPr>
        <w:t xml:space="preserve">a further </w:t>
      </w:r>
      <w:r w:rsidR="001815B9" w:rsidRPr="00477D17">
        <w:rPr>
          <w:rFonts w:cs="Arial"/>
          <w:szCs w:val="20"/>
          <w:u w:color="FFFFFF" w:themeColor="background1"/>
          <w:lang w:val="en-AU"/>
        </w:rPr>
        <w:t xml:space="preserve">increase of </w:t>
      </w:r>
      <w:r w:rsidR="002C2DBF" w:rsidRPr="00477D17">
        <w:rPr>
          <w:rFonts w:cs="Arial"/>
          <w:szCs w:val="20"/>
          <w:u w:color="FFFFFF" w:themeColor="background1"/>
          <w:lang w:val="en-AU"/>
        </w:rPr>
        <w:t>16.7% from 312,229 to 364,225</w:t>
      </w:r>
      <w:r w:rsidR="000A319A" w:rsidRPr="00477D17">
        <w:rPr>
          <w:rFonts w:cs="Arial"/>
          <w:szCs w:val="20"/>
          <w:u w:color="FFFFFF" w:themeColor="background1"/>
          <w:lang w:val="en-AU"/>
        </w:rPr>
        <w:t xml:space="preserve"> ounces</w:t>
      </w:r>
      <w:r w:rsidR="006559CC">
        <w:rPr>
          <w:rFonts w:cs="Arial"/>
          <w:szCs w:val="20"/>
          <w:u w:color="FFFFFF" w:themeColor="background1"/>
          <w:lang w:val="en-AU"/>
        </w:rPr>
        <w:t xml:space="preserve"> </w:t>
      </w:r>
    </w:p>
    <w:p w14:paraId="6230A8CE" w14:textId="4695CB4F" w:rsidR="000A319A" w:rsidRPr="00477D17" w:rsidRDefault="006559CC" w:rsidP="008E53D3">
      <w:pPr>
        <w:pStyle w:val="BodyText"/>
        <w:numPr>
          <w:ilvl w:val="0"/>
          <w:numId w:val="25"/>
        </w:numPr>
        <w:spacing w:before="0" w:after="0" w:line="240" w:lineRule="auto"/>
        <w:rPr>
          <w:rFonts w:cs="Arial"/>
          <w:szCs w:val="20"/>
          <w:u w:color="FFFFFF" w:themeColor="background1"/>
          <w:lang w:val="en-AU"/>
        </w:rPr>
      </w:pPr>
      <w:r>
        <w:rPr>
          <w:rFonts w:cs="Arial"/>
          <w:szCs w:val="20"/>
          <w:u w:color="FFFFFF" w:themeColor="background1"/>
          <w:lang w:val="en-AU"/>
        </w:rPr>
        <w:t>T</w:t>
      </w:r>
      <w:r w:rsidR="00C96275" w:rsidRPr="00477D17">
        <w:rPr>
          <w:rFonts w:cs="Arial"/>
          <w:szCs w:val="20"/>
          <w:u w:color="FFFFFF" w:themeColor="background1"/>
          <w:lang w:val="en-AU"/>
        </w:rPr>
        <w:t>he p</w:t>
      </w:r>
      <w:r w:rsidR="00BB197F" w:rsidRPr="00477D17">
        <w:rPr>
          <w:rFonts w:cs="Arial"/>
          <w:szCs w:val="20"/>
          <w:u w:color="FFFFFF" w:themeColor="background1"/>
          <w:lang w:val="en-AU"/>
        </w:rPr>
        <w:t xml:space="preserve">roduction of coal decreased by </w:t>
      </w:r>
      <w:r w:rsidR="002C2DBF" w:rsidRPr="00477D17">
        <w:rPr>
          <w:rFonts w:cs="Arial"/>
          <w:szCs w:val="20"/>
          <w:u w:color="FFFFFF" w:themeColor="background1"/>
          <w:lang w:val="en-AU"/>
        </w:rPr>
        <w:t>19.7% from</w:t>
      </w:r>
      <w:r w:rsidR="00BB197F" w:rsidRPr="00477D17">
        <w:rPr>
          <w:rFonts w:cs="Arial"/>
          <w:szCs w:val="20"/>
          <w:u w:color="FFFFFF" w:themeColor="background1"/>
          <w:lang w:val="en-AU"/>
        </w:rPr>
        <w:t xml:space="preserve"> </w:t>
      </w:r>
      <w:r w:rsidR="005E321D" w:rsidRPr="00477D17">
        <w:rPr>
          <w:rFonts w:cs="Arial"/>
          <w:szCs w:val="20"/>
          <w:u w:color="FFFFFF" w:themeColor="background1"/>
          <w:lang w:val="en-AU"/>
        </w:rPr>
        <w:t>56</w:t>
      </w:r>
      <w:r>
        <w:rPr>
          <w:rFonts w:cs="Arial"/>
          <w:szCs w:val="20"/>
          <w:u w:color="FFFFFF" w:themeColor="background1"/>
          <w:lang w:val="en-AU"/>
        </w:rPr>
        <w:t xml:space="preserve"> to 45 million</w:t>
      </w:r>
      <w:r w:rsidR="005E321D" w:rsidRPr="00477D17">
        <w:rPr>
          <w:rFonts w:cs="Arial"/>
          <w:szCs w:val="20"/>
          <w:u w:color="FFFFFF" w:themeColor="background1"/>
          <w:lang w:val="en-AU"/>
        </w:rPr>
        <w:t xml:space="preserve"> tonnes.</w:t>
      </w:r>
    </w:p>
    <w:p w14:paraId="2DF5FA18" w14:textId="77777777" w:rsidR="004B0AE3" w:rsidRDefault="004B0AE3" w:rsidP="008E53D3">
      <w:pPr>
        <w:pStyle w:val="bodycopy"/>
        <w:spacing w:after="0" w:line="240" w:lineRule="auto"/>
        <w:rPr>
          <w:b/>
          <w:color w:val="auto"/>
          <w:sz w:val="20"/>
          <w:szCs w:val="20"/>
          <w:u w:color="FFFFFF" w:themeColor="background1"/>
          <w:lang w:val="en-AU"/>
        </w:rPr>
      </w:pPr>
    </w:p>
    <w:p w14:paraId="6CF23883" w14:textId="4D50C081" w:rsidR="005E321D" w:rsidRPr="00046093" w:rsidRDefault="005E321D" w:rsidP="008E53D3">
      <w:pPr>
        <w:pStyle w:val="bodycopy"/>
        <w:spacing w:after="0" w:line="240" w:lineRule="auto"/>
        <w:rPr>
          <w:b/>
          <w:color w:val="auto"/>
          <w:sz w:val="20"/>
          <w:szCs w:val="20"/>
          <w:u w:color="FFFFFF" w:themeColor="background1"/>
          <w:lang w:val="en-AU"/>
        </w:rPr>
      </w:pPr>
      <w:r w:rsidRPr="00046093">
        <w:rPr>
          <w:b/>
          <w:color w:val="auto"/>
          <w:sz w:val="20"/>
          <w:szCs w:val="20"/>
          <w:u w:color="FFFFFF" w:themeColor="background1"/>
          <w:lang w:val="en-AU"/>
        </w:rPr>
        <w:t>Extractive</w:t>
      </w:r>
    </w:p>
    <w:p w14:paraId="2CC8D22E" w14:textId="154D8C0A" w:rsidR="004C3954" w:rsidRPr="004C3954" w:rsidRDefault="00D853B1" w:rsidP="008E53D3">
      <w:pPr>
        <w:pStyle w:val="BodyText"/>
        <w:numPr>
          <w:ilvl w:val="0"/>
          <w:numId w:val="25"/>
        </w:numPr>
        <w:spacing w:before="0" w:after="0" w:line="240" w:lineRule="auto"/>
        <w:rPr>
          <w:rFonts w:cs="Arial"/>
          <w:szCs w:val="20"/>
          <w:u w:color="FFFFFF" w:themeColor="background1"/>
          <w:lang w:val="en-AU"/>
        </w:rPr>
      </w:pPr>
      <w:r>
        <w:rPr>
          <w:rFonts w:cs="Arial"/>
          <w:szCs w:val="20"/>
          <w:u w:color="FFFFFF" w:themeColor="background1"/>
          <w:lang w:val="en-AU"/>
        </w:rPr>
        <w:t>491</w:t>
      </w:r>
      <w:r w:rsidR="00961E1E" w:rsidRPr="004C3954">
        <w:rPr>
          <w:rFonts w:cs="Arial"/>
          <w:szCs w:val="20"/>
          <w:u w:color="FFFFFF" w:themeColor="background1"/>
          <w:lang w:val="en-AU"/>
        </w:rPr>
        <w:t xml:space="preserve"> q</w:t>
      </w:r>
      <w:r w:rsidR="000711C9">
        <w:rPr>
          <w:rFonts w:cs="Arial"/>
          <w:szCs w:val="20"/>
          <w:u w:color="FFFFFF" w:themeColor="background1"/>
          <w:lang w:val="en-AU"/>
        </w:rPr>
        <w:t>uarries produced a total of 57.9</w:t>
      </w:r>
      <w:r w:rsidR="00961E1E" w:rsidRPr="004C3954">
        <w:rPr>
          <w:rFonts w:cs="Arial"/>
          <w:szCs w:val="20"/>
          <w:u w:color="FFFFFF" w:themeColor="background1"/>
          <w:lang w:val="en-AU"/>
        </w:rPr>
        <w:t xml:space="preserve"> million tonnes of </w:t>
      </w:r>
      <w:r w:rsidR="006C6A8A" w:rsidRPr="004C3954">
        <w:rPr>
          <w:rFonts w:cs="Arial"/>
          <w:szCs w:val="20"/>
          <w:u w:color="FFFFFF" w:themeColor="background1"/>
          <w:lang w:val="en-AU"/>
        </w:rPr>
        <w:t xml:space="preserve">rock at a reported </w:t>
      </w:r>
      <w:r w:rsidR="00970D78">
        <w:rPr>
          <w:rFonts w:cs="Arial"/>
          <w:szCs w:val="20"/>
          <w:u w:color="FFFFFF" w:themeColor="background1"/>
          <w:lang w:val="en-AU"/>
        </w:rPr>
        <w:t xml:space="preserve">sales </w:t>
      </w:r>
      <w:r w:rsidR="000711C9">
        <w:rPr>
          <w:rFonts w:cs="Arial"/>
          <w:szCs w:val="20"/>
          <w:u w:color="FFFFFF" w:themeColor="background1"/>
          <w:lang w:val="en-AU"/>
        </w:rPr>
        <w:t>value of $947.8</w:t>
      </w:r>
      <w:r w:rsidR="00961E1E" w:rsidRPr="004C3954">
        <w:rPr>
          <w:rFonts w:cs="Arial"/>
          <w:szCs w:val="20"/>
          <w:u w:color="FFFFFF" w:themeColor="background1"/>
          <w:lang w:val="en-AU"/>
        </w:rPr>
        <w:t xml:space="preserve"> million dollars, an increase of </w:t>
      </w:r>
      <w:r w:rsidR="00C16E0C">
        <w:rPr>
          <w:rFonts w:cs="Arial"/>
          <w:szCs w:val="20"/>
          <w:u w:color="FFFFFF" w:themeColor="background1"/>
          <w:lang w:val="en-AU"/>
        </w:rPr>
        <w:t>11.6</w:t>
      </w:r>
      <w:r w:rsidR="006C6A8A" w:rsidRPr="004C3954">
        <w:rPr>
          <w:rFonts w:cs="Arial"/>
          <w:szCs w:val="20"/>
          <w:u w:color="FFFFFF" w:themeColor="background1"/>
          <w:lang w:val="en-AU"/>
        </w:rPr>
        <w:t>%</w:t>
      </w:r>
      <w:r w:rsidR="00961E1E" w:rsidRPr="004C3954">
        <w:rPr>
          <w:rFonts w:cs="Arial"/>
          <w:szCs w:val="20"/>
          <w:u w:color="FFFFFF" w:themeColor="background1"/>
          <w:lang w:val="en-AU"/>
        </w:rPr>
        <w:t xml:space="preserve"> ($</w:t>
      </w:r>
      <w:r w:rsidR="006C6A8A" w:rsidRPr="004C3954">
        <w:rPr>
          <w:rFonts w:cs="Arial"/>
          <w:szCs w:val="20"/>
          <w:u w:color="FFFFFF" w:themeColor="background1"/>
          <w:lang w:val="en-AU"/>
        </w:rPr>
        <w:t>9</w:t>
      </w:r>
      <w:r w:rsidR="00C16E0C">
        <w:rPr>
          <w:rFonts w:cs="Arial"/>
          <w:szCs w:val="20"/>
          <w:u w:color="FFFFFF" w:themeColor="background1"/>
          <w:lang w:val="en-AU"/>
        </w:rPr>
        <w:t>8.5</w:t>
      </w:r>
      <w:r w:rsidR="00961E1E" w:rsidRPr="004C3954">
        <w:rPr>
          <w:rFonts w:cs="Arial"/>
          <w:szCs w:val="20"/>
          <w:u w:color="FFFFFF" w:themeColor="background1"/>
          <w:lang w:val="en-AU"/>
        </w:rPr>
        <w:t>million) year on year.</w:t>
      </w:r>
    </w:p>
    <w:p w14:paraId="6C492657" w14:textId="77777777" w:rsidR="004B0AE3" w:rsidRDefault="004B0AE3" w:rsidP="008E53D3">
      <w:pPr>
        <w:spacing w:after="0" w:line="240" w:lineRule="auto"/>
        <w:rPr>
          <w:b/>
          <w:color w:val="auto"/>
          <w:sz w:val="20"/>
          <w:szCs w:val="20"/>
          <w:lang w:val="en-AU"/>
        </w:rPr>
      </w:pPr>
    </w:p>
    <w:p w14:paraId="0C87D15A" w14:textId="4D208EC3" w:rsidR="00453CA0" w:rsidRPr="00046093" w:rsidRDefault="006559CC" w:rsidP="006559CC">
      <w:pPr>
        <w:spacing w:after="0" w:line="240" w:lineRule="auto"/>
        <w:rPr>
          <w:b/>
          <w:color w:val="auto"/>
          <w:sz w:val="20"/>
          <w:szCs w:val="20"/>
          <w:lang w:val="en-AU"/>
        </w:rPr>
      </w:pPr>
      <w:r>
        <w:rPr>
          <w:b/>
          <w:color w:val="auto"/>
          <w:sz w:val="20"/>
          <w:szCs w:val="20"/>
          <w:lang w:val="en-AU"/>
        </w:rPr>
        <w:t xml:space="preserve">Revenue </w:t>
      </w:r>
    </w:p>
    <w:p w14:paraId="44E46264" w14:textId="2516F48F" w:rsidR="00453CA0" w:rsidRDefault="000A319A" w:rsidP="006559CC">
      <w:pPr>
        <w:pStyle w:val="BodyText"/>
        <w:numPr>
          <w:ilvl w:val="0"/>
          <w:numId w:val="25"/>
        </w:numPr>
        <w:spacing w:before="0" w:after="0" w:line="240" w:lineRule="auto"/>
        <w:rPr>
          <w:rFonts w:cs="Arial"/>
          <w:szCs w:val="20"/>
          <w:u w:color="FFFFFF" w:themeColor="background1"/>
          <w:lang w:val="en-AU"/>
        </w:rPr>
      </w:pPr>
      <w:r w:rsidRPr="004C3954">
        <w:rPr>
          <w:rFonts w:cs="Arial"/>
          <w:szCs w:val="20"/>
          <w:u w:color="FFFFFF" w:themeColor="background1"/>
          <w:lang w:val="en-AU"/>
        </w:rPr>
        <w:t>State revenue</w:t>
      </w:r>
      <w:r w:rsidR="00106477">
        <w:rPr>
          <w:rFonts w:cs="Arial"/>
          <w:szCs w:val="20"/>
          <w:u w:color="FFFFFF" w:themeColor="background1"/>
          <w:lang w:val="en-AU"/>
        </w:rPr>
        <w:t xml:space="preserve"> payable</w:t>
      </w:r>
      <w:r w:rsidRPr="004C3954">
        <w:rPr>
          <w:rFonts w:cs="Arial"/>
          <w:szCs w:val="20"/>
          <w:u w:color="FFFFFF" w:themeColor="background1"/>
          <w:lang w:val="en-AU"/>
        </w:rPr>
        <w:t xml:space="preserve"> (rent, royalty and administrative </w:t>
      </w:r>
      <w:r w:rsidR="00BB197F" w:rsidRPr="004C3954">
        <w:rPr>
          <w:rFonts w:cs="Arial"/>
          <w:szCs w:val="20"/>
          <w:u w:color="FFFFFF" w:themeColor="background1"/>
          <w:lang w:val="en-AU"/>
        </w:rPr>
        <w:t>fees</w:t>
      </w:r>
      <w:r w:rsidRPr="004C3954">
        <w:rPr>
          <w:rFonts w:cs="Arial"/>
          <w:szCs w:val="20"/>
          <w:u w:color="FFFFFF" w:themeColor="background1"/>
          <w:lang w:val="en-AU"/>
        </w:rPr>
        <w:t>) derived from the earth resources sector totalled $</w:t>
      </w:r>
      <w:r w:rsidR="00106477">
        <w:rPr>
          <w:rFonts w:cs="Arial"/>
          <w:szCs w:val="20"/>
          <w:u w:color="FFFFFF" w:themeColor="background1"/>
          <w:lang w:val="en-AU"/>
        </w:rPr>
        <w:t>103.1 million, an increase of 19</w:t>
      </w:r>
      <w:r w:rsidR="00453CA0" w:rsidRPr="004C3954">
        <w:rPr>
          <w:rFonts w:cs="Arial"/>
          <w:szCs w:val="20"/>
          <w:u w:color="FFFFFF" w:themeColor="background1"/>
          <w:lang w:val="en-AU"/>
        </w:rPr>
        <w:t>%</w:t>
      </w:r>
      <w:r w:rsidR="00C96275" w:rsidRPr="004C3954">
        <w:rPr>
          <w:rFonts w:cs="Arial"/>
          <w:szCs w:val="20"/>
          <w:u w:color="FFFFFF" w:themeColor="background1"/>
          <w:lang w:val="en-AU"/>
        </w:rPr>
        <w:t xml:space="preserve"> </w:t>
      </w:r>
      <w:r w:rsidR="00106477">
        <w:rPr>
          <w:rFonts w:cs="Arial"/>
          <w:szCs w:val="20"/>
          <w:u w:color="FFFFFF" w:themeColor="background1"/>
          <w:lang w:val="en-AU"/>
        </w:rPr>
        <w:t>($16.5</w:t>
      </w:r>
      <w:r w:rsidRPr="004C3954">
        <w:rPr>
          <w:rFonts w:cs="Arial"/>
          <w:szCs w:val="20"/>
          <w:u w:color="FFFFFF" w:themeColor="background1"/>
          <w:lang w:val="en-AU"/>
        </w:rPr>
        <w:t xml:space="preserve"> million). </w:t>
      </w:r>
    </w:p>
    <w:p w14:paraId="7CB0D801" w14:textId="77777777" w:rsidR="006559CC" w:rsidRPr="006559CC" w:rsidRDefault="006559CC" w:rsidP="006559CC">
      <w:pPr>
        <w:spacing w:after="0" w:line="240" w:lineRule="auto"/>
        <w:rPr>
          <w:lang w:val="en-AU"/>
        </w:rPr>
      </w:pPr>
    </w:p>
    <w:p w14:paraId="3D561A7A" w14:textId="2E0F8967" w:rsidR="006559CC" w:rsidRPr="006559CC" w:rsidRDefault="006559CC" w:rsidP="006559CC">
      <w:pPr>
        <w:spacing w:after="0" w:line="240" w:lineRule="auto"/>
        <w:rPr>
          <w:b/>
          <w:color w:val="auto"/>
          <w:sz w:val="20"/>
          <w:szCs w:val="20"/>
          <w:lang w:val="en-AU"/>
        </w:rPr>
      </w:pPr>
      <w:r w:rsidRPr="006559CC">
        <w:rPr>
          <w:b/>
          <w:color w:val="auto"/>
          <w:sz w:val="20"/>
          <w:szCs w:val="20"/>
          <w:lang w:val="en-AU"/>
        </w:rPr>
        <w:t>Rehabilitation Bonds</w:t>
      </w:r>
    </w:p>
    <w:p w14:paraId="2B23838C" w14:textId="02117EFB" w:rsidR="00FC2C8C" w:rsidRDefault="00453CA0" w:rsidP="006559CC">
      <w:pPr>
        <w:pStyle w:val="BodyText"/>
        <w:numPr>
          <w:ilvl w:val="0"/>
          <w:numId w:val="25"/>
        </w:numPr>
        <w:spacing w:before="0" w:after="0" w:line="240" w:lineRule="auto"/>
        <w:rPr>
          <w:rFonts w:cs="Arial"/>
          <w:szCs w:val="20"/>
          <w:u w:color="FFFFFF" w:themeColor="background1"/>
          <w:lang w:val="en-AU"/>
        </w:rPr>
      </w:pPr>
      <w:r w:rsidRPr="004C3954">
        <w:rPr>
          <w:rFonts w:cs="Arial"/>
          <w:szCs w:val="20"/>
          <w:u w:color="FFFFFF" w:themeColor="background1"/>
          <w:lang w:val="en-AU"/>
        </w:rPr>
        <w:t>Total value of rehabilit</w:t>
      </w:r>
      <w:r w:rsidR="00484EE0">
        <w:rPr>
          <w:rFonts w:cs="Arial"/>
          <w:szCs w:val="20"/>
          <w:u w:color="FFFFFF" w:themeColor="background1"/>
          <w:lang w:val="en-AU"/>
        </w:rPr>
        <w:t>ation bonds held increase</w:t>
      </w:r>
      <w:r w:rsidR="006559CC">
        <w:rPr>
          <w:rFonts w:cs="Arial"/>
          <w:szCs w:val="20"/>
          <w:u w:color="FFFFFF" w:themeColor="background1"/>
          <w:lang w:val="en-AU"/>
        </w:rPr>
        <w:t>d</w:t>
      </w:r>
      <w:r w:rsidR="00484EE0">
        <w:rPr>
          <w:rFonts w:cs="Arial"/>
          <w:szCs w:val="20"/>
          <w:u w:color="FFFFFF" w:themeColor="background1"/>
          <w:lang w:val="en-AU"/>
        </w:rPr>
        <w:t xml:space="preserve"> 71.2% </w:t>
      </w:r>
      <w:r w:rsidRPr="004C3954">
        <w:rPr>
          <w:rFonts w:cs="Arial"/>
          <w:szCs w:val="20"/>
          <w:u w:color="FFFFFF" w:themeColor="background1"/>
          <w:lang w:val="en-AU"/>
        </w:rPr>
        <w:t>from $474.5 million to $812.2</w:t>
      </w:r>
      <w:r w:rsidR="006559CC">
        <w:rPr>
          <w:rFonts w:cs="Arial"/>
          <w:szCs w:val="20"/>
          <w:u w:color="FFFFFF" w:themeColor="background1"/>
          <w:lang w:val="en-AU"/>
        </w:rPr>
        <w:t xml:space="preserve"> </w:t>
      </w:r>
      <w:r w:rsidRPr="004C3954">
        <w:rPr>
          <w:rFonts w:cs="Arial"/>
          <w:szCs w:val="20"/>
          <w:u w:color="FFFFFF" w:themeColor="background1"/>
          <w:lang w:val="en-AU"/>
        </w:rPr>
        <w:t>million.</w:t>
      </w:r>
    </w:p>
    <w:p w14:paraId="744119BB" w14:textId="0084FDC5" w:rsidR="00DA3157" w:rsidRDefault="00DA3157" w:rsidP="00DA3157">
      <w:pPr>
        <w:rPr>
          <w:lang w:val="en-AU"/>
        </w:rPr>
      </w:pPr>
    </w:p>
    <w:p w14:paraId="191D0584" w14:textId="77777777" w:rsidR="00DA3157" w:rsidRPr="00046093" w:rsidRDefault="00DA3157" w:rsidP="00DA3157">
      <w:pPr>
        <w:pStyle w:val="bodycopy"/>
        <w:spacing w:after="0" w:line="240" w:lineRule="auto"/>
        <w:rPr>
          <w:b/>
          <w:color w:val="auto"/>
          <w:sz w:val="20"/>
          <w:szCs w:val="20"/>
          <w:u w:color="FFFFFF" w:themeColor="background1"/>
          <w:lang w:val="en-AU"/>
        </w:rPr>
      </w:pPr>
      <w:r w:rsidRPr="00046093">
        <w:rPr>
          <w:b/>
          <w:color w:val="auto"/>
          <w:sz w:val="20"/>
          <w:szCs w:val="20"/>
          <w:u w:color="FFFFFF" w:themeColor="background1"/>
          <w:lang w:val="en-AU"/>
        </w:rPr>
        <w:t>Petroleum</w:t>
      </w:r>
    </w:p>
    <w:p w14:paraId="53FED9BC" w14:textId="7C5FA2B8" w:rsidR="002167F2" w:rsidRPr="00DA3157" w:rsidRDefault="00DA3157" w:rsidP="00FA7668">
      <w:pPr>
        <w:pStyle w:val="BodyText"/>
        <w:numPr>
          <w:ilvl w:val="0"/>
          <w:numId w:val="25"/>
        </w:numPr>
        <w:spacing w:before="0" w:after="0" w:line="240" w:lineRule="auto"/>
        <w:rPr>
          <w:rFonts w:cs="Arial"/>
          <w:szCs w:val="20"/>
          <w:u w:color="FFFFFF" w:themeColor="background1"/>
          <w:lang w:val="en-AU"/>
        </w:rPr>
      </w:pPr>
      <w:r w:rsidRPr="00DA3157">
        <w:rPr>
          <w:rFonts w:cs="Arial"/>
          <w:szCs w:val="20"/>
          <w:u w:color="FFFFFF" w:themeColor="background1"/>
          <w:lang w:val="en-AU"/>
        </w:rPr>
        <w:t>The gas production totals 13,118 million standard cubic feet, which equate approximately to 13.91 petajoules of energy.</w:t>
      </w:r>
      <w:r w:rsidR="002167F2" w:rsidRPr="00DA3157">
        <w:rPr>
          <w:rFonts w:cs="Arial"/>
          <w:u w:color="FFFFFF" w:themeColor="background1"/>
          <w:lang w:val="en-AU"/>
        </w:rPr>
        <w:br w:type="page"/>
      </w:r>
    </w:p>
    <w:p w14:paraId="24C2B4E1" w14:textId="0159C078" w:rsidR="007C3A8F" w:rsidRPr="00A11CC5" w:rsidRDefault="007C3A8F" w:rsidP="007C3A8F">
      <w:pPr>
        <w:pStyle w:val="Heading1"/>
        <w:rPr>
          <w:rFonts w:cs="Arial"/>
          <w:color w:val="auto"/>
          <w:u w:color="FFFFFF" w:themeColor="background1"/>
          <w:lang w:val="en-AU"/>
        </w:rPr>
      </w:pPr>
      <w:bookmarkStart w:id="2" w:name="_Toc533149007"/>
      <w:r w:rsidRPr="00A11CC5">
        <w:rPr>
          <w:rFonts w:cs="Arial"/>
          <w:color w:val="auto"/>
          <w:u w:color="FFFFFF" w:themeColor="background1"/>
          <w:lang w:val="en-AU"/>
        </w:rPr>
        <w:lastRenderedPageBreak/>
        <w:t>Minerals</w:t>
      </w:r>
      <w:bookmarkEnd w:id="2"/>
    </w:p>
    <w:p w14:paraId="5CA1D415" w14:textId="21133ABE" w:rsidR="00775B32" w:rsidRPr="00A11CC5" w:rsidRDefault="007C3A8F" w:rsidP="00BB6F8A">
      <w:pPr>
        <w:pStyle w:val="Heading2"/>
        <w:rPr>
          <w:color w:val="auto"/>
          <w:lang w:val="en-AU"/>
        </w:rPr>
      </w:pPr>
      <w:bookmarkStart w:id="3" w:name="_Toc533149008"/>
      <w:r w:rsidRPr="00A11CC5">
        <w:rPr>
          <w:color w:val="auto"/>
          <w:lang w:val="en-AU"/>
        </w:rPr>
        <w:t xml:space="preserve">Mineral </w:t>
      </w:r>
      <w:r w:rsidR="00F80009" w:rsidRPr="00A11CC5">
        <w:rPr>
          <w:color w:val="auto"/>
          <w:lang w:val="en-AU"/>
        </w:rPr>
        <w:t>t</w:t>
      </w:r>
      <w:r w:rsidRPr="00A11CC5">
        <w:rPr>
          <w:color w:val="auto"/>
          <w:lang w:val="en-AU"/>
        </w:rPr>
        <w:t>enements</w:t>
      </w:r>
      <w:bookmarkEnd w:id="3"/>
    </w:p>
    <w:p w14:paraId="47521A3F" w14:textId="77777777" w:rsidR="008429E1" w:rsidRDefault="008429E1" w:rsidP="00305A39">
      <w:pPr>
        <w:spacing w:before="240" w:after="120"/>
        <w:jc w:val="both"/>
        <w:rPr>
          <w:rFonts w:cs="Arial"/>
          <w:b/>
          <w:color w:val="auto"/>
          <w:u w:color="FFFFFF" w:themeColor="background1"/>
          <w:lang w:val="en-AU"/>
        </w:rPr>
      </w:pPr>
      <w:r w:rsidRPr="00A11CC5">
        <w:rPr>
          <w:rFonts w:cs="Arial"/>
          <w:b/>
          <w:color w:val="auto"/>
          <w:u w:color="FFFFFF" w:themeColor="background1"/>
          <w:lang w:val="en-AU"/>
        </w:rPr>
        <w:t xml:space="preserve">Table </w:t>
      </w:r>
      <w:r w:rsidR="00133388" w:rsidRPr="00A11CC5">
        <w:rPr>
          <w:rFonts w:cs="Arial"/>
          <w:b/>
          <w:color w:val="auto"/>
          <w:u w:color="FFFFFF" w:themeColor="background1"/>
          <w:lang w:val="en-AU"/>
        </w:rPr>
        <w:t>2</w:t>
      </w:r>
      <w:r w:rsidRPr="00A11CC5">
        <w:rPr>
          <w:rFonts w:cs="Arial"/>
          <w:b/>
          <w:color w:val="auto"/>
          <w:u w:color="FFFFFF" w:themeColor="background1"/>
          <w:lang w:val="en-AU"/>
        </w:rPr>
        <w:t>.1 Licences current as at 30 June</w:t>
      </w:r>
      <w:r w:rsidR="00485BEB">
        <w:rPr>
          <w:rFonts w:cs="Arial"/>
          <w:b/>
          <w:color w:val="auto"/>
          <w:u w:color="FFFFFF" w:themeColor="background1"/>
          <w:lang w:val="en-AU"/>
        </w:rPr>
        <w:t xml:space="preserve"> 2018</w:t>
      </w:r>
    </w:p>
    <w:tbl>
      <w:tblPr>
        <w:tblStyle w:val="GridTable4-Accent1"/>
        <w:tblW w:w="5079" w:type="pct"/>
        <w:tblLayout w:type="fixed"/>
        <w:tblLook w:val="04A0" w:firstRow="1" w:lastRow="0" w:firstColumn="1" w:lastColumn="0" w:noHBand="0" w:noVBand="1"/>
        <w:tblCaption w:val="Current licences at 30 June 2016"/>
        <w:tblDescription w:val="Licence types against annual number between 2012-16."/>
      </w:tblPr>
      <w:tblGrid>
        <w:gridCol w:w="2127"/>
        <w:gridCol w:w="1156"/>
        <w:gridCol w:w="1158"/>
        <w:gridCol w:w="1157"/>
        <w:gridCol w:w="1158"/>
        <w:gridCol w:w="1157"/>
        <w:gridCol w:w="1158"/>
        <w:gridCol w:w="1158"/>
      </w:tblGrid>
      <w:tr w:rsidR="00AE21F7" w:rsidRPr="00AE21F7" w14:paraId="5E17A120" w14:textId="77777777" w:rsidTr="00605DE6">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43EE9CDB" w14:textId="77777777" w:rsidR="00AE21F7" w:rsidRPr="00040FFB" w:rsidRDefault="00AE21F7" w:rsidP="00605DE6">
            <w:pPr>
              <w:jc w:val="center"/>
              <w:rPr>
                <w:rFonts w:cs="Arial"/>
                <w:color w:val="FFFFFF" w:themeColor="background1"/>
                <w:u w:color="FFFFFF" w:themeColor="background1"/>
                <w:lang w:val="en-AU"/>
              </w:rPr>
            </w:pPr>
            <w:r w:rsidRPr="00040FFB">
              <w:rPr>
                <w:rFonts w:cs="Arial"/>
                <w:color w:val="FFFFFF" w:themeColor="background1"/>
                <w:u w:color="FFFFFF" w:themeColor="background1"/>
                <w:lang w:val="en-AU"/>
              </w:rPr>
              <w:t>Tenement Type</w:t>
            </w:r>
          </w:p>
        </w:tc>
        <w:tc>
          <w:tcPr>
            <w:tcW w:w="1156" w:type="dxa"/>
            <w:noWrap/>
            <w:vAlign w:val="center"/>
            <w:hideMark/>
          </w:tcPr>
          <w:p w14:paraId="34044A96" w14:textId="7E6E0D97" w:rsidR="00AE21F7" w:rsidRPr="00040FFB" w:rsidRDefault="00C433E5" w:rsidP="00605DE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Pr>
                <w:rFonts w:cs="Arial"/>
                <w:color w:val="FFFFFF" w:themeColor="background1"/>
                <w:u w:color="FFFFFF" w:themeColor="background1"/>
                <w:lang w:val="en-AU"/>
              </w:rPr>
              <w:t>2011-12</w:t>
            </w:r>
          </w:p>
        </w:tc>
        <w:tc>
          <w:tcPr>
            <w:tcW w:w="1158" w:type="dxa"/>
            <w:vAlign w:val="center"/>
            <w:hideMark/>
          </w:tcPr>
          <w:p w14:paraId="23AE2BD8" w14:textId="44DB6B1B" w:rsidR="00AE21F7" w:rsidRPr="00040FFB" w:rsidRDefault="00AE21F7" w:rsidP="00605DE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sidRPr="00040FFB">
              <w:rPr>
                <w:rFonts w:cs="Arial"/>
                <w:color w:val="FFFFFF" w:themeColor="background1"/>
                <w:u w:color="FFFFFF" w:themeColor="background1"/>
                <w:lang w:val="en-AU"/>
              </w:rPr>
              <w:t>20</w:t>
            </w:r>
            <w:r w:rsidR="00C433E5">
              <w:rPr>
                <w:rFonts w:cs="Arial"/>
                <w:color w:val="FFFFFF" w:themeColor="background1"/>
                <w:u w:color="FFFFFF" w:themeColor="background1"/>
                <w:lang w:val="en-AU"/>
              </w:rPr>
              <w:t>12-</w:t>
            </w:r>
            <w:r w:rsidRPr="00040FFB">
              <w:rPr>
                <w:rFonts w:cs="Arial"/>
                <w:color w:val="FFFFFF" w:themeColor="background1"/>
                <w:u w:color="FFFFFF" w:themeColor="background1"/>
                <w:lang w:val="en-AU"/>
              </w:rPr>
              <w:t>13</w:t>
            </w:r>
          </w:p>
        </w:tc>
        <w:tc>
          <w:tcPr>
            <w:tcW w:w="1157" w:type="dxa"/>
            <w:vAlign w:val="center"/>
            <w:hideMark/>
          </w:tcPr>
          <w:p w14:paraId="6BD4BEA7" w14:textId="0EC11DDB" w:rsidR="00AE21F7" w:rsidRPr="00040FFB" w:rsidRDefault="00AE21F7" w:rsidP="00605DE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sidRPr="00040FFB">
              <w:rPr>
                <w:rFonts w:cs="Arial"/>
                <w:color w:val="FFFFFF" w:themeColor="background1"/>
                <w:u w:color="FFFFFF" w:themeColor="background1"/>
                <w:lang w:val="en-AU"/>
              </w:rPr>
              <w:t>20</w:t>
            </w:r>
            <w:r w:rsidR="00EB203C">
              <w:rPr>
                <w:rFonts w:cs="Arial"/>
                <w:color w:val="FFFFFF" w:themeColor="background1"/>
                <w:u w:color="FFFFFF" w:themeColor="background1"/>
                <w:lang w:val="en-AU"/>
              </w:rPr>
              <w:t>13-</w:t>
            </w:r>
            <w:r w:rsidRPr="00040FFB">
              <w:rPr>
                <w:rFonts w:cs="Arial"/>
                <w:color w:val="FFFFFF" w:themeColor="background1"/>
                <w:u w:color="FFFFFF" w:themeColor="background1"/>
                <w:lang w:val="en-AU"/>
              </w:rPr>
              <w:t>14</w:t>
            </w:r>
          </w:p>
        </w:tc>
        <w:tc>
          <w:tcPr>
            <w:tcW w:w="1158" w:type="dxa"/>
            <w:vAlign w:val="center"/>
          </w:tcPr>
          <w:p w14:paraId="5BA30DEB" w14:textId="3A27873D" w:rsidR="00AE21F7" w:rsidRPr="00040FFB" w:rsidRDefault="00AE21F7" w:rsidP="00605DE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sidRPr="00040FFB">
              <w:rPr>
                <w:rFonts w:cs="Arial"/>
                <w:color w:val="FFFFFF" w:themeColor="background1"/>
                <w:u w:color="FFFFFF" w:themeColor="background1"/>
                <w:lang w:val="en-AU"/>
              </w:rPr>
              <w:t>20</w:t>
            </w:r>
            <w:r w:rsidR="00EB203C">
              <w:rPr>
                <w:rFonts w:cs="Arial"/>
                <w:color w:val="FFFFFF" w:themeColor="background1"/>
                <w:u w:color="FFFFFF" w:themeColor="background1"/>
                <w:lang w:val="en-AU"/>
              </w:rPr>
              <w:t>14-</w:t>
            </w:r>
            <w:r w:rsidRPr="00040FFB">
              <w:rPr>
                <w:rFonts w:cs="Arial"/>
                <w:color w:val="FFFFFF" w:themeColor="background1"/>
                <w:u w:color="FFFFFF" w:themeColor="background1"/>
                <w:lang w:val="en-AU"/>
              </w:rPr>
              <w:t>15</w:t>
            </w:r>
          </w:p>
        </w:tc>
        <w:tc>
          <w:tcPr>
            <w:tcW w:w="1157" w:type="dxa"/>
            <w:vAlign w:val="center"/>
          </w:tcPr>
          <w:p w14:paraId="1959D6F3" w14:textId="2259124E" w:rsidR="00AE21F7" w:rsidRPr="00040FFB" w:rsidRDefault="00AE21F7" w:rsidP="00605DE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sidRPr="00040FFB">
              <w:rPr>
                <w:rFonts w:cs="Arial"/>
                <w:color w:val="FFFFFF" w:themeColor="background1"/>
                <w:u w:color="FFFFFF" w:themeColor="background1"/>
                <w:lang w:val="en-AU"/>
              </w:rPr>
              <w:t>20</w:t>
            </w:r>
            <w:r w:rsidR="00EB203C">
              <w:rPr>
                <w:rFonts w:cs="Arial"/>
                <w:color w:val="FFFFFF" w:themeColor="background1"/>
                <w:u w:color="FFFFFF" w:themeColor="background1"/>
                <w:lang w:val="en-AU"/>
              </w:rPr>
              <w:t>15-</w:t>
            </w:r>
            <w:r w:rsidRPr="00040FFB">
              <w:rPr>
                <w:rFonts w:cs="Arial"/>
                <w:color w:val="FFFFFF" w:themeColor="background1"/>
                <w:u w:color="FFFFFF" w:themeColor="background1"/>
                <w:lang w:val="en-AU"/>
              </w:rPr>
              <w:t>16</w:t>
            </w:r>
          </w:p>
        </w:tc>
        <w:tc>
          <w:tcPr>
            <w:tcW w:w="1158" w:type="dxa"/>
            <w:vAlign w:val="center"/>
          </w:tcPr>
          <w:p w14:paraId="2697F54E" w14:textId="21F05655" w:rsidR="00AE21F7" w:rsidRPr="00040FFB" w:rsidRDefault="00AE21F7" w:rsidP="00605DE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sidRPr="00040FFB">
              <w:rPr>
                <w:rFonts w:cs="Arial"/>
                <w:color w:val="FFFFFF" w:themeColor="background1"/>
                <w:u w:color="FFFFFF" w:themeColor="background1"/>
                <w:lang w:val="en-AU"/>
              </w:rPr>
              <w:t>20</w:t>
            </w:r>
            <w:r w:rsidR="00EB203C">
              <w:rPr>
                <w:rFonts w:cs="Arial"/>
                <w:color w:val="FFFFFF" w:themeColor="background1"/>
                <w:u w:color="FFFFFF" w:themeColor="background1"/>
                <w:lang w:val="en-AU"/>
              </w:rPr>
              <w:t>16-</w:t>
            </w:r>
            <w:r w:rsidRPr="00040FFB">
              <w:rPr>
                <w:rFonts w:cs="Arial"/>
                <w:color w:val="FFFFFF" w:themeColor="background1"/>
                <w:u w:color="FFFFFF" w:themeColor="background1"/>
                <w:lang w:val="en-AU"/>
              </w:rPr>
              <w:t>17</w:t>
            </w:r>
          </w:p>
        </w:tc>
        <w:tc>
          <w:tcPr>
            <w:tcW w:w="1158" w:type="dxa"/>
            <w:vAlign w:val="center"/>
          </w:tcPr>
          <w:p w14:paraId="2EAA80B0" w14:textId="7F4B09FC" w:rsidR="00AE21F7" w:rsidRPr="00040FFB" w:rsidRDefault="00AE21F7" w:rsidP="00605DE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sidRPr="00040FFB">
              <w:rPr>
                <w:rFonts w:cs="Arial"/>
                <w:color w:val="FFFFFF" w:themeColor="background1"/>
                <w:u w:color="FFFFFF" w:themeColor="background1"/>
                <w:lang w:val="en-AU"/>
              </w:rPr>
              <w:t>20</w:t>
            </w:r>
            <w:r w:rsidR="00EB203C">
              <w:rPr>
                <w:rFonts w:cs="Arial"/>
                <w:color w:val="FFFFFF" w:themeColor="background1"/>
                <w:u w:color="FFFFFF" w:themeColor="background1"/>
                <w:lang w:val="en-AU"/>
              </w:rPr>
              <w:t>17-</w:t>
            </w:r>
            <w:r w:rsidRPr="00040FFB">
              <w:rPr>
                <w:rFonts w:cs="Arial"/>
                <w:color w:val="FFFFFF" w:themeColor="background1"/>
                <w:u w:color="FFFFFF" w:themeColor="background1"/>
                <w:lang w:val="en-AU"/>
              </w:rPr>
              <w:t>18</w:t>
            </w:r>
          </w:p>
        </w:tc>
      </w:tr>
      <w:tr w:rsidR="00AE21F7" w:rsidRPr="00A11CC5" w14:paraId="3D16F942" w14:textId="77777777" w:rsidTr="00D227E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4B8D2383" w14:textId="77777777" w:rsidR="00AE21F7" w:rsidRPr="00040FFB" w:rsidRDefault="00AE21F7" w:rsidP="00D227EC">
            <w:pPr>
              <w:spacing w:line="240" w:lineRule="auto"/>
              <w:jc w:val="center"/>
              <w:rPr>
                <w:rFonts w:cs="Arial"/>
                <w:color w:val="auto"/>
                <w:u w:color="FFFFFF" w:themeColor="background1"/>
                <w:lang w:val="en-AU"/>
              </w:rPr>
            </w:pPr>
            <w:r w:rsidRPr="00040FFB">
              <w:rPr>
                <w:rFonts w:cs="Arial"/>
                <w:color w:val="auto"/>
                <w:u w:color="FFFFFF" w:themeColor="background1"/>
                <w:lang w:val="en-AU"/>
              </w:rPr>
              <w:t>Exploration Licences</w:t>
            </w:r>
          </w:p>
        </w:tc>
        <w:tc>
          <w:tcPr>
            <w:tcW w:w="1156" w:type="dxa"/>
            <w:noWrap/>
            <w:vAlign w:val="center"/>
            <w:hideMark/>
          </w:tcPr>
          <w:p w14:paraId="00983F19" w14:textId="77777777" w:rsidR="00AE21F7" w:rsidRPr="00A11CC5"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326</w:t>
            </w:r>
          </w:p>
        </w:tc>
        <w:tc>
          <w:tcPr>
            <w:tcW w:w="1158" w:type="dxa"/>
            <w:vAlign w:val="center"/>
            <w:hideMark/>
          </w:tcPr>
          <w:p w14:paraId="6BB941C6" w14:textId="77777777" w:rsidR="00AE21F7" w:rsidRPr="00A11CC5"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311</w:t>
            </w:r>
          </w:p>
        </w:tc>
        <w:tc>
          <w:tcPr>
            <w:tcW w:w="1157" w:type="dxa"/>
            <w:vAlign w:val="center"/>
            <w:hideMark/>
          </w:tcPr>
          <w:p w14:paraId="3D1D42C4" w14:textId="77777777" w:rsidR="00AE21F7" w:rsidRPr="00A11CC5"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271</w:t>
            </w:r>
          </w:p>
        </w:tc>
        <w:tc>
          <w:tcPr>
            <w:tcW w:w="1158" w:type="dxa"/>
            <w:vAlign w:val="center"/>
          </w:tcPr>
          <w:p w14:paraId="2697258F" w14:textId="77777777" w:rsidR="00AE21F7" w:rsidRPr="00A11CC5"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247</w:t>
            </w:r>
          </w:p>
        </w:tc>
        <w:tc>
          <w:tcPr>
            <w:tcW w:w="1157" w:type="dxa"/>
            <w:vAlign w:val="center"/>
          </w:tcPr>
          <w:p w14:paraId="0F8895F3" w14:textId="77777777" w:rsidR="00AE21F7" w:rsidRPr="00A11CC5"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211</w:t>
            </w:r>
          </w:p>
        </w:tc>
        <w:tc>
          <w:tcPr>
            <w:tcW w:w="1158" w:type="dxa"/>
            <w:vAlign w:val="center"/>
          </w:tcPr>
          <w:p w14:paraId="05ED4B32" w14:textId="77777777" w:rsidR="00AE21F7" w:rsidRPr="00A11CC5"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180</w:t>
            </w:r>
          </w:p>
        </w:tc>
        <w:tc>
          <w:tcPr>
            <w:tcW w:w="1158" w:type="dxa"/>
            <w:vAlign w:val="center"/>
          </w:tcPr>
          <w:p w14:paraId="7B6A6E50" w14:textId="77777777" w:rsidR="00AE21F7" w:rsidRPr="00A11CC5"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200</w:t>
            </w:r>
          </w:p>
        </w:tc>
      </w:tr>
      <w:tr w:rsidR="00AE21F7" w:rsidRPr="00A11CC5" w14:paraId="7ABC48B5" w14:textId="77777777" w:rsidTr="00D227EC">
        <w:trPr>
          <w:trHeight w:val="332"/>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35653F1B" w14:textId="77777777" w:rsidR="00AE21F7" w:rsidRPr="00040FFB" w:rsidRDefault="00AE21F7" w:rsidP="00D227EC">
            <w:pPr>
              <w:spacing w:line="240" w:lineRule="auto"/>
              <w:jc w:val="center"/>
              <w:rPr>
                <w:rFonts w:cs="Arial"/>
                <w:color w:val="auto"/>
                <w:u w:color="FFFFFF" w:themeColor="background1"/>
                <w:lang w:val="en-AU"/>
              </w:rPr>
            </w:pPr>
            <w:r w:rsidRPr="00040FFB">
              <w:rPr>
                <w:rFonts w:cs="Arial"/>
                <w:color w:val="auto"/>
                <w:u w:color="FFFFFF" w:themeColor="background1"/>
                <w:lang w:val="en-AU"/>
              </w:rPr>
              <w:t>Mining Licences</w:t>
            </w:r>
          </w:p>
        </w:tc>
        <w:tc>
          <w:tcPr>
            <w:tcW w:w="1156" w:type="dxa"/>
            <w:noWrap/>
            <w:vAlign w:val="center"/>
            <w:hideMark/>
          </w:tcPr>
          <w:p w14:paraId="0832B864" w14:textId="77777777" w:rsidR="00AE21F7" w:rsidRPr="00A11CC5"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208</w:t>
            </w:r>
          </w:p>
        </w:tc>
        <w:tc>
          <w:tcPr>
            <w:tcW w:w="1158" w:type="dxa"/>
            <w:vAlign w:val="center"/>
            <w:hideMark/>
          </w:tcPr>
          <w:p w14:paraId="1CD8960B" w14:textId="77777777" w:rsidR="00AE21F7" w:rsidRPr="00A11CC5"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212</w:t>
            </w:r>
          </w:p>
        </w:tc>
        <w:tc>
          <w:tcPr>
            <w:tcW w:w="1157" w:type="dxa"/>
            <w:vAlign w:val="center"/>
            <w:hideMark/>
          </w:tcPr>
          <w:p w14:paraId="3C00E2F0" w14:textId="77777777" w:rsidR="00AE21F7" w:rsidRPr="00A11CC5"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191</w:t>
            </w:r>
          </w:p>
        </w:tc>
        <w:tc>
          <w:tcPr>
            <w:tcW w:w="1158" w:type="dxa"/>
            <w:vAlign w:val="center"/>
          </w:tcPr>
          <w:p w14:paraId="090EDAD8" w14:textId="77777777" w:rsidR="00AE21F7" w:rsidRPr="00A11CC5"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171</w:t>
            </w:r>
          </w:p>
        </w:tc>
        <w:tc>
          <w:tcPr>
            <w:tcW w:w="1157" w:type="dxa"/>
            <w:vAlign w:val="center"/>
          </w:tcPr>
          <w:p w14:paraId="19EE5927" w14:textId="77777777" w:rsidR="00AE21F7" w:rsidRPr="00A11CC5"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170</w:t>
            </w:r>
          </w:p>
        </w:tc>
        <w:tc>
          <w:tcPr>
            <w:tcW w:w="1158" w:type="dxa"/>
            <w:vAlign w:val="center"/>
          </w:tcPr>
          <w:p w14:paraId="67DEE7FC" w14:textId="77777777" w:rsidR="00AE21F7" w:rsidRPr="00A11CC5"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162</w:t>
            </w:r>
          </w:p>
        </w:tc>
        <w:tc>
          <w:tcPr>
            <w:tcW w:w="1158" w:type="dxa"/>
            <w:vAlign w:val="center"/>
          </w:tcPr>
          <w:p w14:paraId="6D769EF0" w14:textId="77777777" w:rsidR="00AE21F7" w:rsidRPr="00A11CC5"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156</w:t>
            </w:r>
          </w:p>
        </w:tc>
      </w:tr>
      <w:tr w:rsidR="00AE21F7" w:rsidRPr="00A11CC5" w14:paraId="732DB44A" w14:textId="77777777" w:rsidTr="00D227E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243E3AC5" w14:textId="77777777" w:rsidR="00AE21F7" w:rsidRPr="00040FFB" w:rsidRDefault="00AE21F7" w:rsidP="00D227EC">
            <w:pPr>
              <w:spacing w:line="240" w:lineRule="auto"/>
              <w:jc w:val="center"/>
              <w:rPr>
                <w:rFonts w:cs="Arial"/>
                <w:color w:val="auto"/>
                <w:u w:color="FFFFFF" w:themeColor="background1"/>
                <w:lang w:val="en-AU"/>
              </w:rPr>
            </w:pPr>
            <w:r w:rsidRPr="00040FFB">
              <w:rPr>
                <w:rFonts w:cs="Arial"/>
                <w:color w:val="auto"/>
                <w:u w:color="FFFFFF" w:themeColor="background1"/>
                <w:lang w:val="en-AU"/>
              </w:rPr>
              <w:t>Prospecting Licences</w:t>
            </w:r>
          </w:p>
        </w:tc>
        <w:tc>
          <w:tcPr>
            <w:tcW w:w="1156" w:type="dxa"/>
            <w:noWrap/>
            <w:vAlign w:val="center"/>
            <w:hideMark/>
          </w:tcPr>
          <w:p w14:paraId="02616A84" w14:textId="77777777" w:rsidR="00AE21F7" w:rsidRPr="00A11CC5"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w:t>
            </w:r>
          </w:p>
        </w:tc>
        <w:tc>
          <w:tcPr>
            <w:tcW w:w="1158" w:type="dxa"/>
            <w:vAlign w:val="center"/>
            <w:hideMark/>
          </w:tcPr>
          <w:p w14:paraId="6E400059" w14:textId="77777777" w:rsidR="00AE21F7" w:rsidRPr="00A11CC5"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13</w:t>
            </w:r>
          </w:p>
        </w:tc>
        <w:tc>
          <w:tcPr>
            <w:tcW w:w="1157" w:type="dxa"/>
            <w:vAlign w:val="center"/>
            <w:hideMark/>
          </w:tcPr>
          <w:p w14:paraId="285A5198" w14:textId="77777777" w:rsidR="00AE21F7" w:rsidRPr="00A11CC5"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31</w:t>
            </w:r>
          </w:p>
        </w:tc>
        <w:tc>
          <w:tcPr>
            <w:tcW w:w="1158" w:type="dxa"/>
            <w:vAlign w:val="center"/>
          </w:tcPr>
          <w:p w14:paraId="2BF8F6FB" w14:textId="77777777" w:rsidR="00AE21F7" w:rsidRPr="00A11CC5"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41</w:t>
            </w:r>
          </w:p>
        </w:tc>
        <w:tc>
          <w:tcPr>
            <w:tcW w:w="1157" w:type="dxa"/>
            <w:vAlign w:val="center"/>
          </w:tcPr>
          <w:p w14:paraId="0927CEF5" w14:textId="77777777" w:rsidR="00AE21F7" w:rsidRPr="00A11CC5"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51</w:t>
            </w:r>
          </w:p>
        </w:tc>
        <w:tc>
          <w:tcPr>
            <w:tcW w:w="1158" w:type="dxa"/>
            <w:vAlign w:val="center"/>
          </w:tcPr>
          <w:p w14:paraId="573B4353" w14:textId="77777777" w:rsidR="00AE21F7" w:rsidRPr="00A11CC5"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54</w:t>
            </w:r>
          </w:p>
        </w:tc>
        <w:tc>
          <w:tcPr>
            <w:tcW w:w="1158" w:type="dxa"/>
            <w:vAlign w:val="center"/>
          </w:tcPr>
          <w:p w14:paraId="1792BB72" w14:textId="77777777" w:rsidR="00AE21F7" w:rsidRPr="00A11CC5"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59</w:t>
            </w:r>
          </w:p>
        </w:tc>
      </w:tr>
      <w:tr w:rsidR="00AE21F7" w:rsidRPr="00A11CC5" w14:paraId="1E0F2F6B" w14:textId="77777777" w:rsidTr="00D227EC">
        <w:trPr>
          <w:trHeight w:val="332"/>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3B6A7DB5" w14:textId="77777777" w:rsidR="00AE21F7" w:rsidRPr="00040FFB" w:rsidRDefault="00AE21F7" w:rsidP="00D227EC">
            <w:pPr>
              <w:spacing w:line="240" w:lineRule="auto"/>
              <w:jc w:val="center"/>
              <w:rPr>
                <w:rFonts w:cs="Arial"/>
                <w:color w:val="auto"/>
                <w:u w:color="FFFFFF" w:themeColor="background1"/>
                <w:lang w:val="en-AU"/>
              </w:rPr>
            </w:pPr>
            <w:r w:rsidRPr="00040FFB">
              <w:rPr>
                <w:rFonts w:cs="Arial"/>
                <w:color w:val="auto"/>
                <w:u w:color="FFFFFF" w:themeColor="background1"/>
                <w:lang w:val="en-AU"/>
              </w:rPr>
              <w:t>Retention Licences</w:t>
            </w:r>
          </w:p>
        </w:tc>
        <w:tc>
          <w:tcPr>
            <w:tcW w:w="1156" w:type="dxa"/>
            <w:noWrap/>
            <w:vAlign w:val="center"/>
            <w:hideMark/>
          </w:tcPr>
          <w:p w14:paraId="7F656849" w14:textId="77777777" w:rsidR="00AE21F7" w:rsidRPr="00A11CC5"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w:t>
            </w:r>
          </w:p>
        </w:tc>
        <w:tc>
          <w:tcPr>
            <w:tcW w:w="1158" w:type="dxa"/>
            <w:vAlign w:val="center"/>
            <w:hideMark/>
          </w:tcPr>
          <w:p w14:paraId="705EA90F" w14:textId="77777777" w:rsidR="00AE21F7" w:rsidRPr="00A11CC5"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w:t>
            </w:r>
          </w:p>
        </w:tc>
        <w:tc>
          <w:tcPr>
            <w:tcW w:w="1157" w:type="dxa"/>
            <w:vAlign w:val="center"/>
            <w:hideMark/>
          </w:tcPr>
          <w:p w14:paraId="7A889E0E" w14:textId="77777777" w:rsidR="00AE21F7" w:rsidRPr="00A11CC5"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w:t>
            </w:r>
          </w:p>
        </w:tc>
        <w:tc>
          <w:tcPr>
            <w:tcW w:w="1158" w:type="dxa"/>
            <w:vAlign w:val="center"/>
          </w:tcPr>
          <w:p w14:paraId="662477CB" w14:textId="77777777" w:rsidR="00AE21F7" w:rsidRPr="00A11CC5"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8</w:t>
            </w:r>
          </w:p>
        </w:tc>
        <w:tc>
          <w:tcPr>
            <w:tcW w:w="1157" w:type="dxa"/>
            <w:vAlign w:val="center"/>
          </w:tcPr>
          <w:p w14:paraId="20149890" w14:textId="77777777" w:rsidR="00AE21F7" w:rsidRPr="00A11CC5"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11</w:t>
            </w:r>
          </w:p>
        </w:tc>
        <w:tc>
          <w:tcPr>
            <w:tcW w:w="1158" w:type="dxa"/>
            <w:vAlign w:val="center"/>
          </w:tcPr>
          <w:p w14:paraId="512DA2C7" w14:textId="77777777" w:rsidR="00AE21F7" w:rsidRPr="00A11CC5"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15</w:t>
            </w:r>
          </w:p>
        </w:tc>
        <w:tc>
          <w:tcPr>
            <w:tcW w:w="1158" w:type="dxa"/>
            <w:vAlign w:val="center"/>
          </w:tcPr>
          <w:p w14:paraId="5ECA9DA8" w14:textId="77777777" w:rsidR="00AE21F7" w:rsidRPr="00A11CC5"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20</w:t>
            </w:r>
          </w:p>
        </w:tc>
      </w:tr>
      <w:tr w:rsidR="00AE21F7" w:rsidRPr="00A11CC5" w14:paraId="057E10EB" w14:textId="77777777" w:rsidTr="00D227E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479AD93D" w14:textId="77777777" w:rsidR="00AE21F7" w:rsidRPr="00A11CC5" w:rsidRDefault="00AE21F7" w:rsidP="00D227EC">
            <w:pPr>
              <w:spacing w:line="240" w:lineRule="auto"/>
              <w:jc w:val="center"/>
              <w:rPr>
                <w:rFonts w:cs="Arial"/>
                <w:color w:val="auto"/>
                <w:u w:color="FFFFFF" w:themeColor="background1"/>
                <w:lang w:val="en-AU"/>
              </w:rPr>
            </w:pPr>
            <w:r w:rsidRPr="00A11CC5">
              <w:rPr>
                <w:rFonts w:cs="Arial"/>
                <w:color w:val="auto"/>
                <w:u w:color="FFFFFF" w:themeColor="background1"/>
                <w:lang w:val="en-AU"/>
              </w:rPr>
              <w:t>Totals</w:t>
            </w:r>
          </w:p>
        </w:tc>
        <w:tc>
          <w:tcPr>
            <w:tcW w:w="1156" w:type="dxa"/>
            <w:noWrap/>
            <w:vAlign w:val="center"/>
            <w:hideMark/>
          </w:tcPr>
          <w:p w14:paraId="1A8CC9EF" w14:textId="77777777" w:rsidR="00AE21F7" w:rsidRPr="00040FFB"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auto"/>
                <w:u w:color="FFFFFF" w:themeColor="background1"/>
                <w:lang w:val="en-AU"/>
              </w:rPr>
            </w:pPr>
            <w:r w:rsidRPr="00040FFB">
              <w:rPr>
                <w:rFonts w:cs="Arial"/>
                <w:b/>
                <w:color w:val="auto"/>
                <w:u w:color="FFFFFF" w:themeColor="background1"/>
                <w:lang w:val="en-AU"/>
              </w:rPr>
              <w:t>535</w:t>
            </w:r>
          </w:p>
        </w:tc>
        <w:tc>
          <w:tcPr>
            <w:tcW w:w="1158" w:type="dxa"/>
            <w:vAlign w:val="center"/>
            <w:hideMark/>
          </w:tcPr>
          <w:p w14:paraId="262BA852" w14:textId="77777777" w:rsidR="00AE21F7" w:rsidRPr="00040FFB"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auto"/>
                <w:u w:color="FFFFFF" w:themeColor="background1"/>
                <w:lang w:val="en-AU"/>
              </w:rPr>
            </w:pPr>
            <w:r w:rsidRPr="00040FFB">
              <w:rPr>
                <w:rFonts w:cs="Arial"/>
                <w:b/>
                <w:color w:val="auto"/>
                <w:u w:color="FFFFFF" w:themeColor="background1"/>
                <w:lang w:val="en-AU"/>
              </w:rPr>
              <w:t>537</w:t>
            </w:r>
          </w:p>
        </w:tc>
        <w:tc>
          <w:tcPr>
            <w:tcW w:w="1157" w:type="dxa"/>
            <w:vAlign w:val="center"/>
            <w:hideMark/>
          </w:tcPr>
          <w:p w14:paraId="73E52B1A" w14:textId="77777777" w:rsidR="00AE21F7" w:rsidRPr="00040FFB"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auto"/>
                <w:u w:color="FFFFFF" w:themeColor="background1"/>
                <w:lang w:val="en-AU"/>
              </w:rPr>
            </w:pPr>
            <w:r w:rsidRPr="00040FFB">
              <w:rPr>
                <w:rFonts w:cs="Arial"/>
                <w:b/>
                <w:color w:val="auto"/>
                <w:u w:color="FFFFFF" w:themeColor="background1"/>
                <w:lang w:val="en-AU"/>
              </w:rPr>
              <w:t>494</w:t>
            </w:r>
          </w:p>
        </w:tc>
        <w:tc>
          <w:tcPr>
            <w:tcW w:w="1158" w:type="dxa"/>
            <w:vAlign w:val="center"/>
          </w:tcPr>
          <w:p w14:paraId="39B37211" w14:textId="77777777" w:rsidR="00AE21F7" w:rsidRPr="00040FFB"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auto"/>
                <w:u w:color="FFFFFF" w:themeColor="background1"/>
                <w:lang w:val="en-AU"/>
              </w:rPr>
            </w:pPr>
            <w:r w:rsidRPr="00040FFB">
              <w:rPr>
                <w:rFonts w:cs="Arial"/>
                <w:b/>
                <w:color w:val="auto"/>
                <w:u w:color="FFFFFF" w:themeColor="background1"/>
                <w:lang w:val="en-AU"/>
              </w:rPr>
              <w:t>467</w:t>
            </w:r>
          </w:p>
        </w:tc>
        <w:tc>
          <w:tcPr>
            <w:tcW w:w="1157" w:type="dxa"/>
            <w:vAlign w:val="center"/>
          </w:tcPr>
          <w:p w14:paraId="342BC620" w14:textId="77777777" w:rsidR="00AE21F7" w:rsidRPr="00040FFB"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auto"/>
                <w:u w:color="FFFFFF" w:themeColor="background1"/>
                <w:lang w:val="en-AU"/>
              </w:rPr>
            </w:pPr>
            <w:r w:rsidRPr="00040FFB">
              <w:rPr>
                <w:rFonts w:cs="Arial"/>
                <w:b/>
                <w:color w:val="auto"/>
                <w:u w:color="FFFFFF" w:themeColor="background1"/>
                <w:lang w:val="en-AU"/>
              </w:rPr>
              <w:t>443</w:t>
            </w:r>
          </w:p>
        </w:tc>
        <w:tc>
          <w:tcPr>
            <w:tcW w:w="1158" w:type="dxa"/>
            <w:vAlign w:val="center"/>
          </w:tcPr>
          <w:p w14:paraId="0E5C8C33" w14:textId="77777777" w:rsidR="00AE21F7" w:rsidRPr="00040FFB"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auto"/>
                <w:u w:color="FFFFFF" w:themeColor="background1"/>
                <w:lang w:val="en-AU"/>
              </w:rPr>
            </w:pPr>
            <w:r w:rsidRPr="00040FFB">
              <w:rPr>
                <w:rFonts w:cs="Arial"/>
                <w:b/>
                <w:color w:val="auto"/>
                <w:u w:color="FFFFFF" w:themeColor="background1"/>
                <w:lang w:val="en-AU"/>
              </w:rPr>
              <w:t>411</w:t>
            </w:r>
          </w:p>
        </w:tc>
        <w:tc>
          <w:tcPr>
            <w:tcW w:w="1158" w:type="dxa"/>
            <w:vAlign w:val="center"/>
          </w:tcPr>
          <w:p w14:paraId="0F7B3A73" w14:textId="77777777" w:rsidR="00AE21F7" w:rsidRPr="00040FFB" w:rsidRDefault="00AE21F7" w:rsidP="00D227EC">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auto"/>
                <w:u w:color="FFFFFF" w:themeColor="background1"/>
                <w:lang w:val="en-AU"/>
              </w:rPr>
            </w:pPr>
            <w:r w:rsidRPr="00040FFB">
              <w:rPr>
                <w:rFonts w:cs="Arial"/>
                <w:b/>
                <w:color w:val="auto"/>
                <w:u w:color="FFFFFF" w:themeColor="background1"/>
                <w:lang w:val="en-AU"/>
              </w:rPr>
              <w:t>435</w:t>
            </w:r>
          </w:p>
        </w:tc>
      </w:tr>
      <w:tr w:rsidR="00AE21F7" w:rsidRPr="00A11CC5" w14:paraId="47ED4C8F" w14:textId="77777777" w:rsidTr="00D227EC">
        <w:trPr>
          <w:trHeight w:val="332"/>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505BB141" w14:textId="72C08E11" w:rsidR="00AE21F7" w:rsidRPr="00A11CC5" w:rsidRDefault="00CD09A5" w:rsidP="00D227EC">
            <w:pPr>
              <w:spacing w:line="240" w:lineRule="auto"/>
              <w:jc w:val="center"/>
              <w:rPr>
                <w:rFonts w:cs="Arial"/>
                <w:color w:val="auto"/>
                <w:u w:color="FFFFFF" w:themeColor="background1"/>
                <w:lang w:val="en-AU"/>
              </w:rPr>
            </w:pPr>
            <w:r>
              <w:rPr>
                <w:rFonts w:cs="Arial"/>
                <w:color w:val="808080" w:themeColor="background1" w:themeShade="80"/>
                <w:u w:color="FFFFFF" w:themeColor="background1"/>
                <w:lang w:val="en-AU"/>
              </w:rPr>
              <w:t xml:space="preserve">% </w:t>
            </w:r>
            <w:r w:rsidR="00AE21F7" w:rsidRPr="00040FFB">
              <w:rPr>
                <w:rFonts w:cs="Arial"/>
                <w:color w:val="808080" w:themeColor="background1" w:themeShade="80"/>
                <w:u w:color="FFFFFF" w:themeColor="background1"/>
                <w:lang w:val="en-AU"/>
              </w:rPr>
              <w:t>Change year-on-year</w:t>
            </w:r>
          </w:p>
        </w:tc>
        <w:tc>
          <w:tcPr>
            <w:tcW w:w="1156" w:type="dxa"/>
            <w:noWrap/>
            <w:vAlign w:val="center"/>
            <w:hideMark/>
          </w:tcPr>
          <w:p w14:paraId="68ABF90E" w14:textId="237DA7BE" w:rsidR="00AE21F7" w:rsidRPr="00AE21F7" w:rsidRDefault="00040FFB"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u w:color="FFFFFF" w:themeColor="background1"/>
                <w:lang w:val="en-AU"/>
              </w:rPr>
            </w:pPr>
            <w:r>
              <w:rPr>
                <w:rFonts w:cs="Arial"/>
                <w:color w:val="808080" w:themeColor="background1" w:themeShade="80"/>
                <w:u w:color="FFFFFF" w:themeColor="background1"/>
                <w:lang w:val="en-AU"/>
              </w:rPr>
              <w:t>+</w:t>
            </w:r>
            <w:r w:rsidR="00AE21F7" w:rsidRPr="00AE21F7">
              <w:rPr>
                <w:rFonts w:cs="Arial"/>
                <w:color w:val="808080" w:themeColor="background1" w:themeShade="80"/>
                <w:u w:color="FFFFFF" w:themeColor="background1"/>
                <w:lang w:val="en-AU"/>
              </w:rPr>
              <w:t>2.9</w:t>
            </w:r>
            <w:r w:rsidR="00CD09A5">
              <w:rPr>
                <w:rFonts w:cs="Arial"/>
                <w:color w:val="808080" w:themeColor="background1" w:themeShade="80"/>
                <w:u w:color="FFFFFF" w:themeColor="background1"/>
                <w:lang w:val="en-AU"/>
              </w:rPr>
              <w:t>%</w:t>
            </w:r>
          </w:p>
        </w:tc>
        <w:tc>
          <w:tcPr>
            <w:tcW w:w="1158" w:type="dxa"/>
            <w:vAlign w:val="center"/>
            <w:hideMark/>
          </w:tcPr>
          <w:p w14:paraId="287E8440" w14:textId="2698E06B" w:rsidR="00AE21F7" w:rsidRPr="00AE21F7" w:rsidRDefault="00040FFB"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u w:color="FFFFFF" w:themeColor="background1"/>
                <w:lang w:val="en-AU"/>
              </w:rPr>
            </w:pPr>
            <w:r>
              <w:rPr>
                <w:rFonts w:cs="Arial"/>
                <w:color w:val="808080" w:themeColor="background1" w:themeShade="80"/>
                <w:u w:color="FFFFFF" w:themeColor="background1"/>
                <w:lang w:val="en-AU"/>
              </w:rPr>
              <w:t>+</w:t>
            </w:r>
            <w:r w:rsidR="00AE21F7" w:rsidRPr="00AE21F7">
              <w:rPr>
                <w:rFonts w:cs="Arial"/>
                <w:color w:val="808080" w:themeColor="background1" w:themeShade="80"/>
                <w:u w:color="FFFFFF" w:themeColor="background1"/>
                <w:lang w:val="en-AU"/>
              </w:rPr>
              <w:t>0.4</w:t>
            </w:r>
            <w:r w:rsidR="00CD09A5">
              <w:rPr>
                <w:rFonts w:cs="Arial"/>
                <w:color w:val="808080" w:themeColor="background1" w:themeShade="80"/>
                <w:u w:color="FFFFFF" w:themeColor="background1"/>
                <w:lang w:val="en-AU"/>
              </w:rPr>
              <w:t>%</w:t>
            </w:r>
          </w:p>
        </w:tc>
        <w:tc>
          <w:tcPr>
            <w:tcW w:w="1157" w:type="dxa"/>
            <w:vAlign w:val="center"/>
            <w:hideMark/>
          </w:tcPr>
          <w:p w14:paraId="18A44FE3" w14:textId="51E62BC8" w:rsidR="00AE21F7" w:rsidRPr="00AE21F7"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u w:color="FFFFFF" w:themeColor="background1"/>
                <w:lang w:val="en-AU"/>
              </w:rPr>
            </w:pPr>
            <w:r w:rsidRPr="00AE21F7">
              <w:rPr>
                <w:rFonts w:cs="Arial"/>
                <w:color w:val="808080" w:themeColor="background1" w:themeShade="80"/>
                <w:u w:color="FFFFFF" w:themeColor="background1"/>
                <w:lang w:val="en-AU"/>
              </w:rPr>
              <w:t>-8.0</w:t>
            </w:r>
            <w:r w:rsidR="00CD09A5">
              <w:rPr>
                <w:rFonts w:cs="Arial"/>
                <w:color w:val="808080" w:themeColor="background1" w:themeShade="80"/>
                <w:u w:color="FFFFFF" w:themeColor="background1"/>
                <w:lang w:val="en-AU"/>
              </w:rPr>
              <w:t>%</w:t>
            </w:r>
          </w:p>
        </w:tc>
        <w:tc>
          <w:tcPr>
            <w:tcW w:w="1158" w:type="dxa"/>
            <w:vAlign w:val="center"/>
          </w:tcPr>
          <w:p w14:paraId="729979A0" w14:textId="062A795E" w:rsidR="00AE21F7" w:rsidRPr="00AE21F7"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u w:color="FFFFFF" w:themeColor="background1"/>
                <w:lang w:val="en-AU"/>
              </w:rPr>
            </w:pPr>
            <w:r w:rsidRPr="00AE21F7">
              <w:rPr>
                <w:rFonts w:cs="Arial"/>
                <w:color w:val="808080" w:themeColor="background1" w:themeShade="80"/>
                <w:u w:color="FFFFFF" w:themeColor="background1"/>
                <w:lang w:val="en-AU"/>
              </w:rPr>
              <w:t>-5.5</w:t>
            </w:r>
            <w:r w:rsidR="00CD09A5">
              <w:rPr>
                <w:rFonts w:cs="Arial"/>
                <w:color w:val="808080" w:themeColor="background1" w:themeShade="80"/>
                <w:u w:color="FFFFFF" w:themeColor="background1"/>
                <w:lang w:val="en-AU"/>
              </w:rPr>
              <w:t>%</w:t>
            </w:r>
          </w:p>
        </w:tc>
        <w:tc>
          <w:tcPr>
            <w:tcW w:w="1157" w:type="dxa"/>
            <w:vAlign w:val="center"/>
          </w:tcPr>
          <w:p w14:paraId="04DBD7E1" w14:textId="267EB93B" w:rsidR="00AE21F7" w:rsidRPr="00AE21F7"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u w:color="FFFFFF" w:themeColor="background1"/>
                <w:lang w:val="en-AU"/>
              </w:rPr>
            </w:pPr>
            <w:r w:rsidRPr="00AE21F7">
              <w:rPr>
                <w:rFonts w:cs="Arial"/>
                <w:color w:val="808080" w:themeColor="background1" w:themeShade="80"/>
                <w:u w:color="FFFFFF" w:themeColor="background1"/>
                <w:lang w:val="en-AU"/>
              </w:rPr>
              <w:t>-6.0</w:t>
            </w:r>
            <w:r w:rsidR="00CD09A5">
              <w:rPr>
                <w:rFonts w:cs="Arial"/>
                <w:color w:val="808080" w:themeColor="background1" w:themeShade="80"/>
                <w:u w:color="FFFFFF" w:themeColor="background1"/>
                <w:lang w:val="en-AU"/>
              </w:rPr>
              <w:t>%</w:t>
            </w:r>
          </w:p>
        </w:tc>
        <w:tc>
          <w:tcPr>
            <w:tcW w:w="1158" w:type="dxa"/>
            <w:vAlign w:val="center"/>
          </w:tcPr>
          <w:p w14:paraId="00F583D2" w14:textId="6694DB1B" w:rsidR="00AE21F7" w:rsidRPr="00AE21F7"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u w:color="FFFFFF" w:themeColor="background1"/>
                <w:lang w:val="en-AU"/>
              </w:rPr>
            </w:pPr>
            <w:r w:rsidRPr="00AE21F7">
              <w:rPr>
                <w:rFonts w:cs="Arial"/>
                <w:color w:val="808080" w:themeColor="background1" w:themeShade="80"/>
                <w:u w:color="FFFFFF" w:themeColor="background1"/>
                <w:lang w:val="en-AU"/>
              </w:rPr>
              <w:t>-6.4</w:t>
            </w:r>
            <w:r w:rsidR="00CD09A5">
              <w:rPr>
                <w:rFonts w:cs="Arial"/>
                <w:color w:val="808080" w:themeColor="background1" w:themeShade="80"/>
                <w:u w:color="FFFFFF" w:themeColor="background1"/>
                <w:lang w:val="en-AU"/>
              </w:rPr>
              <w:t>%</w:t>
            </w:r>
          </w:p>
        </w:tc>
        <w:tc>
          <w:tcPr>
            <w:tcW w:w="1158" w:type="dxa"/>
            <w:vAlign w:val="center"/>
          </w:tcPr>
          <w:p w14:paraId="65CEC1CA" w14:textId="77A6905E" w:rsidR="00AE21F7" w:rsidRPr="00AE21F7" w:rsidRDefault="00AE21F7" w:rsidP="00D227EC">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808080" w:themeColor="background1" w:themeShade="80"/>
                <w:u w:color="FFFFFF" w:themeColor="background1"/>
                <w:lang w:val="en-AU"/>
              </w:rPr>
            </w:pPr>
            <w:r w:rsidRPr="00AE21F7">
              <w:rPr>
                <w:rFonts w:cs="Arial"/>
                <w:color w:val="808080" w:themeColor="background1" w:themeShade="80"/>
                <w:u w:color="FFFFFF" w:themeColor="background1"/>
                <w:lang w:val="en-AU"/>
              </w:rPr>
              <w:t>+5.8</w:t>
            </w:r>
            <w:r w:rsidR="00CD09A5">
              <w:rPr>
                <w:rFonts w:cs="Arial"/>
                <w:color w:val="808080" w:themeColor="background1" w:themeShade="80"/>
                <w:u w:color="FFFFFF" w:themeColor="background1"/>
                <w:lang w:val="en-AU"/>
              </w:rPr>
              <w:t>%</w:t>
            </w:r>
          </w:p>
        </w:tc>
      </w:tr>
    </w:tbl>
    <w:p w14:paraId="759ED7A6" w14:textId="0F2789CB" w:rsidR="008429E1" w:rsidRPr="00A11CC5" w:rsidRDefault="008429E1" w:rsidP="00C1194F">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p>
    <w:p w14:paraId="69C3E301" w14:textId="77777777" w:rsidR="00536A60" w:rsidRPr="00A11CC5" w:rsidRDefault="00536A60" w:rsidP="008429E1">
      <w:pPr>
        <w:spacing w:after="0" w:line="240" w:lineRule="auto"/>
        <w:jc w:val="both"/>
        <w:rPr>
          <w:rFonts w:eastAsia="Times New Roman" w:cs="Arial"/>
          <w:b/>
          <w:color w:val="auto"/>
          <w:szCs w:val="24"/>
          <w:u w:color="FFFFFF" w:themeColor="background1"/>
          <w:lang w:val="en-AU"/>
        </w:rPr>
      </w:pPr>
    </w:p>
    <w:p w14:paraId="1AE88631" w14:textId="77777777" w:rsidR="002E4323" w:rsidRPr="00A11CC5" w:rsidRDefault="002E4323" w:rsidP="008429E1">
      <w:pPr>
        <w:spacing w:after="0" w:line="240" w:lineRule="auto"/>
        <w:jc w:val="both"/>
        <w:rPr>
          <w:rFonts w:eastAsia="Times New Roman" w:cs="Arial"/>
          <w:b/>
          <w:color w:val="auto"/>
          <w:szCs w:val="24"/>
          <w:u w:color="FFFFFF" w:themeColor="background1"/>
          <w:lang w:val="en-AU"/>
        </w:rPr>
      </w:pPr>
    </w:p>
    <w:p w14:paraId="6570BDB2" w14:textId="77777777" w:rsidR="008429E1" w:rsidRDefault="008429E1" w:rsidP="00305A39">
      <w:pPr>
        <w:spacing w:before="240" w:after="120" w:line="240" w:lineRule="auto"/>
        <w:jc w:val="both"/>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 xml:space="preserve">Graph </w:t>
      </w:r>
      <w:r w:rsidR="00133388" w:rsidRPr="00A11CC5">
        <w:rPr>
          <w:rFonts w:eastAsia="Times New Roman" w:cs="Arial"/>
          <w:b/>
          <w:color w:val="auto"/>
          <w:szCs w:val="24"/>
          <w:u w:color="FFFFFF" w:themeColor="background1"/>
          <w:lang w:val="en-AU"/>
        </w:rPr>
        <w:t>2</w:t>
      </w:r>
      <w:r w:rsidRPr="00A11CC5">
        <w:rPr>
          <w:rFonts w:eastAsia="Times New Roman" w:cs="Arial"/>
          <w:b/>
          <w:color w:val="auto"/>
          <w:szCs w:val="24"/>
          <w:u w:color="FFFFFF" w:themeColor="background1"/>
          <w:lang w:val="en-AU"/>
        </w:rPr>
        <w:t>.1 Licences current as at 30 June</w:t>
      </w:r>
      <w:r w:rsidR="00105176">
        <w:rPr>
          <w:rFonts w:eastAsia="Times New Roman" w:cs="Arial"/>
          <w:b/>
          <w:color w:val="auto"/>
          <w:szCs w:val="24"/>
          <w:u w:color="FFFFFF" w:themeColor="background1"/>
          <w:lang w:val="en-AU"/>
        </w:rPr>
        <w:t xml:space="preserve"> 2018</w:t>
      </w:r>
    </w:p>
    <w:p w14:paraId="312A42D6" w14:textId="77777777" w:rsidR="00485BEB" w:rsidRDefault="00485BEB" w:rsidP="00305A39">
      <w:pPr>
        <w:spacing w:before="240" w:after="120" w:line="240" w:lineRule="auto"/>
        <w:jc w:val="both"/>
        <w:rPr>
          <w:rFonts w:eastAsia="Times New Roman" w:cs="Arial"/>
          <w:b/>
          <w:color w:val="auto"/>
          <w:szCs w:val="24"/>
          <w:u w:color="FFFFFF" w:themeColor="background1"/>
          <w:lang w:val="en-AU"/>
        </w:rPr>
      </w:pPr>
      <w:r>
        <w:rPr>
          <w:rFonts w:eastAsia="Times New Roman" w:cs="Arial"/>
          <w:b/>
          <w:noProof/>
          <w:color w:val="auto"/>
          <w:szCs w:val="24"/>
          <w:u w:color="FFFFFF" w:themeColor="background1"/>
          <w:lang w:val="en-AU"/>
        </w:rPr>
        <w:drawing>
          <wp:inline distT="0" distB="0" distL="0" distR="0" wp14:anchorId="63BB9FAA" wp14:editId="2FE92B0E">
            <wp:extent cx="6631387" cy="34004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52D82B" w14:textId="77777777" w:rsidR="00485BEB" w:rsidRPr="00A11CC5" w:rsidRDefault="00485BEB" w:rsidP="00305A39">
      <w:pPr>
        <w:spacing w:before="240" w:after="120" w:line="240" w:lineRule="auto"/>
        <w:jc w:val="both"/>
        <w:rPr>
          <w:rFonts w:eastAsia="Times New Roman" w:cs="Arial"/>
          <w:b/>
          <w:color w:val="auto"/>
          <w:szCs w:val="24"/>
          <w:u w:color="FFFFFF" w:themeColor="background1"/>
          <w:lang w:val="en-AU"/>
        </w:rPr>
      </w:pPr>
    </w:p>
    <w:p w14:paraId="2E3BCDF4" w14:textId="77777777" w:rsidR="000F5850" w:rsidRPr="00A11CC5" w:rsidRDefault="000F5850" w:rsidP="000F5850">
      <w:pPr>
        <w:spacing w:after="0" w:line="240" w:lineRule="auto"/>
        <w:rPr>
          <w:rFonts w:eastAsia="Times New Roman" w:cs="Arial"/>
          <w:color w:val="auto"/>
          <w:sz w:val="16"/>
          <w:szCs w:val="24"/>
          <w:u w:color="FFFFFF" w:themeColor="background1"/>
          <w:lang w:val="en-AU"/>
        </w:rPr>
      </w:pPr>
    </w:p>
    <w:p w14:paraId="4758C56F" w14:textId="2F499C35" w:rsidR="008429E1" w:rsidRPr="00A11CC5" w:rsidRDefault="008429E1" w:rsidP="00C1194F">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p>
    <w:p w14:paraId="339B0B37" w14:textId="77777777" w:rsidR="008429E1" w:rsidRPr="00A11CC5" w:rsidRDefault="008429E1" w:rsidP="008429E1">
      <w:pPr>
        <w:spacing w:after="0" w:line="240" w:lineRule="auto"/>
        <w:jc w:val="both"/>
        <w:rPr>
          <w:rFonts w:eastAsia="Times New Roman" w:cs="Arial"/>
          <w:color w:val="auto"/>
          <w:sz w:val="16"/>
          <w:szCs w:val="24"/>
          <w:u w:color="FFFFFF" w:themeColor="background1"/>
          <w:lang w:val="en-AU"/>
        </w:rPr>
      </w:pPr>
    </w:p>
    <w:p w14:paraId="5E0A194A" w14:textId="77777777" w:rsidR="008429E1" w:rsidRPr="00A11CC5" w:rsidRDefault="005D2362" w:rsidP="00E2632D">
      <w:pPr>
        <w:rPr>
          <w:rFonts w:cs="Arial"/>
          <w:b/>
          <w:color w:val="auto"/>
          <w:u w:color="FFFFFF" w:themeColor="background1"/>
          <w:lang w:val="en-AU"/>
        </w:rPr>
      </w:pPr>
      <w:r w:rsidRPr="00A11CC5">
        <w:rPr>
          <w:rFonts w:cs="Arial"/>
          <w:b/>
          <w:color w:val="auto"/>
          <w:u w:color="FFFFFF" w:themeColor="background1"/>
          <w:lang w:val="en-AU"/>
        </w:rPr>
        <w:br w:type="page"/>
      </w:r>
      <w:r w:rsidR="008429E1" w:rsidRPr="00A11CC5">
        <w:rPr>
          <w:rFonts w:cs="Arial"/>
          <w:b/>
          <w:color w:val="auto"/>
          <w:u w:color="FFFFFF" w:themeColor="background1"/>
          <w:lang w:val="en-AU"/>
        </w:rPr>
        <w:lastRenderedPageBreak/>
        <w:t xml:space="preserve">Table </w:t>
      </w:r>
      <w:r w:rsidR="00133388" w:rsidRPr="00A11CC5">
        <w:rPr>
          <w:rFonts w:cs="Arial"/>
          <w:b/>
          <w:color w:val="auto"/>
          <w:u w:color="FFFFFF" w:themeColor="background1"/>
          <w:lang w:val="en-AU"/>
        </w:rPr>
        <w:t>2</w:t>
      </w:r>
      <w:r w:rsidR="00017CFA">
        <w:rPr>
          <w:rFonts w:cs="Arial"/>
          <w:b/>
          <w:color w:val="auto"/>
          <w:u w:color="FFFFFF" w:themeColor="background1"/>
          <w:lang w:val="en-AU"/>
        </w:rPr>
        <w:t>.2 L</w:t>
      </w:r>
      <w:r w:rsidR="008429E1" w:rsidRPr="00A11CC5">
        <w:rPr>
          <w:rFonts w:cs="Arial"/>
          <w:b/>
          <w:color w:val="auto"/>
          <w:u w:color="FFFFFF" w:themeColor="background1"/>
          <w:lang w:val="en-AU"/>
        </w:rPr>
        <w:t xml:space="preserve">icence </w:t>
      </w:r>
      <w:r w:rsidR="00017CFA">
        <w:rPr>
          <w:rFonts w:cs="Arial"/>
          <w:b/>
          <w:color w:val="auto"/>
          <w:u w:color="FFFFFF" w:themeColor="background1"/>
          <w:lang w:val="en-AU"/>
        </w:rPr>
        <w:t>finalised</w:t>
      </w:r>
      <w:r w:rsidR="00B533F5" w:rsidRPr="00A11CC5">
        <w:rPr>
          <w:rFonts w:cs="Arial"/>
          <w:b/>
          <w:color w:val="auto"/>
          <w:u w:color="FFFFFF" w:themeColor="background1"/>
          <w:lang w:val="en-AU"/>
        </w:rPr>
        <w:t xml:space="preserve"> in</w:t>
      </w:r>
      <w:r w:rsidR="004D0AF1" w:rsidRPr="00A11CC5">
        <w:rPr>
          <w:rFonts w:cs="Arial"/>
          <w:b/>
          <w:color w:val="auto"/>
          <w:u w:color="FFFFFF" w:themeColor="background1"/>
          <w:lang w:val="en-AU"/>
        </w:rPr>
        <w:t xml:space="preserve"> </w:t>
      </w:r>
      <w:r w:rsidR="00EE297A" w:rsidRPr="00A11CC5">
        <w:rPr>
          <w:rFonts w:cs="Arial"/>
          <w:b/>
          <w:color w:val="auto"/>
          <w:u w:color="FFFFFF" w:themeColor="background1"/>
          <w:lang w:val="en-AU"/>
        </w:rPr>
        <w:t>201</w:t>
      </w:r>
      <w:r w:rsidR="00FB4296">
        <w:rPr>
          <w:rFonts w:cs="Arial"/>
          <w:b/>
          <w:color w:val="auto"/>
          <w:u w:color="FFFFFF" w:themeColor="background1"/>
          <w:lang w:val="en-AU"/>
        </w:rPr>
        <w:t>7</w:t>
      </w:r>
      <w:r w:rsidR="00EE297A" w:rsidRPr="00A11CC5">
        <w:rPr>
          <w:rFonts w:cs="Arial"/>
          <w:b/>
          <w:color w:val="auto"/>
          <w:u w:color="FFFFFF" w:themeColor="background1"/>
          <w:lang w:val="en-AU"/>
        </w:rPr>
        <w:t>-1</w:t>
      </w:r>
      <w:r w:rsidR="00FB4296">
        <w:rPr>
          <w:rFonts w:cs="Arial"/>
          <w:b/>
          <w:color w:val="auto"/>
          <w:u w:color="FFFFFF" w:themeColor="background1"/>
          <w:lang w:val="en-AU"/>
        </w:rPr>
        <w:t>8</w:t>
      </w:r>
    </w:p>
    <w:tbl>
      <w:tblPr>
        <w:tblStyle w:val="GridTable4-Accent1"/>
        <w:tblW w:w="5108" w:type="pct"/>
        <w:tblLook w:val="04E0" w:firstRow="1" w:lastRow="1" w:firstColumn="1" w:lastColumn="0" w:noHBand="0" w:noVBand="1"/>
        <w:tblCaption w:val="New licence applications and renewals 2015-16"/>
        <w:tblDescription w:val="Licence types against recieved, granted or renewed, withdrawn and refused."/>
      </w:tblPr>
      <w:tblGrid>
        <w:gridCol w:w="3933"/>
        <w:gridCol w:w="1588"/>
        <w:gridCol w:w="1588"/>
        <w:gridCol w:w="1588"/>
        <w:gridCol w:w="1591"/>
      </w:tblGrid>
      <w:tr w:rsidR="00A11CC5" w:rsidRPr="00A11CC5" w14:paraId="0C6711BF" w14:textId="77777777" w:rsidTr="00105176">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911" w:type="pct"/>
            <w:noWrap/>
            <w:vAlign w:val="center"/>
            <w:hideMark/>
          </w:tcPr>
          <w:p w14:paraId="447923B1" w14:textId="77777777" w:rsidR="008429E1" w:rsidRPr="00A11CC5" w:rsidRDefault="008429E1" w:rsidP="00105176">
            <w:pPr>
              <w:jc w:val="center"/>
              <w:rPr>
                <w:rFonts w:cs="Arial"/>
                <w:b w:val="0"/>
                <w:color w:val="auto"/>
                <w:u w:color="FFFFFF" w:themeColor="background1"/>
                <w:lang w:val="en-AU"/>
              </w:rPr>
            </w:pPr>
          </w:p>
        </w:tc>
        <w:tc>
          <w:tcPr>
            <w:tcW w:w="772" w:type="pct"/>
            <w:noWrap/>
            <w:vAlign w:val="center"/>
            <w:hideMark/>
          </w:tcPr>
          <w:p w14:paraId="765B2825" w14:textId="77777777" w:rsidR="008429E1" w:rsidRPr="00105176" w:rsidRDefault="007868FF" w:rsidP="00105176">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u w:color="FFFFFF" w:themeColor="background1"/>
                <w:lang w:val="en-AU"/>
              </w:rPr>
            </w:pPr>
            <w:r>
              <w:rPr>
                <w:rFonts w:cs="Arial"/>
                <w:color w:val="FFFFFF" w:themeColor="background1"/>
                <w:u w:color="FFFFFF" w:themeColor="background1"/>
                <w:lang w:val="en-AU"/>
              </w:rPr>
              <w:t>Received</w:t>
            </w:r>
          </w:p>
        </w:tc>
        <w:tc>
          <w:tcPr>
            <w:tcW w:w="772" w:type="pct"/>
            <w:vAlign w:val="center"/>
            <w:hideMark/>
          </w:tcPr>
          <w:p w14:paraId="22201465" w14:textId="77777777" w:rsidR="008429E1" w:rsidRPr="00105176" w:rsidRDefault="008429E1" w:rsidP="00105176">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u w:color="FFFFFF" w:themeColor="background1"/>
                <w:lang w:val="en-AU"/>
              </w:rPr>
            </w:pPr>
            <w:r w:rsidRPr="00105176">
              <w:rPr>
                <w:rFonts w:cs="Arial"/>
                <w:color w:val="FFFFFF" w:themeColor="background1"/>
                <w:u w:color="FFFFFF" w:themeColor="background1"/>
                <w:lang w:val="en-AU"/>
              </w:rPr>
              <w:t>Granted</w:t>
            </w:r>
          </w:p>
        </w:tc>
        <w:tc>
          <w:tcPr>
            <w:tcW w:w="772" w:type="pct"/>
            <w:noWrap/>
            <w:vAlign w:val="center"/>
            <w:hideMark/>
          </w:tcPr>
          <w:p w14:paraId="43BB3165" w14:textId="77777777" w:rsidR="008429E1" w:rsidRPr="00105176" w:rsidRDefault="008429E1" w:rsidP="00105176">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u w:color="FFFFFF" w:themeColor="background1"/>
                <w:lang w:val="en-AU"/>
              </w:rPr>
            </w:pPr>
            <w:r w:rsidRPr="00105176">
              <w:rPr>
                <w:rFonts w:cs="Arial"/>
                <w:color w:val="FFFFFF" w:themeColor="background1"/>
                <w:u w:color="FFFFFF" w:themeColor="background1"/>
                <w:lang w:val="en-AU"/>
              </w:rPr>
              <w:t>Withdrawn</w:t>
            </w:r>
          </w:p>
        </w:tc>
        <w:tc>
          <w:tcPr>
            <w:tcW w:w="773" w:type="pct"/>
            <w:noWrap/>
            <w:vAlign w:val="center"/>
            <w:hideMark/>
          </w:tcPr>
          <w:p w14:paraId="7F62CD33" w14:textId="77777777" w:rsidR="008429E1" w:rsidRPr="00105176" w:rsidRDefault="008429E1" w:rsidP="00105176">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u w:color="FFFFFF" w:themeColor="background1"/>
                <w:lang w:val="en-AU"/>
              </w:rPr>
            </w:pPr>
            <w:r w:rsidRPr="00105176">
              <w:rPr>
                <w:rFonts w:cs="Arial"/>
                <w:color w:val="FFFFFF" w:themeColor="background1"/>
                <w:u w:color="FFFFFF" w:themeColor="background1"/>
                <w:lang w:val="en-AU"/>
              </w:rPr>
              <w:t>Refused</w:t>
            </w:r>
          </w:p>
        </w:tc>
      </w:tr>
      <w:tr w:rsidR="00A11CC5" w:rsidRPr="00A11CC5" w14:paraId="7BA209B3" w14:textId="77777777" w:rsidTr="00105176">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911" w:type="pct"/>
            <w:vAlign w:val="center"/>
            <w:hideMark/>
          </w:tcPr>
          <w:p w14:paraId="6920755F" w14:textId="77777777" w:rsidR="006911FC" w:rsidRPr="00105176" w:rsidRDefault="006911FC" w:rsidP="00105176">
            <w:pPr>
              <w:jc w:val="center"/>
              <w:rPr>
                <w:rFonts w:cs="Arial"/>
                <w:b w:val="0"/>
                <w:color w:val="auto"/>
                <w:u w:color="FFFFFF" w:themeColor="background1"/>
                <w:lang w:val="en-AU"/>
              </w:rPr>
            </w:pPr>
            <w:r w:rsidRPr="00105176">
              <w:rPr>
                <w:rFonts w:cs="Arial"/>
                <w:b w:val="0"/>
                <w:color w:val="auto"/>
                <w:u w:color="FFFFFF" w:themeColor="background1"/>
                <w:lang w:val="en-AU"/>
              </w:rPr>
              <w:t>Exploration Licence Applications</w:t>
            </w:r>
          </w:p>
        </w:tc>
        <w:tc>
          <w:tcPr>
            <w:tcW w:w="772" w:type="pct"/>
            <w:noWrap/>
            <w:vAlign w:val="center"/>
          </w:tcPr>
          <w:p w14:paraId="1D43A511" w14:textId="77777777" w:rsidR="006911FC" w:rsidRPr="00105176" w:rsidRDefault="007C45D9" w:rsidP="00105176">
            <w:pPr>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7</w:t>
            </w:r>
            <w:r w:rsidR="00017CFA" w:rsidRPr="00105176">
              <w:rPr>
                <w:rFonts w:cs="Arial"/>
                <w:color w:val="auto"/>
                <w:u w:color="FFFFFF" w:themeColor="background1"/>
                <w:lang w:val="en-AU"/>
              </w:rPr>
              <w:t>2</w:t>
            </w:r>
          </w:p>
        </w:tc>
        <w:tc>
          <w:tcPr>
            <w:tcW w:w="772" w:type="pct"/>
            <w:noWrap/>
            <w:vAlign w:val="center"/>
          </w:tcPr>
          <w:p w14:paraId="472031B3" w14:textId="77777777" w:rsidR="006B7D94" w:rsidRPr="00105176" w:rsidRDefault="007C45D9" w:rsidP="00105176">
            <w:pPr>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63</w:t>
            </w:r>
          </w:p>
        </w:tc>
        <w:tc>
          <w:tcPr>
            <w:tcW w:w="772" w:type="pct"/>
            <w:noWrap/>
            <w:vAlign w:val="center"/>
          </w:tcPr>
          <w:p w14:paraId="391F8688" w14:textId="77777777" w:rsidR="006911FC" w:rsidRPr="00105176" w:rsidRDefault="007C45D9" w:rsidP="00105176">
            <w:pPr>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8</w:t>
            </w:r>
          </w:p>
        </w:tc>
        <w:tc>
          <w:tcPr>
            <w:tcW w:w="773" w:type="pct"/>
            <w:noWrap/>
            <w:vAlign w:val="center"/>
          </w:tcPr>
          <w:p w14:paraId="0978D578" w14:textId="77777777" w:rsidR="006911FC" w:rsidRPr="00105176" w:rsidRDefault="007C45D9" w:rsidP="00105176">
            <w:pPr>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1</w:t>
            </w:r>
          </w:p>
        </w:tc>
      </w:tr>
      <w:tr w:rsidR="00017CFA" w:rsidRPr="00A11CC5" w14:paraId="45CC443E" w14:textId="77777777" w:rsidTr="00105176">
        <w:trPr>
          <w:trHeight w:val="407"/>
        </w:trPr>
        <w:tc>
          <w:tcPr>
            <w:cnfStyle w:val="001000000000" w:firstRow="0" w:lastRow="0" w:firstColumn="1" w:lastColumn="0" w:oddVBand="0" w:evenVBand="0" w:oddHBand="0" w:evenHBand="0" w:firstRowFirstColumn="0" w:firstRowLastColumn="0" w:lastRowFirstColumn="0" w:lastRowLastColumn="0"/>
            <w:tcW w:w="1911" w:type="pct"/>
            <w:vAlign w:val="center"/>
            <w:hideMark/>
          </w:tcPr>
          <w:p w14:paraId="125AFF35" w14:textId="77777777" w:rsidR="006911FC" w:rsidRPr="00105176" w:rsidRDefault="006911FC" w:rsidP="00105176">
            <w:pPr>
              <w:jc w:val="center"/>
              <w:rPr>
                <w:rFonts w:cs="Arial"/>
                <w:b w:val="0"/>
                <w:color w:val="auto"/>
                <w:u w:color="FFFFFF" w:themeColor="background1"/>
                <w:lang w:val="en-AU"/>
              </w:rPr>
            </w:pPr>
            <w:r w:rsidRPr="00105176">
              <w:rPr>
                <w:rFonts w:cs="Arial"/>
                <w:b w:val="0"/>
                <w:color w:val="auto"/>
                <w:u w:color="FFFFFF" w:themeColor="background1"/>
                <w:lang w:val="en-AU"/>
              </w:rPr>
              <w:t>Mining Licence Applications</w:t>
            </w:r>
          </w:p>
        </w:tc>
        <w:tc>
          <w:tcPr>
            <w:tcW w:w="772" w:type="pct"/>
            <w:noWrap/>
            <w:vAlign w:val="center"/>
          </w:tcPr>
          <w:p w14:paraId="47FD4C60" w14:textId="77777777" w:rsidR="006911FC" w:rsidRPr="00105176" w:rsidRDefault="007C45D9" w:rsidP="00105176">
            <w:pPr>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2</w:t>
            </w:r>
          </w:p>
        </w:tc>
        <w:tc>
          <w:tcPr>
            <w:tcW w:w="772" w:type="pct"/>
            <w:noWrap/>
            <w:vAlign w:val="center"/>
          </w:tcPr>
          <w:p w14:paraId="5B67DA96" w14:textId="77777777" w:rsidR="006911FC" w:rsidRPr="00105176" w:rsidRDefault="007C45D9" w:rsidP="00105176">
            <w:pPr>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3</w:t>
            </w:r>
          </w:p>
        </w:tc>
        <w:tc>
          <w:tcPr>
            <w:tcW w:w="772" w:type="pct"/>
            <w:noWrap/>
            <w:vAlign w:val="center"/>
          </w:tcPr>
          <w:p w14:paraId="3A3992EB" w14:textId="77777777" w:rsidR="006911FC" w:rsidRPr="00105176" w:rsidRDefault="006911FC" w:rsidP="00105176">
            <w:pPr>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1</w:t>
            </w:r>
          </w:p>
        </w:tc>
        <w:tc>
          <w:tcPr>
            <w:tcW w:w="773" w:type="pct"/>
            <w:noWrap/>
            <w:vAlign w:val="center"/>
          </w:tcPr>
          <w:p w14:paraId="4DC626D3" w14:textId="77777777" w:rsidR="006911FC" w:rsidRPr="00105176" w:rsidRDefault="006911FC" w:rsidP="00105176">
            <w:pPr>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0</w:t>
            </w:r>
          </w:p>
        </w:tc>
      </w:tr>
      <w:tr w:rsidR="007C45D9" w:rsidRPr="00A11CC5" w14:paraId="1113C5EB" w14:textId="77777777" w:rsidTr="00105176">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911" w:type="pct"/>
            <w:vAlign w:val="center"/>
            <w:hideMark/>
          </w:tcPr>
          <w:p w14:paraId="4862E553" w14:textId="77777777" w:rsidR="006911FC" w:rsidRPr="00105176" w:rsidRDefault="006911FC" w:rsidP="00105176">
            <w:pPr>
              <w:jc w:val="center"/>
              <w:rPr>
                <w:rFonts w:cs="Arial"/>
                <w:b w:val="0"/>
                <w:color w:val="auto"/>
                <w:u w:color="FFFFFF" w:themeColor="background1"/>
                <w:lang w:val="en-AU"/>
              </w:rPr>
            </w:pPr>
            <w:r w:rsidRPr="00105176">
              <w:rPr>
                <w:rFonts w:cs="Arial"/>
                <w:b w:val="0"/>
                <w:color w:val="auto"/>
                <w:u w:color="FFFFFF" w:themeColor="background1"/>
                <w:lang w:val="en-AU"/>
              </w:rPr>
              <w:t>Prospecting Licence Applications</w:t>
            </w:r>
          </w:p>
        </w:tc>
        <w:tc>
          <w:tcPr>
            <w:tcW w:w="772" w:type="pct"/>
            <w:noWrap/>
            <w:vAlign w:val="center"/>
          </w:tcPr>
          <w:p w14:paraId="15048316" w14:textId="77777777" w:rsidR="006911FC" w:rsidRPr="00105176" w:rsidRDefault="00F9314D" w:rsidP="00105176">
            <w:pPr>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1</w:t>
            </w:r>
            <w:r w:rsidR="007C45D9" w:rsidRPr="00105176">
              <w:rPr>
                <w:rFonts w:cs="Arial"/>
                <w:color w:val="auto"/>
                <w:u w:color="FFFFFF" w:themeColor="background1"/>
                <w:lang w:val="en-AU"/>
              </w:rPr>
              <w:t>7</w:t>
            </w:r>
          </w:p>
        </w:tc>
        <w:tc>
          <w:tcPr>
            <w:tcW w:w="772" w:type="pct"/>
            <w:noWrap/>
            <w:vAlign w:val="center"/>
          </w:tcPr>
          <w:p w14:paraId="6925A5FA" w14:textId="77777777" w:rsidR="006911FC" w:rsidRPr="00105176" w:rsidRDefault="007C45D9" w:rsidP="00105176">
            <w:pPr>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12</w:t>
            </w:r>
          </w:p>
        </w:tc>
        <w:tc>
          <w:tcPr>
            <w:tcW w:w="772" w:type="pct"/>
            <w:noWrap/>
            <w:vAlign w:val="center"/>
          </w:tcPr>
          <w:p w14:paraId="645D507E" w14:textId="77777777" w:rsidR="006911FC" w:rsidRPr="00105176" w:rsidRDefault="00F9314D" w:rsidP="00105176">
            <w:pPr>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0</w:t>
            </w:r>
          </w:p>
        </w:tc>
        <w:tc>
          <w:tcPr>
            <w:tcW w:w="773" w:type="pct"/>
            <w:noWrap/>
            <w:vAlign w:val="center"/>
          </w:tcPr>
          <w:p w14:paraId="6AE5E875" w14:textId="77777777" w:rsidR="006911FC" w:rsidRPr="00105176" w:rsidRDefault="006911FC" w:rsidP="00105176">
            <w:pPr>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0</w:t>
            </w:r>
          </w:p>
        </w:tc>
      </w:tr>
      <w:tr w:rsidR="007C45D9" w:rsidRPr="00A11CC5" w14:paraId="2718A696" w14:textId="77777777" w:rsidTr="00105176">
        <w:trPr>
          <w:trHeight w:val="407"/>
        </w:trPr>
        <w:tc>
          <w:tcPr>
            <w:cnfStyle w:val="001000000000" w:firstRow="0" w:lastRow="0" w:firstColumn="1" w:lastColumn="0" w:oddVBand="0" w:evenVBand="0" w:oddHBand="0" w:evenHBand="0" w:firstRowFirstColumn="0" w:firstRowLastColumn="0" w:lastRowFirstColumn="0" w:lastRowLastColumn="0"/>
            <w:tcW w:w="1911" w:type="pct"/>
            <w:vAlign w:val="center"/>
            <w:hideMark/>
          </w:tcPr>
          <w:p w14:paraId="3E9C9420" w14:textId="77777777" w:rsidR="006911FC" w:rsidRPr="00105176" w:rsidRDefault="006911FC" w:rsidP="00105176">
            <w:pPr>
              <w:jc w:val="center"/>
              <w:rPr>
                <w:rFonts w:cs="Arial"/>
                <w:b w:val="0"/>
                <w:color w:val="auto"/>
                <w:u w:color="FFFFFF" w:themeColor="background1"/>
                <w:lang w:val="en-AU"/>
              </w:rPr>
            </w:pPr>
            <w:r w:rsidRPr="00105176">
              <w:rPr>
                <w:rFonts w:cs="Arial"/>
                <w:b w:val="0"/>
                <w:color w:val="auto"/>
                <w:u w:color="FFFFFF" w:themeColor="background1"/>
                <w:lang w:val="en-AU"/>
              </w:rPr>
              <w:t>Retention Licence Applications</w:t>
            </w:r>
          </w:p>
        </w:tc>
        <w:tc>
          <w:tcPr>
            <w:tcW w:w="772" w:type="pct"/>
            <w:noWrap/>
            <w:vAlign w:val="center"/>
          </w:tcPr>
          <w:p w14:paraId="17EB5B9B" w14:textId="77777777" w:rsidR="006911FC" w:rsidRPr="00105176" w:rsidRDefault="007C45D9" w:rsidP="00105176">
            <w:pPr>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6</w:t>
            </w:r>
          </w:p>
        </w:tc>
        <w:tc>
          <w:tcPr>
            <w:tcW w:w="772" w:type="pct"/>
            <w:noWrap/>
            <w:vAlign w:val="center"/>
          </w:tcPr>
          <w:p w14:paraId="3B2603D4" w14:textId="77777777" w:rsidR="006911FC" w:rsidRPr="00105176" w:rsidRDefault="007C45D9" w:rsidP="00105176">
            <w:pPr>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7</w:t>
            </w:r>
          </w:p>
        </w:tc>
        <w:tc>
          <w:tcPr>
            <w:tcW w:w="772" w:type="pct"/>
            <w:noWrap/>
            <w:vAlign w:val="center"/>
          </w:tcPr>
          <w:p w14:paraId="3C6DB089" w14:textId="77777777" w:rsidR="006911FC" w:rsidRPr="00105176" w:rsidRDefault="00F9314D" w:rsidP="00105176">
            <w:pPr>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0</w:t>
            </w:r>
          </w:p>
        </w:tc>
        <w:tc>
          <w:tcPr>
            <w:tcW w:w="773" w:type="pct"/>
            <w:noWrap/>
            <w:vAlign w:val="center"/>
          </w:tcPr>
          <w:p w14:paraId="571A4D69" w14:textId="77777777" w:rsidR="006911FC" w:rsidRPr="00105176" w:rsidRDefault="006911FC" w:rsidP="00105176">
            <w:pPr>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105176">
              <w:rPr>
                <w:rFonts w:cs="Arial"/>
                <w:color w:val="auto"/>
                <w:u w:color="FFFFFF" w:themeColor="background1"/>
                <w:lang w:val="en-AU"/>
              </w:rPr>
              <w:t>0</w:t>
            </w:r>
          </w:p>
        </w:tc>
      </w:tr>
      <w:tr w:rsidR="007C45D9" w:rsidRPr="00A11CC5" w14:paraId="6B20B066" w14:textId="77777777" w:rsidTr="00105176">
        <w:trPr>
          <w:cnfStyle w:val="010000000000" w:firstRow="0" w:lastRow="1"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911" w:type="pct"/>
            <w:vAlign w:val="center"/>
            <w:hideMark/>
          </w:tcPr>
          <w:p w14:paraId="77BBA27A" w14:textId="77777777" w:rsidR="006911FC" w:rsidRPr="00105176" w:rsidRDefault="006911FC" w:rsidP="00105176">
            <w:pPr>
              <w:jc w:val="center"/>
              <w:rPr>
                <w:rFonts w:cs="Arial"/>
                <w:b w:val="0"/>
                <w:bCs w:val="0"/>
                <w:color w:val="auto"/>
                <w:u w:color="FFFFFF" w:themeColor="background1"/>
                <w:lang w:val="en-AU"/>
              </w:rPr>
            </w:pPr>
            <w:r w:rsidRPr="00105176">
              <w:rPr>
                <w:rFonts w:cs="Arial"/>
                <w:color w:val="auto"/>
                <w:u w:color="FFFFFF" w:themeColor="background1"/>
                <w:lang w:val="en-AU"/>
              </w:rPr>
              <w:t>Total</w:t>
            </w:r>
          </w:p>
        </w:tc>
        <w:tc>
          <w:tcPr>
            <w:tcW w:w="772" w:type="pct"/>
            <w:noWrap/>
            <w:vAlign w:val="center"/>
          </w:tcPr>
          <w:p w14:paraId="7455284A" w14:textId="77777777" w:rsidR="006911FC" w:rsidRPr="007868FF" w:rsidRDefault="007C45D9" w:rsidP="00105176">
            <w:pPr>
              <w:jc w:val="center"/>
              <w:cnfStyle w:val="010000000000" w:firstRow="0" w:lastRow="1" w:firstColumn="0" w:lastColumn="0" w:oddVBand="0" w:evenVBand="0" w:oddHBand="0" w:evenHBand="0" w:firstRowFirstColumn="0" w:firstRowLastColumn="0" w:lastRowFirstColumn="0" w:lastRowLastColumn="0"/>
              <w:rPr>
                <w:rFonts w:cs="Arial"/>
                <w:color w:val="auto"/>
                <w:u w:color="FFFFFF" w:themeColor="background1"/>
                <w:lang w:val="en-AU"/>
              </w:rPr>
            </w:pPr>
            <w:r w:rsidRPr="007868FF">
              <w:rPr>
                <w:rFonts w:cs="Arial"/>
                <w:color w:val="auto"/>
                <w:u w:color="FFFFFF" w:themeColor="background1"/>
                <w:lang w:val="en-AU"/>
              </w:rPr>
              <w:t>9</w:t>
            </w:r>
            <w:r w:rsidR="00017CFA" w:rsidRPr="007868FF">
              <w:rPr>
                <w:rFonts w:cs="Arial"/>
                <w:color w:val="auto"/>
                <w:u w:color="FFFFFF" w:themeColor="background1"/>
                <w:lang w:val="en-AU"/>
              </w:rPr>
              <w:t>7</w:t>
            </w:r>
          </w:p>
        </w:tc>
        <w:tc>
          <w:tcPr>
            <w:tcW w:w="772" w:type="pct"/>
            <w:noWrap/>
            <w:vAlign w:val="center"/>
          </w:tcPr>
          <w:p w14:paraId="01F79666" w14:textId="77777777" w:rsidR="006911FC" w:rsidRPr="007868FF" w:rsidRDefault="007C45D9" w:rsidP="00105176">
            <w:pPr>
              <w:jc w:val="center"/>
              <w:cnfStyle w:val="010000000000" w:firstRow="0" w:lastRow="1" w:firstColumn="0" w:lastColumn="0" w:oddVBand="0" w:evenVBand="0" w:oddHBand="0" w:evenHBand="0" w:firstRowFirstColumn="0" w:firstRowLastColumn="0" w:lastRowFirstColumn="0" w:lastRowLastColumn="0"/>
              <w:rPr>
                <w:rFonts w:cs="Arial"/>
                <w:color w:val="auto"/>
                <w:u w:color="FFFFFF" w:themeColor="background1"/>
                <w:lang w:val="en-AU"/>
              </w:rPr>
            </w:pPr>
            <w:r w:rsidRPr="007868FF">
              <w:rPr>
                <w:rFonts w:cs="Arial"/>
                <w:color w:val="auto"/>
                <w:u w:color="FFFFFF" w:themeColor="background1"/>
                <w:lang w:val="en-AU"/>
              </w:rPr>
              <w:t>85</w:t>
            </w:r>
          </w:p>
        </w:tc>
        <w:tc>
          <w:tcPr>
            <w:tcW w:w="772" w:type="pct"/>
            <w:noWrap/>
            <w:vAlign w:val="center"/>
          </w:tcPr>
          <w:p w14:paraId="12516FBE" w14:textId="77777777" w:rsidR="006911FC" w:rsidRPr="007868FF" w:rsidRDefault="007C45D9" w:rsidP="00105176">
            <w:pPr>
              <w:jc w:val="center"/>
              <w:cnfStyle w:val="010000000000" w:firstRow="0" w:lastRow="1" w:firstColumn="0" w:lastColumn="0" w:oddVBand="0" w:evenVBand="0" w:oddHBand="0" w:evenHBand="0" w:firstRowFirstColumn="0" w:firstRowLastColumn="0" w:lastRowFirstColumn="0" w:lastRowLastColumn="0"/>
              <w:rPr>
                <w:rFonts w:cs="Arial"/>
                <w:color w:val="auto"/>
                <w:u w:color="FFFFFF" w:themeColor="background1"/>
                <w:lang w:val="en-AU"/>
              </w:rPr>
            </w:pPr>
            <w:r w:rsidRPr="007868FF">
              <w:rPr>
                <w:rFonts w:cs="Arial"/>
                <w:color w:val="auto"/>
                <w:u w:color="FFFFFF" w:themeColor="background1"/>
                <w:lang w:val="en-AU"/>
              </w:rPr>
              <w:t>9</w:t>
            </w:r>
          </w:p>
        </w:tc>
        <w:tc>
          <w:tcPr>
            <w:tcW w:w="773" w:type="pct"/>
            <w:noWrap/>
            <w:vAlign w:val="center"/>
          </w:tcPr>
          <w:p w14:paraId="593897B4" w14:textId="77777777" w:rsidR="006911FC" w:rsidRPr="007868FF" w:rsidRDefault="007C45D9" w:rsidP="00105176">
            <w:pPr>
              <w:jc w:val="center"/>
              <w:cnfStyle w:val="010000000000" w:firstRow="0" w:lastRow="1" w:firstColumn="0" w:lastColumn="0" w:oddVBand="0" w:evenVBand="0" w:oddHBand="0" w:evenHBand="0" w:firstRowFirstColumn="0" w:firstRowLastColumn="0" w:lastRowFirstColumn="0" w:lastRowLastColumn="0"/>
              <w:rPr>
                <w:rFonts w:cs="Arial"/>
                <w:color w:val="auto"/>
                <w:u w:color="FFFFFF" w:themeColor="background1"/>
                <w:lang w:val="en-AU"/>
              </w:rPr>
            </w:pPr>
            <w:r w:rsidRPr="007868FF">
              <w:rPr>
                <w:rFonts w:cs="Arial"/>
                <w:color w:val="auto"/>
                <w:u w:color="FFFFFF" w:themeColor="background1"/>
                <w:lang w:val="en-AU"/>
              </w:rPr>
              <w:t>1</w:t>
            </w:r>
          </w:p>
        </w:tc>
      </w:tr>
    </w:tbl>
    <w:p w14:paraId="3B39E66F" w14:textId="77777777" w:rsidR="00471ACF" w:rsidRDefault="00471ACF" w:rsidP="005A0201">
      <w:pPr>
        <w:spacing w:before="240" w:after="120"/>
        <w:jc w:val="both"/>
        <w:rPr>
          <w:rFonts w:cs="Arial"/>
          <w:b/>
          <w:color w:val="auto"/>
          <w:u w:color="FFFFFF" w:themeColor="background1"/>
          <w:lang w:val="en-AU"/>
        </w:rPr>
      </w:pPr>
    </w:p>
    <w:p w14:paraId="601C3B5A" w14:textId="4573EB82" w:rsidR="007C45D9" w:rsidRPr="005A0201" w:rsidRDefault="00F21245" w:rsidP="005A0201">
      <w:pPr>
        <w:spacing w:before="240" w:after="120"/>
        <w:jc w:val="both"/>
        <w:rPr>
          <w:rFonts w:cs="Arial"/>
          <w:b/>
          <w:color w:val="auto"/>
          <w:u w:color="FFFFFF" w:themeColor="background1"/>
          <w:lang w:val="en-AU"/>
        </w:rPr>
      </w:pPr>
      <w:r>
        <w:rPr>
          <w:rFonts w:cs="Arial"/>
          <w:b/>
          <w:color w:val="auto"/>
          <w:u w:color="FFFFFF" w:themeColor="background1"/>
          <w:lang w:val="en-AU"/>
        </w:rPr>
        <w:t>Table 2.3</w:t>
      </w:r>
      <w:r w:rsidR="005A0201" w:rsidRPr="00A11CC5">
        <w:rPr>
          <w:rFonts w:cs="Arial"/>
          <w:b/>
          <w:color w:val="auto"/>
          <w:u w:color="FFFFFF" w:themeColor="background1"/>
          <w:lang w:val="en-AU"/>
        </w:rPr>
        <w:t xml:space="preserve"> </w:t>
      </w:r>
      <w:r w:rsidR="005A0201">
        <w:rPr>
          <w:rFonts w:cs="Arial"/>
          <w:b/>
          <w:color w:val="auto"/>
          <w:u w:color="FFFFFF" w:themeColor="background1"/>
          <w:lang w:val="en-AU"/>
        </w:rPr>
        <w:t>L</w:t>
      </w:r>
      <w:r w:rsidR="008B7751">
        <w:rPr>
          <w:rFonts w:cs="Arial"/>
          <w:b/>
          <w:color w:val="auto"/>
          <w:u w:color="FFFFFF" w:themeColor="background1"/>
          <w:lang w:val="en-AU"/>
        </w:rPr>
        <w:t>icence renewed</w:t>
      </w:r>
      <w:r w:rsidR="005A0201" w:rsidRPr="00A11CC5">
        <w:rPr>
          <w:rFonts w:cs="Arial"/>
          <w:b/>
          <w:color w:val="auto"/>
          <w:u w:color="FFFFFF" w:themeColor="background1"/>
          <w:lang w:val="en-AU"/>
        </w:rPr>
        <w:t xml:space="preserve"> in 201</w:t>
      </w:r>
      <w:r w:rsidR="005A0201">
        <w:rPr>
          <w:rFonts w:cs="Arial"/>
          <w:b/>
          <w:color w:val="auto"/>
          <w:u w:color="FFFFFF" w:themeColor="background1"/>
          <w:lang w:val="en-AU"/>
        </w:rPr>
        <w:t>7</w:t>
      </w:r>
      <w:r w:rsidR="005A0201" w:rsidRPr="00A11CC5">
        <w:rPr>
          <w:rFonts w:cs="Arial"/>
          <w:b/>
          <w:color w:val="auto"/>
          <w:u w:color="FFFFFF" w:themeColor="background1"/>
          <w:lang w:val="en-AU"/>
        </w:rPr>
        <w:t>-1</w:t>
      </w:r>
      <w:r w:rsidR="005A0201">
        <w:rPr>
          <w:rFonts w:cs="Arial"/>
          <w:b/>
          <w:color w:val="auto"/>
          <w:u w:color="FFFFFF" w:themeColor="background1"/>
          <w:lang w:val="en-AU"/>
        </w:rPr>
        <w:t>8</w:t>
      </w:r>
    </w:p>
    <w:tbl>
      <w:tblPr>
        <w:tblStyle w:val="GridTable4-Accent1"/>
        <w:tblW w:w="10298" w:type="dxa"/>
        <w:tblLook w:val="04E0" w:firstRow="1" w:lastRow="1" w:firstColumn="1" w:lastColumn="0" w:noHBand="0" w:noVBand="1"/>
      </w:tblPr>
      <w:tblGrid>
        <w:gridCol w:w="3892"/>
        <w:gridCol w:w="1632"/>
        <w:gridCol w:w="1559"/>
        <w:gridCol w:w="1559"/>
        <w:gridCol w:w="1656"/>
      </w:tblGrid>
      <w:tr w:rsidR="007C45D9" w14:paraId="130F86ED" w14:textId="77777777" w:rsidTr="00105176">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892" w:type="dxa"/>
            <w:vAlign w:val="center"/>
          </w:tcPr>
          <w:p w14:paraId="361DE71A" w14:textId="77777777" w:rsidR="007C45D9" w:rsidRPr="00105176" w:rsidRDefault="007C45D9" w:rsidP="00105176">
            <w:pPr>
              <w:pStyle w:val="BodyText"/>
              <w:spacing w:before="0" w:after="0"/>
              <w:jc w:val="center"/>
              <w:rPr>
                <w:rFonts w:cs="Arial"/>
                <w:sz w:val="18"/>
                <w:szCs w:val="18"/>
                <w:u w:color="FFFFFF" w:themeColor="background1"/>
                <w:lang w:val="en-AU"/>
              </w:rPr>
            </w:pPr>
          </w:p>
        </w:tc>
        <w:tc>
          <w:tcPr>
            <w:tcW w:w="1632" w:type="dxa"/>
            <w:vAlign w:val="center"/>
          </w:tcPr>
          <w:p w14:paraId="3437B081" w14:textId="77777777" w:rsidR="007C45D9" w:rsidRPr="00105176" w:rsidRDefault="007C45D9" w:rsidP="00105176">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u w:color="FFFFFF" w:themeColor="background1"/>
                <w:lang w:val="en-AU"/>
              </w:rPr>
            </w:pPr>
            <w:r w:rsidRPr="00105176">
              <w:rPr>
                <w:rFonts w:cs="Arial"/>
                <w:color w:val="FFFFFF" w:themeColor="background1"/>
                <w:u w:color="FFFFFF" w:themeColor="background1"/>
                <w:lang w:val="en-AU"/>
              </w:rPr>
              <w:t>Received</w:t>
            </w:r>
          </w:p>
        </w:tc>
        <w:tc>
          <w:tcPr>
            <w:tcW w:w="1559" w:type="dxa"/>
            <w:vAlign w:val="center"/>
          </w:tcPr>
          <w:p w14:paraId="577B1975" w14:textId="77777777" w:rsidR="007C45D9" w:rsidRPr="00105176" w:rsidRDefault="007C45D9" w:rsidP="00105176">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u w:color="FFFFFF" w:themeColor="background1"/>
                <w:lang w:val="en-AU"/>
              </w:rPr>
            </w:pPr>
            <w:r w:rsidRPr="00105176">
              <w:rPr>
                <w:rFonts w:cs="Arial"/>
                <w:color w:val="FFFFFF" w:themeColor="background1"/>
                <w:u w:color="FFFFFF" w:themeColor="background1"/>
                <w:lang w:val="en-AU"/>
              </w:rPr>
              <w:t>Renewed</w:t>
            </w:r>
          </w:p>
        </w:tc>
        <w:tc>
          <w:tcPr>
            <w:tcW w:w="1559" w:type="dxa"/>
            <w:vAlign w:val="center"/>
          </w:tcPr>
          <w:p w14:paraId="288C7A1E" w14:textId="77777777" w:rsidR="007C45D9" w:rsidRPr="00105176" w:rsidRDefault="007C45D9" w:rsidP="00105176">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u w:color="FFFFFF" w:themeColor="background1"/>
                <w:lang w:val="en-AU"/>
              </w:rPr>
            </w:pPr>
            <w:r w:rsidRPr="00105176">
              <w:rPr>
                <w:rFonts w:cs="Arial"/>
                <w:color w:val="FFFFFF" w:themeColor="background1"/>
                <w:u w:color="FFFFFF" w:themeColor="background1"/>
                <w:lang w:val="en-AU"/>
              </w:rPr>
              <w:t>Withdrawn</w:t>
            </w:r>
          </w:p>
        </w:tc>
        <w:tc>
          <w:tcPr>
            <w:tcW w:w="1656" w:type="dxa"/>
            <w:vAlign w:val="center"/>
          </w:tcPr>
          <w:p w14:paraId="303597DB" w14:textId="77777777" w:rsidR="007C45D9" w:rsidRPr="00105176" w:rsidRDefault="007C45D9" w:rsidP="00105176">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u w:color="FFFFFF" w:themeColor="background1"/>
                <w:lang w:val="en-AU"/>
              </w:rPr>
            </w:pPr>
            <w:r w:rsidRPr="00105176">
              <w:rPr>
                <w:rFonts w:cs="Arial"/>
                <w:color w:val="FFFFFF" w:themeColor="background1"/>
                <w:u w:color="FFFFFF" w:themeColor="background1"/>
                <w:lang w:val="en-AU"/>
              </w:rPr>
              <w:t>Refused</w:t>
            </w:r>
          </w:p>
        </w:tc>
      </w:tr>
      <w:tr w:rsidR="007C45D9" w14:paraId="1E1F0908" w14:textId="77777777" w:rsidTr="0010517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892" w:type="dxa"/>
            <w:vAlign w:val="center"/>
          </w:tcPr>
          <w:p w14:paraId="55B7E7D2" w14:textId="77777777" w:rsidR="007C45D9" w:rsidRPr="00105176" w:rsidRDefault="007C45D9" w:rsidP="00105176">
            <w:pPr>
              <w:pStyle w:val="BodyText"/>
              <w:spacing w:before="0" w:after="0"/>
              <w:jc w:val="center"/>
              <w:rPr>
                <w:rFonts w:cs="Arial"/>
                <w:sz w:val="18"/>
                <w:szCs w:val="18"/>
                <w:u w:color="FFFFFF" w:themeColor="background1"/>
                <w:lang w:val="en-AU"/>
              </w:rPr>
            </w:pPr>
            <w:r w:rsidRPr="00105176">
              <w:rPr>
                <w:rFonts w:cs="Arial"/>
                <w:b w:val="0"/>
                <w:sz w:val="18"/>
                <w:szCs w:val="18"/>
                <w:u w:color="FFFFFF" w:themeColor="background1"/>
                <w:lang w:val="en-AU"/>
              </w:rPr>
              <w:t>Exploration Licence Renewals</w:t>
            </w:r>
          </w:p>
        </w:tc>
        <w:tc>
          <w:tcPr>
            <w:tcW w:w="1632" w:type="dxa"/>
            <w:vAlign w:val="center"/>
          </w:tcPr>
          <w:p w14:paraId="0B454633" w14:textId="77777777" w:rsidR="007C45D9" w:rsidRPr="00105176" w:rsidRDefault="007C45D9" w:rsidP="00105176">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cs="Arial"/>
                <w:sz w:val="18"/>
                <w:szCs w:val="18"/>
                <w:u w:color="FFFFFF" w:themeColor="background1"/>
                <w:lang w:val="en-AU"/>
              </w:rPr>
            </w:pPr>
            <w:r w:rsidRPr="00105176">
              <w:rPr>
                <w:rFonts w:cs="Arial"/>
                <w:sz w:val="18"/>
                <w:szCs w:val="18"/>
                <w:u w:color="FFFFFF" w:themeColor="background1"/>
                <w:lang w:val="en-AU"/>
              </w:rPr>
              <w:t>15</w:t>
            </w:r>
          </w:p>
        </w:tc>
        <w:tc>
          <w:tcPr>
            <w:tcW w:w="1559" w:type="dxa"/>
            <w:vAlign w:val="center"/>
          </w:tcPr>
          <w:p w14:paraId="7BA2BD02" w14:textId="77777777" w:rsidR="007C45D9" w:rsidRPr="00105176" w:rsidRDefault="007C45D9" w:rsidP="00105176">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cs="Arial"/>
                <w:sz w:val="18"/>
                <w:szCs w:val="18"/>
                <w:u w:color="FFFFFF" w:themeColor="background1"/>
                <w:lang w:val="en-AU"/>
              </w:rPr>
            </w:pPr>
            <w:r w:rsidRPr="00105176">
              <w:rPr>
                <w:rFonts w:cs="Arial"/>
                <w:sz w:val="18"/>
                <w:szCs w:val="18"/>
                <w:u w:color="FFFFFF" w:themeColor="background1"/>
                <w:lang w:val="en-AU"/>
              </w:rPr>
              <w:t>29</w:t>
            </w:r>
          </w:p>
        </w:tc>
        <w:tc>
          <w:tcPr>
            <w:tcW w:w="1559" w:type="dxa"/>
            <w:vAlign w:val="center"/>
          </w:tcPr>
          <w:p w14:paraId="2D39F58E" w14:textId="77777777" w:rsidR="007C45D9" w:rsidRPr="00105176" w:rsidRDefault="007C45D9" w:rsidP="00105176">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cs="Arial"/>
                <w:sz w:val="18"/>
                <w:szCs w:val="18"/>
                <w:u w:color="FFFFFF" w:themeColor="background1"/>
                <w:lang w:val="en-AU"/>
              </w:rPr>
            </w:pPr>
            <w:r w:rsidRPr="00105176">
              <w:rPr>
                <w:rFonts w:cs="Arial"/>
                <w:sz w:val="18"/>
                <w:szCs w:val="18"/>
                <w:u w:color="FFFFFF" w:themeColor="background1"/>
                <w:lang w:val="en-AU"/>
              </w:rPr>
              <w:t>6</w:t>
            </w:r>
          </w:p>
        </w:tc>
        <w:tc>
          <w:tcPr>
            <w:tcW w:w="1656" w:type="dxa"/>
            <w:vAlign w:val="center"/>
          </w:tcPr>
          <w:p w14:paraId="238E1DEE" w14:textId="77777777" w:rsidR="007C45D9" w:rsidRPr="00105176" w:rsidRDefault="007C45D9" w:rsidP="00105176">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cs="Arial"/>
                <w:sz w:val="18"/>
                <w:szCs w:val="18"/>
                <w:u w:color="FFFFFF" w:themeColor="background1"/>
                <w:lang w:val="en-AU"/>
              </w:rPr>
            </w:pPr>
            <w:r w:rsidRPr="00105176">
              <w:rPr>
                <w:rFonts w:cs="Arial"/>
                <w:sz w:val="18"/>
                <w:szCs w:val="18"/>
                <w:u w:color="FFFFFF" w:themeColor="background1"/>
                <w:lang w:val="en-AU"/>
              </w:rPr>
              <w:t>1</w:t>
            </w:r>
          </w:p>
        </w:tc>
      </w:tr>
      <w:tr w:rsidR="007C45D9" w14:paraId="350C1BF6" w14:textId="77777777" w:rsidTr="00105176">
        <w:trPr>
          <w:trHeight w:val="411"/>
        </w:trPr>
        <w:tc>
          <w:tcPr>
            <w:cnfStyle w:val="001000000000" w:firstRow="0" w:lastRow="0" w:firstColumn="1" w:lastColumn="0" w:oddVBand="0" w:evenVBand="0" w:oddHBand="0" w:evenHBand="0" w:firstRowFirstColumn="0" w:firstRowLastColumn="0" w:lastRowFirstColumn="0" w:lastRowLastColumn="0"/>
            <w:tcW w:w="3892" w:type="dxa"/>
            <w:vAlign w:val="center"/>
          </w:tcPr>
          <w:p w14:paraId="27AA3C05" w14:textId="77777777" w:rsidR="007C45D9" w:rsidRPr="00105176" w:rsidRDefault="007C45D9" w:rsidP="00105176">
            <w:pPr>
              <w:pStyle w:val="BodyText"/>
              <w:spacing w:before="0" w:after="0"/>
              <w:jc w:val="center"/>
              <w:rPr>
                <w:rFonts w:cs="Arial"/>
                <w:sz w:val="18"/>
                <w:szCs w:val="18"/>
                <w:u w:color="FFFFFF" w:themeColor="background1"/>
                <w:lang w:val="en-AU"/>
              </w:rPr>
            </w:pPr>
            <w:r w:rsidRPr="00105176">
              <w:rPr>
                <w:rFonts w:cs="Arial"/>
                <w:b w:val="0"/>
                <w:sz w:val="18"/>
                <w:szCs w:val="18"/>
                <w:u w:color="FFFFFF" w:themeColor="background1"/>
                <w:lang w:val="en-AU"/>
              </w:rPr>
              <w:t>Mining Licence Renewals</w:t>
            </w:r>
          </w:p>
        </w:tc>
        <w:tc>
          <w:tcPr>
            <w:tcW w:w="1632" w:type="dxa"/>
            <w:vAlign w:val="center"/>
          </w:tcPr>
          <w:p w14:paraId="48CD4390" w14:textId="77777777" w:rsidR="007C45D9" w:rsidRPr="00105176" w:rsidRDefault="007C45D9" w:rsidP="00105176">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cs="Arial"/>
                <w:sz w:val="18"/>
                <w:szCs w:val="18"/>
                <w:u w:color="FFFFFF" w:themeColor="background1"/>
                <w:lang w:val="en-AU"/>
              </w:rPr>
            </w:pPr>
            <w:r w:rsidRPr="00105176">
              <w:rPr>
                <w:rFonts w:cs="Arial"/>
                <w:sz w:val="18"/>
                <w:szCs w:val="18"/>
                <w:u w:color="FFFFFF" w:themeColor="background1"/>
                <w:lang w:val="en-AU"/>
              </w:rPr>
              <w:t>11</w:t>
            </w:r>
          </w:p>
        </w:tc>
        <w:tc>
          <w:tcPr>
            <w:tcW w:w="1559" w:type="dxa"/>
            <w:vAlign w:val="center"/>
          </w:tcPr>
          <w:p w14:paraId="05A5CA8D" w14:textId="77777777" w:rsidR="007C45D9" w:rsidRPr="00105176" w:rsidRDefault="007C45D9" w:rsidP="00105176">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cs="Arial"/>
                <w:sz w:val="18"/>
                <w:szCs w:val="18"/>
                <w:u w:color="FFFFFF" w:themeColor="background1"/>
                <w:lang w:val="en-AU"/>
              </w:rPr>
            </w:pPr>
            <w:r w:rsidRPr="00105176">
              <w:rPr>
                <w:rFonts w:cs="Arial"/>
                <w:sz w:val="18"/>
                <w:szCs w:val="18"/>
                <w:u w:color="FFFFFF" w:themeColor="background1"/>
                <w:lang w:val="en-AU"/>
              </w:rPr>
              <w:t>26</w:t>
            </w:r>
          </w:p>
        </w:tc>
        <w:tc>
          <w:tcPr>
            <w:tcW w:w="1559" w:type="dxa"/>
            <w:vAlign w:val="center"/>
          </w:tcPr>
          <w:p w14:paraId="44583187" w14:textId="77777777" w:rsidR="007C45D9" w:rsidRPr="00105176" w:rsidRDefault="007C45D9" w:rsidP="00105176">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cs="Arial"/>
                <w:sz w:val="18"/>
                <w:szCs w:val="18"/>
                <w:u w:color="FFFFFF" w:themeColor="background1"/>
                <w:lang w:val="en-AU"/>
              </w:rPr>
            </w:pPr>
            <w:r w:rsidRPr="00105176">
              <w:rPr>
                <w:rFonts w:cs="Arial"/>
                <w:sz w:val="18"/>
                <w:szCs w:val="18"/>
                <w:u w:color="FFFFFF" w:themeColor="background1"/>
                <w:lang w:val="en-AU"/>
              </w:rPr>
              <w:t>2</w:t>
            </w:r>
          </w:p>
        </w:tc>
        <w:tc>
          <w:tcPr>
            <w:tcW w:w="1656" w:type="dxa"/>
            <w:vAlign w:val="center"/>
          </w:tcPr>
          <w:p w14:paraId="0670EBA0" w14:textId="77777777" w:rsidR="007C45D9" w:rsidRPr="00105176" w:rsidRDefault="007C45D9" w:rsidP="00105176">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cs="Arial"/>
                <w:sz w:val="18"/>
                <w:szCs w:val="18"/>
                <w:u w:color="FFFFFF" w:themeColor="background1"/>
                <w:lang w:val="en-AU"/>
              </w:rPr>
            </w:pPr>
            <w:r w:rsidRPr="00105176">
              <w:rPr>
                <w:rFonts w:cs="Arial"/>
                <w:sz w:val="18"/>
                <w:szCs w:val="18"/>
                <w:u w:color="FFFFFF" w:themeColor="background1"/>
                <w:lang w:val="en-AU"/>
              </w:rPr>
              <w:t>1</w:t>
            </w:r>
          </w:p>
        </w:tc>
      </w:tr>
      <w:tr w:rsidR="007C45D9" w:rsidRPr="007C45D9" w14:paraId="77DD42F2" w14:textId="77777777" w:rsidTr="00105176">
        <w:trPr>
          <w:cnfStyle w:val="010000000000" w:firstRow="0" w:lastRow="1"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892" w:type="dxa"/>
            <w:vAlign w:val="center"/>
          </w:tcPr>
          <w:p w14:paraId="2C99871B" w14:textId="77777777" w:rsidR="007C45D9" w:rsidRPr="00105176" w:rsidRDefault="007C45D9" w:rsidP="00105176">
            <w:pPr>
              <w:pStyle w:val="BodyText"/>
              <w:spacing w:before="0" w:after="0"/>
              <w:jc w:val="center"/>
              <w:rPr>
                <w:rFonts w:cs="Arial"/>
                <w:sz w:val="18"/>
                <w:szCs w:val="18"/>
                <w:u w:color="FFFFFF" w:themeColor="background1"/>
                <w:lang w:val="en-AU"/>
              </w:rPr>
            </w:pPr>
            <w:r w:rsidRPr="00105176">
              <w:rPr>
                <w:rFonts w:cs="Arial"/>
                <w:sz w:val="18"/>
                <w:szCs w:val="18"/>
                <w:u w:color="FFFFFF" w:themeColor="background1"/>
                <w:lang w:val="en-AU"/>
              </w:rPr>
              <w:t>Total</w:t>
            </w:r>
          </w:p>
        </w:tc>
        <w:tc>
          <w:tcPr>
            <w:tcW w:w="1632" w:type="dxa"/>
            <w:vAlign w:val="center"/>
          </w:tcPr>
          <w:p w14:paraId="18E0EF60" w14:textId="77777777" w:rsidR="007C45D9" w:rsidRPr="007868FF" w:rsidRDefault="007C45D9" w:rsidP="00105176">
            <w:pPr>
              <w:pStyle w:val="BodyText"/>
              <w:spacing w:before="0" w:after="0"/>
              <w:jc w:val="center"/>
              <w:cnfStyle w:val="010000000000" w:firstRow="0" w:lastRow="1" w:firstColumn="0" w:lastColumn="0" w:oddVBand="0" w:evenVBand="0" w:oddHBand="0" w:evenHBand="0" w:firstRowFirstColumn="0" w:firstRowLastColumn="0" w:lastRowFirstColumn="0" w:lastRowLastColumn="0"/>
              <w:rPr>
                <w:rFonts w:cs="Arial"/>
                <w:sz w:val="18"/>
                <w:szCs w:val="18"/>
                <w:u w:color="FFFFFF" w:themeColor="background1"/>
                <w:lang w:val="en-AU"/>
              </w:rPr>
            </w:pPr>
            <w:r w:rsidRPr="007868FF">
              <w:rPr>
                <w:rFonts w:cs="Arial"/>
                <w:sz w:val="18"/>
                <w:szCs w:val="18"/>
                <w:u w:color="FFFFFF" w:themeColor="background1"/>
                <w:lang w:val="en-AU"/>
              </w:rPr>
              <w:t>26</w:t>
            </w:r>
          </w:p>
        </w:tc>
        <w:tc>
          <w:tcPr>
            <w:tcW w:w="1559" w:type="dxa"/>
            <w:vAlign w:val="center"/>
          </w:tcPr>
          <w:p w14:paraId="084C042E" w14:textId="77777777" w:rsidR="007C45D9" w:rsidRPr="007868FF" w:rsidRDefault="007C45D9" w:rsidP="00105176">
            <w:pPr>
              <w:pStyle w:val="BodyText"/>
              <w:spacing w:before="0" w:after="0"/>
              <w:jc w:val="center"/>
              <w:cnfStyle w:val="010000000000" w:firstRow="0" w:lastRow="1" w:firstColumn="0" w:lastColumn="0" w:oddVBand="0" w:evenVBand="0" w:oddHBand="0" w:evenHBand="0" w:firstRowFirstColumn="0" w:firstRowLastColumn="0" w:lastRowFirstColumn="0" w:lastRowLastColumn="0"/>
              <w:rPr>
                <w:rFonts w:cs="Arial"/>
                <w:sz w:val="18"/>
                <w:szCs w:val="18"/>
                <w:u w:color="FFFFFF" w:themeColor="background1"/>
                <w:lang w:val="en-AU"/>
              </w:rPr>
            </w:pPr>
            <w:r w:rsidRPr="007868FF">
              <w:rPr>
                <w:rFonts w:cs="Arial"/>
                <w:sz w:val="18"/>
                <w:szCs w:val="18"/>
                <w:u w:color="FFFFFF" w:themeColor="background1"/>
                <w:lang w:val="en-AU"/>
              </w:rPr>
              <w:t>55</w:t>
            </w:r>
          </w:p>
        </w:tc>
        <w:tc>
          <w:tcPr>
            <w:tcW w:w="1559" w:type="dxa"/>
            <w:vAlign w:val="center"/>
          </w:tcPr>
          <w:p w14:paraId="67490511" w14:textId="77777777" w:rsidR="007C45D9" w:rsidRPr="007868FF" w:rsidRDefault="007C45D9" w:rsidP="00105176">
            <w:pPr>
              <w:pStyle w:val="BodyText"/>
              <w:spacing w:before="0" w:after="0"/>
              <w:jc w:val="center"/>
              <w:cnfStyle w:val="010000000000" w:firstRow="0" w:lastRow="1" w:firstColumn="0" w:lastColumn="0" w:oddVBand="0" w:evenVBand="0" w:oddHBand="0" w:evenHBand="0" w:firstRowFirstColumn="0" w:firstRowLastColumn="0" w:lastRowFirstColumn="0" w:lastRowLastColumn="0"/>
              <w:rPr>
                <w:rFonts w:cs="Arial"/>
                <w:sz w:val="18"/>
                <w:szCs w:val="18"/>
                <w:u w:color="FFFFFF" w:themeColor="background1"/>
                <w:lang w:val="en-AU"/>
              </w:rPr>
            </w:pPr>
            <w:r w:rsidRPr="007868FF">
              <w:rPr>
                <w:rFonts w:cs="Arial"/>
                <w:sz w:val="18"/>
                <w:szCs w:val="18"/>
                <w:u w:color="FFFFFF" w:themeColor="background1"/>
                <w:lang w:val="en-AU"/>
              </w:rPr>
              <w:t>8</w:t>
            </w:r>
          </w:p>
        </w:tc>
        <w:tc>
          <w:tcPr>
            <w:tcW w:w="1656" w:type="dxa"/>
            <w:vAlign w:val="center"/>
          </w:tcPr>
          <w:p w14:paraId="77544B64" w14:textId="77777777" w:rsidR="007C45D9" w:rsidRPr="007868FF" w:rsidRDefault="007868FF" w:rsidP="00105176">
            <w:pPr>
              <w:pStyle w:val="BodyText"/>
              <w:spacing w:before="0" w:after="0"/>
              <w:jc w:val="center"/>
              <w:cnfStyle w:val="010000000000" w:firstRow="0" w:lastRow="1" w:firstColumn="0" w:lastColumn="0" w:oddVBand="0" w:evenVBand="0" w:oddHBand="0" w:evenHBand="0" w:firstRowFirstColumn="0" w:firstRowLastColumn="0" w:lastRowFirstColumn="0" w:lastRowLastColumn="0"/>
              <w:rPr>
                <w:rFonts w:cs="Arial"/>
                <w:sz w:val="18"/>
                <w:szCs w:val="18"/>
                <w:u w:color="FFFFFF" w:themeColor="background1"/>
                <w:lang w:val="en-AU"/>
              </w:rPr>
            </w:pPr>
            <w:r>
              <w:rPr>
                <w:rFonts w:cs="Arial"/>
                <w:sz w:val="18"/>
                <w:szCs w:val="18"/>
                <w:u w:color="FFFFFF" w:themeColor="background1"/>
                <w:lang w:val="en-AU"/>
              </w:rPr>
              <w:t>2</w:t>
            </w:r>
          </w:p>
        </w:tc>
      </w:tr>
    </w:tbl>
    <w:p w14:paraId="7E5E356C" w14:textId="77777777" w:rsidR="007C45D9" w:rsidRPr="007C45D9" w:rsidRDefault="007C45D9" w:rsidP="00C1194F">
      <w:pPr>
        <w:pStyle w:val="BodyText"/>
        <w:spacing w:before="0" w:after="0"/>
        <w:rPr>
          <w:rFonts w:cs="Arial"/>
          <w:b/>
          <w:u w:color="FFFFFF" w:themeColor="background1"/>
          <w:lang w:val="en-AU"/>
        </w:rPr>
      </w:pPr>
    </w:p>
    <w:p w14:paraId="7F3465A5" w14:textId="67E6D15F" w:rsidR="008429E1" w:rsidRDefault="008429E1" w:rsidP="00305A39">
      <w:pPr>
        <w:spacing w:before="480" w:after="120" w:line="240" w:lineRule="auto"/>
        <w:jc w:val="both"/>
        <w:rPr>
          <w:rFonts w:eastAsia="Times New Roman" w:cs="Arial"/>
          <w:b/>
          <w:color w:val="auto"/>
          <w:szCs w:val="24"/>
          <w:u w:color="FFFFFF" w:themeColor="background1"/>
          <w:lang w:val="en-AU"/>
        </w:rPr>
      </w:pPr>
      <w:r w:rsidRPr="00972328">
        <w:rPr>
          <w:rFonts w:eastAsia="Times New Roman" w:cs="Arial"/>
          <w:b/>
          <w:color w:val="auto"/>
          <w:szCs w:val="24"/>
          <w:u w:color="FFFFFF" w:themeColor="background1"/>
          <w:lang w:val="en-AU"/>
        </w:rPr>
        <w:t xml:space="preserve">Table </w:t>
      </w:r>
      <w:r w:rsidR="00133388" w:rsidRPr="00972328">
        <w:rPr>
          <w:rFonts w:eastAsia="Times New Roman" w:cs="Arial"/>
          <w:b/>
          <w:color w:val="auto"/>
          <w:szCs w:val="24"/>
          <w:u w:color="FFFFFF" w:themeColor="background1"/>
          <w:lang w:val="en-AU"/>
        </w:rPr>
        <w:t>2</w:t>
      </w:r>
      <w:r w:rsidR="00F21245">
        <w:rPr>
          <w:rFonts w:eastAsia="Times New Roman" w:cs="Arial"/>
          <w:b/>
          <w:color w:val="auto"/>
          <w:szCs w:val="24"/>
          <w:u w:color="FFFFFF" w:themeColor="background1"/>
          <w:lang w:val="en-AU"/>
        </w:rPr>
        <w:t>.4</w:t>
      </w:r>
      <w:r w:rsidR="000604FF">
        <w:rPr>
          <w:rFonts w:eastAsia="Times New Roman" w:cs="Arial"/>
          <w:b/>
          <w:color w:val="auto"/>
          <w:szCs w:val="24"/>
          <w:u w:color="FFFFFF" w:themeColor="background1"/>
          <w:lang w:val="en-AU"/>
        </w:rPr>
        <w:t xml:space="preserve"> Licence Applications</w:t>
      </w:r>
      <w:r w:rsidRPr="00972328">
        <w:rPr>
          <w:rFonts w:eastAsia="Times New Roman" w:cs="Arial"/>
          <w:b/>
          <w:color w:val="auto"/>
          <w:szCs w:val="24"/>
          <w:u w:color="FFFFFF" w:themeColor="background1"/>
          <w:lang w:val="en-AU"/>
        </w:rPr>
        <w:t xml:space="preserve"> granted </w:t>
      </w:r>
      <w:r w:rsidR="00972328">
        <w:rPr>
          <w:rFonts w:eastAsia="Times New Roman" w:cs="Arial"/>
          <w:b/>
          <w:color w:val="auto"/>
          <w:szCs w:val="24"/>
          <w:u w:color="FFFFFF" w:themeColor="background1"/>
          <w:lang w:val="en-AU"/>
        </w:rPr>
        <w:t>by financial year</w:t>
      </w:r>
    </w:p>
    <w:tbl>
      <w:tblPr>
        <w:tblStyle w:val="GridTable4-Accent1"/>
        <w:tblW w:w="10406" w:type="dxa"/>
        <w:tblLook w:val="04E0" w:firstRow="1" w:lastRow="1" w:firstColumn="1" w:lastColumn="0" w:noHBand="0" w:noVBand="1"/>
        <w:tblCaption w:val="New licence applications and renewals 2015-16"/>
        <w:tblDescription w:val="Licence types against recieved, granted or renewed, withdrawn and refused."/>
      </w:tblPr>
      <w:tblGrid>
        <w:gridCol w:w="2181"/>
        <w:gridCol w:w="1175"/>
        <w:gridCol w:w="1175"/>
        <w:gridCol w:w="1175"/>
        <w:gridCol w:w="1175"/>
        <w:gridCol w:w="1175"/>
        <w:gridCol w:w="1175"/>
        <w:gridCol w:w="1175"/>
      </w:tblGrid>
      <w:tr w:rsidR="00E2632D" w:rsidRPr="00105176" w14:paraId="4EE1CF70" w14:textId="77777777" w:rsidTr="00105176">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181" w:type="dxa"/>
            <w:noWrap/>
            <w:vAlign w:val="center"/>
            <w:hideMark/>
          </w:tcPr>
          <w:p w14:paraId="182C5D0F" w14:textId="77777777" w:rsidR="009B0EB7" w:rsidRPr="00105176" w:rsidRDefault="009B0EB7" w:rsidP="00105176">
            <w:pPr>
              <w:widowControl/>
              <w:suppressAutoHyphens w:val="0"/>
              <w:autoSpaceDE/>
              <w:autoSpaceDN/>
              <w:adjustRightInd/>
              <w:spacing w:after="0" w:line="240" w:lineRule="auto"/>
              <w:jc w:val="center"/>
              <w:textAlignment w:val="auto"/>
              <w:rPr>
                <w:rFonts w:eastAsia="Times New Roman" w:cs="Arial"/>
                <w:color w:val="365F91"/>
                <w:lang w:val="en-AU" w:eastAsia="en-AU"/>
              </w:rPr>
            </w:pPr>
          </w:p>
        </w:tc>
        <w:tc>
          <w:tcPr>
            <w:tcW w:w="1175" w:type="dxa"/>
            <w:noWrap/>
            <w:vAlign w:val="center"/>
            <w:hideMark/>
          </w:tcPr>
          <w:p w14:paraId="78FAD480" w14:textId="77777777" w:rsidR="009B0EB7" w:rsidRPr="00105176" w:rsidRDefault="009B0EB7" w:rsidP="00105176">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05176">
              <w:rPr>
                <w:rFonts w:eastAsia="Times New Roman" w:cs="Arial"/>
                <w:bCs w:val="0"/>
                <w:color w:val="FFFFFF" w:themeColor="background1"/>
                <w:lang w:val="en-AU" w:eastAsia="en-AU"/>
              </w:rPr>
              <w:t>2011-12</w:t>
            </w:r>
          </w:p>
        </w:tc>
        <w:tc>
          <w:tcPr>
            <w:tcW w:w="1175" w:type="dxa"/>
            <w:vAlign w:val="center"/>
            <w:hideMark/>
          </w:tcPr>
          <w:p w14:paraId="49B71A5A" w14:textId="77777777" w:rsidR="009B0EB7" w:rsidRPr="00105176" w:rsidRDefault="009B0EB7" w:rsidP="00105176">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05176">
              <w:rPr>
                <w:rFonts w:eastAsia="Times New Roman" w:cs="Arial"/>
                <w:bCs w:val="0"/>
                <w:color w:val="FFFFFF" w:themeColor="background1"/>
                <w:lang w:val="en-AU" w:eastAsia="en-AU"/>
              </w:rPr>
              <w:t>2012-13</w:t>
            </w:r>
          </w:p>
        </w:tc>
        <w:tc>
          <w:tcPr>
            <w:tcW w:w="1175" w:type="dxa"/>
            <w:noWrap/>
            <w:vAlign w:val="center"/>
            <w:hideMark/>
          </w:tcPr>
          <w:p w14:paraId="107ABF3F" w14:textId="77777777" w:rsidR="009B0EB7" w:rsidRPr="00105176" w:rsidRDefault="009B0EB7" w:rsidP="00105176">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05176">
              <w:rPr>
                <w:rFonts w:eastAsia="Times New Roman" w:cs="Arial"/>
                <w:bCs w:val="0"/>
                <w:color w:val="FFFFFF" w:themeColor="background1"/>
                <w:lang w:val="en-AU" w:eastAsia="en-AU"/>
              </w:rPr>
              <w:t>2013-14</w:t>
            </w:r>
          </w:p>
        </w:tc>
        <w:tc>
          <w:tcPr>
            <w:tcW w:w="1175" w:type="dxa"/>
            <w:vAlign w:val="center"/>
            <w:hideMark/>
          </w:tcPr>
          <w:p w14:paraId="5007917A" w14:textId="77777777" w:rsidR="009B0EB7" w:rsidRPr="00105176" w:rsidRDefault="009B0EB7" w:rsidP="00105176">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05176">
              <w:rPr>
                <w:rFonts w:eastAsia="Times New Roman" w:cs="Arial"/>
                <w:bCs w:val="0"/>
                <w:color w:val="FFFFFF" w:themeColor="background1"/>
                <w:lang w:val="en-AU" w:eastAsia="en-AU"/>
              </w:rPr>
              <w:t>2014-15</w:t>
            </w:r>
          </w:p>
        </w:tc>
        <w:tc>
          <w:tcPr>
            <w:tcW w:w="1175" w:type="dxa"/>
            <w:vAlign w:val="center"/>
            <w:hideMark/>
          </w:tcPr>
          <w:p w14:paraId="4D64DAFF" w14:textId="77777777" w:rsidR="009B0EB7" w:rsidRPr="00105176" w:rsidRDefault="009B0EB7" w:rsidP="00105176">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05176">
              <w:rPr>
                <w:rFonts w:eastAsia="Times New Roman" w:cs="Arial"/>
                <w:bCs w:val="0"/>
                <w:color w:val="FFFFFF" w:themeColor="background1"/>
                <w:lang w:val="en-AU" w:eastAsia="en-AU"/>
              </w:rPr>
              <w:t>2015-16</w:t>
            </w:r>
          </w:p>
        </w:tc>
        <w:tc>
          <w:tcPr>
            <w:tcW w:w="1175" w:type="dxa"/>
            <w:noWrap/>
            <w:vAlign w:val="center"/>
            <w:hideMark/>
          </w:tcPr>
          <w:p w14:paraId="31325522" w14:textId="77777777" w:rsidR="009B0EB7" w:rsidRPr="00105176" w:rsidRDefault="009B0EB7" w:rsidP="00105176">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05176">
              <w:rPr>
                <w:rFonts w:eastAsia="Times New Roman" w:cs="Arial"/>
                <w:bCs w:val="0"/>
                <w:color w:val="FFFFFF" w:themeColor="background1"/>
                <w:lang w:val="en-AU" w:eastAsia="en-AU"/>
              </w:rPr>
              <w:t>2016-17</w:t>
            </w:r>
          </w:p>
        </w:tc>
        <w:tc>
          <w:tcPr>
            <w:tcW w:w="1175" w:type="dxa"/>
            <w:vAlign w:val="center"/>
            <w:hideMark/>
          </w:tcPr>
          <w:p w14:paraId="72F8D3CA" w14:textId="77777777" w:rsidR="009B0EB7" w:rsidRPr="00105176" w:rsidRDefault="009B0EB7" w:rsidP="00105176">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05176">
              <w:rPr>
                <w:rFonts w:eastAsia="Times New Roman" w:cs="Arial"/>
                <w:bCs w:val="0"/>
                <w:color w:val="FFFFFF" w:themeColor="background1"/>
                <w:lang w:val="en-AU" w:eastAsia="en-AU"/>
              </w:rPr>
              <w:t>2017-18</w:t>
            </w:r>
          </w:p>
        </w:tc>
      </w:tr>
      <w:tr w:rsidR="009B0EB7" w:rsidRPr="00105176" w14:paraId="53FC437C" w14:textId="77777777" w:rsidTr="0010517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81" w:type="dxa"/>
            <w:vAlign w:val="center"/>
            <w:hideMark/>
          </w:tcPr>
          <w:p w14:paraId="47DFDA9F" w14:textId="77777777" w:rsidR="009B0EB7" w:rsidRPr="00105176" w:rsidRDefault="009B0EB7" w:rsidP="00105176">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105176">
              <w:rPr>
                <w:rFonts w:eastAsia="Times New Roman" w:cs="Arial"/>
                <w:bCs w:val="0"/>
                <w:color w:val="auto"/>
                <w:lang w:val="en-AU" w:eastAsia="en-AU"/>
              </w:rPr>
              <w:t>Exploration Licence Applications</w:t>
            </w:r>
          </w:p>
        </w:tc>
        <w:tc>
          <w:tcPr>
            <w:tcW w:w="1175" w:type="dxa"/>
            <w:noWrap/>
            <w:vAlign w:val="center"/>
            <w:hideMark/>
          </w:tcPr>
          <w:p w14:paraId="71D2E4EB" w14:textId="77777777" w:rsidR="009B0EB7" w:rsidRPr="00105176"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62</w:t>
            </w:r>
          </w:p>
        </w:tc>
        <w:tc>
          <w:tcPr>
            <w:tcW w:w="1175" w:type="dxa"/>
            <w:noWrap/>
            <w:vAlign w:val="center"/>
            <w:hideMark/>
          </w:tcPr>
          <w:p w14:paraId="42A4FF6F" w14:textId="77777777" w:rsidR="009B0EB7" w:rsidRPr="00105176"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41</w:t>
            </w:r>
          </w:p>
        </w:tc>
        <w:tc>
          <w:tcPr>
            <w:tcW w:w="1175" w:type="dxa"/>
            <w:noWrap/>
            <w:vAlign w:val="center"/>
            <w:hideMark/>
          </w:tcPr>
          <w:p w14:paraId="4EE82D19" w14:textId="77777777" w:rsidR="009B0EB7" w:rsidRPr="00105176"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37</w:t>
            </w:r>
          </w:p>
        </w:tc>
        <w:tc>
          <w:tcPr>
            <w:tcW w:w="1175" w:type="dxa"/>
            <w:vAlign w:val="center"/>
            <w:hideMark/>
          </w:tcPr>
          <w:p w14:paraId="3C1707E0" w14:textId="77777777" w:rsidR="009B0EB7" w:rsidRPr="00105176"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37</w:t>
            </w:r>
          </w:p>
        </w:tc>
        <w:tc>
          <w:tcPr>
            <w:tcW w:w="1175" w:type="dxa"/>
            <w:vAlign w:val="center"/>
            <w:hideMark/>
          </w:tcPr>
          <w:p w14:paraId="5A95F683" w14:textId="77777777" w:rsidR="009B0EB7" w:rsidRPr="00105176"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17</w:t>
            </w:r>
          </w:p>
        </w:tc>
        <w:tc>
          <w:tcPr>
            <w:tcW w:w="1175" w:type="dxa"/>
            <w:noWrap/>
            <w:vAlign w:val="center"/>
            <w:hideMark/>
          </w:tcPr>
          <w:p w14:paraId="461EED23" w14:textId="77777777" w:rsidR="009B0EB7" w:rsidRPr="00105176"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21</w:t>
            </w:r>
          </w:p>
        </w:tc>
        <w:tc>
          <w:tcPr>
            <w:tcW w:w="1175" w:type="dxa"/>
            <w:vAlign w:val="center"/>
            <w:hideMark/>
          </w:tcPr>
          <w:p w14:paraId="2B7C209F" w14:textId="77777777" w:rsidR="009B0EB7" w:rsidRPr="00105176"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63</w:t>
            </w:r>
          </w:p>
        </w:tc>
      </w:tr>
      <w:tr w:rsidR="00E2632D" w:rsidRPr="00105176" w14:paraId="689BB4A2" w14:textId="77777777" w:rsidTr="00105176">
        <w:trPr>
          <w:trHeight w:val="555"/>
        </w:trPr>
        <w:tc>
          <w:tcPr>
            <w:cnfStyle w:val="001000000000" w:firstRow="0" w:lastRow="0" w:firstColumn="1" w:lastColumn="0" w:oddVBand="0" w:evenVBand="0" w:oddHBand="0" w:evenHBand="0" w:firstRowFirstColumn="0" w:firstRowLastColumn="0" w:lastRowFirstColumn="0" w:lastRowLastColumn="0"/>
            <w:tcW w:w="2181" w:type="dxa"/>
            <w:vAlign w:val="center"/>
            <w:hideMark/>
          </w:tcPr>
          <w:p w14:paraId="0FB5D014" w14:textId="77777777" w:rsidR="009B0EB7" w:rsidRPr="00105176" w:rsidRDefault="009B0EB7" w:rsidP="00105176">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105176">
              <w:rPr>
                <w:rFonts w:eastAsia="Times New Roman" w:cs="Arial"/>
                <w:bCs w:val="0"/>
                <w:color w:val="auto"/>
                <w:lang w:val="en-AU" w:eastAsia="en-AU"/>
              </w:rPr>
              <w:t>Mining Licence Applications</w:t>
            </w:r>
          </w:p>
        </w:tc>
        <w:tc>
          <w:tcPr>
            <w:tcW w:w="1175" w:type="dxa"/>
            <w:noWrap/>
            <w:vAlign w:val="center"/>
            <w:hideMark/>
          </w:tcPr>
          <w:p w14:paraId="4CFC558C" w14:textId="77777777" w:rsidR="009B0EB7" w:rsidRPr="00105176"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12</w:t>
            </w:r>
          </w:p>
        </w:tc>
        <w:tc>
          <w:tcPr>
            <w:tcW w:w="1175" w:type="dxa"/>
            <w:noWrap/>
            <w:vAlign w:val="center"/>
            <w:hideMark/>
          </w:tcPr>
          <w:p w14:paraId="076AC43D" w14:textId="77777777" w:rsidR="009B0EB7" w:rsidRPr="00105176"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11</w:t>
            </w:r>
          </w:p>
        </w:tc>
        <w:tc>
          <w:tcPr>
            <w:tcW w:w="1175" w:type="dxa"/>
            <w:noWrap/>
            <w:vAlign w:val="center"/>
            <w:hideMark/>
          </w:tcPr>
          <w:p w14:paraId="25F70C9D" w14:textId="77777777" w:rsidR="009B0EB7" w:rsidRPr="00105176"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9</w:t>
            </w:r>
          </w:p>
        </w:tc>
        <w:tc>
          <w:tcPr>
            <w:tcW w:w="1175" w:type="dxa"/>
            <w:vAlign w:val="center"/>
            <w:hideMark/>
          </w:tcPr>
          <w:p w14:paraId="11AB9C35" w14:textId="77777777" w:rsidR="009B0EB7" w:rsidRPr="00105176"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3</w:t>
            </w:r>
          </w:p>
        </w:tc>
        <w:tc>
          <w:tcPr>
            <w:tcW w:w="1175" w:type="dxa"/>
            <w:vAlign w:val="center"/>
            <w:hideMark/>
          </w:tcPr>
          <w:p w14:paraId="7F94676E" w14:textId="77777777" w:rsidR="009B0EB7" w:rsidRPr="00105176"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2</w:t>
            </w:r>
          </w:p>
        </w:tc>
        <w:tc>
          <w:tcPr>
            <w:tcW w:w="1175" w:type="dxa"/>
            <w:noWrap/>
            <w:vAlign w:val="center"/>
            <w:hideMark/>
          </w:tcPr>
          <w:p w14:paraId="7B50E06B" w14:textId="77777777" w:rsidR="009B0EB7" w:rsidRPr="00105176"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0</w:t>
            </w:r>
          </w:p>
        </w:tc>
        <w:tc>
          <w:tcPr>
            <w:tcW w:w="1175" w:type="dxa"/>
            <w:vAlign w:val="center"/>
            <w:hideMark/>
          </w:tcPr>
          <w:p w14:paraId="68BE53A4" w14:textId="77777777" w:rsidR="009B0EB7" w:rsidRPr="00105176"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3</w:t>
            </w:r>
          </w:p>
        </w:tc>
      </w:tr>
      <w:tr w:rsidR="009B0EB7" w:rsidRPr="00105176" w14:paraId="613FC959" w14:textId="77777777" w:rsidTr="00105176">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181" w:type="dxa"/>
            <w:vAlign w:val="center"/>
            <w:hideMark/>
          </w:tcPr>
          <w:p w14:paraId="386DA6EF" w14:textId="77777777" w:rsidR="009B0EB7" w:rsidRPr="00105176" w:rsidRDefault="009B0EB7" w:rsidP="00105176">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105176">
              <w:rPr>
                <w:rFonts w:eastAsia="Times New Roman" w:cs="Arial"/>
                <w:bCs w:val="0"/>
                <w:color w:val="auto"/>
                <w:lang w:val="en-AU" w:eastAsia="en-AU"/>
              </w:rPr>
              <w:t>Prospecting Licence Applications</w:t>
            </w:r>
          </w:p>
        </w:tc>
        <w:tc>
          <w:tcPr>
            <w:tcW w:w="1175" w:type="dxa"/>
            <w:noWrap/>
            <w:vAlign w:val="center"/>
            <w:hideMark/>
          </w:tcPr>
          <w:p w14:paraId="61A9F0DE" w14:textId="77777777" w:rsidR="009B0EB7" w:rsidRPr="00105176"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1</w:t>
            </w:r>
          </w:p>
        </w:tc>
        <w:tc>
          <w:tcPr>
            <w:tcW w:w="1175" w:type="dxa"/>
            <w:noWrap/>
            <w:vAlign w:val="center"/>
            <w:hideMark/>
          </w:tcPr>
          <w:p w14:paraId="4F8A70E1" w14:textId="77777777" w:rsidR="009B0EB7" w:rsidRPr="00105176"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12</w:t>
            </w:r>
          </w:p>
        </w:tc>
        <w:tc>
          <w:tcPr>
            <w:tcW w:w="1175" w:type="dxa"/>
            <w:noWrap/>
            <w:vAlign w:val="center"/>
            <w:hideMark/>
          </w:tcPr>
          <w:p w14:paraId="0D1947BA" w14:textId="77777777" w:rsidR="009B0EB7" w:rsidRPr="00105176"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18</w:t>
            </w:r>
          </w:p>
        </w:tc>
        <w:tc>
          <w:tcPr>
            <w:tcW w:w="1175" w:type="dxa"/>
            <w:vAlign w:val="center"/>
            <w:hideMark/>
          </w:tcPr>
          <w:p w14:paraId="1DE151D6" w14:textId="77777777" w:rsidR="009B0EB7" w:rsidRPr="00105176"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13</w:t>
            </w:r>
          </w:p>
        </w:tc>
        <w:tc>
          <w:tcPr>
            <w:tcW w:w="1175" w:type="dxa"/>
            <w:vAlign w:val="center"/>
            <w:hideMark/>
          </w:tcPr>
          <w:p w14:paraId="680D391C" w14:textId="77777777" w:rsidR="009B0EB7" w:rsidRPr="00105176"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12</w:t>
            </w:r>
          </w:p>
        </w:tc>
        <w:tc>
          <w:tcPr>
            <w:tcW w:w="1175" w:type="dxa"/>
            <w:noWrap/>
            <w:vAlign w:val="center"/>
            <w:hideMark/>
          </w:tcPr>
          <w:p w14:paraId="5E54D41E" w14:textId="77777777" w:rsidR="009B0EB7" w:rsidRPr="00105176"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11</w:t>
            </w:r>
          </w:p>
        </w:tc>
        <w:tc>
          <w:tcPr>
            <w:tcW w:w="1175" w:type="dxa"/>
            <w:vAlign w:val="center"/>
            <w:hideMark/>
          </w:tcPr>
          <w:p w14:paraId="775A60C8" w14:textId="77777777" w:rsidR="009B0EB7" w:rsidRPr="00105176"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12</w:t>
            </w:r>
          </w:p>
        </w:tc>
      </w:tr>
      <w:tr w:rsidR="00E2632D" w:rsidRPr="00105176" w14:paraId="28051B17" w14:textId="77777777" w:rsidTr="00105176">
        <w:trPr>
          <w:trHeight w:val="555"/>
        </w:trPr>
        <w:tc>
          <w:tcPr>
            <w:cnfStyle w:val="001000000000" w:firstRow="0" w:lastRow="0" w:firstColumn="1" w:lastColumn="0" w:oddVBand="0" w:evenVBand="0" w:oddHBand="0" w:evenHBand="0" w:firstRowFirstColumn="0" w:firstRowLastColumn="0" w:lastRowFirstColumn="0" w:lastRowLastColumn="0"/>
            <w:tcW w:w="2181" w:type="dxa"/>
            <w:vAlign w:val="center"/>
            <w:hideMark/>
          </w:tcPr>
          <w:p w14:paraId="671C3C5D" w14:textId="77777777" w:rsidR="009B0EB7" w:rsidRPr="00105176" w:rsidRDefault="009B0EB7" w:rsidP="00105176">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105176">
              <w:rPr>
                <w:rFonts w:eastAsia="Times New Roman" w:cs="Arial"/>
                <w:bCs w:val="0"/>
                <w:color w:val="auto"/>
                <w:lang w:val="en-AU" w:eastAsia="en-AU"/>
              </w:rPr>
              <w:t>Retention Licence Applications</w:t>
            </w:r>
          </w:p>
        </w:tc>
        <w:tc>
          <w:tcPr>
            <w:tcW w:w="1175" w:type="dxa"/>
            <w:noWrap/>
            <w:vAlign w:val="center"/>
            <w:hideMark/>
          </w:tcPr>
          <w:p w14:paraId="41449E3E" w14:textId="77777777" w:rsidR="009B0EB7" w:rsidRPr="00105176"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0</w:t>
            </w:r>
          </w:p>
        </w:tc>
        <w:tc>
          <w:tcPr>
            <w:tcW w:w="1175" w:type="dxa"/>
            <w:noWrap/>
            <w:vAlign w:val="center"/>
            <w:hideMark/>
          </w:tcPr>
          <w:p w14:paraId="00777DEE" w14:textId="77777777" w:rsidR="009B0EB7" w:rsidRPr="00105176"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0</w:t>
            </w:r>
          </w:p>
        </w:tc>
        <w:tc>
          <w:tcPr>
            <w:tcW w:w="1175" w:type="dxa"/>
            <w:noWrap/>
            <w:vAlign w:val="center"/>
            <w:hideMark/>
          </w:tcPr>
          <w:p w14:paraId="0326B8EE" w14:textId="77777777" w:rsidR="009B0EB7" w:rsidRPr="00105176"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1</w:t>
            </w:r>
          </w:p>
        </w:tc>
        <w:tc>
          <w:tcPr>
            <w:tcW w:w="1175" w:type="dxa"/>
            <w:vAlign w:val="center"/>
            <w:hideMark/>
          </w:tcPr>
          <w:p w14:paraId="7F912F0A" w14:textId="77777777" w:rsidR="009B0EB7" w:rsidRPr="00105176"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7</w:t>
            </w:r>
          </w:p>
        </w:tc>
        <w:tc>
          <w:tcPr>
            <w:tcW w:w="1175" w:type="dxa"/>
            <w:vAlign w:val="center"/>
            <w:hideMark/>
          </w:tcPr>
          <w:p w14:paraId="7FC6A141" w14:textId="77777777" w:rsidR="009B0EB7" w:rsidRPr="00105176"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3</w:t>
            </w:r>
          </w:p>
        </w:tc>
        <w:tc>
          <w:tcPr>
            <w:tcW w:w="1175" w:type="dxa"/>
            <w:noWrap/>
            <w:vAlign w:val="center"/>
            <w:hideMark/>
          </w:tcPr>
          <w:p w14:paraId="02252DA2" w14:textId="77777777" w:rsidR="009B0EB7" w:rsidRPr="00105176"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4</w:t>
            </w:r>
          </w:p>
        </w:tc>
        <w:tc>
          <w:tcPr>
            <w:tcW w:w="1175" w:type="dxa"/>
            <w:vAlign w:val="center"/>
            <w:hideMark/>
          </w:tcPr>
          <w:p w14:paraId="67544C6F" w14:textId="77777777" w:rsidR="009B0EB7" w:rsidRPr="00105176"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105176">
              <w:rPr>
                <w:rFonts w:eastAsia="Times New Roman" w:cs="Arial"/>
                <w:color w:val="auto"/>
                <w:lang w:val="en-AU" w:eastAsia="en-AU"/>
              </w:rPr>
              <w:t>7</w:t>
            </w:r>
          </w:p>
        </w:tc>
      </w:tr>
      <w:tr w:rsidR="00E2632D" w:rsidRPr="00105176" w14:paraId="7025CBA8" w14:textId="77777777" w:rsidTr="00105176">
        <w:trPr>
          <w:cnfStyle w:val="010000000000" w:firstRow="0" w:lastRow="1"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2181" w:type="dxa"/>
            <w:vAlign w:val="center"/>
            <w:hideMark/>
          </w:tcPr>
          <w:p w14:paraId="66ED06E3" w14:textId="77777777" w:rsidR="009B0EB7" w:rsidRPr="00105176" w:rsidRDefault="009B0EB7" w:rsidP="00105176">
            <w:pPr>
              <w:widowControl/>
              <w:suppressAutoHyphens w:val="0"/>
              <w:autoSpaceDE/>
              <w:autoSpaceDN/>
              <w:adjustRightInd/>
              <w:spacing w:after="0" w:line="240" w:lineRule="auto"/>
              <w:jc w:val="center"/>
              <w:textAlignment w:val="auto"/>
              <w:rPr>
                <w:rFonts w:eastAsia="Times New Roman" w:cs="Arial"/>
                <w:bCs w:val="0"/>
                <w:color w:val="auto"/>
                <w:lang w:val="en-AU" w:eastAsia="en-AU"/>
              </w:rPr>
            </w:pPr>
            <w:r w:rsidRPr="00105176">
              <w:rPr>
                <w:rFonts w:eastAsia="Times New Roman" w:cs="Arial"/>
                <w:bCs w:val="0"/>
                <w:color w:val="auto"/>
                <w:lang w:val="en-AU" w:eastAsia="en-AU"/>
              </w:rPr>
              <w:t>Total</w:t>
            </w:r>
          </w:p>
        </w:tc>
        <w:tc>
          <w:tcPr>
            <w:tcW w:w="1175" w:type="dxa"/>
            <w:noWrap/>
            <w:vAlign w:val="center"/>
            <w:hideMark/>
          </w:tcPr>
          <w:p w14:paraId="2E2E21E2" w14:textId="77777777" w:rsidR="009B0EB7" w:rsidRPr="00105176" w:rsidRDefault="009B0EB7" w:rsidP="00105176">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auto"/>
                <w:lang w:val="en-AU" w:eastAsia="en-AU"/>
              </w:rPr>
            </w:pPr>
            <w:r w:rsidRPr="00105176">
              <w:rPr>
                <w:rFonts w:eastAsia="Times New Roman" w:cs="Arial"/>
                <w:bCs w:val="0"/>
                <w:color w:val="auto"/>
                <w:lang w:val="en-AU" w:eastAsia="en-AU"/>
              </w:rPr>
              <w:t>75</w:t>
            </w:r>
          </w:p>
        </w:tc>
        <w:tc>
          <w:tcPr>
            <w:tcW w:w="1175" w:type="dxa"/>
            <w:noWrap/>
            <w:vAlign w:val="center"/>
            <w:hideMark/>
          </w:tcPr>
          <w:p w14:paraId="3AD6B8C3" w14:textId="77777777" w:rsidR="009B0EB7" w:rsidRPr="00105176" w:rsidRDefault="009B0EB7" w:rsidP="00105176">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auto"/>
                <w:lang w:val="en-AU" w:eastAsia="en-AU"/>
              </w:rPr>
            </w:pPr>
            <w:r w:rsidRPr="00105176">
              <w:rPr>
                <w:rFonts w:eastAsia="Times New Roman" w:cs="Arial"/>
                <w:bCs w:val="0"/>
                <w:color w:val="auto"/>
                <w:lang w:val="en-AU" w:eastAsia="en-AU"/>
              </w:rPr>
              <w:t>64</w:t>
            </w:r>
          </w:p>
        </w:tc>
        <w:tc>
          <w:tcPr>
            <w:tcW w:w="1175" w:type="dxa"/>
            <w:noWrap/>
            <w:vAlign w:val="center"/>
            <w:hideMark/>
          </w:tcPr>
          <w:p w14:paraId="5A7AECA0" w14:textId="77777777" w:rsidR="009B0EB7" w:rsidRPr="00105176" w:rsidRDefault="009B0EB7" w:rsidP="00105176">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auto"/>
                <w:lang w:val="en-AU" w:eastAsia="en-AU"/>
              </w:rPr>
            </w:pPr>
            <w:r w:rsidRPr="00105176">
              <w:rPr>
                <w:rFonts w:eastAsia="Times New Roman" w:cs="Arial"/>
                <w:bCs w:val="0"/>
                <w:color w:val="auto"/>
                <w:lang w:val="en-AU" w:eastAsia="en-AU"/>
              </w:rPr>
              <w:t>65</w:t>
            </w:r>
          </w:p>
        </w:tc>
        <w:tc>
          <w:tcPr>
            <w:tcW w:w="1175" w:type="dxa"/>
            <w:noWrap/>
            <w:vAlign w:val="center"/>
            <w:hideMark/>
          </w:tcPr>
          <w:p w14:paraId="38D4A385" w14:textId="77777777" w:rsidR="009B0EB7" w:rsidRPr="00105176" w:rsidRDefault="009B0EB7" w:rsidP="00105176">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auto"/>
                <w:lang w:val="en-AU" w:eastAsia="en-AU"/>
              </w:rPr>
            </w:pPr>
            <w:r w:rsidRPr="00105176">
              <w:rPr>
                <w:rFonts w:eastAsia="Times New Roman" w:cs="Arial"/>
                <w:bCs w:val="0"/>
                <w:color w:val="auto"/>
                <w:lang w:val="en-AU" w:eastAsia="en-AU"/>
              </w:rPr>
              <w:t>60</w:t>
            </w:r>
          </w:p>
        </w:tc>
        <w:tc>
          <w:tcPr>
            <w:tcW w:w="1175" w:type="dxa"/>
            <w:noWrap/>
            <w:vAlign w:val="center"/>
            <w:hideMark/>
          </w:tcPr>
          <w:p w14:paraId="509206A6" w14:textId="77777777" w:rsidR="009B0EB7" w:rsidRPr="00105176" w:rsidRDefault="009B0EB7" w:rsidP="00105176">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auto"/>
                <w:lang w:val="en-AU" w:eastAsia="en-AU"/>
              </w:rPr>
            </w:pPr>
            <w:r w:rsidRPr="00105176">
              <w:rPr>
                <w:rFonts w:eastAsia="Times New Roman" w:cs="Arial"/>
                <w:bCs w:val="0"/>
                <w:color w:val="auto"/>
                <w:lang w:val="en-AU" w:eastAsia="en-AU"/>
              </w:rPr>
              <w:t>34</w:t>
            </w:r>
          </w:p>
        </w:tc>
        <w:tc>
          <w:tcPr>
            <w:tcW w:w="1175" w:type="dxa"/>
            <w:noWrap/>
            <w:vAlign w:val="center"/>
            <w:hideMark/>
          </w:tcPr>
          <w:p w14:paraId="0D15E646" w14:textId="77777777" w:rsidR="009B0EB7" w:rsidRPr="00105176" w:rsidRDefault="009B0EB7" w:rsidP="00105176">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auto"/>
                <w:lang w:val="en-AU" w:eastAsia="en-AU"/>
              </w:rPr>
            </w:pPr>
            <w:r w:rsidRPr="00105176">
              <w:rPr>
                <w:rFonts w:eastAsia="Times New Roman" w:cs="Arial"/>
                <w:bCs w:val="0"/>
                <w:color w:val="auto"/>
                <w:lang w:val="en-AU" w:eastAsia="en-AU"/>
              </w:rPr>
              <w:t>36</w:t>
            </w:r>
          </w:p>
        </w:tc>
        <w:tc>
          <w:tcPr>
            <w:tcW w:w="1175" w:type="dxa"/>
            <w:noWrap/>
            <w:vAlign w:val="center"/>
            <w:hideMark/>
          </w:tcPr>
          <w:p w14:paraId="1C2FC859" w14:textId="77777777" w:rsidR="009B0EB7" w:rsidRPr="00105176" w:rsidRDefault="009B0EB7" w:rsidP="00105176">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auto"/>
                <w:lang w:val="en-AU" w:eastAsia="en-AU"/>
              </w:rPr>
            </w:pPr>
            <w:r w:rsidRPr="00105176">
              <w:rPr>
                <w:rFonts w:eastAsia="Times New Roman" w:cs="Arial"/>
                <w:bCs w:val="0"/>
                <w:color w:val="auto"/>
                <w:lang w:val="en-AU" w:eastAsia="en-AU"/>
              </w:rPr>
              <w:t>85</w:t>
            </w:r>
          </w:p>
        </w:tc>
      </w:tr>
    </w:tbl>
    <w:p w14:paraId="7502D740" w14:textId="77777777" w:rsidR="00E2632D" w:rsidRDefault="00E2632D" w:rsidP="00305A39">
      <w:pPr>
        <w:spacing w:before="480" w:after="120" w:line="240" w:lineRule="auto"/>
        <w:jc w:val="both"/>
        <w:rPr>
          <w:rFonts w:eastAsia="Times New Roman" w:cs="Arial"/>
          <w:b/>
          <w:color w:val="auto"/>
          <w:szCs w:val="24"/>
          <w:u w:color="FFFFFF" w:themeColor="background1"/>
          <w:lang w:val="en-AU"/>
        </w:rPr>
      </w:pPr>
    </w:p>
    <w:p w14:paraId="0908AFC2" w14:textId="7743C245" w:rsidR="009B0EB7" w:rsidRDefault="00972328" w:rsidP="00305A39">
      <w:pPr>
        <w:spacing w:before="480" w:after="120" w:line="240" w:lineRule="auto"/>
        <w:jc w:val="both"/>
        <w:rPr>
          <w:rFonts w:eastAsia="Times New Roman" w:cs="Arial"/>
          <w:b/>
          <w:color w:val="auto"/>
          <w:szCs w:val="24"/>
          <w:u w:color="FFFFFF" w:themeColor="background1"/>
          <w:lang w:val="en-AU"/>
        </w:rPr>
      </w:pPr>
      <w:r>
        <w:rPr>
          <w:rFonts w:eastAsia="Times New Roman" w:cs="Arial"/>
          <w:b/>
          <w:color w:val="auto"/>
          <w:szCs w:val="24"/>
          <w:u w:color="FFFFFF" w:themeColor="background1"/>
          <w:lang w:val="en-AU"/>
        </w:rPr>
        <w:t>Table 2.</w:t>
      </w:r>
      <w:r w:rsidR="00F21245">
        <w:rPr>
          <w:rFonts w:eastAsia="Times New Roman" w:cs="Arial"/>
          <w:b/>
          <w:color w:val="auto"/>
          <w:szCs w:val="24"/>
          <w:u w:color="FFFFFF" w:themeColor="background1"/>
          <w:lang w:val="en-AU"/>
        </w:rPr>
        <w:t>5</w:t>
      </w:r>
      <w:r>
        <w:rPr>
          <w:rFonts w:eastAsia="Times New Roman" w:cs="Arial"/>
          <w:b/>
          <w:color w:val="auto"/>
          <w:szCs w:val="24"/>
          <w:u w:color="FFFFFF" w:themeColor="background1"/>
          <w:lang w:val="en-AU"/>
        </w:rPr>
        <w:t xml:space="preserve"> Licences renewed by financial year</w:t>
      </w:r>
    </w:p>
    <w:tbl>
      <w:tblPr>
        <w:tblStyle w:val="GridTable4-Accent1"/>
        <w:tblW w:w="10404" w:type="dxa"/>
        <w:tblLook w:val="04E0" w:firstRow="1" w:lastRow="1" w:firstColumn="1" w:lastColumn="0" w:noHBand="0" w:noVBand="1"/>
      </w:tblPr>
      <w:tblGrid>
        <w:gridCol w:w="2179"/>
        <w:gridCol w:w="1175"/>
        <w:gridCol w:w="1175"/>
        <w:gridCol w:w="1175"/>
        <w:gridCol w:w="1175"/>
        <w:gridCol w:w="1175"/>
        <w:gridCol w:w="1175"/>
        <w:gridCol w:w="1175"/>
      </w:tblGrid>
      <w:tr w:rsidR="007F1719" w:rsidRPr="009B0EB7" w14:paraId="280ECC35" w14:textId="77777777" w:rsidTr="00105176">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79" w:type="dxa"/>
            <w:noWrap/>
            <w:vAlign w:val="center"/>
            <w:hideMark/>
          </w:tcPr>
          <w:p w14:paraId="2D4B628B" w14:textId="77777777" w:rsidR="009B0EB7" w:rsidRPr="009B0EB7" w:rsidRDefault="009B0EB7" w:rsidP="00105176">
            <w:pPr>
              <w:widowControl/>
              <w:suppressAutoHyphens w:val="0"/>
              <w:autoSpaceDE/>
              <w:autoSpaceDN/>
              <w:adjustRightInd/>
              <w:spacing w:after="0" w:line="240" w:lineRule="auto"/>
              <w:jc w:val="center"/>
              <w:textAlignment w:val="auto"/>
              <w:rPr>
                <w:rFonts w:ascii="Calibri" w:eastAsia="Times New Roman" w:hAnsi="Calibri" w:cs="Calibri"/>
                <w:color w:val="365F91"/>
                <w:sz w:val="22"/>
                <w:szCs w:val="22"/>
                <w:lang w:val="en-AU" w:eastAsia="en-AU"/>
              </w:rPr>
            </w:pPr>
          </w:p>
        </w:tc>
        <w:tc>
          <w:tcPr>
            <w:tcW w:w="1175" w:type="dxa"/>
            <w:noWrap/>
            <w:vAlign w:val="center"/>
            <w:hideMark/>
          </w:tcPr>
          <w:p w14:paraId="401049C2" w14:textId="77777777" w:rsidR="009B0EB7" w:rsidRPr="00105176" w:rsidRDefault="009B0EB7" w:rsidP="00105176">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05176">
              <w:rPr>
                <w:rFonts w:eastAsia="Times New Roman" w:cs="Arial"/>
                <w:bCs w:val="0"/>
                <w:color w:val="FFFFFF" w:themeColor="background1"/>
                <w:lang w:val="en-AU" w:eastAsia="en-AU"/>
              </w:rPr>
              <w:t>2011-12</w:t>
            </w:r>
          </w:p>
        </w:tc>
        <w:tc>
          <w:tcPr>
            <w:tcW w:w="1175" w:type="dxa"/>
            <w:vAlign w:val="center"/>
            <w:hideMark/>
          </w:tcPr>
          <w:p w14:paraId="4BEA7A75" w14:textId="77777777" w:rsidR="009B0EB7" w:rsidRPr="00105176" w:rsidRDefault="009B0EB7" w:rsidP="00105176">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05176">
              <w:rPr>
                <w:rFonts w:eastAsia="Times New Roman" w:cs="Arial"/>
                <w:bCs w:val="0"/>
                <w:color w:val="FFFFFF" w:themeColor="background1"/>
                <w:lang w:val="en-AU" w:eastAsia="en-AU"/>
              </w:rPr>
              <w:t>2012-13</w:t>
            </w:r>
          </w:p>
        </w:tc>
        <w:tc>
          <w:tcPr>
            <w:tcW w:w="1175" w:type="dxa"/>
            <w:noWrap/>
            <w:vAlign w:val="center"/>
            <w:hideMark/>
          </w:tcPr>
          <w:p w14:paraId="7D68B251" w14:textId="77777777" w:rsidR="009B0EB7" w:rsidRPr="00105176" w:rsidRDefault="009B0EB7" w:rsidP="00105176">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05176">
              <w:rPr>
                <w:rFonts w:eastAsia="Times New Roman" w:cs="Arial"/>
                <w:bCs w:val="0"/>
                <w:color w:val="FFFFFF" w:themeColor="background1"/>
                <w:lang w:val="en-AU" w:eastAsia="en-AU"/>
              </w:rPr>
              <w:t>2013-14</w:t>
            </w:r>
          </w:p>
        </w:tc>
        <w:tc>
          <w:tcPr>
            <w:tcW w:w="1175" w:type="dxa"/>
            <w:vAlign w:val="center"/>
            <w:hideMark/>
          </w:tcPr>
          <w:p w14:paraId="348DC922" w14:textId="77777777" w:rsidR="009B0EB7" w:rsidRPr="00105176" w:rsidRDefault="009B0EB7" w:rsidP="00105176">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05176">
              <w:rPr>
                <w:rFonts w:eastAsia="Times New Roman" w:cs="Arial"/>
                <w:bCs w:val="0"/>
                <w:color w:val="FFFFFF" w:themeColor="background1"/>
                <w:lang w:val="en-AU" w:eastAsia="en-AU"/>
              </w:rPr>
              <w:t>2014-15</w:t>
            </w:r>
          </w:p>
        </w:tc>
        <w:tc>
          <w:tcPr>
            <w:tcW w:w="1175" w:type="dxa"/>
            <w:vAlign w:val="center"/>
            <w:hideMark/>
          </w:tcPr>
          <w:p w14:paraId="3E69F2FF" w14:textId="77777777" w:rsidR="009B0EB7" w:rsidRPr="00105176" w:rsidRDefault="009B0EB7" w:rsidP="00105176">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05176">
              <w:rPr>
                <w:rFonts w:eastAsia="Times New Roman" w:cs="Arial"/>
                <w:bCs w:val="0"/>
                <w:color w:val="FFFFFF" w:themeColor="background1"/>
                <w:lang w:val="en-AU" w:eastAsia="en-AU"/>
              </w:rPr>
              <w:t>2015-16</w:t>
            </w:r>
          </w:p>
        </w:tc>
        <w:tc>
          <w:tcPr>
            <w:tcW w:w="1175" w:type="dxa"/>
            <w:noWrap/>
            <w:vAlign w:val="center"/>
            <w:hideMark/>
          </w:tcPr>
          <w:p w14:paraId="019BEBB8" w14:textId="77777777" w:rsidR="009B0EB7" w:rsidRPr="00105176" w:rsidRDefault="009B0EB7" w:rsidP="00105176">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05176">
              <w:rPr>
                <w:rFonts w:eastAsia="Times New Roman" w:cs="Arial"/>
                <w:bCs w:val="0"/>
                <w:color w:val="FFFFFF" w:themeColor="background1"/>
                <w:lang w:val="en-AU" w:eastAsia="en-AU"/>
              </w:rPr>
              <w:t>2016-17</w:t>
            </w:r>
          </w:p>
        </w:tc>
        <w:tc>
          <w:tcPr>
            <w:tcW w:w="1175" w:type="dxa"/>
            <w:vAlign w:val="center"/>
            <w:hideMark/>
          </w:tcPr>
          <w:p w14:paraId="55AEA578" w14:textId="77777777" w:rsidR="009B0EB7" w:rsidRPr="00105176" w:rsidRDefault="009B0EB7" w:rsidP="00105176">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05176">
              <w:rPr>
                <w:rFonts w:eastAsia="Times New Roman" w:cs="Arial"/>
                <w:bCs w:val="0"/>
                <w:color w:val="FFFFFF" w:themeColor="background1"/>
                <w:lang w:val="en-AU" w:eastAsia="en-AU"/>
              </w:rPr>
              <w:t>2017-18</w:t>
            </w:r>
          </w:p>
        </w:tc>
      </w:tr>
      <w:tr w:rsidR="009B0EB7" w:rsidRPr="009B0EB7" w14:paraId="6CD3B84A" w14:textId="77777777" w:rsidTr="00105176">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179" w:type="dxa"/>
            <w:vAlign w:val="center"/>
            <w:hideMark/>
          </w:tcPr>
          <w:p w14:paraId="5ABCC380" w14:textId="77777777" w:rsidR="009B0EB7" w:rsidRPr="009B0EB7" w:rsidRDefault="009B0EB7" w:rsidP="00105176">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9B0EB7">
              <w:rPr>
                <w:rFonts w:eastAsia="Times New Roman" w:cs="Arial"/>
                <w:bCs w:val="0"/>
                <w:color w:val="auto"/>
                <w:lang w:val="en-AU" w:eastAsia="en-AU"/>
              </w:rPr>
              <w:t>Exploration Licence Renewals</w:t>
            </w:r>
          </w:p>
        </w:tc>
        <w:tc>
          <w:tcPr>
            <w:tcW w:w="1175" w:type="dxa"/>
            <w:noWrap/>
            <w:vAlign w:val="center"/>
            <w:hideMark/>
          </w:tcPr>
          <w:p w14:paraId="16A4F2D3" w14:textId="77777777" w:rsidR="009B0EB7" w:rsidRPr="009B0EB7"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AU" w:eastAsia="en-AU"/>
              </w:rPr>
            </w:pPr>
            <w:r w:rsidRPr="009B0EB7">
              <w:rPr>
                <w:rFonts w:eastAsia="Times New Roman" w:cs="Arial"/>
                <w:color w:val="auto"/>
                <w:sz w:val="20"/>
                <w:szCs w:val="20"/>
                <w:lang w:val="en-AU" w:eastAsia="en-AU"/>
              </w:rPr>
              <w:t>74</w:t>
            </w:r>
          </w:p>
        </w:tc>
        <w:tc>
          <w:tcPr>
            <w:tcW w:w="1175" w:type="dxa"/>
            <w:noWrap/>
            <w:vAlign w:val="center"/>
            <w:hideMark/>
          </w:tcPr>
          <w:p w14:paraId="51043CA7" w14:textId="77777777" w:rsidR="009B0EB7" w:rsidRPr="009B0EB7"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AU" w:eastAsia="en-AU"/>
              </w:rPr>
            </w:pPr>
            <w:r w:rsidRPr="009B0EB7">
              <w:rPr>
                <w:rFonts w:eastAsia="Times New Roman" w:cs="Arial"/>
                <w:color w:val="auto"/>
                <w:sz w:val="20"/>
                <w:szCs w:val="20"/>
                <w:lang w:val="en-AU" w:eastAsia="en-AU"/>
              </w:rPr>
              <w:t>52</w:t>
            </w:r>
          </w:p>
        </w:tc>
        <w:tc>
          <w:tcPr>
            <w:tcW w:w="1175" w:type="dxa"/>
            <w:noWrap/>
            <w:vAlign w:val="center"/>
            <w:hideMark/>
          </w:tcPr>
          <w:p w14:paraId="2A97AEC2" w14:textId="77777777" w:rsidR="009B0EB7" w:rsidRPr="009B0EB7"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AU" w:eastAsia="en-AU"/>
              </w:rPr>
            </w:pPr>
            <w:r w:rsidRPr="009B0EB7">
              <w:rPr>
                <w:rFonts w:eastAsia="Times New Roman" w:cs="Arial"/>
                <w:color w:val="auto"/>
                <w:sz w:val="20"/>
                <w:szCs w:val="20"/>
                <w:lang w:val="en-AU" w:eastAsia="en-AU"/>
              </w:rPr>
              <w:t>57</w:t>
            </w:r>
          </w:p>
        </w:tc>
        <w:tc>
          <w:tcPr>
            <w:tcW w:w="1175" w:type="dxa"/>
            <w:vAlign w:val="center"/>
            <w:hideMark/>
          </w:tcPr>
          <w:p w14:paraId="18180505" w14:textId="77777777" w:rsidR="009B0EB7" w:rsidRPr="009B0EB7"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AU" w:eastAsia="en-AU"/>
              </w:rPr>
            </w:pPr>
            <w:r w:rsidRPr="009B0EB7">
              <w:rPr>
                <w:rFonts w:eastAsia="Times New Roman" w:cs="Arial"/>
                <w:color w:val="auto"/>
                <w:sz w:val="20"/>
                <w:szCs w:val="20"/>
                <w:lang w:val="en-AU" w:eastAsia="en-AU"/>
              </w:rPr>
              <w:t>19</w:t>
            </w:r>
          </w:p>
        </w:tc>
        <w:tc>
          <w:tcPr>
            <w:tcW w:w="1175" w:type="dxa"/>
            <w:vAlign w:val="center"/>
            <w:hideMark/>
          </w:tcPr>
          <w:p w14:paraId="6C8561A9" w14:textId="77777777" w:rsidR="009B0EB7" w:rsidRPr="009B0EB7"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AU" w:eastAsia="en-AU"/>
              </w:rPr>
            </w:pPr>
            <w:r w:rsidRPr="009B0EB7">
              <w:rPr>
                <w:rFonts w:eastAsia="Times New Roman" w:cs="Arial"/>
                <w:color w:val="auto"/>
                <w:sz w:val="20"/>
                <w:szCs w:val="20"/>
                <w:lang w:val="en-AU" w:eastAsia="en-AU"/>
              </w:rPr>
              <w:t>13</w:t>
            </w:r>
          </w:p>
        </w:tc>
        <w:tc>
          <w:tcPr>
            <w:tcW w:w="1175" w:type="dxa"/>
            <w:noWrap/>
            <w:vAlign w:val="center"/>
            <w:hideMark/>
          </w:tcPr>
          <w:p w14:paraId="54009039" w14:textId="77777777" w:rsidR="009B0EB7" w:rsidRPr="009B0EB7"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AU" w:eastAsia="en-AU"/>
              </w:rPr>
            </w:pPr>
            <w:r w:rsidRPr="009B0EB7">
              <w:rPr>
                <w:rFonts w:eastAsia="Times New Roman" w:cs="Arial"/>
                <w:color w:val="auto"/>
                <w:sz w:val="20"/>
                <w:szCs w:val="20"/>
                <w:lang w:val="en-AU" w:eastAsia="en-AU"/>
              </w:rPr>
              <w:t>17</w:t>
            </w:r>
          </w:p>
        </w:tc>
        <w:tc>
          <w:tcPr>
            <w:tcW w:w="1175" w:type="dxa"/>
            <w:vAlign w:val="center"/>
            <w:hideMark/>
          </w:tcPr>
          <w:p w14:paraId="34A9B00D" w14:textId="77777777" w:rsidR="009B0EB7" w:rsidRPr="009B0EB7" w:rsidRDefault="009B0EB7"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AU" w:eastAsia="en-AU"/>
              </w:rPr>
            </w:pPr>
            <w:r w:rsidRPr="009B0EB7">
              <w:rPr>
                <w:rFonts w:eastAsia="Times New Roman" w:cs="Arial"/>
                <w:color w:val="auto"/>
                <w:sz w:val="20"/>
                <w:szCs w:val="20"/>
                <w:lang w:val="en-AU" w:eastAsia="en-AU"/>
              </w:rPr>
              <w:t>29</w:t>
            </w:r>
          </w:p>
        </w:tc>
      </w:tr>
      <w:tr w:rsidR="007F1719" w:rsidRPr="009B0EB7" w14:paraId="755EAD37" w14:textId="77777777" w:rsidTr="00105176">
        <w:trPr>
          <w:trHeight w:val="574"/>
        </w:trPr>
        <w:tc>
          <w:tcPr>
            <w:cnfStyle w:val="001000000000" w:firstRow="0" w:lastRow="0" w:firstColumn="1" w:lastColumn="0" w:oddVBand="0" w:evenVBand="0" w:oddHBand="0" w:evenHBand="0" w:firstRowFirstColumn="0" w:firstRowLastColumn="0" w:lastRowFirstColumn="0" w:lastRowLastColumn="0"/>
            <w:tcW w:w="2179" w:type="dxa"/>
            <w:vAlign w:val="center"/>
            <w:hideMark/>
          </w:tcPr>
          <w:p w14:paraId="1151D95C" w14:textId="77777777" w:rsidR="009B0EB7" w:rsidRPr="009B0EB7" w:rsidRDefault="009B0EB7" w:rsidP="00105176">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9B0EB7">
              <w:rPr>
                <w:rFonts w:eastAsia="Times New Roman" w:cs="Arial"/>
                <w:bCs w:val="0"/>
                <w:color w:val="auto"/>
                <w:lang w:val="en-AU" w:eastAsia="en-AU"/>
              </w:rPr>
              <w:t>Mining Licence Renewals</w:t>
            </w:r>
          </w:p>
        </w:tc>
        <w:tc>
          <w:tcPr>
            <w:tcW w:w="1175" w:type="dxa"/>
            <w:noWrap/>
            <w:vAlign w:val="center"/>
            <w:hideMark/>
          </w:tcPr>
          <w:p w14:paraId="0C0C563F" w14:textId="77777777" w:rsidR="009B0EB7" w:rsidRPr="009B0EB7"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AU" w:eastAsia="en-AU"/>
              </w:rPr>
            </w:pPr>
            <w:r w:rsidRPr="009B0EB7">
              <w:rPr>
                <w:rFonts w:eastAsia="Times New Roman" w:cs="Arial"/>
                <w:color w:val="auto"/>
                <w:sz w:val="20"/>
                <w:szCs w:val="20"/>
                <w:lang w:val="en-AU" w:eastAsia="en-AU"/>
              </w:rPr>
              <w:t>21</w:t>
            </w:r>
          </w:p>
        </w:tc>
        <w:tc>
          <w:tcPr>
            <w:tcW w:w="1175" w:type="dxa"/>
            <w:noWrap/>
            <w:vAlign w:val="center"/>
            <w:hideMark/>
          </w:tcPr>
          <w:p w14:paraId="50556EBA" w14:textId="77777777" w:rsidR="009B0EB7" w:rsidRPr="009B0EB7"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AU" w:eastAsia="en-AU"/>
              </w:rPr>
            </w:pPr>
            <w:r w:rsidRPr="009B0EB7">
              <w:rPr>
                <w:rFonts w:eastAsia="Times New Roman" w:cs="Arial"/>
                <w:color w:val="auto"/>
                <w:sz w:val="20"/>
                <w:szCs w:val="20"/>
                <w:lang w:val="en-AU" w:eastAsia="en-AU"/>
              </w:rPr>
              <w:t>14</w:t>
            </w:r>
          </w:p>
        </w:tc>
        <w:tc>
          <w:tcPr>
            <w:tcW w:w="1175" w:type="dxa"/>
            <w:noWrap/>
            <w:vAlign w:val="center"/>
            <w:hideMark/>
          </w:tcPr>
          <w:p w14:paraId="7885A61D" w14:textId="77777777" w:rsidR="009B0EB7" w:rsidRPr="009B0EB7"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AU" w:eastAsia="en-AU"/>
              </w:rPr>
            </w:pPr>
            <w:r w:rsidRPr="009B0EB7">
              <w:rPr>
                <w:rFonts w:eastAsia="Times New Roman" w:cs="Arial"/>
                <w:color w:val="auto"/>
                <w:sz w:val="20"/>
                <w:szCs w:val="20"/>
                <w:lang w:val="en-AU" w:eastAsia="en-AU"/>
              </w:rPr>
              <w:t>28</w:t>
            </w:r>
          </w:p>
        </w:tc>
        <w:tc>
          <w:tcPr>
            <w:tcW w:w="1175" w:type="dxa"/>
            <w:vAlign w:val="center"/>
            <w:hideMark/>
          </w:tcPr>
          <w:p w14:paraId="3A42B0DA" w14:textId="77777777" w:rsidR="009B0EB7" w:rsidRPr="009B0EB7"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AU" w:eastAsia="en-AU"/>
              </w:rPr>
            </w:pPr>
            <w:r w:rsidRPr="009B0EB7">
              <w:rPr>
                <w:rFonts w:eastAsia="Times New Roman" w:cs="Arial"/>
                <w:color w:val="auto"/>
                <w:sz w:val="20"/>
                <w:szCs w:val="20"/>
                <w:lang w:val="en-AU" w:eastAsia="en-AU"/>
              </w:rPr>
              <w:t>14</w:t>
            </w:r>
          </w:p>
        </w:tc>
        <w:tc>
          <w:tcPr>
            <w:tcW w:w="1175" w:type="dxa"/>
            <w:vAlign w:val="center"/>
            <w:hideMark/>
          </w:tcPr>
          <w:p w14:paraId="2B878106" w14:textId="77777777" w:rsidR="009B0EB7" w:rsidRPr="009B0EB7"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AU" w:eastAsia="en-AU"/>
              </w:rPr>
            </w:pPr>
            <w:r w:rsidRPr="009B0EB7">
              <w:rPr>
                <w:rFonts w:eastAsia="Times New Roman" w:cs="Arial"/>
                <w:color w:val="auto"/>
                <w:sz w:val="20"/>
                <w:szCs w:val="20"/>
                <w:lang w:val="en-AU" w:eastAsia="en-AU"/>
              </w:rPr>
              <w:t>10</w:t>
            </w:r>
          </w:p>
        </w:tc>
        <w:tc>
          <w:tcPr>
            <w:tcW w:w="1175" w:type="dxa"/>
            <w:noWrap/>
            <w:vAlign w:val="center"/>
            <w:hideMark/>
          </w:tcPr>
          <w:p w14:paraId="086D9741" w14:textId="77777777" w:rsidR="009B0EB7" w:rsidRPr="009B0EB7"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AU" w:eastAsia="en-AU"/>
              </w:rPr>
            </w:pPr>
            <w:r w:rsidRPr="009B0EB7">
              <w:rPr>
                <w:rFonts w:eastAsia="Times New Roman" w:cs="Arial"/>
                <w:color w:val="auto"/>
                <w:sz w:val="20"/>
                <w:szCs w:val="20"/>
                <w:lang w:val="en-AU" w:eastAsia="en-AU"/>
              </w:rPr>
              <w:t>15</w:t>
            </w:r>
          </w:p>
        </w:tc>
        <w:tc>
          <w:tcPr>
            <w:tcW w:w="1175" w:type="dxa"/>
            <w:vAlign w:val="center"/>
            <w:hideMark/>
          </w:tcPr>
          <w:p w14:paraId="6F504472" w14:textId="77777777" w:rsidR="009B0EB7" w:rsidRPr="009B0EB7" w:rsidRDefault="009B0EB7" w:rsidP="00105176">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AU" w:eastAsia="en-AU"/>
              </w:rPr>
            </w:pPr>
            <w:r w:rsidRPr="009B0EB7">
              <w:rPr>
                <w:rFonts w:eastAsia="Times New Roman" w:cs="Arial"/>
                <w:color w:val="auto"/>
                <w:sz w:val="20"/>
                <w:szCs w:val="20"/>
                <w:lang w:val="en-AU" w:eastAsia="en-AU"/>
              </w:rPr>
              <w:t>26</w:t>
            </w:r>
          </w:p>
        </w:tc>
      </w:tr>
      <w:tr w:rsidR="00D60B74" w:rsidRPr="009B0EB7" w14:paraId="6ECFD3C2" w14:textId="77777777" w:rsidTr="00105176">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179" w:type="dxa"/>
            <w:vAlign w:val="center"/>
          </w:tcPr>
          <w:p w14:paraId="28C46850" w14:textId="2AD88F65" w:rsidR="00D60B74" w:rsidRPr="009B0EB7" w:rsidRDefault="00D60B74" w:rsidP="00105176">
            <w:pPr>
              <w:widowControl/>
              <w:suppressAutoHyphens w:val="0"/>
              <w:autoSpaceDE/>
              <w:autoSpaceDN/>
              <w:adjustRightInd/>
              <w:spacing w:after="0" w:line="240" w:lineRule="auto"/>
              <w:jc w:val="center"/>
              <w:textAlignment w:val="auto"/>
              <w:rPr>
                <w:rFonts w:eastAsia="Times New Roman" w:cs="Arial"/>
                <w:bCs w:val="0"/>
                <w:color w:val="auto"/>
                <w:lang w:val="en-AU" w:eastAsia="en-AU"/>
              </w:rPr>
            </w:pPr>
            <w:r>
              <w:rPr>
                <w:rFonts w:eastAsia="Times New Roman" w:cs="Arial"/>
                <w:bCs w:val="0"/>
                <w:color w:val="auto"/>
                <w:lang w:val="en-AU" w:eastAsia="en-AU"/>
              </w:rPr>
              <w:t>Retention Licence</w:t>
            </w:r>
            <w:r w:rsidR="00D2205C">
              <w:rPr>
                <w:rFonts w:eastAsia="Times New Roman" w:cs="Arial"/>
                <w:bCs w:val="0"/>
                <w:color w:val="auto"/>
                <w:lang w:val="en-AU" w:eastAsia="en-AU"/>
              </w:rPr>
              <w:t xml:space="preserve"> Renewals</w:t>
            </w:r>
          </w:p>
        </w:tc>
        <w:tc>
          <w:tcPr>
            <w:tcW w:w="1175" w:type="dxa"/>
            <w:noWrap/>
            <w:vAlign w:val="center"/>
          </w:tcPr>
          <w:p w14:paraId="11E27EC3" w14:textId="703473BB" w:rsidR="00D60B74" w:rsidRPr="009B0EB7" w:rsidRDefault="00D60B74"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AU" w:eastAsia="en-AU"/>
              </w:rPr>
            </w:pPr>
            <w:r>
              <w:rPr>
                <w:rFonts w:eastAsia="Times New Roman" w:cs="Arial"/>
                <w:color w:val="auto"/>
                <w:sz w:val="20"/>
                <w:szCs w:val="20"/>
                <w:lang w:val="en-AU" w:eastAsia="en-AU"/>
              </w:rPr>
              <w:t>0</w:t>
            </w:r>
          </w:p>
        </w:tc>
        <w:tc>
          <w:tcPr>
            <w:tcW w:w="1175" w:type="dxa"/>
            <w:noWrap/>
            <w:vAlign w:val="center"/>
          </w:tcPr>
          <w:p w14:paraId="3925AD12" w14:textId="2748B0D1" w:rsidR="00D60B74" w:rsidRPr="009B0EB7" w:rsidRDefault="00D60B74"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AU" w:eastAsia="en-AU"/>
              </w:rPr>
            </w:pPr>
            <w:r>
              <w:rPr>
                <w:rFonts w:eastAsia="Times New Roman" w:cs="Arial"/>
                <w:color w:val="auto"/>
                <w:sz w:val="20"/>
                <w:szCs w:val="20"/>
                <w:lang w:val="en-AU" w:eastAsia="en-AU"/>
              </w:rPr>
              <w:t>0</w:t>
            </w:r>
          </w:p>
        </w:tc>
        <w:tc>
          <w:tcPr>
            <w:tcW w:w="1175" w:type="dxa"/>
            <w:noWrap/>
            <w:vAlign w:val="center"/>
          </w:tcPr>
          <w:p w14:paraId="756D6826" w14:textId="2AB3FA59" w:rsidR="00D60B74" w:rsidRPr="009B0EB7" w:rsidRDefault="00D60B74"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AU" w:eastAsia="en-AU"/>
              </w:rPr>
            </w:pPr>
            <w:r>
              <w:rPr>
                <w:rFonts w:eastAsia="Times New Roman" w:cs="Arial"/>
                <w:color w:val="auto"/>
                <w:sz w:val="20"/>
                <w:szCs w:val="20"/>
                <w:lang w:val="en-AU" w:eastAsia="en-AU"/>
              </w:rPr>
              <w:t>0</w:t>
            </w:r>
          </w:p>
        </w:tc>
        <w:tc>
          <w:tcPr>
            <w:tcW w:w="1175" w:type="dxa"/>
            <w:vAlign w:val="center"/>
          </w:tcPr>
          <w:p w14:paraId="01416721" w14:textId="5597F98E" w:rsidR="00D60B74" w:rsidRPr="009B0EB7" w:rsidRDefault="00D60B74"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AU" w:eastAsia="en-AU"/>
              </w:rPr>
            </w:pPr>
            <w:r>
              <w:rPr>
                <w:rFonts w:eastAsia="Times New Roman" w:cs="Arial"/>
                <w:color w:val="auto"/>
                <w:sz w:val="20"/>
                <w:szCs w:val="20"/>
                <w:lang w:val="en-AU" w:eastAsia="en-AU"/>
              </w:rPr>
              <w:t>0</w:t>
            </w:r>
          </w:p>
        </w:tc>
        <w:tc>
          <w:tcPr>
            <w:tcW w:w="1175" w:type="dxa"/>
            <w:vAlign w:val="center"/>
          </w:tcPr>
          <w:p w14:paraId="451E1110" w14:textId="424D9287" w:rsidR="00D60B74" w:rsidRPr="009B0EB7" w:rsidRDefault="00D60B74"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AU" w:eastAsia="en-AU"/>
              </w:rPr>
            </w:pPr>
            <w:r>
              <w:rPr>
                <w:rFonts w:eastAsia="Times New Roman" w:cs="Arial"/>
                <w:color w:val="auto"/>
                <w:sz w:val="20"/>
                <w:szCs w:val="20"/>
                <w:lang w:val="en-AU" w:eastAsia="en-AU"/>
              </w:rPr>
              <w:t>0</w:t>
            </w:r>
          </w:p>
        </w:tc>
        <w:tc>
          <w:tcPr>
            <w:tcW w:w="1175" w:type="dxa"/>
            <w:noWrap/>
            <w:vAlign w:val="center"/>
          </w:tcPr>
          <w:p w14:paraId="2D8175DF" w14:textId="34FB2BFF" w:rsidR="00D60B74" w:rsidRPr="009B0EB7" w:rsidRDefault="00D60B74"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AU" w:eastAsia="en-AU"/>
              </w:rPr>
            </w:pPr>
            <w:r>
              <w:rPr>
                <w:rFonts w:eastAsia="Times New Roman" w:cs="Arial"/>
                <w:color w:val="auto"/>
                <w:sz w:val="20"/>
                <w:szCs w:val="20"/>
                <w:lang w:val="en-AU" w:eastAsia="en-AU"/>
              </w:rPr>
              <w:t>0</w:t>
            </w:r>
          </w:p>
        </w:tc>
        <w:tc>
          <w:tcPr>
            <w:tcW w:w="1175" w:type="dxa"/>
            <w:vAlign w:val="center"/>
          </w:tcPr>
          <w:p w14:paraId="5A93AFE5" w14:textId="22D39F25" w:rsidR="00D60B74" w:rsidRPr="009B0EB7" w:rsidRDefault="00D60B74" w:rsidP="00105176">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AU" w:eastAsia="en-AU"/>
              </w:rPr>
            </w:pPr>
            <w:r>
              <w:rPr>
                <w:rFonts w:eastAsia="Times New Roman" w:cs="Arial"/>
                <w:color w:val="auto"/>
                <w:sz w:val="20"/>
                <w:szCs w:val="20"/>
                <w:lang w:val="en-AU" w:eastAsia="en-AU"/>
              </w:rPr>
              <w:t>0</w:t>
            </w:r>
          </w:p>
        </w:tc>
      </w:tr>
      <w:tr w:rsidR="00972328" w:rsidRPr="009B0EB7" w14:paraId="080E8B92" w14:textId="77777777" w:rsidTr="00D60B74">
        <w:trPr>
          <w:cnfStyle w:val="010000000000" w:firstRow="0" w:lastRow="1"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179" w:type="dxa"/>
            <w:vAlign w:val="center"/>
            <w:hideMark/>
          </w:tcPr>
          <w:p w14:paraId="4C281516" w14:textId="77777777" w:rsidR="009B0EB7" w:rsidRPr="00105176" w:rsidRDefault="009B0EB7" w:rsidP="00105176">
            <w:pPr>
              <w:widowControl/>
              <w:suppressAutoHyphens w:val="0"/>
              <w:autoSpaceDE/>
              <w:autoSpaceDN/>
              <w:adjustRightInd/>
              <w:spacing w:after="0" w:line="240" w:lineRule="auto"/>
              <w:jc w:val="center"/>
              <w:textAlignment w:val="auto"/>
              <w:rPr>
                <w:rFonts w:eastAsia="Times New Roman" w:cs="Arial"/>
                <w:bCs w:val="0"/>
                <w:color w:val="auto"/>
                <w:sz w:val="20"/>
                <w:szCs w:val="20"/>
                <w:lang w:val="en-AU" w:eastAsia="en-AU"/>
              </w:rPr>
            </w:pPr>
            <w:r w:rsidRPr="00105176">
              <w:rPr>
                <w:rFonts w:eastAsia="Times New Roman" w:cs="Arial"/>
                <w:bCs w:val="0"/>
                <w:color w:val="auto"/>
                <w:sz w:val="20"/>
                <w:szCs w:val="20"/>
                <w:lang w:val="en-AU" w:eastAsia="en-AU"/>
              </w:rPr>
              <w:t>Total</w:t>
            </w:r>
          </w:p>
        </w:tc>
        <w:tc>
          <w:tcPr>
            <w:tcW w:w="1175" w:type="dxa"/>
            <w:noWrap/>
            <w:vAlign w:val="center"/>
            <w:hideMark/>
          </w:tcPr>
          <w:p w14:paraId="38BDBB71" w14:textId="77777777" w:rsidR="009B0EB7" w:rsidRPr="00105176" w:rsidRDefault="009B0EB7" w:rsidP="00105176">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auto"/>
                <w:sz w:val="20"/>
                <w:szCs w:val="20"/>
                <w:lang w:val="en-AU" w:eastAsia="en-AU"/>
              </w:rPr>
            </w:pPr>
            <w:r w:rsidRPr="00105176">
              <w:rPr>
                <w:rFonts w:eastAsia="Times New Roman" w:cs="Arial"/>
                <w:bCs w:val="0"/>
                <w:color w:val="auto"/>
                <w:sz w:val="20"/>
                <w:szCs w:val="20"/>
                <w:lang w:val="en-AU" w:eastAsia="en-AU"/>
              </w:rPr>
              <w:t>95</w:t>
            </w:r>
          </w:p>
        </w:tc>
        <w:tc>
          <w:tcPr>
            <w:tcW w:w="1175" w:type="dxa"/>
            <w:noWrap/>
            <w:vAlign w:val="center"/>
            <w:hideMark/>
          </w:tcPr>
          <w:p w14:paraId="61CCBEB5" w14:textId="77777777" w:rsidR="009B0EB7" w:rsidRPr="00105176" w:rsidRDefault="009B0EB7" w:rsidP="00105176">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auto"/>
                <w:sz w:val="20"/>
                <w:szCs w:val="20"/>
                <w:lang w:val="en-AU" w:eastAsia="en-AU"/>
              </w:rPr>
            </w:pPr>
            <w:r w:rsidRPr="00105176">
              <w:rPr>
                <w:rFonts w:eastAsia="Times New Roman" w:cs="Arial"/>
                <w:bCs w:val="0"/>
                <w:color w:val="auto"/>
                <w:sz w:val="20"/>
                <w:szCs w:val="20"/>
                <w:lang w:val="en-AU" w:eastAsia="en-AU"/>
              </w:rPr>
              <w:t>66</w:t>
            </w:r>
          </w:p>
        </w:tc>
        <w:tc>
          <w:tcPr>
            <w:tcW w:w="1175" w:type="dxa"/>
            <w:noWrap/>
            <w:vAlign w:val="center"/>
            <w:hideMark/>
          </w:tcPr>
          <w:p w14:paraId="06BD0BBC" w14:textId="77777777" w:rsidR="009B0EB7" w:rsidRPr="00105176" w:rsidRDefault="009B0EB7" w:rsidP="00105176">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auto"/>
                <w:sz w:val="20"/>
                <w:szCs w:val="20"/>
                <w:lang w:val="en-AU" w:eastAsia="en-AU"/>
              </w:rPr>
            </w:pPr>
            <w:r w:rsidRPr="00105176">
              <w:rPr>
                <w:rFonts w:eastAsia="Times New Roman" w:cs="Arial"/>
                <w:bCs w:val="0"/>
                <w:color w:val="auto"/>
                <w:sz w:val="20"/>
                <w:szCs w:val="20"/>
                <w:lang w:val="en-AU" w:eastAsia="en-AU"/>
              </w:rPr>
              <w:t>85</w:t>
            </w:r>
          </w:p>
        </w:tc>
        <w:tc>
          <w:tcPr>
            <w:tcW w:w="1175" w:type="dxa"/>
            <w:noWrap/>
            <w:vAlign w:val="center"/>
            <w:hideMark/>
          </w:tcPr>
          <w:p w14:paraId="1D77E6F1" w14:textId="77777777" w:rsidR="009B0EB7" w:rsidRPr="00105176" w:rsidRDefault="009B0EB7" w:rsidP="00105176">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auto"/>
                <w:sz w:val="20"/>
                <w:szCs w:val="20"/>
                <w:lang w:val="en-AU" w:eastAsia="en-AU"/>
              </w:rPr>
            </w:pPr>
            <w:r w:rsidRPr="00105176">
              <w:rPr>
                <w:rFonts w:eastAsia="Times New Roman" w:cs="Arial"/>
                <w:bCs w:val="0"/>
                <w:color w:val="auto"/>
                <w:sz w:val="20"/>
                <w:szCs w:val="20"/>
                <w:lang w:val="en-AU" w:eastAsia="en-AU"/>
              </w:rPr>
              <w:t>33</w:t>
            </w:r>
          </w:p>
        </w:tc>
        <w:tc>
          <w:tcPr>
            <w:tcW w:w="1175" w:type="dxa"/>
            <w:noWrap/>
            <w:vAlign w:val="center"/>
            <w:hideMark/>
          </w:tcPr>
          <w:p w14:paraId="1BE37582" w14:textId="77777777" w:rsidR="009B0EB7" w:rsidRPr="00105176" w:rsidRDefault="009B0EB7" w:rsidP="00105176">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auto"/>
                <w:sz w:val="20"/>
                <w:szCs w:val="20"/>
                <w:lang w:val="en-AU" w:eastAsia="en-AU"/>
              </w:rPr>
            </w:pPr>
            <w:r w:rsidRPr="00105176">
              <w:rPr>
                <w:rFonts w:eastAsia="Times New Roman" w:cs="Arial"/>
                <w:bCs w:val="0"/>
                <w:color w:val="auto"/>
                <w:sz w:val="20"/>
                <w:szCs w:val="20"/>
                <w:lang w:val="en-AU" w:eastAsia="en-AU"/>
              </w:rPr>
              <w:t>23</w:t>
            </w:r>
          </w:p>
        </w:tc>
        <w:tc>
          <w:tcPr>
            <w:tcW w:w="1175" w:type="dxa"/>
            <w:noWrap/>
            <w:vAlign w:val="center"/>
            <w:hideMark/>
          </w:tcPr>
          <w:p w14:paraId="001FBA6C" w14:textId="77777777" w:rsidR="009B0EB7" w:rsidRPr="00105176" w:rsidRDefault="009B0EB7" w:rsidP="00105176">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auto"/>
                <w:sz w:val="20"/>
                <w:szCs w:val="20"/>
                <w:lang w:val="en-AU" w:eastAsia="en-AU"/>
              </w:rPr>
            </w:pPr>
            <w:r w:rsidRPr="00105176">
              <w:rPr>
                <w:rFonts w:eastAsia="Times New Roman" w:cs="Arial"/>
                <w:bCs w:val="0"/>
                <w:color w:val="auto"/>
                <w:sz w:val="20"/>
                <w:szCs w:val="20"/>
                <w:lang w:val="en-AU" w:eastAsia="en-AU"/>
              </w:rPr>
              <w:t>32</w:t>
            </w:r>
          </w:p>
        </w:tc>
        <w:tc>
          <w:tcPr>
            <w:tcW w:w="1175" w:type="dxa"/>
            <w:noWrap/>
            <w:vAlign w:val="center"/>
            <w:hideMark/>
          </w:tcPr>
          <w:p w14:paraId="5C3F6B91" w14:textId="77777777" w:rsidR="009B0EB7" w:rsidRPr="00105176" w:rsidRDefault="009B0EB7" w:rsidP="00105176">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auto"/>
                <w:sz w:val="20"/>
                <w:szCs w:val="20"/>
                <w:lang w:val="en-AU" w:eastAsia="en-AU"/>
              </w:rPr>
            </w:pPr>
            <w:r w:rsidRPr="00105176">
              <w:rPr>
                <w:rFonts w:eastAsia="Times New Roman" w:cs="Arial"/>
                <w:bCs w:val="0"/>
                <w:color w:val="auto"/>
                <w:sz w:val="20"/>
                <w:szCs w:val="20"/>
                <w:lang w:val="en-AU" w:eastAsia="en-AU"/>
              </w:rPr>
              <w:t>55</w:t>
            </w:r>
          </w:p>
        </w:tc>
      </w:tr>
    </w:tbl>
    <w:p w14:paraId="60646196" w14:textId="6050D816" w:rsidR="008429E1" w:rsidRPr="00A11CC5" w:rsidRDefault="008429E1" w:rsidP="00C1194F">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p>
    <w:p w14:paraId="06009947" w14:textId="77777777" w:rsidR="000A61FD" w:rsidRPr="00A11CC5" w:rsidRDefault="000A61FD">
      <w:pPr>
        <w:rPr>
          <w:rFonts w:eastAsia="Times New Roman" w:cs="Arial"/>
          <w:color w:val="auto"/>
          <w:sz w:val="16"/>
          <w:szCs w:val="24"/>
          <w:u w:color="FFFFFF" w:themeColor="background1"/>
          <w:lang w:val="en-AU"/>
        </w:rPr>
      </w:pPr>
      <w:r w:rsidRPr="00A11CC5">
        <w:rPr>
          <w:rFonts w:eastAsia="Times New Roman" w:cs="Arial"/>
          <w:color w:val="auto"/>
          <w:sz w:val="16"/>
          <w:szCs w:val="24"/>
          <w:u w:color="FFFFFF" w:themeColor="background1"/>
          <w:lang w:val="en-AU"/>
        </w:rPr>
        <w:br w:type="page"/>
      </w:r>
    </w:p>
    <w:p w14:paraId="6004EDD7" w14:textId="4319F9B7" w:rsidR="008429E1" w:rsidRDefault="008429E1" w:rsidP="00305A39">
      <w:pPr>
        <w:spacing w:before="120" w:after="120"/>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lastRenderedPageBreak/>
        <w:t xml:space="preserve">Graph </w:t>
      </w:r>
      <w:r w:rsidR="00133388" w:rsidRPr="00A11CC5">
        <w:rPr>
          <w:rFonts w:eastAsia="Times New Roman" w:cs="Arial"/>
          <w:b/>
          <w:color w:val="auto"/>
          <w:szCs w:val="24"/>
          <w:u w:color="FFFFFF" w:themeColor="background1"/>
          <w:lang w:val="en-AU"/>
        </w:rPr>
        <w:t>2</w:t>
      </w:r>
      <w:r w:rsidRPr="00A11CC5">
        <w:rPr>
          <w:rFonts w:eastAsia="Times New Roman" w:cs="Arial"/>
          <w:b/>
          <w:color w:val="auto"/>
          <w:szCs w:val="24"/>
          <w:u w:color="FFFFFF" w:themeColor="background1"/>
          <w:lang w:val="en-AU"/>
        </w:rPr>
        <w:t>.</w:t>
      </w:r>
      <w:r w:rsidR="00F21245">
        <w:rPr>
          <w:rFonts w:eastAsia="Times New Roman" w:cs="Arial"/>
          <w:b/>
          <w:color w:val="auto"/>
          <w:szCs w:val="24"/>
          <w:u w:color="FFFFFF" w:themeColor="background1"/>
          <w:lang w:val="en-AU"/>
        </w:rPr>
        <w:t>2</w:t>
      </w:r>
      <w:r w:rsidRPr="00A11CC5">
        <w:rPr>
          <w:rFonts w:eastAsia="Times New Roman" w:cs="Arial"/>
          <w:b/>
          <w:color w:val="auto"/>
          <w:szCs w:val="24"/>
          <w:u w:color="FFFFFF" w:themeColor="background1"/>
          <w:lang w:val="en-AU"/>
        </w:rPr>
        <w:t xml:space="preserve"> Exploration licences granted and renewed</w:t>
      </w:r>
      <w:r w:rsidR="007F1719">
        <w:rPr>
          <w:rFonts w:eastAsia="Times New Roman" w:cs="Arial"/>
          <w:b/>
          <w:color w:val="auto"/>
          <w:szCs w:val="24"/>
          <w:u w:color="FFFFFF" w:themeColor="background1"/>
          <w:lang w:val="en-AU"/>
        </w:rPr>
        <w:t xml:space="preserve"> by financial year</w:t>
      </w:r>
      <w:r w:rsidRPr="00A11CC5">
        <w:rPr>
          <w:rFonts w:eastAsia="Times New Roman" w:cs="Arial"/>
          <w:b/>
          <w:color w:val="auto"/>
          <w:szCs w:val="24"/>
          <w:u w:color="FFFFFF" w:themeColor="background1"/>
          <w:lang w:val="en-AU"/>
        </w:rPr>
        <w:t xml:space="preserve"> </w:t>
      </w:r>
    </w:p>
    <w:p w14:paraId="38254206" w14:textId="77777777" w:rsidR="00C04E95" w:rsidRPr="00A11CC5" w:rsidRDefault="00C04E95" w:rsidP="00305A39">
      <w:pPr>
        <w:spacing w:before="120" w:after="120"/>
        <w:rPr>
          <w:rFonts w:eastAsia="Times New Roman" w:cs="Arial"/>
          <w:b/>
          <w:color w:val="auto"/>
          <w:szCs w:val="24"/>
          <w:u w:color="FFFFFF" w:themeColor="background1"/>
          <w:lang w:val="en-AU"/>
        </w:rPr>
      </w:pPr>
      <w:r>
        <w:rPr>
          <w:rFonts w:eastAsia="Times New Roman" w:cs="Arial"/>
          <w:b/>
          <w:noProof/>
          <w:color w:val="auto"/>
          <w:szCs w:val="24"/>
          <w:u w:color="FFFFFF" w:themeColor="background1"/>
          <w:lang w:val="en-AU"/>
        </w:rPr>
        <w:drawing>
          <wp:inline distT="0" distB="0" distL="0" distR="0" wp14:anchorId="1F2579F3" wp14:editId="005EC5A3">
            <wp:extent cx="6486525" cy="17716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62AFC2" w14:textId="3EC1011B" w:rsidR="000F5850" w:rsidRPr="00A11CC5" w:rsidRDefault="00C520E0" w:rsidP="00305A39">
      <w:pPr>
        <w:spacing w:before="360" w:after="240" w:line="240" w:lineRule="atLeast"/>
        <w:rPr>
          <w:noProof/>
          <w:color w:val="auto"/>
          <w:lang w:val="en-AU" w:eastAsia="en-AU"/>
        </w:rPr>
      </w:pPr>
      <w:r w:rsidRPr="00A11CC5">
        <w:rPr>
          <w:rFonts w:eastAsia="Times New Roman" w:cs="Arial"/>
          <w:b/>
          <w:color w:val="auto"/>
          <w:szCs w:val="24"/>
          <w:u w:color="FFFFFF" w:themeColor="background1"/>
          <w:lang w:val="en-AU"/>
        </w:rPr>
        <w:t xml:space="preserve">Graph </w:t>
      </w:r>
      <w:r w:rsidR="00133388" w:rsidRPr="00A11CC5">
        <w:rPr>
          <w:rFonts w:eastAsia="Times New Roman" w:cs="Arial"/>
          <w:b/>
          <w:color w:val="auto"/>
          <w:szCs w:val="24"/>
          <w:u w:color="FFFFFF" w:themeColor="background1"/>
          <w:lang w:val="en-AU"/>
        </w:rPr>
        <w:t>2</w:t>
      </w:r>
      <w:r w:rsidR="00F21245">
        <w:rPr>
          <w:rFonts w:eastAsia="Times New Roman" w:cs="Arial"/>
          <w:b/>
          <w:color w:val="auto"/>
          <w:szCs w:val="24"/>
          <w:u w:color="FFFFFF" w:themeColor="background1"/>
          <w:lang w:val="en-AU"/>
        </w:rPr>
        <w:t>.3</w:t>
      </w:r>
      <w:r w:rsidRPr="00A11CC5">
        <w:rPr>
          <w:rFonts w:eastAsia="Times New Roman" w:cs="Arial"/>
          <w:b/>
          <w:color w:val="auto"/>
          <w:szCs w:val="24"/>
          <w:u w:color="FFFFFF" w:themeColor="background1"/>
          <w:lang w:val="en-AU"/>
        </w:rPr>
        <w:t xml:space="preserve"> </w:t>
      </w:r>
      <w:r w:rsidR="008429E1" w:rsidRPr="00A11CC5">
        <w:rPr>
          <w:rFonts w:eastAsia="Times New Roman" w:cs="Arial"/>
          <w:b/>
          <w:color w:val="auto"/>
          <w:szCs w:val="24"/>
          <w:u w:color="FFFFFF" w:themeColor="background1"/>
          <w:lang w:val="en-AU"/>
        </w:rPr>
        <w:t>Mining licences granted and renewed</w:t>
      </w:r>
      <w:r w:rsidR="007F1719">
        <w:rPr>
          <w:rFonts w:eastAsia="Times New Roman" w:cs="Arial"/>
          <w:b/>
          <w:color w:val="auto"/>
          <w:szCs w:val="24"/>
          <w:u w:color="FFFFFF" w:themeColor="background1"/>
          <w:lang w:val="en-AU"/>
        </w:rPr>
        <w:t xml:space="preserve"> by financial year</w:t>
      </w:r>
      <w:r w:rsidR="00F15DA3" w:rsidRPr="00A11CC5">
        <w:rPr>
          <w:rFonts w:cs="Arial"/>
          <w:noProof/>
          <w:color w:val="auto"/>
          <w:lang w:val="en-AU" w:eastAsia="en-AU"/>
        </w:rPr>
        <w:br/>
      </w:r>
      <w:r w:rsidR="00C04E95">
        <w:rPr>
          <w:noProof/>
          <w:color w:val="auto"/>
          <w:lang w:val="en-AU" w:eastAsia="en-AU"/>
        </w:rPr>
        <w:drawing>
          <wp:inline distT="0" distB="0" distL="0" distR="0" wp14:anchorId="2FDEBBF2" wp14:editId="5541E74E">
            <wp:extent cx="6524625" cy="20383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FD5535" w14:textId="356000FB" w:rsidR="004C51C1" w:rsidRDefault="008429E1" w:rsidP="00C1194F">
      <w:pPr>
        <w:spacing w:before="120" w:after="120"/>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 xml:space="preserve">Graph </w:t>
      </w:r>
      <w:r w:rsidR="00133388" w:rsidRPr="00A11CC5">
        <w:rPr>
          <w:rFonts w:eastAsia="Times New Roman" w:cs="Arial"/>
          <w:b/>
          <w:color w:val="auto"/>
          <w:szCs w:val="24"/>
          <w:u w:color="FFFFFF" w:themeColor="background1"/>
          <w:lang w:val="en-AU"/>
        </w:rPr>
        <w:t>2</w:t>
      </w:r>
      <w:r w:rsidRPr="00A11CC5">
        <w:rPr>
          <w:rFonts w:eastAsia="Times New Roman" w:cs="Arial"/>
          <w:b/>
          <w:color w:val="auto"/>
          <w:szCs w:val="24"/>
          <w:u w:color="FFFFFF" w:themeColor="background1"/>
          <w:lang w:val="en-AU"/>
        </w:rPr>
        <w:t>.</w:t>
      </w:r>
      <w:r w:rsidR="00F21245">
        <w:rPr>
          <w:rFonts w:eastAsia="Times New Roman" w:cs="Arial"/>
          <w:b/>
          <w:color w:val="auto"/>
          <w:szCs w:val="24"/>
          <w:u w:color="FFFFFF" w:themeColor="background1"/>
          <w:lang w:val="en-AU"/>
        </w:rPr>
        <w:t>4</w:t>
      </w:r>
      <w:r w:rsidR="007F1719">
        <w:rPr>
          <w:rFonts w:eastAsia="Times New Roman" w:cs="Arial"/>
          <w:b/>
          <w:color w:val="auto"/>
          <w:szCs w:val="24"/>
          <w:u w:color="FFFFFF" w:themeColor="background1"/>
          <w:lang w:val="en-AU"/>
        </w:rPr>
        <w:t xml:space="preserve"> </w:t>
      </w:r>
      <w:r w:rsidR="00D60B74">
        <w:rPr>
          <w:rFonts w:eastAsia="Times New Roman" w:cs="Arial"/>
          <w:b/>
          <w:color w:val="auto"/>
          <w:szCs w:val="24"/>
          <w:u w:color="FFFFFF" w:themeColor="background1"/>
          <w:lang w:val="en-AU"/>
        </w:rPr>
        <w:t xml:space="preserve">Prospecting </w:t>
      </w:r>
      <w:r w:rsidRPr="00A11CC5">
        <w:rPr>
          <w:rFonts w:eastAsia="Times New Roman" w:cs="Arial"/>
          <w:b/>
          <w:color w:val="auto"/>
          <w:szCs w:val="24"/>
          <w:u w:color="FFFFFF" w:themeColor="background1"/>
          <w:lang w:val="en-AU"/>
        </w:rPr>
        <w:t>licences granted</w:t>
      </w:r>
      <w:r w:rsidR="007F1719">
        <w:rPr>
          <w:rFonts w:eastAsia="Times New Roman" w:cs="Arial"/>
          <w:b/>
          <w:color w:val="auto"/>
          <w:szCs w:val="24"/>
          <w:u w:color="FFFFFF" w:themeColor="background1"/>
          <w:lang w:val="en-AU"/>
        </w:rPr>
        <w:t xml:space="preserve"> by financial year</w:t>
      </w:r>
    </w:p>
    <w:p w14:paraId="2DBAA0C8" w14:textId="665FA42E" w:rsidR="00C04E95" w:rsidRDefault="00C04E95" w:rsidP="00C1194F">
      <w:pPr>
        <w:spacing w:before="120" w:after="120"/>
        <w:rPr>
          <w:rFonts w:eastAsia="Times New Roman" w:cs="Arial"/>
          <w:b/>
          <w:color w:val="auto"/>
          <w:szCs w:val="24"/>
          <w:u w:color="FFFFFF" w:themeColor="background1"/>
          <w:lang w:val="en-AU"/>
        </w:rPr>
      </w:pPr>
      <w:r>
        <w:rPr>
          <w:rFonts w:eastAsia="Times New Roman" w:cs="Arial"/>
          <w:b/>
          <w:noProof/>
          <w:color w:val="auto"/>
          <w:szCs w:val="24"/>
          <w:u w:color="FFFFFF" w:themeColor="background1"/>
          <w:lang w:val="en-AU"/>
        </w:rPr>
        <w:drawing>
          <wp:inline distT="0" distB="0" distL="0" distR="0" wp14:anchorId="4ECC75FA" wp14:editId="69CF9EB2">
            <wp:extent cx="6515100" cy="18288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7317E3" w14:textId="2F74A9EB" w:rsidR="007D6058" w:rsidRDefault="007D6058" w:rsidP="007D6058">
      <w:pPr>
        <w:spacing w:before="120" w:after="120"/>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Graph 2.</w:t>
      </w:r>
      <w:r w:rsidR="00D60B74">
        <w:rPr>
          <w:rFonts w:eastAsia="Times New Roman" w:cs="Arial"/>
          <w:b/>
          <w:color w:val="auto"/>
          <w:szCs w:val="24"/>
          <w:u w:color="FFFFFF" w:themeColor="background1"/>
          <w:lang w:val="en-AU"/>
        </w:rPr>
        <w:t>5</w:t>
      </w:r>
      <w:r>
        <w:rPr>
          <w:rFonts w:eastAsia="Times New Roman" w:cs="Arial"/>
          <w:b/>
          <w:color w:val="auto"/>
          <w:szCs w:val="24"/>
          <w:u w:color="FFFFFF" w:themeColor="background1"/>
          <w:lang w:val="en-AU"/>
        </w:rPr>
        <w:t xml:space="preserve"> </w:t>
      </w:r>
      <w:r w:rsidR="00D60B74">
        <w:rPr>
          <w:rFonts w:eastAsia="Times New Roman" w:cs="Arial"/>
          <w:b/>
          <w:color w:val="auto"/>
          <w:szCs w:val="24"/>
          <w:u w:color="FFFFFF" w:themeColor="background1"/>
          <w:lang w:val="en-AU"/>
        </w:rPr>
        <w:t>R</w:t>
      </w:r>
      <w:r w:rsidR="00D60B74" w:rsidRPr="00A11CC5">
        <w:rPr>
          <w:rFonts w:eastAsia="Times New Roman" w:cs="Arial"/>
          <w:b/>
          <w:color w:val="auto"/>
          <w:szCs w:val="24"/>
          <w:u w:color="FFFFFF" w:themeColor="background1"/>
          <w:lang w:val="en-AU"/>
        </w:rPr>
        <w:t xml:space="preserve">etention </w:t>
      </w:r>
      <w:r w:rsidRPr="00A11CC5">
        <w:rPr>
          <w:rFonts w:eastAsia="Times New Roman" w:cs="Arial"/>
          <w:b/>
          <w:color w:val="auto"/>
          <w:szCs w:val="24"/>
          <w:u w:color="FFFFFF" w:themeColor="background1"/>
          <w:lang w:val="en-AU"/>
        </w:rPr>
        <w:t>licences granted</w:t>
      </w:r>
      <w:r>
        <w:rPr>
          <w:rFonts w:eastAsia="Times New Roman" w:cs="Arial"/>
          <w:b/>
          <w:color w:val="auto"/>
          <w:szCs w:val="24"/>
          <w:u w:color="FFFFFF" w:themeColor="background1"/>
          <w:lang w:val="en-AU"/>
        </w:rPr>
        <w:t xml:space="preserve"> by financial year</w:t>
      </w:r>
    </w:p>
    <w:p w14:paraId="00215BE5" w14:textId="572DC757" w:rsidR="007D6058" w:rsidRPr="00A11CC5" w:rsidRDefault="007D6058" w:rsidP="00C1194F">
      <w:pPr>
        <w:spacing w:before="120" w:after="120"/>
        <w:rPr>
          <w:rFonts w:eastAsia="Times New Roman" w:cs="Arial"/>
          <w:b/>
          <w:color w:val="auto"/>
          <w:szCs w:val="24"/>
          <w:u w:color="FFFFFF" w:themeColor="background1"/>
          <w:lang w:val="en-AU"/>
        </w:rPr>
      </w:pPr>
      <w:r>
        <w:rPr>
          <w:rFonts w:eastAsia="Times New Roman" w:cs="Arial"/>
          <w:b/>
          <w:noProof/>
          <w:color w:val="auto"/>
          <w:szCs w:val="24"/>
          <w:u w:color="FFFFFF" w:themeColor="background1"/>
          <w:lang w:val="en-AU"/>
        </w:rPr>
        <w:drawing>
          <wp:inline distT="0" distB="0" distL="0" distR="0" wp14:anchorId="12453C29" wp14:editId="044AA135">
            <wp:extent cx="6496050" cy="187642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C7DBD5" w14:textId="7A2570AF" w:rsidR="007D6058" w:rsidRDefault="007D6058">
      <w:pPr>
        <w:widowControl/>
        <w:suppressAutoHyphens w:val="0"/>
        <w:autoSpaceDE/>
        <w:autoSpaceDN/>
        <w:adjustRightInd/>
        <w:spacing w:before="200" w:after="200" w:line="276" w:lineRule="auto"/>
        <w:textAlignment w:val="auto"/>
        <w:rPr>
          <w:rFonts w:eastAsia="Times New Roman" w:cs="Arial"/>
          <w:b/>
          <w:color w:val="auto"/>
          <w:szCs w:val="24"/>
          <w:u w:color="FFFFFF" w:themeColor="background1"/>
          <w:lang w:val="en-AU"/>
        </w:rPr>
      </w:pPr>
      <w:r>
        <w:rPr>
          <w:rFonts w:eastAsia="Times New Roman" w:cs="Arial"/>
          <w:b/>
          <w:color w:val="auto"/>
          <w:szCs w:val="24"/>
          <w:u w:color="FFFFFF" w:themeColor="background1"/>
          <w:lang w:val="en-AU"/>
        </w:rPr>
        <w:br w:type="page"/>
      </w:r>
    </w:p>
    <w:p w14:paraId="0960EC8D" w14:textId="77777777" w:rsidR="00605DE6" w:rsidRDefault="00605DE6" w:rsidP="00C1194F">
      <w:pPr>
        <w:spacing w:before="360" w:after="120" w:line="240" w:lineRule="auto"/>
        <w:jc w:val="both"/>
        <w:rPr>
          <w:rFonts w:eastAsia="Times New Roman" w:cs="Arial"/>
          <w:b/>
          <w:color w:val="auto"/>
          <w:szCs w:val="24"/>
          <w:u w:color="FFFFFF" w:themeColor="background1"/>
          <w:lang w:val="en-AU"/>
        </w:rPr>
      </w:pPr>
    </w:p>
    <w:p w14:paraId="6BB6D9EB" w14:textId="0AD549FE" w:rsidR="008429E1" w:rsidRPr="00A11CC5" w:rsidRDefault="008429E1" w:rsidP="00C1194F">
      <w:pPr>
        <w:spacing w:before="360" w:after="120" w:line="240" w:lineRule="auto"/>
        <w:jc w:val="both"/>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 xml:space="preserve">Table </w:t>
      </w:r>
      <w:r w:rsidR="00133388" w:rsidRPr="00A11CC5">
        <w:rPr>
          <w:rFonts w:eastAsia="Times New Roman" w:cs="Arial"/>
          <w:b/>
          <w:color w:val="auto"/>
          <w:szCs w:val="24"/>
          <w:u w:color="FFFFFF" w:themeColor="background1"/>
          <w:lang w:val="en-AU"/>
        </w:rPr>
        <w:t>2</w:t>
      </w:r>
      <w:r w:rsidR="00F21245">
        <w:rPr>
          <w:rFonts w:eastAsia="Times New Roman" w:cs="Arial"/>
          <w:b/>
          <w:color w:val="auto"/>
          <w:szCs w:val="24"/>
          <w:u w:color="FFFFFF" w:themeColor="background1"/>
          <w:lang w:val="en-AU"/>
        </w:rPr>
        <w:t>.6</w:t>
      </w:r>
      <w:r w:rsidRPr="00A11CC5">
        <w:rPr>
          <w:rFonts w:eastAsia="Times New Roman" w:cs="Arial"/>
          <w:b/>
          <w:color w:val="auto"/>
          <w:szCs w:val="24"/>
          <w:u w:color="FFFFFF" w:themeColor="background1"/>
          <w:lang w:val="en-AU"/>
        </w:rPr>
        <w:t xml:space="preserve"> Total area covered by exploration licences (current and in application as at 30 June</w:t>
      </w:r>
      <w:r w:rsidR="007F1719">
        <w:rPr>
          <w:rFonts w:eastAsia="Times New Roman" w:cs="Arial"/>
          <w:b/>
          <w:color w:val="auto"/>
          <w:szCs w:val="24"/>
          <w:u w:color="FFFFFF" w:themeColor="background1"/>
          <w:lang w:val="en-AU"/>
        </w:rPr>
        <w:t xml:space="preserve"> 2018</w:t>
      </w:r>
      <w:r w:rsidRPr="00A11CC5">
        <w:rPr>
          <w:rFonts w:eastAsia="Times New Roman" w:cs="Arial"/>
          <w:b/>
          <w:color w:val="auto"/>
          <w:szCs w:val="24"/>
          <w:u w:color="FFFFFF" w:themeColor="background1"/>
          <w:lang w:val="en-AU"/>
        </w:rPr>
        <w:t xml:space="preserve">) </w:t>
      </w:r>
    </w:p>
    <w:tbl>
      <w:tblPr>
        <w:tblStyle w:val="GridTable4-Accent1"/>
        <w:tblW w:w="5055" w:type="pct"/>
        <w:tblLook w:val="04A0" w:firstRow="1" w:lastRow="0" w:firstColumn="1" w:lastColumn="0" w:noHBand="0" w:noVBand="1"/>
        <w:tblCaption w:val="Area covered by exploration licences"/>
        <w:tblDescription w:val="Area covered by exploration licences in km2 annually from 2012-16 as at June 2016."/>
      </w:tblPr>
      <w:tblGrid>
        <w:gridCol w:w="1111"/>
        <w:gridCol w:w="1296"/>
        <w:gridCol w:w="1296"/>
        <w:gridCol w:w="1296"/>
        <w:gridCol w:w="1296"/>
        <w:gridCol w:w="1296"/>
        <w:gridCol w:w="1295"/>
        <w:gridCol w:w="1295"/>
      </w:tblGrid>
      <w:tr w:rsidR="007F1719" w:rsidRPr="00A11CC5" w14:paraId="61B65666" w14:textId="77777777" w:rsidTr="00105176">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45" w:type="pct"/>
            <w:vAlign w:val="center"/>
            <w:hideMark/>
          </w:tcPr>
          <w:p w14:paraId="60D2EE3A" w14:textId="77777777" w:rsidR="007F1719" w:rsidRPr="00105176" w:rsidRDefault="007F1719" w:rsidP="00105176">
            <w:pPr>
              <w:jc w:val="center"/>
              <w:rPr>
                <w:rFonts w:eastAsia="Times New Roman" w:cs="Arial"/>
                <w:b w:val="0"/>
                <w:color w:val="FFFFFF" w:themeColor="background1"/>
                <w:szCs w:val="24"/>
                <w:u w:color="FFFFFF" w:themeColor="background1"/>
                <w:lang w:val="en-AU"/>
              </w:rPr>
            </w:pPr>
            <w:r w:rsidRPr="00105176">
              <w:rPr>
                <w:rFonts w:eastAsia="Times New Roman" w:cs="Arial"/>
                <w:color w:val="FFFFFF" w:themeColor="background1"/>
                <w:szCs w:val="24"/>
                <w:u w:color="FFFFFF" w:themeColor="background1"/>
                <w:lang w:val="en-AU"/>
              </w:rPr>
              <w:t>Year</w:t>
            </w:r>
          </w:p>
        </w:tc>
        <w:tc>
          <w:tcPr>
            <w:tcW w:w="636" w:type="pct"/>
            <w:vAlign w:val="center"/>
            <w:hideMark/>
          </w:tcPr>
          <w:p w14:paraId="170A099B" w14:textId="77777777" w:rsidR="007F1719" w:rsidRPr="00105176" w:rsidRDefault="007F1719" w:rsidP="0010517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Cs w:val="24"/>
                <w:u w:color="FFFFFF" w:themeColor="background1"/>
                <w:lang w:val="en-AU"/>
              </w:rPr>
            </w:pPr>
            <w:r w:rsidRPr="00105176">
              <w:rPr>
                <w:rFonts w:eastAsia="Times New Roman" w:cs="Arial"/>
                <w:color w:val="FFFFFF" w:themeColor="background1"/>
                <w:szCs w:val="24"/>
                <w:u w:color="FFFFFF" w:themeColor="background1"/>
                <w:lang w:val="en-AU"/>
              </w:rPr>
              <w:t>2011-12</w:t>
            </w:r>
          </w:p>
        </w:tc>
        <w:tc>
          <w:tcPr>
            <w:tcW w:w="636" w:type="pct"/>
            <w:vAlign w:val="center"/>
            <w:hideMark/>
          </w:tcPr>
          <w:p w14:paraId="771F2D50" w14:textId="77777777" w:rsidR="007F1719" w:rsidRPr="00105176" w:rsidRDefault="007F1719" w:rsidP="0010517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Cs w:val="24"/>
                <w:u w:color="FFFFFF" w:themeColor="background1"/>
                <w:lang w:val="en-AU"/>
              </w:rPr>
            </w:pPr>
            <w:r w:rsidRPr="00105176">
              <w:rPr>
                <w:rFonts w:eastAsia="Times New Roman" w:cs="Arial"/>
                <w:color w:val="FFFFFF" w:themeColor="background1"/>
                <w:szCs w:val="24"/>
                <w:u w:color="FFFFFF" w:themeColor="background1"/>
                <w:lang w:val="en-AU"/>
              </w:rPr>
              <w:t>2012-13</w:t>
            </w:r>
          </w:p>
        </w:tc>
        <w:tc>
          <w:tcPr>
            <w:tcW w:w="636" w:type="pct"/>
            <w:vAlign w:val="center"/>
            <w:hideMark/>
          </w:tcPr>
          <w:p w14:paraId="021A4423" w14:textId="77777777" w:rsidR="007F1719" w:rsidRPr="00105176" w:rsidRDefault="007F1719" w:rsidP="0010517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Cs w:val="24"/>
                <w:u w:color="FFFFFF" w:themeColor="background1"/>
                <w:lang w:val="en-AU"/>
              </w:rPr>
            </w:pPr>
            <w:r w:rsidRPr="00105176">
              <w:rPr>
                <w:rFonts w:eastAsia="Times New Roman" w:cs="Arial"/>
                <w:color w:val="FFFFFF" w:themeColor="background1"/>
                <w:szCs w:val="24"/>
                <w:u w:color="FFFFFF" w:themeColor="background1"/>
                <w:lang w:val="en-AU"/>
              </w:rPr>
              <w:t>2013-14</w:t>
            </w:r>
          </w:p>
        </w:tc>
        <w:tc>
          <w:tcPr>
            <w:tcW w:w="636" w:type="pct"/>
            <w:vAlign w:val="center"/>
          </w:tcPr>
          <w:p w14:paraId="44B49FBF" w14:textId="77777777" w:rsidR="007F1719" w:rsidRPr="00105176" w:rsidRDefault="007F1719" w:rsidP="00105176">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Cs w:val="24"/>
                <w:u w:color="FFFFFF" w:themeColor="background1"/>
                <w:lang w:val="en-AU"/>
              </w:rPr>
            </w:pPr>
            <w:r w:rsidRPr="00105176">
              <w:rPr>
                <w:rFonts w:eastAsia="Times New Roman" w:cs="Arial"/>
                <w:color w:val="FFFFFF" w:themeColor="background1"/>
                <w:szCs w:val="24"/>
                <w:u w:color="FFFFFF" w:themeColor="background1"/>
                <w:lang w:val="en-AU"/>
              </w:rPr>
              <w:t>2014-15</w:t>
            </w:r>
          </w:p>
        </w:tc>
        <w:tc>
          <w:tcPr>
            <w:tcW w:w="636" w:type="pct"/>
            <w:vAlign w:val="center"/>
          </w:tcPr>
          <w:p w14:paraId="60614298" w14:textId="77777777" w:rsidR="007F1719" w:rsidRPr="00105176" w:rsidRDefault="007F1719" w:rsidP="0010517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u w:color="FFFFFF" w:themeColor="background1"/>
                <w:lang w:val="en-AU"/>
              </w:rPr>
            </w:pPr>
            <w:r w:rsidRPr="00105176">
              <w:rPr>
                <w:rFonts w:eastAsia="Times New Roman" w:cs="Arial"/>
                <w:color w:val="FFFFFF" w:themeColor="background1"/>
                <w:szCs w:val="24"/>
                <w:u w:color="FFFFFF" w:themeColor="background1"/>
                <w:lang w:val="en-AU"/>
              </w:rPr>
              <w:t>2015-16</w:t>
            </w:r>
          </w:p>
        </w:tc>
        <w:tc>
          <w:tcPr>
            <w:tcW w:w="636" w:type="pct"/>
            <w:vAlign w:val="center"/>
          </w:tcPr>
          <w:p w14:paraId="0E44BAC1" w14:textId="77777777" w:rsidR="007F1719" w:rsidRPr="00105176" w:rsidRDefault="007F1719" w:rsidP="0010517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u w:color="FFFFFF" w:themeColor="background1"/>
                <w:lang w:val="en-AU"/>
              </w:rPr>
            </w:pPr>
            <w:r w:rsidRPr="00105176">
              <w:rPr>
                <w:rFonts w:eastAsia="Times New Roman" w:cs="Arial"/>
                <w:color w:val="FFFFFF" w:themeColor="background1"/>
                <w:szCs w:val="24"/>
                <w:u w:color="FFFFFF" w:themeColor="background1"/>
                <w:lang w:val="en-AU"/>
              </w:rPr>
              <w:t>2016-17</w:t>
            </w:r>
          </w:p>
        </w:tc>
        <w:tc>
          <w:tcPr>
            <w:tcW w:w="636" w:type="pct"/>
            <w:vAlign w:val="center"/>
          </w:tcPr>
          <w:p w14:paraId="7DBD496A" w14:textId="77777777" w:rsidR="007F1719" w:rsidRPr="00105176" w:rsidRDefault="007F1719" w:rsidP="0010517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u w:color="FFFFFF" w:themeColor="background1"/>
                <w:lang w:val="en-AU"/>
              </w:rPr>
            </w:pPr>
            <w:r w:rsidRPr="00105176">
              <w:rPr>
                <w:rFonts w:eastAsia="Times New Roman" w:cs="Arial"/>
                <w:color w:val="FFFFFF" w:themeColor="background1"/>
                <w:szCs w:val="24"/>
                <w:u w:color="FFFFFF" w:themeColor="background1"/>
                <w:lang w:val="en-AU"/>
              </w:rPr>
              <w:t>2017-18</w:t>
            </w:r>
          </w:p>
        </w:tc>
      </w:tr>
      <w:tr w:rsidR="007F1719" w:rsidRPr="00A11CC5" w14:paraId="19BF86BA" w14:textId="77777777" w:rsidTr="00105176">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545" w:type="pct"/>
            <w:vAlign w:val="center"/>
            <w:hideMark/>
          </w:tcPr>
          <w:p w14:paraId="2B1D80AA" w14:textId="77777777" w:rsidR="007F1719" w:rsidRPr="00A11CC5" w:rsidRDefault="007F1719" w:rsidP="00105176">
            <w:pPr>
              <w:jc w:val="center"/>
              <w:rPr>
                <w:rFonts w:eastAsia="Times New Roman" w:cs="Arial"/>
                <w:color w:val="auto"/>
                <w:szCs w:val="24"/>
                <w:u w:color="FFFFFF" w:themeColor="background1"/>
                <w:lang w:val="en-AU"/>
              </w:rPr>
            </w:pPr>
            <w:r w:rsidRPr="00A11CC5">
              <w:rPr>
                <w:rFonts w:eastAsia="Times New Roman" w:cs="Arial"/>
                <w:color w:val="auto"/>
                <w:szCs w:val="24"/>
                <w:u w:color="FFFFFF" w:themeColor="background1"/>
                <w:lang w:val="en-AU"/>
              </w:rPr>
              <w:t>Total area (km</w:t>
            </w:r>
            <w:r w:rsidRPr="00A11CC5">
              <w:rPr>
                <w:rFonts w:eastAsia="Times New Roman" w:cs="Arial"/>
                <w:color w:val="auto"/>
                <w:szCs w:val="24"/>
                <w:u w:color="FFFFFF" w:themeColor="background1"/>
                <w:vertAlign w:val="superscript"/>
                <w:lang w:val="en-AU"/>
              </w:rPr>
              <w:t>2</w:t>
            </w:r>
            <w:r w:rsidRPr="00A11CC5">
              <w:rPr>
                <w:rFonts w:eastAsia="Times New Roman" w:cs="Arial"/>
                <w:color w:val="auto"/>
                <w:szCs w:val="24"/>
                <w:u w:color="FFFFFF" w:themeColor="background1"/>
                <w:lang w:val="en-AU"/>
              </w:rPr>
              <w:t>)</w:t>
            </w:r>
          </w:p>
        </w:tc>
        <w:tc>
          <w:tcPr>
            <w:tcW w:w="636" w:type="pct"/>
            <w:vAlign w:val="center"/>
            <w:hideMark/>
          </w:tcPr>
          <w:p w14:paraId="25DDCC08" w14:textId="77777777" w:rsidR="007F1719" w:rsidRPr="00A11CC5" w:rsidRDefault="007F1719" w:rsidP="0010517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u w:color="FFFFFF" w:themeColor="background1"/>
                <w:lang w:val="en-AU"/>
              </w:rPr>
            </w:pPr>
            <w:r w:rsidRPr="00A11CC5">
              <w:rPr>
                <w:rFonts w:eastAsia="Times New Roman" w:cs="Arial"/>
                <w:color w:val="auto"/>
                <w:szCs w:val="24"/>
                <w:u w:color="FFFFFF" w:themeColor="background1"/>
                <w:lang w:val="en-AU"/>
              </w:rPr>
              <w:t>83,900</w:t>
            </w:r>
          </w:p>
        </w:tc>
        <w:tc>
          <w:tcPr>
            <w:tcW w:w="636" w:type="pct"/>
            <w:vAlign w:val="center"/>
            <w:hideMark/>
          </w:tcPr>
          <w:p w14:paraId="48E91351" w14:textId="77777777" w:rsidR="007F1719" w:rsidRPr="00A11CC5" w:rsidRDefault="007F1719" w:rsidP="0010517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u w:color="FFFFFF" w:themeColor="background1"/>
                <w:lang w:val="en-AU"/>
              </w:rPr>
            </w:pPr>
            <w:r w:rsidRPr="00A11CC5">
              <w:rPr>
                <w:rFonts w:eastAsia="Times New Roman" w:cs="Arial"/>
                <w:color w:val="auto"/>
                <w:szCs w:val="24"/>
                <w:u w:color="FFFFFF" w:themeColor="background1"/>
                <w:lang w:val="en-AU"/>
              </w:rPr>
              <w:t>77,366</w:t>
            </w:r>
          </w:p>
        </w:tc>
        <w:tc>
          <w:tcPr>
            <w:tcW w:w="636" w:type="pct"/>
            <w:vAlign w:val="center"/>
            <w:hideMark/>
          </w:tcPr>
          <w:p w14:paraId="3096DE0C" w14:textId="77777777" w:rsidR="007F1719" w:rsidRPr="00A11CC5" w:rsidRDefault="007F1719" w:rsidP="0010517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u w:color="FFFFFF" w:themeColor="background1"/>
                <w:lang w:val="en-AU"/>
              </w:rPr>
            </w:pPr>
            <w:r w:rsidRPr="00A11CC5">
              <w:rPr>
                <w:rFonts w:eastAsia="Times New Roman" w:cs="Arial"/>
                <w:color w:val="auto"/>
                <w:szCs w:val="24"/>
                <w:u w:color="FFFFFF" w:themeColor="background1"/>
                <w:lang w:val="en-AU"/>
              </w:rPr>
              <w:t>67,833*</w:t>
            </w:r>
          </w:p>
        </w:tc>
        <w:tc>
          <w:tcPr>
            <w:tcW w:w="636" w:type="pct"/>
            <w:vAlign w:val="center"/>
          </w:tcPr>
          <w:p w14:paraId="26D1411C" w14:textId="77777777" w:rsidR="007F1719" w:rsidRPr="00A11CC5" w:rsidRDefault="007F1719" w:rsidP="0010517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u w:color="FFFFFF" w:themeColor="background1"/>
                <w:lang w:val="en-AU"/>
              </w:rPr>
            </w:pPr>
            <w:r w:rsidRPr="00A11CC5">
              <w:rPr>
                <w:rFonts w:eastAsia="Times New Roman" w:cs="Arial"/>
                <w:color w:val="auto"/>
                <w:szCs w:val="24"/>
                <w:u w:color="FFFFFF" w:themeColor="background1"/>
                <w:lang w:val="en-AU"/>
              </w:rPr>
              <w:t>54,698*</w:t>
            </w:r>
          </w:p>
        </w:tc>
        <w:tc>
          <w:tcPr>
            <w:tcW w:w="636" w:type="pct"/>
            <w:vAlign w:val="center"/>
          </w:tcPr>
          <w:p w14:paraId="44BBA557" w14:textId="77777777" w:rsidR="007F1719" w:rsidRPr="00A11CC5" w:rsidRDefault="007F1719" w:rsidP="00105176">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u w:color="FFFFFF" w:themeColor="background1"/>
                <w:lang w:val="en-AU"/>
              </w:rPr>
            </w:pPr>
            <w:r w:rsidRPr="00A11CC5">
              <w:rPr>
                <w:rFonts w:eastAsia="Times New Roman" w:cs="Arial"/>
                <w:color w:val="auto"/>
                <w:szCs w:val="24"/>
                <w:u w:color="FFFFFF" w:themeColor="background1"/>
                <w:lang w:val="en-AU"/>
              </w:rPr>
              <w:t>48,569</w:t>
            </w:r>
          </w:p>
        </w:tc>
        <w:tc>
          <w:tcPr>
            <w:tcW w:w="636" w:type="pct"/>
            <w:vAlign w:val="center"/>
          </w:tcPr>
          <w:p w14:paraId="6DC2D019" w14:textId="77777777" w:rsidR="007F1719" w:rsidRPr="00A11CC5" w:rsidRDefault="007F1719" w:rsidP="0010517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u w:color="FFFFFF" w:themeColor="background1"/>
                <w:lang w:val="en-AU"/>
              </w:rPr>
            </w:pPr>
            <w:r w:rsidRPr="00A11CC5">
              <w:rPr>
                <w:rFonts w:eastAsia="Times New Roman" w:cs="Arial"/>
                <w:color w:val="auto"/>
                <w:szCs w:val="24"/>
                <w:u w:color="FFFFFF" w:themeColor="background1"/>
                <w:lang w:val="en-AU"/>
              </w:rPr>
              <w:t>51,984</w:t>
            </w:r>
          </w:p>
        </w:tc>
        <w:tc>
          <w:tcPr>
            <w:tcW w:w="636" w:type="pct"/>
            <w:vAlign w:val="center"/>
          </w:tcPr>
          <w:p w14:paraId="65B63296" w14:textId="77777777" w:rsidR="007F1719" w:rsidRPr="00A11CC5" w:rsidRDefault="007F08A9" w:rsidP="0010517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u w:color="FFFFFF" w:themeColor="background1"/>
                <w:lang w:val="en-AU"/>
              </w:rPr>
            </w:pPr>
            <w:r>
              <w:rPr>
                <w:rFonts w:eastAsia="Times New Roman" w:cs="Arial"/>
                <w:color w:val="auto"/>
                <w:szCs w:val="24"/>
                <w:u w:color="FFFFFF" w:themeColor="background1"/>
                <w:lang w:val="en-AU"/>
              </w:rPr>
              <w:t>49</w:t>
            </w:r>
            <w:r w:rsidR="006D1E82">
              <w:rPr>
                <w:rFonts w:eastAsia="Times New Roman" w:cs="Arial"/>
                <w:color w:val="auto"/>
                <w:szCs w:val="24"/>
                <w:u w:color="FFFFFF" w:themeColor="background1"/>
                <w:lang w:val="en-AU"/>
              </w:rPr>
              <w:t>,</w:t>
            </w:r>
            <w:r w:rsidR="00184C85">
              <w:rPr>
                <w:rFonts w:eastAsia="Times New Roman" w:cs="Arial"/>
                <w:color w:val="auto"/>
                <w:szCs w:val="24"/>
                <w:u w:color="FFFFFF" w:themeColor="background1"/>
                <w:lang w:val="en-AU"/>
              </w:rPr>
              <w:t>353</w:t>
            </w:r>
          </w:p>
        </w:tc>
      </w:tr>
    </w:tbl>
    <w:p w14:paraId="63A04610" w14:textId="4D097F95" w:rsidR="008429E1" w:rsidRPr="00A11CC5" w:rsidRDefault="008429E1" w:rsidP="00C1194F">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p>
    <w:p w14:paraId="16ACD25F" w14:textId="70BEB8D2" w:rsidR="008857BC" w:rsidRDefault="008857BC" w:rsidP="008429E1">
      <w:pPr>
        <w:spacing w:after="0" w:line="240" w:lineRule="auto"/>
        <w:jc w:val="both"/>
        <w:rPr>
          <w:rFonts w:eastAsia="Times New Roman" w:cs="Arial"/>
          <w:b/>
          <w:color w:val="auto"/>
          <w:szCs w:val="24"/>
          <w:u w:color="FFFFFF" w:themeColor="background1"/>
          <w:lang w:val="en-AU"/>
        </w:rPr>
      </w:pPr>
    </w:p>
    <w:p w14:paraId="5FC54148" w14:textId="77777777" w:rsidR="00605DE6" w:rsidRPr="00A11CC5" w:rsidRDefault="00605DE6" w:rsidP="008429E1">
      <w:pPr>
        <w:spacing w:after="0" w:line="240" w:lineRule="auto"/>
        <w:jc w:val="both"/>
        <w:rPr>
          <w:rFonts w:eastAsia="Times New Roman" w:cs="Arial"/>
          <w:b/>
          <w:color w:val="auto"/>
          <w:szCs w:val="24"/>
          <w:u w:color="FFFFFF" w:themeColor="background1"/>
          <w:lang w:val="en-AU"/>
        </w:rPr>
      </w:pPr>
    </w:p>
    <w:p w14:paraId="7F0F31F7" w14:textId="755D2F11" w:rsidR="008429E1" w:rsidRDefault="008429E1" w:rsidP="00C1194F">
      <w:pPr>
        <w:spacing w:before="120" w:after="120" w:line="240" w:lineRule="auto"/>
        <w:jc w:val="both"/>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 xml:space="preserve">Graph </w:t>
      </w:r>
      <w:r w:rsidR="00133388" w:rsidRPr="00A11CC5">
        <w:rPr>
          <w:rFonts w:eastAsia="Times New Roman" w:cs="Arial"/>
          <w:b/>
          <w:color w:val="auto"/>
          <w:szCs w:val="24"/>
          <w:u w:color="FFFFFF" w:themeColor="background1"/>
          <w:lang w:val="en-AU"/>
        </w:rPr>
        <w:t>2</w:t>
      </w:r>
      <w:r w:rsidRPr="00A11CC5">
        <w:rPr>
          <w:rFonts w:eastAsia="Times New Roman" w:cs="Arial"/>
          <w:b/>
          <w:color w:val="auto"/>
          <w:szCs w:val="24"/>
          <w:u w:color="FFFFFF" w:themeColor="background1"/>
          <w:lang w:val="en-AU"/>
        </w:rPr>
        <w:t>.</w:t>
      </w:r>
      <w:r w:rsidR="00F21245">
        <w:rPr>
          <w:rFonts w:eastAsia="Times New Roman" w:cs="Arial"/>
          <w:b/>
          <w:color w:val="auto"/>
          <w:szCs w:val="24"/>
          <w:u w:color="FFFFFF" w:themeColor="background1"/>
          <w:lang w:val="en-AU"/>
        </w:rPr>
        <w:t>5</w:t>
      </w:r>
      <w:r w:rsidR="00D96677" w:rsidRPr="00A11CC5">
        <w:rPr>
          <w:rFonts w:eastAsia="Times New Roman" w:cs="Arial"/>
          <w:b/>
          <w:color w:val="auto"/>
          <w:szCs w:val="24"/>
          <w:u w:color="FFFFFF" w:themeColor="background1"/>
          <w:lang w:val="en-AU"/>
        </w:rPr>
        <w:t xml:space="preserve"> </w:t>
      </w:r>
      <w:r w:rsidRPr="00A11CC5">
        <w:rPr>
          <w:rFonts w:eastAsia="Times New Roman" w:cs="Arial"/>
          <w:b/>
          <w:color w:val="auto"/>
          <w:szCs w:val="24"/>
          <w:u w:color="FFFFFF" w:themeColor="background1"/>
          <w:lang w:val="en-AU"/>
        </w:rPr>
        <w:t xml:space="preserve">Total area </w:t>
      </w:r>
      <w:r w:rsidR="00B76F98" w:rsidRPr="00A11CC5">
        <w:rPr>
          <w:rFonts w:eastAsia="Times New Roman" w:cs="Arial"/>
          <w:b/>
          <w:color w:val="auto"/>
          <w:szCs w:val="24"/>
          <w:u w:color="FFFFFF" w:themeColor="background1"/>
          <w:lang w:val="en-AU"/>
        </w:rPr>
        <w:t xml:space="preserve">of </w:t>
      </w:r>
      <w:r w:rsidR="006411EB" w:rsidRPr="00A11CC5">
        <w:rPr>
          <w:rFonts w:eastAsia="Times New Roman" w:cs="Arial"/>
          <w:b/>
          <w:color w:val="auto"/>
          <w:szCs w:val="24"/>
          <w:u w:color="FFFFFF" w:themeColor="background1"/>
          <w:lang w:val="en-AU"/>
        </w:rPr>
        <w:t xml:space="preserve">Victoria </w:t>
      </w:r>
      <w:r w:rsidRPr="00A11CC5">
        <w:rPr>
          <w:rFonts w:eastAsia="Times New Roman" w:cs="Arial"/>
          <w:b/>
          <w:color w:val="auto"/>
          <w:szCs w:val="24"/>
          <w:u w:color="FFFFFF" w:themeColor="background1"/>
          <w:lang w:val="en-AU"/>
        </w:rPr>
        <w:t xml:space="preserve">covered by </w:t>
      </w:r>
      <w:r w:rsidR="00B76F98" w:rsidRPr="00A11CC5">
        <w:rPr>
          <w:rFonts w:eastAsia="Times New Roman" w:cs="Arial"/>
          <w:b/>
          <w:color w:val="auto"/>
          <w:szCs w:val="24"/>
          <w:u w:color="FFFFFF" w:themeColor="background1"/>
          <w:lang w:val="en-AU"/>
        </w:rPr>
        <w:t xml:space="preserve">mineral </w:t>
      </w:r>
      <w:r w:rsidR="00F2356C" w:rsidRPr="00A11CC5">
        <w:rPr>
          <w:rFonts w:eastAsia="Times New Roman" w:cs="Arial"/>
          <w:b/>
          <w:color w:val="auto"/>
          <w:szCs w:val="24"/>
          <w:u w:color="FFFFFF" w:themeColor="background1"/>
          <w:lang w:val="en-AU"/>
        </w:rPr>
        <w:t xml:space="preserve">exploration </w:t>
      </w:r>
      <w:r w:rsidRPr="00A11CC5">
        <w:rPr>
          <w:rFonts w:eastAsia="Times New Roman" w:cs="Arial"/>
          <w:b/>
          <w:color w:val="auto"/>
          <w:szCs w:val="24"/>
          <w:u w:color="FFFFFF" w:themeColor="background1"/>
          <w:lang w:val="en-AU"/>
        </w:rPr>
        <w:t>licences</w:t>
      </w:r>
    </w:p>
    <w:p w14:paraId="04FCDE6C" w14:textId="77777777" w:rsidR="00184C85" w:rsidRDefault="007F08A9" w:rsidP="00C1194F">
      <w:pPr>
        <w:spacing w:before="120" w:after="120" w:line="240" w:lineRule="auto"/>
        <w:jc w:val="both"/>
        <w:rPr>
          <w:rFonts w:eastAsia="Times New Roman" w:cs="Arial"/>
          <w:b/>
          <w:color w:val="auto"/>
          <w:szCs w:val="24"/>
          <w:u w:color="FFFFFF" w:themeColor="background1"/>
          <w:lang w:val="en-AU"/>
        </w:rPr>
      </w:pPr>
      <w:r>
        <w:rPr>
          <w:rFonts w:eastAsia="Times New Roman" w:cs="Arial"/>
          <w:b/>
          <w:noProof/>
          <w:color w:val="auto"/>
          <w:szCs w:val="24"/>
          <w:u w:color="FFFFFF" w:themeColor="background1"/>
          <w:lang w:val="en-AU"/>
        </w:rPr>
        <w:drawing>
          <wp:inline distT="0" distB="0" distL="0" distR="0" wp14:anchorId="128BF72B" wp14:editId="1E95F8D3">
            <wp:extent cx="6677025"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3ED9B4A" w14:textId="736B62E5" w:rsidR="007B1F4F" w:rsidRPr="00A11CC5" w:rsidRDefault="007B1F4F" w:rsidP="007B1F4F">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p>
    <w:p w14:paraId="7D6B5FB6" w14:textId="77777777" w:rsidR="007B1F4F" w:rsidRDefault="007B1F4F">
      <w:pPr>
        <w:widowControl/>
        <w:suppressAutoHyphens w:val="0"/>
        <w:autoSpaceDE/>
        <w:autoSpaceDN/>
        <w:adjustRightInd/>
        <w:spacing w:before="200" w:after="200" w:line="276" w:lineRule="auto"/>
        <w:textAlignment w:val="auto"/>
        <w:rPr>
          <w:rFonts w:eastAsia="Times New Roman" w:cs="Arial"/>
          <w:b/>
          <w:color w:val="auto"/>
          <w:szCs w:val="24"/>
          <w:u w:color="FFFFFF" w:themeColor="background1"/>
          <w:lang w:val="en-AU"/>
        </w:rPr>
      </w:pPr>
    </w:p>
    <w:p w14:paraId="1B43D6CF" w14:textId="77777777" w:rsidR="00BA3079" w:rsidRDefault="00BA3079">
      <w:pPr>
        <w:widowControl/>
        <w:suppressAutoHyphens w:val="0"/>
        <w:autoSpaceDE/>
        <w:autoSpaceDN/>
        <w:adjustRightInd/>
        <w:spacing w:before="200" w:after="200" w:line="276" w:lineRule="auto"/>
        <w:textAlignment w:val="auto"/>
        <w:rPr>
          <w:rFonts w:eastAsia="Times New Roman" w:cs="Arial"/>
          <w:b/>
          <w:color w:val="auto"/>
          <w:szCs w:val="24"/>
          <w:u w:color="FFFFFF" w:themeColor="background1"/>
          <w:lang w:val="en-AU"/>
        </w:rPr>
      </w:pPr>
      <w:r>
        <w:rPr>
          <w:rFonts w:eastAsia="Times New Roman" w:cs="Arial"/>
          <w:b/>
          <w:color w:val="auto"/>
          <w:szCs w:val="24"/>
          <w:u w:color="FFFFFF" w:themeColor="background1"/>
          <w:lang w:val="en-AU"/>
        </w:rPr>
        <w:br w:type="page"/>
      </w:r>
    </w:p>
    <w:p w14:paraId="14948943" w14:textId="063B9C23" w:rsidR="00F97074" w:rsidRPr="00A11CC5" w:rsidRDefault="008429E1" w:rsidP="00C1194F">
      <w:pPr>
        <w:pStyle w:val="BodyText"/>
        <w:spacing w:before="0" w:after="0"/>
        <w:rPr>
          <w:rFonts w:cs="Arial"/>
          <w:u w:color="FFFFFF" w:themeColor="background1"/>
          <w:lang w:val="en-AU"/>
        </w:rPr>
      </w:pPr>
      <w:r w:rsidRPr="00A11CC5">
        <w:rPr>
          <w:rFonts w:cs="Arial"/>
          <w:u w:color="FFFFFF" w:themeColor="background1"/>
          <w:lang w:val="en-AU"/>
        </w:rPr>
        <w:lastRenderedPageBreak/>
        <w:t xml:space="preserve">Source: </w:t>
      </w:r>
      <w:r w:rsidR="00484EE0">
        <w:rPr>
          <w:rFonts w:cs="Arial"/>
          <w:u w:color="FFFFFF" w:themeColor="background1"/>
          <w:lang w:val="en-AU"/>
        </w:rPr>
        <w:t>DJPR</w:t>
      </w:r>
    </w:p>
    <w:p w14:paraId="21627C73" w14:textId="472E80B0" w:rsidR="008429E1" w:rsidRPr="00A11CC5" w:rsidRDefault="008429E1" w:rsidP="00BB6F8A">
      <w:pPr>
        <w:pStyle w:val="Heading2"/>
        <w:rPr>
          <w:color w:val="auto"/>
          <w:lang w:val="en-AU"/>
        </w:rPr>
      </w:pPr>
      <w:bookmarkStart w:id="4" w:name="_Toc533149009"/>
      <w:r w:rsidRPr="00A11CC5">
        <w:rPr>
          <w:color w:val="auto"/>
          <w:lang w:val="en-AU"/>
        </w:rPr>
        <w:t xml:space="preserve">Mineral </w:t>
      </w:r>
      <w:r w:rsidR="003C1B31" w:rsidRPr="00A11CC5">
        <w:rPr>
          <w:color w:val="auto"/>
          <w:lang w:val="en-AU"/>
        </w:rPr>
        <w:t>e</w:t>
      </w:r>
      <w:r w:rsidRPr="00A11CC5">
        <w:rPr>
          <w:color w:val="auto"/>
          <w:lang w:val="en-AU"/>
        </w:rPr>
        <w:t xml:space="preserve">xploration and </w:t>
      </w:r>
      <w:r w:rsidR="003C1B31" w:rsidRPr="00A11CC5">
        <w:rPr>
          <w:color w:val="auto"/>
          <w:lang w:val="en-AU"/>
        </w:rPr>
        <w:t>m</w:t>
      </w:r>
      <w:r w:rsidRPr="00A11CC5">
        <w:rPr>
          <w:color w:val="auto"/>
          <w:lang w:val="en-AU"/>
        </w:rPr>
        <w:t xml:space="preserve">ining </w:t>
      </w:r>
      <w:r w:rsidR="003C1B31" w:rsidRPr="00A11CC5">
        <w:rPr>
          <w:color w:val="auto"/>
          <w:lang w:val="en-AU"/>
        </w:rPr>
        <w:t>e</w:t>
      </w:r>
      <w:r w:rsidRPr="00A11CC5">
        <w:rPr>
          <w:color w:val="auto"/>
          <w:lang w:val="en-AU"/>
        </w:rPr>
        <w:t>xpenditure</w:t>
      </w:r>
      <w:bookmarkEnd w:id="4"/>
    </w:p>
    <w:p w14:paraId="5A4D0897" w14:textId="39603DEF" w:rsidR="008429E1" w:rsidRPr="00C10AD1" w:rsidRDefault="00403DC4" w:rsidP="008429E1">
      <w:pPr>
        <w:pStyle w:val="bodycopy"/>
        <w:rPr>
          <w:rFonts w:eastAsia="Times New Roman"/>
          <w:color w:val="auto"/>
          <w:u w:color="FFFFFF" w:themeColor="background1"/>
          <w:lang w:val="en-AU"/>
        </w:rPr>
      </w:pPr>
      <w:r w:rsidRPr="00874254">
        <w:rPr>
          <w:rFonts w:eastAsia="Times New Roman"/>
          <w:color w:val="auto"/>
          <w:u w:val="single" w:color="FFFFFF" w:themeColor="background1"/>
          <w:lang w:val="en-AU"/>
        </w:rPr>
        <w:t>Australian Bureau of Statistics (</w:t>
      </w:r>
      <w:r w:rsidR="008429E1" w:rsidRPr="00874254">
        <w:rPr>
          <w:rFonts w:eastAsia="Times New Roman"/>
          <w:color w:val="auto"/>
          <w:u w:val="single" w:color="FFFFFF" w:themeColor="background1"/>
          <w:lang w:val="en-AU"/>
        </w:rPr>
        <w:t>ABS</w:t>
      </w:r>
      <w:r w:rsidRPr="00874254">
        <w:rPr>
          <w:rFonts w:eastAsia="Times New Roman"/>
          <w:color w:val="auto"/>
          <w:u w:val="single" w:color="FFFFFF" w:themeColor="background1"/>
          <w:lang w:val="en-AU"/>
        </w:rPr>
        <w:t>)</w:t>
      </w:r>
      <w:r w:rsidR="008429E1" w:rsidRPr="00874254">
        <w:rPr>
          <w:rFonts w:eastAsia="Times New Roman"/>
          <w:color w:val="auto"/>
          <w:u w:val="single" w:color="FFFFFF" w:themeColor="background1"/>
          <w:lang w:val="en-AU"/>
        </w:rPr>
        <w:t xml:space="preserve"> data shows </w:t>
      </w:r>
      <w:r w:rsidR="002A4A6C" w:rsidRPr="00874254">
        <w:rPr>
          <w:rFonts w:eastAsia="Times New Roman"/>
          <w:color w:val="auto"/>
          <w:u w:val="single" w:color="FFFFFF" w:themeColor="background1"/>
          <w:lang w:val="en-AU"/>
        </w:rPr>
        <w:t>an increase</w:t>
      </w:r>
      <w:r w:rsidR="008429E1" w:rsidRPr="00874254">
        <w:rPr>
          <w:rFonts w:eastAsia="Times New Roman"/>
          <w:color w:val="auto"/>
          <w:u w:val="single" w:color="FFFFFF" w:themeColor="background1"/>
          <w:lang w:val="en-AU"/>
        </w:rPr>
        <w:t xml:space="preserve"> </w:t>
      </w:r>
      <w:r w:rsidR="00B533F5" w:rsidRPr="00874254">
        <w:rPr>
          <w:rFonts w:eastAsia="Times New Roman"/>
          <w:color w:val="auto"/>
          <w:u w:val="single" w:color="FFFFFF" w:themeColor="background1"/>
          <w:lang w:val="en-AU"/>
        </w:rPr>
        <w:t xml:space="preserve">of </w:t>
      </w:r>
      <w:r w:rsidR="00806152" w:rsidRPr="00874254">
        <w:rPr>
          <w:rFonts w:eastAsia="Times New Roman"/>
          <w:color w:val="auto"/>
          <w:u w:val="single" w:color="FFFFFF" w:themeColor="background1"/>
          <w:lang w:val="en-AU"/>
        </w:rPr>
        <w:t>81.1</w:t>
      </w:r>
      <w:r w:rsidR="00874254" w:rsidRPr="00874254">
        <w:rPr>
          <w:rFonts w:eastAsia="Times New Roman"/>
          <w:color w:val="auto"/>
          <w:u w:val="single" w:color="FFFFFF" w:themeColor="background1"/>
          <w:lang w:val="en-AU"/>
        </w:rPr>
        <w:t>%</w:t>
      </w:r>
      <w:r w:rsidR="00603038">
        <w:rPr>
          <w:rFonts w:eastAsia="Times New Roman"/>
          <w:color w:val="auto"/>
          <w:u w:val="single" w:color="FFFFFF" w:themeColor="background1"/>
          <w:lang w:val="en-AU"/>
        </w:rPr>
        <w:t xml:space="preserve"> </w:t>
      </w:r>
      <w:r w:rsidR="003766EF" w:rsidRPr="00874254">
        <w:rPr>
          <w:rFonts w:eastAsia="Times New Roman"/>
          <w:color w:val="auto"/>
          <w:u w:val="single" w:color="FFFFFF" w:themeColor="background1"/>
          <w:lang w:val="en-AU"/>
        </w:rPr>
        <w:t>($</w:t>
      </w:r>
      <w:r w:rsidR="00806152" w:rsidRPr="00874254">
        <w:rPr>
          <w:rFonts w:eastAsia="Times New Roman"/>
          <w:color w:val="auto"/>
          <w:u w:val="single" w:color="FFFFFF" w:themeColor="background1"/>
          <w:lang w:val="en-AU"/>
        </w:rPr>
        <w:t>40.7</w:t>
      </w:r>
      <w:r w:rsidR="003766EF" w:rsidRPr="00874254">
        <w:rPr>
          <w:rFonts w:eastAsia="Times New Roman"/>
          <w:color w:val="auto"/>
          <w:u w:val="single" w:color="FFFFFF" w:themeColor="background1"/>
          <w:lang w:val="en-AU"/>
        </w:rPr>
        <w:t xml:space="preserve"> M to $</w:t>
      </w:r>
      <w:r w:rsidR="00806152" w:rsidRPr="00874254">
        <w:rPr>
          <w:rFonts w:eastAsia="Times New Roman"/>
          <w:color w:val="auto"/>
          <w:u w:val="single" w:color="FFFFFF" w:themeColor="background1"/>
          <w:lang w:val="en-AU"/>
        </w:rPr>
        <w:t>73</w:t>
      </w:r>
      <w:r w:rsidR="003766EF" w:rsidRPr="00874254">
        <w:rPr>
          <w:rFonts w:eastAsia="Times New Roman"/>
          <w:color w:val="auto"/>
          <w:u w:val="single" w:color="FFFFFF" w:themeColor="background1"/>
          <w:lang w:val="en-AU"/>
        </w:rPr>
        <w:t>.7M)</w:t>
      </w:r>
      <w:r w:rsidR="00D13547" w:rsidRPr="00874254">
        <w:rPr>
          <w:rFonts w:eastAsia="Times New Roman"/>
          <w:color w:val="auto"/>
          <w:u w:val="single" w:color="FFFFFF" w:themeColor="background1"/>
          <w:lang w:val="en-AU"/>
        </w:rPr>
        <w:t xml:space="preserve"> </w:t>
      </w:r>
      <w:r w:rsidR="008429E1" w:rsidRPr="00874254">
        <w:rPr>
          <w:rFonts w:eastAsia="Times New Roman"/>
          <w:color w:val="auto"/>
          <w:u w:val="single" w:color="FFFFFF" w:themeColor="background1"/>
          <w:lang w:val="en-AU"/>
        </w:rPr>
        <w:t xml:space="preserve">in Victorian exploration expenditure in </w:t>
      </w:r>
      <w:r w:rsidR="00C82F66">
        <w:rPr>
          <w:rFonts w:eastAsia="Times New Roman"/>
          <w:color w:val="auto"/>
          <w:u w:val="single" w:color="FFFFFF" w:themeColor="background1"/>
          <w:lang w:val="en-AU"/>
        </w:rPr>
        <w:t>2017-</w:t>
      </w:r>
      <w:r w:rsidR="00806152" w:rsidRPr="00874254">
        <w:rPr>
          <w:rFonts w:eastAsia="Times New Roman"/>
          <w:color w:val="auto"/>
          <w:u w:val="single" w:color="FFFFFF" w:themeColor="background1"/>
          <w:lang w:val="en-AU"/>
        </w:rPr>
        <w:t>18</w:t>
      </w:r>
      <w:r w:rsidR="0094126C" w:rsidRPr="00874254">
        <w:rPr>
          <w:rFonts w:eastAsia="Times New Roman"/>
          <w:color w:val="auto"/>
          <w:u w:val="single" w:color="FFFFFF" w:themeColor="background1"/>
          <w:lang w:val="en-AU"/>
        </w:rPr>
        <w:t xml:space="preserve"> </w:t>
      </w:r>
      <w:r w:rsidR="008429E1" w:rsidRPr="00874254">
        <w:rPr>
          <w:rFonts w:eastAsia="Times New Roman"/>
          <w:color w:val="auto"/>
          <w:u w:val="single" w:color="FFFFFF" w:themeColor="background1"/>
          <w:lang w:val="en-AU"/>
        </w:rPr>
        <w:t xml:space="preserve">compared </w:t>
      </w:r>
      <w:r w:rsidR="0094126C" w:rsidRPr="00874254">
        <w:rPr>
          <w:rFonts w:eastAsia="Times New Roman"/>
          <w:color w:val="auto"/>
          <w:u w:val="single" w:color="FFFFFF" w:themeColor="background1"/>
          <w:lang w:val="en-AU"/>
        </w:rPr>
        <w:t>to</w:t>
      </w:r>
      <w:r w:rsidR="008429E1" w:rsidRPr="00874254">
        <w:rPr>
          <w:rFonts w:eastAsia="Times New Roman"/>
          <w:color w:val="auto"/>
          <w:u w:val="single" w:color="FFFFFF" w:themeColor="background1"/>
          <w:lang w:val="en-AU"/>
        </w:rPr>
        <w:t xml:space="preserve"> </w:t>
      </w:r>
      <w:r w:rsidR="00C82F66">
        <w:rPr>
          <w:rFonts w:eastAsia="Times New Roman"/>
          <w:color w:val="auto"/>
          <w:u w:val="single" w:color="FFFFFF" w:themeColor="background1"/>
          <w:lang w:val="en-AU"/>
        </w:rPr>
        <w:t>2016-</w:t>
      </w:r>
      <w:r w:rsidR="00806152" w:rsidRPr="00874254">
        <w:rPr>
          <w:rFonts w:eastAsia="Times New Roman"/>
          <w:color w:val="auto"/>
          <w:u w:val="single" w:color="FFFFFF" w:themeColor="background1"/>
          <w:lang w:val="en-AU"/>
        </w:rPr>
        <w:t>17</w:t>
      </w:r>
      <w:r w:rsidR="008429E1" w:rsidRPr="00874254">
        <w:rPr>
          <w:rFonts w:eastAsia="Times New Roman"/>
          <w:color w:val="auto"/>
          <w:u w:val="single" w:color="FFFFFF" w:themeColor="background1"/>
          <w:lang w:val="en-AU"/>
        </w:rPr>
        <w:t>.</w:t>
      </w:r>
      <w:r w:rsidR="00FC3FAD" w:rsidRPr="00874254">
        <w:rPr>
          <w:rFonts w:eastAsia="Times New Roman"/>
          <w:color w:val="auto"/>
          <w:u w:val="single" w:color="FFFFFF" w:themeColor="background1"/>
          <w:lang w:val="en-AU"/>
        </w:rPr>
        <w:t xml:space="preserve"> </w:t>
      </w:r>
      <w:r w:rsidR="00D13547" w:rsidRPr="00874254">
        <w:rPr>
          <w:rFonts w:eastAsia="Times New Roman"/>
          <w:color w:val="auto"/>
          <w:u w:color="FFFFFF" w:themeColor="background1"/>
          <w:lang w:val="en-AU"/>
        </w:rPr>
        <w:t>D</w:t>
      </w:r>
      <w:r w:rsidR="008429E1" w:rsidRPr="00874254">
        <w:rPr>
          <w:rFonts w:eastAsia="Times New Roman"/>
          <w:color w:val="auto"/>
          <w:u w:color="FFFFFF" w:themeColor="background1"/>
          <w:lang w:val="en-AU"/>
        </w:rPr>
        <w:t>ata</w:t>
      </w:r>
      <w:r w:rsidR="00CB72BA" w:rsidRPr="00874254">
        <w:rPr>
          <w:rFonts w:eastAsia="Times New Roman"/>
          <w:color w:val="auto"/>
          <w:u w:color="FFFFFF" w:themeColor="background1"/>
          <w:lang w:val="en-AU"/>
        </w:rPr>
        <w:t xml:space="preserve"> </w:t>
      </w:r>
      <w:r w:rsidR="00D13547" w:rsidRPr="00874254">
        <w:rPr>
          <w:rFonts w:eastAsia="Times New Roman"/>
          <w:color w:val="auto"/>
          <w:u w:color="FFFFFF" w:themeColor="background1"/>
          <w:lang w:val="en-AU"/>
        </w:rPr>
        <w:t xml:space="preserve">reported to </w:t>
      </w:r>
      <w:r w:rsidR="00D13547" w:rsidRPr="00874254">
        <w:rPr>
          <w:rFonts w:eastAsia="Times New Roman"/>
          <w:color w:val="auto"/>
          <w:u w:val="single" w:color="FFFFFF" w:themeColor="background1"/>
          <w:lang w:val="en-AU"/>
        </w:rPr>
        <w:t xml:space="preserve">Earth Resources Regulation </w:t>
      </w:r>
      <w:r w:rsidR="00CB72BA" w:rsidRPr="00874254">
        <w:rPr>
          <w:rFonts w:eastAsia="Times New Roman"/>
          <w:color w:val="auto"/>
          <w:u w:color="FFFFFF" w:themeColor="background1"/>
          <w:lang w:val="en-AU"/>
        </w:rPr>
        <w:t xml:space="preserve">on </w:t>
      </w:r>
      <w:r w:rsidR="00142A2F" w:rsidRPr="00874254">
        <w:rPr>
          <w:rFonts w:eastAsia="Times New Roman"/>
          <w:color w:val="auto"/>
          <w:u w:color="FFFFFF" w:themeColor="background1"/>
          <w:lang w:val="en-AU"/>
        </w:rPr>
        <w:t>mineral</w:t>
      </w:r>
      <w:r w:rsidR="00CB72BA" w:rsidRPr="00874254">
        <w:rPr>
          <w:rFonts w:eastAsia="Times New Roman"/>
          <w:color w:val="auto"/>
          <w:u w:color="FFFFFF" w:themeColor="background1"/>
          <w:lang w:val="en-AU"/>
        </w:rPr>
        <w:t xml:space="preserve"> exploration shows </w:t>
      </w:r>
      <w:r w:rsidR="0094126C" w:rsidRPr="00874254">
        <w:rPr>
          <w:rFonts w:eastAsia="Times New Roman"/>
          <w:color w:val="auto"/>
          <w:u w:color="FFFFFF" w:themeColor="background1"/>
          <w:lang w:val="en-AU"/>
        </w:rPr>
        <w:t xml:space="preserve">that the amount </w:t>
      </w:r>
      <w:r w:rsidR="008429E1" w:rsidRPr="00874254">
        <w:rPr>
          <w:rFonts w:eastAsia="Times New Roman"/>
          <w:color w:val="auto"/>
          <w:u w:color="FFFFFF" w:themeColor="background1"/>
          <w:lang w:val="en-AU"/>
        </w:rPr>
        <w:t xml:space="preserve">spent on exploration </w:t>
      </w:r>
      <w:r w:rsidR="00806152" w:rsidRPr="00874254">
        <w:rPr>
          <w:rFonts w:eastAsia="Times New Roman"/>
          <w:color w:val="auto"/>
          <w:u w:color="FFFFFF" w:themeColor="background1"/>
          <w:lang w:val="en-AU"/>
        </w:rPr>
        <w:t>increase</w:t>
      </w:r>
      <w:r w:rsidR="005F1D82">
        <w:rPr>
          <w:rFonts w:eastAsia="Times New Roman"/>
          <w:color w:val="auto"/>
          <w:u w:color="FFFFFF" w:themeColor="background1"/>
          <w:lang w:val="en-AU"/>
        </w:rPr>
        <w:t>d</w:t>
      </w:r>
      <w:r w:rsidR="00806152" w:rsidRPr="00874254">
        <w:rPr>
          <w:rFonts w:eastAsia="Times New Roman"/>
          <w:color w:val="auto"/>
          <w:u w:color="FFFFFF" w:themeColor="background1"/>
          <w:lang w:val="en-AU"/>
        </w:rPr>
        <w:t xml:space="preserve"> </w:t>
      </w:r>
      <w:r w:rsidR="00B70A7A">
        <w:rPr>
          <w:rFonts w:eastAsia="Times New Roman"/>
          <w:color w:val="auto"/>
          <w:u w:color="FFFFFF" w:themeColor="background1"/>
          <w:lang w:val="en-AU"/>
        </w:rPr>
        <w:t>51.2</w:t>
      </w:r>
      <w:r w:rsidR="00874254" w:rsidRPr="00874254">
        <w:rPr>
          <w:rFonts w:eastAsia="Times New Roman"/>
          <w:color w:val="auto"/>
          <w:u w:color="FFFFFF" w:themeColor="background1"/>
          <w:lang w:val="en-AU"/>
        </w:rPr>
        <w:t>%(</w:t>
      </w:r>
      <w:r w:rsidR="008429E1" w:rsidRPr="00874254">
        <w:rPr>
          <w:rFonts w:eastAsia="Times New Roman"/>
          <w:color w:val="auto"/>
          <w:u w:color="FFFFFF" w:themeColor="background1"/>
          <w:lang w:val="en-AU"/>
        </w:rPr>
        <w:t>$</w:t>
      </w:r>
      <w:r w:rsidR="00CD2E12" w:rsidRPr="00874254">
        <w:rPr>
          <w:rFonts w:eastAsia="Times New Roman"/>
          <w:color w:val="auto"/>
          <w:u w:color="FFFFFF" w:themeColor="background1"/>
          <w:lang w:val="en-AU"/>
        </w:rPr>
        <w:t>4</w:t>
      </w:r>
      <w:r w:rsidR="00B70A7A">
        <w:rPr>
          <w:rFonts w:eastAsia="Times New Roman"/>
          <w:color w:val="auto"/>
          <w:u w:color="FFFFFF" w:themeColor="background1"/>
          <w:lang w:val="en-AU"/>
        </w:rPr>
        <w:t xml:space="preserve">4.3 </w:t>
      </w:r>
      <w:r w:rsidR="00874254" w:rsidRPr="00874254">
        <w:rPr>
          <w:rFonts w:eastAsia="Times New Roman"/>
          <w:color w:val="auto"/>
          <w:u w:color="FFFFFF" w:themeColor="background1"/>
          <w:lang w:val="en-AU"/>
        </w:rPr>
        <w:t>to $67.0M</w:t>
      </w:r>
      <w:r w:rsidR="00874254" w:rsidRPr="00C10AD1">
        <w:rPr>
          <w:rFonts w:eastAsia="Times New Roman"/>
          <w:color w:val="auto"/>
          <w:u w:color="FFFFFF" w:themeColor="background1"/>
          <w:lang w:val="en-AU"/>
        </w:rPr>
        <w:t>).</w:t>
      </w:r>
      <w:r w:rsidR="002E03A7">
        <w:rPr>
          <w:rFonts w:eastAsia="Times New Roman"/>
          <w:color w:val="auto"/>
          <w:u w:color="FFFFFF" w:themeColor="background1"/>
          <w:lang w:val="en-AU"/>
        </w:rPr>
        <w:t xml:space="preserve"> E</w:t>
      </w:r>
      <w:r w:rsidR="008429E1" w:rsidRPr="00C10AD1">
        <w:rPr>
          <w:rFonts w:eastAsia="Times New Roman"/>
          <w:color w:val="auto"/>
          <w:u w:color="FFFFFF" w:themeColor="background1"/>
          <w:lang w:val="en-AU"/>
        </w:rPr>
        <w:t xml:space="preserve">xpenditure on mining has </w:t>
      </w:r>
      <w:r w:rsidR="002E03A7">
        <w:rPr>
          <w:rFonts w:eastAsia="Times New Roman"/>
          <w:color w:val="auto"/>
          <w:u w:color="FFFFFF" w:themeColor="background1"/>
          <w:lang w:val="en-AU"/>
        </w:rPr>
        <w:t>de</w:t>
      </w:r>
      <w:r w:rsidR="0094126C" w:rsidRPr="00C10AD1">
        <w:rPr>
          <w:rFonts w:eastAsia="Times New Roman"/>
          <w:color w:val="auto"/>
          <w:u w:color="FFFFFF" w:themeColor="background1"/>
          <w:lang w:val="en-AU"/>
        </w:rPr>
        <w:t xml:space="preserve">creased </w:t>
      </w:r>
      <w:r w:rsidR="00B70A7A">
        <w:rPr>
          <w:rFonts w:eastAsia="Times New Roman"/>
          <w:color w:val="auto"/>
          <w:u w:color="FFFFFF" w:themeColor="background1"/>
          <w:lang w:val="en-AU"/>
        </w:rPr>
        <w:t>12</w:t>
      </w:r>
      <w:r w:rsidR="00BA56B9">
        <w:rPr>
          <w:rFonts w:eastAsia="Times New Roman"/>
          <w:color w:val="auto"/>
          <w:u w:color="FFFFFF" w:themeColor="background1"/>
          <w:lang w:val="en-AU"/>
        </w:rPr>
        <w:t>.6</w:t>
      </w:r>
      <w:r w:rsidR="002E03A7">
        <w:rPr>
          <w:rFonts w:eastAsia="Times New Roman"/>
          <w:color w:val="auto"/>
          <w:u w:color="FFFFFF" w:themeColor="background1"/>
          <w:lang w:val="en-AU"/>
        </w:rPr>
        <w:t>%</w:t>
      </w:r>
      <w:r w:rsidR="008429E1" w:rsidRPr="00C10AD1">
        <w:rPr>
          <w:rFonts w:eastAsia="Times New Roman"/>
          <w:color w:val="auto"/>
          <w:u w:color="FFFFFF" w:themeColor="background1"/>
          <w:lang w:val="en-AU"/>
        </w:rPr>
        <w:t xml:space="preserve"> from $</w:t>
      </w:r>
      <w:r w:rsidR="00B70A7A">
        <w:rPr>
          <w:rFonts w:eastAsia="Times New Roman"/>
          <w:color w:val="auto"/>
          <w:u w:color="FFFFFF" w:themeColor="background1"/>
          <w:lang w:val="en-AU"/>
        </w:rPr>
        <w:t>748.8</w:t>
      </w:r>
      <w:r w:rsidR="008429E1" w:rsidRPr="00C10AD1">
        <w:rPr>
          <w:rFonts w:eastAsia="Times New Roman"/>
          <w:color w:val="auto"/>
          <w:u w:color="FFFFFF" w:themeColor="background1"/>
          <w:lang w:val="en-AU"/>
        </w:rPr>
        <w:t xml:space="preserve"> million to $</w:t>
      </w:r>
      <w:r w:rsidR="00BA56B9">
        <w:rPr>
          <w:rFonts w:eastAsia="Times New Roman"/>
          <w:color w:val="auto"/>
          <w:u w:color="FFFFFF" w:themeColor="background1"/>
          <w:lang w:val="en-AU"/>
        </w:rPr>
        <w:t>654.1</w:t>
      </w:r>
      <w:r w:rsidR="008429E1" w:rsidRPr="00C10AD1">
        <w:rPr>
          <w:rFonts w:eastAsia="Times New Roman"/>
          <w:color w:val="auto"/>
          <w:u w:color="FFFFFF" w:themeColor="background1"/>
          <w:lang w:val="en-AU"/>
        </w:rPr>
        <w:t xml:space="preserve"> million.</w:t>
      </w:r>
      <w:r w:rsidR="002B419B" w:rsidRPr="00C10AD1">
        <w:rPr>
          <w:noProof/>
          <w:color w:val="auto"/>
          <w:highlight w:val="yellow"/>
          <w:u w:color="FFFFFF" w:themeColor="background1"/>
          <w:lang w:val="en-AU" w:eastAsia="en-AU"/>
        </w:rPr>
        <w:t xml:space="preserve"> </w:t>
      </w:r>
    </w:p>
    <w:p w14:paraId="584F6744" w14:textId="0022BAEE" w:rsidR="00053387" w:rsidRPr="00A11CC5" w:rsidRDefault="00053387" w:rsidP="00536A60">
      <w:pPr>
        <w:spacing w:after="0"/>
        <w:rPr>
          <w:rFonts w:cs="Arial"/>
          <w:b/>
          <w:color w:val="auto"/>
          <w:u w:color="FFFFFF" w:themeColor="background1"/>
          <w:lang w:val="en-AU"/>
        </w:rPr>
      </w:pPr>
      <w:bookmarkStart w:id="5" w:name="_Toc279573154"/>
      <w:r w:rsidRPr="00A11CC5">
        <w:rPr>
          <w:rFonts w:cs="Arial"/>
          <w:b/>
          <w:color w:val="auto"/>
          <w:u w:color="FFFFFF" w:themeColor="background1"/>
          <w:lang w:val="en-AU"/>
        </w:rPr>
        <w:t xml:space="preserve">Table </w:t>
      </w:r>
      <w:r w:rsidR="00133388" w:rsidRPr="00A11CC5">
        <w:rPr>
          <w:rFonts w:cs="Arial"/>
          <w:b/>
          <w:color w:val="auto"/>
          <w:u w:color="FFFFFF" w:themeColor="background1"/>
          <w:lang w:val="en-AU"/>
        </w:rPr>
        <w:t>2</w:t>
      </w:r>
      <w:r w:rsidR="00F21245">
        <w:rPr>
          <w:rFonts w:cs="Arial"/>
          <w:b/>
          <w:color w:val="auto"/>
          <w:u w:color="FFFFFF" w:themeColor="background1"/>
          <w:lang w:val="en-AU"/>
        </w:rPr>
        <w:t>.7</w:t>
      </w:r>
      <w:r w:rsidRPr="00A11CC5">
        <w:rPr>
          <w:rFonts w:cs="Arial"/>
          <w:b/>
          <w:color w:val="auto"/>
          <w:u w:color="FFFFFF" w:themeColor="background1"/>
          <w:lang w:val="en-AU"/>
        </w:rPr>
        <w:t xml:space="preserve"> Expenditure on mineral exploration and mining development ($A million</w:t>
      </w:r>
      <w:bookmarkEnd w:id="5"/>
      <w:r w:rsidRPr="00A11CC5">
        <w:rPr>
          <w:rFonts w:cs="Arial"/>
          <w:b/>
          <w:color w:val="auto"/>
          <w:u w:color="FFFFFF" w:themeColor="background1"/>
          <w:lang w:val="en-AU"/>
        </w:rPr>
        <w:t xml:space="preserve">) </w:t>
      </w:r>
    </w:p>
    <w:tbl>
      <w:tblPr>
        <w:tblStyle w:val="GridTable4-Accent1"/>
        <w:tblW w:w="4970" w:type="pct"/>
        <w:tblLook w:val="04A0" w:firstRow="1" w:lastRow="0" w:firstColumn="1" w:lastColumn="0" w:noHBand="0" w:noVBand="1"/>
        <w:tblCaption w:val="Expenditure on exploration and development"/>
        <w:tblDescription w:val="$A million spent on mineral explorations, MRSDA exploration and mining between 2011-16."/>
      </w:tblPr>
      <w:tblGrid>
        <w:gridCol w:w="1470"/>
        <w:gridCol w:w="1224"/>
        <w:gridCol w:w="1223"/>
        <w:gridCol w:w="1219"/>
        <w:gridCol w:w="1219"/>
        <w:gridCol w:w="1219"/>
        <w:gridCol w:w="1219"/>
        <w:gridCol w:w="1217"/>
      </w:tblGrid>
      <w:tr w:rsidR="00EA4FAA" w:rsidRPr="00A11CC5" w14:paraId="562A6EE6" w14:textId="77777777" w:rsidTr="00035C6F">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734" w:type="pct"/>
            <w:noWrap/>
          </w:tcPr>
          <w:p w14:paraId="79397072" w14:textId="77777777" w:rsidR="00EA4FAA" w:rsidRPr="00A11CC5" w:rsidRDefault="00EA4FAA" w:rsidP="002C2EA2">
            <w:pPr>
              <w:rPr>
                <w:rFonts w:cs="Arial"/>
                <w:b w:val="0"/>
                <w:color w:val="auto"/>
                <w:u w:color="FFFFFF" w:themeColor="background1"/>
                <w:lang w:val="en-AU"/>
              </w:rPr>
            </w:pPr>
          </w:p>
        </w:tc>
        <w:tc>
          <w:tcPr>
            <w:tcW w:w="611" w:type="pct"/>
            <w:noWrap/>
            <w:hideMark/>
          </w:tcPr>
          <w:p w14:paraId="2B9BAFF7" w14:textId="77777777" w:rsidR="00EA4FAA" w:rsidRPr="00874254" w:rsidRDefault="00EA4FAA" w:rsidP="002C2EA2">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u w:color="FFFFFF" w:themeColor="background1"/>
                <w:lang w:val="en-AU"/>
              </w:rPr>
            </w:pPr>
            <w:r w:rsidRPr="00874254">
              <w:rPr>
                <w:rFonts w:cs="Arial"/>
                <w:color w:val="FFFFFF" w:themeColor="background1"/>
                <w:u w:color="FFFFFF" w:themeColor="background1"/>
                <w:lang w:val="en-AU"/>
              </w:rPr>
              <w:t>2011-12</w:t>
            </w:r>
          </w:p>
        </w:tc>
        <w:tc>
          <w:tcPr>
            <w:tcW w:w="611" w:type="pct"/>
            <w:hideMark/>
          </w:tcPr>
          <w:p w14:paraId="0EBA5599" w14:textId="77777777" w:rsidR="00EA4FAA" w:rsidRPr="00874254" w:rsidRDefault="00EA4FAA" w:rsidP="002C2EA2">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u w:color="FFFFFF" w:themeColor="background1"/>
                <w:lang w:val="en-AU"/>
              </w:rPr>
            </w:pPr>
            <w:r w:rsidRPr="00874254">
              <w:rPr>
                <w:rFonts w:cs="Arial"/>
                <w:color w:val="FFFFFF" w:themeColor="background1"/>
                <w:u w:color="FFFFFF" w:themeColor="background1"/>
                <w:lang w:val="en-AU"/>
              </w:rPr>
              <w:t>2012-13</w:t>
            </w:r>
          </w:p>
        </w:tc>
        <w:tc>
          <w:tcPr>
            <w:tcW w:w="609" w:type="pct"/>
            <w:hideMark/>
          </w:tcPr>
          <w:p w14:paraId="1D729145" w14:textId="77777777" w:rsidR="00EA4FAA" w:rsidRPr="00874254" w:rsidRDefault="00EA4FAA" w:rsidP="002C2EA2">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u w:color="FFFFFF" w:themeColor="background1"/>
                <w:lang w:val="en-AU"/>
              </w:rPr>
            </w:pPr>
            <w:r w:rsidRPr="00874254">
              <w:rPr>
                <w:rFonts w:cs="Arial"/>
                <w:color w:val="FFFFFF" w:themeColor="background1"/>
                <w:u w:color="FFFFFF" w:themeColor="background1"/>
                <w:lang w:val="en-AU"/>
              </w:rPr>
              <w:t>2013-14</w:t>
            </w:r>
          </w:p>
        </w:tc>
        <w:tc>
          <w:tcPr>
            <w:tcW w:w="609" w:type="pct"/>
          </w:tcPr>
          <w:p w14:paraId="4F3BD0DE" w14:textId="77777777" w:rsidR="00EA4FAA" w:rsidRPr="00874254" w:rsidRDefault="00EA4FAA" w:rsidP="002C2EA2">
            <w:pPr>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u w:color="FFFFFF" w:themeColor="background1"/>
                <w:lang w:val="en-AU"/>
              </w:rPr>
            </w:pPr>
            <w:r w:rsidRPr="00874254">
              <w:rPr>
                <w:rFonts w:cs="Arial"/>
                <w:color w:val="FFFFFF" w:themeColor="background1"/>
                <w:u w:color="FFFFFF" w:themeColor="background1"/>
                <w:lang w:val="en-AU"/>
              </w:rPr>
              <w:t>2014-15</w:t>
            </w:r>
          </w:p>
        </w:tc>
        <w:tc>
          <w:tcPr>
            <w:tcW w:w="609" w:type="pct"/>
          </w:tcPr>
          <w:p w14:paraId="44C8B575" w14:textId="77777777" w:rsidR="00EA4FAA" w:rsidRPr="00874254" w:rsidRDefault="00EA4FAA" w:rsidP="002C2EA2">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sidRPr="00874254">
              <w:rPr>
                <w:rFonts w:cs="Arial"/>
                <w:color w:val="FFFFFF" w:themeColor="background1"/>
                <w:u w:color="FFFFFF" w:themeColor="background1"/>
                <w:lang w:val="en-AU"/>
              </w:rPr>
              <w:t>2015-16</w:t>
            </w:r>
          </w:p>
        </w:tc>
        <w:tc>
          <w:tcPr>
            <w:tcW w:w="609" w:type="pct"/>
          </w:tcPr>
          <w:p w14:paraId="62E6170E" w14:textId="77777777" w:rsidR="00EA4FAA" w:rsidRPr="00874254" w:rsidRDefault="00EA4FAA" w:rsidP="002C2EA2">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sidRPr="00874254">
              <w:rPr>
                <w:rFonts w:cs="Arial"/>
                <w:color w:val="FFFFFF" w:themeColor="background1"/>
                <w:u w:color="FFFFFF" w:themeColor="background1"/>
                <w:lang w:val="en-AU"/>
              </w:rPr>
              <w:t>2016-17</w:t>
            </w:r>
          </w:p>
        </w:tc>
        <w:tc>
          <w:tcPr>
            <w:tcW w:w="608" w:type="pct"/>
          </w:tcPr>
          <w:p w14:paraId="300F4DDA" w14:textId="4B84EE31" w:rsidR="00EA4FAA" w:rsidRPr="002E03A7" w:rsidRDefault="008D5436" w:rsidP="002C2EA2">
            <w:pPr>
              <w:jc w:val="center"/>
              <w:cnfStyle w:val="100000000000" w:firstRow="1"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2E03A7">
              <w:rPr>
                <w:rFonts w:cs="Arial"/>
                <w:color w:val="FFFFFF" w:themeColor="background1"/>
                <w:u w:color="FFFFFF" w:themeColor="background1"/>
                <w:lang w:val="en-AU"/>
              </w:rPr>
              <w:t>2017-18</w:t>
            </w:r>
            <w:r w:rsidR="00C10AD1" w:rsidRPr="002E03A7">
              <w:rPr>
                <w:rFonts w:cs="Arial"/>
                <w:color w:val="FFFFFF" w:themeColor="background1"/>
                <w:u w:color="FFFFFF" w:themeColor="background1"/>
                <w:lang w:val="en-AU"/>
              </w:rPr>
              <w:t>^</w:t>
            </w:r>
          </w:p>
        </w:tc>
      </w:tr>
      <w:tr w:rsidR="00035C6F" w:rsidRPr="00A11CC5" w14:paraId="2266DF0A" w14:textId="77777777" w:rsidTr="00035C6F">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734" w:type="pct"/>
            <w:hideMark/>
          </w:tcPr>
          <w:p w14:paraId="34ED4B11" w14:textId="77777777" w:rsidR="00035C6F" w:rsidRPr="00A11CC5" w:rsidRDefault="00035C6F" w:rsidP="00035C6F">
            <w:pPr>
              <w:rPr>
                <w:rFonts w:cs="Arial"/>
                <w:color w:val="auto"/>
                <w:u w:color="FFFFFF" w:themeColor="background1"/>
                <w:lang w:val="en-AU"/>
              </w:rPr>
            </w:pPr>
            <w:r w:rsidRPr="00A11CC5">
              <w:rPr>
                <w:rFonts w:cs="Arial"/>
                <w:color w:val="auto"/>
                <w:u w:color="FFFFFF" w:themeColor="background1"/>
                <w:lang w:val="en-AU"/>
              </w:rPr>
              <w:t>Mineral Exploration (ABS)</w:t>
            </w:r>
            <w:r w:rsidRPr="00A11CC5">
              <w:rPr>
                <w:rFonts w:cs="Arial"/>
                <w:color w:val="auto"/>
                <w:u w:color="FFFFFF" w:themeColor="background1"/>
                <w:vertAlign w:val="superscript"/>
                <w:lang w:val="en-AU"/>
              </w:rPr>
              <w:t>1</w:t>
            </w:r>
          </w:p>
        </w:tc>
        <w:tc>
          <w:tcPr>
            <w:tcW w:w="611" w:type="pct"/>
            <w:noWrap/>
            <w:vAlign w:val="center"/>
            <w:hideMark/>
          </w:tcPr>
          <w:p w14:paraId="0E659908" w14:textId="361937A3" w:rsidR="00035C6F" w:rsidRPr="00035C6F" w:rsidRDefault="00035C6F" w:rsidP="00035C6F">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$58.5</w:t>
            </w:r>
          </w:p>
        </w:tc>
        <w:tc>
          <w:tcPr>
            <w:tcW w:w="611" w:type="pct"/>
            <w:vAlign w:val="center"/>
            <w:hideMark/>
          </w:tcPr>
          <w:p w14:paraId="6AAC70D1" w14:textId="1FA4EF1B" w:rsidR="00035C6F" w:rsidRPr="00035C6F" w:rsidRDefault="00035C6F" w:rsidP="00035C6F">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$38.6</w:t>
            </w:r>
          </w:p>
        </w:tc>
        <w:tc>
          <w:tcPr>
            <w:tcW w:w="609" w:type="pct"/>
            <w:vAlign w:val="center"/>
            <w:hideMark/>
          </w:tcPr>
          <w:p w14:paraId="7470E281" w14:textId="5DD27127" w:rsidR="00035C6F" w:rsidRPr="00035C6F" w:rsidRDefault="00035C6F" w:rsidP="00035C6F">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$32.6</w:t>
            </w:r>
          </w:p>
        </w:tc>
        <w:tc>
          <w:tcPr>
            <w:tcW w:w="609" w:type="pct"/>
            <w:vAlign w:val="center"/>
          </w:tcPr>
          <w:p w14:paraId="29AE743D" w14:textId="0FFAF9B5" w:rsidR="00035C6F" w:rsidRPr="00035C6F" w:rsidRDefault="00035C6F" w:rsidP="00035C6F">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$22.9</w:t>
            </w:r>
          </w:p>
        </w:tc>
        <w:tc>
          <w:tcPr>
            <w:tcW w:w="609" w:type="pct"/>
            <w:vAlign w:val="center"/>
          </w:tcPr>
          <w:p w14:paraId="24AE07ED" w14:textId="00DE38CC" w:rsidR="00035C6F" w:rsidRPr="00035C6F" w:rsidRDefault="00035C6F" w:rsidP="00035C6F">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$28.9</w:t>
            </w:r>
          </w:p>
        </w:tc>
        <w:tc>
          <w:tcPr>
            <w:tcW w:w="609" w:type="pct"/>
            <w:vAlign w:val="center"/>
          </w:tcPr>
          <w:p w14:paraId="4372D8AD" w14:textId="6ABAA2DF" w:rsidR="00035C6F" w:rsidRPr="00035C6F" w:rsidRDefault="00035C6F" w:rsidP="00035C6F">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$40.7</w:t>
            </w:r>
          </w:p>
        </w:tc>
        <w:tc>
          <w:tcPr>
            <w:tcW w:w="608" w:type="pct"/>
            <w:vAlign w:val="center"/>
          </w:tcPr>
          <w:p w14:paraId="27EF4CED" w14:textId="51171640" w:rsidR="00035C6F" w:rsidRPr="00035C6F" w:rsidRDefault="00035C6F" w:rsidP="00035C6F">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$73.7</w:t>
            </w:r>
          </w:p>
        </w:tc>
      </w:tr>
      <w:tr w:rsidR="00035C6F" w:rsidRPr="00A11CC5" w14:paraId="76E12030" w14:textId="77777777" w:rsidTr="00035C6F">
        <w:trPr>
          <w:trHeight w:val="437"/>
        </w:trPr>
        <w:tc>
          <w:tcPr>
            <w:cnfStyle w:val="001000000000" w:firstRow="0" w:lastRow="0" w:firstColumn="1" w:lastColumn="0" w:oddVBand="0" w:evenVBand="0" w:oddHBand="0" w:evenHBand="0" w:firstRowFirstColumn="0" w:firstRowLastColumn="0" w:lastRowFirstColumn="0" w:lastRowLastColumn="0"/>
            <w:tcW w:w="734" w:type="pct"/>
          </w:tcPr>
          <w:p w14:paraId="5F874C49" w14:textId="77777777" w:rsidR="00035C6F" w:rsidRPr="00A11CC5" w:rsidRDefault="00035C6F" w:rsidP="00035C6F">
            <w:pPr>
              <w:rPr>
                <w:rFonts w:cs="Arial"/>
                <w:color w:val="auto"/>
                <w:u w:color="FFFFFF" w:themeColor="background1"/>
                <w:lang w:val="en-AU"/>
              </w:rPr>
            </w:pPr>
            <w:r w:rsidRPr="00A11CC5">
              <w:rPr>
                <w:rFonts w:cs="Arial"/>
                <w:color w:val="auto"/>
                <w:u w:color="FFFFFF" w:themeColor="background1"/>
                <w:lang w:val="en-AU"/>
              </w:rPr>
              <w:t>MRSDA Exploration</w:t>
            </w:r>
            <w:r w:rsidRPr="00A11CC5">
              <w:rPr>
                <w:rFonts w:cs="Arial"/>
                <w:color w:val="auto"/>
                <w:u w:color="FFFFFF" w:themeColor="background1"/>
                <w:vertAlign w:val="superscript"/>
                <w:lang w:val="en-AU"/>
              </w:rPr>
              <w:t>2</w:t>
            </w:r>
          </w:p>
        </w:tc>
        <w:tc>
          <w:tcPr>
            <w:tcW w:w="611" w:type="pct"/>
            <w:noWrap/>
            <w:vAlign w:val="center"/>
          </w:tcPr>
          <w:p w14:paraId="64867B90" w14:textId="66F13BCF" w:rsidR="00035C6F" w:rsidRPr="00035C6F" w:rsidRDefault="00035C6F" w:rsidP="00035C6F">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$37.8</w:t>
            </w:r>
          </w:p>
        </w:tc>
        <w:tc>
          <w:tcPr>
            <w:tcW w:w="611" w:type="pct"/>
            <w:vAlign w:val="center"/>
          </w:tcPr>
          <w:p w14:paraId="163F247F" w14:textId="739AA76A" w:rsidR="00035C6F" w:rsidRPr="00035C6F" w:rsidRDefault="00035C6F" w:rsidP="00035C6F">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$39.7</w:t>
            </w:r>
          </w:p>
        </w:tc>
        <w:tc>
          <w:tcPr>
            <w:tcW w:w="609" w:type="pct"/>
            <w:vAlign w:val="center"/>
          </w:tcPr>
          <w:p w14:paraId="0F67E62B" w14:textId="48775609" w:rsidR="00035C6F" w:rsidRPr="00035C6F" w:rsidRDefault="00035C6F" w:rsidP="00035C6F">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$30.5</w:t>
            </w:r>
          </w:p>
        </w:tc>
        <w:tc>
          <w:tcPr>
            <w:tcW w:w="609" w:type="pct"/>
            <w:vAlign w:val="center"/>
          </w:tcPr>
          <w:p w14:paraId="1FF5C4C8" w14:textId="37AB11F0" w:rsidR="00035C6F" w:rsidRPr="00035C6F" w:rsidRDefault="00035C6F" w:rsidP="00035C6F">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$47.5</w:t>
            </w:r>
          </w:p>
        </w:tc>
        <w:tc>
          <w:tcPr>
            <w:tcW w:w="609" w:type="pct"/>
            <w:vAlign w:val="center"/>
          </w:tcPr>
          <w:p w14:paraId="328AF93C" w14:textId="66BC319B" w:rsidR="00035C6F" w:rsidRPr="00035C6F" w:rsidRDefault="00035C6F" w:rsidP="00035C6F">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$38.5</w:t>
            </w:r>
          </w:p>
        </w:tc>
        <w:tc>
          <w:tcPr>
            <w:tcW w:w="609" w:type="pct"/>
            <w:vAlign w:val="center"/>
          </w:tcPr>
          <w:p w14:paraId="18883EB4" w14:textId="60AA4ADB" w:rsidR="00035C6F" w:rsidRPr="00035C6F" w:rsidRDefault="00035C6F" w:rsidP="00035C6F">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$44.3</w:t>
            </w:r>
            <w:r w:rsidR="009908C3">
              <w:rPr>
                <w:color w:val="000000" w:themeColor="text1"/>
              </w:rPr>
              <w:t>*</w:t>
            </w:r>
          </w:p>
        </w:tc>
        <w:tc>
          <w:tcPr>
            <w:tcW w:w="608" w:type="pct"/>
            <w:vAlign w:val="center"/>
          </w:tcPr>
          <w:p w14:paraId="3DDA32F1" w14:textId="3B1F8953" w:rsidR="00035C6F" w:rsidRPr="00035C6F" w:rsidRDefault="00035C6F" w:rsidP="00035C6F">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$67.0</w:t>
            </w:r>
          </w:p>
        </w:tc>
      </w:tr>
      <w:tr w:rsidR="00035C6F" w:rsidRPr="00A11CC5" w14:paraId="7C8D94BD" w14:textId="77777777" w:rsidTr="00035C6F">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734" w:type="pct"/>
            <w:hideMark/>
          </w:tcPr>
          <w:p w14:paraId="359CCD12" w14:textId="77777777" w:rsidR="00035C6F" w:rsidRPr="00A11CC5" w:rsidRDefault="00035C6F" w:rsidP="00035C6F">
            <w:pPr>
              <w:rPr>
                <w:rFonts w:cs="Arial"/>
                <w:color w:val="auto"/>
                <w:u w:color="FFFFFF" w:themeColor="background1"/>
                <w:lang w:val="en-AU"/>
              </w:rPr>
            </w:pPr>
            <w:r w:rsidRPr="00A11CC5">
              <w:rPr>
                <w:rFonts w:cs="Arial"/>
                <w:color w:val="auto"/>
                <w:u w:color="FFFFFF" w:themeColor="background1"/>
                <w:lang w:val="en-AU"/>
              </w:rPr>
              <w:t>MRSDA Mining</w:t>
            </w:r>
            <w:r w:rsidRPr="00A11CC5">
              <w:rPr>
                <w:rFonts w:cs="Arial"/>
                <w:color w:val="auto"/>
                <w:u w:color="FFFFFF" w:themeColor="background1"/>
                <w:vertAlign w:val="superscript"/>
                <w:lang w:val="en-AU"/>
              </w:rPr>
              <w:t>3</w:t>
            </w:r>
          </w:p>
        </w:tc>
        <w:tc>
          <w:tcPr>
            <w:tcW w:w="611" w:type="pct"/>
            <w:noWrap/>
            <w:vAlign w:val="center"/>
            <w:hideMark/>
          </w:tcPr>
          <w:p w14:paraId="5B73FA4A" w14:textId="1F6214F9" w:rsidR="00035C6F" w:rsidRPr="00035C6F" w:rsidRDefault="00035C6F" w:rsidP="00035C6F">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$813.8</w:t>
            </w:r>
          </w:p>
        </w:tc>
        <w:tc>
          <w:tcPr>
            <w:tcW w:w="611" w:type="pct"/>
            <w:vAlign w:val="center"/>
            <w:hideMark/>
          </w:tcPr>
          <w:p w14:paraId="0B55BF0E" w14:textId="648D2B39" w:rsidR="00035C6F" w:rsidRPr="00035C6F" w:rsidRDefault="00035C6F" w:rsidP="00035C6F">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$701.2</w:t>
            </w:r>
          </w:p>
        </w:tc>
        <w:tc>
          <w:tcPr>
            <w:tcW w:w="609" w:type="pct"/>
            <w:vAlign w:val="center"/>
            <w:hideMark/>
          </w:tcPr>
          <w:p w14:paraId="738F2B37" w14:textId="62546100" w:rsidR="00035C6F" w:rsidRPr="00035C6F" w:rsidRDefault="00035C6F" w:rsidP="00035C6F">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$650.3</w:t>
            </w:r>
          </w:p>
        </w:tc>
        <w:tc>
          <w:tcPr>
            <w:tcW w:w="609" w:type="pct"/>
            <w:vAlign w:val="center"/>
          </w:tcPr>
          <w:p w14:paraId="5679C07C" w14:textId="37AE5379" w:rsidR="00035C6F" w:rsidRPr="00035C6F" w:rsidRDefault="00035C6F" w:rsidP="00035C6F">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$607.8</w:t>
            </w:r>
          </w:p>
        </w:tc>
        <w:tc>
          <w:tcPr>
            <w:tcW w:w="609" w:type="pct"/>
            <w:vAlign w:val="center"/>
          </w:tcPr>
          <w:p w14:paraId="17DA3748" w14:textId="6789D5A2" w:rsidR="00035C6F" w:rsidRPr="00035C6F" w:rsidRDefault="00035C6F" w:rsidP="00035C6F">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$685.8</w:t>
            </w:r>
          </w:p>
        </w:tc>
        <w:tc>
          <w:tcPr>
            <w:tcW w:w="609" w:type="pct"/>
            <w:vAlign w:val="center"/>
          </w:tcPr>
          <w:p w14:paraId="29877DA7" w14:textId="5C537B8B" w:rsidR="00035C6F" w:rsidRPr="00035C6F" w:rsidRDefault="00035C6F" w:rsidP="00035C6F">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$748.8</w:t>
            </w:r>
            <w:r w:rsidR="00261EA4">
              <w:rPr>
                <w:color w:val="000000" w:themeColor="text1"/>
              </w:rPr>
              <w:t>*</w:t>
            </w:r>
          </w:p>
        </w:tc>
        <w:tc>
          <w:tcPr>
            <w:tcW w:w="608" w:type="pct"/>
            <w:vAlign w:val="center"/>
          </w:tcPr>
          <w:p w14:paraId="4DEC47DC" w14:textId="1C2E1936" w:rsidR="00035C6F" w:rsidRPr="00035C6F" w:rsidRDefault="00035C6F" w:rsidP="00035C6F">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u w:color="FFFFFF" w:themeColor="background1"/>
                <w:lang w:val="en-AU"/>
              </w:rPr>
            </w:pPr>
            <w:r w:rsidRPr="00035C6F">
              <w:rPr>
                <w:color w:val="000000" w:themeColor="text1"/>
              </w:rPr>
              <w:t>$654.</w:t>
            </w:r>
            <w:r w:rsidR="00BA56B9">
              <w:rPr>
                <w:color w:val="000000" w:themeColor="text1"/>
              </w:rPr>
              <w:t>1</w:t>
            </w:r>
          </w:p>
        </w:tc>
      </w:tr>
    </w:tbl>
    <w:p w14:paraId="5E902459" w14:textId="643C9DF5" w:rsidR="00053387" w:rsidRDefault="00053387" w:rsidP="00BB6F8A">
      <w:pPr>
        <w:pStyle w:val="BodyText"/>
        <w:spacing w:before="0" w:after="0"/>
        <w:rPr>
          <w:rFonts w:cs="Arial"/>
          <w:u w:color="FFFFFF" w:themeColor="background1"/>
          <w:lang w:val="en-AU"/>
        </w:rPr>
      </w:pPr>
      <w:r w:rsidRPr="00A11CC5">
        <w:rPr>
          <w:rFonts w:cs="Arial"/>
          <w:u w:color="FFFFFF" w:themeColor="background1"/>
          <w:lang w:val="en-AU"/>
        </w:rPr>
        <w:t xml:space="preserve">Source: Figures collated from activity reports forwarded to </w:t>
      </w:r>
      <w:r w:rsidR="00484EE0">
        <w:rPr>
          <w:rFonts w:cs="Arial"/>
          <w:u w:color="FFFFFF" w:themeColor="background1"/>
          <w:lang w:val="en-AU"/>
        </w:rPr>
        <w:t>DJPR</w:t>
      </w:r>
      <w:r w:rsidRPr="00A11CC5">
        <w:rPr>
          <w:rFonts w:cs="Arial"/>
          <w:u w:color="FFFFFF" w:themeColor="background1"/>
          <w:lang w:val="en-AU"/>
        </w:rPr>
        <w:t xml:space="preserve"> required </w:t>
      </w:r>
      <w:r w:rsidR="00D37E9A" w:rsidRPr="00A11CC5">
        <w:rPr>
          <w:rFonts w:cs="Arial"/>
          <w:u w:color="FFFFFF" w:themeColor="background1"/>
          <w:lang w:val="en-AU"/>
        </w:rPr>
        <w:t>under</w:t>
      </w:r>
      <w:r w:rsidRPr="00A11CC5">
        <w:rPr>
          <w:rFonts w:cs="Arial"/>
          <w:u w:color="FFFFFF" w:themeColor="background1"/>
          <w:lang w:val="en-AU"/>
        </w:rPr>
        <w:t xml:space="preserve"> the MRSDA, and ABS, Actual and Expected Private Mineral Exploration (</w:t>
      </w:r>
      <w:hyperlink r:id="rId21" w:history="1">
        <w:r w:rsidRPr="008D5436">
          <w:rPr>
            <w:rStyle w:val="Hyperlink"/>
            <w:rFonts w:cs="Arial"/>
            <w:u w:color="FFFFFF" w:themeColor="background1"/>
            <w:lang w:val="en-AU"/>
          </w:rPr>
          <w:t>Catalogue No. 8412.0</w:t>
        </w:r>
      </w:hyperlink>
      <w:r w:rsidR="002E03A7">
        <w:rPr>
          <w:rStyle w:val="Hyperlink"/>
          <w:rFonts w:cs="Arial"/>
          <w:u w:color="FFFFFF" w:themeColor="background1"/>
          <w:lang w:val="en-AU"/>
        </w:rPr>
        <w:t xml:space="preserve"> </w:t>
      </w:r>
      <w:r w:rsidR="002E03A7" w:rsidRPr="002E03A7">
        <w:rPr>
          <w:rStyle w:val="Hyperlink"/>
          <w:rFonts w:cs="Arial"/>
          <w:u w:color="FFFFFF" w:themeColor="background1"/>
          <w:lang w:val="en-AU"/>
        </w:rPr>
        <w:t>http://www.abs.gov.au/ausstats/abs@.nsf/mf/8412.0</w:t>
      </w:r>
      <w:r w:rsidRPr="00A11CC5">
        <w:rPr>
          <w:rFonts w:cs="Arial"/>
          <w:u w:color="FFFFFF" w:themeColor="background1"/>
          <w:lang w:val="en-AU"/>
        </w:rPr>
        <w:t>)</w:t>
      </w:r>
    </w:p>
    <w:p w14:paraId="4B3880B6" w14:textId="01357D7D" w:rsidR="00DC544C" w:rsidRDefault="00DC544C" w:rsidP="00261EA4">
      <w:pPr>
        <w:spacing w:after="0" w:line="240" w:lineRule="auto"/>
        <w:jc w:val="both"/>
        <w:rPr>
          <w:rFonts w:cs="Arial"/>
          <w:color w:val="auto"/>
          <w:sz w:val="16"/>
          <w:szCs w:val="16"/>
          <w:u w:color="FFFFFF" w:themeColor="background1"/>
          <w:lang w:val="en-AU"/>
        </w:rPr>
      </w:pPr>
      <w:bookmarkStart w:id="6" w:name="_Toc279573239"/>
      <w:r w:rsidRPr="00A11CC5">
        <w:rPr>
          <w:rFonts w:cs="Arial"/>
          <w:color w:val="auto"/>
          <w:sz w:val="16"/>
          <w:szCs w:val="16"/>
          <w:u w:color="FFFFFF" w:themeColor="background1"/>
          <w:lang w:val="en-AU"/>
        </w:rPr>
        <w:t xml:space="preserve">^Data as at </w:t>
      </w:r>
      <w:r>
        <w:rPr>
          <w:rFonts w:cs="Arial"/>
          <w:color w:val="auto"/>
          <w:sz w:val="16"/>
          <w:szCs w:val="16"/>
          <w:u w:color="FFFFFF" w:themeColor="background1"/>
          <w:lang w:val="en-AU"/>
        </w:rPr>
        <w:t>17/12</w:t>
      </w:r>
      <w:r w:rsidRPr="00A11CC5">
        <w:rPr>
          <w:rFonts w:cs="Arial"/>
          <w:color w:val="auto"/>
          <w:sz w:val="16"/>
          <w:szCs w:val="16"/>
          <w:u w:color="FFFFFF" w:themeColor="background1"/>
          <w:lang w:val="en-AU"/>
        </w:rPr>
        <w:t>/2018</w:t>
      </w:r>
      <w:r>
        <w:rPr>
          <w:rFonts w:cs="Arial"/>
          <w:color w:val="auto"/>
          <w:sz w:val="16"/>
          <w:szCs w:val="16"/>
          <w:u w:color="FFFFFF" w:themeColor="background1"/>
          <w:lang w:val="en-AU"/>
        </w:rPr>
        <w:t xml:space="preserve"> from Expenditure &amp; Activity Reports on all Mineral licences received from the industry (87%).</w:t>
      </w:r>
    </w:p>
    <w:p w14:paraId="7C1BC527" w14:textId="0EC589D3" w:rsidR="00874F14" w:rsidRDefault="00874F14" w:rsidP="00261EA4">
      <w:pPr>
        <w:spacing w:after="0" w:line="240" w:lineRule="auto"/>
        <w:jc w:val="both"/>
        <w:rPr>
          <w:rFonts w:cs="Arial"/>
          <w:color w:val="auto"/>
          <w:sz w:val="16"/>
          <w:szCs w:val="16"/>
          <w:u w:color="FFFFFF" w:themeColor="background1"/>
          <w:lang w:val="en-AU"/>
        </w:rPr>
      </w:pPr>
      <w:r>
        <w:rPr>
          <w:rFonts w:cs="Arial"/>
          <w:color w:val="auto"/>
          <w:sz w:val="16"/>
          <w:szCs w:val="16"/>
          <w:u w:color="FFFFFF" w:themeColor="background1"/>
          <w:lang w:val="en-AU"/>
        </w:rPr>
        <w:t xml:space="preserve">*Updated </w:t>
      </w:r>
      <w:r w:rsidR="00261EA4">
        <w:rPr>
          <w:rFonts w:cs="Arial"/>
          <w:color w:val="auto"/>
          <w:sz w:val="16"/>
          <w:szCs w:val="16"/>
          <w:u w:color="FFFFFF" w:themeColor="background1"/>
          <w:lang w:val="en-AU"/>
        </w:rPr>
        <w:t>the</w:t>
      </w:r>
      <w:r>
        <w:rPr>
          <w:rFonts w:cs="Arial"/>
          <w:color w:val="auto"/>
          <w:sz w:val="16"/>
          <w:szCs w:val="16"/>
          <w:u w:color="FFFFFF" w:themeColor="background1"/>
          <w:lang w:val="en-AU"/>
        </w:rPr>
        <w:t xml:space="preserve"> 2016-17</w:t>
      </w:r>
      <w:r w:rsidR="004E64CF">
        <w:rPr>
          <w:rFonts w:cs="Arial"/>
          <w:color w:val="auto"/>
          <w:sz w:val="16"/>
          <w:szCs w:val="16"/>
          <w:u w:color="FFFFFF" w:themeColor="background1"/>
          <w:lang w:val="en-AU"/>
        </w:rPr>
        <w:t xml:space="preserve"> figures</w:t>
      </w:r>
    </w:p>
    <w:p w14:paraId="4B452B95" w14:textId="37A5DB5B" w:rsidR="00261EA4" w:rsidRDefault="00261EA4" w:rsidP="00261EA4">
      <w:pPr>
        <w:spacing w:after="0" w:line="240" w:lineRule="auto"/>
        <w:jc w:val="both"/>
        <w:rPr>
          <w:rFonts w:cs="Arial"/>
          <w:color w:val="auto"/>
          <w:sz w:val="16"/>
          <w:szCs w:val="16"/>
          <w:u w:color="FFFFFF" w:themeColor="background1"/>
          <w:lang w:val="en-AU"/>
        </w:rPr>
      </w:pPr>
    </w:p>
    <w:p w14:paraId="70DCFEEF" w14:textId="77777777" w:rsidR="00261EA4" w:rsidRPr="00A11CC5" w:rsidRDefault="00261EA4" w:rsidP="00261EA4">
      <w:pPr>
        <w:spacing w:after="0" w:line="240" w:lineRule="auto"/>
        <w:jc w:val="both"/>
        <w:rPr>
          <w:rFonts w:cs="Arial"/>
          <w:color w:val="auto"/>
          <w:sz w:val="16"/>
          <w:szCs w:val="16"/>
          <w:u w:color="FFFFFF" w:themeColor="background1"/>
          <w:lang w:val="en-AU"/>
        </w:rPr>
      </w:pPr>
    </w:p>
    <w:p w14:paraId="5F3FFD95" w14:textId="2F9E6FD4" w:rsidR="00B9665F" w:rsidRDefault="00053387" w:rsidP="00536A60">
      <w:pPr>
        <w:pStyle w:val="bodycopy"/>
        <w:rPr>
          <w:b/>
          <w:color w:val="auto"/>
          <w:u w:color="FFFFFF" w:themeColor="background1"/>
          <w:lang w:val="en-AU"/>
        </w:rPr>
      </w:pPr>
      <w:r w:rsidRPr="00A11CC5">
        <w:rPr>
          <w:b/>
          <w:color w:val="auto"/>
          <w:u w:color="FFFFFF" w:themeColor="background1"/>
          <w:lang w:val="en-AU"/>
        </w:rPr>
        <w:t xml:space="preserve">Graph </w:t>
      </w:r>
      <w:r w:rsidR="002B7F82" w:rsidRPr="00A11CC5">
        <w:rPr>
          <w:b/>
          <w:color w:val="auto"/>
          <w:u w:color="FFFFFF" w:themeColor="background1"/>
          <w:lang w:val="en-AU"/>
        </w:rPr>
        <w:t>2</w:t>
      </w:r>
      <w:r w:rsidRPr="00A11CC5">
        <w:rPr>
          <w:b/>
          <w:color w:val="auto"/>
          <w:u w:color="FFFFFF" w:themeColor="background1"/>
          <w:lang w:val="en-AU"/>
        </w:rPr>
        <w:t>.</w:t>
      </w:r>
      <w:r w:rsidR="00F21245">
        <w:rPr>
          <w:b/>
          <w:color w:val="auto"/>
          <w:u w:color="FFFFFF" w:themeColor="background1"/>
          <w:lang w:val="en-AU"/>
        </w:rPr>
        <w:t>6</w:t>
      </w:r>
      <w:r w:rsidR="00534791" w:rsidRPr="00A11CC5">
        <w:rPr>
          <w:b/>
          <w:color w:val="auto"/>
          <w:u w:color="FFFFFF" w:themeColor="background1"/>
          <w:lang w:val="en-AU"/>
        </w:rPr>
        <w:t xml:space="preserve"> </w:t>
      </w:r>
      <w:r w:rsidRPr="00A11CC5">
        <w:rPr>
          <w:b/>
          <w:color w:val="auto"/>
          <w:u w:color="FFFFFF" w:themeColor="background1"/>
          <w:lang w:val="en-AU"/>
        </w:rPr>
        <w:t xml:space="preserve">Expenditure on mineral exploration and mining </w:t>
      </w:r>
      <w:bookmarkEnd w:id="6"/>
    </w:p>
    <w:p w14:paraId="34F0244E" w14:textId="77777777" w:rsidR="00053387" w:rsidRPr="00A11CC5" w:rsidRDefault="00B9665F" w:rsidP="00276144">
      <w:pPr>
        <w:pStyle w:val="bodycopy"/>
        <w:rPr>
          <w:color w:val="auto"/>
          <w:u w:color="FFFFFF" w:themeColor="background1"/>
          <w:lang w:val="en-AU"/>
        </w:rPr>
      </w:pPr>
      <w:r>
        <w:rPr>
          <w:noProof/>
          <w:color w:val="auto"/>
          <w:u w:color="FFFFFF" w:themeColor="background1"/>
          <w:lang w:val="en-AU"/>
        </w:rPr>
        <w:drawing>
          <wp:inline distT="0" distB="0" distL="0" distR="0" wp14:anchorId="7A778613" wp14:editId="35E9A939">
            <wp:extent cx="6562725" cy="29146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BADA2BE" w14:textId="6E2B83D8" w:rsidR="00EC5096" w:rsidRPr="00A11CC5" w:rsidRDefault="00053387" w:rsidP="00053387">
      <w:pPr>
        <w:spacing w:after="0"/>
        <w:rPr>
          <w:rFonts w:cs="Arial"/>
          <w:color w:val="auto"/>
          <w:u w:color="FFFFFF" w:themeColor="background1"/>
          <w:lang w:val="en-AU"/>
        </w:rPr>
      </w:pPr>
      <w:r w:rsidRPr="00A11CC5">
        <w:rPr>
          <w:rFonts w:cs="Arial"/>
          <w:color w:val="auto"/>
          <w:sz w:val="16"/>
          <w:u w:color="FFFFFF" w:themeColor="background1"/>
          <w:lang w:val="en-AU"/>
        </w:rPr>
        <w:t xml:space="preserve">Source: </w:t>
      </w:r>
      <w:r w:rsidR="00484EE0">
        <w:rPr>
          <w:rFonts w:cs="Arial"/>
          <w:color w:val="auto"/>
          <w:sz w:val="16"/>
          <w:u w:color="FFFFFF" w:themeColor="background1"/>
          <w:lang w:val="en-AU"/>
        </w:rPr>
        <w:t>DJPR</w:t>
      </w:r>
      <w:r w:rsidRPr="00A11CC5">
        <w:rPr>
          <w:rFonts w:cs="Arial"/>
          <w:color w:val="auto"/>
          <w:u w:color="FFFFFF" w:themeColor="background1"/>
          <w:lang w:val="en-AU"/>
        </w:rPr>
        <w:t xml:space="preserve"> </w:t>
      </w:r>
    </w:p>
    <w:p w14:paraId="4F494E21" w14:textId="77777777" w:rsidR="00BB6F8A" w:rsidRPr="00A11CC5" w:rsidRDefault="00BB6F8A" w:rsidP="00BB6F8A">
      <w:pPr>
        <w:spacing w:before="240" w:after="120"/>
        <w:jc w:val="both"/>
        <w:rPr>
          <w:rFonts w:cs="Arial"/>
          <w:i/>
          <w:color w:val="auto"/>
          <w:sz w:val="16"/>
          <w:szCs w:val="16"/>
          <w:u w:color="FFFFFF" w:themeColor="background1"/>
          <w:lang w:val="en-AU"/>
        </w:rPr>
      </w:pPr>
      <w:r w:rsidRPr="00A11CC5">
        <w:rPr>
          <w:rFonts w:cs="Arial"/>
          <w:i/>
          <w:color w:val="auto"/>
          <w:sz w:val="16"/>
          <w:szCs w:val="16"/>
          <w:u w:color="FFFFFF" w:themeColor="background1"/>
          <w:vertAlign w:val="superscript"/>
          <w:lang w:val="en-AU"/>
        </w:rPr>
        <w:t xml:space="preserve">1 </w:t>
      </w:r>
      <w:r w:rsidRPr="00A11CC5">
        <w:rPr>
          <w:rFonts w:cs="Arial"/>
          <w:i/>
          <w:color w:val="auto"/>
          <w:sz w:val="16"/>
          <w:szCs w:val="16"/>
          <w:u w:color="FFFFFF" w:themeColor="background1"/>
          <w:lang w:val="en-AU"/>
        </w:rPr>
        <w:t>The ABS reports quarterly on private mineral exploration expenditure for all Australian states and the Northern Territory (NT). Victorian mineral exploration and mining expenditure is also reported in accordance with the requirement of the MRSDA. The ABS exploration expenditure statistics can vary significantly from expenditure reported under the MRSDA. The difference between these two exploration expenditure data sets is mainly due to the difference in methodologies for data collection, and the inclusion of the exploration expenditure on mining licences in the MRSDA figure. The ABS statistics are a valid basis for comparison of Victorian expenditure with that of other states/NT. However, the MRSDA figures provide greater detail.</w:t>
      </w:r>
    </w:p>
    <w:p w14:paraId="4A47329C" w14:textId="77777777" w:rsidR="00BB6F8A" w:rsidRPr="00A11CC5" w:rsidRDefault="00BB6F8A" w:rsidP="00BB6F8A">
      <w:pPr>
        <w:spacing w:before="240" w:after="120"/>
        <w:jc w:val="both"/>
        <w:rPr>
          <w:rFonts w:cs="Arial"/>
          <w:i/>
          <w:color w:val="auto"/>
          <w:sz w:val="16"/>
          <w:szCs w:val="16"/>
          <w:u w:color="FFFFFF" w:themeColor="background1"/>
          <w:lang w:val="en-AU"/>
        </w:rPr>
      </w:pPr>
      <w:r w:rsidRPr="00A11CC5">
        <w:rPr>
          <w:rFonts w:cs="Arial"/>
          <w:i/>
          <w:color w:val="auto"/>
          <w:sz w:val="16"/>
          <w:szCs w:val="16"/>
          <w:u w:color="FFFFFF" w:themeColor="background1"/>
          <w:vertAlign w:val="superscript"/>
          <w:lang w:val="en-AU"/>
        </w:rPr>
        <w:t xml:space="preserve">2 </w:t>
      </w:r>
      <w:r w:rsidRPr="00A11CC5">
        <w:rPr>
          <w:rFonts w:cs="Arial"/>
          <w:i/>
          <w:color w:val="auto"/>
          <w:sz w:val="16"/>
          <w:szCs w:val="16"/>
          <w:u w:color="FFFFFF" w:themeColor="background1"/>
          <w:lang w:val="en-AU"/>
        </w:rPr>
        <w:t>Change of metric - expenditure on Exploration and Retention Licences with an Expenditure Reporting Period that ends within the Financial Year.</w:t>
      </w:r>
    </w:p>
    <w:p w14:paraId="286D76B8" w14:textId="77777777" w:rsidR="00F97074" w:rsidRPr="00A11CC5" w:rsidRDefault="00BB6F8A" w:rsidP="00BB6F8A">
      <w:pPr>
        <w:spacing w:before="240" w:after="120" w:line="240" w:lineRule="auto"/>
        <w:jc w:val="both"/>
        <w:rPr>
          <w:rFonts w:cs="Arial"/>
          <w:i/>
          <w:color w:val="auto"/>
          <w:sz w:val="16"/>
          <w:szCs w:val="16"/>
          <w:u w:color="FFFFFF" w:themeColor="background1"/>
          <w:lang w:val="en-AU"/>
        </w:rPr>
      </w:pPr>
      <w:r w:rsidRPr="00A11CC5">
        <w:rPr>
          <w:rFonts w:cs="Arial"/>
          <w:i/>
          <w:color w:val="auto"/>
          <w:sz w:val="16"/>
          <w:szCs w:val="16"/>
          <w:u w:color="FFFFFF" w:themeColor="background1"/>
          <w:vertAlign w:val="superscript"/>
          <w:lang w:val="en-AU"/>
        </w:rPr>
        <w:t>3</w:t>
      </w:r>
      <w:r w:rsidRPr="00A11CC5">
        <w:rPr>
          <w:rFonts w:cs="Arial"/>
          <w:i/>
          <w:color w:val="auto"/>
          <w:sz w:val="16"/>
          <w:szCs w:val="16"/>
          <w:u w:color="FFFFFF" w:themeColor="background1"/>
          <w:lang w:val="en-AU"/>
        </w:rPr>
        <w:t>The MRSDA mining expenditure figure covers all expenditure on mining and prospecting licences (including capital and operating expenses), less any specified exploration expenditure on mining and prospecting licences.</w:t>
      </w:r>
      <w:r w:rsidR="00F97074" w:rsidRPr="00A11CC5">
        <w:rPr>
          <w:rFonts w:eastAsia="Times New Roman" w:cs="Arial"/>
          <w:b/>
          <w:color w:val="auto"/>
          <w:szCs w:val="24"/>
          <w:u w:color="FFFFFF" w:themeColor="background1"/>
          <w:lang w:val="en-AU"/>
        </w:rPr>
        <w:br w:type="page"/>
      </w:r>
    </w:p>
    <w:p w14:paraId="0A7047D7" w14:textId="2353087A" w:rsidR="00F2356C" w:rsidRDefault="00E758DF" w:rsidP="00F2356C">
      <w:pPr>
        <w:spacing w:after="0" w:line="240" w:lineRule="auto"/>
        <w:jc w:val="both"/>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lastRenderedPageBreak/>
        <w:t>Table 2</w:t>
      </w:r>
      <w:r w:rsidR="00F21245">
        <w:rPr>
          <w:rFonts w:eastAsia="Times New Roman" w:cs="Arial"/>
          <w:b/>
          <w:color w:val="auto"/>
          <w:szCs w:val="24"/>
          <w:u w:color="FFFFFF" w:themeColor="background1"/>
          <w:lang w:val="en-AU"/>
        </w:rPr>
        <w:t>.8</w:t>
      </w:r>
      <w:r w:rsidR="00F2356C" w:rsidRPr="00A11CC5">
        <w:rPr>
          <w:rFonts w:eastAsia="Times New Roman" w:cs="Arial"/>
          <w:b/>
          <w:color w:val="auto"/>
          <w:szCs w:val="24"/>
          <w:u w:color="FFFFFF" w:themeColor="background1"/>
          <w:lang w:val="en-AU"/>
        </w:rPr>
        <w:t xml:space="preserve"> Expenditure on mineral exploration and mining by </w:t>
      </w:r>
      <w:commentRangeStart w:id="7"/>
      <w:r w:rsidR="00CC35CB" w:rsidRPr="00A11CC5">
        <w:rPr>
          <w:rFonts w:eastAsia="Times New Roman" w:cs="Arial"/>
          <w:b/>
          <w:color w:val="auto"/>
          <w:szCs w:val="24"/>
          <w:u w:color="FFFFFF" w:themeColor="background1"/>
          <w:lang w:val="en-AU"/>
        </w:rPr>
        <w:t>commodity</w:t>
      </w:r>
      <w:commentRangeEnd w:id="7"/>
      <w:r w:rsidR="00D82422">
        <w:rPr>
          <w:rStyle w:val="CommentReference"/>
        </w:rPr>
        <w:commentReference w:id="7"/>
      </w:r>
      <w:r w:rsidR="00B70A7A">
        <w:rPr>
          <w:rFonts w:eastAsia="Times New Roman" w:cs="Arial"/>
          <w:b/>
          <w:color w:val="auto"/>
          <w:szCs w:val="24"/>
          <w:u w:color="FFFFFF" w:themeColor="background1"/>
          <w:lang w:val="en-AU"/>
        </w:rPr>
        <w:t xml:space="preserve"> ($A million).</w:t>
      </w:r>
      <w:r w:rsidR="00F2356C" w:rsidRPr="00A11CC5">
        <w:rPr>
          <w:rFonts w:eastAsia="Times New Roman" w:cs="Arial"/>
          <w:b/>
          <w:color w:val="auto"/>
          <w:szCs w:val="24"/>
          <w:u w:color="FFFFFF" w:themeColor="background1"/>
          <w:lang w:val="en-AU"/>
        </w:rPr>
        <w:t xml:space="preserve"> </w:t>
      </w:r>
    </w:p>
    <w:p w14:paraId="1BE458AA" w14:textId="01D6926E" w:rsidR="00035C6F" w:rsidRPr="00035C6F" w:rsidRDefault="00035C6F" w:rsidP="00035C6F">
      <w:pPr>
        <w:spacing w:after="0" w:line="240" w:lineRule="auto"/>
        <w:jc w:val="both"/>
        <w:rPr>
          <w:rFonts w:eastAsia="Times New Roman" w:cs="Arial"/>
          <w:color w:val="auto"/>
          <w:u w:color="FFFFFF" w:themeColor="background1"/>
          <w:lang w:val="en-AU"/>
        </w:rPr>
      </w:pPr>
      <w:r w:rsidRPr="00035C6F">
        <w:rPr>
          <w:rFonts w:eastAsia="Times New Roman" w:cs="Arial"/>
          <w:color w:val="auto"/>
          <w:u w:color="FFFFFF" w:themeColor="background1"/>
          <w:lang w:val="en-AU"/>
        </w:rPr>
        <w:t>Exploration and Mining expenditures are allocated to commodity according to the primary nominated m</w:t>
      </w:r>
      <w:r w:rsidR="0063711B">
        <w:rPr>
          <w:rFonts w:eastAsia="Times New Roman" w:cs="Arial"/>
          <w:color w:val="auto"/>
          <w:u w:color="FFFFFF" w:themeColor="background1"/>
          <w:lang w:val="en-AU"/>
        </w:rPr>
        <w:t xml:space="preserve">ineral commodity on the licence </w:t>
      </w:r>
      <w:r w:rsidRPr="00035C6F">
        <w:rPr>
          <w:rFonts w:eastAsia="Times New Roman" w:cs="Arial"/>
          <w:color w:val="auto"/>
          <w:u w:color="FFFFFF" w:themeColor="background1"/>
          <w:lang w:val="en-AU"/>
        </w:rPr>
        <w:t>in line with the MRSDA expenditure on the previous table 2.5.</w:t>
      </w:r>
    </w:p>
    <w:p w14:paraId="6C679743" w14:textId="77777777" w:rsidR="00035C6F" w:rsidRPr="00A11CC5" w:rsidRDefault="00035C6F" w:rsidP="00F2356C">
      <w:pPr>
        <w:spacing w:after="0" w:line="240" w:lineRule="auto"/>
        <w:jc w:val="both"/>
        <w:rPr>
          <w:rFonts w:eastAsia="Times New Roman" w:cs="Arial"/>
          <w:b/>
          <w:color w:val="auto"/>
          <w:szCs w:val="24"/>
          <w:u w:color="FFFFFF" w:themeColor="background1"/>
          <w:lang w:val="en-AU"/>
        </w:rPr>
      </w:pPr>
    </w:p>
    <w:tbl>
      <w:tblPr>
        <w:tblStyle w:val="GridTable4-Accent1"/>
        <w:tblW w:w="5000" w:type="pct"/>
        <w:tblLook w:val="04E0" w:firstRow="1" w:lastRow="1" w:firstColumn="1" w:lastColumn="0" w:noHBand="0" w:noVBand="1"/>
        <w:tblCaption w:val="Expenditure on mineral exploration and mining by commodity"/>
        <w:tblDescription w:val="Exploration expense in $A million for exploration and mining and % of total for Brown Coal, Gold, Heavy Mineral Sands and Other (more than one primary mineral)."/>
      </w:tblPr>
      <w:tblGrid>
        <w:gridCol w:w="1993"/>
        <w:gridCol w:w="1994"/>
        <w:gridCol w:w="1996"/>
        <w:gridCol w:w="1831"/>
        <w:gridCol w:w="2256"/>
      </w:tblGrid>
      <w:tr w:rsidR="00A11CC5" w:rsidRPr="00A11CC5" w14:paraId="694EFD77" w14:textId="77777777" w:rsidTr="00581085">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90" w:type="pct"/>
            <w:noWrap/>
            <w:vAlign w:val="center"/>
            <w:hideMark/>
          </w:tcPr>
          <w:p w14:paraId="1080B22A" w14:textId="2DEA42C0" w:rsidR="00F2356C" w:rsidRPr="00E4190F" w:rsidRDefault="0006714F" w:rsidP="0006714F">
            <w:pPr>
              <w:jc w:val="center"/>
              <w:rPr>
                <w:rFonts w:eastAsia="Times New Roman" w:cs="Arial"/>
                <w:bCs w:val="0"/>
                <w:color w:val="FFFFFF" w:themeColor="background1"/>
                <w:u w:color="FFFFFF" w:themeColor="background1"/>
                <w:lang w:val="en-AU"/>
              </w:rPr>
            </w:pPr>
            <w:r w:rsidRPr="00E4190F">
              <w:rPr>
                <w:rFonts w:eastAsia="Times New Roman" w:cs="Arial"/>
                <w:bCs w:val="0"/>
                <w:color w:val="FFFFFF" w:themeColor="background1"/>
                <w:u w:color="FFFFFF" w:themeColor="background1"/>
                <w:lang w:val="en-AU"/>
              </w:rPr>
              <w:t>Minerals</w:t>
            </w:r>
          </w:p>
        </w:tc>
        <w:tc>
          <w:tcPr>
            <w:tcW w:w="990" w:type="pct"/>
            <w:vAlign w:val="center"/>
            <w:hideMark/>
          </w:tcPr>
          <w:p w14:paraId="343FAB6F" w14:textId="58D335EB" w:rsidR="00F2356C" w:rsidRPr="00A34342" w:rsidRDefault="00F2356C" w:rsidP="0006714F">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1"/>
                <w:u w:color="FFFFFF" w:themeColor="background1"/>
                <w:lang w:val="en-AU"/>
              </w:rPr>
            </w:pPr>
            <w:r w:rsidRPr="00A34342">
              <w:rPr>
                <w:rFonts w:eastAsia="Times New Roman" w:cs="Arial"/>
                <w:color w:val="FFFFFF" w:themeColor="background1"/>
                <w:u w:color="FFFFFF" w:themeColor="background1"/>
                <w:lang w:val="en-AU"/>
              </w:rPr>
              <w:t xml:space="preserve">Exploration </w:t>
            </w:r>
            <w:r w:rsidR="00E4190F">
              <w:rPr>
                <w:rFonts w:eastAsia="Times New Roman" w:cs="Arial"/>
                <w:color w:val="FFFFFF" w:themeColor="background1"/>
                <w:u w:color="FFFFFF" w:themeColor="background1"/>
                <w:lang w:val="en-AU"/>
              </w:rPr>
              <w:t>Expenditure</w:t>
            </w:r>
          </w:p>
        </w:tc>
        <w:tc>
          <w:tcPr>
            <w:tcW w:w="991" w:type="pct"/>
            <w:vAlign w:val="center"/>
            <w:hideMark/>
          </w:tcPr>
          <w:p w14:paraId="09A08151" w14:textId="09AB8BE0" w:rsidR="00F2356C" w:rsidRPr="00A34342" w:rsidRDefault="00F2356C" w:rsidP="0006714F">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1"/>
                <w:u w:color="FFFFFF" w:themeColor="background1"/>
                <w:lang w:val="en-AU"/>
              </w:rPr>
            </w:pPr>
            <w:r w:rsidRPr="00A34342">
              <w:rPr>
                <w:rFonts w:eastAsia="Times New Roman" w:cs="Arial"/>
                <w:color w:val="FFFFFF" w:themeColor="background1"/>
                <w:u w:color="FFFFFF" w:themeColor="background1"/>
                <w:lang w:val="en-AU"/>
              </w:rPr>
              <w:t xml:space="preserve"> % of total</w:t>
            </w:r>
          </w:p>
        </w:tc>
        <w:tc>
          <w:tcPr>
            <w:tcW w:w="909" w:type="pct"/>
            <w:vAlign w:val="center"/>
            <w:hideMark/>
          </w:tcPr>
          <w:p w14:paraId="6D8DB88B" w14:textId="575118E8" w:rsidR="00F2356C" w:rsidRPr="00A34342" w:rsidRDefault="00F2356C" w:rsidP="0006714F">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1"/>
                <w:u w:color="FFFFFF" w:themeColor="background1"/>
                <w:lang w:val="en-AU"/>
              </w:rPr>
            </w:pPr>
            <w:r w:rsidRPr="00A34342">
              <w:rPr>
                <w:rFonts w:eastAsia="Times New Roman" w:cs="Arial"/>
                <w:color w:val="FFFFFF" w:themeColor="background1"/>
                <w:u w:color="FFFFFF" w:themeColor="background1"/>
                <w:lang w:val="en-AU"/>
              </w:rPr>
              <w:t xml:space="preserve">Mining </w:t>
            </w:r>
            <w:r w:rsidR="00E4190F">
              <w:rPr>
                <w:rFonts w:eastAsia="Times New Roman" w:cs="Arial"/>
                <w:color w:val="FFFFFF" w:themeColor="background1"/>
                <w:u w:color="FFFFFF" w:themeColor="background1"/>
                <w:lang w:val="en-AU"/>
              </w:rPr>
              <w:t>Expenditure</w:t>
            </w:r>
          </w:p>
        </w:tc>
        <w:tc>
          <w:tcPr>
            <w:tcW w:w="1120" w:type="pct"/>
            <w:vAlign w:val="center"/>
            <w:hideMark/>
          </w:tcPr>
          <w:p w14:paraId="70EDAE92" w14:textId="0B692B07" w:rsidR="00F2356C" w:rsidRPr="00A34342" w:rsidRDefault="00F2356C" w:rsidP="0006714F">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background1"/>
                <w:u w:color="FFFFFF" w:themeColor="background1"/>
                <w:lang w:val="en-AU"/>
              </w:rPr>
            </w:pPr>
            <w:r w:rsidRPr="00A34342">
              <w:rPr>
                <w:rFonts w:eastAsia="Times New Roman" w:cs="Arial"/>
                <w:color w:val="FFFFFF" w:themeColor="background1"/>
                <w:u w:color="FFFFFF" w:themeColor="background1"/>
                <w:lang w:val="en-AU"/>
              </w:rPr>
              <w:t>% of total</w:t>
            </w:r>
          </w:p>
        </w:tc>
      </w:tr>
      <w:tr w:rsidR="00FD55DC" w:rsidRPr="00A11CC5" w14:paraId="1728BB14" w14:textId="77777777" w:rsidTr="0058108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90" w:type="pct"/>
            <w:noWrap/>
            <w:vAlign w:val="center"/>
            <w:hideMark/>
          </w:tcPr>
          <w:p w14:paraId="165EA3C3" w14:textId="0F0F7C38" w:rsidR="00FD55DC" w:rsidRPr="00A11CC5" w:rsidRDefault="00FD55DC" w:rsidP="00FD55DC">
            <w:pPr>
              <w:jc w:val="center"/>
              <w:rPr>
                <w:rFonts w:eastAsia="Times New Roman" w:cs="Arial"/>
                <w:b w:val="0"/>
                <w:color w:val="auto"/>
                <w:u w:color="FFFFFF" w:themeColor="background1"/>
                <w:lang w:val="en-AU"/>
              </w:rPr>
            </w:pPr>
            <w:r w:rsidRPr="00A11CC5">
              <w:rPr>
                <w:rFonts w:eastAsia="Times New Roman" w:cs="Arial"/>
                <w:b w:val="0"/>
                <w:color w:val="auto"/>
                <w:u w:color="FFFFFF" w:themeColor="background1"/>
                <w:lang w:val="en-AU"/>
              </w:rPr>
              <w:t>Coal</w:t>
            </w:r>
          </w:p>
        </w:tc>
        <w:tc>
          <w:tcPr>
            <w:tcW w:w="990" w:type="pct"/>
            <w:noWrap/>
            <w:hideMark/>
          </w:tcPr>
          <w:p w14:paraId="47BD2809" w14:textId="475A8D5E" w:rsidR="00FD55DC" w:rsidRPr="00FD55DC" w:rsidRDefault="00FD55DC" w:rsidP="00FD55DC">
            <w:pPr>
              <w:jc w:val="center"/>
              <w:cnfStyle w:val="000000100000" w:firstRow="0" w:lastRow="0" w:firstColumn="0" w:lastColumn="0" w:oddVBand="0" w:evenVBand="0" w:oddHBand="1" w:evenHBand="0" w:firstRowFirstColumn="0" w:firstRowLastColumn="0" w:lastRowFirstColumn="0" w:lastRowLastColumn="0"/>
              <w:rPr>
                <w:color w:val="auto"/>
              </w:rPr>
            </w:pPr>
            <w:r w:rsidRPr="00FD55DC">
              <w:rPr>
                <w:color w:val="auto"/>
              </w:rPr>
              <w:t>$0.5</w:t>
            </w:r>
          </w:p>
        </w:tc>
        <w:tc>
          <w:tcPr>
            <w:tcW w:w="991" w:type="pct"/>
            <w:noWrap/>
            <w:vAlign w:val="center"/>
          </w:tcPr>
          <w:p w14:paraId="3EB5C3F3" w14:textId="77777777" w:rsidR="00FD55DC" w:rsidRPr="00FD55DC" w:rsidRDefault="00FD55DC" w:rsidP="00FD55DC">
            <w:pPr>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FD55DC">
              <w:rPr>
                <w:color w:val="808080" w:themeColor="background1" w:themeShade="80"/>
              </w:rPr>
              <w:t>0.7%</w:t>
            </w:r>
          </w:p>
        </w:tc>
        <w:tc>
          <w:tcPr>
            <w:tcW w:w="909" w:type="pct"/>
            <w:noWrap/>
            <w:hideMark/>
          </w:tcPr>
          <w:p w14:paraId="5E2B2395" w14:textId="211CB6B5" w:rsidR="00FD55DC" w:rsidRPr="00FD55DC" w:rsidRDefault="00FD55DC" w:rsidP="00FD55DC">
            <w:pPr>
              <w:jc w:val="center"/>
              <w:cnfStyle w:val="000000100000" w:firstRow="0" w:lastRow="0" w:firstColumn="0" w:lastColumn="0" w:oddVBand="0" w:evenVBand="0" w:oddHBand="1" w:evenHBand="0" w:firstRowFirstColumn="0" w:firstRowLastColumn="0" w:lastRowFirstColumn="0" w:lastRowLastColumn="0"/>
              <w:rPr>
                <w:color w:val="auto"/>
              </w:rPr>
            </w:pPr>
            <w:r w:rsidRPr="00FD55DC">
              <w:rPr>
                <w:color w:val="auto"/>
              </w:rPr>
              <w:t>$359.1</w:t>
            </w:r>
          </w:p>
        </w:tc>
        <w:tc>
          <w:tcPr>
            <w:tcW w:w="1120" w:type="pct"/>
            <w:noWrap/>
            <w:vAlign w:val="center"/>
          </w:tcPr>
          <w:p w14:paraId="3800F0F5" w14:textId="77777777" w:rsidR="00FD55DC" w:rsidRPr="00FD55DC" w:rsidRDefault="00FD55DC" w:rsidP="00FD55DC">
            <w:pPr>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FD55DC">
              <w:rPr>
                <w:color w:val="808080" w:themeColor="background1" w:themeShade="80"/>
              </w:rPr>
              <w:t>54.7%</w:t>
            </w:r>
          </w:p>
        </w:tc>
      </w:tr>
      <w:tr w:rsidR="00FD55DC" w:rsidRPr="00A11CC5" w14:paraId="56779172" w14:textId="77777777" w:rsidTr="00581085">
        <w:trPr>
          <w:trHeight w:val="298"/>
        </w:trPr>
        <w:tc>
          <w:tcPr>
            <w:cnfStyle w:val="001000000000" w:firstRow="0" w:lastRow="0" w:firstColumn="1" w:lastColumn="0" w:oddVBand="0" w:evenVBand="0" w:oddHBand="0" w:evenHBand="0" w:firstRowFirstColumn="0" w:firstRowLastColumn="0" w:lastRowFirstColumn="0" w:lastRowLastColumn="0"/>
            <w:tcW w:w="990" w:type="pct"/>
            <w:noWrap/>
            <w:vAlign w:val="center"/>
            <w:hideMark/>
          </w:tcPr>
          <w:p w14:paraId="109D9A1A" w14:textId="601D3A39" w:rsidR="00FD55DC" w:rsidRPr="00A11CC5" w:rsidRDefault="00FD55DC" w:rsidP="00FD55DC">
            <w:pPr>
              <w:jc w:val="center"/>
              <w:rPr>
                <w:rFonts w:eastAsia="Times New Roman" w:cs="Arial"/>
                <w:b w:val="0"/>
                <w:color w:val="auto"/>
                <w:u w:color="FFFFFF" w:themeColor="background1"/>
                <w:lang w:val="en-AU"/>
              </w:rPr>
            </w:pPr>
            <w:r w:rsidRPr="00A11CC5">
              <w:rPr>
                <w:rFonts w:eastAsia="Times New Roman" w:cs="Arial"/>
                <w:b w:val="0"/>
                <w:color w:val="auto"/>
                <w:u w:color="FFFFFF" w:themeColor="background1"/>
                <w:lang w:val="en-AU"/>
              </w:rPr>
              <w:t>Gold</w:t>
            </w:r>
          </w:p>
        </w:tc>
        <w:tc>
          <w:tcPr>
            <w:tcW w:w="990" w:type="pct"/>
            <w:noWrap/>
            <w:hideMark/>
          </w:tcPr>
          <w:p w14:paraId="092D94E4" w14:textId="07E3755C" w:rsidR="00FD55DC" w:rsidRPr="00FD55DC" w:rsidRDefault="00FD55DC" w:rsidP="00FD55DC">
            <w:pPr>
              <w:jc w:val="center"/>
              <w:cnfStyle w:val="000000000000" w:firstRow="0" w:lastRow="0" w:firstColumn="0" w:lastColumn="0" w:oddVBand="0" w:evenVBand="0" w:oddHBand="0" w:evenHBand="0" w:firstRowFirstColumn="0" w:firstRowLastColumn="0" w:lastRowFirstColumn="0" w:lastRowLastColumn="0"/>
              <w:rPr>
                <w:color w:val="auto"/>
              </w:rPr>
            </w:pPr>
            <w:r w:rsidRPr="00FD55DC">
              <w:rPr>
                <w:color w:val="auto"/>
              </w:rPr>
              <w:t>$43.8</w:t>
            </w:r>
          </w:p>
        </w:tc>
        <w:tc>
          <w:tcPr>
            <w:tcW w:w="991" w:type="pct"/>
            <w:noWrap/>
            <w:vAlign w:val="center"/>
          </w:tcPr>
          <w:p w14:paraId="34B5A035" w14:textId="77777777" w:rsidR="00FD55DC" w:rsidRPr="00FD55DC" w:rsidRDefault="00FD55DC" w:rsidP="00FD55DC">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FD55DC">
              <w:rPr>
                <w:color w:val="808080" w:themeColor="background1" w:themeShade="80"/>
              </w:rPr>
              <w:t>65.4%</w:t>
            </w:r>
          </w:p>
        </w:tc>
        <w:tc>
          <w:tcPr>
            <w:tcW w:w="909" w:type="pct"/>
            <w:noWrap/>
            <w:hideMark/>
          </w:tcPr>
          <w:p w14:paraId="36CFDFA1" w14:textId="61742BD0" w:rsidR="00FD55DC" w:rsidRPr="00FD55DC" w:rsidRDefault="00FD55DC" w:rsidP="00FD55DC">
            <w:pPr>
              <w:jc w:val="center"/>
              <w:cnfStyle w:val="000000000000" w:firstRow="0" w:lastRow="0" w:firstColumn="0" w:lastColumn="0" w:oddVBand="0" w:evenVBand="0" w:oddHBand="0" w:evenHBand="0" w:firstRowFirstColumn="0" w:firstRowLastColumn="0" w:lastRowFirstColumn="0" w:lastRowLastColumn="0"/>
              <w:rPr>
                <w:color w:val="auto"/>
              </w:rPr>
            </w:pPr>
            <w:r w:rsidRPr="00FD55DC">
              <w:rPr>
                <w:color w:val="auto"/>
              </w:rPr>
              <w:t>$237.7</w:t>
            </w:r>
          </w:p>
        </w:tc>
        <w:tc>
          <w:tcPr>
            <w:tcW w:w="1120" w:type="pct"/>
            <w:noWrap/>
            <w:vAlign w:val="center"/>
          </w:tcPr>
          <w:p w14:paraId="5FC2FD2D" w14:textId="77777777" w:rsidR="00FD55DC" w:rsidRPr="00FD55DC" w:rsidRDefault="00FD55DC" w:rsidP="00FD55DC">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FD55DC">
              <w:rPr>
                <w:color w:val="808080" w:themeColor="background1" w:themeShade="80"/>
              </w:rPr>
              <w:t>36.5%</w:t>
            </w:r>
          </w:p>
        </w:tc>
      </w:tr>
      <w:tr w:rsidR="00FD55DC" w:rsidRPr="00A11CC5" w14:paraId="68FC8773" w14:textId="77777777" w:rsidTr="0058108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990" w:type="pct"/>
            <w:noWrap/>
            <w:vAlign w:val="center"/>
            <w:hideMark/>
          </w:tcPr>
          <w:p w14:paraId="4413A40C" w14:textId="77777777" w:rsidR="00FD55DC" w:rsidRPr="00A11CC5" w:rsidRDefault="00FD55DC" w:rsidP="00FD55DC">
            <w:pPr>
              <w:jc w:val="center"/>
              <w:rPr>
                <w:rFonts w:eastAsia="Times New Roman" w:cs="Arial"/>
                <w:b w:val="0"/>
                <w:color w:val="auto"/>
                <w:u w:color="FFFFFF" w:themeColor="background1"/>
                <w:lang w:val="en-AU"/>
              </w:rPr>
            </w:pPr>
            <w:r w:rsidRPr="00A11CC5">
              <w:rPr>
                <w:rFonts w:eastAsia="Times New Roman" w:cs="Arial"/>
                <w:b w:val="0"/>
                <w:color w:val="auto"/>
                <w:u w:color="FFFFFF" w:themeColor="background1"/>
                <w:lang w:val="en-AU"/>
              </w:rPr>
              <w:t>Mineral Sands</w:t>
            </w:r>
          </w:p>
        </w:tc>
        <w:tc>
          <w:tcPr>
            <w:tcW w:w="990" w:type="pct"/>
            <w:noWrap/>
            <w:hideMark/>
          </w:tcPr>
          <w:p w14:paraId="40892DD6" w14:textId="4D2B26D8" w:rsidR="00FD55DC" w:rsidRPr="00FD55DC" w:rsidRDefault="00FD55DC" w:rsidP="00FD55DC">
            <w:pPr>
              <w:jc w:val="center"/>
              <w:cnfStyle w:val="000000100000" w:firstRow="0" w:lastRow="0" w:firstColumn="0" w:lastColumn="0" w:oddVBand="0" w:evenVBand="0" w:oddHBand="1" w:evenHBand="0" w:firstRowFirstColumn="0" w:firstRowLastColumn="0" w:lastRowFirstColumn="0" w:lastRowLastColumn="0"/>
              <w:rPr>
                <w:color w:val="auto"/>
              </w:rPr>
            </w:pPr>
            <w:r w:rsidRPr="00FD55DC">
              <w:rPr>
                <w:color w:val="auto"/>
              </w:rPr>
              <w:t>$6.9</w:t>
            </w:r>
          </w:p>
        </w:tc>
        <w:tc>
          <w:tcPr>
            <w:tcW w:w="991" w:type="pct"/>
            <w:noWrap/>
            <w:vAlign w:val="center"/>
          </w:tcPr>
          <w:p w14:paraId="69B03D89" w14:textId="77777777" w:rsidR="00FD55DC" w:rsidRPr="00FD55DC" w:rsidRDefault="00FD55DC" w:rsidP="00FD55DC">
            <w:pPr>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FD55DC">
              <w:rPr>
                <w:color w:val="808080" w:themeColor="background1" w:themeShade="80"/>
              </w:rPr>
              <w:t>10.3%</w:t>
            </w:r>
          </w:p>
        </w:tc>
        <w:tc>
          <w:tcPr>
            <w:tcW w:w="909" w:type="pct"/>
            <w:noWrap/>
            <w:hideMark/>
          </w:tcPr>
          <w:p w14:paraId="2935A5F6" w14:textId="64C07C0E" w:rsidR="00FD55DC" w:rsidRPr="00FD55DC" w:rsidRDefault="00FD55DC" w:rsidP="00FD55DC">
            <w:pPr>
              <w:jc w:val="center"/>
              <w:cnfStyle w:val="000000100000" w:firstRow="0" w:lastRow="0" w:firstColumn="0" w:lastColumn="0" w:oddVBand="0" w:evenVBand="0" w:oddHBand="1" w:evenHBand="0" w:firstRowFirstColumn="0" w:firstRowLastColumn="0" w:lastRowFirstColumn="0" w:lastRowLastColumn="0"/>
              <w:rPr>
                <w:color w:val="auto"/>
              </w:rPr>
            </w:pPr>
            <w:r w:rsidRPr="00FD55DC">
              <w:rPr>
                <w:color w:val="auto"/>
              </w:rPr>
              <w:t>$12.6</w:t>
            </w:r>
          </w:p>
        </w:tc>
        <w:tc>
          <w:tcPr>
            <w:tcW w:w="1120" w:type="pct"/>
            <w:noWrap/>
            <w:vAlign w:val="center"/>
          </w:tcPr>
          <w:p w14:paraId="0A2C8525" w14:textId="77777777" w:rsidR="00FD55DC" w:rsidRPr="00FD55DC" w:rsidRDefault="00FD55DC" w:rsidP="00FD55DC">
            <w:pPr>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FD55DC">
              <w:rPr>
                <w:color w:val="808080" w:themeColor="background1" w:themeShade="80"/>
              </w:rPr>
              <w:t>1.9%</w:t>
            </w:r>
          </w:p>
        </w:tc>
      </w:tr>
      <w:tr w:rsidR="00FD55DC" w:rsidRPr="00A11CC5" w14:paraId="565A34BE" w14:textId="77777777" w:rsidTr="00581085">
        <w:trPr>
          <w:trHeight w:val="298"/>
        </w:trPr>
        <w:tc>
          <w:tcPr>
            <w:cnfStyle w:val="001000000000" w:firstRow="0" w:lastRow="0" w:firstColumn="1" w:lastColumn="0" w:oddVBand="0" w:evenVBand="0" w:oddHBand="0" w:evenHBand="0" w:firstRowFirstColumn="0" w:firstRowLastColumn="0" w:lastRowFirstColumn="0" w:lastRowLastColumn="0"/>
            <w:tcW w:w="990" w:type="pct"/>
            <w:noWrap/>
            <w:vAlign w:val="center"/>
            <w:hideMark/>
          </w:tcPr>
          <w:p w14:paraId="3AE52AA8" w14:textId="77777777" w:rsidR="00FD55DC" w:rsidRPr="00A11CC5" w:rsidRDefault="00FD55DC" w:rsidP="00FD55DC">
            <w:pPr>
              <w:jc w:val="center"/>
              <w:rPr>
                <w:rFonts w:eastAsia="Times New Roman" w:cs="Arial"/>
                <w:b w:val="0"/>
                <w:color w:val="auto"/>
                <w:u w:color="FFFFFF" w:themeColor="background1"/>
                <w:lang w:val="en-AU"/>
              </w:rPr>
            </w:pPr>
            <w:r w:rsidRPr="00A11CC5">
              <w:rPr>
                <w:rFonts w:eastAsia="Times New Roman" w:cs="Arial"/>
                <w:b w:val="0"/>
                <w:color w:val="auto"/>
                <w:u w:color="FFFFFF" w:themeColor="background1"/>
                <w:lang w:val="en-AU"/>
              </w:rPr>
              <w:t>Other**</w:t>
            </w:r>
          </w:p>
        </w:tc>
        <w:tc>
          <w:tcPr>
            <w:tcW w:w="990" w:type="pct"/>
            <w:noWrap/>
            <w:hideMark/>
          </w:tcPr>
          <w:p w14:paraId="04A24DBF" w14:textId="7FD872EF" w:rsidR="00FD55DC" w:rsidRPr="00FD55DC" w:rsidRDefault="00FD55DC" w:rsidP="00FD55DC">
            <w:pPr>
              <w:jc w:val="center"/>
              <w:cnfStyle w:val="000000000000" w:firstRow="0" w:lastRow="0" w:firstColumn="0" w:lastColumn="0" w:oddVBand="0" w:evenVBand="0" w:oddHBand="0" w:evenHBand="0" w:firstRowFirstColumn="0" w:firstRowLastColumn="0" w:lastRowFirstColumn="0" w:lastRowLastColumn="0"/>
              <w:rPr>
                <w:color w:val="auto"/>
              </w:rPr>
            </w:pPr>
            <w:r w:rsidRPr="00FD55DC">
              <w:rPr>
                <w:color w:val="auto"/>
              </w:rPr>
              <w:t>$15.8</w:t>
            </w:r>
          </w:p>
        </w:tc>
        <w:tc>
          <w:tcPr>
            <w:tcW w:w="991" w:type="pct"/>
            <w:noWrap/>
            <w:vAlign w:val="center"/>
          </w:tcPr>
          <w:p w14:paraId="618D3C47" w14:textId="77777777" w:rsidR="00FD55DC" w:rsidRPr="00FD55DC" w:rsidRDefault="00FD55DC" w:rsidP="00FD55DC">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FD55DC">
              <w:rPr>
                <w:color w:val="808080" w:themeColor="background1" w:themeShade="80"/>
              </w:rPr>
              <w:t>23.6%</w:t>
            </w:r>
          </w:p>
        </w:tc>
        <w:tc>
          <w:tcPr>
            <w:tcW w:w="909" w:type="pct"/>
            <w:noWrap/>
            <w:hideMark/>
          </w:tcPr>
          <w:p w14:paraId="024E49DC" w14:textId="65C11308" w:rsidR="00FD55DC" w:rsidRPr="00FD55DC" w:rsidRDefault="00FD55DC" w:rsidP="00FD55DC">
            <w:pPr>
              <w:jc w:val="center"/>
              <w:cnfStyle w:val="000000000000" w:firstRow="0" w:lastRow="0" w:firstColumn="0" w:lastColumn="0" w:oddVBand="0" w:evenVBand="0" w:oddHBand="0" w:evenHBand="0" w:firstRowFirstColumn="0" w:firstRowLastColumn="0" w:lastRowFirstColumn="0" w:lastRowLastColumn="0"/>
              <w:rPr>
                <w:color w:val="auto"/>
              </w:rPr>
            </w:pPr>
            <w:r w:rsidRPr="00FD55DC">
              <w:rPr>
                <w:color w:val="auto"/>
              </w:rPr>
              <w:t>$44.7</w:t>
            </w:r>
          </w:p>
        </w:tc>
        <w:tc>
          <w:tcPr>
            <w:tcW w:w="1120" w:type="pct"/>
            <w:noWrap/>
            <w:vAlign w:val="center"/>
          </w:tcPr>
          <w:p w14:paraId="10743D23" w14:textId="77777777" w:rsidR="00FD55DC" w:rsidRPr="00FD55DC" w:rsidRDefault="00FD55DC" w:rsidP="00FD55DC">
            <w:pPr>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FD55DC">
              <w:rPr>
                <w:color w:val="808080" w:themeColor="background1" w:themeShade="80"/>
              </w:rPr>
              <w:t>6.8%</w:t>
            </w:r>
          </w:p>
        </w:tc>
      </w:tr>
      <w:tr w:rsidR="00FD55DC" w:rsidRPr="00A11CC5" w14:paraId="4272B0FA" w14:textId="77777777" w:rsidTr="00581085">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90" w:type="pct"/>
            <w:noWrap/>
            <w:vAlign w:val="center"/>
            <w:hideMark/>
          </w:tcPr>
          <w:p w14:paraId="5DA64360" w14:textId="77777777" w:rsidR="00FD55DC" w:rsidRPr="00A11CC5" w:rsidRDefault="00FD55DC" w:rsidP="00FD55DC">
            <w:pPr>
              <w:jc w:val="center"/>
              <w:rPr>
                <w:rFonts w:eastAsia="Times New Roman" w:cs="Arial"/>
                <w:b w:val="0"/>
                <w:bCs w:val="0"/>
                <w:color w:val="auto"/>
                <w:u w:color="FFFFFF" w:themeColor="background1"/>
                <w:lang w:val="en-AU"/>
              </w:rPr>
            </w:pPr>
            <w:r w:rsidRPr="00A11CC5">
              <w:rPr>
                <w:rFonts w:eastAsia="Times New Roman" w:cs="Arial"/>
                <w:color w:val="auto"/>
                <w:u w:color="FFFFFF" w:themeColor="background1"/>
                <w:lang w:val="en-AU"/>
              </w:rPr>
              <w:t>Total</w:t>
            </w:r>
          </w:p>
        </w:tc>
        <w:tc>
          <w:tcPr>
            <w:tcW w:w="990" w:type="pct"/>
            <w:noWrap/>
            <w:hideMark/>
          </w:tcPr>
          <w:p w14:paraId="4E73985C" w14:textId="735BEAC6" w:rsidR="00FD55DC" w:rsidRPr="00FD55DC" w:rsidRDefault="00FD55DC" w:rsidP="00FD55DC">
            <w:pPr>
              <w:jc w:val="center"/>
              <w:cnfStyle w:val="010000000000" w:firstRow="0" w:lastRow="1" w:firstColumn="0" w:lastColumn="0" w:oddVBand="0" w:evenVBand="0" w:oddHBand="0" w:evenHBand="0" w:firstRowFirstColumn="0" w:firstRowLastColumn="0" w:lastRowFirstColumn="0" w:lastRowLastColumn="0"/>
              <w:rPr>
                <w:color w:val="auto"/>
              </w:rPr>
            </w:pPr>
            <w:r w:rsidRPr="00FD55DC">
              <w:rPr>
                <w:color w:val="auto"/>
              </w:rPr>
              <w:t>$67.0</w:t>
            </w:r>
          </w:p>
        </w:tc>
        <w:tc>
          <w:tcPr>
            <w:tcW w:w="991" w:type="pct"/>
            <w:noWrap/>
            <w:vAlign w:val="center"/>
            <w:hideMark/>
          </w:tcPr>
          <w:p w14:paraId="43A8DD22" w14:textId="77777777" w:rsidR="00FD55DC" w:rsidRPr="00FD55DC" w:rsidRDefault="00FD55DC" w:rsidP="00FD55DC">
            <w:pPr>
              <w:jc w:val="center"/>
              <w:cnfStyle w:val="010000000000" w:firstRow="0" w:lastRow="1" w:firstColumn="0" w:lastColumn="0" w:oddVBand="0" w:evenVBand="0" w:oddHBand="0" w:evenHBand="0" w:firstRowFirstColumn="0" w:firstRowLastColumn="0" w:lastRowFirstColumn="0" w:lastRowLastColumn="0"/>
              <w:rPr>
                <w:color w:val="808080" w:themeColor="background1" w:themeShade="80"/>
              </w:rPr>
            </w:pPr>
            <w:r w:rsidRPr="00FD55DC">
              <w:rPr>
                <w:color w:val="808080" w:themeColor="background1" w:themeShade="80"/>
              </w:rPr>
              <w:t>100.0%</w:t>
            </w:r>
          </w:p>
        </w:tc>
        <w:tc>
          <w:tcPr>
            <w:tcW w:w="909" w:type="pct"/>
            <w:noWrap/>
            <w:hideMark/>
          </w:tcPr>
          <w:p w14:paraId="403847C7" w14:textId="0EF35901" w:rsidR="00FD55DC" w:rsidRPr="00FD55DC" w:rsidRDefault="00BA56B9" w:rsidP="00FD55DC">
            <w:pPr>
              <w:jc w:val="center"/>
              <w:cnfStyle w:val="010000000000" w:firstRow="0" w:lastRow="1" w:firstColumn="0" w:lastColumn="0" w:oddVBand="0" w:evenVBand="0" w:oddHBand="0" w:evenHBand="0" w:firstRowFirstColumn="0" w:firstRowLastColumn="0" w:lastRowFirstColumn="0" w:lastRowLastColumn="0"/>
              <w:rPr>
                <w:color w:val="auto"/>
              </w:rPr>
            </w:pPr>
            <w:r>
              <w:rPr>
                <w:color w:val="auto"/>
              </w:rPr>
              <w:t>$654.1</w:t>
            </w:r>
          </w:p>
        </w:tc>
        <w:tc>
          <w:tcPr>
            <w:tcW w:w="1120" w:type="pct"/>
            <w:noWrap/>
            <w:vAlign w:val="center"/>
            <w:hideMark/>
          </w:tcPr>
          <w:p w14:paraId="4A2682BF" w14:textId="77777777" w:rsidR="00FD55DC" w:rsidRPr="00FD55DC" w:rsidRDefault="00FD55DC" w:rsidP="00FD55DC">
            <w:pPr>
              <w:jc w:val="center"/>
              <w:cnfStyle w:val="010000000000" w:firstRow="0" w:lastRow="1" w:firstColumn="0" w:lastColumn="0" w:oddVBand="0" w:evenVBand="0" w:oddHBand="0" w:evenHBand="0" w:firstRowFirstColumn="0" w:firstRowLastColumn="0" w:lastRowFirstColumn="0" w:lastRowLastColumn="0"/>
              <w:rPr>
                <w:color w:val="808080" w:themeColor="background1" w:themeShade="80"/>
              </w:rPr>
            </w:pPr>
            <w:r w:rsidRPr="00FD55DC">
              <w:rPr>
                <w:color w:val="808080" w:themeColor="background1" w:themeShade="80"/>
              </w:rPr>
              <w:t>100.0%</w:t>
            </w:r>
          </w:p>
        </w:tc>
      </w:tr>
    </w:tbl>
    <w:p w14:paraId="4C4CA5A6" w14:textId="2468D532" w:rsidR="00F2356C" w:rsidRDefault="00F2356C" w:rsidP="0006714F">
      <w:pPr>
        <w:spacing w:after="0" w:line="240" w:lineRule="auto"/>
        <w:jc w:val="both"/>
        <w:rPr>
          <w:rFonts w:cs="Arial"/>
          <w:noProof/>
          <w:color w:val="auto"/>
          <w:u w:color="FFFFFF" w:themeColor="background1"/>
          <w:lang w:val="en-AU" w:eastAsia="en-AU"/>
        </w:rPr>
      </w:pPr>
      <w:r w:rsidRPr="00A11CC5">
        <w:rPr>
          <w:rFonts w:eastAsia="Times New Roman" w:cs="Arial"/>
          <w:color w:val="auto"/>
          <w:sz w:val="16"/>
          <w:szCs w:val="24"/>
          <w:u w:color="FFFFFF" w:themeColor="background1"/>
          <w:lang w:val="en-AU"/>
        </w:rPr>
        <w:t>** “Other” includes cases where there is more than one primary mineral</w:t>
      </w:r>
      <w:r w:rsidR="00294F93" w:rsidRPr="00A11CC5">
        <w:rPr>
          <w:rFonts w:eastAsia="Times New Roman" w:cs="Arial"/>
          <w:color w:val="auto"/>
          <w:sz w:val="16"/>
          <w:szCs w:val="24"/>
          <w:u w:color="FFFFFF" w:themeColor="background1"/>
          <w:lang w:val="en-AU"/>
        </w:rPr>
        <w:t>.</w:t>
      </w:r>
      <w:r w:rsidR="00014601" w:rsidRPr="00A11CC5">
        <w:rPr>
          <w:rFonts w:cs="Arial"/>
          <w:noProof/>
          <w:color w:val="auto"/>
          <w:highlight w:val="yellow"/>
          <w:u w:color="FFFFFF" w:themeColor="background1"/>
          <w:lang w:val="en-AU" w:eastAsia="en-AU"/>
        </w:rPr>
        <w:t xml:space="preserve"> </w:t>
      </w:r>
    </w:p>
    <w:p w14:paraId="515DBB14" w14:textId="3654A7FC" w:rsidR="009A41EF" w:rsidRPr="00A11CC5" w:rsidRDefault="009A41EF" w:rsidP="009A41EF">
      <w:pPr>
        <w:spacing w:after="120"/>
        <w:jc w:val="both"/>
        <w:rPr>
          <w:rFonts w:cs="Arial"/>
          <w:color w:val="auto"/>
          <w:sz w:val="16"/>
          <w:szCs w:val="16"/>
          <w:u w:color="FFFFFF" w:themeColor="background1"/>
          <w:lang w:val="en-AU"/>
        </w:rPr>
      </w:pPr>
      <w:r w:rsidRPr="00A11CC5">
        <w:rPr>
          <w:rFonts w:cs="Arial"/>
          <w:color w:val="auto"/>
          <w:sz w:val="16"/>
          <w:szCs w:val="16"/>
          <w:u w:color="FFFFFF" w:themeColor="background1"/>
          <w:lang w:val="en-AU"/>
        </w:rPr>
        <w:t xml:space="preserve">^Data as at </w:t>
      </w:r>
      <w:r>
        <w:rPr>
          <w:rFonts w:cs="Arial"/>
          <w:color w:val="auto"/>
          <w:sz w:val="16"/>
          <w:szCs w:val="16"/>
          <w:u w:color="FFFFFF" w:themeColor="background1"/>
          <w:lang w:val="en-AU"/>
        </w:rPr>
        <w:t>17/12</w:t>
      </w:r>
      <w:r w:rsidRPr="00A11CC5">
        <w:rPr>
          <w:rFonts w:cs="Arial"/>
          <w:color w:val="auto"/>
          <w:sz w:val="16"/>
          <w:szCs w:val="16"/>
          <w:u w:color="FFFFFF" w:themeColor="background1"/>
          <w:lang w:val="en-AU"/>
        </w:rPr>
        <w:t>/2018</w:t>
      </w:r>
      <w:r>
        <w:rPr>
          <w:rFonts w:cs="Arial"/>
          <w:color w:val="auto"/>
          <w:sz w:val="16"/>
          <w:szCs w:val="16"/>
          <w:u w:color="FFFFFF" w:themeColor="background1"/>
          <w:lang w:val="en-AU"/>
        </w:rPr>
        <w:t xml:space="preserve"> from Expenditure &amp; Activity Reports</w:t>
      </w:r>
      <w:r w:rsidR="00DC544C">
        <w:rPr>
          <w:rFonts w:cs="Arial"/>
          <w:color w:val="auto"/>
          <w:sz w:val="16"/>
          <w:szCs w:val="16"/>
          <w:u w:color="FFFFFF" w:themeColor="background1"/>
          <w:lang w:val="en-AU"/>
        </w:rPr>
        <w:t xml:space="preserve"> on</w:t>
      </w:r>
      <w:r>
        <w:rPr>
          <w:rFonts w:cs="Arial"/>
          <w:color w:val="auto"/>
          <w:sz w:val="16"/>
          <w:szCs w:val="16"/>
          <w:u w:color="FFFFFF" w:themeColor="background1"/>
          <w:lang w:val="en-AU"/>
        </w:rPr>
        <w:t xml:space="preserve"> all Mine</w:t>
      </w:r>
      <w:r w:rsidR="00DC544C">
        <w:rPr>
          <w:rFonts w:cs="Arial"/>
          <w:color w:val="auto"/>
          <w:sz w:val="16"/>
          <w:szCs w:val="16"/>
          <w:u w:color="FFFFFF" w:themeColor="background1"/>
          <w:lang w:val="en-AU"/>
        </w:rPr>
        <w:t>ral licences</w:t>
      </w:r>
      <w:r>
        <w:rPr>
          <w:rFonts w:cs="Arial"/>
          <w:color w:val="auto"/>
          <w:sz w:val="16"/>
          <w:szCs w:val="16"/>
          <w:u w:color="FFFFFF" w:themeColor="background1"/>
          <w:lang w:val="en-AU"/>
        </w:rPr>
        <w:t xml:space="preserve"> received from the industry</w:t>
      </w:r>
      <w:r w:rsidR="00DC544C">
        <w:rPr>
          <w:rFonts w:cs="Arial"/>
          <w:color w:val="auto"/>
          <w:sz w:val="16"/>
          <w:szCs w:val="16"/>
          <w:u w:color="FFFFFF" w:themeColor="background1"/>
          <w:lang w:val="en-AU"/>
        </w:rPr>
        <w:t xml:space="preserve"> (87%)</w:t>
      </w:r>
      <w:r>
        <w:rPr>
          <w:rFonts w:cs="Arial"/>
          <w:color w:val="auto"/>
          <w:sz w:val="16"/>
          <w:szCs w:val="16"/>
          <w:u w:color="FFFFFF" w:themeColor="background1"/>
          <w:lang w:val="en-AU"/>
        </w:rPr>
        <w:t>.</w:t>
      </w:r>
    </w:p>
    <w:p w14:paraId="5AA3C50D" w14:textId="00C3ACBB" w:rsidR="003B5507" w:rsidRPr="003B5507" w:rsidRDefault="00F21245" w:rsidP="00E131D0">
      <w:pPr>
        <w:rPr>
          <w:b/>
          <w:color w:val="auto"/>
          <w:lang w:val="en-AU"/>
        </w:rPr>
      </w:pPr>
      <w:r>
        <w:rPr>
          <w:b/>
          <w:color w:val="auto"/>
          <w:lang w:val="en-AU"/>
        </w:rPr>
        <w:t>Table 2.9</w:t>
      </w:r>
      <w:r w:rsidR="003B5507" w:rsidRPr="003B5507">
        <w:rPr>
          <w:b/>
          <w:color w:val="auto"/>
          <w:lang w:val="en-AU"/>
        </w:rPr>
        <w:t xml:space="preserve"> </w:t>
      </w:r>
      <w:r w:rsidR="003B5507">
        <w:rPr>
          <w:b/>
          <w:color w:val="auto"/>
          <w:lang w:val="en-AU"/>
        </w:rPr>
        <w:t>Mineral e</w:t>
      </w:r>
      <w:r w:rsidR="003B5507" w:rsidRPr="003B5507">
        <w:rPr>
          <w:b/>
          <w:color w:val="auto"/>
          <w:lang w:val="en-AU"/>
        </w:rPr>
        <w:t>xploration expenditure by commodity</w:t>
      </w:r>
      <w:r w:rsidR="003B5507">
        <w:rPr>
          <w:b/>
          <w:color w:val="auto"/>
          <w:lang w:val="en-AU"/>
        </w:rPr>
        <w:t xml:space="preserve"> and year ($A million)</w:t>
      </w:r>
    </w:p>
    <w:tbl>
      <w:tblPr>
        <w:tblStyle w:val="GridTable4-Accent1"/>
        <w:tblW w:w="0" w:type="auto"/>
        <w:tblLook w:val="04A0" w:firstRow="1" w:lastRow="0" w:firstColumn="1" w:lastColumn="0" w:noHBand="0" w:noVBand="1"/>
      </w:tblPr>
      <w:tblGrid>
        <w:gridCol w:w="1679"/>
        <w:gridCol w:w="1678"/>
        <w:gridCol w:w="1678"/>
        <w:gridCol w:w="1679"/>
        <w:gridCol w:w="1678"/>
        <w:gridCol w:w="1678"/>
      </w:tblGrid>
      <w:tr w:rsidR="00BF5AF2" w:rsidRPr="003B5507" w14:paraId="106B9097" w14:textId="77777777" w:rsidTr="003B5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9" w:type="dxa"/>
          </w:tcPr>
          <w:p w14:paraId="602CE938" w14:textId="62AF2531" w:rsidR="00BF5AF2" w:rsidRPr="003B5507" w:rsidRDefault="003B5507" w:rsidP="003B5507">
            <w:pPr>
              <w:jc w:val="center"/>
              <w:rPr>
                <w:rFonts w:cs="Arial"/>
                <w:color w:val="FFFFFF" w:themeColor="background1"/>
                <w:lang w:val="en-AU"/>
              </w:rPr>
            </w:pPr>
            <w:r w:rsidRPr="003B5507">
              <w:rPr>
                <w:rFonts w:cs="Arial"/>
                <w:color w:val="FFFFFF" w:themeColor="background1"/>
              </w:rPr>
              <w:t>Year</w:t>
            </w:r>
          </w:p>
        </w:tc>
        <w:tc>
          <w:tcPr>
            <w:tcW w:w="1678" w:type="dxa"/>
          </w:tcPr>
          <w:p w14:paraId="35FBF4A4" w14:textId="2387C4E3" w:rsidR="00BF5AF2" w:rsidRPr="003B5507" w:rsidRDefault="00BF5AF2" w:rsidP="003B5507">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en-AU"/>
              </w:rPr>
            </w:pPr>
            <w:r w:rsidRPr="003B5507">
              <w:rPr>
                <w:rFonts w:cs="Arial"/>
                <w:color w:val="FFFFFF" w:themeColor="background1"/>
              </w:rPr>
              <w:t>Coal</w:t>
            </w:r>
          </w:p>
        </w:tc>
        <w:tc>
          <w:tcPr>
            <w:tcW w:w="1678" w:type="dxa"/>
          </w:tcPr>
          <w:p w14:paraId="1DE5159E" w14:textId="2A991035" w:rsidR="00BF5AF2" w:rsidRPr="003B5507" w:rsidRDefault="00BF5AF2" w:rsidP="003B5507">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en-AU"/>
              </w:rPr>
            </w:pPr>
            <w:r w:rsidRPr="003B5507">
              <w:rPr>
                <w:rFonts w:cs="Arial"/>
                <w:color w:val="FFFFFF" w:themeColor="background1"/>
              </w:rPr>
              <w:t>Gold</w:t>
            </w:r>
          </w:p>
        </w:tc>
        <w:tc>
          <w:tcPr>
            <w:tcW w:w="1679" w:type="dxa"/>
          </w:tcPr>
          <w:p w14:paraId="787B004C" w14:textId="4D0F8FA1" w:rsidR="00BF5AF2" w:rsidRPr="003B5507" w:rsidRDefault="00BF5AF2" w:rsidP="003B5507">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en-AU"/>
              </w:rPr>
            </w:pPr>
            <w:r w:rsidRPr="003B5507">
              <w:rPr>
                <w:rFonts w:cs="Arial"/>
                <w:color w:val="FFFFFF" w:themeColor="background1"/>
              </w:rPr>
              <w:t>Mineral Sands</w:t>
            </w:r>
          </w:p>
        </w:tc>
        <w:tc>
          <w:tcPr>
            <w:tcW w:w="1678" w:type="dxa"/>
          </w:tcPr>
          <w:p w14:paraId="21C762C4" w14:textId="6905ED2D" w:rsidR="00BF5AF2" w:rsidRPr="003B5507" w:rsidRDefault="00BF5AF2" w:rsidP="003B5507">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en-AU"/>
              </w:rPr>
            </w:pPr>
            <w:r w:rsidRPr="003B5507">
              <w:rPr>
                <w:rFonts w:cs="Arial"/>
                <w:color w:val="FFFFFF" w:themeColor="background1"/>
              </w:rPr>
              <w:t>Other *</w:t>
            </w:r>
          </w:p>
        </w:tc>
        <w:tc>
          <w:tcPr>
            <w:tcW w:w="1678" w:type="dxa"/>
          </w:tcPr>
          <w:p w14:paraId="7924B61E" w14:textId="6FF3C019" w:rsidR="00BF5AF2" w:rsidRPr="003B5507" w:rsidRDefault="00BF5AF2" w:rsidP="003B5507">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en-AU"/>
              </w:rPr>
            </w:pPr>
            <w:r w:rsidRPr="003B5507">
              <w:rPr>
                <w:rFonts w:cs="Arial"/>
                <w:color w:val="FFFFFF" w:themeColor="background1"/>
              </w:rPr>
              <w:t>Total</w:t>
            </w:r>
          </w:p>
        </w:tc>
      </w:tr>
      <w:tr w:rsidR="005E43D3" w:rsidRPr="003B5507" w14:paraId="2B519896" w14:textId="77777777" w:rsidTr="003B5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9" w:type="dxa"/>
          </w:tcPr>
          <w:p w14:paraId="0996B5B8" w14:textId="62482BF5" w:rsidR="005E43D3" w:rsidRPr="003B5507" w:rsidRDefault="005E43D3" w:rsidP="005E43D3">
            <w:pPr>
              <w:jc w:val="center"/>
              <w:rPr>
                <w:rFonts w:cs="Arial"/>
                <w:color w:val="auto"/>
                <w:lang w:val="en-AU"/>
              </w:rPr>
            </w:pPr>
            <w:r w:rsidRPr="003B5507">
              <w:rPr>
                <w:rFonts w:cs="Arial"/>
                <w:color w:val="000000"/>
              </w:rPr>
              <w:t>2015-16</w:t>
            </w:r>
          </w:p>
        </w:tc>
        <w:tc>
          <w:tcPr>
            <w:tcW w:w="1678" w:type="dxa"/>
          </w:tcPr>
          <w:p w14:paraId="75C6048B" w14:textId="5D67BB18" w:rsidR="005E43D3" w:rsidRPr="005E43D3" w:rsidRDefault="005E43D3" w:rsidP="005E43D3">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$0.37</w:t>
            </w:r>
          </w:p>
        </w:tc>
        <w:tc>
          <w:tcPr>
            <w:tcW w:w="1678" w:type="dxa"/>
          </w:tcPr>
          <w:p w14:paraId="48A94B3F" w14:textId="5431BDF8" w:rsidR="005E43D3" w:rsidRPr="005E43D3" w:rsidRDefault="005E43D3" w:rsidP="005E43D3">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$16.4</w:t>
            </w:r>
          </w:p>
        </w:tc>
        <w:tc>
          <w:tcPr>
            <w:tcW w:w="1679" w:type="dxa"/>
          </w:tcPr>
          <w:p w14:paraId="21B88861" w14:textId="4271FB52" w:rsidR="005E43D3" w:rsidRPr="005E43D3" w:rsidRDefault="005E43D3" w:rsidP="005E43D3">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$6.5</w:t>
            </w:r>
          </w:p>
        </w:tc>
        <w:tc>
          <w:tcPr>
            <w:tcW w:w="1678" w:type="dxa"/>
          </w:tcPr>
          <w:p w14:paraId="3F54B892" w14:textId="43F28B6C" w:rsidR="005E43D3" w:rsidRPr="005E43D3" w:rsidRDefault="005E43D3" w:rsidP="005E43D3">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$15.3</w:t>
            </w:r>
          </w:p>
        </w:tc>
        <w:tc>
          <w:tcPr>
            <w:tcW w:w="1678" w:type="dxa"/>
          </w:tcPr>
          <w:p w14:paraId="30398FE2" w14:textId="6111A8D1" w:rsidR="005E43D3" w:rsidRPr="005E43D3" w:rsidRDefault="005E43D3" w:rsidP="005E43D3">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$38.5</w:t>
            </w:r>
          </w:p>
        </w:tc>
      </w:tr>
      <w:tr w:rsidR="005E43D3" w:rsidRPr="003B5507" w14:paraId="56E5F3E2" w14:textId="77777777" w:rsidTr="003B5507">
        <w:tc>
          <w:tcPr>
            <w:cnfStyle w:val="001000000000" w:firstRow="0" w:lastRow="0" w:firstColumn="1" w:lastColumn="0" w:oddVBand="0" w:evenVBand="0" w:oddHBand="0" w:evenHBand="0" w:firstRowFirstColumn="0" w:firstRowLastColumn="0" w:lastRowFirstColumn="0" w:lastRowLastColumn="0"/>
            <w:tcW w:w="1679" w:type="dxa"/>
          </w:tcPr>
          <w:p w14:paraId="745770E8" w14:textId="62051FF6" w:rsidR="005E43D3" w:rsidRPr="003B5507" w:rsidRDefault="005E43D3" w:rsidP="005E43D3">
            <w:pPr>
              <w:jc w:val="center"/>
              <w:rPr>
                <w:rFonts w:cs="Arial"/>
                <w:color w:val="auto"/>
                <w:lang w:val="en-AU"/>
              </w:rPr>
            </w:pPr>
            <w:r w:rsidRPr="003B5507">
              <w:rPr>
                <w:rFonts w:cs="Arial"/>
                <w:color w:val="000000"/>
              </w:rPr>
              <w:t>2016-17</w:t>
            </w:r>
          </w:p>
        </w:tc>
        <w:tc>
          <w:tcPr>
            <w:tcW w:w="1678" w:type="dxa"/>
          </w:tcPr>
          <w:p w14:paraId="599359E2" w14:textId="2328D919" w:rsidR="005E43D3" w:rsidRPr="005E43D3" w:rsidRDefault="005E43D3" w:rsidP="005E43D3">
            <w:pPr>
              <w:jc w:val="center"/>
              <w:cnfStyle w:val="000000000000" w:firstRow="0" w:lastRow="0" w:firstColumn="0" w:lastColumn="0" w:oddVBand="0" w:evenVBand="0" w:oddHBand="0" w:evenHBand="0" w:firstRowFirstColumn="0" w:firstRowLastColumn="0" w:lastRowFirstColumn="0" w:lastRowLastColumn="0"/>
              <w:rPr>
                <w:rFonts w:cs="Arial"/>
                <w:color w:val="auto"/>
                <w:lang w:val="en-AU"/>
              </w:rPr>
            </w:pPr>
            <w:r w:rsidRPr="005E43D3">
              <w:rPr>
                <w:color w:val="auto"/>
              </w:rPr>
              <w:t>$0.46</w:t>
            </w:r>
          </w:p>
        </w:tc>
        <w:tc>
          <w:tcPr>
            <w:tcW w:w="1678" w:type="dxa"/>
          </w:tcPr>
          <w:p w14:paraId="04EC18A2" w14:textId="0DBBEEB1" w:rsidR="005E43D3" w:rsidRPr="005E43D3" w:rsidRDefault="005E43D3" w:rsidP="005E43D3">
            <w:pPr>
              <w:jc w:val="center"/>
              <w:cnfStyle w:val="000000000000" w:firstRow="0" w:lastRow="0" w:firstColumn="0" w:lastColumn="0" w:oddVBand="0" w:evenVBand="0" w:oddHBand="0" w:evenHBand="0" w:firstRowFirstColumn="0" w:firstRowLastColumn="0" w:lastRowFirstColumn="0" w:lastRowLastColumn="0"/>
              <w:rPr>
                <w:rFonts w:cs="Arial"/>
                <w:color w:val="auto"/>
                <w:lang w:val="en-AU"/>
              </w:rPr>
            </w:pPr>
            <w:r w:rsidRPr="005E43D3">
              <w:rPr>
                <w:color w:val="auto"/>
              </w:rPr>
              <w:t>$25.9</w:t>
            </w:r>
          </w:p>
        </w:tc>
        <w:tc>
          <w:tcPr>
            <w:tcW w:w="1679" w:type="dxa"/>
          </w:tcPr>
          <w:p w14:paraId="7079B70C" w14:textId="62EDC4EE" w:rsidR="005E43D3" w:rsidRPr="005E43D3" w:rsidRDefault="005E43D3" w:rsidP="005E43D3">
            <w:pPr>
              <w:jc w:val="center"/>
              <w:cnfStyle w:val="000000000000" w:firstRow="0" w:lastRow="0" w:firstColumn="0" w:lastColumn="0" w:oddVBand="0" w:evenVBand="0" w:oddHBand="0" w:evenHBand="0" w:firstRowFirstColumn="0" w:firstRowLastColumn="0" w:lastRowFirstColumn="0" w:lastRowLastColumn="0"/>
              <w:rPr>
                <w:rFonts w:cs="Arial"/>
                <w:color w:val="auto"/>
                <w:lang w:val="en-AU"/>
              </w:rPr>
            </w:pPr>
            <w:r w:rsidRPr="005E43D3">
              <w:rPr>
                <w:color w:val="auto"/>
              </w:rPr>
              <w:t>$5.1</w:t>
            </w:r>
          </w:p>
        </w:tc>
        <w:tc>
          <w:tcPr>
            <w:tcW w:w="1678" w:type="dxa"/>
          </w:tcPr>
          <w:p w14:paraId="08702A0B" w14:textId="251D0C55" w:rsidR="005E43D3" w:rsidRPr="005E43D3" w:rsidRDefault="005E43D3" w:rsidP="005E43D3">
            <w:pPr>
              <w:jc w:val="center"/>
              <w:cnfStyle w:val="000000000000" w:firstRow="0" w:lastRow="0" w:firstColumn="0" w:lastColumn="0" w:oddVBand="0" w:evenVBand="0" w:oddHBand="0" w:evenHBand="0" w:firstRowFirstColumn="0" w:firstRowLastColumn="0" w:lastRowFirstColumn="0" w:lastRowLastColumn="0"/>
              <w:rPr>
                <w:rFonts w:cs="Arial"/>
                <w:color w:val="auto"/>
                <w:lang w:val="en-AU"/>
              </w:rPr>
            </w:pPr>
            <w:r w:rsidRPr="005E43D3">
              <w:rPr>
                <w:color w:val="auto"/>
              </w:rPr>
              <w:t>$12.7</w:t>
            </w:r>
          </w:p>
        </w:tc>
        <w:tc>
          <w:tcPr>
            <w:tcW w:w="1678" w:type="dxa"/>
          </w:tcPr>
          <w:p w14:paraId="5209A403" w14:textId="458B3ABF" w:rsidR="005E43D3" w:rsidRPr="005E43D3" w:rsidRDefault="005E43D3" w:rsidP="005E43D3">
            <w:pPr>
              <w:jc w:val="center"/>
              <w:cnfStyle w:val="000000000000" w:firstRow="0" w:lastRow="0" w:firstColumn="0" w:lastColumn="0" w:oddVBand="0" w:evenVBand="0" w:oddHBand="0" w:evenHBand="0" w:firstRowFirstColumn="0" w:firstRowLastColumn="0" w:lastRowFirstColumn="0" w:lastRowLastColumn="0"/>
              <w:rPr>
                <w:rFonts w:cs="Arial"/>
                <w:color w:val="auto"/>
                <w:lang w:val="en-AU"/>
              </w:rPr>
            </w:pPr>
            <w:r w:rsidRPr="005E43D3">
              <w:rPr>
                <w:color w:val="auto"/>
              </w:rPr>
              <w:t>$44.2</w:t>
            </w:r>
          </w:p>
        </w:tc>
      </w:tr>
      <w:tr w:rsidR="005E43D3" w:rsidRPr="003B5507" w14:paraId="2EB30404" w14:textId="77777777" w:rsidTr="003B5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9" w:type="dxa"/>
          </w:tcPr>
          <w:p w14:paraId="4ECA1B6A" w14:textId="40A321F9" w:rsidR="005E43D3" w:rsidRPr="003B5507" w:rsidRDefault="005E43D3" w:rsidP="005E43D3">
            <w:pPr>
              <w:jc w:val="center"/>
              <w:rPr>
                <w:rFonts w:cs="Arial"/>
                <w:color w:val="auto"/>
                <w:lang w:val="en-AU"/>
              </w:rPr>
            </w:pPr>
            <w:r w:rsidRPr="003B5507">
              <w:rPr>
                <w:rFonts w:cs="Arial"/>
                <w:color w:val="000000"/>
              </w:rPr>
              <w:t>2017-18</w:t>
            </w:r>
          </w:p>
        </w:tc>
        <w:tc>
          <w:tcPr>
            <w:tcW w:w="1678" w:type="dxa"/>
          </w:tcPr>
          <w:p w14:paraId="3A8A8414" w14:textId="49AC93D9" w:rsidR="005E43D3" w:rsidRPr="005E43D3" w:rsidRDefault="005E43D3" w:rsidP="005E43D3">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$0.47</w:t>
            </w:r>
          </w:p>
        </w:tc>
        <w:tc>
          <w:tcPr>
            <w:tcW w:w="1678" w:type="dxa"/>
          </w:tcPr>
          <w:p w14:paraId="6EF9D38C" w14:textId="24C46759" w:rsidR="005E43D3" w:rsidRPr="005E43D3" w:rsidRDefault="005E43D3" w:rsidP="005E43D3">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$43.8</w:t>
            </w:r>
          </w:p>
        </w:tc>
        <w:tc>
          <w:tcPr>
            <w:tcW w:w="1679" w:type="dxa"/>
          </w:tcPr>
          <w:p w14:paraId="01358B5D" w14:textId="0AFFDACD" w:rsidR="005E43D3" w:rsidRPr="005E43D3" w:rsidRDefault="005E43D3" w:rsidP="005E43D3">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$6.9</w:t>
            </w:r>
          </w:p>
        </w:tc>
        <w:tc>
          <w:tcPr>
            <w:tcW w:w="1678" w:type="dxa"/>
          </w:tcPr>
          <w:p w14:paraId="7E3018AB" w14:textId="1AACEDEF" w:rsidR="005E43D3" w:rsidRPr="005E43D3" w:rsidRDefault="005E43D3" w:rsidP="005E43D3">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$15.8</w:t>
            </w:r>
          </w:p>
        </w:tc>
        <w:tc>
          <w:tcPr>
            <w:tcW w:w="1678" w:type="dxa"/>
          </w:tcPr>
          <w:p w14:paraId="162F4692" w14:textId="1E4BED71" w:rsidR="005E43D3" w:rsidRPr="005E43D3" w:rsidRDefault="005E43D3" w:rsidP="005E43D3">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$67.0</w:t>
            </w:r>
          </w:p>
        </w:tc>
      </w:tr>
    </w:tbl>
    <w:p w14:paraId="4701D776" w14:textId="77777777" w:rsidR="00B70A7A" w:rsidRPr="00B70A7A" w:rsidRDefault="00B70A7A" w:rsidP="00E131D0">
      <w:pPr>
        <w:rPr>
          <w:b/>
          <w:color w:val="auto"/>
          <w:lang w:val="en-AU"/>
        </w:rPr>
      </w:pPr>
    </w:p>
    <w:p w14:paraId="4A856137" w14:textId="4358FED1" w:rsidR="00950A1E" w:rsidRPr="00B70A7A" w:rsidRDefault="00F21245" w:rsidP="00E131D0">
      <w:pPr>
        <w:rPr>
          <w:b/>
          <w:color w:val="auto"/>
          <w:lang w:val="en-AU"/>
        </w:rPr>
      </w:pPr>
      <w:r>
        <w:rPr>
          <w:b/>
          <w:color w:val="auto"/>
          <w:lang w:val="en-AU"/>
        </w:rPr>
        <w:t>Graph 2.7</w:t>
      </w:r>
      <w:r w:rsidR="00B70A7A" w:rsidRPr="00B70A7A">
        <w:rPr>
          <w:b/>
          <w:color w:val="auto"/>
          <w:lang w:val="en-AU"/>
        </w:rPr>
        <w:t xml:space="preserve"> Mineral exploration expenditure</w:t>
      </w:r>
    </w:p>
    <w:p w14:paraId="54F9F069" w14:textId="371082DB" w:rsidR="003B5507" w:rsidRDefault="00035C6F" w:rsidP="00E131D0">
      <w:pPr>
        <w:rPr>
          <w:color w:val="auto"/>
          <w:lang w:val="en-AU"/>
        </w:rPr>
      </w:pPr>
      <w:r>
        <w:rPr>
          <w:rFonts w:eastAsia="Times New Roman" w:cs="Arial"/>
          <w:b/>
          <w:noProof/>
          <w:color w:val="auto"/>
          <w:szCs w:val="24"/>
          <w:u w:color="FFFFFF" w:themeColor="background1"/>
          <w:lang w:val="en-AU"/>
        </w:rPr>
        <w:drawing>
          <wp:inline distT="0" distB="0" distL="0" distR="0" wp14:anchorId="0F78DEE2" wp14:editId="0CC105C7">
            <wp:extent cx="6315075" cy="17145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C3785B3" w14:textId="273C115F" w:rsidR="003B5507" w:rsidRDefault="00F21245" w:rsidP="003B5507">
      <w:pPr>
        <w:rPr>
          <w:b/>
          <w:color w:val="auto"/>
          <w:lang w:val="en-AU"/>
        </w:rPr>
      </w:pPr>
      <w:r>
        <w:rPr>
          <w:b/>
          <w:color w:val="auto"/>
          <w:lang w:val="en-AU"/>
        </w:rPr>
        <w:t>Table 2.10</w:t>
      </w:r>
      <w:r w:rsidR="003B5507" w:rsidRPr="003B5507">
        <w:rPr>
          <w:b/>
          <w:color w:val="auto"/>
          <w:lang w:val="en-AU"/>
        </w:rPr>
        <w:t xml:space="preserve"> </w:t>
      </w:r>
      <w:r w:rsidR="003B5507">
        <w:rPr>
          <w:b/>
          <w:color w:val="auto"/>
          <w:lang w:val="en-AU"/>
        </w:rPr>
        <w:t xml:space="preserve">Mining </w:t>
      </w:r>
      <w:r w:rsidR="003B5507" w:rsidRPr="003B5507">
        <w:rPr>
          <w:b/>
          <w:color w:val="auto"/>
          <w:lang w:val="en-AU"/>
        </w:rPr>
        <w:t>expenditure by commodity</w:t>
      </w:r>
      <w:r w:rsidR="003B5507">
        <w:rPr>
          <w:b/>
          <w:color w:val="auto"/>
          <w:lang w:val="en-AU"/>
        </w:rPr>
        <w:t xml:space="preserve"> and year ($A million)</w:t>
      </w:r>
    </w:p>
    <w:tbl>
      <w:tblPr>
        <w:tblStyle w:val="GridTable4-Accent1"/>
        <w:tblW w:w="0" w:type="auto"/>
        <w:tblLook w:val="04A0" w:firstRow="1" w:lastRow="0" w:firstColumn="1" w:lastColumn="0" w:noHBand="0" w:noVBand="1"/>
      </w:tblPr>
      <w:tblGrid>
        <w:gridCol w:w="1679"/>
        <w:gridCol w:w="1678"/>
        <w:gridCol w:w="1678"/>
        <w:gridCol w:w="1679"/>
        <w:gridCol w:w="1678"/>
        <w:gridCol w:w="1678"/>
      </w:tblGrid>
      <w:tr w:rsidR="00B70A7A" w:rsidRPr="003B5507" w14:paraId="0ED7EC4D" w14:textId="77777777" w:rsidTr="00761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9" w:type="dxa"/>
          </w:tcPr>
          <w:p w14:paraId="1496C25D" w14:textId="77777777" w:rsidR="00B70A7A" w:rsidRPr="003B5507" w:rsidRDefault="00B70A7A" w:rsidP="007619B6">
            <w:pPr>
              <w:jc w:val="center"/>
              <w:rPr>
                <w:rFonts w:cs="Arial"/>
                <w:color w:val="FFFFFF" w:themeColor="background1"/>
                <w:lang w:val="en-AU"/>
              </w:rPr>
            </w:pPr>
            <w:r w:rsidRPr="003B5507">
              <w:rPr>
                <w:rFonts w:cs="Arial"/>
                <w:color w:val="FFFFFF" w:themeColor="background1"/>
              </w:rPr>
              <w:t>Year</w:t>
            </w:r>
          </w:p>
        </w:tc>
        <w:tc>
          <w:tcPr>
            <w:tcW w:w="1678" w:type="dxa"/>
          </w:tcPr>
          <w:p w14:paraId="76AB16F7" w14:textId="77777777" w:rsidR="00B70A7A" w:rsidRPr="003B5507" w:rsidRDefault="00B70A7A" w:rsidP="007619B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en-AU"/>
              </w:rPr>
            </w:pPr>
            <w:r w:rsidRPr="003B5507">
              <w:rPr>
                <w:rFonts w:cs="Arial"/>
                <w:color w:val="FFFFFF" w:themeColor="background1"/>
              </w:rPr>
              <w:t>Coal</w:t>
            </w:r>
          </w:p>
        </w:tc>
        <w:tc>
          <w:tcPr>
            <w:tcW w:w="1678" w:type="dxa"/>
          </w:tcPr>
          <w:p w14:paraId="1C9CEFE1" w14:textId="77777777" w:rsidR="00B70A7A" w:rsidRPr="003B5507" w:rsidRDefault="00B70A7A" w:rsidP="007619B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en-AU"/>
              </w:rPr>
            </w:pPr>
            <w:r w:rsidRPr="003B5507">
              <w:rPr>
                <w:rFonts w:cs="Arial"/>
                <w:color w:val="FFFFFF" w:themeColor="background1"/>
              </w:rPr>
              <w:t>Gold</w:t>
            </w:r>
          </w:p>
        </w:tc>
        <w:tc>
          <w:tcPr>
            <w:tcW w:w="1679" w:type="dxa"/>
          </w:tcPr>
          <w:p w14:paraId="4BAB3ED0" w14:textId="77777777" w:rsidR="00B70A7A" w:rsidRPr="003B5507" w:rsidRDefault="00B70A7A" w:rsidP="007619B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en-AU"/>
              </w:rPr>
            </w:pPr>
            <w:r w:rsidRPr="003B5507">
              <w:rPr>
                <w:rFonts w:cs="Arial"/>
                <w:color w:val="FFFFFF" w:themeColor="background1"/>
              </w:rPr>
              <w:t>Mineral Sands</w:t>
            </w:r>
          </w:p>
        </w:tc>
        <w:tc>
          <w:tcPr>
            <w:tcW w:w="1678" w:type="dxa"/>
          </w:tcPr>
          <w:p w14:paraId="0395949F" w14:textId="77777777" w:rsidR="00B70A7A" w:rsidRPr="003B5507" w:rsidRDefault="00B70A7A" w:rsidP="007619B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en-AU"/>
              </w:rPr>
            </w:pPr>
            <w:r w:rsidRPr="003B5507">
              <w:rPr>
                <w:rFonts w:cs="Arial"/>
                <w:color w:val="FFFFFF" w:themeColor="background1"/>
              </w:rPr>
              <w:t>Other *</w:t>
            </w:r>
          </w:p>
        </w:tc>
        <w:tc>
          <w:tcPr>
            <w:tcW w:w="1678" w:type="dxa"/>
          </w:tcPr>
          <w:p w14:paraId="1C73502F" w14:textId="77777777" w:rsidR="00B70A7A" w:rsidRPr="003B5507" w:rsidRDefault="00B70A7A" w:rsidP="007619B6">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lang w:val="en-AU"/>
              </w:rPr>
            </w:pPr>
            <w:r w:rsidRPr="003B5507">
              <w:rPr>
                <w:rFonts w:cs="Arial"/>
                <w:color w:val="FFFFFF" w:themeColor="background1"/>
              </w:rPr>
              <w:t>Total</w:t>
            </w:r>
          </w:p>
        </w:tc>
      </w:tr>
      <w:tr w:rsidR="00B70A7A" w:rsidRPr="003B5507" w14:paraId="6D30CC71" w14:textId="77777777" w:rsidTr="00761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9" w:type="dxa"/>
          </w:tcPr>
          <w:p w14:paraId="0C90F58E" w14:textId="77777777" w:rsidR="00B70A7A" w:rsidRPr="003B5507" w:rsidRDefault="00B70A7A" w:rsidP="007619B6">
            <w:pPr>
              <w:jc w:val="center"/>
              <w:rPr>
                <w:rFonts w:cs="Arial"/>
                <w:color w:val="auto"/>
                <w:lang w:val="en-AU"/>
              </w:rPr>
            </w:pPr>
            <w:r w:rsidRPr="003B5507">
              <w:rPr>
                <w:rFonts w:cs="Arial"/>
                <w:color w:val="000000"/>
              </w:rPr>
              <w:t>2015-16</w:t>
            </w:r>
          </w:p>
        </w:tc>
        <w:tc>
          <w:tcPr>
            <w:tcW w:w="1678" w:type="dxa"/>
          </w:tcPr>
          <w:p w14:paraId="3029092D" w14:textId="77777777" w:rsidR="00B70A7A" w:rsidRPr="005E43D3" w:rsidRDefault="00B70A7A" w:rsidP="007619B6">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$339.4</w:t>
            </w:r>
          </w:p>
        </w:tc>
        <w:tc>
          <w:tcPr>
            <w:tcW w:w="1678" w:type="dxa"/>
          </w:tcPr>
          <w:p w14:paraId="3151CCDB" w14:textId="77777777" w:rsidR="00B70A7A" w:rsidRPr="005E43D3" w:rsidRDefault="00B70A7A" w:rsidP="007619B6">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$280.2</w:t>
            </w:r>
          </w:p>
        </w:tc>
        <w:tc>
          <w:tcPr>
            <w:tcW w:w="1679" w:type="dxa"/>
          </w:tcPr>
          <w:p w14:paraId="2A2CA84E" w14:textId="77777777" w:rsidR="00B70A7A" w:rsidRPr="005E43D3" w:rsidRDefault="00B70A7A" w:rsidP="007619B6">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$21.8</w:t>
            </w:r>
          </w:p>
        </w:tc>
        <w:tc>
          <w:tcPr>
            <w:tcW w:w="1678" w:type="dxa"/>
          </w:tcPr>
          <w:p w14:paraId="0E417B66" w14:textId="77777777" w:rsidR="00B70A7A" w:rsidRPr="005E43D3" w:rsidRDefault="00B70A7A" w:rsidP="007619B6">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$44.4</w:t>
            </w:r>
          </w:p>
        </w:tc>
        <w:tc>
          <w:tcPr>
            <w:tcW w:w="1678" w:type="dxa"/>
          </w:tcPr>
          <w:p w14:paraId="0127C157" w14:textId="77777777" w:rsidR="00B70A7A" w:rsidRPr="005E43D3" w:rsidRDefault="00B70A7A" w:rsidP="007619B6">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$685.8</w:t>
            </w:r>
          </w:p>
        </w:tc>
      </w:tr>
      <w:tr w:rsidR="00B70A7A" w:rsidRPr="003B5507" w14:paraId="7A1DDBB6" w14:textId="77777777" w:rsidTr="007619B6">
        <w:tc>
          <w:tcPr>
            <w:cnfStyle w:val="001000000000" w:firstRow="0" w:lastRow="0" w:firstColumn="1" w:lastColumn="0" w:oddVBand="0" w:evenVBand="0" w:oddHBand="0" w:evenHBand="0" w:firstRowFirstColumn="0" w:firstRowLastColumn="0" w:lastRowFirstColumn="0" w:lastRowLastColumn="0"/>
            <w:tcW w:w="1679" w:type="dxa"/>
          </w:tcPr>
          <w:p w14:paraId="042000D8" w14:textId="77777777" w:rsidR="00B70A7A" w:rsidRPr="003B5507" w:rsidRDefault="00B70A7A" w:rsidP="007619B6">
            <w:pPr>
              <w:jc w:val="center"/>
              <w:rPr>
                <w:rFonts w:cs="Arial"/>
                <w:color w:val="auto"/>
                <w:lang w:val="en-AU"/>
              </w:rPr>
            </w:pPr>
            <w:r w:rsidRPr="003B5507">
              <w:rPr>
                <w:rFonts w:cs="Arial"/>
                <w:color w:val="000000"/>
              </w:rPr>
              <w:t>2016-17</w:t>
            </w:r>
          </w:p>
        </w:tc>
        <w:tc>
          <w:tcPr>
            <w:tcW w:w="1678" w:type="dxa"/>
          </w:tcPr>
          <w:p w14:paraId="5ACD0BCD" w14:textId="77777777" w:rsidR="00B70A7A" w:rsidRPr="005E43D3" w:rsidRDefault="00B70A7A" w:rsidP="007619B6">
            <w:pPr>
              <w:jc w:val="center"/>
              <w:cnfStyle w:val="000000000000" w:firstRow="0" w:lastRow="0" w:firstColumn="0" w:lastColumn="0" w:oddVBand="0" w:evenVBand="0" w:oddHBand="0" w:evenHBand="0" w:firstRowFirstColumn="0" w:firstRowLastColumn="0" w:lastRowFirstColumn="0" w:lastRowLastColumn="0"/>
              <w:rPr>
                <w:rFonts w:cs="Arial"/>
                <w:color w:val="auto"/>
                <w:lang w:val="en-AU"/>
              </w:rPr>
            </w:pPr>
            <w:r w:rsidRPr="005E43D3">
              <w:rPr>
                <w:color w:val="auto"/>
              </w:rPr>
              <w:t>$431.2</w:t>
            </w:r>
          </w:p>
        </w:tc>
        <w:tc>
          <w:tcPr>
            <w:tcW w:w="1678" w:type="dxa"/>
          </w:tcPr>
          <w:p w14:paraId="074A8D32" w14:textId="77777777" w:rsidR="00B70A7A" w:rsidRPr="005E43D3" w:rsidRDefault="00B70A7A" w:rsidP="007619B6">
            <w:pPr>
              <w:jc w:val="center"/>
              <w:cnfStyle w:val="000000000000" w:firstRow="0" w:lastRow="0" w:firstColumn="0" w:lastColumn="0" w:oddVBand="0" w:evenVBand="0" w:oddHBand="0" w:evenHBand="0" w:firstRowFirstColumn="0" w:firstRowLastColumn="0" w:lastRowFirstColumn="0" w:lastRowLastColumn="0"/>
              <w:rPr>
                <w:rFonts w:cs="Arial"/>
                <w:color w:val="auto"/>
                <w:lang w:val="en-AU"/>
              </w:rPr>
            </w:pPr>
            <w:r w:rsidRPr="005E43D3">
              <w:rPr>
                <w:color w:val="auto"/>
              </w:rPr>
              <w:t>$259.9</w:t>
            </w:r>
          </w:p>
        </w:tc>
        <w:tc>
          <w:tcPr>
            <w:tcW w:w="1679" w:type="dxa"/>
          </w:tcPr>
          <w:p w14:paraId="521762D9" w14:textId="77777777" w:rsidR="00B70A7A" w:rsidRPr="005E43D3" w:rsidRDefault="00B70A7A" w:rsidP="007619B6">
            <w:pPr>
              <w:jc w:val="center"/>
              <w:cnfStyle w:val="000000000000" w:firstRow="0" w:lastRow="0" w:firstColumn="0" w:lastColumn="0" w:oddVBand="0" w:evenVBand="0" w:oddHBand="0" w:evenHBand="0" w:firstRowFirstColumn="0" w:firstRowLastColumn="0" w:lastRowFirstColumn="0" w:lastRowLastColumn="0"/>
              <w:rPr>
                <w:rFonts w:cs="Arial"/>
                <w:color w:val="auto"/>
                <w:lang w:val="en-AU"/>
              </w:rPr>
            </w:pPr>
            <w:r w:rsidRPr="005E43D3">
              <w:rPr>
                <w:color w:val="auto"/>
              </w:rPr>
              <w:t>$15.2</w:t>
            </w:r>
          </w:p>
        </w:tc>
        <w:tc>
          <w:tcPr>
            <w:tcW w:w="1678" w:type="dxa"/>
          </w:tcPr>
          <w:p w14:paraId="6637F4B3" w14:textId="77777777" w:rsidR="00B70A7A" w:rsidRPr="005E43D3" w:rsidRDefault="00B70A7A" w:rsidP="007619B6">
            <w:pPr>
              <w:jc w:val="center"/>
              <w:cnfStyle w:val="000000000000" w:firstRow="0" w:lastRow="0" w:firstColumn="0" w:lastColumn="0" w:oddVBand="0" w:evenVBand="0" w:oddHBand="0" w:evenHBand="0" w:firstRowFirstColumn="0" w:firstRowLastColumn="0" w:lastRowFirstColumn="0" w:lastRowLastColumn="0"/>
              <w:rPr>
                <w:rFonts w:cs="Arial"/>
                <w:color w:val="auto"/>
                <w:lang w:val="en-AU"/>
              </w:rPr>
            </w:pPr>
            <w:r w:rsidRPr="005E43D3">
              <w:rPr>
                <w:color w:val="auto"/>
              </w:rPr>
              <w:t>$42.5</w:t>
            </w:r>
          </w:p>
        </w:tc>
        <w:tc>
          <w:tcPr>
            <w:tcW w:w="1678" w:type="dxa"/>
          </w:tcPr>
          <w:p w14:paraId="0BB35704" w14:textId="77777777" w:rsidR="00B70A7A" w:rsidRPr="005E43D3" w:rsidRDefault="00B70A7A" w:rsidP="007619B6">
            <w:pPr>
              <w:jc w:val="center"/>
              <w:cnfStyle w:val="000000000000" w:firstRow="0" w:lastRow="0" w:firstColumn="0" w:lastColumn="0" w:oddVBand="0" w:evenVBand="0" w:oddHBand="0" w:evenHBand="0" w:firstRowFirstColumn="0" w:firstRowLastColumn="0" w:lastRowFirstColumn="0" w:lastRowLastColumn="0"/>
              <w:rPr>
                <w:rFonts w:cs="Arial"/>
                <w:color w:val="auto"/>
                <w:lang w:val="en-AU"/>
              </w:rPr>
            </w:pPr>
            <w:r w:rsidRPr="005E43D3">
              <w:rPr>
                <w:color w:val="auto"/>
              </w:rPr>
              <w:t>$748.8</w:t>
            </w:r>
          </w:p>
        </w:tc>
      </w:tr>
      <w:tr w:rsidR="00B70A7A" w:rsidRPr="003B5507" w14:paraId="2B61CE5F" w14:textId="77777777" w:rsidTr="00761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9" w:type="dxa"/>
          </w:tcPr>
          <w:p w14:paraId="6682DC36" w14:textId="77777777" w:rsidR="00B70A7A" w:rsidRPr="003B5507" w:rsidRDefault="00B70A7A" w:rsidP="007619B6">
            <w:pPr>
              <w:jc w:val="center"/>
              <w:rPr>
                <w:rFonts w:cs="Arial"/>
                <w:color w:val="auto"/>
                <w:lang w:val="en-AU"/>
              </w:rPr>
            </w:pPr>
            <w:r w:rsidRPr="003B5507">
              <w:rPr>
                <w:rFonts w:cs="Arial"/>
                <w:color w:val="000000"/>
              </w:rPr>
              <w:t>2017-18</w:t>
            </w:r>
          </w:p>
        </w:tc>
        <w:tc>
          <w:tcPr>
            <w:tcW w:w="1678" w:type="dxa"/>
          </w:tcPr>
          <w:p w14:paraId="4546F0A3" w14:textId="77777777" w:rsidR="00B70A7A" w:rsidRPr="005E43D3" w:rsidRDefault="00B70A7A" w:rsidP="007619B6">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$359.1</w:t>
            </w:r>
          </w:p>
        </w:tc>
        <w:tc>
          <w:tcPr>
            <w:tcW w:w="1678" w:type="dxa"/>
          </w:tcPr>
          <w:p w14:paraId="4D8A8211" w14:textId="77777777" w:rsidR="00B70A7A" w:rsidRPr="005E43D3" w:rsidRDefault="00B70A7A" w:rsidP="007619B6">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$237.7</w:t>
            </w:r>
          </w:p>
        </w:tc>
        <w:tc>
          <w:tcPr>
            <w:tcW w:w="1679" w:type="dxa"/>
          </w:tcPr>
          <w:p w14:paraId="55ACB2BF" w14:textId="77777777" w:rsidR="00B70A7A" w:rsidRPr="005E43D3" w:rsidRDefault="00B70A7A" w:rsidP="007619B6">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$12.6</w:t>
            </w:r>
          </w:p>
        </w:tc>
        <w:tc>
          <w:tcPr>
            <w:tcW w:w="1678" w:type="dxa"/>
          </w:tcPr>
          <w:p w14:paraId="5D522ACB" w14:textId="77777777" w:rsidR="00B70A7A" w:rsidRPr="005E43D3" w:rsidRDefault="00B70A7A" w:rsidP="007619B6">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$44.7</w:t>
            </w:r>
          </w:p>
        </w:tc>
        <w:tc>
          <w:tcPr>
            <w:tcW w:w="1678" w:type="dxa"/>
          </w:tcPr>
          <w:p w14:paraId="34408CAE" w14:textId="11203251" w:rsidR="00B70A7A" w:rsidRPr="005E43D3" w:rsidRDefault="00B70A7A" w:rsidP="007619B6">
            <w:pPr>
              <w:jc w:val="center"/>
              <w:cnfStyle w:val="000000100000" w:firstRow="0" w:lastRow="0" w:firstColumn="0" w:lastColumn="0" w:oddVBand="0" w:evenVBand="0" w:oddHBand="1" w:evenHBand="0" w:firstRowFirstColumn="0" w:firstRowLastColumn="0" w:lastRowFirstColumn="0" w:lastRowLastColumn="0"/>
              <w:rPr>
                <w:rFonts w:cs="Arial"/>
                <w:color w:val="auto"/>
                <w:lang w:val="en-AU"/>
              </w:rPr>
            </w:pPr>
            <w:r w:rsidRPr="005E43D3">
              <w:rPr>
                <w:color w:val="auto"/>
              </w:rPr>
              <w:t>$654.</w:t>
            </w:r>
            <w:r w:rsidR="006E5C7B">
              <w:rPr>
                <w:color w:val="auto"/>
              </w:rPr>
              <w:t>1</w:t>
            </w:r>
          </w:p>
        </w:tc>
      </w:tr>
    </w:tbl>
    <w:p w14:paraId="0A2E4396" w14:textId="0E1359DE" w:rsidR="00B70A7A" w:rsidRDefault="00B70A7A" w:rsidP="003B5507">
      <w:pPr>
        <w:rPr>
          <w:b/>
          <w:color w:val="auto"/>
          <w:lang w:val="en-AU"/>
        </w:rPr>
      </w:pPr>
    </w:p>
    <w:p w14:paraId="176B518C" w14:textId="4726D61F" w:rsidR="00B70A7A" w:rsidRDefault="00F21245" w:rsidP="003B5507">
      <w:pPr>
        <w:rPr>
          <w:b/>
          <w:color w:val="auto"/>
          <w:lang w:val="en-AU"/>
        </w:rPr>
      </w:pPr>
      <w:r>
        <w:rPr>
          <w:b/>
          <w:color w:val="auto"/>
          <w:lang w:val="en-AU"/>
        </w:rPr>
        <w:t>Graph 2.8</w:t>
      </w:r>
      <w:r w:rsidR="00B70A7A">
        <w:rPr>
          <w:b/>
          <w:color w:val="auto"/>
          <w:lang w:val="en-AU"/>
        </w:rPr>
        <w:t xml:space="preserve"> Mining expenditure</w:t>
      </w:r>
    </w:p>
    <w:p w14:paraId="407F733B" w14:textId="31A6731A" w:rsidR="00E131D0" w:rsidRPr="00A11CC5" w:rsidRDefault="00B70A7A" w:rsidP="00035C6F">
      <w:pPr>
        <w:rPr>
          <w:color w:val="auto"/>
          <w:u w:color="FFFFFF" w:themeColor="background1"/>
          <w:lang w:val="en-AU"/>
        </w:rPr>
      </w:pPr>
      <w:r>
        <w:rPr>
          <w:rFonts w:eastAsia="Times New Roman" w:cs="Arial"/>
          <w:b/>
          <w:noProof/>
          <w:color w:val="auto"/>
          <w:szCs w:val="24"/>
          <w:u w:color="FFFFFF" w:themeColor="background1"/>
          <w:lang w:val="en-AU"/>
        </w:rPr>
        <w:drawing>
          <wp:inline distT="0" distB="0" distL="0" distR="0" wp14:anchorId="51F43A83" wp14:editId="187741A8">
            <wp:extent cx="6315075" cy="187642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E131D0" w:rsidRPr="00A11CC5">
        <w:rPr>
          <w:color w:val="auto"/>
          <w:u w:color="FFFFFF" w:themeColor="background1"/>
          <w:lang w:val="en-AU"/>
        </w:rPr>
        <w:br w:type="page"/>
      </w:r>
    </w:p>
    <w:p w14:paraId="74746397" w14:textId="5863AC04" w:rsidR="00EC5096" w:rsidRDefault="00EC5096" w:rsidP="00BB6F8A">
      <w:pPr>
        <w:pStyle w:val="Heading2"/>
        <w:rPr>
          <w:color w:val="auto"/>
          <w:lang w:val="en-AU"/>
        </w:rPr>
      </w:pPr>
      <w:bookmarkStart w:id="8" w:name="_Toc533149010"/>
      <w:r w:rsidRPr="00A11CC5">
        <w:rPr>
          <w:color w:val="auto"/>
          <w:lang w:val="en-AU"/>
        </w:rPr>
        <w:lastRenderedPageBreak/>
        <w:t xml:space="preserve">Mineral </w:t>
      </w:r>
      <w:r w:rsidR="003C1B31" w:rsidRPr="00A11CC5">
        <w:rPr>
          <w:color w:val="auto"/>
          <w:lang w:val="en-AU"/>
        </w:rPr>
        <w:t>p</w:t>
      </w:r>
      <w:r w:rsidRPr="00A11CC5">
        <w:rPr>
          <w:color w:val="auto"/>
          <w:lang w:val="en-AU"/>
        </w:rPr>
        <w:t>roduction</w:t>
      </w:r>
      <w:bookmarkEnd w:id="8"/>
    </w:p>
    <w:p w14:paraId="14713A45" w14:textId="1FBC3FBC" w:rsidR="00D6671B" w:rsidRDefault="00E95E5A" w:rsidP="00D6671B">
      <w:pPr>
        <w:rPr>
          <w:color w:val="auto"/>
          <w:lang w:val="en-AU"/>
        </w:rPr>
      </w:pPr>
      <w:r w:rsidRPr="004641FC">
        <w:rPr>
          <w:color w:val="auto"/>
          <w:lang w:val="en-AU"/>
        </w:rPr>
        <w:t>In 2017-18^ 61 Mining and Prospecting licences</w:t>
      </w:r>
      <w:r w:rsidR="004641FC" w:rsidRPr="004641FC">
        <w:rPr>
          <w:color w:val="auto"/>
          <w:lang w:val="en-AU"/>
        </w:rPr>
        <w:t xml:space="preserve"> reported production</w:t>
      </w:r>
      <w:r w:rsidR="009D54B3">
        <w:rPr>
          <w:color w:val="auto"/>
          <w:lang w:val="en-AU"/>
        </w:rPr>
        <w:t xml:space="preserve"> with a sale value of $825.9</w:t>
      </w:r>
      <w:r w:rsidR="003763D6">
        <w:rPr>
          <w:color w:val="auto"/>
          <w:lang w:val="en-AU"/>
        </w:rPr>
        <w:t xml:space="preserve"> million.</w:t>
      </w:r>
    </w:p>
    <w:p w14:paraId="2FCD596A" w14:textId="77777777" w:rsidR="003763D6" w:rsidRPr="004641FC" w:rsidRDefault="003763D6" w:rsidP="00D6671B">
      <w:pPr>
        <w:rPr>
          <w:color w:val="auto"/>
          <w:lang w:val="en-AU"/>
        </w:rPr>
      </w:pPr>
    </w:p>
    <w:p w14:paraId="78628029" w14:textId="4C0C92EF" w:rsidR="008A56F5" w:rsidRPr="00A11CC5" w:rsidRDefault="008A56F5" w:rsidP="008A56F5">
      <w:pPr>
        <w:spacing w:after="0" w:line="240" w:lineRule="auto"/>
        <w:jc w:val="both"/>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 xml:space="preserve">Table </w:t>
      </w:r>
      <w:r w:rsidR="002B7F82" w:rsidRPr="00A11CC5">
        <w:rPr>
          <w:rFonts w:eastAsia="Times New Roman" w:cs="Arial"/>
          <w:b/>
          <w:color w:val="auto"/>
          <w:szCs w:val="24"/>
          <w:u w:color="FFFFFF" w:themeColor="background1"/>
          <w:lang w:val="en-AU"/>
        </w:rPr>
        <w:t>2</w:t>
      </w:r>
      <w:r w:rsidR="00F21245">
        <w:rPr>
          <w:rFonts w:eastAsia="Times New Roman" w:cs="Arial"/>
          <w:b/>
          <w:color w:val="auto"/>
          <w:szCs w:val="24"/>
          <w:u w:color="FFFFFF" w:themeColor="background1"/>
          <w:lang w:val="en-AU"/>
        </w:rPr>
        <w:t>.11</w:t>
      </w:r>
      <w:r w:rsidRPr="00A11CC5">
        <w:rPr>
          <w:rFonts w:eastAsia="Times New Roman" w:cs="Arial"/>
          <w:b/>
          <w:color w:val="auto"/>
          <w:szCs w:val="24"/>
          <w:u w:color="FFFFFF" w:themeColor="background1"/>
          <w:lang w:val="en-AU"/>
        </w:rPr>
        <w:t xml:space="preserve"> Mineral production over time*</w:t>
      </w:r>
    </w:p>
    <w:tbl>
      <w:tblPr>
        <w:tblStyle w:val="GridTable4-Accent1"/>
        <w:tblW w:w="10206" w:type="dxa"/>
        <w:tblLayout w:type="fixed"/>
        <w:tblLook w:val="04A0" w:firstRow="1" w:lastRow="0" w:firstColumn="1" w:lastColumn="0" w:noHBand="0" w:noVBand="1"/>
        <w:tblCaption w:val="Mineral production over time"/>
        <w:tblDescription w:val="Mineral type against year from 2011-2016 including percent change each year."/>
      </w:tblPr>
      <w:tblGrid>
        <w:gridCol w:w="911"/>
        <w:gridCol w:w="1021"/>
        <w:gridCol w:w="1021"/>
        <w:gridCol w:w="1021"/>
        <w:gridCol w:w="1019"/>
        <w:gridCol w:w="1019"/>
        <w:gridCol w:w="1019"/>
        <w:gridCol w:w="1019"/>
        <w:gridCol w:w="1019"/>
        <w:gridCol w:w="1137"/>
      </w:tblGrid>
      <w:tr w:rsidR="00A11CC5" w:rsidRPr="00A11CC5" w14:paraId="554682FC" w14:textId="77777777" w:rsidTr="003763D6">
        <w:trPr>
          <w:cnfStyle w:val="100000000000" w:firstRow="1" w:lastRow="0" w:firstColumn="0" w:lastColumn="0" w:oddVBand="0" w:evenVBand="0" w:oddHBand="0"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446" w:type="pct"/>
            <w:vAlign w:val="center"/>
            <w:hideMark/>
          </w:tcPr>
          <w:p w14:paraId="75DB8CBE" w14:textId="1D366DD4" w:rsidR="00CC35CB" w:rsidRPr="00A34342" w:rsidRDefault="00C5739E" w:rsidP="00A34342">
            <w:pPr>
              <w:pStyle w:val="bodycopy"/>
              <w:jc w:val="center"/>
              <w:rPr>
                <w:rFonts w:eastAsia="Times New Roman"/>
                <w:color w:val="FFFFFF" w:themeColor="background1"/>
                <w:sz w:val="16"/>
                <w:szCs w:val="16"/>
                <w:u w:color="FFFFFF" w:themeColor="background1"/>
                <w:lang w:val="en-AU"/>
              </w:rPr>
            </w:pPr>
            <w:r>
              <w:rPr>
                <w:rFonts w:eastAsia="Times New Roman"/>
                <w:color w:val="FFFFFF" w:themeColor="background1"/>
                <w:sz w:val="16"/>
                <w:szCs w:val="16"/>
                <w:u w:color="FFFFFF" w:themeColor="background1"/>
                <w:lang w:val="en-AU"/>
              </w:rPr>
              <w:t>Financial</w:t>
            </w:r>
            <w:r w:rsidRPr="00A34342">
              <w:rPr>
                <w:rFonts w:eastAsia="Times New Roman"/>
                <w:color w:val="FFFFFF" w:themeColor="background1"/>
                <w:sz w:val="16"/>
                <w:szCs w:val="16"/>
                <w:u w:color="FFFFFF" w:themeColor="background1"/>
                <w:lang w:val="en-AU"/>
              </w:rPr>
              <w:t xml:space="preserve"> Year</w:t>
            </w:r>
          </w:p>
        </w:tc>
        <w:tc>
          <w:tcPr>
            <w:tcW w:w="500" w:type="pct"/>
            <w:vAlign w:val="center"/>
            <w:hideMark/>
          </w:tcPr>
          <w:p w14:paraId="02B34BF0" w14:textId="4B145B08" w:rsidR="00E4783A" w:rsidRPr="00A34342" w:rsidRDefault="00CC35CB"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6"/>
                <w:szCs w:val="16"/>
                <w:u w:color="FFFFFF" w:themeColor="background1"/>
                <w:lang w:val="en-AU"/>
              </w:rPr>
            </w:pPr>
            <w:r w:rsidRPr="00A34342">
              <w:rPr>
                <w:rFonts w:eastAsia="Times New Roman"/>
                <w:color w:val="FFFFFF" w:themeColor="background1"/>
                <w:sz w:val="16"/>
                <w:szCs w:val="16"/>
                <w:u w:color="FFFFFF" w:themeColor="background1"/>
                <w:lang w:val="en-AU"/>
              </w:rPr>
              <w:t>Coal</w:t>
            </w:r>
          </w:p>
          <w:p w14:paraId="3374F3DB" w14:textId="77777777" w:rsidR="00CC35CB" w:rsidRPr="00A34342" w:rsidRDefault="00E4783A"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6"/>
                <w:szCs w:val="16"/>
                <w:u w:color="FFFFFF" w:themeColor="background1"/>
                <w:lang w:val="en-AU"/>
              </w:rPr>
            </w:pPr>
            <w:r w:rsidRPr="00A34342">
              <w:rPr>
                <w:rFonts w:eastAsia="Times New Roman"/>
                <w:b w:val="0"/>
                <w:color w:val="FFFFFF" w:themeColor="background1"/>
                <w:sz w:val="16"/>
                <w:szCs w:val="16"/>
                <w:u w:color="FFFFFF" w:themeColor="background1"/>
                <w:lang w:val="en-AU"/>
              </w:rPr>
              <w:t>(1000 Tonnes)</w:t>
            </w:r>
          </w:p>
        </w:tc>
        <w:tc>
          <w:tcPr>
            <w:tcW w:w="500" w:type="pct"/>
            <w:vAlign w:val="center"/>
            <w:hideMark/>
          </w:tcPr>
          <w:p w14:paraId="28BBDED8" w14:textId="77777777" w:rsidR="00CC35CB" w:rsidRPr="00A34342" w:rsidRDefault="00CC35CB"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6"/>
                <w:szCs w:val="16"/>
                <w:u w:color="FFFFFF" w:themeColor="background1"/>
                <w:lang w:val="en-AU"/>
              </w:rPr>
            </w:pPr>
            <w:r w:rsidRPr="00A34342">
              <w:rPr>
                <w:rFonts w:eastAsia="Times New Roman"/>
                <w:color w:val="FFFFFF" w:themeColor="background1"/>
                <w:sz w:val="16"/>
                <w:szCs w:val="16"/>
                <w:u w:color="FFFFFF" w:themeColor="background1"/>
                <w:lang w:val="en-AU"/>
              </w:rPr>
              <w:t>Gold</w:t>
            </w:r>
          </w:p>
          <w:p w14:paraId="4A60DD7C" w14:textId="77777777" w:rsidR="00E4783A" w:rsidRPr="00A34342" w:rsidRDefault="00E4783A"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6"/>
                <w:szCs w:val="16"/>
                <w:u w:color="FFFFFF" w:themeColor="background1"/>
                <w:lang w:val="en-AU"/>
              </w:rPr>
            </w:pPr>
            <w:r w:rsidRPr="00A34342">
              <w:rPr>
                <w:rFonts w:eastAsia="Times New Roman"/>
                <w:b w:val="0"/>
                <w:color w:val="FFFFFF" w:themeColor="background1"/>
                <w:sz w:val="16"/>
                <w:szCs w:val="16"/>
                <w:u w:color="FFFFFF" w:themeColor="background1"/>
                <w:lang w:val="en-AU"/>
              </w:rPr>
              <w:t>(Ounce)</w:t>
            </w:r>
          </w:p>
        </w:tc>
        <w:tc>
          <w:tcPr>
            <w:tcW w:w="500" w:type="pct"/>
            <w:vAlign w:val="center"/>
            <w:hideMark/>
          </w:tcPr>
          <w:p w14:paraId="011DAFCC" w14:textId="77777777" w:rsidR="00CC35CB" w:rsidRPr="00A34342" w:rsidRDefault="00CC35CB"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6"/>
                <w:szCs w:val="16"/>
                <w:u w:color="FFFFFF" w:themeColor="background1"/>
                <w:lang w:val="en-AU"/>
              </w:rPr>
            </w:pPr>
            <w:r w:rsidRPr="00A34342">
              <w:rPr>
                <w:rFonts w:eastAsia="Times New Roman"/>
                <w:color w:val="FFFFFF" w:themeColor="background1"/>
                <w:sz w:val="16"/>
                <w:szCs w:val="16"/>
                <w:u w:color="FFFFFF" w:themeColor="background1"/>
                <w:lang w:val="en-AU"/>
              </w:rPr>
              <w:t>Antimony</w:t>
            </w:r>
          </w:p>
          <w:p w14:paraId="6AEDDF1A" w14:textId="77777777" w:rsidR="00E4783A" w:rsidRPr="00A34342" w:rsidRDefault="00E4783A"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6"/>
                <w:szCs w:val="16"/>
                <w:u w:color="FFFFFF" w:themeColor="background1"/>
                <w:lang w:val="en-AU"/>
              </w:rPr>
            </w:pPr>
            <w:r w:rsidRPr="00A34342">
              <w:rPr>
                <w:rFonts w:eastAsia="Times New Roman"/>
                <w:b w:val="0"/>
                <w:color w:val="FFFFFF" w:themeColor="background1"/>
                <w:sz w:val="16"/>
                <w:szCs w:val="16"/>
                <w:u w:color="FFFFFF" w:themeColor="background1"/>
                <w:lang w:val="en-AU"/>
              </w:rPr>
              <w:t>(Tonnes)</w:t>
            </w:r>
          </w:p>
        </w:tc>
        <w:tc>
          <w:tcPr>
            <w:tcW w:w="499" w:type="pct"/>
            <w:vAlign w:val="center"/>
            <w:hideMark/>
          </w:tcPr>
          <w:p w14:paraId="4294D8EA" w14:textId="77777777" w:rsidR="00CC35CB" w:rsidRPr="00A34342" w:rsidRDefault="00CC35CB"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6"/>
                <w:szCs w:val="16"/>
                <w:u w:color="FFFFFF" w:themeColor="background1"/>
                <w:lang w:val="en-AU"/>
              </w:rPr>
            </w:pPr>
            <w:r w:rsidRPr="00A34342">
              <w:rPr>
                <w:rFonts w:eastAsia="Times New Roman"/>
                <w:color w:val="FFFFFF" w:themeColor="background1"/>
                <w:sz w:val="16"/>
                <w:szCs w:val="16"/>
                <w:u w:color="FFFFFF" w:themeColor="background1"/>
                <w:lang w:val="en-AU"/>
              </w:rPr>
              <w:t>Zircon</w:t>
            </w:r>
          </w:p>
          <w:p w14:paraId="635260BF" w14:textId="77777777" w:rsidR="00E4783A" w:rsidRPr="00A34342" w:rsidRDefault="00E4783A"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6"/>
                <w:szCs w:val="16"/>
                <w:u w:color="FFFFFF" w:themeColor="background1"/>
                <w:lang w:val="en-AU"/>
              </w:rPr>
            </w:pPr>
            <w:r w:rsidRPr="00A34342">
              <w:rPr>
                <w:rFonts w:eastAsia="Times New Roman"/>
                <w:b w:val="0"/>
                <w:color w:val="FFFFFF" w:themeColor="background1"/>
                <w:sz w:val="16"/>
                <w:szCs w:val="16"/>
                <w:u w:color="FFFFFF" w:themeColor="background1"/>
                <w:lang w:val="en-AU"/>
              </w:rPr>
              <w:t>(Tonnes)</w:t>
            </w:r>
          </w:p>
        </w:tc>
        <w:tc>
          <w:tcPr>
            <w:tcW w:w="499" w:type="pct"/>
            <w:vAlign w:val="center"/>
            <w:hideMark/>
          </w:tcPr>
          <w:p w14:paraId="6A56741F" w14:textId="77777777" w:rsidR="00CC35CB" w:rsidRPr="00A34342" w:rsidRDefault="00CC35CB"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6"/>
                <w:szCs w:val="16"/>
                <w:u w:color="FFFFFF" w:themeColor="background1"/>
                <w:lang w:val="en-AU"/>
              </w:rPr>
            </w:pPr>
            <w:r w:rsidRPr="00A34342">
              <w:rPr>
                <w:rFonts w:eastAsia="Times New Roman"/>
                <w:color w:val="FFFFFF" w:themeColor="background1"/>
                <w:sz w:val="16"/>
                <w:szCs w:val="16"/>
                <w:u w:color="FFFFFF" w:themeColor="background1"/>
                <w:lang w:val="en-AU"/>
              </w:rPr>
              <w:t>Rutile</w:t>
            </w:r>
          </w:p>
          <w:p w14:paraId="11B1C951" w14:textId="77777777" w:rsidR="00E4783A" w:rsidRPr="00A34342" w:rsidRDefault="00E4783A"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6"/>
                <w:szCs w:val="16"/>
                <w:u w:color="FFFFFF" w:themeColor="background1"/>
                <w:lang w:val="en-AU"/>
              </w:rPr>
            </w:pPr>
            <w:r w:rsidRPr="00A34342">
              <w:rPr>
                <w:rFonts w:eastAsia="Times New Roman"/>
                <w:b w:val="0"/>
                <w:color w:val="FFFFFF" w:themeColor="background1"/>
                <w:sz w:val="16"/>
                <w:szCs w:val="16"/>
                <w:u w:color="FFFFFF" w:themeColor="background1"/>
                <w:lang w:val="en-AU"/>
              </w:rPr>
              <w:t>(Tonnes)</w:t>
            </w:r>
          </w:p>
        </w:tc>
        <w:tc>
          <w:tcPr>
            <w:tcW w:w="499" w:type="pct"/>
            <w:vAlign w:val="center"/>
            <w:hideMark/>
          </w:tcPr>
          <w:p w14:paraId="6C84EC29" w14:textId="77777777" w:rsidR="00CC35CB" w:rsidRPr="00A34342" w:rsidRDefault="00CC35CB"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6"/>
                <w:szCs w:val="16"/>
                <w:u w:color="FFFFFF" w:themeColor="background1"/>
                <w:lang w:val="en-AU"/>
              </w:rPr>
            </w:pPr>
            <w:r w:rsidRPr="00A34342">
              <w:rPr>
                <w:rFonts w:eastAsia="Times New Roman"/>
                <w:color w:val="FFFFFF" w:themeColor="background1"/>
                <w:sz w:val="16"/>
                <w:szCs w:val="16"/>
                <w:u w:color="FFFFFF" w:themeColor="background1"/>
                <w:lang w:val="en-AU"/>
              </w:rPr>
              <w:t>Ilmenite</w:t>
            </w:r>
          </w:p>
          <w:p w14:paraId="4264C287" w14:textId="77777777" w:rsidR="00E4783A" w:rsidRPr="00A34342" w:rsidRDefault="00E4783A"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6"/>
                <w:szCs w:val="16"/>
                <w:u w:color="FFFFFF" w:themeColor="background1"/>
                <w:lang w:val="en-AU"/>
              </w:rPr>
            </w:pPr>
            <w:r w:rsidRPr="00A34342">
              <w:rPr>
                <w:rFonts w:eastAsia="Times New Roman"/>
                <w:b w:val="0"/>
                <w:color w:val="FFFFFF" w:themeColor="background1"/>
                <w:sz w:val="16"/>
                <w:szCs w:val="16"/>
                <w:u w:color="FFFFFF" w:themeColor="background1"/>
                <w:lang w:val="en-AU"/>
              </w:rPr>
              <w:t>(Tonnes)</w:t>
            </w:r>
          </w:p>
        </w:tc>
        <w:tc>
          <w:tcPr>
            <w:tcW w:w="499" w:type="pct"/>
            <w:vAlign w:val="center"/>
            <w:hideMark/>
          </w:tcPr>
          <w:p w14:paraId="2E878298" w14:textId="77777777" w:rsidR="00CC35CB" w:rsidRPr="00A34342" w:rsidRDefault="00CC35CB"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6"/>
                <w:szCs w:val="16"/>
                <w:u w:color="FFFFFF" w:themeColor="background1"/>
                <w:lang w:val="en-AU"/>
              </w:rPr>
            </w:pPr>
            <w:r w:rsidRPr="00A34342">
              <w:rPr>
                <w:rFonts w:eastAsia="Times New Roman"/>
                <w:color w:val="FFFFFF" w:themeColor="background1"/>
                <w:sz w:val="16"/>
                <w:szCs w:val="16"/>
                <w:u w:color="FFFFFF" w:themeColor="background1"/>
                <w:lang w:val="en-AU"/>
              </w:rPr>
              <w:t>Feldspar</w:t>
            </w:r>
          </w:p>
          <w:p w14:paraId="1FA9DAFC" w14:textId="77777777" w:rsidR="00E4783A" w:rsidRPr="00A34342" w:rsidRDefault="00E4783A"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6"/>
                <w:szCs w:val="16"/>
                <w:u w:color="FFFFFF" w:themeColor="background1"/>
                <w:lang w:val="en-AU"/>
              </w:rPr>
            </w:pPr>
            <w:r w:rsidRPr="00A34342">
              <w:rPr>
                <w:rFonts w:eastAsia="Times New Roman"/>
                <w:b w:val="0"/>
                <w:color w:val="FFFFFF" w:themeColor="background1"/>
                <w:sz w:val="16"/>
                <w:szCs w:val="16"/>
                <w:u w:color="FFFFFF" w:themeColor="background1"/>
                <w:lang w:val="en-AU"/>
              </w:rPr>
              <w:t>(Tonnes)</w:t>
            </w:r>
          </w:p>
        </w:tc>
        <w:tc>
          <w:tcPr>
            <w:tcW w:w="499" w:type="pct"/>
            <w:vAlign w:val="center"/>
            <w:hideMark/>
          </w:tcPr>
          <w:p w14:paraId="5242C040" w14:textId="77777777" w:rsidR="00CC35CB" w:rsidRPr="00A34342" w:rsidRDefault="00CC35CB"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6"/>
                <w:szCs w:val="16"/>
                <w:u w:color="FFFFFF" w:themeColor="background1"/>
                <w:lang w:val="en-AU"/>
              </w:rPr>
            </w:pPr>
            <w:r w:rsidRPr="00A34342">
              <w:rPr>
                <w:rFonts w:eastAsia="Times New Roman"/>
                <w:color w:val="FFFFFF" w:themeColor="background1"/>
                <w:sz w:val="16"/>
                <w:szCs w:val="16"/>
                <w:u w:color="FFFFFF" w:themeColor="background1"/>
                <w:lang w:val="en-AU"/>
              </w:rPr>
              <w:t>Gypsum</w:t>
            </w:r>
          </w:p>
          <w:p w14:paraId="65D634C2" w14:textId="77777777" w:rsidR="00E4783A" w:rsidRPr="00A34342" w:rsidRDefault="00E4783A"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6"/>
                <w:szCs w:val="16"/>
                <w:u w:color="FFFFFF" w:themeColor="background1"/>
                <w:lang w:val="en-AU"/>
              </w:rPr>
            </w:pPr>
            <w:r w:rsidRPr="00A34342">
              <w:rPr>
                <w:rFonts w:eastAsia="Times New Roman"/>
                <w:b w:val="0"/>
                <w:color w:val="FFFFFF" w:themeColor="background1"/>
                <w:sz w:val="16"/>
                <w:szCs w:val="16"/>
                <w:u w:color="FFFFFF" w:themeColor="background1"/>
                <w:lang w:val="en-AU"/>
              </w:rPr>
              <w:t>(M³)</w:t>
            </w:r>
          </w:p>
        </w:tc>
        <w:tc>
          <w:tcPr>
            <w:tcW w:w="557" w:type="pct"/>
            <w:vAlign w:val="center"/>
            <w:hideMark/>
          </w:tcPr>
          <w:p w14:paraId="65B2EAB0" w14:textId="4B6DDCDE" w:rsidR="00CC35CB" w:rsidRPr="00A34342" w:rsidRDefault="00CC35CB"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6"/>
                <w:szCs w:val="16"/>
                <w:u w:color="FFFFFF" w:themeColor="background1"/>
                <w:lang w:val="en-AU"/>
              </w:rPr>
            </w:pPr>
            <w:r w:rsidRPr="00A34342">
              <w:rPr>
                <w:rFonts w:eastAsia="Times New Roman"/>
                <w:color w:val="FFFFFF" w:themeColor="background1"/>
                <w:sz w:val="16"/>
                <w:szCs w:val="16"/>
                <w:u w:color="FFFFFF" w:themeColor="background1"/>
                <w:lang w:val="en-AU"/>
              </w:rPr>
              <w:t xml:space="preserve">Kaolin and </w:t>
            </w:r>
            <w:r w:rsidR="0024397A">
              <w:rPr>
                <w:rFonts w:eastAsia="Times New Roman"/>
                <w:color w:val="FFFFFF" w:themeColor="background1"/>
                <w:sz w:val="16"/>
                <w:szCs w:val="16"/>
                <w:u w:color="FFFFFF" w:themeColor="background1"/>
                <w:lang w:val="en-AU"/>
              </w:rPr>
              <w:t>Clay</w:t>
            </w:r>
          </w:p>
          <w:p w14:paraId="1BE25794" w14:textId="77777777" w:rsidR="008475A8" w:rsidRPr="00A34342" w:rsidRDefault="008475A8" w:rsidP="00A34342">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6"/>
                <w:szCs w:val="16"/>
                <w:u w:color="FFFFFF" w:themeColor="background1"/>
                <w:lang w:val="en-AU"/>
              </w:rPr>
            </w:pPr>
            <w:r w:rsidRPr="00A34342">
              <w:rPr>
                <w:rFonts w:eastAsia="Times New Roman"/>
                <w:b w:val="0"/>
                <w:color w:val="FFFFFF" w:themeColor="background1"/>
                <w:sz w:val="16"/>
                <w:szCs w:val="16"/>
                <w:u w:color="FFFFFF" w:themeColor="background1"/>
                <w:lang w:val="en-AU"/>
              </w:rPr>
              <w:t>(Tonnes)</w:t>
            </w:r>
          </w:p>
        </w:tc>
      </w:tr>
      <w:tr w:rsidR="00A11CC5" w:rsidRPr="00A11CC5" w14:paraId="3034E8D6" w14:textId="77777777" w:rsidTr="0024397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46" w:type="pct"/>
            <w:noWrap/>
            <w:vAlign w:val="center"/>
            <w:hideMark/>
          </w:tcPr>
          <w:p w14:paraId="7F91EFAF" w14:textId="77777777" w:rsidR="00CC35CB" w:rsidRPr="00A11CC5" w:rsidRDefault="00CC35CB" w:rsidP="00A34342">
            <w:pPr>
              <w:pStyle w:val="bodycopy"/>
              <w:jc w:val="center"/>
              <w:rPr>
                <w:rFonts w:eastAsia="Times New Roman"/>
                <w:b w:val="0"/>
                <w:color w:val="auto"/>
                <w:sz w:val="16"/>
                <w:szCs w:val="16"/>
                <w:u w:color="FFFFFF" w:themeColor="background1"/>
                <w:lang w:val="en-AU"/>
              </w:rPr>
            </w:pPr>
            <w:r w:rsidRPr="00A11CC5">
              <w:rPr>
                <w:rFonts w:eastAsia="Times New Roman"/>
                <w:b w:val="0"/>
                <w:color w:val="auto"/>
                <w:sz w:val="16"/>
                <w:szCs w:val="16"/>
                <w:u w:color="FFFFFF" w:themeColor="background1"/>
                <w:lang w:val="en-AU"/>
              </w:rPr>
              <w:t>2012-13</w:t>
            </w:r>
          </w:p>
        </w:tc>
        <w:tc>
          <w:tcPr>
            <w:tcW w:w="500" w:type="pct"/>
            <w:noWrap/>
            <w:vAlign w:val="center"/>
            <w:hideMark/>
          </w:tcPr>
          <w:p w14:paraId="1CA5194B"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59,854</w:t>
            </w:r>
          </w:p>
        </w:tc>
        <w:tc>
          <w:tcPr>
            <w:tcW w:w="500" w:type="pct"/>
            <w:noWrap/>
            <w:vAlign w:val="center"/>
            <w:hideMark/>
          </w:tcPr>
          <w:p w14:paraId="04C80A85"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225,776</w:t>
            </w:r>
          </w:p>
        </w:tc>
        <w:tc>
          <w:tcPr>
            <w:tcW w:w="500" w:type="pct"/>
            <w:noWrap/>
            <w:vAlign w:val="center"/>
            <w:hideMark/>
          </w:tcPr>
          <w:p w14:paraId="0948539B"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4,558</w:t>
            </w:r>
          </w:p>
        </w:tc>
        <w:tc>
          <w:tcPr>
            <w:tcW w:w="499" w:type="pct"/>
            <w:noWrap/>
            <w:vAlign w:val="center"/>
            <w:hideMark/>
          </w:tcPr>
          <w:p w14:paraId="36BC1922"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86,243</w:t>
            </w:r>
          </w:p>
        </w:tc>
        <w:tc>
          <w:tcPr>
            <w:tcW w:w="499" w:type="pct"/>
            <w:noWrap/>
            <w:vAlign w:val="center"/>
            <w:hideMark/>
          </w:tcPr>
          <w:p w14:paraId="691CED30"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140,842</w:t>
            </w:r>
          </w:p>
        </w:tc>
        <w:tc>
          <w:tcPr>
            <w:tcW w:w="499" w:type="pct"/>
            <w:noWrap/>
            <w:vAlign w:val="center"/>
            <w:hideMark/>
          </w:tcPr>
          <w:p w14:paraId="15C4415A"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67,067</w:t>
            </w:r>
          </w:p>
        </w:tc>
        <w:tc>
          <w:tcPr>
            <w:tcW w:w="499" w:type="pct"/>
            <w:noWrap/>
            <w:vAlign w:val="center"/>
            <w:hideMark/>
          </w:tcPr>
          <w:p w14:paraId="250BD74A"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61,578</w:t>
            </w:r>
          </w:p>
        </w:tc>
        <w:tc>
          <w:tcPr>
            <w:tcW w:w="499" w:type="pct"/>
            <w:noWrap/>
            <w:vAlign w:val="center"/>
            <w:hideMark/>
          </w:tcPr>
          <w:p w14:paraId="524EF132"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499,681</w:t>
            </w:r>
          </w:p>
        </w:tc>
        <w:tc>
          <w:tcPr>
            <w:tcW w:w="557" w:type="pct"/>
            <w:noWrap/>
            <w:vAlign w:val="center"/>
            <w:hideMark/>
          </w:tcPr>
          <w:p w14:paraId="3987F7A9"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204,164</w:t>
            </w:r>
          </w:p>
        </w:tc>
      </w:tr>
      <w:tr w:rsidR="00A11CC5" w:rsidRPr="00A11CC5" w14:paraId="76DD683A" w14:textId="77777777" w:rsidTr="0024397A">
        <w:trPr>
          <w:trHeight w:val="413"/>
        </w:trPr>
        <w:tc>
          <w:tcPr>
            <w:cnfStyle w:val="001000000000" w:firstRow="0" w:lastRow="0" w:firstColumn="1" w:lastColumn="0" w:oddVBand="0" w:evenVBand="0" w:oddHBand="0" w:evenHBand="0" w:firstRowFirstColumn="0" w:firstRowLastColumn="0" w:lastRowFirstColumn="0" w:lastRowLastColumn="0"/>
            <w:tcW w:w="446" w:type="pct"/>
            <w:noWrap/>
            <w:vAlign w:val="center"/>
            <w:hideMark/>
          </w:tcPr>
          <w:p w14:paraId="78D5166E" w14:textId="77777777" w:rsidR="00CC35CB" w:rsidRPr="00A11CC5" w:rsidRDefault="00CC35CB" w:rsidP="00A34342">
            <w:pPr>
              <w:pStyle w:val="bodycopy"/>
              <w:jc w:val="center"/>
              <w:rPr>
                <w:rFonts w:eastAsia="Times New Roman"/>
                <w:b w:val="0"/>
                <w:color w:val="auto"/>
                <w:sz w:val="16"/>
                <w:szCs w:val="16"/>
                <w:u w:color="FFFFFF" w:themeColor="background1"/>
                <w:lang w:val="en-AU"/>
              </w:rPr>
            </w:pPr>
            <w:r w:rsidRPr="00A11CC5">
              <w:rPr>
                <w:rFonts w:eastAsia="Times New Roman"/>
                <w:b w:val="0"/>
                <w:color w:val="auto"/>
                <w:sz w:val="16"/>
                <w:szCs w:val="16"/>
                <w:u w:color="FFFFFF" w:themeColor="background1"/>
                <w:lang w:val="en-AU"/>
              </w:rPr>
              <w:t>2013-14</w:t>
            </w:r>
          </w:p>
        </w:tc>
        <w:tc>
          <w:tcPr>
            <w:tcW w:w="500" w:type="pct"/>
            <w:noWrap/>
            <w:vAlign w:val="center"/>
            <w:hideMark/>
          </w:tcPr>
          <w:p w14:paraId="21CA7F1C"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58,001</w:t>
            </w:r>
          </w:p>
        </w:tc>
        <w:tc>
          <w:tcPr>
            <w:tcW w:w="500" w:type="pct"/>
            <w:noWrap/>
            <w:vAlign w:val="center"/>
            <w:hideMark/>
          </w:tcPr>
          <w:p w14:paraId="707B2677"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225,168</w:t>
            </w:r>
          </w:p>
        </w:tc>
        <w:tc>
          <w:tcPr>
            <w:tcW w:w="500" w:type="pct"/>
            <w:noWrap/>
            <w:vAlign w:val="center"/>
            <w:hideMark/>
          </w:tcPr>
          <w:p w14:paraId="3F7FA681"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5,336</w:t>
            </w:r>
          </w:p>
        </w:tc>
        <w:tc>
          <w:tcPr>
            <w:tcW w:w="499" w:type="pct"/>
            <w:noWrap/>
            <w:vAlign w:val="center"/>
            <w:hideMark/>
          </w:tcPr>
          <w:p w14:paraId="1F2385B2"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128,064</w:t>
            </w:r>
          </w:p>
        </w:tc>
        <w:tc>
          <w:tcPr>
            <w:tcW w:w="499" w:type="pct"/>
            <w:noWrap/>
            <w:vAlign w:val="center"/>
            <w:hideMark/>
          </w:tcPr>
          <w:p w14:paraId="30CCC78B"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243,355</w:t>
            </w:r>
          </w:p>
        </w:tc>
        <w:tc>
          <w:tcPr>
            <w:tcW w:w="499" w:type="pct"/>
            <w:noWrap/>
            <w:vAlign w:val="center"/>
            <w:hideMark/>
          </w:tcPr>
          <w:p w14:paraId="3B0FFD15"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563,371</w:t>
            </w:r>
          </w:p>
        </w:tc>
        <w:tc>
          <w:tcPr>
            <w:tcW w:w="499" w:type="pct"/>
            <w:noWrap/>
            <w:vAlign w:val="center"/>
            <w:hideMark/>
          </w:tcPr>
          <w:p w14:paraId="6F6CE372"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44,254</w:t>
            </w:r>
          </w:p>
        </w:tc>
        <w:tc>
          <w:tcPr>
            <w:tcW w:w="499" w:type="pct"/>
            <w:noWrap/>
            <w:vAlign w:val="center"/>
            <w:hideMark/>
          </w:tcPr>
          <w:p w14:paraId="3F5E7DEE"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454,526</w:t>
            </w:r>
          </w:p>
        </w:tc>
        <w:tc>
          <w:tcPr>
            <w:tcW w:w="557" w:type="pct"/>
            <w:noWrap/>
            <w:vAlign w:val="center"/>
            <w:hideMark/>
          </w:tcPr>
          <w:p w14:paraId="2711F47F"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167,333</w:t>
            </w:r>
          </w:p>
        </w:tc>
      </w:tr>
      <w:tr w:rsidR="00A11CC5" w:rsidRPr="00A11CC5" w14:paraId="2A269001" w14:textId="77777777" w:rsidTr="0024397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46" w:type="pct"/>
            <w:noWrap/>
            <w:vAlign w:val="center"/>
          </w:tcPr>
          <w:p w14:paraId="26F46CD6" w14:textId="77777777" w:rsidR="00CC35CB" w:rsidRPr="00A11CC5" w:rsidRDefault="00CC35CB" w:rsidP="00A34342">
            <w:pPr>
              <w:pStyle w:val="bodycopy"/>
              <w:jc w:val="center"/>
              <w:rPr>
                <w:rFonts w:eastAsia="Times New Roman"/>
                <w:b w:val="0"/>
                <w:color w:val="auto"/>
                <w:sz w:val="16"/>
                <w:szCs w:val="16"/>
                <w:u w:color="FFFFFF" w:themeColor="background1"/>
                <w:lang w:val="en-AU"/>
              </w:rPr>
            </w:pPr>
            <w:r w:rsidRPr="00A11CC5">
              <w:rPr>
                <w:rFonts w:eastAsia="Times New Roman"/>
                <w:b w:val="0"/>
                <w:color w:val="auto"/>
                <w:sz w:val="16"/>
                <w:szCs w:val="16"/>
                <w:u w:color="FFFFFF" w:themeColor="background1"/>
                <w:lang w:val="en-AU"/>
              </w:rPr>
              <w:t>2014-15</w:t>
            </w:r>
          </w:p>
        </w:tc>
        <w:tc>
          <w:tcPr>
            <w:tcW w:w="500" w:type="pct"/>
            <w:noWrap/>
            <w:vAlign w:val="center"/>
          </w:tcPr>
          <w:p w14:paraId="0A0019A6"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60,957</w:t>
            </w:r>
          </w:p>
        </w:tc>
        <w:tc>
          <w:tcPr>
            <w:tcW w:w="500" w:type="pct"/>
            <w:noWrap/>
            <w:vAlign w:val="center"/>
          </w:tcPr>
          <w:p w14:paraId="40E4A8DB"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198,387</w:t>
            </w:r>
          </w:p>
        </w:tc>
        <w:tc>
          <w:tcPr>
            <w:tcW w:w="500" w:type="pct"/>
            <w:noWrap/>
            <w:vAlign w:val="center"/>
          </w:tcPr>
          <w:p w14:paraId="1F2EB233" w14:textId="77777777" w:rsidR="00CC35CB" w:rsidRPr="00A11CC5" w:rsidRDefault="00236BAA"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3,</w:t>
            </w:r>
            <w:r w:rsidR="00CC35CB" w:rsidRPr="00A11CC5">
              <w:rPr>
                <w:rFonts w:eastAsia="Times New Roman"/>
                <w:color w:val="auto"/>
                <w:sz w:val="16"/>
                <w:szCs w:val="16"/>
                <w:u w:color="FFFFFF" w:themeColor="background1"/>
                <w:lang w:val="en-AU"/>
              </w:rPr>
              <w:t>684</w:t>
            </w:r>
          </w:p>
        </w:tc>
        <w:tc>
          <w:tcPr>
            <w:tcW w:w="499" w:type="pct"/>
            <w:noWrap/>
            <w:vAlign w:val="center"/>
          </w:tcPr>
          <w:p w14:paraId="5D7723CB"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77,162</w:t>
            </w:r>
          </w:p>
        </w:tc>
        <w:tc>
          <w:tcPr>
            <w:tcW w:w="499" w:type="pct"/>
            <w:noWrap/>
            <w:vAlign w:val="center"/>
          </w:tcPr>
          <w:p w14:paraId="3EA517B6"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85,983</w:t>
            </w:r>
          </w:p>
        </w:tc>
        <w:tc>
          <w:tcPr>
            <w:tcW w:w="499" w:type="pct"/>
            <w:noWrap/>
            <w:vAlign w:val="center"/>
          </w:tcPr>
          <w:p w14:paraId="5E8B6959"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383,369</w:t>
            </w:r>
          </w:p>
        </w:tc>
        <w:tc>
          <w:tcPr>
            <w:tcW w:w="499" w:type="pct"/>
            <w:noWrap/>
            <w:vAlign w:val="center"/>
          </w:tcPr>
          <w:p w14:paraId="25555912"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40,232</w:t>
            </w:r>
          </w:p>
        </w:tc>
        <w:tc>
          <w:tcPr>
            <w:tcW w:w="499" w:type="pct"/>
            <w:noWrap/>
            <w:vAlign w:val="center"/>
          </w:tcPr>
          <w:p w14:paraId="5646C3EE"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335,374</w:t>
            </w:r>
          </w:p>
        </w:tc>
        <w:tc>
          <w:tcPr>
            <w:tcW w:w="557" w:type="pct"/>
            <w:noWrap/>
            <w:vAlign w:val="center"/>
          </w:tcPr>
          <w:p w14:paraId="73D76ABB" w14:textId="77777777" w:rsidR="00CC35CB" w:rsidRPr="00A11CC5" w:rsidRDefault="00CC35C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152,047</w:t>
            </w:r>
          </w:p>
        </w:tc>
      </w:tr>
      <w:tr w:rsidR="00A11CC5" w:rsidRPr="00A11CC5" w14:paraId="3BDB9ABA" w14:textId="77777777" w:rsidTr="0024397A">
        <w:trPr>
          <w:trHeight w:val="413"/>
        </w:trPr>
        <w:tc>
          <w:tcPr>
            <w:cnfStyle w:val="001000000000" w:firstRow="0" w:lastRow="0" w:firstColumn="1" w:lastColumn="0" w:oddVBand="0" w:evenVBand="0" w:oddHBand="0" w:evenHBand="0" w:firstRowFirstColumn="0" w:firstRowLastColumn="0" w:lastRowFirstColumn="0" w:lastRowLastColumn="0"/>
            <w:tcW w:w="446" w:type="pct"/>
            <w:noWrap/>
            <w:vAlign w:val="center"/>
          </w:tcPr>
          <w:p w14:paraId="246F4ACF" w14:textId="77777777" w:rsidR="00CC35CB" w:rsidRPr="00A11CC5" w:rsidRDefault="00CC35CB" w:rsidP="00A34342">
            <w:pPr>
              <w:pStyle w:val="bodycopy"/>
              <w:jc w:val="center"/>
              <w:rPr>
                <w:rFonts w:eastAsia="Times New Roman"/>
                <w:b w:val="0"/>
                <w:color w:val="auto"/>
                <w:sz w:val="16"/>
                <w:szCs w:val="16"/>
                <w:u w:color="FFFFFF" w:themeColor="background1"/>
                <w:lang w:val="en-AU"/>
              </w:rPr>
            </w:pPr>
            <w:r w:rsidRPr="00A11CC5">
              <w:rPr>
                <w:rFonts w:eastAsia="Times New Roman"/>
                <w:b w:val="0"/>
                <w:color w:val="auto"/>
                <w:sz w:val="16"/>
                <w:szCs w:val="16"/>
                <w:u w:color="FFFFFF" w:themeColor="background1"/>
                <w:lang w:val="en-AU"/>
              </w:rPr>
              <w:t>2015-16</w:t>
            </w:r>
          </w:p>
        </w:tc>
        <w:tc>
          <w:tcPr>
            <w:tcW w:w="500" w:type="pct"/>
            <w:noWrap/>
            <w:vAlign w:val="center"/>
          </w:tcPr>
          <w:p w14:paraId="5C95B5DF"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59,757</w:t>
            </w:r>
          </w:p>
        </w:tc>
        <w:tc>
          <w:tcPr>
            <w:tcW w:w="500" w:type="pct"/>
            <w:noWrap/>
            <w:vAlign w:val="center"/>
          </w:tcPr>
          <w:p w14:paraId="766F2192"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256,653</w:t>
            </w:r>
          </w:p>
        </w:tc>
        <w:tc>
          <w:tcPr>
            <w:tcW w:w="500" w:type="pct"/>
            <w:noWrap/>
            <w:vAlign w:val="center"/>
          </w:tcPr>
          <w:p w14:paraId="2067DE05"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5,945</w:t>
            </w:r>
          </w:p>
        </w:tc>
        <w:tc>
          <w:tcPr>
            <w:tcW w:w="499" w:type="pct"/>
            <w:noWrap/>
            <w:vAlign w:val="center"/>
          </w:tcPr>
          <w:p w14:paraId="4BBD2295"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52,026</w:t>
            </w:r>
          </w:p>
        </w:tc>
        <w:tc>
          <w:tcPr>
            <w:tcW w:w="499" w:type="pct"/>
            <w:noWrap/>
            <w:vAlign w:val="center"/>
          </w:tcPr>
          <w:p w14:paraId="31E493E2"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90,318</w:t>
            </w:r>
          </w:p>
        </w:tc>
        <w:tc>
          <w:tcPr>
            <w:tcW w:w="499" w:type="pct"/>
            <w:noWrap/>
            <w:vAlign w:val="center"/>
          </w:tcPr>
          <w:p w14:paraId="290A1234"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57,763</w:t>
            </w:r>
          </w:p>
        </w:tc>
        <w:tc>
          <w:tcPr>
            <w:tcW w:w="499" w:type="pct"/>
            <w:noWrap/>
            <w:vAlign w:val="center"/>
          </w:tcPr>
          <w:p w14:paraId="02692B36" w14:textId="77777777" w:rsidR="00CC35CB" w:rsidRPr="00A11CC5" w:rsidRDefault="00CC35CB"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30,730</w:t>
            </w:r>
          </w:p>
        </w:tc>
        <w:tc>
          <w:tcPr>
            <w:tcW w:w="499" w:type="pct"/>
            <w:noWrap/>
            <w:vAlign w:val="center"/>
          </w:tcPr>
          <w:p w14:paraId="17AB73B0" w14:textId="1E191264" w:rsidR="00CC35CB" w:rsidRPr="00A11CC5" w:rsidRDefault="00A34342"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Pr>
                <w:rFonts w:eastAsia="Times New Roman"/>
                <w:color w:val="auto"/>
                <w:sz w:val="16"/>
                <w:szCs w:val="16"/>
                <w:u w:color="FFFFFF" w:themeColor="background1"/>
                <w:lang w:val="en-AU"/>
              </w:rPr>
              <w:t>314,759</w:t>
            </w:r>
          </w:p>
        </w:tc>
        <w:tc>
          <w:tcPr>
            <w:tcW w:w="557" w:type="pct"/>
            <w:noWrap/>
            <w:vAlign w:val="center"/>
          </w:tcPr>
          <w:p w14:paraId="2781DBD7" w14:textId="03467B22" w:rsidR="00CC35CB" w:rsidRPr="00A11CC5" w:rsidRDefault="00A34342" w:rsidP="00A34342">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Pr>
                <w:rFonts w:eastAsia="Times New Roman"/>
                <w:color w:val="auto"/>
                <w:sz w:val="16"/>
                <w:szCs w:val="16"/>
                <w:u w:color="FFFFFF" w:themeColor="background1"/>
                <w:lang w:val="en-AU"/>
              </w:rPr>
              <w:t>202,229</w:t>
            </w:r>
          </w:p>
        </w:tc>
      </w:tr>
      <w:tr w:rsidR="00A11CC5" w:rsidRPr="00A11CC5" w14:paraId="58F04763" w14:textId="77777777" w:rsidTr="0024397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46" w:type="pct"/>
            <w:noWrap/>
            <w:vAlign w:val="center"/>
          </w:tcPr>
          <w:p w14:paraId="72CBA051" w14:textId="77777777" w:rsidR="00C81DE3" w:rsidRPr="00A11CC5" w:rsidRDefault="00C81DE3" w:rsidP="00A34342">
            <w:pPr>
              <w:pStyle w:val="bodycopy"/>
              <w:jc w:val="center"/>
              <w:rPr>
                <w:rFonts w:eastAsia="Times New Roman"/>
                <w:b w:val="0"/>
                <w:color w:val="auto"/>
                <w:sz w:val="16"/>
                <w:szCs w:val="16"/>
                <w:u w:color="FFFFFF" w:themeColor="background1"/>
                <w:lang w:val="en-AU"/>
              </w:rPr>
            </w:pPr>
            <w:r w:rsidRPr="00A11CC5">
              <w:rPr>
                <w:rFonts w:eastAsia="Times New Roman"/>
                <w:b w:val="0"/>
                <w:color w:val="auto"/>
                <w:sz w:val="16"/>
                <w:szCs w:val="16"/>
                <w:u w:color="FFFFFF" w:themeColor="background1"/>
                <w:lang w:val="en-AU"/>
              </w:rPr>
              <w:t>2016-17</w:t>
            </w:r>
          </w:p>
        </w:tc>
        <w:tc>
          <w:tcPr>
            <w:tcW w:w="500" w:type="pct"/>
            <w:noWrap/>
            <w:vAlign w:val="center"/>
          </w:tcPr>
          <w:p w14:paraId="08D23FF6" w14:textId="77777777" w:rsidR="00C81DE3" w:rsidRPr="00A11CC5" w:rsidRDefault="009832C9"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56,0</w:t>
            </w:r>
            <w:r w:rsidR="008902D4" w:rsidRPr="00A11CC5">
              <w:rPr>
                <w:rFonts w:eastAsia="Times New Roman"/>
                <w:color w:val="auto"/>
                <w:sz w:val="16"/>
                <w:szCs w:val="16"/>
                <w:u w:color="FFFFFF" w:themeColor="background1"/>
                <w:lang w:val="en-AU"/>
              </w:rPr>
              <w:t>95</w:t>
            </w:r>
          </w:p>
        </w:tc>
        <w:tc>
          <w:tcPr>
            <w:tcW w:w="500" w:type="pct"/>
            <w:noWrap/>
            <w:vAlign w:val="center"/>
          </w:tcPr>
          <w:p w14:paraId="04EC6FA7" w14:textId="351289EC" w:rsidR="00C81DE3" w:rsidRPr="00A11CC5" w:rsidRDefault="00B46E21"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3</w:t>
            </w:r>
            <w:r w:rsidR="00994B34" w:rsidRPr="00A11CC5">
              <w:rPr>
                <w:rFonts w:eastAsia="Times New Roman"/>
                <w:color w:val="auto"/>
                <w:sz w:val="16"/>
                <w:szCs w:val="16"/>
                <w:u w:color="FFFFFF" w:themeColor="background1"/>
                <w:lang w:val="en-AU"/>
              </w:rPr>
              <w:t>12,229</w:t>
            </w:r>
          </w:p>
        </w:tc>
        <w:tc>
          <w:tcPr>
            <w:tcW w:w="500" w:type="pct"/>
            <w:noWrap/>
            <w:vAlign w:val="center"/>
          </w:tcPr>
          <w:p w14:paraId="7D83FE61" w14:textId="77777777" w:rsidR="00C81DE3" w:rsidRPr="00A11CC5" w:rsidRDefault="00836E59"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5,138</w:t>
            </w:r>
          </w:p>
        </w:tc>
        <w:tc>
          <w:tcPr>
            <w:tcW w:w="499" w:type="pct"/>
            <w:noWrap/>
            <w:vAlign w:val="center"/>
          </w:tcPr>
          <w:p w14:paraId="4BC2CF97" w14:textId="77777777" w:rsidR="00C81DE3" w:rsidRPr="00A11CC5" w:rsidRDefault="00EF73F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45,597</w:t>
            </w:r>
          </w:p>
        </w:tc>
        <w:tc>
          <w:tcPr>
            <w:tcW w:w="499" w:type="pct"/>
            <w:noWrap/>
            <w:vAlign w:val="center"/>
          </w:tcPr>
          <w:p w14:paraId="0BA2B38B" w14:textId="77777777" w:rsidR="00C81DE3" w:rsidRPr="00A11CC5" w:rsidRDefault="00EF73F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73,812</w:t>
            </w:r>
          </w:p>
        </w:tc>
        <w:tc>
          <w:tcPr>
            <w:tcW w:w="499" w:type="pct"/>
            <w:noWrap/>
            <w:vAlign w:val="center"/>
          </w:tcPr>
          <w:p w14:paraId="7BCE8D3F" w14:textId="77777777" w:rsidR="00C81DE3" w:rsidRPr="00A11CC5" w:rsidRDefault="00EF73FB"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44,944</w:t>
            </w:r>
          </w:p>
        </w:tc>
        <w:tc>
          <w:tcPr>
            <w:tcW w:w="499" w:type="pct"/>
            <w:noWrap/>
            <w:vAlign w:val="center"/>
          </w:tcPr>
          <w:p w14:paraId="3E0D9B1B" w14:textId="77777777" w:rsidR="00C81DE3" w:rsidRPr="00A11CC5" w:rsidRDefault="00310755"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0</w:t>
            </w:r>
          </w:p>
        </w:tc>
        <w:tc>
          <w:tcPr>
            <w:tcW w:w="499" w:type="pct"/>
            <w:noWrap/>
            <w:vAlign w:val="center"/>
          </w:tcPr>
          <w:p w14:paraId="2B041FF8" w14:textId="77777777" w:rsidR="00C81DE3" w:rsidRPr="00A11CC5" w:rsidRDefault="00C56F77"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282</w:t>
            </w:r>
            <w:r w:rsidR="003C1BE3" w:rsidRPr="00A11CC5">
              <w:rPr>
                <w:rFonts w:eastAsia="Times New Roman"/>
                <w:color w:val="auto"/>
                <w:sz w:val="16"/>
                <w:szCs w:val="16"/>
                <w:u w:color="FFFFFF" w:themeColor="background1"/>
                <w:lang w:val="en-AU"/>
              </w:rPr>
              <w:t>,</w:t>
            </w:r>
            <w:r w:rsidRPr="00A11CC5">
              <w:rPr>
                <w:rFonts w:eastAsia="Times New Roman"/>
                <w:color w:val="auto"/>
                <w:sz w:val="16"/>
                <w:szCs w:val="16"/>
                <w:u w:color="FFFFFF" w:themeColor="background1"/>
                <w:lang w:val="en-AU"/>
              </w:rPr>
              <w:t>720</w:t>
            </w:r>
          </w:p>
        </w:tc>
        <w:tc>
          <w:tcPr>
            <w:tcW w:w="557" w:type="pct"/>
            <w:noWrap/>
            <w:vAlign w:val="center"/>
          </w:tcPr>
          <w:p w14:paraId="584B39AB" w14:textId="77777777" w:rsidR="00C81DE3" w:rsidRPr="00A11CC5" w:rsidRDefault="00207393" w:rsidP="00A34342">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A11CC5">
              <w:rPr>
                <w:rFonts w:eastAsia="Times New Roman"/>
                <w:color w:val="auto"/>
                <w:sz w:val="16"/>
                <w:szCs w:val="16"/>
                <w:u w:color="FFFFFF" w:themeColor="background1"/>
                <w:lang w:val="en-AU"/>
              </w:rPr>
              <w:t>192,150</w:t>
            </w:r>
          </w:p>
        </w:tc>
      </w:tr>
      <w:tr w:rsidR="00574DCD" w:rsidRPr="00455ED7" w14:paraId="17F18C56" w14:textId="77777777" w:rsidTr="0024397A">
        <w:trPr>
          <w:trHeight w:val="413"/>
        </w:trPr>
        <w:tc>
          <w:tcPr>
            <w:cnfStyle w:val="001000000000" w:firstRow="0" w:lastRow="0" w:firstColumn="1" w:lastColumn="0" w:oddVBand="0" w:evenVBand="0" w:oddHBand="0" w:evenHBand="0" w:firstRowFirstColumn="0" w:firstRowLastColumn="0" w:lastRowFirstColumn="0" w:lastRowLastColumn="0"/>
            <w:tcW w:w="446" w:type="pct"/>
            <w:noWrap/>
            <w:vAlign w:val="center"/>
          </w:tcPr>
          <w:p w14:paraId="14EF7AE2" w14:textId="19FD6702" w:rsidR="00574DCD" w:rsidRPr="001C55B1" w:rsidRDefault="00574DCD" w:rsidP="00574DCD">
            <w:pPr>
              <w:pStyle w:val="bodycopy"/>
              <w:jc w:val="center"/>
              <w:rPr>
                <w:rFonts w:eastAsia="Times New Roman"/>
                <w:b w:val="0"/>
                <w:color w:val="auto"/>
                <w:sz w:val="16"/>
                <w:szCs w:val="16"/>
                <w:u w:color="FFFFFF" w:themeColor="background1"/>
                <w:lang w:val="en-AU"/>
              </w:rPr>
            </w:pPr>
            <w:r w:rsidRPr="001C55B1">
              <w:rPr>
                <w:rFonts w:eastAsia="Times New Roman"/>
                <w:b w:val="0"/>
                <w:color w:val="auto"/>
                <w:sz w:val="16"/>
                <w:szCs w:val="16"/>
                <w:u w:color="FFFFFF" w:themeColor="background1"/>
                <w:lang w:val="en-AU"/>
              </w:rPr>
              <w:t>2017-18</w:t>
            </w:r>
            <w:r w:rsidR="001079DF">
              <w:rPr>
                <w:rFonts w:eastAsia="Times New Roman"/>
                <w:b w:val="0"/>
                <w:color w:val="auto"/>
                <w:sz w:val="16"/>
                <w:szCs w:val="16"/>
                <w:u w:color="FFFFFF" w:themeColor="background1"/>
                <w:lang w:val="en-AU"/>
              </w:rPr>
              <w:t>^</w:t>
            </w:r>
          </w:p>
        </w:tc>
        <w:tc>
          <w:tcPr>
            <w:tcW w:w="500" w:type="pct"/>
            <w:noWrap/>
            <w:vAlign w:val="center"/>
          </w:tcPr>
          <w:p w14:paraId="4249E261" w14:textId="5026714F" w:rsidR="00574DCD" w:rsidRPr="00574DCD" w:rsidRDefault="00574DCD" w:rsidP="00574DCD">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574DCD">
              <w:rPr>
                <w:color w:val="auto"/>
                <w:sz w:val="16"/>
                <w:szCs w:val="16"/>
              </w:rPr>
              <w:t>45,062</w:t>
            </w:r>
          </w:p>
        </w:tc>
        <w:tc>
          <w:tcPr>
            <w:tcW w:w="500" w:type="pct"/>
            <w:noWrap/>
            <w:vAlign w:val="center"/>
          </w:tcPr>
          <w:p w14:paraId="277E7882" w14:textId="120A174E" w:rsidR="00574DCD" w:rsidRPr="00574DCD" w:rsidRDefault="00574DCD" w:rsidP="00574DCD">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574DCD">
              <w:rPr>
                <w:color w:val="auto"/>
                <w:sz w:val="16"/>
                <w:szCs w:val="16"/>
              </w:rPr>
              <w:t>36</w:t>
            </w:r>
            <w:r w:rsidR="005B053A">
              <w:rPr>
                <w:color w:val="auto"/>
                <w:sz w:val="16"/>
                <w:szCs w:val="16"/>
              </w:rPr>
              <w:t>4</w:t>
            </w:r>
            <w:r w:rsidR="00B904CF">
              <w:rPr>
                <w:color w:val="auto"/>
                <w:sz w:val="16"/>
                <w:szCs w:val="16"/>
              </w:rPr>
              <w:t>,225</w:t>
            </w:r>
          </w:p>
        </w:tc>
        <w:tc>
          <w:tcPr>
            <w:tcW w:w="500" w:type="pct"/>
            <w:noWrap/>
            <w:vAlign w:val="center"/>
          </w:tcPr>
          <w:p w14:paraId="39E1E1D4" w14:textId="2FD996DB" w:rsidR="00574DCD" w:rsidRPr="00574DCD" w:rsidRDefault="00574DCD" w:rsidP="00574DCD">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574DCD">
              <w:rPr>
                <w:color w:val="auto"/>
                <w:sz w:val="16"/>
                <w:szCs w:val="16"/>
              </w:rPr>
              <w:t>2,570</w:t>
            </w:r>
          </w:p>
        </w:tc>
        <w:tc>
          <w:tcPr>
            <w:tcW w:w="499" w:type="pct"/>
            <w:noWrap/>
            <w:vAlign w:val="center"/>
          </w:tcPr>
          <w:p w14:paraId="29A14A40" w14:textId="5EAD7921" w:rsidR="00574DCD" w:rsidRPr="00574DCD" w:rsidRDefault="00574DCD" w:rsidP="00574DCD">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574DCD">
              <w:rPr>
                <w:color w:val="auto"/>
                <w:sz w:val="16"/>
                <w:szCs w:val="16"/>
              </w:rPr>
              <w:t>27,515</w:t>
            </w:r>
          </w:p>
        </w:tc>
        <w:tc>
          <w:tcPr>
            <w:tcW w:w="499" w:type="pct"/>
            <w:noWrap/>
            <w:vAlign w:val="center"/>
          </w:tcPr>
          <w:p w14:paraId="2BAA30A0" w14:textId="462E6117" w:rsidR="00574DCD" w:rsidRPr="00574DCD" w:rsidRDefault="00574DCD" w:rsidP="00574DCD">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574DCD">
              <w:rPr>
                <w:color w:val="auto"/>
                <w:sz w:val="16"/>
                <w:szCs w:val="16"/>
              </w:rPr>
              <w:t>48,381</w:t>
            </w:r>
          </w:p>
        </w:tc>
        <w:tc>
          <w:tcPr>
            <w:tcW w:w="499" w:type="pct"/>
            <w:noWrap/>
            <w:vAlign w:val="center"/>
          </w:tcPr>
          <w:p w14:paraId="3B182685" w14:textId="38E04F60" w:rsidR="00574DCD" w:rsidRPr="00574DCD" w:rsidRDefault="00574DCD" w:rsidP="00574DCD">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574DCD">
              <w:rPr>
                <w:color w:val="auto"/>
                <w:sz w:val="16"/>
                <w:szCs w:val="16"/>
              </w:rPr>
              <w:t>24</w:t>
            </w:r>
            <w:r w:rsidR="00C5355B">
              <w:rPr>
                <w:color w:val="auto"/>
                <w:sz w:val="16"/>
                <w:szCs w:val="16"/>
              </w:rPr>
              <w:t>,</w:t>
            </w:r>
            <w:r w:rsidRPr="00574DCD">
              <w:rPr>
                <w:color w:val="auto"/>
                <w:sz w:val="16"/>
                <w:szCs w:val="16"/>
              </w:rPr>
              <w:t>390</w:t>
            </w:r>
          </w:p>
        </w:tc>
        <w:tc>
          <w:tcPr>
            <w:tcW w:w="499" w:type="pct"/>
            <w:noWrap/>
            <w:vAlign w:val="center"/>
          </w:tcPr>
          <w:p w14:paraId="288A7F3B" w14:textId="2596AE85" w:rsidR="00574DCD" w:rsidRPr="00574DCD" w:rsidRDefault="00574DCD" w:rsidP="00574DCD">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574DCD">
              <w:rPr>
                <w:color w:val="auto"/>
                <w:sz w:val="16"/>
                <w:szCs w:val="16"/>
              </w:rPr>
              <w:t>0</w:t>
            </w:r>
          </w:p>
        </w:tc>
        <w:tc>
          <w:tcPr>
            <w:tcW w:w="499" w:type="pct"/>
            <w:noWrap/>
            <w:vAlign w:val="center"/>
          </w:tcPr>
          <w:p w14:paraId="643FB5C6" w14:textId="7EC6BDC1" w:rsidR="00574DCD" w:rsidRPr="00574DCD" w:rsidRDefault="00B904CF" w:rsidP="00574DCD">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395,707</w:t>
            </w:r>
          </w:p>
        </w:tc>
        <w:tc>
          <w:tcPr>
            <w:tcW w:w="557" w:type="pct"/>
            <w:noWrap/>
            <w:vAlign w:val="center"/>
          </w:tcPr>
          <w:p w14:paraId="7B2D67BC" w14:textId="4FBB027E" w:rsidR="00574DCD" w:rsidRPr="00574DCD" w:rsidRDefault="00574DCD" w:rsidP="00574DCD">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574DCD">
              <w:rPr>
                <w:color w:val="auto"/>
                <w:sz w:val="16"/>
                <w:szCs w:val="16"/>
              </w:rPr>
              <w:t>171,932</w:t>
            </w:r>
          </w:p>
        </w:tc>
      </w:tr>
      <w:tr w:rsidR="00574DCD" w:rsidRPr="00A11CC5" w14:paraId="65E9A6CA" w14:textId="77777777" w:rsidTr="00574DCD">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46" w:type="pct"/>
            <w:noWrap/>
            <w:vAlign w:val="center"/>
            <w:hideMark/>
          </w:tcPr>
          <w:p w14:paraId="28A18E98" w14:textId="77777777" w:rsidR="00574DCD" w:rsidRPr="0024397A" w:rsidRDefault="00574DCD" w:rsidP="00574DCD">
            <w:pPr>
              <w:pStyle w:val="bodycopy"/>
              <w:jc w:val="center"/>
              <w:rPr>
                <w:rFonts w:eastAsia="Times New Roman"/>
                <w:b w:val="0"/>
                <w:color w:val="808080" w:themeColor="background1" w:themeShade="80"/>
                <w:sz w:val="14"/>
                <w:u w:color="FFFFFF" w:themeColor="background1"/>
                <w:lang w:val="en-AU"/>
              </w:rPr>
            </w:pPr>
            <w:r w:rsidRPr="0024397A">
              <w:rPr>
                <w:rFonts w:eastAsia="Times New Roman"/>
                <w:b w:val="0"/>
                <w:color w:val="808080" w:themeColor="background1" w:themeShade="80"/>
                <w:sz w:val="14"/>
                <w:u w:color="FFFFFF" w:themeColor="background1"/>
                <w:lang w:val="en-AU"/>
              </w:rPr>
              <w:t>Change</w:t>
            </w:r>
            <w:r w:rsidRPr="0024397A">
              <w:rPr>
                <w:rFonts w:eastAsia="Times New Roman"/>
                <w:b w:val="0"/>
                <w:color w:val="808080" w:themeColor="background1" w:themeShade="80"/>
                <w:sz w:val="14"/>
                <w:u w:color="FFFFFF" w:themeColor="background1"/>
                <w:lang w:val="en-AU"/>
              </w:rPr>
              <w:br/>
              <w:t>year-on-year (%)</w:t>
            </w:r>
          </w:p>
        </w:tc>
        <w:tc>
          <w:tcPr>
            <w:tcW w:w="500" w:type="pct"/>
            <w:noWrap/>
            <w:vAlign w:val="center"/>
          </w:tcPr>
          <w:p w14:paraId="58E81E68" w14:textId="4A9E35AF" w:rsidR="00574DCD" w:rsidRPr="0024397A" w:rsidRDefault="00574DCD" w:rsidP="00574DCD">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808080" w:themeColor="background1" w:themeShade="80"/>
                <w:sz w:val="16"/>
                <w:szCs w:val="16"/>
                <w:u w:color="FFFFFF" w:themeColor="background1"/>
                <w:lang w:val="en-AU"/>
              </w:rPr>
            </w:pPr>
            <w:r w:rsidRPr="0024397A">
              <w:rPr>
                <w:color w:val="808080" w:themeColor="background1" w:themeShade="80"/>
                <w:sz w:val="16"/>
                <w:szCs w:val="16"/>
              </w:rPr>
              <w:t>-19.7%</w:t>
            </w:r>
          </w:p>
        </w:tc>
        <w:tc>
          <w:tcPr>
            <w:tcW w:w="500" w:type="pct"/>
            <w:noWrap/>
            <w:vAlign w:val="center"/>
          </w:tcPr>
          <w:p w14:paraId="5BE356AB" w14:textId="10A46BB7" w:rsidR="00574DCD" w:rsidRPr="00574DCD" w:rsidRDefault="00B904CF" w:rsidP="00574DCD">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808080" w:themeColor="background1" w:themeShade="80"/>
                <w:sz w:val="16"/>
                <w:szCs w:val="16"/>
                <w:u w:color="FFFFFF" w:themeColor="background1"/>
                <w:lang w:val="en-AU"/>
              </w:rPr>
            </w:pPr>
            <w:r>
              <w:rPr>
                <w:sz w:val="16"/>
                <w:szCs w:val="16"/>
              </w:rPr>
              <w:t>16.7</w:t>
            </w:r>
            <w:r w:rsidR="00574DCD" w:rsidRPr="00574DCD">
              <w:rPr>
                <w:sz w:val="16"/>
                <w:szCs w:val="16"/>
              </w:rPr>
              <w:t>%</w:t>
            </w:r>
          </w:p>
        </w:tc>
        <w:tc>
          <w:tcPr>
            <w:tcW w:w="500" w:type="pct"/>
            <w:noWrap/>
            <w:vAlign w:val="center"/>
          </w:tcPr>
          <w:p w14:paraId="3B80C4A0" w14:textId="73B28852" w:rsidR="00574DCD" w:rsidRPr="00574DCD" w:rsidRDefault="00574DCD" w:rsidP="00574DCD">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808080" w:themeColor="background1" w:themeShade="80"/>
                <w:sz w:val="16"/>
                <w:szCs w:val="16"/>
                <w:u w:color="FFFFFF" w:themeColor="background1"/>
                <w:lang w:val="en-AU"/>
              </w:rPr>
            </w:pPr>
            <w:r w:rsidRPr="00574DCD">
              <w:rPr>
                <w:sz w:val="16"/>
                <w:szCs w:val="16"/>
              </w:rPr>
              <w:t>-50.0%</w:t>
            </w:r>
          </w:p>
        </w:tc>
        <w:tc>
          <w:tcPr>
            <w:tcW w:w="499" w:type="pct"/>
            <w:noWrap/>
            <w:vAlign w:val="center"/>
          </w:tcPr>
          <w:p w14:paraId="5603F42F" w14:textId="526E27C7" w:rsidR="00574DCD" w:rsidRPr="00574DCD" w:rsidRDefault="00574DCD" w:rsidP="00574DCD">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808080" w:themeColor="background1" w:themeShade="80"/>
                <w:sz w:val="16"/>
                <w:szCs w:val="16"/>
                <w:u w:color="FFFFFF" w:themeColor="background1"/>
                <w:lang w:val="en-AU"/>
              </w:rPr>
            </w:pPr>
            <w:r w:rsidRPr="00574DCD">
              <w:rPr>
                <w:sz w:val="16"/>
                <w:szCs w:val="16"/>
              </w:rPr>
              <w:t>-39.7%</w:t>
            </w:r>
          </w:p>
        </w:tc>
        <w:tc>
          <w:tcPr>
            <w:tcW w:w="499" w:type="pct"/>
            <w:noWrap/>
            <w:vAlign w:val="center"/>
          </w:tcPr>
          <w:p w14:paraId="70BB828B" w14:textId="74451ACE" w:rsidR="00574DCD" w:rsidRPr="00574DCD" w:rsidRDefault="00574DCD" w:rsidP="00574DCD">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808080" w:themeColor="background1" w:themeShade="80"/>
                <w:sz w:val="16"/>
                <w:szCs w:val="16"/>
                <w:u w:color="FFFFFF" w:themeColor="background1"/>
                <w:lang w:val="en-AU"/>
              </w:rPr>
            </w:pPr>
            <w:r w:rsidRPr="00574DCD">
              <w:rPr>
                <w:sz w:val="16"/>
                <w:szCs w:val="16"/>
              </w:rPr>
              <w:t>-34.5%</w:t>
            </w:r>
          </w:p>
        </w:tc>
        <w:tc>
          <w:tcPr>
            <w:tcW w:w="499" w:type="pct"/>
            <w:noWrap/>
            <w:vAlign w:val="center"/>
          </w:tcPr>
          <w:p w14:paraId="648BF5AC" w14:textId="2EAEBF49" w:rsidR="00574DCD" w:rsidRPr="00574DCD" w:rsidRDefault="00574DCD" w:rsidP="00574DCD">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808080" w:themeColor="background1" w:themeShade="80"/>
                <w:sz w:val="16"/>
                <w:szCs w:val="16"/>
                <w:u w:color="FFFFFF" w:themeColor="background1"/>
                <w:lang w:val="en-AU"/>
              </w:rPr>
            </w:pPr>
            <w:r w:rsidRPr="00574DCD">
              <w:rPr>
                <w:sz w:val="16"/>
                <w:szCs w:val="16"/>
              </w:rPr>
              <w:t>-45.7%</w:t>
            </w:r>
          </w:p>
        </w:tc>
        <w:tc>
          <w:tcPr>
            <w:tcW w:w="499" w:type="pct"/>
            <w:noWrap/>
            <w:vAlign w:val="center"/>
          </w:tcPr>
          <w:p w14:paraId="685CA5F8" w14:textId="2262BD18" w:rsidR="00574DCD" w:rsidRPr="00574DCD" w:rsidRDefault="00574DCD" w:rsidP="00574DCD">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808080" w:themeColor="background1" w:themeShade="80"/>
                <w:sz w:val="16"/>
                <w:szCs w:val="16"/>
                <w:u w:color="FFFFFF" w:themeColor="background1"/>
                <w:lang w:val="en-AU"/>
              </w:rPr>
            </w:pPr>
            <w:r w:rsidRPr="00574DCD">
              <w:rPr>
                <w:sz w:val="16"/>
                <w:szCs w:val="16"/>
              </w:rPr>
              <w:t>0.0%</w:t>
            </w:r>
          </w:p>
        </w:tc>
        <w:tc>
          <w:tcPr>
            <w:tcW w:w="499" w:type="pct"/>
            <w:noWrap/>
            <w:vAlign w:val="center"/>
          </w:tcPr>
          <w:p w14:paraId="4557F6CE" w14:textId="0FDF0E38" w:rsidR="00574DCD" w:rsidRPr="00574DCD" w:rsidRDefault="00B904CF" w:rsidP="00574DCD">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808080" w:themeColor="background1" w:themeShade="80"/>
                <w:sz w:val="16"/>
                <w:szCs w:val="16"/>
                <w:u w:color="FFFFFF" w:themeColor="background1"/>
                <w:lang w:val="en-AU"/>
              </w:rPr>
            </w:pPr>
            <w:r>
              <w:rPr>
                <w:sz w:val="16"/>
                <w:szCs w:val="16"/>
              </w:rPr>
              <w:t>40.0</w:t>
            </w:r>
            <w:r w:rsidR="00574DCD" w:rsidRPr="00574DCD">
              <w:rPr>
                <w:sz w:val="16"/>
                <w:szCs w:val="16"/>
              </w:rPr>
              <w:t>%</w:t>
            </w:r>
          </w:p>
        </w:tc>
        <w:tc>
          <w:tcPr>
            <w:tcW w:w="557" w:type="pct"/>
            <w:noWrap/>
            <w:vAlign w:val="center"/>
          </w:tcPr>
          <w:p w14:paraId="5AA42343" w14:textId="0F5F97FD" w:rsidR="00574DCD" w:rsidRPr="00574DCD" w:rsidRDefault="00574DCD" w:rsidP="00574DCD">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808080" w:themeColor="background1" w:themeShade="80"/>
                <w:sz w:val="16"/>
                <w:szCs w:val="16"/>
                <w:u w:color="FFFFFF" w:themeColor="background1"/>
                <w:lang w:val="en-AU"/>
              </w:rPr>
            </w:pPr>
            <w:r w:rsidRPr="00574DCD">
              <w:rPr>
                <w:sz w:val="16"/>
                <w:szCs w:val="16"/>
              </w:rPr>
              <w:t>-10.5%</w:t>
            </w:r>
          </w:p>
        </w:tc>
      </w:tr>
    </w:tbl>
    <w:p w14:paraId="4FB09156" w14:textId="53C7199A" w:rsidR="008A56F5" w:rsidRPr="00A11CC5" w:rsidRDefault="008A56F5" w:rsidP="002F1970">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r w:rsidRPr="00A11CC5">
        <w:rPr>
          <w:rFonts w:cs="Arial"/>
          <w:u w:color="FFFFFF" w:themeColor="background1"/>
          <w:lang w:val="en-AU"/>
        </w:rPr>
        <w:t xml:space="preserve">, </w:t>
      </w:r>
      <w:r w:rsidR="002B7F82" w:rsidRPr="00A11CC5">
        <w:rPr>
          <w:rFonts w:cs="Arial"/>
          <w:u w:color="FFFFFF" w:themeColor="background1"/>
          <w:lang w:val="en-AU"/>
        </w:rPr>
        <w:t>s</w:t>
      </w:r>
      <w:r w:rsidRPr="00A11CC5">
        <w:rPr>
          <w:rFonts w:cs="Arial"/>
          <w:u w:color="FFFFFF" w:themeColor="background1"/>
          <w:lang w:val="en-AU"/>
        </w:rPr>
        <w:t>tatutory returns under the MRSDA.</w:t>
      </w:r>
    </w:p>
    <w:p w14:paraId="43C4770B" w14:textId="7853EC1B" w:rsidR="008A56F5" w:rsidRPr="00A11CC5" w:rsidRDefault="008A56F5" w:rsidP="00A23DBD">
      <w:pPr>
        <w:spacing w:after="120" w:line="240" w:lineRule="auto"/>
        <w:jc w:val="both"/>
        <w:rPr>
          <w:rFonts w:eastAsia="Times New Roman" w:cs="Arial"/>
          <w:color w:val="auto"/>
          <w:sz w:val="16"/>
          <w:szCs w:val="16"/>
          <w:u w:color="FFFFFF" w:themeColor="background1"/>
          <w:lang w:val="en-AU"/>
        </w:rPr>
      </w:pPr>
      <w:r w:rsidRPr="00A11CC5">
        <w:rPr>
          <w:rFonts w:eastAsia="Times New Roman" w:cs="Arial"/>
          <w:color w:val="auto"/>
          <w:sz w:val="16"/>
          <w:szCs w:val="16"/>
          <w:u w:color="FFFFFF" w:themeColor="background1"/>
          <w:lang w:val="en-AU"/>
        </w:rPr>
        <w:t xml:space="preserve">*Gold reported in </w:t>
      </w:r>
      <w:r w:rsidR="0024397A">
        <w:rPr>
          <w:rFonts w:eastAsia="Times New Roman" w:cs="Arial"/>
          <w:color w:val="auto"/>
          <w:sz w:val="16"/>
          <w:szCs w:val="16"/>
          <w:u w:color="FFFFFF" w:themeColor="background1"/>
          <w:lang w:val="en-AU"/>
        </w:rPr>
        <w:t xml:space="preserve">troy </w:t>
      </w:r>
      <w:r w:rsidR="00771834">
        <w:rPr>
          <w:rFonts w:eastAsia="Times New Roman" w:cs="Arial"/>
          <w:color w:val="auto"/>
          <w:sz w:val="16"/>
          <w:szCs w:val="16"/>
          <w:u w:color="FFFFFF" w:themeColor="background1"/>
          <w:lang w:val="en-AU"/>
        </w:rPr>
        <w:t>ounces,</w:t>
      </w:r>
      <w:r w:rsidRPr="00A11CC5">
        <w:rPr>
          <w:rFonts w:eastAsia="Times New Roman" w:cs="Arial"/>
          <w:color w:val="auto"/>
          <w:sz w:val="16"/>
          <w:szCs w:val="16"/>
          <w:u w:color="FFFFFF" w:themeColor="background1"/>
          <w:lang w:val="en-AU"/>
        </w:rPr>
        <w:t xml:space="preserve"> coal in thousand tonnes, gypsum in cubic meters, and the remainder in tonnes. </w:t>
      </w:r>
    </w:p>
    <w:p w14:paraId="4AADB536" w14:textId="4C3762A2" w:rsidR="00400B16" w:rsidRPr="00A11CC5" w:rsidRDefault="00400B16" w:rsidP="00400B16">
      <w:pPr>
        <w:spacing w:after="120"/>
        <w:jc w:val="both"/>
        <w:rPr>
          <w:rFonts w:cs="Arial"/>
          <w:color w:val="auto"/>
          <w:sz w:val="16"/>
          <w:szCs w:val="16"/>
          <w:u w:color="FFFFFF" w:themeColor="background1"/>
          <w:lang w:val="en-AU"/>
        </w:rPr>
      </w:pPr>
      <w:r w:rsidRPr="00A11CC5">
        <w:rPr>
          <w:rFonts w:cs="Arial"/>
          <w:color w:val="auto"/>
          <w:sz w:val="16"/>
          <w:szCs w:val="16"/>
          <w:u w:color="FFFFFF" w:themeColor="background1"/>
          <w:lang w:val="en-AU"/>
        </w:rPr>
        <w:t xml:space="preserve">^Data as at </w:t>
      </w:r>
      <w:r>
        <w:rPr>
          <w:rFonts w:cs="Arial"/>
          <w:color w:val="auto"/>
          <w:sz w:val="16"/>
          <w:szCs w:val="16"/>
          <w:u w:color="FFFFFF" w:themeColor="background1"/>
          <w:lang w:val="en-AU"/>
        </w:rPr>
        <w:t>17/12</w:t>
      </w:r>
      <w:r w:rsidRPr="00A11CC5">
        <w:rPr>
          <w:rFonts w:cs="Arial"/>
          <w:color w:val="auto"/>
          <w:sz w:val="16"/>
          <w:szCs w:val="16"/>
          <w:u w:color="FFFFFF" w:themeColor="background1"/>
          <w:lang w:val="en-AU"/>
        </w:rPr>
        <w:t>/2018</w:t>
      </w:r>
      <w:r w:rsidR="00B00FA2">
        <w:rPr>
          <w:rFonts w:cs="Arial"/>
          <w:color w:val="auto"/>
          <w:sz w:val="16"/>
          <w:szCs w:val="16"/>
          <w:u w:color="FFFFFF" w:themeColor="background1"/>
          <w:lang w:val="en-AU"/>
        </w:rPr>
        <w:t xml:space="preserve"> from </w:t>
      </w:r>
      <w:r>
        <w:rPr>
          <w:rFonts w:cs="Arial"/>
          <w:color w:val="auto"/>
          <w:sz w:val="16"/>
          <w:szCs w:val="16"/>
          <w:u w:color="FFFFFF" w:themeColor="background1"/>
          <w:lang w:val="en-AU"/>
        </w:rPr>
        <w:t>Expenditure &amp; Activity Report</w:t>
      </w:r>
      <w:r w:rsidR="009A41EF">
        <w:rPr>
          <w:rFonts w:cs="Arial"/>
          <w:color w:val="auto"/>
          <w:sz w:val="16"/>
          <w:szCs w:val="16"/>
          <w:u w:color="FFFFFF" w:themeColor="background1"/>
          <w:lang w:val="en-AU"/>
        </w:rPr>
        <w:t>s</w:t>
      </w:r>
      <w:r>
        <w:rPr>
          <w:rFonts w:cs="Arial"/>
          <w:color w:val="auto"/>
          <w:sz w:val="16"/>
          <w:szCs w:val="16"/>
          <w:u w:color="FFFFFF" w:themeColor="background1"/>
          <w:lang w:val="en-AU"/>
        </w:rPr>
        <w:t xml:space="preserve"> </w:t>
      </w:r>
      <w:r w:rsidR="00DC544C">
        <w:rPr>
          <w:rFonts w:cs="Arial"/>
          <w:color w:val="auto"/>
          <w:sz w:val="16"/>
          <w:szCs w:val="16"/>
          <w:u w:color="FFFFFF" w:themeColor="background1"/>
          <w:lang w:val="en-AU"/>
        </w:rPr>
        <w:t>on</w:t>
      </w:r>
      <w:r w:rsidR="009A41EF" w:rsidRPr="009A41EF">
        <w:rPr>
          <w:rFonts w:cs="Arial"/>
          <w:color w:val="auto"/>
          <w:sz w:val="16"/>
          <w:szCs w:val="16"/>
          <w:u w:color="FFFFFF" w:themeColor="background1"/>
          <w:lang w:val="en-AU"/>
        </w:rPr>
        <w:t xml:space="preserve"> </w:t>
      </w:r>
      <w:r w:rsidR="009A41EF">
        <w:rPr>
          <w:rFonts w:cs="Arial"/>
          <w:color w:val="auto"/>
          <w:sz w:val="16"/>
          <w:szCs w:val="16"/>
          <w:u w:color="FFFFFF" w:themeColor="background1"/>
          <w:lang w:val="en-AU"/>
        </w:rPr>
        <w:t>Min</w:t>
      </w:r>
      <w:r w:rsidR="00DC544C">
        <w:rPr>
          <w:rFonts w:cs="Arial"/>
          <w:color w:val="auto"/>
          <w:sz w:val="16"/>
          <w:szCs w:val="16"/>
          <w:u w:color="FFFFFF" w:themeColor="background1"/>
          <w:lang w:val="en-AU"/>
        </w:rPr>
        <w:t xml:space="preserve">ing and Prospecting licences </w:t>
      </w:r>
      <w:r w:rsidR="009A41EF">
        <w:rPr>
          <w:rFonts w:cs="Arial"/>
          <w:color w:val="auto"/>
          <w:sz w:val="16"/>
          <w:szCs w:val="16"/>
          <w:u w:color="FFFFFF" w:themeColor="background1"/>
          <w:lang w:val="en-AU"/>
        </w:rPr>
        <w:t>received from the industry</w:t>
      </w:r>
      <w:r w:rsidR="00DC544C">
        <w:rPr>
          <w:rFonts w:cs="Arial"/>
          <w:color w:val="auto"/>
          <w:sz w:val="16"/>
          <w:szCs w:val="16"/>
          <w:u w:color="FFFFFF" w:themeColor="background1"/>
          <w:lang w:val="en-AU"/>
        </w:rPr>
        <w:t xml:space="preserve"> (84%)</w:t>
      </w:r>
      <w:r w:rsidR="009A41EF">
        <w:rPr>
          <w:rFonts w:cs="Arial"/>
          <w:color w:val="auto"/>
          <w:sz w:val="16"/>
          <w:szCs w:val="16"/>
          <w:u w:color="FFFFFF" w:themeColor="background1"/>
          <w:lang w:val="en-AU"/>
        </w:rPr>
        <w:t>.</w:t>
      </w:r>
    </w:p>
    <w:p w14:paraId="41C4E917" w14:textId="77777777" w:rsidR="00994B34" w:rsidRPr="00A11CC5" w:rsidRDefault="00994B34" w:rsidP="00A23DBD">
      <w:pPr>
        <w:spacing w:after="120" w:line="240" w:lineRule="auto"/>
        <w:jc w:val="both"/>
        <w:rPr>
          <w:rFonts w:eastAsia="Times New Roman" w:cs="Arial"/>
          <w:color w:val="auto"/>
          <w:sz w:val="16"/>
          <w:szCs w:val="16"/>
          <w:u w:color="FFFFFF" w:themeColor="background1"/>
          <w:lang w:val="en-AU"/>
        </w:rPr>
      </w:pPr>
    </w:p>
    <w:p w14:paraId="3A2EE7AE" w14:textId="77777777" w:rsidR="00CC35CB" w:rsidRPr="00A11CC5" w:rsidRDefault="00CC35CB" w:rsidP="008A56F5">
      <w:pPr>
        <w:spacing w:after="0" w:line="240" w:lineRule="auto"/>
        <w:jc w:val="both"/>
        <w:rPr>
          <w:rFonts w:eastAsia="Times New Roman" w:cs="Arial"/>
          <w:color w:val="auto"/>
          <w:sz w:val="16"/>
          <w:szCs w:val="16"/>
          <w:u w:color="FFFFFF" w:themeColor="background1"/>
          <w:lang w:val="en-AU"/>
        </w:rPr>
      </w:pPr>
    </w:p>
    <w:p w14:paraId="347ACD43" w14:textId="1CD8B689" w:rsidR="001504E0" w:rsidRDefault="001504E0" w:rsidP="001504E0">
      <w:pPr>
        <w:spacing w:after="0"/>
        <w:jc w:val="both"/>
        <w:rPr>
          <w:rFonts w:cs="Arial"/>
          <w:b/>
          <w:color w:val="auto"/>
          <w:u w:color="FFFFFF" w:themeColor="background1"/>
          <w:lang w:val="en-AU"/>
        </w:rPr>
      </w:pPr>
      <w:r w:rsidRPr="00A11CC5">
        <w:rPr>
          <w:rFonts w:cs="Arial"/>
          <w:b/>
          <w:color w:val="auto"/>
          <w:u w:color="FFFFFF" w:themeColor="background1"/>
          <w:lang w:val="en-AU"/>
        </w:rPr>
        <w:t xml:space="preserve">Table </w:t>
      </w:r>
      <w:r w:rsidR="002B7F82" w:rsidRPr="00A11CC5">
        <w:rPr>
          <w:rFonts w:cs="Arial"/>
          <w:b/>
          <w:color w:val="auto"/>
          <w:u w:color="FFFFFF" w:themeColor="background1"/>
          <w:lang w:val="en-AU"/>
        </w:rPr>
        <w:t>2</w:t>
      </w:r>
      <w:r w:rsidR="00F21245">
        <w:rPr>
          <w:rFonts w:cs="Arial"/>
          <w:b/>
          <w:color w:val="auto"/>
          <w:u w:color="FFFFFF" w:themeColor="background1"/>
          <w:lang w:val="en-AU"/>
        </w:rPr>
        <w:t>.12</w:t>
      </w:r>
      <w:r w:rsidRPr="00A11CC5">
        <w:rPr>
          <w:rFonts w:cs="Arial"/>
          <w:b/>
          <w:color w:val="auto"/>
          <w:u w:color="FFFFFF" w:themeColor="background1"/>
          <w:lang w:val="en-AU"/>
        </w:rPr>
        <w:t xml:space="preserve"> Mineral production sales values (A$ million) </w:t>
      </w:r>
    </w:p>
    <w:p w14:paraId="66214F04" w14:textId="77777777" w:rsidR="00C12064" w:rsidRDefault="00C12064" w:rsidP="001504E0">
      <w:pPr>
        <w:spacing w:after="0"/>
        <w:jc w:val="both"/>
        <w:rPr>
          <w:rFonts w:cs="Arial"/>
          <w:b/>
          <w:color w:val="auto"/>
          <w:u w:color="FFFFFF" w:themeColor="background1"/>
          <w:lang w:val="en-AU"/>
        </w:rPr>
      </w:pPr>
    </w:p>
    <w:tbl>
      <w:tblPr>
        <w:tblStyle w:val="GridTable4-Accent1"/>
        <w:tblW w:w="10070" w:type="dxa"/>
        <w:tblLayout w:type="fixed"/>
        <w:tblLook w:val="04A0" w:firstRow="1" w:lastRow="0" w:firstColumn="1" w:lastColumn="0" w:noHBand="0" w:noVBand="1"/>
        <w:tblCaption w:val="Mineral production over time"/>
        <w:tblDescription w:val="Mineral type against year from 2011-2016 including percent change each year."/>
      </w:tblPr>
      <w:tblGrid>
        <w:gridCol w:w="989"/>
        <w:gridCol w:w="632"/>
        <w:gridCol w:w="926"/>
        <w:gridCol w:w="1019"/>
        <w:gridCol w:w="1674"/>
        <w:gridCol w:w="1847"/>
        <w:gridCol w:w="1843"/>
        <w:gridCol w:w="1140"/>
      </w:tblGrid>
      <w:tr w:rsidR="005776BE" w:rsidRPr="00A11CC5" w14:paraId="50ABE6C9" w14:textId="125471DB" w:rsidTr="001079DF">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491" w:type="pct"/>
            <w:vAlign w:val="center"/>
            <w:hideMark/>
          </w:tcPr>
          <w:p w14:paraId="26E137D4" w14:textId="77777777" w:rsidR="005776BE" w:rsidRPr="00A34342" w:rsidRDefault="005776BE" w:rsidP="00A14D3C">
            <w:pPr>
              <w:pStyle w:val="bodycopy"/>
              <w:jc w:val="center"/>
              <w:rPr>
                <w:rFonts w:eastAsia="Times New Roman"/>
                <w:color w:val="FFFFFF" w:themeColor="background1"/>
                <w:sz w:val="16"/>
                <w:szCs w:val="16"/>
                <w:u w:color="FFFFFF" w:themeColor="background1"/>
                <w:lang w:val="en-AU"/>
              </w:rPr>
            </w:pPr>
            <w:r w:rsidRPr="00A34342">
              <w:rPr>
                <w:rFonts w:eastAsia="Times New Roman"/>
                <w:color w:val="FFFFFF" w:themeColor="background1"/>
                <w:sz w:val="16"/>
                <w:szCs w:val="16"/>
                <w:u w:color="FFFFFF" w:themeColor="background1"/>
                <w:lang w:val="en-AU"/>
              </w:rPr>
              <w:t>Year</w:t>
            </w:r>
          </w:p>
        </w:tc>
        <w:tc>
          <w:tcPr>
            <w:tcW w:w="314" w:type="pct"/>
            <w:vAlign w:val="center"/>
            <w:hideMark/>
          </w:tcPr>
          <w:p w14:paraId="29277EA8" w14:textId="50BF205E" w:rsidR="005776BE" w:rsidRPr="00A34342" w:rsidRDefault="005776BE" w:rsidP="00A14D3C">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6"/>
                <w:szCs w:val="16"/>
                <w:u w:color="FFFFFF" w:themeColor="background1"/>
                <w:lang w:val="en-AU"/>
              </w:rPr>
            </w:pPr>
            <w:r w:rsidRPr="00A34342">
              <w:rPr>
                <w:rFonts w:eastAsia="Times New Roman"/>
                <w:color w:val="FFFFFF" w:themeColor="background1"/>
                <w:sz w:val="16"/>
                <w:szCs w:val="16"/>
                <w:u w:color="FFFFFF" w:themeColor="background1"/>
                <w:lang w:val="en-AU"/>
              </w:rPr>
              <w:t>Coal</w:t>
            </w:r>
            <w:r w:rsidR="0024397A">
              <w:rPr>
                <w:rFonts w:eastAsia="Times New Roman"/>
                <w:color w:val="FFFFFF" w:themeColor="background1"/>
                <w:sz w:val="16"/>
                <w:szCs w:val="16"/>
                <w:u w:color="FFFFFF" w:themeColor="background1"/>
                <w:lang w:val="en-AU"/>
              </w:rPr>
              <w:t>*</w:t>
            </w:r>
          </w:p>
        </w:tc>
        <w:tc>
          <w:tcPr>
            <w:tcW w:w="460" w:type="pct"/>
            <w:vAlign w:val="center"/>
            <w:hideMark/>
          </w:tcPr>
          <w:p w14:paraId="6B32C72C" w14:textId="77777777" w:rsidR="005776BE" w:rsidRPr="00A34342" w:rsidRDefault="005776BE" w:rsidP="00A14D3C">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6"/>
                <w:szCs w:val="16"/>
                <w:u w:color="FFFFFF" w:themeColor="background1"/>
                <w:lang w:val="en-AU"/>
              </w:rPr>
            </w:pPr>
            <w:r w:rsidRPr="00A34342">
              <w:rPr>
                <w:rFonts w:eastAsia="Times New Roman"/>
                <w:color w:val="FFFFFF" w:themeColor="background1"/>
                <w:sz w:val="16"/>
                <w:szCs w:val="16"/>
                <w:u w:color="FFFFFF" w:themeColor="background1"/>
                <w:lang w:val="en-AU"/>
              </w:rPr>
              <w:t>Gold</w:t>
            </w:r>
          </w:p>
        </w:tc>
        <w:tc>
          <w:tcPr>
            <w:tcW w:w="506" w:type="pct"/>
            <w:vAlign w:val="center"/>
            <w:hideMark/>
          </w:tcPr>
          <w:p w14:paraId="160FE284" w14:textId="77777777" w:rsidR="005776BE" w:rsidRPr="00A34342" w:rsidRDefault="005776BE" w:rsidP="00A14D3C">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6"/>
                <w:szCs w:val="16"/>
                <w:u w:color="FFFFFF" w:themeColor="background1"/>
                <w:lang w:val="en-AU"/>
              </w:rPr>
            </w:pPr>
            <w:r w:rsidRPr="00A34342">
              <w:rPr>
                <w:rFonts w:eastAsia="Times New Roman"/>
                <w:color w:val="FFFFFF" w:themeColor="background1"/>
                <w:sz w:val="16"/>
                <w:szCs w:val="16"/>
                <w:u w:color="FFFFFF" w:themeColor="background1"/>
                <w:lang w:val="en-AU"/>
              </w:rPr>
              <w:t>Antimony</w:t>
            </w:r>
          </w:p>
        </w:tc>
        <w:tc>
          <w:tcPr>
            <w:tcW w:w="831" w:type="pct"/>
            <w:vAlign w:val="center"/>
            <w:hideMark/>
          </w:tcPr>
          <w:p w14:paraId="7A719B6B" w14:textId="77777777" w:rsidR="005776BE" w:rsidRPr="00A34342" w:rsidRDefault="005776BE" w:rsidP="00A14D3C">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6"/>
                <w:szCs w:val="16"/>
                <w:u w:color="FFFFFF" w:themeColor="background1"/>
                <w:lang w:val="en-AU"/>
              </w:rPr>
            </w:pPr>
            <w:r w:rsidRPr="00A34342">
              <w:rPr>
                <w:rFonts w:eastAsia="Times New Roman"/>
                <w:color w:val="FFFFFF" w:themeColor="background1"/>
                <w:sz w:val="16"/>
                <w:szCs w:val="16"/>
                <w:u w:color="FFFFFF" w:themeColor="background1"/>
                <w:lang w:val="en-AU"/>
              </w:rPr>
              <w:t>Mineral Sands (</w:t>
            </w:r>
            <w:r w:rsidRPr="00A34342">
              <w:rPr>
                <w:b w:val="0"/>
                <w:color w:val="FFFFFF" w:themeColor="background1"/>
                <w:u w:color="FFFFFF" w:themeColor="background1"/>
                <w:lang w:val="en-AU"/>
              </w:rPr>
              <w:t>Zircon, Rutile, Ilmenite)</w:t>
            </w:r>
          </w:p>
        </w:tc>
        <w:tc>
          <w:tcPr>
            <w:tcW w:w="917" w:type="pct"/>
            <w:vAlign w:val="center"/>
            <w:hideMark/>
          </w:tcPr>
          <w:p w14:paraId="73646449" w14:textId="77777777" w:rsidR="005776BE" w:rsidRPr="00A34342" w:rsidRDefault="005776BE" w:rsidP="00A14D3C">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6"/>
                <w:szCs w:val="16"/>
                <w:u w:color="FFFFFF" w:themeColor="background1"/>
                <w:lang w:val="en-AU"/>
              </w:rPr>
            </w:pPr>
            <w:r w:rsidRPr="0024397A">
              <w:rPr>
                <w:color w:val="FFFFFF" w:themeColor="background1"/>
                <w:u w:color="FFFFFF" w:themeColor="background1"/>
                <w:lang w:val="en-AU"/>
              </w:rPr>
              <w:t>Industrial Minerals</w:t>
            </w:r>
            <w:r w:rsidRPr="00A34342">
              <w:rPr>
                <w:b w:val="0"/>
                <w:color w:val="FFFFFF" w:themeColor="background1"/>
                <w:u w:color="FFFFFF" w:themeColor="background1"/>
                <w:lang w:val="en-AU"/>
              </w:rPr>
              <w:t xml:space="preserve"> (Feldspar, Gypsum, Kaolin &amp; fine clay)</w:t>
            </w:r>
          </w:p>
        </w:tc>
        <w:tc>
          <w:tcPr>
            <w:tcW w:w="915" w:type="pct"/>
            <w:vAlign w:val="center"/>
            <w:hideMark/>
          </w:tcPr>
          <w:p w14:paraId="6D682DA4" w14:textId="69169911" w:rsidR="005776BE" w:rsidRPr="00A34342" w:rsidRDefault="005776BE" w:rsidP="00A14D3C">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sz w:val="16"/>
                <w:szCs w:val="16"/>
                <w:u w:color="FFFFFF" w:themeColor="background1"/>
                <w:lang w:val="en-AU"/>
              </w:rPr>
            </w:pPr>
            <w:r w:rsidRPr="00A34342">
              <w:rPr>
                <w:rFonts w:eastAsia="Times New Roman"/>
                <w:color w:val="FFFFFF" w:themeColor="background1"/>
                <w:sz w:val="16"/>
                <w:szCs w:val="16"/>
                <w:u w:color="FFFFFF" w:themeColor="background1"/>
                <w:lang w:val="en-AU"/>
              </w:rPr>
              <w:t xml:space="preserve">Others </w:t>
            </w:r>
            <w:r w:rsidRPr="0024397A">
              <w:rPr>
                <w:rFonts w:eastAsia="Times New Roman"/>
                <w:b w:val="0"/>
                <w:color w:val="FFFFFF" w:themeColor="background1"/>
                <w:sz w:val="16"/>
                <w:szCs w:val="16"/>
                <w:u w:color="FFFFFF" w:themeColor="background1"/>
                <w:lang w:val="en-AU"/>
              </w:rPr>
              <w:t>(including silver, peat and quartz</w:t>
            </w:r>
            <w:r w:rsidR="0024397A">
              <w:rPr>
                <w:rFonts w:eastAsia="Times New Roman"/>
                <w:b w:val="0"/>
                <w:color w:val="FFFFFF" w:themeColor="background1"/>
                <w:sz w:val="16"/>
                <w:szCs w:val="16"/>
                <w:u w:color="FFFFFF" w:themeColor="background1"/>
                <w:lang w:val="en-AU"/>
              </w:rPr>
              <w:t>)</w:t>
            </w:r>
          </w:p>
        </w:tc>
        <w:tc>
          <w:tcPr>
            <w:tcW w:w="566" w:type="pct"/>
            <w:vAlign w:val="center"/>
          </w:tcPr>
          <w:p w14:paraId="4CA08AD7" w14:textId="5FD1B62A" w:rsidR="005776BE" w:rsidRPr="00A34342" w:rsidRDefault="005776BE" w:rsidP="00A14D3C">
            <w:pPr>
              <w:pStyle w:val="bodycopy"/>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6"/>
                <w:szCs w:val="16"/>
                <w:u w:color="FFFFFF" w:themeColor="background1"/>
                <w:lang w:val="en-AU"/>
              </w:rPr>
            </w:pPr>
            <w:r>
              <w:rPr>
                <w:rFonts w:eastAsia="Times New Roman"/>
                <w:color w:val="FFFFFF" w:themeColor="background1"/>
                <w:sz w:val="16"/>
                <w:szCs w:val="16"/>
                <w:u w:color="FFFFFF" w:themeColor="background1"/>
                <w:lang w:val="en-AU"/>
              </w:rPr>
              <w:t>Total</w:t>
            </w:r>
          </w:p>
        </w:tc>
      </w:tr>
      <w:tr w:rsidR="004641FC" w:rsidRPr="00A11CC5" w14:paraId="4AFC14D3" w14:textId="45FB415B" w:rsidTr="004641F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91" w:type="pct"/>
            <w:noWrap/>
            <w:vAlign w:val="center"/>
            <w:hideMark/>
          </w:tcPr>
          <w:p w14:paraId="4B191247" w14:textId="77777777" w:rsidR="004641FC" w:rsidRPr="004641FC" w:rsidRDefault="004641FC" w:rsidP="004641FC">
            <w:pPr>
              <w:pStyle w:val="bodycopy"/>
              <w:jc w:val="center"/>
              <w:rPr>
                <w:rFonts w:eastAsia="Times New Roman"/>
                <w:b w:val="0"/>
                <w:color w:val="auto"/>
                <w:sz w:val="16"/>
                <w:szCs w:val="16"/>
                <w:u w:color="FFFFFF" w:themeColor="background1"/>
                <w:lang w:val="en-AU"/>
              </w:rPr>
            </w:pPr>
            <w:r w:rsidRPr="004641FC">
              <w:rPr>
                <w:rFonts w:eastAsia="Times New Roman"/>
                <w:b w:val="0"/>
                <w:color w:val="auto"/>
                <w:sz w:val="16"/>
                <w:szCs w:val="16"/>
                <w:u w:color="FFFFFF" w:themeColor="background1"/>
                <w:lang w:val="en-AU"/>
              </w:rPr>
              <w:t>2012-13</w:t>
            </w:r>
          </w:p>
        </w:tc>
        <w:tc>
          <w:tcPr>
            <w:tcW w:w="314" w:type="pct"/>
            <w:noWrap/>
            <w:vAlign w:val="center"/>
            <w:hideMark/>
          </w:tcPr>
          <w:p w14:paraId="1BDF0098" w14:textId="152B93AB"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sz w:val="16"/>
                <w:szCs w:val="16"/>
              </w:rPr>
              <w:t>N/A</w:t>
            </w:r>
          </w:p>
        </w:tc>
        <w:tc>
          <w:tcPr>
            <w:tcW w:w="460" w:type="pct"/>
            <w:noWrap/>
            <w:vAlign w:val="center"/>
            <w:hideMark/>
          </w:tcPr>
          <w:p w14:paraId="552686AF" w14:textId="659A6B81"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$333.1</w:t>
            </w:r>
          </w:p>
        </w:tc>
        <w:tc>
          <w:tcPr>
            <w:tcW w:w="506" w:type="pct"/>
            <w:noWrap/>
            <w:vAlign w:val="center"/>
            <w:hideMark/>
          </w:tcPr>
          <w:p w14:paraId="4209BBA5" w14:textId="5B08CB9E"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$30.8</w:t>
            </w:r>
          </w:p>
        </w:tc>
        <w:tc>
          <w:tcPr>
            <w:tcW w:w="831" w:type="pct"/>
            <w:noWrap/>
            <w:vAlign w:val="center"/>
            <w:hideMark/>
          </w:tcPr>
          <w:p w14:paraId="0A707B24" w14:textId="541F364F"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$282.7</w:t>
            </w:r>
          </w:p>
        </w:tc>
        <w:tc>
          <w:tcPr>
            <w:tcW w:w="917" w:type="pct"/>
            <w:noWrap/>
            <w:vAlign w:val="center"/>
            <w:hideMark/>
          </w:tcPr>
          <w:p w14:paraId="1830D186" w14:textId="7FA149E7"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$12.8</w:t>
            </w:r>
          </w:p>
        </w:tc>
        <w:tc>
          <w:tcPr>
            <w:tcW w:w="915" w:type="pct"/>
            <w:noWrap/>
            <w:vAlign w:val="center"/>
            <w:hideMark/>
          </w:tcPr>
          <w:p w14:paraId="23E2B30F" w14:textId="4CF46706"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$0.3</w:t>
            </w:r>
          </w:p>
        </w:tc>
        <w:tc>
          <w:tcPr>
            <w:tcW w:w="566" w:type="pct"/>
            <w:vAlign w:val="center"/>
          </w:tcPr>
          <w:p w14:paraId="53072570" w14:textId="309B780C"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4641FC">
              <w:rPr>
                <w:color w:val="auto"/>
              </w:rPr>
              <w:t>$659.7</w:t>
            </w:r>
          </w:p>
        </w:tc>
      </w:tr>
      <w:tr w:rsidR="004641FC" w:rsidRPr="00A11CC5" w14:paraId="553BD732" w14:textId="54340A4F" w:rsidTr="004641FC">
        <w:trPr>
          <w:trHeight w:val="416"/>
        </w:trPr>
        <w:tc>
          <w:tcPr>
            <w:cnfStyle w:val="001000000000" w:firstRow="0" w:lastRow="0" w:firstColumn="1" w:lastColumn="0" w:oddVBand="0" w:evenVBand="0" w:oddHBand="0" w:evenHBand="0" w:firstRowFirstColumn="0" w:firstRowLastColumn="0" w:lastRowFirstColumn="0" w:lastRowLastColumn="0"/>
            <w:tcW w:w="491" w:type="pct"/>
            <w:noWrap/>
            <w:vAlign w:val="center"/>
            <w:hideMark/>
          </w:tcPr>
          <w:p w14:paraId="43B7BC57" w14:textId="77777777" w:rsidR="004641FC" w:rsidRPr="004641FC" w:rsidRDefault="004641FC" w:rsidP="004641FC">
            <w:pPr>
              <w:pStyle w:val="bodycopy"/>
              <w:jc w:val="center"/>
              <w:rPr>
                <w:rFonts w:eastAsia="Times New Roman"/>
                <w:b w:val="0"/>
                <w:color w:val="auto"/>
                <w:sz w:val="16"/>
                <w:szCs w:val="16"/>
                <w:u w:color="FFFFFF" w:themeColor="background1"/>
                <w:lang w:val="en-AU"/>
              </w:rPr>
            </w:pPr>
            <w:r w:rsidRPr="004641FC">
              <w:rPr>
                <w:rFonts w:eastAsia="Times New Roman"/>
                <w:b w:val="0"/>
                <w:color w:val="auto"/>
                <w:sz w:val="16"/>
                <w:szCs w:val="16"/>
                <w:u w:color="FFFFFF" w:themeColor="background1"/>
                <w:lang w:val="en-AU"/>
              </w:rPr>
              <w:t>2013-14</w:t>
            </w:r>
          </w:p>
        </w:tc>
        <w:tc>
          <w:tcPr>
            <w:tcW w:w="314" w:type="pct"/>
            <w:noWrap/>
            <w:vAlign w:val="center"/>
            <w:hideMark/>
          </w:tcPr>
          <w:p w14:paraId="7AC13FB3" w14:textId="6BE0FFD8"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sz w:val="16"/>
                <w:szCs w:val="16"/>
              </w:rPr>
              <w:t>N/A</w:t>
            </w:r>
          </w:p>
        </w:tc>
        <w:tc>
          <w:tcPr>
            <w:tcW w:w="460" w:type="pct"/>
            <w:noWrap/>
            <w:vAlign w:val="center"/>
            <w:hideMark/>
          </w:tcPr>
          <w:p w14:paraId="62B5BE05" w14:textId="13E53106"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$303.4</w:t>
            </w:r>
          </w:p>
        </w:tc>
        <w:tc>
          <w:tcPr>
            <w:tcW w:w="506" w:type="pct"/>
            <w:noWrap/>
            <w:vAlign w:val="center"/>
            <w:hideMark/>
          </w:tcPr>
          <w:p w14:paraId="7147B9BA" w14:textId="588DD9F3"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$12.5</w:t>
            </w:r>
          </w:p>
        </w:tc>
        <w:tc>
          <w:tcPr>
            <w:tcW w:w="831" w:type="pct"/>
            <w:noWrap/>
            <w:vAlign w:val="center"/>
            <w:hideMark/>
          </w:tcPr>
          <w:p w14:paraId="67AD14B2" w14:textId="7601EA48"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$316.5</w:t>
            </w:r>
          </w:p>
        </w:tc>
        <w:tc>
          <w:tcPr>
            <w:tcW w:w="917" w:type="pct"/>
            <w:noWrap/>
            <w:vAlign w:val="center"/>
            <w:hideMark/>
          </w:tcPr>
          <w:p w14:paraId="75FFE1E1" w14:textId="1E1843F9"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$14.1</w:t>
            </w:r>
          </w:p>
        </w:tc>
        <w:tc>
          <w:tcPr>
            <w:tcW w:w="915" w:type="pct"/>
            <w:noWrap/>
            <w:vAlign w:val="center"/>
            <w:hideMark/>
          </w:tcPr>
          <w:p w14:paraId="7489602F" w14:textId="71D56309"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$0.2</w:t>
            </w:r>
          </w:p>
        </w:tc>
        <w:tc>
          <w:tcPr>
            <w:tcW w:w="566" w:type="pct"/>
            <w:vAlign w:val="center"/>
          </w:tcPr>
          <w:p w14:paraId="6B7C639F" w14:textId="553905A4"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641FC">
              <w:rPr>
                <w:color w:val="auto"/>
              </w:rPr>
              <w:t>$646.7</w:t>
            </w:r>
          </w:p>
        </w:tc>
      </w:tr>
      <w:tr w:rsidR="004641FC" w:rsidRPr="00A11CC5" w14:paraId="5D291C5D" w14:textId="1E06AC52" w:rsidTr="004641F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91" w:type="pct"/>
            <w:noWrap/>
            <w:vAlign w:val="center"/>
          </w:tcPr>
          <w:p w14:paraId="73BB7732" w14:textId="77777777" w:rsidR="004641FC" w:rsidRPr="004641FC" w:rsidRDefault="004641FC" w:rsidP="004641FC">
            <w:pPr>
              <w:pStyle w:val="bodycopy"/>
              <w:jc w:val="center"/>
              <w:rPr>
                <w:rFonts w:eastAsia="Times New Roman"/>
                <w:b w:val="0"/>
                <w:color w:val="auto"/>
                <w:sz w:val="16"/>
                <w:szCs w:val="16"/>
                <w:u w:color="FFFFFF" w:themeColor="background1"/>
                <w:lang w:val="en-AU"/>
              </w:rPr>
            </w:pPr>
            <w:r w:rsidRPr="004641FC">
              <w:rPr>
                <w:rFonts w:eastAsia="Times New Roman"/>
                <w:b w:val="0"/>
                <w:color w:val="auto"/>
                <w:sz w:val="16"/>
                <w:szCs w:val="16"/>
                <w:u w:color="FFFFFF" w:themeColor="background1"/>
                <w:lang w:val="en-AU"/>
              </w:rPr>
              <w:t>2014-15</w:t>
            </w:r>
          </w:p>
        </w:tc>
        <w:tc>
          <w:tcPr>
            <w:tcW w:w="314" w:type="pct"/>
            <w:noWrap/>
            <w:vAlign w:val="center"/>
          </w:tcPr>
          <w:p w14:paraId="79D8B7CA" w14:textId="33F55A93"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sz w:val="16"/>
                <w:szCs w:val="16"/>
              </w:rPr>
              <w:t>N/A</w:t>
            </w:r>
          </w:p>
        </w:tc>
        <w:tc>
          <w:tcPr>
            <w:tcW w:w="460" w:type="pct"/>
            <w:noWrap/>
            <w:vAlign w:val="center"/>
          </w:tcPr>
          <w:p w14:paraId="0A0FBFB1" w14:textId="44BAF0A3"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$286.9</w:t>
            </w:r>
          </w:p>
        </w:tc>
        <w:tc>
          <w:tcPr>
            <w:tcW w:w="506" w:type="pct"/>
            <w:noWrap/>
            <w:vAlign w:val="center"/>
          </w:tcPr>
          <w:p w14:paraId="19398DCB" w14:textId="08CF94A2"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$37.8</w:t>
            </w:r>
          </w:p>
        </w:tc>
        <w:tc>
          <w:tcPr>
            <w:tcW w:w="831" w:type="pct"/>
            <w:noWrap/>
            <w:vAlign w:val="center"/>
          </w:tcPr>
          <w:p w14:paraId="500169D4" w14:textId="0DDA778F"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$185.1</w:t>
            </w:r>
          </w:p>
        </w:tc>
        <w:tc>
          <w:tcPr>
            <w:tcW w:w="917" w:type="pct"/>
            <w:noWrap/>
            <w:vAlign w:val="center"/>
          </w:tcPr>
          <w:p w14:paraId="6145D5FC" w14:textId="7BE266B9"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$10.2</w:t>
            </w:r>
          </w:p>
        </w:tc>
        <w:tc>
          <w:tcPr>
            <w:tcW w:w="915" w:type="pct"/>
            <w:noWrap/>
            <w:vAlign w:val="center"/>
          </w:tcPr>
          <w:p w14:paraId="4F2F1AEF" w14:textId="05F2958D"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$0.1</w:t>
            </w:r>
          </w:p>
        </w:tc>
        <w:tc>
          <w:tcPr>
            <w:tcW w:w="566" w:type="pct"/>
            <w:vAlign w:val="center"/>
          </w:tcPr>
          <w:p w14:paraId="010D8C73" w14:textId="6AE8BF9E"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4641FC">
              <w:rPr>
                <w:color w:val="auto"/>
              </w:rPr>
              <w:t>$520.1</w:t>
            </w:r>
          </w:p>
        </w:tc>
      </w:tr>
      <w:tr w:rsidR="004641FC" w:rsidRPr="00A11CC5" w14:paraId="3D4877EE" w14:textId="7FD1D644" w:rsidTr="004641FC">
        <w:trPr>
          <w:trHeight w:val="416"/>
        </w:trPr>
        <w:tc>
          <w:tcPr>
            <w:cnfStyle w:val="001000000000" w:firstRow="0" w:lastRow="0" w:firstColumn="1" w:lastColumn="0" w:oddVBand="0" w:evenVBand="0" w:oddHBand="0" w:evenHBand="0" w:firstRowFirstColumn="0" w:firstRowLastColumn="0" w:lastRowFirstColumn="0" w:lastRowLastColumn="0"/>
            <w:tcW w:w="491" w:type="pct"/>
            <w:noWrap/>
            <w:vAlign w:val="center"/>
          </w:tcPr>
          <w:p w14:paraId="0D31F7F3" w14:textId="77777777" w:rsidR="004641FC" w:rsidRPr="004641FC" w:rsidRDefault="004641FC" w:rsidP="004641FC">
            <w:pPr>
              <w:pStyle w:val="bodycopy"/>
              <w:jc w:val="center"/>
              <w:rPr>
                <w:rFonts w:eastAsia="Times New Roman"/>
                <w:b w:val="0"/>
                <w:color w:val="auto"/>
                <w:sz w:val="16"/>
                <w:szCs w:val="16"/>
                <w:u w:color="FFFFFF" w:themeColor="background1"/>
                <w:lang w:val="en-AU"/>
              </w:rPr>
            </w:pPr>
            <w:r w:rsidRPr="004641FC">
              <w:rPr>
                <w:rFonts w:eastAsia="Times New Roman"/>
                <w:b w:val="0"/>
                <w:color w:val="auto"/>
                <w:sz w:val="16"/>
                <w:szCs w:val="16"/>
                <w:u w:color="FFFFFF" w:themeColor="background1"/>
                <w:lang w:val="en-AU"/>
              </w:rPr>
              <w:t>2015-16</w:t>
            </w:r>
          </w:p>
        </w:tc>
        <w:tc>
          <w:tcPr>
            <w:tcW w:w="314" w:type="pct"/>
            <w:noWrap/>
            <w:vAlign w:val="center"/>
          </w:tcPr>
          <w:p w14:paraId="5101E8C9" w14:textId="7F251B32"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sz w:val="16"/>
                <w:szCs w:val="16"/>
              </w:rPr>
              <w:t>N/A</w:t>
            </w:r>
          </w:p>
        </w:tc>
        <w:tc>
          <w:tcPr>
            <w:tcW w:w="460" w:type="pct"/>
            <w:noWrap/>
            <w:vAlign w:val="center"/>
          </w:tcPr>
          <w:p w14:paraId="514C5A1C" w14:textId="2F8C99A1"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$411.4</w:t>
            </w:r>
          </w:p>
        </w:tc>
        <w:tc>
          <w:tcPr>
            <w:tcW w:w="506" w:type="pct"/>
            <w:noWrap/>
            <w:vAlign w:val="center"/>
          </w:tcPr>
          <w:p w14:paraId="7929BE02" w14:textId="3A150832"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$30.6</w:t>
            </w:r>
          </w:p>
        </w:tc>
        <w:tc>
          <w:tcPr>
            <w:tcW w:w="831" w:type="pct"/>
            <w:noWrap/>
            <w:vAlign w:val="center"/>
          </w:tcPr>
          <w:p w14:paraId="516B4AC3" w14:textId="0C4EA1AE"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$175.9</w:t>
            </w:r>
          </w:p>
        </w:tc>
        <w:tc>
          <w:tcPr>
            <w:tcW w:w="917" w:type="pct"/>
            <w:noWrap/>
            <w:vAlign w:val="center"/>
          </w:tcPr>
          <w:p w14:paraId="1C1FF462" w14:textId="128D6255"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$10.0</w:t>
            </w:r>
          </w:p>
        </w:tc>
        <w:tc>
          <w:tcPr>
            <w:tcW w:w="915" w:type="pct"/>
            <w:noWrap/>
            <w:vAlign w:val="center"/>
          </w:tcPr>
          <w:p w14:paraId="10EF0967" w14:textId="4B6DCA0E"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$0.6</w:t>
            </w:r>
          </w:p>
        </w:tc>
        <w:tc>
          <w:tcPr>
            <w:tcW w:w="566" w:type="pct"/>
            <w:vAlign w:val="center"/>
          </w:tcPr>
          <w:p w14:paraId="3015DB47" w14:textId="27863B40"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641FC">
              <w:rPr>
                <w:color w:val="auto"/>
              </w:rPr>
              <w:t>$628.5</w:t>
            </w:r>
          </w:p>
        </w:tc>
      </w:tr>
      <w:tr w:rsidR="004641FC" w:rsidRPr="00A11CC5" w14:paraId="47826C2E" w14:textId="5189F973" w:rsidTr="004641F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91" w:type="pct"/>
            <w:noWrap/>
            <w:vAlign w:val="center"/>
          </w:tcPr>
          <w:p w14:paraId="202DB231" w14:textId="77777777" w:rsidR="004641FC" w:rsidRPr="004641FC" w:rsidRDefault="004641FC" w:rsidP="004641FC">
            <w:pPr>
              <w:pStyle w:val="bodycopy"/>
              <w:jc w:val="center"/>
              <w:rPr>
                <w:rFonts w:eastAsia="Times New Roman"/>
                <w:b w:val="0"/>
                <w:color w:val="auto"/>
                <w:sz w:val="16"/>
                <w:szCs w:val="16"/>
                <w:u w:color="FFFFFF" w:themeColor="background1"/>
                <w:lang w:val="en-AU"/>
              </w:rPr>
            </w:pPr>
            <w:r w:rsidRPr="004641FC">
              <w:rPr>
                <w:rFonts w:eastAsia="Times New Roman"/>
                <w:b w:val="0"/>
                <w:color w:val="auto"/>
                <w:sz w:val="16"/>
                <w:szCs w:val="16"/>
                <w:u w:color="FFFFFF" w:themeColor="background1"/>
                <w:lang w:val="en-AU"/>
              </w:rPr>
              <w:t>2016-17</w:t>
            </w:r>
          </w:p>
        </w:tc>
        <w:tc>
          <w:tcPr>
            <w:tcW w:w="314" w:type="pct"/>
            <w:noWrap/>
            <w:vAlign w:val="center"/>
          </w:tcPr>
          <w:p w14:paraId="1419B548" w14:textId="4A8A5819"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sz w:val="16"/>
                <w:szCs w:val="16"/>
              </w:rPr>
              <w:t>N/A</w:t>
            </w:r>
          </w:p>
        </w:tc>
        <w:tc>
          <w:tcPr>
            <w:tcW w:w="460" w:type="pct"/>
            <w:noWrap/>
            <w:vAlign w:val="center"/>
          </w:tcPr>
          <w:p w14:paraId="394C3677" w14:textId="6BD9FC14"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$519.8</w:t>
            </w:r>
          </w:p>
        </w:tc>
        <w:tc>
          <w:tcPr>
            <w:tcW w:w="506" w:type="pct"/>
            <w:noWrap/>
            <w:vAlign w:val="center"/>
          </w:tcPr>
          <w:p w14:paraId="3BD24C9F" w14:textId="70CD4E68"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$33.6</w:t>
            </w:r>
          </w:p>
        </w:tc>
        <w:tc>
          <w:tcPr>
            <w:tcW w:w="831" w:type="pct"/>
            <w:noWrap/>
            <w:vAlign w:val="center"/>
          </w:tcPr>
          <w:p w14:paraId="0DD23DFE" w14:textId="07D71BBE"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$188.5</w:t>
            </w:r>
          </w:p>
        </w:tc>
        <w:tc>
          <w:tcPr>
            <w:tcW w:w="917" w:type="pct"/>
            <w:noWrap/>
            <w:vAlign w:val="center"/>
          </w:tcPr>
          <w:p w14:paraId="55A0DEA9" w14:textId="342AAFBF"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$8.0</w:t>
            </w:r>
          </w:p>
        </w:tc>
        <w:tc>
          <w:tcPr>
            <w:tcW w:w="915" w:type="pct"/>
            <w:noWrap/>
            <w:vAlign w:val="center"/>
          </w:tcPr>
          <w:p w14:paraId="178AEBBD" w14:textId="2A294660"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16"/>
                <w:szCs w:val="16"/>
                <w:u w:color="FFFFFF" w:themeColor="background1"/>
                <w:lang w:val="en-AU"/>
              </w:rPr>
            </w:pPr>
            <w:r w:rsidRPr="004641FC">
              <w:rPr>
                <w:color w:val="auto"/>
              </w:rPr>
              <w:t>$0.2</w:t>
            </w:r>
          </w:p>
        </w:tc>
        <w:tc>
          <w:tcPr>
            <w:tcW w:w="566" w:type="pct"/>
            <w:vAlign w:val="center"/>
          </w:tcPr>
          <w:p w14:paraId="353395A2" w14:textId="482B4CC5" w:rsidR="004641FC" w:rsidRPr="004641FC" w:rsidRDefault="004641FC" w:rsidP="004641FC">
            <w:pPr>
              <w:pStyle w:val="bodycopy"/>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4641FC">
              <w:rPr>
                <w:color w:val="auto"/>
              </w:rPr>
              <w:t>$750.1</w:t>
            </w:r>
          </w:p>
        </w:tc>
      </w:tr>
      <w:tr w:rsidR="004641FC" w:rsidRPr="00455ED7" w14:paraId="0D0F8B57" w14:textId="17002E10" w:rsidTr="004641FC">
        <w:trPr>
          <w:trHeight w:val="416"/>
        </w:trPr>
        <w:tc>
          <w:tcPr>
            <w:cnfStyle w:val="001000000000" w:firstRow="0" w:lastRow="0" w:firstColumn="1" w:lastColumn="0" w:oddVBand="0" w:evenVBand="0" w:oddHBand="0" w:evenHBand="0" w:firstRowFirstColumn="0" w:firstRowLastColumn="0" w:lastRowFirstColumn="0" w:lastRowLastColumn="0"/>
            <w:tcW w:w="491" w:type="pct"/>
            <w:noWrap/>
            <w:vAlign w:val="center"/>
          </w:tcPr>
          <w:p w14:paraId="717CF53A" w14:textId="29658A4D" w:rsidR="004641FC" w:rsidRPr="004641FC" w:rsidRDefault="004641FC" w:rsidP="004641FC">
            <w:pPr>
              <w:pStyle w:val="bodycopy"/>
              <w:jc w:val="center"/>
              <w:rPr>
                <w:rFonts w:eastAsia="Times New Roman"/>
                <w:b w:val="0"/>
                <w:color w:val="auto"/>
                <w:sz w:val="16"/>
                <w:szCs w:val="16"/>
                <w:u w:color="FFFFFF" w:themeColor="background1"/>
                <w:lang w:val="en-AU"/>
              </w:rPr>
            </w:pPr>
            <w:r w:rsidRPr="004641FC">
              <w:rPr>
                <w:rFonts w:eastAsia="Times New Roman"/>
                <w:b w:val="0"/>
                <w:color w:val="auto"/>
                <w:sz w:val="16"/>
                <w:szCs w:val="16"/>
                <w:u w:color="FFFFFF" w:themeColor="background1"/>
                <w:lang w:val="en-AU"/>
              </w:rPr>
              <w:t>2017-18^</w:t>
            </w:r>
          </w:p>
        </w:tc>
        <w:tc>
          <w:tcPr>
            <w:tcW w:w="314" w:type="pct"/>
            <w:noWrap/>
            <w:vAlign w:val="center"/>
          </w:tcPr>
          <w:p w14:paraId="61D8AE13" w14:textId="04C39D26"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641FC">
              <w:rPr>
                <w:color w:val="auto"/>
                <w:sz w:val="16"/>
                <w:szCs w:val="16"/>
              </w:rPr>
              <w:t>N/A</w:t>
            </w:r>
          </w:p>
        </w:tc>
        <w:tc>
          <w:tcPr>
            <w:tcW w:w="460" w:type="pct"/>
            <w:noWrap/>
            <w:vAlign w:val="center"/>
          </w:tcPr>
          <w:p w14:paraId="509B006B" w14:textId="18FD7339"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641FC">
              <w:rPr>
                <w:color w:val="auto"/>
              </w:rPr>
              <w:t>$613.3</w:t>
            </w:r>
          </w:p>
        </w:tc>
        <w:tc>
          <w:tcPr>
            <w:tcW w:w="506" w:type="pct"/>
            <w:noWrap/>
            <w:vAlign w:val="center"/>
          </w:tcPr>
          <w:p w14:paraId="656BE9D4" w14:textId="24A339B4"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641FC">
              <w:rPr>
                <w:color w:val="auto"/>
              </w:rPr>
              <w:t>$28.2</w:t>
            </w:r>
          </w:p>
        </w:tc>
        <w:tc>
          <w:tcPr>
            <w:tcW w:w="831" w:type="pct"/>
            <w:noWrap/>
            <w:vAlign w:val="center"/>
          </w:tcPr>
          <w:p w14:paraId="77F64580" w14:textId="2A4D9CF3"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641FC">
              <w:rPr>
                <w:color w:val="auto"/>
              </w:rPr>
              <w:t>$172.6</w:t>
            </w:r>
          </w:p>
        </w:tc>
        <w:tc>
          <w:tcPr>
            <w:tcW w:w="917" w:type="pct"/>
            <w:noWrap/>
            <w:vAlign w:val="center"/>
          </w:tcPr>
          <w:p w14:paraId="3DD53763" w14:textId="2FBDC804"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641FC">
              <w:rPr>
                <w:color w:val="auto"/>
              </w:rPr>
              <w:t>$11.6</w:t>
            </w:r>
          </w:p>
        </w:tc>
        <w:tc>
          <w:tcPr>
            <w:tcW w:w="915" w:type="pct"/>
            <w:noWrap/>
            <w:vAlign w:val="center"/>
          </w:tcPr>
          <w:p w14:paraId="37BA9C6B" w14:textId="3D4CAE37"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641FC">
              <w:rPr>
                <w:color w:val="auto"/>
              </w:rPr>
              <w:t>$0.2</w:t>
            </w:r>
          </w:p>
        </w:tc>
        <w:tc>
          <w:tcPr>
            <w:tcW w:w="566" w:type="pct"/>
            <w:vAlign w:val="center"/>
          </w:tcPr>
          <w:p w14:paraId="7CF3D6DA" w14:textId="6A969273" w:rsidR="004641FC" w:rsidRPr="004641FC" w:rsidRDefault="004641FC" w:rsidP="004641FC">
            <w:pPr>
              <w:pStyle w:val="bodycopy"/>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4641FC">
              <w:rPr>
                <w:color w:val="auto"/>
              </w:rPr>
              <w:t>$</w:t>
            </w:r>
            <w:r w:rsidR="009D54B3">
              <w:rPr>
                <w:color w:val="auto"/>
              </w:rPr>
              <w:t>825.9</w:t>
            </w:r>
          </w:p>
        </w:tc>
      </w:tr>
      <w:tr w:rsidR="00A14D3C" w:rsidRPr="00A11CC5" w14:paraId="242EAFFC" w14:textId="31866E7E" w:rsidTr="001079DF">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91" w:type="pct"/>
            <w:noWrap/>
            <w:vAlign w:val="center"/>
            <w:hideMark/>
          </w:tcPr>
          <w:p w14:paraId="2861539C" w14:textId="77777777" w:rsidR="005776BE" w:rsidRPr="00A14D3C" w:rsidRDefault="005776BE" w:rsidP="00A14D3C">
            <w:pPr>
              <w:pStyle w:val="bodycopy"/>
              <w:jc w:val="center"/>
              <w:rPr>
                <w:rFonts w:eastAsia="Times New Roman"/>
                <w:b w:val="0"/>
                <w:color w:val="808080" w:themeColor="background1" w:themeShade="80"/>
                <w:sz w:val="14"/>
                <w:u w:color="FFFFFF" w:themeColor="background1"/>
                <w:lang w:val="en-AU"/>
              </w:rPr>
            </w:pPr>
            <w:r w:rsidRPr="00A14D3C">
              <w:rPr>
                <w:rFonts w:eastAsia="Times New Roman"/>
                <w:b w:val="0"/>
                <w:color w:val="808080" w:themeColor="background1" w:themeShade="80"/>
                <w:sz w:val="14"/>
                <w:u w:color="FFFFFF" w:themeColor="background1"/>
                <w:lang w:val="en-AU"/>
              </w:rPr>
              <w:t>Change</w:t>
            </w:r>
            <w:r w:rsidRPr="00A14D3C">
              <w:rPr>
                <w:rFonts w:eastAsia="Times New Roman"/>
                <w:b w:val="0"/>
                <w:color w:val="808080" w:themeColor="background1" w:themeShade="80"/>
                <w:sz w:val="14"/>
                <w:u w:color="FFFFFF" w:themeColor="background1"/>
                <w:lang w:val="en-AU"/>
              </w:rPr>
              <w:br/>
              <w:t>year-on-year (%)</w:t>
            </w:r>
          </w:p>
        </w:tc>
        <w:tc>
          <w:tcPr>
            <w:tcW w:w="314" w:type="pct"/>
            <w:noWrap/>
            <w:vAlign w:val="center"/>
          </w:tcPr>
          <w:p w14:paraId="38D15AB1" w14:textId="3E2A7DD8" w:rsidR="005776BE" w:rsidRPr="00A14D3C" w:rsidRDefault="005776BE" w:rsidP="00A14D3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808080" w:themeColor="background1" w:themeShade="80"/>
                <w:sz w:val="16"/>
                <w:szCs w:val="16"/>
                <w:u w:color="FFFFFF" w:themeColor="background1"/>
                <w:lang w:val="en-AU"/>
              </w:rPr>
            </w:pPr>
            <w:r w:rsidRPr="00A14D3C">
              <w:rPr>
                <w:color w:val="808080" w:themeColor="background1" w:themeShade="80"/>
                <w:sz w:val="16"/>
                <w:szCs w:val="16"/>
              </w:rPr>
              <w:t>N/A</w:t>
            </w:r>
          </w:p>
        </w:tc>
        <w:tc>
          <w:tcPr>
            <w:tcW w:w="460" w:type="pct"/>
            <w:noWrap/>
            <w:vAlign w:val="center"/>
          </w:tcPr>
          <w:p w14:paraId="52911C08" w14:textId="151DD8C2" w:rsidR="005776BE" w:rsidRPr="00A14D3C" w:rsidRDefault="00B904CF" w:rsidP="00A14D3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808080" w:themeColor="background1" w:themeShade="80"/>
                <w:sz w:val="16"/>
                <w:szCs w:val="16"/>
                <w:u w:color="FFFFFF" w:themeColor="background1"/>
                <w:lang w:val="en-AU"/>
              </w:rPr>
            </w:pPr>
            <w:r>
              <w:rPr>
                <w:color w:val="808080" w:themeColor="background1" w:themeShade="80"/>
                <w:sz w:val="16"/>
                <w:szCs w:val="16"/>
              </w:rPr>
              <w:t>18.0</w:t>
            </w:r>
            <w:r w:rsidR="005776BE" w:rsidRPr="00A14D3C">
              <w:rPr>
                <w:color w:val="808080" w:themeColor="background1" w:themeShade="80"/>
                <w:sz w:val="16"/>
                <w:szCs w:val="16"/>
              </w:rPr>
              <w:t>%</w:t>
            </w:r>
          </w:p>
        </w:tc>
        <w:tc>
          <w:tcPr>
            <w:tcW w:w="506" w:type="pct"/>
            <w:noWrap/>
            <w:vAlign w:val="center"/>
          </w:tcPr>
          <w:p w14:paraId="23ED2FAE" w14:textId="5D352AEA" w:rsidR="005776BE" w:rsidRPr="00A14D3C" w:rsidRDefault="005776BE" w:rsidP="00A14D3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808080" w:themeColor="background1" w:themeShade="80"/>
                <w:sz w:val="16"/>
                <w:szCs w:val="16"/>
                <w:u w:color="FFFFFF" w:themeColor="background1"/>
                <w:lang w:val="en-AU"/>
              </w:rPr>
            </w:pPr>
            <w:r w:rsidRPr="00A14D3C">
              <w:rPr>
                <w:color w:val="808080" w:themeColor="background1" w:themeShade="80"/>
                <w:sz w:val="16"/>
                <w:szCs w:val="16"/>
              </w:rPr>
              <w:t>-16.1%</w:t>
            </w:r>
          </w:p>
        </w:tc>
        <w:tc>
          <w:tcPr>
            <w:tcW w:w="831" w:type="pct"/>
            <w:noWrap/>
            <w:vAlign w:val="center"/>
          </w:tcPr>
          <w:p w14:paraId="5D4AF8B5" w14:textId="6121E3B0" w:rsidR="005776BE" w:rsidRPr="00A14D3C" w:rsidRDefault="005776BE" w:rsidP="00A14D3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808080" w:themeColor="background1" w:themeShade="80"/>
                <w:sz w:val="16"/>
                <w:szCs w:val="16"/>
                <w:u w:color="FFFFFF" w:themeColor="background1"/>
                <w:lang w:val="en-AU"/>
              </w:rPr>
            </w:pPr>
            <w:r w:rsidRPr="00A14D3C">
              <w:rPr>
                <w:color w:val="808080" w:themeColor="background1" w:themeShade="80"/>
                <w:sz w:val="16"/>
                <w:szCs w:val="16"/>
              </w:rPr>
              <w:t>-8.4%</w:t>
            </w:r>
          </w:p>
        </w:tc>
        <w:tc>
          <w:tcPr>
            <w:tcW w:w="917" w:type="pct"/>
            <w:noWrap/>
            <w:vAlign w:val="center"/>
          </w:tcPr>
          <w:p w14:paraId="20341112" w14:textId="22DC7968" w:rsidR="005776BE" w:rsidRPr="00A14D3C" w:rsidRDefault="00B904CF" w:rsidP="00A14D3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808080" w:themeColor="background1" w:themeShade="80"/>
                <w:sz w:val="16"/>
                <w:szCs w:val="16"/>
                <w:u w:color="FFFFFF" w:themeColor="background1"/>
                <w:lang w:val="en-AU"/>
              </w:rPr>
            </w:pPr>
            <w:r>
              <w:rPr>
                <w:color w:val="808080" w:themeColor="background1" w:themeShade="80"/>
                <w:sz w:val="16"/>
                <w:szCs w:val="16"/>
              </w:rPr>
              <w:t>45.0</w:t>
            </w:r>
            <w:r w:rsidR="005776BE" w:rsidRPr="00A14D3C">
              <w:rPr>
                <w:color w:val="808080" w:themeColor="background1" w:themeShade="80"/>
                <w:sz w:val="16"/>
                <w:szCs w:val="16"/>
              </w:rPr>
              <w:t>%</w:t>
            </w:r>
          </w:p>
        </w:tc>
        <w:tc>
          <w:tcPr>
            <w:tcW w:w="915" w:type="pct"/>
            <w:noWrap/>
            <w:vAlign w:val="center"/>
          </w:tcPr>
          <w:p w14:paraId="087FA6CD" w14:textId="709F31D8" w:rsidR="005776BE" w:rsidRPr="00A14D3C" w:rsidRDefault="005776BE" w:rsidP="00A14D3C">
            <w:pPr>
              <w:pStyle w:val="bodycopy"/>
              <w:jc w:val="center"/>
              <w:cnfStyle w:val="000000100000" w:firstRow="0" w:lastRow="0" w:firstColumn="0" w:lastColumn="0" w:oddVBand="0" w:evenVBand="0" w:oddHBand="1" w:evenHBand="0" w:firstRowFirstColumn="0" w:firstRowLastColumn="0" w:lastRowFirstColumn="0" w:lastRowLastColumn="0"/>
              <w:rPr>
                <w:rFonts w:eastAsia="Times New Roman"/>
                <w:color w:val="808080" w:themeColor="background1" w:themeShade="80"/>
                <w:sz w:val="16"/>
                <w:szCs w:val="16"/>
                <w:u w:color="FFFFFF" w:themeColor="background1"/>
                <w:lang w:val="en-AU"/>
              </w:rPr>
            </w:pPr>
            <w:r w:rsidRPr="00A14D3C">
              <w:rPr>
                <w:color w:val="808080" w:themeColor="background1" w:themeShade="80"/>
                <w:sz w:val="16"/>
                <w:szCs w:val="16"/>
              </w:rPr>
              <w:t>0.0%</w:t>
            </w:r>
          </w:p>
        </w:tc>
        <w:tc>
          <w:tcPr>
            <w:tcW w:w="566" w:type="pct"/>
            <w:vAlign w:val="center"/>
          </w:tcPr>
          <w:p w14:paraId="0D49B703" w14:textId="5A84C951" w:rsidR="005776BE" w:rsidRPr="00A14D3C" w:rsidRDefault="009D54B3" w:rsidP="00A14D3C">
            <w:pPr>
              <w:pStyle w:val="bodycopy"/>
              <w:jc w:val="center"/>
              <w:cnfStyle w:val="000000100000" w:firstRow="0" w:lastRow="0" w:firstColumn="0" w:lastColumn="0" w:oddVBand="0" w:evenVBand="0" w:oddHBand="1" w:evenHBand="0" w:firstRowFirstColumn="0" w:firstRowLastColumn="0" w:lastRowFirstColumn="0" w:lastRowLastColumn="0"/>
              <w:rPr>
                <w:color w:val="808080" w:themeColor="background1" w:themeShade="80"/>
                <w:sz w:val="16"/>
                <w:szCs w:val="16"/>
              </w:rPr>
            </w:pPr>
            <w:r>
              <w:rPr>
                <w:color w:val="808080" w:themeColor="background1" w:themeShade="80"/>
                <w:sz w:val="16"/>
                <w:szCs w:val="16"/>
              </w:rPr>
              <w:t>10.1</w:t>
            </w:r>
            <w:r w:rsidR="00A14D3C" w:rsidRPr="00A14D3C">
              <w:rPr>
                <w:color w:val="808080" w:themeColor="background1" w:themeShade="80"/>
                <w:sz w:val="16"/>
                <w:szCs w:val="16"/>
              </w:rPr>
              <w:t>%</w:t>
            </w:r>
          </w:p>
        </w:tc>
      </w:tr>
    </w:tbl>
    <w:p w14:paraId="2E222227" w14:textId="77777777" w:rsidR="00C12064" w:rsidRDefault="00C12064" w:rsidP="001504E0">
      <w:pPr>
        <w:spacing w:after="0"/>
        <w:jc w:val="both"/>
        <w:rPr>
          <w:rFonts w:cs="Arial"/>
          <w:b/>
          <w:color w:val="auto"/>
          <w:u w:color="FFFFFF" w:themeColor="background1"/>
          <w:lang w:val="en-AU"/>
        </w:rPr>
      </w:pPr>
    </w:p>
    <w:p w14:paraId="7D000A60" w14:textId="77777777" w:rsidR="00C12064" w:rsidRPr="00A11CC5" w:rsidRDefault="00C12064" w:rsidP="001504E0">
      <w:pPr>
        <w:spacing w:after="0"/>
        <w:jc w:val="both"/>
        <w:rPr>
          <w:rFonts w:cs="Arial"/>
          <w:b/>
          <w:color w:val="auto"/>
          <w:u w:color="FFFFFF" w:themeColor="background1"/>
          <w:lang w:val="en-AU"/>
        </w:rPr>
      </w:pPr>
    </w:p>
    <w:p w14:paraId="31014462" w14:textId="39196016" w:rsidR="001504E0" w:rsidRPr="00A11CC5" w:rsidRDefault="001504E0" w:rsidP="002F1970">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r w:rsidRPr="00A11CC5">
        <w:rPr>
          <w:rFonts w:cs="Arial"/>
          <w:u w:color="FFFFFF" w:themeColor="background1"/>
          <w:lang w:val="en-AU"/>
        </w:rPr>
        <w:t xml:space="preserve">, </w:t>
      </w:r>
      <w:r w:rsidR="002B7F82" w:rsidRPr="00A11CC5">
        <w:rPr>
          <w:rFonts w:cs="Arial"/>
          <w:u w:color="FFFFFF" w:themeColor="background1"/>
          <w:lang w:val="en-AU"/>
        </w:rPr>
        <w:t>s</w:t>
      </w:r>
      <w:r w:rsidRPr="00A11CC5">
        <w:rPr>
          <w:rFonts w:cs="Arial"/>
          <w:u w:color="FFFFFF" w:themeColor="background1"/>
          <w:lang w:val="en-AU"/>
        </w:rPr>
        <w:t>tatutory returns under the MRSDA.</w:t>
      </w:r>
    </w:p>
    <w:p w14:paraId="18A92D99" w14:textId="16BFBF30" w:rsidR="001504E0" w:rsidRPr="00A11CC5" w:rsidRDefault="001504E0" w:rsidP="00A23DBD">
      <w:pPr>
        <w:spacing w:after="120"/>
        <w:jc w:val="both"/>
        <w:rPr>
          <w:rFonts w:cs="Arial"/>
          <w:color w:val="auto"/>
          <w:sz w:val="16"/>
          <w:szCs w:val="16"/>
          <w:u w:color="FFFFFF" w:themeColor="background1"/>
          <w:lang w:val="en-AU"/>
        </w:rPr>
      </w:pPr>
      <w:r w:rsidRPr="00A11CC5">
        <w:rPr>
          <w:rFonts w:cs="Arial"/>
          <w:color w:val="auto"/>
          <w:sz w:val="16"/>
          <w:szCs w:val="16"/>
          <w:u w:color="FFFFFF" w:themeColor="background1"/>
          <w:lang w:val="en-AU"/>
        </w:rPr>
        <w:t xml:space="preserve">*No unit value is assigned to coal for the purposes of determining its production value. </w:t>
      </w:r>
      <w:r w:rsidR="00821B81">
        <w:rPr>
          <w:rFonts w:cs="Arial"/>
          <w:color w:val="auto"/>
          <w:sz w:val="16"/>
          <w:szCs w:val="16"/>
          <w:u w:color="FFFFFF" w:themeColor="background1"/>
          <w:lang w:val="en-AU"/>
        </w:rPr>
        <w:t>C</w:t>
      </w:r>
      <w:r w:rsidRPr="00A11CC5">
        <w:rPr>
          <w:rFonts w:cs="Arial"/>
          <w:color w:val="auto"/>
          <w:sz w:val="16"/>
          <w:szCs w:val="16"/>
          <w:u w:color="FFFFFF" w:themeColor="background1"/>
          <w:lang w:val="en-AU"/>
        </w:rPr>
        <w:t xml:space="preserve">oal is almost entirely used for electricity production and is largely an internal transfer within mining/generation entities. As such, there is no available market price for coal. </w:t>
      </w:r>
    </w:p>
    <w:p w14:paraId="50F54419" w14:textId="77777777" w:rsidR="00DC544C" w:rsidRPr="00A11CC5" w:rsidRDefault="00DC544C" w:rsidP="00DC544C">
      <w:pPr>
        <w:spacing w:after="120"/>
        <w:jc w:val="both"/>
        <w:rPr>
          <w:rFonts w:cs="Arial"/>
          <w:color w:val="auto"/>
          <w:sz w:val="16"/>
          <w:szCs w:val="16"/>
          <w:u w:color="FFFFFF" w:themeColor="background1"/>
          <w:lang w:val="en-AU"/>
        </w:rPr>
      </w:pPr>
      <w:r w:rsidRPr="00A11CC5">
        <w:rPr>
          <w:rFonts w:cs="Arial"/>
          <w:color w:val="auto"/>
          <w:sz w:val="16"/>
          <w:szCs w:val="16"/>
          <w:u w:color="FFFFFF" w:themeColor="background1"/>
          <w:lang w:val="en-AU"/>
        </w:rPr>
        <w:t xml:space="preserve">^Data as at </w:t>
      </w:r>
      <w:r>
        <w:rPr>
          <w:rFonts w:cs="Arial"/>
          <w:color w:val="auto"/>
          <w:sz w:val="16"/>
          <w:szCs w:val="16"/>
          <w:u w:color="FFFFFF" w:themeColor="background1"/>
          <w:lang w:val="en-AU"/>
        </w:rPr>
        <w:t>17/12</w:t>
      </w:r>
      <w:r w:rsidRPr="00A11CC5">
        <w:rPr>
          <w:rFonts w:cs="Arial"/>
          <w:color w:val="auto"/>
          <w:sz w:val="16"/>
          <w:szCs w:val="16"/>
          <w:u w:color="FFFFFF" w:themeColor="background1"/>
          <w:lang w:val="en-AU"/>
        </w:rPr>
        <w:t>/2018</w:t>
      </w:r>
      <w:r>
        <w:rPr>
          <w:rFonts w:cs="Arial"/>
          <w:color w:val="auto"/>
          <w:sz w:val="16"/>
          <w:szCs w:val="16"/>
          <w:u w:color="FFFFFF" w:themeColor="background1"/>
          <w:lang w:val="en-AU"/>
        </w:rPr>
        <w:t xml:space="preserve"> from Expenditure &amp; Activity Reports on</w:t>
      </w:r>
      <w:r w:rsidRPr="009A41EF">
        <w:rPr>
          <w:rFonts w:cs="Arial"/>
          <w:color w:val="auto"/>
          <w:sz w:val="16"/>
          <w:szCs w:val="16"/>
          <w:u w:color="FFFFFF" w:themeColor="background1"/>
          <w:lang w:val="en-AU"/>
        </w:rPr>
        <w:t xml:space="preserve"> </w:t>
      </w:r>
      <w:r>
        <w:rPr>
          <w:rFonts w:cs="Arial"/>
          <w:color w:val="auto"/>
          <w:sz w:val="16"/>
          <w:szCs w:val="16"/>
          <w:u w:color="FFFFFF" w:themeColor="background1"/>
          <w:lang w:val="en-AU"/>
        </w:rPr>
        <w:t>Mining and Prospecting licences received from the industry (84%).</w:t>
      </w:r>
    </w:p>
    <w:p w14:paraId="001273ED" w14:textId="77777777" w:rsidR="00EC5096" w:rsidRPr="00A11CC5" w:rsidRDefault="00EC5096" w:rsidP="00EC5096">
      <w:pPr>
        <w:pStyle w:val="BodyText"/>
        <w:spacing w:before="0" w:after="0" w:line="240" w:lineRule="auto"/>
        <w:rPr>
          <w:rFonts w:cs="Arial"/>
          <w:u w:color="FFFFFF" w:themeColor="background1"/>
          <w:lang w:val="en-AU"/>
        </w:rPr>
      </w:pPr>
    </w:p>
    <w:p w14:paraId="5EF60068" w14:textId="77777777" w:rsidR="00A23DBD" w:rsidRPr="00A11CC5" w:rsidRDefault="00A23DBD">
      <w:pPr>
        <w:widowControl/>
        <w:suppressAutoHyphens w:val="0"/>
        <w:autoSpaceDE/>
        <w:autoSpaceDN/>
        <w:adjustRightInd/>
        <w:spacing w:before="200" w:after="200" w:line="276" w:lineRule="auto"/>
        <w:textAlignment w:val="auto"/>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br w:type="page"/>
      </w:r>
    </w:p>
    <w:p w14:paraId="1E7A8BE9" w14:textId="4F4CB739" w:rsidR="001504E0" w:rsidRPr="00A11CC5" w:rsidRDefault="001504E0" w:rsidP="00A23DBD">
      <w:pPr>
        <w:spacing w:before="120" w:after="120" w:line="240" w:lineRule="auto"/>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lastRenderedPageBreak/>
        <w:t xml:space="preserve">Graph </w:t>
      </w:r>
      <w:r w:rsidR="002B7F82" w:rsidRPr="00A11CC5">
        <w:rPr>
          <w:rFonts w:eastAsia="Times New Roman" w:cs="Arial"/>
          <w:b/>
          <w:color w:val="auto"/>
          <w:szCs w:val="24"/>
          <w:u w:color="FFFFFF" w:themeColor="background1"/>
          <w:lang w:val="en-AU"/>
        </w:rPr>
        <w:t>2</w:t>
      </w:r>
      <w:r w:rsidR="00F21245">
        <w:rPr>
          <w:rFonts w:eastAsia="Times New Roman" w:cs="Arial"/>
          <w:b/>
          <w:color w:val="auto"/>
          <w:szCs w:val="24"/>
          <w:u w:color="FFFFFF" w:themeColor="background1"/>
          <w:lang w:val="en-AU"/>
        </w:rPr>
        <w:t>.9</w:t>
      </w:r>
      <w:r w:rsidR="002B7F82" w:rsidRPr="00A11CC5">
        <w:rPr>
          <w:rFonts w:eastAsia="Times New Roman" w:cs="Arial"/>
          <w:b/>
          <w:color w:val="auto"/>
          <w:szCs w:val="24"/>
          <w:u w:color="FFFFFF" w:themeColor="background1"/>
          <w:lang w:val="en-AU"/>
        </w:rPr>
        <w:t xml:space="preserve"> </w:t>
      </w:r>
      <w:r w:rsidRPr="00A11CC5">
        <w:rPr>
          <w:rFonts w:eastAsia="Times New Roman" w:cs="Arial"/>
          <w:b/>
          <w:color w:val="auto"/>
          <w:szCs w:val="24"/>
          <w:u w:color="FFFFFF" w:themeColor="background1"/>
          <w:lang w:val="en-AU"/>
        </w:rPr>
        <w:t>Gold production (ounces) by year</w:t>
      </w:r>
    </w:p>
    <w:p w14:paraId="5E562549" w14:textId="415F7C9D" w:rsidR="00EE2AAD" w:rsidRDefault="006742CB" w:rsidP="00A23DBD">
      <w:pPr>
        <w:spacing w:before="120" w:after="120" w:line="240" w:lineRule="auto"/>
        <w:rPr>
          <w:rFonts w:eastAsia="Times New Roman" w:cs="Arial"/>
          <w:color w:val="auto"/>
          <w:szCs w:val="24"/>
          <w:u w:color="FFFFFF" w:themeColor="background1"/>
          <w:lang w:val="en-AU"/>
        </w:rPr>
      </w:pPr>
      <w:r>
        <w:rPr>
          <w:rFonts w:eastAsia="Times New Roman" w:cs="Arial"/>
          <w:color w:val="auto"/>
          <w:szCs w:val="24"/>
          <w:u w:color="FFFFFF" w:themeColor="background1"/>
          <w:lang w:val="en-AU"/>
        </w:rPr>
        <w:t>Gold production for 2017-18</w:t>
      </w:r>
      <w:r w:rsidR="00EE2AAD" w:rsidRPr="00A11CC5">
        <w:rPr>
          <w:rFonts w:eastAsia="Times New Roman" w:cs="Arial"/>
          <w:color w:val="auto"/>
          <w:szCs w:val="24"/>
          <w:u w:color="FFFFFF" w:themeColor="background1"/>
          <w:lang w:val="en-AU"/>
        </w:rPr>
        <w:t xml:space="preserve"> was </w:t>
      </w:r>
      <w:r w:rsidR="00B904CF">
        <w:rPr>
          <w:rFonts w:eastAsia="Times New Roman" w:cs="Arial"/>
          <w:color w:val="auto"/>
          <w:szCs w:val="24"/>
          <w:u w:color="FFFFFF" w:themeColor="background1"/>
          <w:lang w:val="en-AU"/>
        </w:rPr>
        <w:t>364,225</w:t>
      </w:r>
      <w:r w:rsidR="00EE2AAD" w:rsidRPr="00A11CC5">
        <w:rPr>
          <w:rFonts w:eastAsia="Times New Roman" w:cs="Arial"/>
          <w:color w:val="auto"/>
          <w:szCs w:val="24"/>
          <w:u w:color="FFFFFF" w:themeColor="background1"/>
          <w:lang w:val="en-AU"/>
        </w:rPr>
        <w:t xml:space="preserve"> o</w:t>
      </w:r>
      <w:r w:rsidR="00D37E9A" w:rsidRPr="00A11CC5">
        <w:rPr>
          <w:rFonts w:eastAsia="Times New Roman" w:cs="Arial"/>
          <w:color w:val="auto"/>
          <w:szCs w:val="24"/>
          <w:u w:color="FFFFFF" w:themeColor="background1"/>
          <w:lang w:val="en-AU"/>
        </w:rPr>
        <w:t>unces, the highest in the last six</w:t>
      </w:r>
      <w:r w:rsidR="00EE2AAD" w:rsidRPr="00A11CC5">
        <w:rPr>
          <w:rFonts w:eastAsia="Times New Roman" w:cs="Arial"/>
          <w:color w:val="auto"/>
          <w:szCs w:val="24"/>
          <w:u w:color="FFFFFF" w:themeColor="background1"/>
          <w:lang w:val="en-AU"/>
        </w:rPr>
        <w:t xml:space="preserve"> years</w:t>
      </w:r>
      <w:r w:rsidR="00D37E9A" w:rsidRPr="00A11CC5">
        <w:rPr>
          <w:rFonts w:eastAsia="Times New Roman" w:cs="Arial"/>
          <w:color w:val="auto"/>
          <w:szCs w:val="24"/>
          <w:u w:color="FFFFFF" w:themeColor="background1"/>
          <w:lang w:val="en-AU"/>
        </w:rPr>
        <w:t>.</w:t>
      </w:r>
    </w:p>
    <w:p w14:paraId="69BBB4EF" w14:textId="3FA88044" w:rsidR="00A14D3C" w:rsidRPr="00A11CC5" w:rsidRDefault="00C5355B" w:rsidP="00A23DBD">
      <w:pPr>
        <w:spacing w:before="120" w:after="120" w:line="240" w:lineRule="auto"/>
        <w:rPr>
          <w:rFonts w:eastAsia="Times New Roman" w:cs="Arial"/>
          <w:color w:val="auto"/>
          <w:szCs w:val="24"/>
          <w:u w:color="FFFFFF" w:themeColor="background1"/>
          <w:lang w:val="en-AU"/>
        </w:rPr>
      </w:pPr>
      <w:r>
        <w:rPr>
          <w:rFonts w:eastAsia="Times New Roman" w:cs="Arial"/>
          <w:noProof/>
          <w:color w:val="auto"/>
          <w:szCs w:val="24"/>
          <w:u w:color="FFFFFF" w:themeColor="background1"/>
          <w:lang w:val="en-AU"/>
        </w:rPr>
        <w:drawing>
          <wp:inline distT="0" distB="0" distL="0" distR="0" wp14:anchorId="3E4D9063" wp14:editId="2AAF907F">
            <wp:extent cx="6547449" cy="3200400"/>
            <wp:effectExtent l="0" t="0" r="635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40D634C" w14:textId="075D0228" w:rsidR="00A23DBD" w:rsidRPr="00A11CC5" w:rsidRDefault="001504E0" w:rsidP="002F1970">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p>
    <w:p w14:paraId="50A72B4E" w14:textId="77777777" w:rsidR="00EE2AAD" w:rsidRPr="00A11CC5" w:rsidRDefault="00EE2AAD" w:rsidP="00EE2AAD">
      <w:pPr>
        <w:rPr>
          <w:color w:val="auto"/>
          <w:lang w:val="en-AU"/>
        </w:rPr>
      </w:pPr>
    </w:p>
    <w:p w14:paraId="3835413A" w14:textId="77777777" w:rsidR="00EE2AAD" w:rsidRPr="00A11CC5" w:rsidRDefault="00EE2AAD" w:rsidP="00EE2AAD">
      <w:pPr>
        <w:rPr>
          <w:color w:val="auto"/>
          <w:lang w:val="en-AU"/>
        </w:rPr>
      </w:pPr>
    </w:p>
    <w:p w14:paraId="6E142B81" w14:textId="77777777" w:rsidR="00EE2AAD" w:rsidRPr="00A11CC5" w:rsidRDefault="00EE2AAD" w:rsidP="00EE2AAD">
      <w:pPr>
        <w:rPr>
          <w:color w:val="auto"/>
          <w:lang w:val="en-AU"/>
        </w:rPr>
      </w:pPr>
    </w:p>
    <w:p w14:paraId="16D5E11D" w14:textId="77777777" w:rsidR="00EE2AAD" w:rsidRPr="00A11CC5" w:rsidRDefault="00EE2AAD" w:rsidP="00EE2AAD">
      <w:pPr>
        <w:rPr>
          <w:color w:val="auto"/>
          <w:lang w:val="en-AU"/>
        </w:rPr>
      </w:pPr>
    </w:p>
    <w:p w14:paraId="2629C2B8" w14:textId="77777777" w:rsidR="00EE2AAD" w:rsidRPr="00A11CC5" w:rsidRDefault="00EE2AAD" w:rsidP="00EE2AAD">
      <w:pPr>
        <w:rPr>
          <w:color w:val="auto"/>
          <w:lang w:val="en-AU"/>
        </w:rPr>
      </w:pPr>
    </w:p>
    <w:p w14:paraId="2B1FD4A0" w14:textId="3C8EA920" w:rsidR="001504E0" w:rsidRPr="00A11CC5" w:rsidRDefault="001504E0" w:rsidP="00A23DBD">
      <w:pPr>
        <w:spacing w:before="120" w:after="120"/>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 xml:space="preserve">Table </w:t>
      </w:r>
      <w:r w:rsidR="00D87E96">
        <w:rPr>
          <w:rFonts w:eastAsia="Times New Roman" w:cs="Arial"/>
          <w:b/>
          <w:color w:val="auto"/>
          <w:szCs w:val="24"/>
          <w:u w:color="FFFFFF" w:themeColor="background1"/>
          <w:lang w:val="en-AU"/>
        </w:rPr>
        <w:t>2</w:t>
      </w:r>
      <w:r w:rsidR="00DA02F0">
        <w:rPr>
          <w:rFonts w:eastAsia="Times New Roman" w:cs="Arial"/>
          <w:b/>
          <w:color w:val="auto"/>
          <w:szCs w:val="24"/>
          <w:u w:color="FFFFFF" w:themeColor="background1"/>
          <w:lang w:val="en-AU"/>
        </w:rPr>
        <w:t>.</w:t>
      </w:r>
      <w:r w:rsidR="00D87E96">
        <w:rPr>
          <w:rFonts w:eastAsia="Times New Roman" w:cs="Arial"/>
          <w:b/>
          <w:color w:val="auto"/>
          <w:szCs w:val="24"/>
          <w:u w:color="FFFFFF" w:themeColor="background1"/>
          <w:lang w:val="en-AU"/>
        </w:rPr>
        <w:t>1</w:t>
      </w:r>
      <w:r w:rsidR="00F21245">
        <w:rPr>
          <w:rFonts w:eastAsia="Times New Roman" w:cs="Arial"/>
          <w:b/>
          <w:color w:val="auto"/>
          <w:szCs w:val="24"/>
          <w:u w:color="FFFFFF" w:themeColor="background1"/>
          <w:lang w:val="en-AU"/>
        </w:rPr>
        <w:t>3</w:t>
      </w:r>
      <w:r w:rsidRPr="00A11CC5">
        <w:rPr>
          <w:rFonts w:eastAsia="Times New Roman" w:cs="Arial"/>
          <w:b/>
          <w:color w:val="auto"/>
          <w:szCs w:val="24"/>
          <w:u w:color="FFFFFF" w:themeColor="background1"/>
          <w:lang w:val="en-AU"/>
        </w:rPr>
        <w:t xml:space="preserve"> </w:t>
      </w:r>
      <w:r w:rsidR="00D87E96">
        <w:rPr>
          <w:rFonts w:eastAsia="Times New Roman" w:cs="Arial"/>
          <w:b/>
          <w:color w:val="auto"/>
          <w:szCs w:val="24"/>
          <w:u w:color="FFFFFF" w:themeColor="background1"/>
          <w:lang w:val="en-AU"/>
        </w:rPr>
        <w:t>Coal</w:t>
      </w:r>
      <w:r w:rsidRPr="00A11CC5">
        <w:rPr>
          <w:rFonts w:eastAsia="Times New Roman" w:cs="Arial"/>
          <w:b/>
          <w:color w:val="auto"/>
          <w:szCs w:val="24"/>
          <w:u w:color="FFFFFF" w:themeColor="background1"/>
          <w:lang w:val="en-AU"/>
        </w:rPr>
        <w:t xml:space="preserve"> production (</w:t>
      </w:r>
      <w:r w:rsidR="000F4FE9" w:rsidRPr="00A11CC5">
        <w:rPr>
          <w:rFonts w:eastAsia="Times New Roman" w:cs="Arial"/>
          <w:b/>
          <w:color w:val="auto"/>
          <w:szCs w:val="24"/>
          <w:u w:color="FFFFFF" w:themeColor="background1"/>
          <w:lang w:val="en-AU"/>
        </w:rPr>
        <w:t>‘000</w:t>
      </w:r>
      <w:r w:rsidRPr="00A11CC5">
        <w:rPr>
          <w:rFonts w:eastAsia="Times New Roman" w:cs="Arial"/>
          <w:b/>
          <w:color w:val="auto"/>
          <w:szCs w:val="24"/>
          <w:u w:color="FFFFFF" w:themeColor="background1"/>
          <w:lang w:val="en-AU"/>
        </w:rPr>
        <w:t xml:space="preserve"> tonnes) by year</w:t>
      </w:r>
      <w:r w:rsidR="006742CB">
        <w:rPr>
          <w:rFonts w:eastAsia="Times New Roman" w:cs="Arial"/>
          <w:b/>
          <w:color w:val="auto"/>
          <w:szCs w:val="24"/>
          <w:u w:color="FFFFFF" w:themeColor="background1"/>
          <w:lang w:val="en-AU"/>
        </w:rPr>
        <w:t xml:space="preserve"> and producer</w:t>
      </w:r>
    </w:p>
    <w:tbl>
      <w:tblPr>
        <w:tblStyle w:val="GridTable4-Accent1"/>
        <w:tblW w:w="5187" w:type="pct"/>
        <w:tblLook w:val="0520" w:firstRow="1" w:lastRow="0" w:firstColumn="0" w:lastColumn="1" w:noHBand="0" w:noVBand="1"/>
        <w:tblCaption w:val="Table of Brown coal production"/>
        <w:tblDescription w:val="Brown coal processing of Maddingley Brown Coal Co, Alcoa, Loy Yang, Yallourn, Hazelwood including their annual totals. Maddingly has declinded from 19 to 0.02 in the last year, averaging around 20 since 2011. The trends have remained consistent for Alcoa (average of 1,00) and Loy Yang (around the 30,000 average). Yallourn dropped from 17,000 to 12,000 in 2012-13 and recovered to 17,000 in 2014-15. Hazelwood has steadily declined from 20,000 to 14,000. The annual total has reduced by around 10,000 units through the 2011-26 combined period."/>
      </w:tblPr>
      <w:tblGrid>
        <w:gridCol w:w="1498"/>
        <w:gridCol w:w="1498"/>
        <w:gridCol w:w="1496"/>
        <w:gridCol w:w="1494"/>
        <w:gridCol w:w="1494"/>
        <w:gridCol w:w="1494"/>
        <w:gridCol w:w="1473"/>
      </w:tblGrid>
      <w:tr w:rsidR="00A11CC5" w:rsidRPr="00A11CC5" w14:paraId="76347ADF" w14:textId="77777777" w:rsidTr="00D227EC">
        <w:trPr>
          <w:cnfStyle w:val="100000000000" w:firstRow="1" w:lastRow="0" w:firstColumn="0" w:lastColumn="0" w:oddVBand="0" w:evenVBand="0" w:oddHBand="0" w:evenHBand="0" w:firstRowFirstColumn="0" w:firstRowLastColumn="0" w:lastRowFirstColumn="0" w:lastRowLastColumn="0"/>
          <w:trHeight w:val="903"/>
        </w:trPr>
        <w:tc>
          <w:tcPr>
            <w:tcW w:w="717" w:type="pct"/>
            <w:vAlign w:val="center"/>
          </w:tcPr>
          <w:p w14:paraId="7F2CD869" w14:textId="77777777" w:rsidR="0017424A" w:rsidRPr="00F608A7" w:rsidRDefault="0017424A" w:rsidP="00D227EC">
            <w:pPr>
              <w:spacing w:before="120" w:after="120"/>
              <w:jc w:val="center"/>
              <w:rPr>
                <w:rFonts w:eastAsia="Times New Roman" w:cs="Arial"/>
                <w:b w:val="0"/>
                <w:color w:val="FFFFFF" w:themeColor="background1"/>
                <w:szCs w:val="24"/>
                <w:u w:color="FFFFFF" w:themeColor="background1"/>
                <w:lang w:val="en-AU"/>
              </w:rPr>
            </w:pPr>
            <w:bookmarkStart w:id="9" w:name="_Hlt125448789"/>
            <w:bookmarkEnd w:id="9"/>
            <w:r w:rsidRPr="00F608A7">
              <w:rPr>
                <w:rFonts w:eastAsia="Times New Roman" w:cs="Arial"/>
                <w:color w:val="FFFFFF" w:themeColor="background1"/>
                <w:szCs w:val="24"/>
                <w:u w:color="FFFFFF" w:themeColor="background1"/>
                <w:lang w:val="en-AU"/>
              </w:rPr>
              <w:t>Year</w:t>
            </w:r>
          </w:p>
        </w:tc>
        <w:tc>
          <w:tcPr>
            <w:tcW w:w="717" w:type="pct"/>
            <w:vAlign w:val="center"/>
          </w:tcPr>
          <w:p w14:paraId="76772FA0" w14:textId="77777777" w:rsidR="0017424A" w:rsidRPr="00F608A7" w:rsidRDefault="0017424A" w:rsidP="00D227EC">
            <w:pPr>
              <w:spacing w:before="120" w:after="120"/>
              <w:jc w:val="center"/>
              <w:rPr>
                <w:rFonts w:eastAsia="Times New Roman" w:cs="Arial"/>
                <w:b w:val="0"/>
                <w:color w:val="FFFFFF" w:themeColor="background1"/>
                <w:szCs w:val="24"/>
                <w:u w:color="FFFFFF" w:themeColor="background1"/>
                <w:lang w:val="en-AU"/>
              </w:rPr>
            </w:pPr>
            <w:proofErr w:type="spellStart"/>
            <w:r w:rsidRPr="00F608A7">
              <w:rPr>
                <w:rFonts w:eastAsia="Times New Roman" w:cs="Arial"/>
                <w:color w:val="FFFFFF" w:themeColor="background1"/>
                <w:szCs w:val="24"/>
                <w:u w:color="FFFFFF" w:themeColor="background1"/>
                <w:lang w:val="en-AU"/>
              </w:rPr>
              <w:t>Maddingley</w:t>
            </w:r>
            <w:proofErr w:type="spellEnd"/>
            <w:r w:rsidRPr="00F608A7">
              <w:rPr>
                <w:rFonts w:eastAsia="Times New Roman" w:cs="Arial"/>
                <w:color w:val="FFFFFF" w:themeColor="background1"/>
                <w:szCs w:val="24"/>
                <w:u w:color="FFFFFF" w:themeColor="background1"/>
                <w:lang w:val="en-AU"/>
              </w:rPr>
              <w:t xml:space="preserve"> </w:t>
            </w:r>
            <w:r w:rsidR="009801F1" w:rsidRPr="00F608A7">
              <w:rPr>
                <w:rFonts w:eastAsia="Times New Roman" w:cs="Arial"/>
                <w:color w:val="FFFFFF" w:themeColor="background1"/>
                <w:szCs w:val="24"/>
                <w:u w:color="FFFFFF" w:themeColor="background1"/>
                <w:lang w:val="en-AU"/>
              </w:rPr>
              <w:br/>
            </w:r>
            <w:r w:rsidRPr="00F608A7">
              <w:rPr>
                <w:rFonts w:eastAsia="Times New Roman" w:cs="Arial"/>
                <w:color w:val="FFFFFF" w:themeColor="background1"/>
                <w:szCs w:val="24"/>
                <w:u w:color="FFFFFF" w:themeColor="background1"/>
                <w:lang w:val="en-AU"/>
              </w:rPr>
              <w:t xml:space="preserve"> Bacchus Marsh</w:t>
            </w:r>
          </w:p>
        </w:tc>
        <w:tc>
          <w:tcPr>
            <w:tcW w:w="716" w:type="pct"/>
            <w:vAlign w:val="center"/>
          </w:tcPr>
          <w:p w14:paraId="556AF427" w14:textId="77777777" w:rsidR="0017424A" w:rsidRPr="00F608A7" w:rsidRDefault="0017424A" w:rsidP="00D227EC">
            <w:pPr>
              <w:spacing w:before="120" w:after="120"/>
              <w:jc w:val="center"/>
              <w:rPr>
                <w:rFonts w:eastAsia="Times New Roman" w:cs="Arial"/>
                <w:b w:val="0"/>
                <w:color w:val="FFFFFF" w:themeColor="background1"/>
                <w:szCs w:val="24"/>
                <w:u w:color="FFFFFF" w:themeColor="background1"/>
                <w:lang w:val="en-AU"/>
              </w:rPr>
            </w:pPr>
            <w:r w:rsidRPr="00F608A7">
              <w:rPr>
                <w:rFonts w:eastAsia="Times New Roman" w:cs="Arial"/>
                <w:color w:val="FFFFFF" w:themeColor="background1"/>
                <w:szCs w:val="24"/>
                <w:u w:color="FFFFFF" w:themeColor="background1"/>
                <w:lang w:val="en-AU"/>
              </w:rPr>
              <w:t>Alcoa Anglesea</w:t>
            </w:r>
          </w:p>
        </w:tc>
        <w:tc>
          <w:tcPr>
            <w:tcW w:w="715" w:type="pct"/>
            <w:vAlign w:val="center"/>
          </w:tcPr>
          <w:p w14:paraId="03254CB8" w14:textId="77777777" w:rsidR="0017424A" w:rsidRPr="00F608A7" w:rsidRDefault="0017424A" w:rsidP="00D227EC">
            <w:pPr>
              <w:spacing w:before="120" w:after="120"/>
              <w:jc w:val="center"/>
              <w:rPr>
                <w:rFonts w:eastAsia="Times New Roman" w:cs="Arial"/>
                <w:b w:val="0"/>
                <w:color w:val="FFFFFF" w:themeColor="background1"/>
                <w:szCs w:val="24"/>
                <w:u w:color="FFFFFF" w:themeColor="background1"/>
                <w:lang w:val="en-AU"/>
              </w:rPr>
            </w:pPr>
            <w:r w:rsidRPr="00F608A7">
              <w:rPr>
                <w:rFonts w:eastAsia="Times New Roman" w:cs="Arial"/>
                <w:color w:val="FFFFFF" w:themeColor="background1"/>
                <w:szCs w:val="24"/>
                <w:u w:color="FFFFFF" w:themeColor="background1"/>
                <w:lang w:val="en-AU"/>
              </w:rPr>
              <w:t>Loy Yang</w:t>
            </w:r>
          </w:p>
        </w:tc>
        <w:tc>
          <w:tcPr>
            <w:tcW w:w="715" w:type="pct"/>
            <w:vAlign w:val="center"/>
          </w:tcPr>
          <w:p w14:paraId="48FCEC6F" w14:textId="77777777" w:rsidR="0017424A" w:rsidRPr="00F608A7" w:rsidRDefault="0017424A" w:rsidP="00D227EC">
            <w:pPr>
              <w:spacing w:before="120" w:after="120"/>
              <w:jc w:val="center"/>
              <w:rPr>
                <w:rFonts w:eastAsia="Times New Roman" w:cs="Arial"/>
                <w:b w:val="0"/>
                <w:color w:val="FFFFFF" w:themeColor="background1"/>
                <w:szCs w:val="24"/>
                <w:u w:color="FFFFFF" w:themeColor="background1"/>
                <w:lang w:val="en-AU"/>
              </w:rPr>
            </w:pPr>
            <w:r w:rsidRPr="00F608A7">
              <w:rPr>
                <w:rFonts w:eastAsia="Times New Roman" w:cs="Arial"/>
                <w:color w:val="FFFFFF" w:themeColor="background1"/>
                <w:szCs w:val="24"/>
                <w:u w:color="FFFFFF" w:themeColor="background1"/>
                <w:lang w:val="en-AU"/>
              </w:rPr>
              <w:t>Yallourn</w:t>
            </w:r>
          </w:p>
        </w:tc>
        <w:tc>
          <w:tcPr>
            <w:tcW w:w="715" w:type="pct"/>
            <w:vAlign w:val="center"/>
          </w:tcPr>
          <w:p w14:paraId="2A074402" w14:textId="77777777" w:rsidR="0017424A" w:rsidRPr="00F608A7" w:rsidRDefault="0017424A" w:rsidP="00D227EC">
            <w:pPr>
              <w:spacing w:before="120" w:after="120"/>
              <w:jc w:val="center"/>
              <w:rPr>
                <w:rFonts w:eastAsia="Times New Roman" w:cs="Arial"/>
                <w:b w:val="0"/>
                <w:color w:val="FFFFFF" w:themeColor="background1"/>
                <w:szCs w:val="24"/>
                <w:u w:color="FFFFFF" w:themeColor="background1"/>
                <w:lang w:val="en-AU"/>
              </w:rPr>
            </w:pPr>
            <w:r w:rsidRPr="00F608A7">
              <w:rPr>
                <w:rFonts w:eastAsia="Times New Roman" w:cs="Arial"/>
                <w:color w:val="FFFFFF" w:themeColor="background1"/>
                <w:szCs w:val="24"/>
                <w:u w:color="FFFFFF" w:themeColor="background1"/>
                <w:lang w:val="en-AU"/>
              </w:rPr>
              <w:t>Hazelwood</w:t>
            </w:r>
          </w:p>
        </w:tc>
        <w:tc>
          <w:tcPr>
            <w:cnfStyle w:val="000100000000" w:firstRow="0" w:lastRow="0" w:firstColumn="0" w:lastColumn="1" w:oddVBand="0" w:evenVBand="0" w:oddHBand="0" w:evenHBand="0" w:firstRowFirstColumn="0" w:firstRowLastColumn="0" w:lastRowFirstColumn="0" w:lastRowLastColumn="0"/>
            <w:tcW w:w="705" w:type="pct"/>
            <w:vAlign w:val="center"/>
          </w:tcPr>
          <w:p w14:paraId="73C8B77F" w14:textId="77777777" w:rsidR="0017424A" w:rsidRPr="00F608A7" w:rsidRDefault="0017424A" w:rsidP="00D227EC">
            <w:pPr>
              <w:spacing w:before="120" w:after="120"/>
              <w:jc w:val="center"/>
              <w:rPr>
                <w:rFonts w:eastAsia="Times New Roman" w:cs="Arial"/>
                <w:b w:val="0"/>
                <w:color w:val="FFFFFF" w:themeColor="background1"/>
                <w:szCs w:val="24"/>
                <w:u w:color="FFFFFF" w:themeColor="background1"/>
                <w:lang w:val="en-AU"/>
              </w:rPr>
            </w:pPr>
            <w:r w:rsidRPr="00F608A7">
              <w:rPr>
                <w:rFonts w:eastAsia="Times New Roman" w:cs="Arial"/>
                <w:color w:val="FFFFFF" w:themeColor="background1"/>
                <w:szCs w:val="24"/>
                <w:u w:color="FFFFFF" w:themeColor="background1"/>
                <w:lang w:val="en-AU"/>
              </w:rPr>
              <w:t>Annual Total</w:t>
            </w:r>
          </w:p>
        </w:tc>
      </w:tr>
      <w:tr w:rsidR="00A11CC5" w:rsidRPr="00A11CC5" w14:paraId="10681583" w14:textId="77777777" w:rsidTr="00F608A7">
        <w:trPr>
          <w:cnfStyle w:val="000000100000" w:firstRow="0" w:lastRow="0" w:firstColumn="0" w:lastColumn="0" w:oddVBand="0" w:evenVBand="0" w:oddHBand="1" w:evenHBand="0" w:firstRowFirstColumn="0" w:firstRowLastColumn="0" w:lastRowFirstColumn="0" w:lastRowLastColumn="0"/>
          <w:trHeight w:val="315"/>
        </w:trPr>
        <w:tc>
          <w:tcPr>
            <w:tcW w:w="717" w:type="pct"/>
            <w:noWrap/>
          </w:tcPr>
          <w:p w14:paraId="514BDAD7" w14:textId="77777777" w:rsidR="0017424A" w:rsidRPr="00A11CC5" w:rsidRDefault="00EE297A" w:rsidP="00A23DBD">
            <w:pPr>
              <w:spacing w:before="120" w:after="120"/>
              <w:jc w:val="center"/>
              <w:rPr>
                <w:rFonts w:eastAsia="Times New Roman" w:cs="Arial"/>
                <w:b/>
                <w:color w:val="auto"/>
                <w:u w:color="FFFFFF" w:themeColor="background1"/>
                <w:lang w:val="en-AU"/>
              </w:rPr>
            </w:pPr>
            <w:r w:rsidRPr="00A11CC5">
              <w:rPr>
                <w:rFonts w:eastAsia="Times New Roman" w:cs="Arial"/>
                <w:b/>
                <w:color w:val="auto"/>
                <w:u w:color="FFFFFF" w:themeColor="background1"/>
                <w:lang w:val="en-AU"/>
              </w:rPr>
              <w:t>2012-13</w:t>
            </w:r>
          </w:p>
        </w:tc>
        <w:tc>
          <w:tcPr>
            <w:tcW w:w="717" w:type="pct"/>
            <w:noWrap/>
          </w:tcPr>
          <w:p w14:paraId="661753C1"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18</w:t>
            </w:r>
          </w:p>
        </w:tc>
        <w:tc>
          <w:tcPr>
            <w:tcW w:w="716" w:type="pct"/>
            <w:noWrap/>
          </w:tcPr>
          <w:p w14:paraId="27F4F14D"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913</w:t>
            </w:r>
          </w:p>
        </w:tc>
        <w:tc>
          <w:tcPr>
            <w:tcW w:w="715" w:type="pct"/>
            <w:noWrap/>
          </w:tcPr>
          <w:p w14:paraId="7AD9D6CF"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28,921</w:t>
            </w:r>
          </w:p>
        </w:tc>
        <w:tc>
          <w:tcPr>
            <w:tcW w:w="715" w:type="pct"/>
            <w:noWrap/>
          </w:tcPr>
          <w:p w14:paraId="1212BA1D"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12,885</w:t>
            </w:r>
          </w:p>
        </w:tc>
        <w:tc>
          <w:tcPr>
            <w:tcW w:w="715" w:type="pct"/>
            <w:noWrap/>
          </w:tcPr>
          <w:p w14:paraId="737AA833"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17,118</w:t>
            </w:r>
          </w:p>
        </w:tc>
        <w:tc>
          <w:tcPr>
            <w:cnfStyle w:val="000100000000" w:firstRow="0" w:lastRow="0" w:firstColumn="0" w:lastColumn="1" w:oddVBand="0" w:evenVBand="0" w:oddHBand="0" w:evenHBand="0" w:firstRowFirstColumn="0" w:firstRowLastColumn="0" w:lastRowFirstColumn="0" w:lastRowLastColumn="0"/>
            <w:tcW w:w="705" w:type="pct"/>
            <w:noWrap/>
          </w:tcPr>
          <w:p w14:paraId="4393992C"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59,854</w:t>
            </w:r>
          </w:p>
        </w:tc>
      </w:tr>
      <w:tr w:rsidR="00A11CC5" w:rsidRPr="00A11CC5" w14:paraId="0A46C198" w14:textId="77777777" w:rsidTr="00F608A7">
        <w:trPr>
          <w:trHeight w:val="315"/>
        </w:trPr>
        <w:tc>
          <w:tcPr>
            <w:tcW w:w="717" w:type="pct"/>
            <w:noWrap/>
          </w:tcPr>
          <w:p w14:paraId="040E04FB" w14:textId="77777777" w:rsidR="0017424A" w:rsidRPr="00A11CC5" w:rsidRDefault="00EE297A" w:rsidP="00A23DBD">
            <w:pPr>
              <w:spacing w:before="120" w:after="120"/>
              <w:jc w:val="center"/>
              <w:rPr>
                <w:rFonts w:eastAsia="Times New Roman" w:cs="Arial"/>
                <w:b/>
                <w:color w:val="auto"/>
                <w:u w:color="FFFFFF" w:themeColor="background1"/>
                <w:lang w:val="en-AU"/>
              </w:rPr>
            </w:pPr>
            <w:r w:rsidRPr="00A11CC5">
              <w:rPr>
                <w:rFonts w:eastAsia="Times New Roman" w:cs="Arial"/>
                <w:b/>
                <w:color w:val="auto"/>
                <w:u w:color="FFFFFF" w:themeColor="background1"/>
                <w:lang w:val="en-AU"/>
              </w:rPr>
              <w:t>2013-14</w:t>
            </w:r>
          </w:p>
        </w:tc>
        <w:tc>
          <w:tcPr>
            <w:tcW w:w="717" w:type="pct"/>
            <w:noWrap/>
          </w:tcPr>
          <w:p w14:paraId="28E1C21D"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19</w:t>
            </w:r>
          </w:p>
        </w:tc>
        <w:tc>
          <w:tcPr>
            <w:tcW w:w="716" w:type="pct"/>
            <w:noWrap/>
          </w:tcPr>
          <w:p w14:paraId="77E09D76"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1,034</w:t>
            </w:r>
          </w:p>
        </w:tc>
        <w:tc>
          <w:tcPr>
            <w:tcW w:w="715" w:type="pct"/>
            <w:noWrap/>
          </w:tcPr>
          <w:p w14:paraId="7F05AA47"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26,967</w:t>
            </w:r>
          </w:p>
        </w:tc>
        <w:tc>
          <w:tcPr>
            <w:tcW w:w="715" w:type="pct"/>
            <w:noWrap/>
          </w:tcPr>
          <w:p w14:paraId="17627416"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13,494</w:t>
            </w:r>
          </w:p>
        </w:tc>
        <w:tc>
          <w:tcPr>
            <w:tcW w:w="715" w:type="pct"/>
            <w:noWrap/>
          </w:tcPr>
          <w:p w14:paraId="370C2112"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16,487</w:t>
            </w:r>
          </w:p>
        </w:tc>
        <w:tc>
          <w:tcPr>
            <w:cnfStyle w:val="000100000000" w:firstRow="0" w:lastRow="0" w:firstColumn="0" w:lastColumn="1" w:oddVBand="0" w:evenVBand="0" w:oddHBand="0" w:evenHBand="0" w:firstRowFirstColumn="0" w:firstRowLastColumn="0" w:lastRowFirstColumn="0" w:lastRowLastColumn="0"/>
            <w:tcW w:w="705" w:type="pct"/>
            <w:noWrap/>
          </w:tcPr>
          <w:p w14:paraId="675D8867"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58,001</w:t>
            </w:r>
          </w:p>
        </w:tc>
      </w:tr>
      <w:tr w:rsidR="00A11CC5" w:rsidRPr="00A11CC5" w14:paraId="671D9EDB" w14:textId="77777777" w:rsidTr="00F608A7">
        <w:trPr>
          <w:cnfStyle w:val="000000100000" w:firstRow="0" w:lastRow="0" w:firstColumn="0" w:lastColumn="0" w:oddVBand="0" w:evenVBand="0" w:oddHBand="1" w:evenHBand="0" w:firstRowFirstColumn="0" w:firstRowLastColumn="0" w:lastRowFirstColumn="0" w:lastRowLastColumn="0"/>
          <w:trHeight w:val="315"/>
        </w:trPr>
        <w:tc>
          <w:tcPr>
            <w:tcW w:w="717" w:type="pct"/>
            <w:noWrap/>
          </w:tcPr>
          <w:p w14:paraId="577DA674" w14:textId="77777777" w:rsidR="0017424A" w:rsidRPr="00A11CC5" w:rsidRDefault="000F18E0" w:rsidP="00A23DBD">
            <w:pPr>
              <w:spacing w:before="120" w:after="120"/>
              <w:jc w:val="center"/>
              <w:rPr>
                <w:rFonts w:eastAsia="Times New Roman" w:cs="Arial"/>
                <w:b/>
                <w:color w:val="auto"/>
                <w:u w:color="FFFFFF" w:themeColor="background1"/>
                <w:lang w:val="en-AU"/>
              </w:rPr>
            </w:pPr>
            <w:r w:rsidRPr="00A11CC5">
              <w:rPr>
                <w:rFonts w:eastAsia="Times New Roman" w:cs="Arial"/>
                <w:b/>
                <w:color w:val="auto"/>
                <w:u w:color="FFFFFF" w:themeColor="background1"/>
                <w:lang w:val="en-AU"/>
              </w:rPr>
              <w:t>2014-15</w:t>
            </w:r>
          </w:p>
        </w:tc>
        <w:tc>
          <w:tcPr>
            <w:tcW w:w="717" w:type="pct"/>
            <w:noWrap/>
          </w:tcPr>
          <w:p w14:paraId="0A679FDD"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19</w:t>
            </w:r>
          </w:p>
        </w:tc>
        <w:tc>
          <w:tcPr>
            <w:tcW w:w="716" w:type="pct"/>
            <w:noWrap/>
          </w:tcPr>
          <w:p w14:paraId="446C8E18"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w:t>
            </w:r>
          </w:p>
        </w:tc>
        <w:tc>
          <w:tcPr>
            <w:tcW w:w="715" w:type="pct"/>
            <w:noWrap/>
          </w:tcPr>
          <w:p w14:paraId="1393FA06"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27,624</w:t>
            </w:r>
          </w:p>
        </w:tc>
        <w:tc>
          <w:tcPr>
            <w:tcW w:w="715" w:type="pct"/>
            <w:noWrap/>
          </w:tcPr>
          <w:p w14:paraId="2EEB80B6"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17,171</w:t>
            </w:r>
          </w:p>
        </w:tc>
        <w:tc>
          <w:tcPr>
            <w:tcW w:w="715" w:type="pct"/>
            <w:noWrap/>
          </w:tcPr>
          <w:p w14:paraId="1BB5995D"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16,144</w:t>
            </w:r>
          </w:p>
        </w:tc>
        <w:tc>
          <w:tcPr>
            <w:cnfStyle w:val="000100000000" w:firstRow="0" w:lastRow="0" w:firstColumn="0" w:lastColumn="1" w:oddVBand="0" w:evenVBand="0" w:oddHBand="0" w:evenHBand="0" w:firstRowFirstColumn="0" w:firstRowLastColumn="0" w:lastRowFirstColumn="0" w:lastRowLastColumn="0"/>
            <w:tcW w:w="705" w:type="pct"/>
            <w:noWrap/>
          </w:tcPr>
          <w:p w14:paraId="20C9570F"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60,957</w:t>
            </w:r>
          </w:p>
        </w:tc>
      </w:tr>
      <w:tr w:rsidR="00A11CC5" w:rsidRPr="00A11CC5" w14:paraId="0462B14F" w14:textId="77777777" w:rsidTr="00F608A7">
        <w:trPr>
          <w:trHeight w:val="315"/>
        </w:trPr>
        <w:tc>
          <w:tcPr>
            <w:tcW w:w="717" w:type="pct"/>
            <w:noWrap/>
          </w:tcPr>
          <w:p w14:paraId="7664318A" w14:textId="77777777" w:rsidR="0017424A" w:rsidRPr="00A11CC5" w:rsidRDefault="00EE297A" w:rsidP="00A23DBD">
            <w:pPr>
              <w:spacing w:before="120" w:after="120"/>
              <w:jc w:val="center"/>
              <w:rPr>
                <w:rFonts w:eastAsia="Times New Roman" w:cs="Arial"/>
                <w:b/>
                <w:color w:val="auto"/>
                <w:u w:color="FFFFFF" w:themeColor="background1"/>
                <w:lang w:val="en-AU"/>
              </w:rPr>
            </w:pPr>
            <w:r w:rsidRPr="00A11CC5">
              <w:rPr>
                <w:rFonts w:eastAsia="Times New Roman" w:cs="Arial"/>
                <w:b/>
                <w:color w:val="auto"/>
                <w:u w:color="FFFFFF" w:themeColor="background1"/>
                <w:lang w:val="en-AU"/>
              </w:rPr>
              <w:t>2015-16</w:t>
            </w:r>
          </w:p>
        </w:tc>
        <w:tc>
          <w:tcPr>
            <w:tcW w:w="717" w:type="pct"/>
            <w:noWrap/>
          </w:tcPr>
          <w:p w14:paraId="7CCD703E" w14:textId="77777777" w:rsidR="0017424A" w:rsidRPr="00A11CC5" w:rsidRDefault="00796C38"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23</w:t>
            </w:r>
          </w:p>
        </w:tc>
        <w:tc>
          <w:tcPr>
            <w:tcW w:w="716" w:type="pct"/>
            <w:noWrap/>
          </w:tcPr>
          <w:p w14:paraId="7057F720"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w:t>
            </w:r>
          </w:p>
        </w:tc>
        <w:tc>
          <w:tcPr>
            <w:tcW w:w="715" w:type="pct"/>
            <w:noWrap/>
          </w:tcPr>
          <w:p w14:paraId="79B08986" w14:textId="77777777" w:rsidR="0017424A" w:rsidRPr="00A11CC5" w:rsidRDefault="0017424A"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27,066</w:t>
            </w:r>
          </w:p>
        </w:tc>
        <w:tc>
          <w:tcPr>
            <w:tcW w:w="715" w:type="pct"/>
            <w:noWrap/>
          </w:tcPr>
          <w:p w14:paraId="0498C01C" w14:textId="77777777" w:rsidR="0017424A" w:rsidRPr="00A11CC5" w:rsidRDefault="0017424A" w:rsidP="00796C38">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17,9</w:t>
            </w:r>
            <w:r w:rsidR="00796C38" w:rsidRPr="00A11CC5">
              <w:rPr>
                <w:rFonts w:eastAsia="Times New Roman" w:cs="Arial"/>
                <w:color w:val="auto"/>
                <w:u w:color="FFFFFF" w:themeColor="background1"/>
                <w:lang w:val="en-AU"/>
              </w:rPr>
              <w:t>79</w:t>
            </w:r>
          </w:p>
        </w:tc>
        <w:tc>
          <w:tcPr>
            <w:tcW w:w="715" w:type="pct"/>
            <w:noWrap/>
          </w:tcPr>
          <w:p w14:paraId="730EB155" w14:textId="77777777" w:rsidR="0017424A" w:rsidRPr="00A11CC5" w:rsidRDefault="0017424A" w:rsidP="00796C38">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14,68</w:t>
            </w:r>
            <w:r w:rsidR="00796C38" w:rsidRPr="00A11CC5">
              <w:rPr>
                <w:rFonts w:eastAsia="Times New Roman" w:cs="Arial"/>
                <w:color w:val="auto"/>
                <w:u w:color="FFFFFF" w:themeColor="background1"/>
                <w:lang w:val="en-AU"/>
              </w:rPr>
              <w:t>9</w:t>
            </w:r>
          </w:p>
        </w:tc>
        <w:tc>
          <w:tcPr>
            <w:cnfStyle w:val="000100000000" w:firstRow="0" w:lastRow="0" w:firstColumn="0" w:lastColumn="1" w:oddVBand="0" w:evenVBand="0" w:oddHBand="0" w:evenHBand="0" w:firstRowFirstColumn="0" w:firstRowLastColumn="0" w:lastRowFirstColumn="0" w:lastRowLastColumn="0"/>
            <w:tcW w:w="705" w:type="pct"/>
            <w:noWrap/>
          </w:tcPr>
          <w:p w14:paraId="15B60ECE" w14:textId="77777777" w:rsidR="0017424A" w:rsidRPr="00A11CC5" w:rsidRDefault="0017424A" w:rsidP="00796C38">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59,7</w:t>
            </w:r>
            <w:r w:rsidR="00796C38" w:rsidRPr="00A11CC5">
              <w:rPr>
                <w:rFonts w:eastAsia="Times New Roman" w:cs="Arial"/>
                <w:color w:val="auto"/>
                <w:u w:color="FFFFFF" w:themeColor="background1"/>
                <w:lang w:val="en-AU"/>
              </w:rPr>
              <w:t>57</w:t>
            </w:r>
          </w:p>
        </w:tc>
      </w:tr>
      <w:tr w:rsidR="00A11CC5" w:rsidRPr="00A11CC5" w14:paraId="0D75D67B" w14:textId="77777777" w:rsidTr="00F608A7">
        <w:trPr>
          <w:cnfStyle w:val="000000100000" w:firstRow="0" w:lastRow="0" w:firstColumn="0" w:lastColumn="0" w:oddVBand="0" w:evenVBand="0" w:oddHBand="1" w:evenHBand="0" w:firstRowFirstColumn="0" w:firstRowLastColumn="0" w:lastRowFirstColumn="0" w:lastRowLastColumn="0"/>
          <w:trHeight w:val="315"/>
        </w:trPr>
        <w:tc>
          <w:tcPr>
            <w:tcW w:w="717" w:type="pct"/>
            <w:noWrap/>
          </w:tcPr>
          <w:p w14:paraId="5938C737" w14:textId="77777777" w:rsidR="00CF0BA7" w:rsidRPr="00A11CC5" w:rsidRDefault="00CF0BA7" w:rsidP="00A23DBD">
            <w:pPr>
              <w:spacing w:before="120" w:after="120"/>
              <w:jc w:val="center"/>
              <w:rPr>
                <w:rFonts w:eastAsia="Times New Roman" w:cs="Arial"/>
                <w:b/>
                <w:color w:val="auto"/>
                <w:u w:color="FFFFFF" w:themeColor="background1"/>
                <w:lang w:val="en-AU"/>
              </w:rPr>
            </w:pPr>
            <w:r w:rsidRPr="00A11CC5">
              <w:rPr>
                <w:rFonts w:eastAsia="Times New Roman" w:cs="Arial"/>
                <w:b/>
                <w:color w:val="auto"/>
                <w:u w:color="FFFFFF" w:themeColor="background1"/>
                <w:lang w:val="en-AU"/>
              </w:rPr>
              <w:t>2016-17</w:t>
            </w:r>
          </w:p>
        </w:tc>
        <w:tc>
          <w:tcPr>
            <w:tcW w:w="717" w:type="pct"/>
            <w:noWrap/>
          </w:tcPr>
          <w:p w14:paraId="723F6690" w14:textId="77777777" w:rsidR="00CF0BA7" w:rsidRPr="00A11CC5" w:rsidRDefault="009850E3"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45</w:t>
            </w:r>
          </w:p>
        </w:tc>
        <w:tc>
          <w:tcPr>
            <w:tcW w:w="716" w:type="pct"/>
            <w:noWrap/>
          </w:tcPr>
          <w:p w14:paraId="054E9D80" w14:textId="77777777" w:rsidR="00CF0BA7" w:rsidRPr="00A11CC5" w:rsidRDefault="009850E3"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w:t>
            </w:r>
          </w:p>
        </w:tc>
        <w:tc>
          <w:tcPr>
            <w:tcW w:w="715" w:type="pct"/>
            <w:noWrap/>
          </w:tcPr>
          <w:p w14:paraId="33FCDC4A" w14:textId="77777777" w:rsidR="00CF0BA7" w:rsidRPr="00A11CC5" w:rsidRDefault="009850E3" w:rsidP="00A23DBD">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27,7</w:t>
            </w:r>
            <w:r w:rsidR="00AF0350" w:rsidRPr="00A11CC5">
              <w:rPr>
                <w:rFonts w:eastAsia="Times New Roman" w:cs="Arial"/>
                <w:color w:val="auto"/>
                <w:u w:color="FFFFFF" w:themeColor="background1"/>
                <w:lang w:val="en-AU"/>
              </w:rPr>
              <w:t>52</w:t>
            </w:r>
          </w:p>
        </w:tc>
        <w:tc>
          <w:tcPr>
            <w:tcW w:w="715" w:type="pct"/>
            <w:noWrap/>
          </w:tcPr>
          <w:p w14:paraId="069BE3D8" w14:textId="77777777" w:rsidR="00CF0BA7" w:rsidRPr="00A11CC5" w:rsidRDefault="009850E3" w:rsidP="00796C38">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17,674</w:t>
            </w:r>
          </w:p>
        </w:tc>
        <w:tc>
          <w:tcPr>
            <w:tcW w:w="715" w:type="pct"/>
            <w:noWrap/>
          </w:tcPr>
          <w:p w14:paraId="25808A98" w14:textId="77777777" w:rsidR="00CF0BA7" w:rsidRPr="00A11CC5" w:rsidRDefault="009850E3" w:rsidP="00796C38">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10,624</w:t>
            </w:r>
          </w:p>
        </w:tc>
        <w:tc>
          <w:tcPr>
            <w:cnfStyle w:val="000100000000" w:firstRow="0" w:lastRow="0" w:firstColumn="0" w:lastColumn="1" w:oddVBand="0" w:evenVBand="0" w:oddHBand="0" w:evenHBand="0" w:firstRowFirstColumn="0" w:firstRowLastColumn="0" w:lastRowFirstColumn="0" w:lastRowLastColumn="0"/>
            <w:tcW w:w="705" w:type="pct"/>
            <w:noWrap/>
          </w:tcPr>
          <w:p w14:paraId="4F51BABD" w14:textId="77777777" w:rsidR="00CF0BA7" w:rsidRPr="00A11CC5" w:rsidRDefault="00006DE9" w:rsidP="00796C38">
            <w:pPr>
              <w:spacing w:before="120" w:after="120"/>
              <w:jc w:val="center"/>
              <w:rPr>
                <w:rFonts w:eastAsia="Times New Roman" w:cs="Arial"/>
                <w:color w:val="auto"/>
                <w:u w:color="FFFFFF" w:themeColor="background1"/>
                <w:lang w:val="en-AU"/>
              </w:rPr>
            </w:pPr>
            <w:r w:rsidRPr="00A11CC5">
              <w:rPr>
                <w:rFonts w:eastAsia="Times New Roman" w:cs="Arial"/>
                <w:color w:val="auto"/>
                <w:u w:color="FFFFFF" w:themeColor="background1"/>
                <w:lang w:val="en-AU"/>
              </w:rPr>
              <w:t>56,0</w:t>
            </w:r>
            <w:r w:rsidR="00C7302A" w:rsidRPr="00A11CC5">
              <w:rPr>
                <w:rFonts w:eastAsia="Times New Roman" w:cs="Arial"/>
                <w:color w:val="auto"/>
                <w:u w:color="FFFFFF" w:themeColor="background1"/>
                <w:lang w:val="en-AU"/>
              </w:rPr>
              <w:t>95</w:t>
            </w:r>
          </w:p>
        </w:tc>
      </w:tr>
      <w:tr w:rsidR="008172BD" w:rsidRPr="00A11CC5" w14:paraId="34D91536" w14:textId="77777777" w:rsidTr="00F608A7">
        <w:trPr>
          <w:trHeight w:val="315"/>
        </w:trPr>
        <w:tc>
          <w:tcPr>
            <w:tcW w:w="717" w:type="pct"/>
            <w:noWrap/>
          </w:tcPr>
          <w:p w14:paraId="7CB1DCC9" w14:textId="77777777" w:rsidR="008172BD" w:rsidRPr="00A11CC5" w:rsidRDefault="000A4681" w:rsidP="00A23DBD">
            <w:pPr>
              <w:spacing w:before="120" w:after="120"/>
              <w:jc w:val="center"/>
              <w:rPr>
                <w:rFonts w:eastAsia="Times New Roman" w:cs="Arial"/>
                <w:b/>
                <w:color w:val="auto"/>
                <w:u w:color="FFFFFF" w:themeColor="background1"/>
                <w:lang w:val="en-AU"/>
              </w:rPr>
            </w:pPr>
            <w:r>
              <w:rPr>
                <w:rFonts w:eastAsia="Times New Roman" w:cs="Arial"/>
                <w:b/>
                <w:color w:val="auto"/>
                <w:u w:color="FFFFFF" w:themeColor="background1"/>
                <w:lang w:val="en-AU"/>
              </w:rPr>
              <w:t>2017-18</w:t>
            </w:r>
          </w:p>
        </w:tc>
        <w:tc>
          <w:tcPr>
            <w:tcW w:w="717" w:type="pct"/>
            <w:noWrap/>
          </w:tcPr>
          <w:p w14:paraId="4E6FFC63" w14:textId="77777777" w:rsidR="008172BD" w:rsidRPr="00A11CC5" w:rsidRDefault="000A4681" w:rsidP="00A23DBD">
            <w:pPr>
              <w:spacing w:before="120" w:after="120"/>
              <w:jc w:val="center"/>
              <w:rPr>
                <w:rFonts w:eastAsia="Times New Roman" w:cs="Arial"/>
                <w:color w:val="auto"/>
                <w:u w:color="FFFFFF" w:themeColor="background1"/>
                <w:lang w:val="en-AU"/>
              </w:rPr>
            </w:pPr>
            <w:r>
              <w:rPr>
                <w:rFonts w:eastAsia="Times New Roman" w:cs="Arial"/>
                <w:color w:val="auto"/>
                <w:u w:color="FFFFFF" w:themeColor="background1"/>
                <w:lang w:val="en-AU"/>
              </w:rPr>
              <w:t>44</w:t>
            </w:r>
          </w:p>
        </w:tc>
        <w:tc>
          <w:tcPr>
            <w:tcW w:w="716" w:type="pct"/>
            <w:noWrap/>
          </w:tcPr>
          <w:p w14:paraId="39323510" w14:textId="77777777" w:rsidR="008172BD" w:rsidRPr="00A11CC5" w:rsidRDefault="000A4681" w:rsidP="00A23DBD">
            <w:pPr>
              <w:spacing w:before="120" w:after="120"/>
              <w:jc w:val="center"/>
              <w:rPr>
                <w:rFonts w:eastAsia="Times New Roman" w:cs="Arial"/>
                <w:color w:val="auto"/>
                <w:u w:color="FFFFFF" w:themeColor="background1"/>
                <w:lang w:val="en-AU"/>
              </w:rPr>
            </w:pPr>
            <w:r>
              <w:rPr>
                <w:rFonts w:eastAsia="Times New Roman" w:cs="Arial"/>
                <w:color w:val="auto"/>
                <w:u w:color="FFFFFF" w:themeColor="background1"/>
                <w:lang w:val="en-AU"/>
              </w:rPr>
              <w:t>-</w:t>
            </w:r>
          </w:p>
        </w:tc>
        <w:tc>
          <w:tcPr>
            <w:tcW w:w="715" w:type="pct"/>
            <w:noWrap/>
          </w:tcPr>
          <w:p w14:paraId="562A6B25" w14:textId="77777777" w:rsidR="008172BD" w:rsidRPr="00A11CC5" w:rsidRDefault="000A4681" w:rsidP="00A23DBD">
            <w:pPr>
              <w:spacing w:before="120" w:after="120"/>
              <w:jc w:val="center"/>
              <w:rPr>
                <w:rFonts w:eastAsia="Times New Roman" w:cs="Arial"/>
                <w:color w:val="auto"/>
                <w:u w:color="FFFFFF" w:themeColor="background1"/>
                <w:lang w:val="en-AU"/>
              </w:rPr>
            </w:pPr>
            <w:r>
              <w:rPr>
                <w:rFonts w:eastAsia="Times New Roman" w:cs="Arial"/>
                <w:color w:val="auto"/>
                <w:u w:color="FFFFFF" w:themeColor="background1"/>
                <w:lang w:val="en-AU"/>
              </w:rPr>
              <w:t>29,526</w:t>
            </w:r>
          </w:p>
        </w:tc>
        <w:tc>
          <w:tcPr>
            <w:tcW w:w="715" w:type="pct"/>
            <w:noWrap/>
          </w:tcPr>
          <w:p w14:paraId="345D5D75" w14:textId="77777777" w:rsidR="008172BD" w:rsidRPr="00A11CC5" w:rsidRDefault="000A4681" w:rsidP="00796C38">
            <w:pPr>
              <w:spacing w:before="120" w:after="120"/>
              <w:jc w:val="center"/>
              <w:rPr>
                <w:rFonts w:eastAsia="Times New Roman" w:cs="Arial"/>
                <w:color w:val="auto"/>
                <w:u w:color="FFFFFF" w:themeColor="background1"/>
                <w:lang w:val="en-AU"/>
              </w:rPr>
            </w:pPr>
            <w:r>
              <w:rPr>
                <w:rFonts w:eastAsia="Times New Roman" w:cs="Arial"/>
                <w:color w:val="auto"/>
                <w:u w:color="FFFFFF" w:themeColor="background1"/>
                <w:lang w:val="en-AU"/>
              </w:rPr>
              <w:t>15,491</w:t>
            </w:r>
          </w:p>
        </w:tc>
        <w:tc>
          <w:tcPr>
            <w:tcW w:w="715" w:type="pct"/>
            <w:noWrap/>
          </w:tcPr>
          <w:p w14:paraId="7CD7245F" w14:textId="77777777" w:rsidR="008172BD" w:rsidRPr="00A11CC5" w:rsidRDefault="00C263A8" w:rsidP="00796C38">
            <w:pPr>
              <w:spacing w:before="120" w:after="120"/>
              <w:jc w:val="center"/>
              <w:rPr>
                <w:rFonts w:eastAsia="Times New Roman" w:cs="Arial"/>
                <w:color w:val="auto"/>
                <w:u w:color="FFFFFF" w:themeColor="background1"/>
                <w:lang w:val="en-AU"/>
              </w:rPr>
            </w:pPr>
            <w:r>
              <w:rPr>
                <w:rFonts w:eastAsia="Times New Roman" w:cs="Arial"/>
                <w:color w:val="auto"/>
                <w:u w:color="FFFFFF" w:themeColor="background1"/>
                <w:lang w:val="en-AU"/>
              </w:rPr>
              <w:t>-</w:t>
            </w:r>
          </w:p>
        </w:tc>
        <w:tc>
          <w:tcPr>
            <w:cnfStyle w:val="000100000000" w:firstRow="0" w:lastRow="0" w:firstColumn="0" w:lastColumn="1" w:oddVBand="0" w:evenVBand="0" w:oddHBand="0" w:evenHBand="0" w:firstRowFirstColumn="0" w:firstRowLastColumn="0" w:lastRowFirstColumn="0" w:lastRowLastColumn="0"/>
            <w:tcW w:w="705" w:type="pct"/>
            <w:noWrap/>
          </w:tcPr>
          <w:p w14:paraId="649B4CAA" w14:textId="77777777" w:rsidR="008172BD" w:rsidRPr="00A11CC5" w:rsidRDefault="000A4681" w:rsidP="00796C38">
            <w:pPr>
              <w:spacing w:before="120" w:after="120"/>
              <w:jc w:val="center"/>
              <w:rPr>
                <w:rFonts w:eastAsia="Times New Roman" w:cs="Arial"/>
                <w:color w:val="auto"/>
                <w:u w:color="FFFFFF" w:themeColor="background1"/>
                <w:lang w:val="en-AU"/>
              </w:rPr>
            </w:pPr>
            <w:r>
              <w:rPr>
                <w:rFonts w:eastAsia="Times New Roman" w:cs="Arial"/>
                <w:color w:val="auto"/>
                <w:u w:color="FFFFFF" w:themeColor="background1"/>
                <w:lang w:val="en-AU"/>
              </w:rPr>
              <w:t>45,062</w:t>
            </w:r>
          </w:p>
        </w:tc>
      </w:tr>
    </w:tbl>
    <w:p w14:paraId="070F9156" w14:textId="285F936B" w:rsidR="001504E0" w:rsidRPr="00A11CC5" w:rsidRDefault="001504E0" w:rsidP="002F1970">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r w:rsidRPr="00A11CC5">
        <w:rPr>
          <w:rFonts w:cs="Arial"/>
          <w:u w:color="FFFFFF" w:themeColor="background1"/>
          <w:lang w:val="en-AU"/>
        </w:rPr>
        <w:t xml:space="preserve">, </w:t>
      </w:r>
      <w:r w:rsidR="002B7F82" w:rsidRPr="00A11CC5">
        <w:rPr>
          <w:rFonts w:cs="Arial"/>
          <w:u w:color="FFFFFF" w:themeColor="background1"/>
          <w:lang w:val="en-AU"/>
        </w:rPr>
        <w:t>s</w:t>
      </w:r>
      <w:r w:rsidRPr="00A11CC5">
        <w:rPr>
          <w:rFonts w:cs="Arial"/>
          <w:u w:color="FFFFFF" w:themeColor="background1"/>
          <w:lang w:val="en-AU"/>
        </w:rPr>
        <w:t>tatutory returns under the MRSDA.</w:t>
      </w:r>
    </w:p>
    <w:p w14:paraId="7B47461D" w14:textId="77777777" w:rsidR="00590059" w:rsidRPr="00A11CC5" w:rsidRDefault="00590059" w:rsidP="00A23DBD">
      <w:pPr>
        <w:spacing w:before="120" w:after="120"/>
        <w:rPr>
          <w:rFonts w:eastAsia="Times New Roman" w:cs="Arial"/>
          <w:color w:val="auto"/>
          <w:sz w:val="16"/>
          <w:szCs w:val="16"/>
          <w:u w:color="FFFFFF" w:themeColor="background1"/>
          <w:lang w:val="en-AU"/>
        </w:rPr>
      </w:pPr>
    </w:p>
    <w:p w14:paraId="7859B760" w14:textId="77777777" w:rsidR="00F97074" w:rsidRPr="00A11CC5" w:rsidRDefault="00F97074" w:rsidP="00A23DBD">
      <w:pPr>
        <w:spacing w:before="120" w:after="120"/>
        <w:rPr>
          <w:rFonts w:eastAsia="Times New Roman" w:cs="Arial"/>
          <w:color w:val="auto"/>
          <w:sz w:val="16"/>
          <w:szCs w:val="16"/>
          <w:u w:color="FFFFFF" w:themeColor="background1"/>
          <w:lang w:val="en-AU"/>
        </w:rPr>
      </w:pPr>
      <w:r w:rsidRPr="00A11CC5">
        <w:rPr>
          <w:rFonts w:eastAsia="Times New Roman" w:cs="Arial"/>
          <w:color w:val="auto"/>
          <w:sz w:val="16"/>
          <w:szCs w:val="16"/>
          <w:u w:color="FFFFFF" w:themeColor="background1"/>
          <w:lang w:val="en-AU"/>
        </w:rPr>
        <w:br w:type="page"/>
      </w:r>
    </w:p>
    <w:p w14:paraId="24DCCCFF" w14:textId="7533CDDC" w:rsidR="001504E0" w:rsidRPr="00A11CC5" w:rsidRDefault="001504E0" w:rsidP="001504E0">
      <w:pPr>
        <w:pStyle w:val="Heading1"/>
        <w:rPr>
          <w:rFonts w:cs="Arial"/>
          <w:color w:val="auto"/>
          <w:u w:color="FFFFFF" w:themeColor="background1"/>
          <w:lang w:val="en-AU"/>
        </w:rPr>
      </w:pPr>
      <w:bookmarkStart w:id="10" w:name="_Toc533149011"/>
      <w:r w:rsidRPr="00A11CC5">
        <w:rPr>
          <w:rFonts w:cs="Arial"/>
          <w:color w:val="auto"/>
          <w:u w:color="FFFFFF" w:themeColor="background1"/>
          <w:lang w:val="en-AU"/>
        </w:rPr>
        <w:lastRenderedPageBreak/>
        <w:t xml:space="preserve">Extractive </w:t>
      </w:r>
      <w:r w:rsidR="00D37E9A" w:rsidRPr="00A11CC5">
        <w:rPr>
          <w:rFonts w:cs="Arial"/>
          <w:color w:val="auto"/>
          <w:u w:color="FFFFFF" w:themeColor="background1"/>
          <w:lang w:val="en-AU"/>
        </w:rPr>
        <w:t>resources</w:t>
      </w:r>
      <w:bookmarkEnd w:id="10"/>
    </w:p>
    <w:p w14:paraId="45B11480" w14:textId="77777777" w:rsidR="006A0BAC" w:rsidRPr="00A11CC5" w:rsidRDefault="00D37E9A" w:rsidP="00837CC7">
      <w:pPr>
        <w:spacing w:before="120" w:after="240"/>
        <w:rPr>
          <w:rFonts w:eastAsia="Times New Roman" w:cs="Arial"/>
          <w:color w:val="auto"/>
          <w:u w:color="FFFFFF" w:themeColor="background1"/>
          <w:lang w:val="en-AU"/>
        </w:rPr>
      </w:pPr>
      <w:r w:rsidRPr="00A11CC5">
        <w:rPr>
          <w:rFonts w:eastAsia="Times New Roman" w:cs="Arial"/>
          <w:color w:val="auto"/>
          <w:u w:color="FFFFFF" w:themeColor="background1"/>
          <w:lang w:val="en-AU"/>
        </w:rPr>
        <w:t>Quarries</w:t>
      </w:r>
      <w:r w:rsidR="006A0BAC" w:rsidRPr="00A11CC5">
        <w:rPr>
          <w:rFonts w:eastAsia="Times New Roman" w:cs="Arial"/>
          <w:color w:val="auto"/>
          <w:u w:color="FFFFFF" w:themeColor="background1"/>
          <w:lang w:val="en-AU"/>
        </w:rPr>
        <w:t xml:space="preserve"> produce predominantly hard rock, clay, sand and gravel</w:t>
      </w:r>
      <w:r w:rsidRPr="00A11CC5">
        <w:rPr>
          <w:rFonts w:eastAsia="Times New Roman" w:cs="Arial"/>
          <w:color w:val="auto"/>
          <w:u w:color="FFFFFF" w:themeColor="background1"/>
          <w:lang w:val="en-AU"/>
        </w:rPr>
        <w:t>, which are mostly used for constructing houses, public infrastructure and private sector developments</w:t>
      </w:r>
      <w:r w:rsidR="006A0BAC" w:rsidRPr="00A11CC5">
        <w:rPr>
          <w:rFonts w:eastAsia="Times New Roman" w:cs="Arial"/>
          <w:color w:val="auto"/>
          <w:u w:color="FFFFFF" w:themeColor="background1"/>
          <w:lang w:val="en-AU"/>
        </w:rPr>
        <w:t>.</w:t>
      </w:r>
    </w:p>
    <w:p w14:paraId="356C3F61" w14:textId="03F4CE07" w:rsidR="000E1E7F" w:rsidRPr="00A11CC5" w:rsidRDefault="006A0BAC" w:rsidP="00837CC7">
      <w:pPr>
        <w:spacing w:before="120" w:after="240" w:line="240" w:lineRule="auto"/>
        <w:rPr>
          <w:rFonts w:eastAsia="Times New Roman" w:cs="Arial"/>
          <w:color w:val="auto"/>
          <w:u w:color="FFFFFF" w:themeColor="background1"/>
          <w:lang w:val="en-AU"/>
        </w:rPr>
      </w:pPr>
      <w:r w:rsidRPr="00A11CC5">
        <w:rPr>
          <w:rFonts w:eastAsia="Times New Roman" w:cs="Arial"/>
          <w:color w:val="auto"/>
          <w:u w:color="FFFFFF" w:themeColor="background1"/>
          <w:lang w:val="en-AU"/>
        </w:rPr>
        <w:t>As at 30 June 201</w:t>
      </w:r>
      <w:r w:rsidR="006742CB">
        <w:rPr>
          <w:rFonts w:eastAsia="Times New Roman" w:cs="Arial"/>
          <w:color w:val="auto"/>
          <w:u w:color="FFFFFF" w:themeColor="background1"/>
          <w:lang w:val="en-AU"/>
        </w:rPr>
        <w:t>8</w:t>
      </w:r>
      <w:r w:rsidR="008D0429" w:rsidRPr="00A11CC5">
        <w:rPr>
          <w:rFonts w:eastAsia="Times New Roman" w:cs="Arial"/>
          <w:color w:val="auto"/>
          <w:u w:color="FFFFFF" w:themeColor="background1"/>
          <w:lang w:val="en-AU"/>
        </w:rPr>
        <w:t>, there</w:t>
      </w:r>
      <w:r w:rsidR="00346BF5" w:rsidRPr="00A11CC5">
        <w:rPr>
          <w:rFonts w:eastAsia="Times New Roman" w:cs="Arial"/>
          <w:color w:val="auto"/>
          <w:u w:color="FFFFFF" w:themeColor="background1"/>
          <w:lang w:val="en-AU"/>
        </w:rPr>
        <w:t xml:space="preserve"> were</w:t>
      </w:r>
      <w:r w:rsidRPr="00A11CC5">
        <w:rPr>
          <w:rFonts w:eastAsia="Times New Roman" w:cs="Arial"/>
          <w:color w:val="auto"/>
          <w:u w:color="FFFFFF" w:themeColor="background1"/>
          <w:lang w:val="en-AU"/>
        </w:rPr>
        <w:t xml:space="preserve"> 88</w:t>
      </w:r>
      <w:r w:rsidR="006742CB">
        <w:rPr>
          <w:rFonts w:eastAsia="Times New Roman" w:cs="Arial"/>
          <w:color w:val="auto"/>
          <w:u w:color="FFFFFF" w:themeColor="background1"/>
          <w:lang w:val="en-AU"/>
        </w:rPr>
        <w:t>1</w:t>
      </w:r>
      <w:r w:rsidRPr="00A11CC5">
        <w:rPr>
          <w:rFonts w:eastAsia="Times New Roman" w:cs="Arial"/>
          <w:color w:val="auto"/>
          <w:u w:color="FFFFFF" w:themeColor="background1"/>
          <w:lang w:val="en-AU"/>
        </w:rPr>
        <w:t xml:space="preserve"> </w:t>
      </w:r>
      <w:r w:rsidR="005C76D5" w:rsidRPr="00A11CC5">
        <w:rPr>
          <w:rFonts w:eastAsia="Times New Roman" w:cs="Arial"/>
          <w:color w:val="auto"/>
          <w:u w:color="FFFFFF" w:themeColor="background1"/>
          <w:lang w:val="en-AU"/>
        </w:rPr>
        <w:t>current</w:t>
      </w:r>
      <w:r w:rsidR="00346BF5" w:rsidRPr="00A11CC5">
        <w:rPr>
          <w:rFonts w:eastAsia="Times New Roman" w:cs="Arial"/>
          <w:color w:val="auto"/>
          <w:u w:color="FFFFFF" w:themeColor="background1"/>
          <w:lang w:val="en-AU"/>
        </w:rPr>
        <w:t xml:space="preserve"> work authorities </w:t>
      </w:r>
      <w:r w:rsidR="005C76D5" w:rsidRPr="00A11CC5">
        <w:rPr>
          <w:rFonts w:eastAsia="Times New Roman" w:cs="Arial"/>
          <w:color w:val="auto"/>
          <w:u w:color="FFFFFF" w:themeColor="background1"/>
          <w:lang w:val="en-AU"/>
        </w:rPr>
        <w:t xml:space="preserve">for quarries </w:t>
      </w:r>
      <w:r w:rsidR="00346BF5" w:rsidRPr="00A11CC5">
        <w:rPr>
          <w:rFonts w:eastAsia="Times New Roman" w:cs="Arial"/>
          <w:color w:val="auto"/>
          <w:u w:color="FFFFFF" w:themeColor="background1"/>
          <w:lang w:val="en-AU"/>
        </w:rPr>
        <w:t>granted</w:t>
      </w:r>
      <w:r w:rsidRPr="00A11CC5">
        <w:rPr>
          <w:rFonts w:eastAsia="Times New Roman" w:cs="Arial"/>
          <w:color w:val="auto"/>
          <w:u w:color="FFFFFF" w:themeColor="background1"/>
          <w:lang w:val="en-AU"/>
        </w:rPr>
        <w:t xml:space="preserve"> under the MRSDA. The total number of quarries has remained </w:t>
      </w:r>
      <w:r w:rsidR="00D37E9A" w:rsidRPr="00A11CC5">
        <w:rPr>
          <w:rFonts w:eastAsia="Times New Roman" w:cs="Arial"/>
          <w:color w:val="auto"/>
          <w:u w:color="FFFFFF" w:themeColor="background1"/>
          <w:lang w:val="en-AU"/>
        </w:rPr>
        <w:t xml:space="preserve">relatively </w:t>
      </w:r>
      <w:r w:rsidRPr="00A11CC5">
        <w:rPr>
          <w:rFonts w:eastAsia="Times New Roman" w:cs="Arial"/>
          <w:color w:val="auto"/>
          <w:u w:color="FFFFFF" w:themeColor="background1"/>
          <w:lang w:val="en-AU"/>
        </w:rPr>
        <w:t>stable over the last decade.</w:t>
      </w:r>
    </w:p>
    <w:p w14:paraId="14C82DA7" w14:textId="2B553057" w:rsidR="006A0BAC" w:rsidRPr="00A11CC5" w:rsidRDefault="006A0BAC" w:rsidP="00A23DBD">
      <w:pPr>
        <w:spacing w:before="120" w:after="120" w:line="240" w:lineRule="auto"/>
        <w:jc w:val="both"/>
        <w:rPr>
          <w:rFonts w:eastAsia="Times New Roman" w:cs="Arial"/>
          <w:b/>
          <w:color w:val="auto"/>
          <w:szCs w:val="24"/>
          <w:u w:color="FFFFFF" w:themeColor="background1"/>
          <w:lang w:val="en-AU"/>
        </w:rPr>
      </w:pPr>
      <w:bookmarkStart w:id="11" w:name="_Hlk514319498"/>
      <w:r w:rsidRPr="00A11CC5">
        <w:rPr>
          <w:rFonts w:eastAsia="Times New Roman" w:cs="Arial"/>
          <w:b/>
          <w:color w:val="auto"/>
          <w:szCs w:val="24"/>
          <w:u w:color="FFFFFF" w:themeColor="background1"/>
          <w:lang w:val="en-AU"/>
        </w:rPr>
        <w:t xml:space="preserve">Table </w:t>
      </w:r>
      <w:r w:rsidR="002B7F82" w:rsidRPr="00A11CC5">
        <w:rPr>
          <w:rFonts w:eastAsia="Times New Roman" w:cs="Arial"/>
          <w:b/>
          <w:color w:val="auto"/>
          <w:szCs w:val="24"/>
          <w:u w:color="FFFFFF" w:themeColor="background1"/>
          <w:lang w:val="en-AU"/>
        </w:rPr>
        <w:t>3</w:t>
      </w:r>
      <w:r w:rsidRPr="00A11CC5">
        <w:rPr>
          <w:rFonts w:eastAsia="Times New Roman" w:cs="Arial"/>
          <w:b/>
          <w:color w:val="auto"/>
          <w:szCs w:val="24"/>
          <w:u w:color="FFFFFF" w:themeColor="background1"/>
          <w:lang w:val="en-AU"/>
        </w:rPr>
        <w:t>.1 Status of extractive industry work authorities* as at 30 June 201</w:t>
      </w:r>
      <w:r w:rsidR="002C6591">
        <w:rPr>
          <w:rFonts w:eastAsia="Times New Roman" w:cs="Arial"/>
          <w:b/>
          <w:color w:val="auto"/>
          <w:szCs w:val="24"/>
          <w:u w:color="FFFFFF" w:themeColor="background1"/>
          <w:lang w:val="en-AU"/>
        </w:rPr>
        <w:t>8</w:t>
      </w:r>
    </w:p>
    <w:tbl>
      <w:tblPr>
        <w:tblStyle w:val="GridTable4-Accent1"/>
        <w:tblW w:w="4954" w:type="pct"/>
        <w:tblLook w:val="04A0" w:firstRow="1" w:lastRow="0" w:firstColumn="1" w:lastColumn="0" w:noHBand="0" w:noVBand="1"/>
        <w:tblCaption w:val="Tenements at 30 June 2016"/>
        <w:tblDescription w:val="31 Applications and 888 current work authorities. These are recorded when an applicant pays and application fee."/>
      </w:tblPr>
      <w:tblGrid>
        <w:gridCol w:w="4028"/>
        <w:gridCol w:w="3726"/>
        <w:gridCol w:w="2223"/>
      </w:tblGrid>
      <w:tr w:rsidR="00A11CC5" w:rsidRPr="00A11CC5" w14:paraId="67B54EBB" w14:textId="77777777" w:rsidTr="00F608A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18" w:type="pct"/>
            <w:noWrap/>
            <w:hideMark/>
          </w:tcPr>
          <w:bookmarkEnd w:id="11"/>
          <w:p w14:paraId="5E8C2919" w14:textId="77777777" w:rsidR="006A0BAC" w:rsidRPr="00F608A7" w:rsidRDefault="006A0BAC" w:rsidP="00A23DBD">
            <w:pPr>
              <w:spacing w:before="120" w:after="120"/>
              <w:jc w:val="both"/>
              <w:rPr>
                <w:rFonts w:eastAsia="Times New Roman" w:cs="Arial"/>
                <w:b w:val="0"/>
                <w:color w:val="FFFFFF" w:themeColor="background1"/>
                <w:szCs w:val="24"/>
                <w:u w:color="FFFFFF" w:themeColor="background1"/>
                <w:lang w:val="en-AU"/>
              </w:rPr>
            </w:pPr>
            <w:r w:rsidRPr="00F608A7">
              <w:rPr>
                <w:rFonts w:eastAsia="Times New Roman" w:cs="Arial"/>
                <w:color w:val="FFFFFF" w:themeColor="background1"/>
                <w:szCs w:val="24"/>
                <w:u w:color="FFFFFF" w:themeColor="background1"/>
                <w:lang w:val="en-AU"/>
              </w:rPr>
              <w:t>Tenement</w:t>
            </w:r>
          </w:p>
        </w:tc>
        <w:tc>
          <w:tcPr>
            <w:tcW w:w="1867" w:type="pct"/>
            <w:noWrap/>
            <w:hideMark/>
          </w:tcPr>
          <w:p w14:paraId="42117E39" w14:textId="77777777" w:rsidR="006A0BAC" w:rsidRPr="00F608A7" w:rsidRDefault="006A0BAC" w:rsidP="00A23DBD">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Cs w:val="24"/>
                <w:u w:color="FFFFFF" w:themeColor="background1"/>
                <w:lang w:val="en-AU"/>
              </w:rPr>
            </w:pPr>
            <w:r w:rsidRPr="00F608A7">
              <w:rPr>
                <w:rFonts w:eastAsia="Times New Roman" w:cs="Arial"/>
                <w:color w:val="FFFFFF" w:themeColor="background1"/>
                <w:szCs w:val="24"/>
                <w:u w:color="FFFFFF" w:themeColor="background1"/>
                <w:lang w:val="en-AU"/>
              </w:rPr>
              <w:t>Application**</w:t>
            </w:r>
          </w:p>
        </w:tc>
        <w:tc>
          <w:tcPr>
            <w:tcW w:w="1114" w:type="pct"/>
            <w:noWrap/>
            <w:hideMark/>
          </w:tcPr>
          <w:p w14:paraId="342417E4" w14:textId="77777777" w:rsidR="006A0BAC" w:rsidRPr="00F608A7" w:rsidRDefault="006A0BAC" w:rsidP="00A23DBD">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Cs w:val="24"/>
                <w:u w:color="FFFFFF" w:themeColor="background1"/>
                <w:lang w:val="en-AU"/>
              </w:rPr>
            </w:pPr>
            <w:r w:rsidRPr="00F608A7">
              <w:rPr>
                <w:rFonts w:eastAsia="Times New Roman" w:cs="Arial"/>
                <w:color w:val="FFFFFF" w:themeColor="background1"/>
                <w:szCs w:val="24"/>
                <w:u w:color="FFFFFF" w:themeColor="background1"/>
                <w:lang w:val="en-AU"/>
              </w:rPr>
              <w:t>Current</w:t>
            </w:r>
          </w:p>
        </w:tc>
      </w:tr>
      <w:tr w:rsidR="00A11CC5" w:rsidRPr="00A11CC5" w14:paraId="3DC714E9" w14:textId="77777777" w:rsidTr="00F608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18" w:type="pct"/>
            <w:noWrap/>
            <w:hideMark/>
          </w:tcPr>
          <w:p w14:paraId="319A5206" w14:textId="77777777" w:rsidR="006A0BAC" w:rsidRPr="00A11CC5" w:rsidRDefault="006A0BAC" w:rsidP="00A23DBD">
            <w:pPr>
              <w:spacing w:before="120" w:after="120"/>
              <w:jc w:val="both"/>
              <w:rPr>
                <w:rFonts w:eastAsia="Times New Roman" w:cs="Arial"/>
                <w:b w:val="0"/>
                <w:color w:val="auto"/>
                <w:szCs w:val="24"/>
                <w:u w:color="FFFFFF" w:themeColor="background1"/>
                <w:lang w:val="en-AU"/>
              </w:rPr>
            </w:pPr>
            <w:r w:rsidRPr="00A11CC5">
              <w:rPr>
                <w:rFonts w:eastAsia="Times New Roman" w:cs="Arial"/>
                <w:b w:val="0"/>
                <w:color w:val="auto"/>
                <w:szCs w:val="24"/>
                <w:u w:color="FFFFFF" w:themeColor="background1"/>
                <w:lang w:val="en-AU"/>
              </w:rPr>
              <w:t>Work Authority</w:t>
            </w:r>
          </w:p>
        </w:tc>
        <w:tc>
          <w:tcPr>
            <w:tcW w:w="1867" w:type="pct"/>
            <w:noWrap/>
          </w:tcPr>
          <w:p w14:paraId="08496DD9" w14:textId="253DF567" w:rsidR="006A0BAC" w:rsidRPr="00A11CC5" w:rsidRDefault="00262042"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u w:color="FFFFFF" w:themeColor="background1"/>
                <w:lang w:val="en-AU"/>
              </w:rPr>
            </w:pPr>
            <w:r w:rsidRPr="00A11CC5">
              <w:rPr>
                <w:rFonts w:eastAsia="Times New Roman" w:cs="Arial"/>
                <w:color w:val="auto"/>
                <w:szCs w:val="24"/>
                <w:u w:color="FFFFFF" w:themeColor="background1"/>
                <w:lang w:val="en-AU"/>
              </w:rPr>
              <w:t>2</w:t>
            </w:r>
            <w:r w:rsidR="0030594E">
              <w:rPr>
                <w:rFonts w:eastAsia="Times New Roman" w:cs="Arial"/>
                <w:color w:val="auto"/>
                <w:szCs w:val="24"/>
                <w:u w:color="FFFFFF" w:themeColor="background1"/>
                <w:lang w:val="en-AU"/>
              </w:rPr>
              <w:t>4</w:t>
            </w:r>
          </w:p>
        </w:tc>
        <w:tc>
          <w:tcPr>
            <w:tcW w:w="1114" w:type="pct"/>
            <w:noWrap/>
          </w:tcPr>
          <w:p w14:paraId="0407E41E" w14:textId="77777777" w:rsidR="006A0BAC" w:rsidRPr="00A11CC5" w:rsidRDefault="00685116"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4"/>
                <w:u w:color="FFFFFF" w:themeColor="background1"/>
                <w:lang w:val="en-AU"/>
              </w:rPr>
            </w:pPr>
            <w:r w:rsidRPr="00A11CC5">
              <w:rPr>
                <w:rFonts w:eastAsia="Times New Roman" w:cs="Arial"/>
                <w:color w:val="auto"/>
                <w:szCs w:val="24"/>
                <w:u w:color="FFFFFF" w:themeColor="background1"/>
                <w:lang w:val="en-AU"/>
              </w:rPr>
              <w:t>88</w:t>
            </w:r>
            <w:r w:rsidR="00FB4401">
              <w:rPr>
                <w:rFonts w:eastAsia="Times New Roman" w:cs="Arial"/>
                <w:color w:val="auto"/>
                <w:szCs w:val="24"/>
                <w:u w:color="FFFFFF" w:themeColor="background1"/>
                <w:lang w:val="en-AU"/>
              </w:rPr>
              <w:t>1</w:t>
            </w:r>
          </w:p>
        </w:tc>
      </w:tr>
    </w:tbl>
    <w:p w14:paraId="197A0976" w14:textId="2917D297" w:rsidR="006A0BAC" w:rsidRPr="00A11CC5" w:rsidRDefault="006A0BAC" w:rsidP="002F1970">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p>
    <w:p w14:paraId="79C9AD09" w14:textId="77777777" w:rsidR="009B1B6E" w:rsidRPr="00A11CC5" w:rsidRDefault="009B1B6E" w:rsidP="009B1B6E">
      <w:pPr>
        <w:rPr>
          <w:color w:val="auto"/>
          <w:lang w:val="en-AU"/>
        </w:rPr>
      </w:pPr>
    </w:p>
    <w:p w14:paraId="490022D0" w14:textId="77777777" w:rsidR="006A0BAC" w:rsidRPr="00A11CC5" w:rsidRDefault="006A0BAC" w:rsidP="00A23DBD">
      <w:pPr>
        <w:spacing w:before="120" w:after="120" w:line="240" w:lineRule="auto"/>
        <w:rPr>
          <w:rFonts w:eastAsia="Times New Roman" w:cs="Arial"/>
          <w:color w:val="auto"/>
          <w:sz w:val="16"/>
          <w:szCs w:val="16"/>
          <w:u w:color="FFFFFF" w:themeColor="background1"/>
          <w:lang w:val="en-AU"/>
        </w:rPr>
      </w:pPr>
      <w:r w:rsidRPr="00A11CC5">
        <w:rPr>
          <w:rFonts w:eastAsia="Times New Roman" w:cs="Arial"/>
          <w:color w:val="auto"/>
          <w:sz w:val="16"/>
          <w:szCs w:val="16"/>
          <w:u w:color="FFFFFF" w:themeColor="background1"/>
          <w:lang w:val="en-AU"/>
        </w:rPr>
        <w:t>*A Work Authority is granted under the MRSDA.</w:t>
      </w:r>
    </w:p>
    <w:p w14:paraId="254458CF" w14:textId="6235B507" w:rsidR="006A0BAC" w:rsidRPr="00A11CC5" w:rsidRDefault="006A0BAC" w:rsidP="00A23DBD">
      <w:pPr>
        <w:spacing w:before="120" w:after="120" w:line="240" w:lineRule="auto"/>
        <w:rPr>
          <w:rFonts w:eastAsia="Times New Roman" w:cs="Arial"/>
          <w:color w:val="auto"/>
          <w:sz w:val="16"/>
          <w:szCs w:val="16"/>
          <w:u w:color="FFFFFF" w:themeColor="background1"/>
          <w:lang w:val="en-AU"/>
        </w:rPr>
      </w:pPr>
      <w:r w:rsidRPr="00A11CC5">
        <w:rPr>
          <w:rFonts w:eastAsia="Times New Roman" w:cs="Arial"/>
          <w:color w:val="auto"/>
          <w:sz w:val="16"/>
          <w:szCs w:val="16"/>
          <w:u w:color="FFFFFF" w:themeColor="background1"/>
          <w:lang w:val="en-AU"/>
        </w:rPr>
        <w:t>**</w:t>
      </w:r>
      <w:r w:rsidR="000F4FE9" w:rsidRPr="00A11CC5">
        <w:rPr>
          <w:rFonts w:eastAsia="Times New Roman" w:cs="Arial"/>
          <w:color w:val="auto"/>
          <w:sz w:val="16"/>
          <w:szCs w:val="16"/>
          <w:u w:color="FFFFFF" w:themeColor="background1"/>
          <w:lang w:val="en-AU"/>
        </w:rPr>
        <w:t xml:space="preserve">This is when an applicant has paid a </w:t>
      </w:r>
      <w:r w:rsidRPr="00A11CC5">
        <w:rPr>
          <w:rFonts w:eastAsia="Times New Roman" w:cs="Arial"/>
          <w:color w:val="auto"/>
          <w:sz w:val="16"/>
          <w:szCs w:val="16"/>
          <w:u w:color="FFFFFF" w:themeColor="background1"/>
          <w:lang w:val="en-AU"/>
        </w:rPr>
        <w:t xml:space="preserve">Work Authority application </w:t>
      </w:r>
      <w:r w:rsidR="000F4FE9" w:rsidRPr="00A11CC5">
        <w:rPr>
          <w:rFonts w:eastAsia="Times New Roman" w:cs="Arial"/>
          <w:color w:val="auto"/>
          <w:sz w:val="16"/>
          <w:szCs w:val="16"/>
          <w:u w:color="FFFFFF" w:themeColor="background1"/>
          <w:lang w:val="en-AU"/>
        </w:rPr>
        <w:t>fee</w:t>
      </w:r>
      <w:r w:rsidRPr="00A11CC5">
        <w:rPr>
          <w:rFonts w:eastAsia="Times New Roman" w:cs="Arial"/>
          <w:color w:val="auto"/>
          <w:sz w:val="16"/>
          <w:szCs w:val="16"/>
          <w:u w:color="FFFFFF" w:themeColor="background1"/>
          <w:lang w:val="en-AU"/>
        </w:rPr>
        <w:t>.</w:t>
      </w:r>
    </w:p>
    <w:p w14:paraId="4A0FCF78" w14:textId="264FDF7D" w:rsidR="009B1B6E" w:rsidRPr="00A11CC5" w:rsidRDefault="009B1B6E" w:rsidP="00A23DBD">
      <w:pPr>
        <w:spacing w:before="120" w:after="120" w:line="240" w:lineRule="auto"/>
        <w:rPr>
          <w:rFonts w:eastAsia="Times New Roman" w:cs="Arial"/>
          <w:color w:val="auto"/>
          <w:sz w:val="16"/>
          <w:szCs w:val="16"/>
          <w:u w:color="FFFFFF" w:themeColor="background1"/>
          <w:lang w:val="en-AU"/>
        </w:rPr>
      </w:pPr>
    </w:p>
    <w:p w14:paraId="5B97195D" w14:textId="77777777" w:rsidR="009B1B6E" w:rsidRPr="00A11CC5" w:rsidRDefault="009B1B6E" w:rsidP="00A23DBD">
      <w:pPr>
        <w:spacing w:before="120" w:after="120" w:line="240" w:lineRule="auto"/>
        <w:rPr>
          <w:rFonts w:eastAsia="Times New Roman" w:cs="Arial"/>
          <w:color w:val="auto"/>
          <w:sz w:val="16"/>
          <w:szCs w:val="16"/>
          <w:u w:color="FFFFFF" w:themeColor="background1"/>
          <w:lang w:val="en-AU"/>
        </w:rPr>
      </w:pPr>
    </w:p>
    <w:p w14:paraId="4EB4FEC5" w14:textId="3672EF2E" w:rsidR="006A0BAC" w:rsidRDefault="006A0BAC" w:rsidP="00A23DBD">
      <w:pPr>
        <w:spacing w:before="120" w:after="120" w:line="240" w:lineRule="auto"/>
        <w:jc w:val="both"/>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 xml:space="preserve">Graph </w:t>
      </w:r>
      <w:r w:rsidR="002B7F82" w:rsidRPr="00A11CC5">
        <w:rPr>
          <w:rFonts w:eastAsia="Times New Roman" w:cs="Arial"/>
          <w:b/>
          <w:color w:val="auto"/>
          <w:szCs w:val="24"/>
          <w:u w:color="FFFFFF" w:themeColor="background1"/>
          <w:lang w:val="en-AU"/>
        </w:rPr>
        <w:t>3</w:t>
      </w:r>
      <w:r w:rsidRPr="00A11CC5">
        <w:rPr>
          <w:rFonts w:eastAsia="Times New Roman" w:cs="Arial"/>
          <w:b/>
          <w:color w:val="auto"/>
          <w:szCs w:val="24"/>
          <w:u w:color="FFFFFF" w:themeColor="background1"/>
          <w:lang w:val="en-AU"/>
        </w:rPr>
        <w:t>.1 Extractive industry quarries</w:t>
      </w:r>
      <w:r w:rsidR="009F070E" w:rsidRPr="00A11CC5">
        <w:rPr>
          <w:rFonts w:eastAsia="Times New Roman" w:cs="Arial"/>
          <w:b/>
          <w:color w:val="auto"/>
          <w:szCs w:val="24"/>
          <w:u w:color="FFFFFF" w:themeColor="background1"/>
          <w:lang w:val="en-AU"/>
        </w:rPr>
        <w:t xml:space="preserve"> </w:t>
      </w:r>
      <w:r w:rsidR="000C1FE7" w:rsidRPr="00A11CC5">
        <w:rPr>
          <w:rFonts w:eastAsia="Times New Roman" w:cs="Arial"/>
          <w:b/>
          <w:color w:val="auto"/>
          <w:szCs w:val="24"/>
          <w:u w:color="FFFFFF" w:themeColor="background1"/>
          <w:lang w:val="en-AU"/>
        </w:rPr>
        <w:t>201</w:t>
      </w:r>
      <w:r w:rsidR="000F1F4F" w:rsidRPr="00A11CC5">
        <w:rPr>
          <w:rFonts w:eastAsia="Times New Roman" w:cs="Arial"/>
          <w:b/>
          <w:color w:val="auto"/>
          <w:szCs w:val="24"/>
          <w:u w:color="FFFFFF" w:themeColor="background1"/>
          <w:lang w:val="en-AU"/>
        </w:rPr>
        <w:t>2</w:t>
      </w:r>
      <w:r w:rsidR="000C1FE7" w:rsidRPr="00A11CC5">
        <w:rPr>
          <w:rFonts w:eastAsia="Times New Roman" w:cs="Arial"/>
          <w:b/>
          <w:color w:val="auto"/>
          <w:szCs w:val="24"/>
          <w:u w:color="FFFFFF" w:themeColor="background1"/>
          <w:lang w:val="en-AU"/>
        </w:rPr>
        <w:t>-1</w:t>
      </w:r>
      <w:r w:rsidR="000F1F4F" w:rsidRPr="00A11CC5">
        <w:rPr>
          <w:rFonts w:eastAsia="Times New Roman" w:cs="Arial"/>
          <w:b/>
          <w:color w:val="auto"/>
          <w:szCs w:val="24"/>
          <w:u w:color="FFFFFF" w:themeColor="background1"/>
          <w:lang w:val="en-AU"/>
        </w:rPr>
        <w:t>3</w:t>
      </w:r>
      <w:r w:rsidR="000C1FE7" w:rsidRPr="00A11CC5">
        <w:rPr>
          <w:rFonts w:eastAsia="Times New Roman" w:cs="Arial"/>
          <w:b/>
          <w:color w:val="auto"/>
          <w:szCs w:val="24"/>
          <w:u w:color="FFFFFF" w:themeColor="background1"/>
          <w:lang w:val="en-AU"/>
        </w:rPr>
        <w:t xml:space="preserve"> </w:t>
      </w:r>
      <w:r w:rsidR="009F070E" w:rsidRPr="00A11CC5">
        <w:rPr>
          <w:rFonts w:eastAsia="Times New Roman" w:cs="Arial"/>
          <w:b/>
          <w:color w:val="auto"/>
          <w:szCs w:val="24"/>
          <w:u w:color="FFFFFF" w:themeColor="background1"/>
          <w:lang w:val="en-AU"/>
        </w:rPr>
        <w:t xml:space="preserve">to </w:t>
      </w:r>
      <w:r w:rsidR="00EE297A" w:rsidRPr="00A11CC5">
        <w:rPr>
          <w:rFonts w:eastAsia="Times New Roman" w:cs="Arial"/>
          <w:b/>
          <w:color w:val="auto"/>
          <w:szCs w:val="24"/>
          <w:u w:color="FFFFFF" w:themeColor="background1"/>
          <w:lang w:val="en-AU"/>
        </w:rPr>
        <w:t>201</w:t>
      </w:r>
      <w:r w:rsidR="009C72DB">
        <w:rPr>
          <w:rFonts w:eastAsia="Times New Roman" w:cs="Arial"/>
          <w:b/>
          <w:color w:val="auto"/>
          <w:szCs w:val="24"/>
          <w:u w:color="FFFFFF" w:themeColor="background1"/>
          <w:lang w:val="en-AU"/>
        </w:rPr>
        <w:t>7-18</w:t>
      </w:r>
      <w:r w:rsidR="00046093">
        <w:rPr>
          <w:rFonts w:eastAsia="Times New Roman" w:cs="Arial"/>
          <w:b/>
          <w:color w:val="auto"/>
          <w:szCs w:val="24"/>
          <w:u w:color="FFFFFF" w:themeColor="background1"/>
          <w:lang w:val="en-AU"/>
        </w:rPr>
        <w:t>^</w:t>
      </w:r>
    </w:p>
    <w:p w14:paraId="0FB3C735" w14:textId="49E655BA" w:rsidR="008F3C47" w:rsidRDefault="008F3C47" w:rsidP="00A23DBD">
      <w:pPr>
        <w:spacing w:before="120" w:after="120" w:line="240" w:lineRule="auto"/>
        <w:jc w:val="both"/>
        <w:rPr>
          <w:rFonts w:eastAsia="Times New Roman" w:cs="Arial"/>
          <w:b/>
          <w:color w:val="auto"/>
          <w:szCs w:val="24"/>
          <w:u w:color="FFFFFF" w:themeColor="background1"/>
          <w:lang w:val="en-AU"/>
        </w:rPr>
      </w:pPr>
    </w:p>
    <w:p w14:paraId="24738BF3" w14:textId="6BD9796A" w:rsidR="008F3C47" w:rsidRPr="00A11CC5" w:rsidRDefault="008F3C47" w:rsidP="00A23DBD">
      <w:pPr>
        <w:spacing w:before="120" w:after="120" w:line="240" w:lineRule="auto"/>
        <w:jc w:val="both"/>
        <w:rPr>
          <w:rFonts w:eastAsia="Times New Roman" w:cs="Arial"/>
          <w:color w:val="auto"/>
          <w:szCs w:val="24"/>
          <w:u w:color="FFFFFF" w:themeColor="background1"/>
          <w:lang w:val="en-AU"/>
        </w:rPr>
      </w:pPr>
      <w:r>
        <w:rPr>
          <w:rFonts w:eastAsia="Times New Roman" w:cs="Arial"/>
          <w:noProof/>
          <w:color w:val="auto"/>
          <w:szCs w:val="24"/>
          <w:u w:color="FFFFFF" w:themeColor="background1"/>
          <w:lang w:val="en-AU"/>
        </w:rPr>
        <w:drawing>
          <wp:inline distT="0" distB="0" distL="0" distR="0" wp14:anchorId="1113D085" wp14:editId="5FA173E0">
            <wp:extent cx="6581955" cy="32004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95C4D53" w14:textId="77777777" w:rsidR="00275B85" w:rsidRPr="00A11CC5" w:rsidRDefault="00275B85" w:rsidP="00275B85">
      <w:pPr>
        <w:spacing w:after="120"/>
        <w:jc w:val="both"/>
        <w:rPr>
          <w:rFonts w:cs="Arial"/>
          <w:color w:val="auto"/>
          <w:sz w:val="16"/>
          <w:szCs w:val="16"/>
          <w:u w:color="FFFFFF" w:themeColor="background1"/>
          <w:lang w:val="en-AU"/>
        </w:rPr>
      </w:pPr>
      <w:r w:rsidRPr="00A11CC5">
        <w:rPr>
          <w:rFonts w:cs="Arial"/>
          <w:color w:val="auto"/>
          <w:sz w:val="16"/>
          <w:szCs w:val="16"/>
          <w:u w:color="FFFFFF" w:themeColor="background1"/>
          <w:lang w:val="en-AU"/>
        </w:rPr>
        <w:t xml:space="preserve">^Data as at </w:t>
      </w:r>
      <w:r>
        <w:rPr>
          <w:rFonts w:cs="Arial"/>
          <w:color w:val="auto"/>
          <w:sz w:val="16"/>
          <w:szCs w:val="16"/>
          <w:u w:color="FFFFFF" w:themeColor="background1"/>
          <w:lang w:val="en-AU"/>
        </w:rPr>
        <w:t>17/12</w:t>
      </w:r>
      <w:r w:rsidRPr="00A11CC5">
        <w:rPr>
          <w:rFonts w:cs="Arial"/>
          <w:color w:val="auto"/>
          <w:sz w:val="16"/>
          <w:szCs w:val="16"/>
          <w:u w:color="FFFFFF" w:themeColor="background1"/>
          <w:lang w:val="en-AU"/>
        </w:rPr>
        <w:t>/2018</w:t>
      </w:r>
      <w:r>
        <w:rPr>
          <w:rFonts w:cs="Arial"/>
          <w:color w:val="auto"/>
          <w:sz w:val="16"/>
          <w:szCs w:val="16"/>
          <w:u w:color="FFFFFF" w:themeColor="background1"/>
          <w:lang w:val="en-AU"/>
        </w:rPr>
        <w:t xml:space="preserve"> from Production and Royalty Reports on</w:t>
      </w:r>
      <w:r w:rsidRPr="009A41EF">
        <w:rPr>
          <w:rFonts w:cs="Arial"/>
          <w:color w:val="auto"/>
          <w:sz w:val="16"/>
          <w:szCs w:val="16"/>
          <w:u w:color="FFFFFF" w:themeColor="background1"/>
          <w:lang w:val="en-AU"/>
        </w:rPr>
        <w:t xml:space="preserve"> </w:t>
      </w:r>
      <w:r>
        <w:rPr>
          <w:rFonts w:cs="Arial"/>
          <w:color w:val="auto"/>
          <w:sz w:val="16"/>
          <w:szCs w:val="16"/>
          <w:u w:color="FFFFFF" w:themeColor="background1"/>
          <w:lang w:val="en-AU"/>
        </w:rPr>
        <w:t>Work Authorities. received from the industry (84%).</w:t>
      </w:r>
    </w:p>
    <w:p w14:paraId="109E9A52" w14:textId="5DB0A354" w:rsidR="006A0BAC" w:rsidRPr="00A11CC5" w:rsidRDefault="006A0BAC" w:rsidP="006A0BAC">
      <w:pPr>
        <w:spacing w:after="0" w:line="240" w:lineRule="auto"/>
        <w:jc w:val="both"/>
        <w:rPr>
          <w:rFonts w:eastAsia="Times New Roman" w:cs="Arial"/>
          <w:color w:val="auto"/>
          <w:szCs w:val="24"/>
          <w:u w:color="FFFFFF" w:themeColor="background1"/>
          <w:lang w:val="en-AU"/>
        </w:rPr>
      </w:pPr>
    </w:p>
    <w:p w14:paraId="2F92EB98" w14:textId="410D478C" w:rsidR="006A0BAC" w:rsidRPr="00A11CC5" w:rsidRDefault="006A0BAC" w:rsidP="002F1970">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p>
    <w:p w14:paraId="3264FBB7" w14:textId="77777777" w:rsidR="006A0BAC" w:rsidRPr="00036014" w:rsidRDefault="006A0BAC" w:rsidP="00A23DBD">
      <w:pPr>
        <w:spacing w:before="120" w:after="120"/>
        <w:rPr>
          <w:rFonts w:eastAsia="Times New Roman" w:cs="Arial"/>
          <w:color w:val="auto"/>
          <w:u w:color="FFFFFF" w:themeColor="background1"/>
          <w:lang w:val="en-AU"/>
        </w:rPr>
      </w:pPr>
      <w:r w:rsidRPr="00036014">
        <w:rPr>
          <w:rFonts w:eastAsia="Times New Roman" w:cs="Arial"/>
          <w:color w:val="auto"/>
          <w:u w:color="FFFFFF" w:themeColor="background1"/>
          <w:lang w:val="en-AU"/>
        </w:rPr>
        <w:t>Sales of quarry products fluctuate based on the demand from the domestic building and construction sector.</w:t>
      </w:r>
      <w:r w:rsidR="00FC3FAD" w:rsidRPr="00036014">
        <w:rPr>
          <w:rFonts w:eastAsia="Times New Roman" w:cs="Arial"/>
          <w:color w:val="auto"/>
          <w:u w:color="FFFFFF" w:themeColor="background1"/>
          <w:lang w:val="en-AU"/>
        </w:rPr>
        <w:t xml:space="preserve"> </w:t>
      </w:r>
    </w:p>
    <w:p w14:paraId="5269ADFE" w14:textId="7588BF8B" w:rsidR="009D4F5C" w:rsidRPr="00393978" w:rsidRDefault="00275B85" w:rsidP="00393978">
      <w:pPr>
        <w:spacing w:after="120"/>
        <w:jc w:val="both"/>
        <w:rPr>
          <w:rFonts w:cs="Arial"/>
          <w:color w:val="auto"/>
          <w:sz w:val="16"/>
          <w:szCs w:val="16"/>
          <w:u w:color="FFFFFF" w:themeColor="background1"/>
          <w:lang w:val="en-AU"/>
        </w:rPr>
      </w:pPr>
      <w:r>
        <w:rPr>
          <w:rFonts w:eastAsia="Times New Roman" w:cs="Arial"/>
          <w:color w:val="auto"/>
          <w:u w:color="FFFFFF" w:themeColor="background1"/>
          <w:lang w:val="en-AU"/>
        </w:rPr>
        <w:t>As at 17/12/2018, a</w:t>
      </w:r>
      <w:r w:rsidR="006A0BAC" w:rsidRPr="00036014">
        <w:rPr>
          <w:rFonts w:eastAsia="Times New Roman" w:cs="Arial"/>
          <w:color w:val="auto"/>
          <w:u w:color="FFFFFF" w:themeColor="background1"/>
          <w:lang w:val="en-AU"/>
        </w:rPr>
        <w:t xml:space="preserve"> total of </w:t>
      </w:r>
      <w:r w:rsidR="008A15B7" w:rsidRPr="00036014">
        <w:rPr>
          <w:rFonts w:eastAsia="Times New Roman" w:cs="Arial"/>
          <w:color w:val="auto"/>
          <w:u w:color="FFFFFF" w:themeColor="background1"/>
          <w:lang w:val="en-AU"/>
        </w:rPr>
        <w:t>4</w:t>
      </w:r>
      <w:r w:rsidR="009A41EF">
        <w:rPr>
          <w:rFonts w:eastAsia="Times New Roman" w:cs="Arial"/>
          <w:color w:val="auto"/>
          <w:u w:color="FFFFFF" w:themeColor="background1"/>
          <w:lang w:val="en-AU"/>
        </w:rPr>
        <w:t>91</w:t>
      </w:r>
      <w:r w:rsidR="006A0BAC" w:rsidRPr="00036014">
        <w:rPr>
          <w:rFonts w:eastAsia="Times New Roman" w:cs="Arial"/>
          <w:color w:val="auto"/>
          <w:u w:color="FFFFFF" w:themeColor="background1"/>
          <w:lang w:val="en-AU"/>
        </w:rPr>
        <w:t xml:space="preserve"> quarries reported production </w:t>
      </w:r>
      <w:r w:rsidR="00BF0123">
        <w:rPr>
          <w:rFonts w:eastAsia="Times New Roman" w:cs="Arial"/>
          <w:color w:val="auto"/>
          <w:u w:color="FFFFFF" w:themeColor="background1"/>
          <w:lang w:val="en-AU"/>
        </w:rPr>
        <w:t>in 2017/18</w:t>
      </w:r>
      <w:r w:rsidR="00393978">
        <w:rPr>
          <w:rFonts w:cs="Arial"/>
          <w:color w:val="auto"/>
          <w:sz w:val="16"/>
          <w:szCs w:val="16"/>
          <w:u w:color="FFFFFF" w:themeColor="background1"/>
          <w:lang w:val="en-AU"/>
        </w:rPr>
        <w:t xml:space="preserve">. The </w:t>
      </w:r>
      <w:r w:rsidR="00036014" w:rsidRPr="00036014">
        <w:rPr>
          <w:rFonts w:eastAsia="Times New Roman" w:cs="Arial"/>
          <w:color w:val="auto"/>
          <w:u w:color="FFFFFF" w:themeColor="background1"/>
          <w:lang w:val="en-AU"/>
        </w:rPr>
        <w:t>p</w:t>
      </w:r>
      <w:r w:rsidR="008A15B7" w:rsidRPr="00036014">
        <w:rPr>
          <w:rFonts w:eastAsia="Times New Roman" w:cs="Arial"/>
          <w:color w:val="auto"/>
          <w:u w:color="FFFFFF" w:themeColor="background1"/>
          <w:lang w:val="en-AU"/>
        </w:rPr>
        <w:t>roduction</w:t>
      </w:r>
      <w:r w:rsidR="006A0BAC" w:rsidRPr="00036014">
        <w:rPr>
          <w:rFonts w:eastAsia="Times New Roman" w:cs="Arial"/>
          <w:color w:val="auto"/>
          <w:u w:color="FFFFFF" w:themeColor="background1"/>
          <w:lang w:val="en-AU"/>
        </w:rPr>
        <w:t xml:space="preserve"> </w:t>
      </w:r>
      <w:r w:rsidR="00C011A9" w:rsidRPr="00036014">
        <w:rPr>
          <w:rFonts w:eastAsia="Times New Roman" w:cs="Arial"/>
          <w:color w:val="auto"/>
          <w:u w:color="FFFFFF" w:themeColor="background1"/>
          <w:lang w:val="en-AU"/>
        </w:rPr>
        <w:t>v</w:t>
      </w:r>
      <w:r w:rsidR="008A15B7" w:rsidRPr="00036014">
        <w:rPr>
          <w:rFonts w:eastAsia="Times New Roman" w:cs="Arial"/>
          <w:color w:val="auto"/>
          <w:u w:color="FFFFFF" w:themeColor="background1"/>
          <w:lang w:val="en-AU"/>
        </w:rPr>
        <w:t xml:space="preserve">olume </w:t>
      </w:r>
      <w:r w:rsidR="000711C9">
        <w:rPr>
          <w:rFonts w:eastAsia="Times New Roman" w:cs="Arial"/>
          <w:color w:val="auto"/>
          <w:u w:color="FFFFFF" w:themeColor="background1"/>
          <w:lang w:val="en-AU"/>
        </w:rPr>
        <w:t>remained steady at 57.9</w:t>
      </w:r>
      <w:r w:rsidR="009C7B37" w:rsidRPr="00036014">
        <w:rPr>
          <w:rFonts w:eastAsia="Times New Roman" w:cs="Arial"/>
          <w:color w:val="auto"/>
          <w:u w:color="FFFFFF" w:themeColor="background1"/>
          <w:lang w:val="en-AU"/>
        </w:rPr>
        <w:t xml:space="preserve"> million tonnes</w:t>
      </w:r>
      <w:r w:rsidR="009F7598" w:rsidRPr="00036014">
        <w:rPr>
          <w:rFonts w:eastAsia="Times New Roman" w:cs="Arial"/>
          <w:color w:val="auto"/>
          <w:u w:color="FFFFFF" w:themeColor="background1"/>
          <w:lang w:val="en-AU"/>
        </w:rPr>
        <w:t xml:space="preserve"> </w:t>
      </w:r>
      <w:r w:rsidR="00036014" w:rsidRPr="00036014">
        <w:rPr>
          <w:rFonts w:eastAsia="Times New Roman" w:cs="Arial"/>
          <w:color w:val="auto"/>
          <w:u w:color="FFFFFF" w:themeColor="background1"/>
          <w:lang w:val="en-AU"/>
        </w:rPr>
        <w:t xml:space="preserve">and </w:t>
      </w:r>
      <w:r w:rsidR="002B2AA6">
        <w:rPr>
          <w:rFonts w:eastAsia="Times New Roman" w:cs="Arial"/>
          <w:color w:val="auto"/>
          <w:u w:color="FFFFFF" w:themeColor="background1"/>
          <w:lang w:val="en-AU"/>
        </w:rPr>
        <w:t>Sales V</w:t>
      </w:r>
      <w:r w:rsidR="009F7598" w:rsidRPr="00036014">
        <w:rPr>
          <w:rFonts w:eastAsia="Times New Roman" w:cs="Arial"/>
          <w:color w:val="auto"/>
          <w:u w:color="FFFFFF" w:themeColor="background1"/>
          <w:lang w:val="en-AU"/>
        </w:rPr>
        <w:t>alue increased by</w:t>
      </w:r>
      <w:r w:rsidR="00C16E0C">
        <w:rPr>
          <w:rFonts w:eastAsia="Times New Roman" w:cs="Arial"/>
          <w:color w:val="auto"/>
          <w:u w:color="FFFFFF" w:themeColor="background1"/>
          <w:lang w:val="en-AU"/>
        </w:rPr>
        <w:t xml:space="preserve"> 11.6</w:t>
      </w:r>
      <w:r w:rsidR="00036014" w:rsidRPr="00036014">
        <w:rPr>
          <w:rFonts w:eastAsia="Times New Roman" w:cs="Arial"/>
          <w:color w:val="auto"/>
          <w:u w:color="FFFFFF" w:themeColor="background1"/>
          <w:lang w:val="en-AU"/>
        </w:rPr>
        <w:t>% (</w:t>
      </w:r>
      <w:r w:rsidR="009F7598" w:rsidRPr="00036014">
        <w:rPr>
          <w:rFonts w:eastAsia="Times New Roman" w:cs="Arial"/>
          <w:color w:val="auto"/>
          <w:u w:color="FFFFFF" w:themeColor="background1"/>
          <w:lang w:val="en-AU"/>
        </w:rPr>
        <w:t>$</w:t>
      </w:r>
      <w:r w:rsidR="00C16E0C">
        <w:rPr>
          <w:rFonts w:eastAsia="Times New Roman" w:cs="Arial"/>
          <w:color w:val="auto"/>
          <w:u w:color="FFFFFF" w:themeColor="background1"/>
          <w:lang w:val="en-AU"/>
        </w:rPr>
        <w:t>98.5</w:t>
      </w:r>
      <w:r w:rsidR="00036014">
        <w:rPr>
          <w:rFonts w:eastAsia="Times New Roman" w:cs="Arial"/>
          <w:color w:val="auto"/>
          <w:u w:color="FFFFFF" w:themeColor="background1"/>
          <w:lang w:val="en-AU"/>
        </w:rPr>
        <w:t>M</w:t>
      </w:r>
      <w:r w:rsidR="00036014" w:rsidRPr="00036014">
        <w:rPr>
          <w:rFonts w:eastAsia="Times New Roman" w:cs="Arial"/>
          <w:color w:val="auto"/>
          <w:u w:color="FFFFFF" w:themeColor="background1"/>
          <w:lang w:val="en-AU"/>
        </w:rPr>
        <w:t>)</w:t>
      </w:r>
      <w:r w:rsidR="009F7598" w:rsidRPr="00036014">
        <w:rPr>
          <w:rFonts w:eastAsia="Times New Roman" w:cs="Arial"/>
          <w:color w:val="auto"/>
          <w:u w:color="FFFFFF" w:themeColor="background1"/>
          <w:lang w:val="en-AU"/>
        </w:rPr>
        <w:t xml:space="preserve"> </w:t>
      </w:r>
      <w:r w:rsidR="00C16E0C">
        <w:rPr>
          <w:rFonts w:eastAsia="Times New Roman" w:cs="Arial"/>
          <w:color w:val="auto"/>
          <w:u w:color="FFFFFF" w:themeColor="background1"/>
          <w:lang w:val="en-AU"/>
        </w:rPr>
        <w:t>from $849.3</w:t>
      </w:r>
      <w:r w:rsidR="00036014">
        <w:rPr>
          <w:rFonts w:eastAsia="Times New Roman" w:cs="Arial"/>
          <w:color w:val="auto"/>
          <w:u w:color="FFFFFF" w:themeColor="background1"/>
          <w:lang w:val="en-AU"/>
        </w:rPr>
        <w:t xml:space="preserve">M </w:t>
      </w:r>
      <w:r w:rsidR="00036014" w:rsidRPr="00036014">
        <w:rPr>
          <w:rFonts w:eastAsia="Times New Roman" w:cs="Arial"/>
          <w:color w:val="auto"/>
          <w:u w:color="FFFFFF" w:themeColor="background1"/>
          <w:lang w:val="en-AU"/>
        </w:rPr>
        <w:t>to</w:t>
      </w:r>
      <w:r w:rsidR="00036014">
        <w:rPr>
          <w:rFonts w:eastAsia="Times New Roman" w:cs="Arial"/>
          <w:color w:val="auto"/>
          <w:u w:color="FFFFFF" w:themeColor="background1"/>
          <w:lang w:val="en-AU"/>
        </w:rPr>
        <w:t xml:space="preserve"> $94</w:t>
      </w:r>
      <w:r w:rsidR="00C16E0C">
        <w:rPr>
          <w:rFonts w:eastAsia="Times New Roman" w:cs="Arial"/>
          <w:color w:val="auto"/>
          <w:u w:color="FFFFFF" w:themeColor="background1"/>
          <w:lang w:val="en-AU"/>
        </w:rPr>
        <w:t>7.8M</w:t>
      </w:r>
      <w:r w:rsidR="00036014" w:rsidRPr="00036014">
        <w:rPr>
          <w:rFonts w:eastAsia="Times New Roman" w:cs="Arial"/>
          <w:color w:val="auto"/>
          <w:u w:color="FFFFFF" w:themeColor="background1"/>
          <w:lang w:val="en-AU"/>
        </w:rPr>
        <w:t>.</w:t>
      </w:r>
    </w:p>
    <w:p w14:paraId="3B44C822" w14:textId="77777777" w:rsidR="00A23DBD" w:rsidRPr="00A11CC5" w:rsidRDefault="00A23DBD">
      <w:pPr>
        <w:widowControl/>
        <w:suppressAutoHyphens w:val="0"/>
        <w:autoSpaceDE/>
        <w:autoSpaceDN/>
        <w:adjustRightInd/>
        <w:spacing w:before="200" w:after="200" w:line="276" w:lineRule="auto"/>
        <w:textAlignment w:val="auto"/>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br w:type="page"/>
      </w:r>
    </w:p>
    <w:p w14:paraId="649764B1" w14:textId="77777777" w:rsidR="002B2AA6" w:rsidRDefault="002B2AA6" w:rsidP="00FF66E3">
      <w:pPr>
        <w:spacing w:before="120" w:after="120" w:line="240" w:lineRule="auto"/>
        <w:jc w:val="both"/>
        <w:rPr>
          <w:rFonts w:eastAsia="Times New Roman" w:cs="Arial"/>
          <w:b/>
          <w:color w:val="auto"/>
          <w:szCs w:val="24"/>
          <w:u w:color="FFFFFF" w:themeColor="background1"/>
          <w:lang w:val="en-AU"/>
        </w:rPr>
      </w:pPr>
    </w:p>
    <w:p w14:paraId="58BE988A" w14:textId="28D159A6" w:rsidR="00FF66E3" w:rsidRDefault="00FF66E3" w:rsidP="00FF66E3">
      <w:pPr>
        <w:spacing w:before="120" w:after="120" w:line="240" w:lineRule="auto"/>
        <w:jc w:val="both"/>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Table 3.</w:t>
      </w:r>
      <w:r w:rsidR="00B11372" w:rsidRPr="00A11CC5">
        <w:rPr>
          <w:rFonts w:eastAsia="Times New Roman" w:cs="Arial"/>
          <w:b/>
          <w:color w:val="auto"/>
          <w:szCs w:val="24"/>
          <w:u w:color="FFFFFF" w:themeColor="background1"/>
          <w:lang w:val="en-AU"/>
        </w:rPr>
        <w:t>2</w:t>
      </w:r>
      <w:r w:rsidRPr="00A11CC5">
        <w:rPr>
          <w:rFonts w:eastAsia="Times New Roman" w:cs="Arial"/>
          <w:b/>
          <w:color w:val="auto"/>
          <w:szCs w:val="24"/>
          <w:u w:color="FFFFFF" w:themeColor="background1"/>
          <w:lang w:val="en-AU"/>
        </w:rPr>
        <w:t xml:space="preserve"> Victorian Extractive in</w:t>
      </w:r>
      <w:r w:rsidR="00793FE1">
        <w:rPr>
          <w:rFonts w:eastAsia="Times New Roman" w:cs="Arial"/>
          <w:b/>
          <w:color w:val="auto"/>
          <w:szCs w:val="24"/>
          <w:u w:color="FFFFFF" w:themeColor="background1"/>
          <w:lang w:val="en-AU"/>
        </w:rPr>
        <w:t>dustry sale by Product Type 2017-18</w:t>
      </w:r>
      <w:r w:rsidR="00046093">
        <w:rPr>
          <w:rFonts w:eastAsia="Times New Roman" w:cs="Arial"/>
          <w:b/>
          <w:color w:val="auto"/>
          <w:szCs w:val="24"/>
          <w:u w:color="FFFFFF" w:themeColor="background1"/>
          <w:lang w:val="en-AU"/>
        </w:rPr>
        <w:t>^</w:t>
      </w:r>
    </w:p>
    <w:tbl>
      <w:tblPr>
        <w:tblStyle w:val="GridTable4-Accent1"/>
        <w:tblW w:w="10060" w:type="dxa"/>
        <w:tblLook w:val="06E0" w:firstRow="1" w:lastRow="1" w:firstColumn="1" w:lastColumn="0" w:noHBand="1" w:noVBand="1"/>
      </w:tblPr>
      <w:tblGrid>
        <w:gridCol w:w="3397"/>
        <w:gridCol w:w="2694"/>
        <w:gridCol w:w="2268"/>
        <w:gridCol w:w="1701"/>
      </w:tblGrid>
      <w:tr w:rsidR="00343BC9" w:rsidRPr="00343BC9" w14:paraId="1B4163DE" w14:textId="77777777" w:rsidTr="00D227EC">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489FCCB8" w14:textId="77777777" w:rsidR="00343BC9" w:rsidRPr="007E7143" w:rsidRDefault="00343BC9" w:rsidP="00343BC9">
            <w:pPr>
              <w:widowControl/>
              <w:suppressAutoHyphens w:val="0"/>
              <w:autoSpaceDE/>
              <w:autoSpaceDN/>
              <w:adjustRightInd/>
              <w:spacing w:after="0" w:line="240" w:lineRule="auto"/>
              <w:jc w:val="center"/>
              <w:textAlignment w:val="auto"/>
              <w:rPr>
                <w:rFonts w:eastAsia="Times New Roman" w:cs="Arial"/>
                <w:color w:val="FFFFFF" w:themeColor="background1"/>
                <w:lang w:val="en-AU" w:eastAsia="en-AU"/>
              </w:rPr>
            </w:pPr>
            <w:r w:rsidRPr="007E7143">
              <w:rPr>
                <w:rFonts w:eastAsia="Times New Roman" w:cs="Arial"/>
                <w:color w:val="FFFFFF" w:themeColor="background1"/>
                <w:lang w:val="en-AU" w:eastAsia="en-AU"/>
              </w:rPr>
              <w:t>Product Group</w:t>
            </w:r>
          </w:p>
        </w:tc>
        <w:tc>
          <w:tcPr>
            <w:tcW w:w="2694" w:type="dxa"/>
            <w:noWrap/>
            <w:vAlign w:val="center"/>
            <w:hideMark/>
          </w:tcPr>
          <w:p w14:paraId="357D8490" w14:textId="77777777" w:rsidR="00343BC9" w:rsidRPr="007E7143" w:rsidRDefault="00343BC9" w:rsidP="00343BC9">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lang w:val="en-AU" w:eastAsia="en-AU"/>
              </w:rPr>
            </w:pPr>
            <w:r w:rsidRPr="007E7143">
              <w:rPr>
                <w:rFonts w:eastAsia="Times New Roman" w:cs="Arial"/>
                <w:color w:val="FFFFFF" w:themeColor="background1"/>
                <w:lang w:val="en-AU" w:eastAsia="en-AU"/>
              </w:rPr>
              <w:t>Product Type</w:t>
            </w:r>
          </w:p>
        </w:tc>
        <w:tc>
          <w:tcPr>
            <w:tcW w:w="2268" w:type="dxa"/>
            <w:noWrap/>
            <w:vAlign w:val="center"/>
            <w:hideMark/>
          </w:tcPr>
          <w:p w14:paraId="2B535A5C" w14:textId="00C76947" w:rsidR="00343BC9" w:rsidRPr="007E7143" w:rsidRDefault="00240DB9" w:rsidP="00343BC9">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lang w:val="en-AU" w:eastAsia="en-AU"/>
              </w:rPr>
            </w:pPr>
            <w:r w:rsidRPr="007E7143">
              <w:rPr>
                <w:rFonts w:eastAsia="Times New Roman" w:cs="Arial"/>
                <w:color w:val="FFFFFF" w:themeColor="background1"/>
                <w:lang w:val="en-AU" w:eastAsia="en-AU"/>
              </w:rPr>
              <w:t>Production</w:t>
            </w:r>
            <w:r w:rsidR="00343BC9" w:rsidRPr="007E7143">
              <w:rPr>
                <w:rFonts w:eastAsia="Times New Roman" w:cs="Arial"/>
                <w:color w:val="FFFFFF" w:themeColor="background1"/>
                <w:lang w:val="en-AU" w:eastAsia="en-AU"/>
              </w:rPr>
              <w:t xml:space="preserve"> Volume (Million tonnes)</w:t>
            </w:r>
          </w:p>
        </w:tc>
        <w:tc>
          <w:tcPr>
            <w:tcW w:w="1701" w:type="dxa"/>
            <w:noWrap/>
            <w:vAlign w:val="center"/>
            <w:hideMark/>
          </w:tcPr>
          <w:p w14:paraId="37BE514A" w14:textId="192DB14B" w:rsidR="00343BC9" w:rsidRPr="007E7143" w:rsidRDefault="00343BC9" w:rsidP="00343BC9">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lang w:val="en-AU" w:eastAsia="en-AU"/>
              </w:rPr>
            </w:pPr>
            <w:r w:rsidRPr="007E7143">
              <w:rPr>
                <w:rFonts w:eastAsia="Times New Roman" w:cs="Arial"/>
                <w:color w:val="FFFFFF" w:themeColor="background1"/>
                <w:lang w:val="en-AU" w:eastAsia="en-AU"/>
              </w:rPr>
              <w:t>Sales Value ($Am)</w:t>
            </w:r>
          </w:p>
        </w:tc>
      </w:tr>
      <w:tr w:rsidR="004E64CF" w:rsidRPr="00343BC9" w14:paraId="77330399"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val="restart"/>
            <w:noWrap/>
            <w:vAlign w:val="center"/>
            <w:hideMark/>
          </w:tcPr>
          <w:p w14:paraId="36A10946"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r w:rsidRPr="007E7143">
              <w:rPr>
                <w:rFonts w:eastAsia="Times New Roman" w:cs="Arial"/>
                <w:color w:val="000000"/>
                <w:lang w:val="en-AU" w:eastAsia="en-AU"/>
              </w:rPr>
              <w:t>Clay products</w:t>
            </w:r>
          </w:p>
        </w:tc>
        <w:tc>
          <w:tcPr>
            <w:tcW w:w="2694" w:type="dxa"/>
            <w:noWrap/>
            <w:vAlign w:val="center"/>
            <w:hideMark/>
          </w:tcPr>
          <w:p w14:paraId="5AEDA329"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Brick</w:t>
            </w:r>
          </w:p>
        </w:tc>
        <w:tc>
          <w:tcPr>
            <w:tcW w:w="2268" w:type="dxa"/>
            <w:noWrap/>
            <w:vAlign w:val="center"/>
            <w:hideMark/>
          </w:tcPr>
          <w:p w14:paraId="699948D7" w14:textId="096BFC81"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0.995</w:t>
            </w:r>
          </w:p>
        </w:tc>
        <w:tc>
          <w:tcPr>
            <w:tcW w:w="1701" w:type="dxa"/>
            <w:noWrap/>
            <w:vAlign w:val="center"/>
            <w:hideMark/>
          </w:tcPr>
          <w:p w14:paraId="388C3DFE" w14:textId="5A6B37A5"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$3.02</w:t>
            </w:r>
          </w:p>
        </w:tc>
      </w:tr>
      <w:tr w:rsidR="004E64CF" w:rsidRPr="00343BC9" w14:paraId="7B469350"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noWrap/>
            <w:vAlign w:val="center"/>
            <w:hideMark/>
          </w:tcPr>
          <w:p w14:paraId="7B1E0BF9"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p>
        </w:tc>
        <w:tc>
          <w:tcPr>
            <w:tcW w:w="2694" w:type="dxa"/>
            <w:noWrap/>
            <w:vAlign w:val="center"/>
            <w:hideMark/>
          </w:tcPr>
          <w:p w14:paraId="4ABE585A"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Stoneware Pottery</w:t>
            </w:r>
          </w:p>
        </w:tc>
        <w:tc>
          <w:tcPr>
            <w:tcW w:w="2268" w:type="dxa"/>
            <w:noWrap/>
            <w:vAlign w:val="center"/>
            <w:hideMark/>
          </w:tcPr>
          <w:p w14:paraId="03504925" w14:textId="3E299543"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0.001</w:t>
            </w:r>
          </w:p>
        </w:tc>
        <w:tc>
          <w:tcPr>
            <w:tcW w:w="1701" w:type="dxa"/>
            <w:noWrap/>
            <w:vAlign w:val="center"/>
            <w:hideMark/>
          </w:tcPr>
          <w:p w14:paraId="3A12B8C1" w14:textId="06229908"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$0.04</w:t>
            </w:r>
          </w:p>
        </w:tc>
      </w:tr>
      <w:tr w:rsidR="004E64CF" w:rsidRPr="00343BC9" w14:paraId="7708D9BD"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noWrap/>
            <w:vAlign w:val="center"/>
            <w:hideMark/>
          </w:tcPr>
          <w:p w14:paraId="5D8E54AE"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p>
        </w:tc>
        <w:tc>
          <w:tcPr>
            <w:tcW w:w="2694" w:type="dxa"/>
            <w:noWrap/>
            <w:vAlign w:val="center"/>
            <w:hideMark/>
          </w:tcPr>
          <w:p w14:paraId="3853715A"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Tile/Pipe</w:t>
            </w:r>
          </w:p>
        </w:tc>
        <w:tc>
          <w:tcPr>
            <w:tcW w:w="2268" w:type="dxa"/>
            <w:noWrap/>
            <w:vAlign w:val="center"/>
            <w:hideMark/>
          </w:tcPr>
          <w:p w14:paraId="743050E0" w14:textId="02CA0C02"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0.017</w:t>
            </w:r>
          </w:p>
        </w:tc>
        <w:tc>
          <w:tcPr>
            <w:tcW w:w="1701" w:type="dxa"/>
            <w:noWrap/>
            <w:vAlign w:val="center"/>
            <w:hideMark/>
          </w:tcPr>
          <w:p w14:paraId="7C9B90A4" w14:textId="2EDC6B14"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$0.08</w:t>
            </w:r>
          </w:p>
        </w:tc>
      </w:tr>
      <w:tr w:rsidR="004E64CF" w:rsidRPr="00343BC9" w14:paraId="5633D758"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shd w:val="clear" w:color="auto" w:fill="8DB3E2" w:themeFill="text2" w:themeFillTint="66"/>
            <w:noWrap/>
            <w:vAlign w:val="center"/>
            <w:hideMark/>
          </w:tcPr>
          <w:p w14:paraId="299612BC"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r w:rsidRPr="007E7143">
              <w:rPr>
                <w:rFonts w:eastAsia="Times New Roman" w:cs="Arial"/>
                <w:color w:val="000000"/>
                <w:lang w:val="en-AU" w:eastAsia="en-AU"/>
              </w:rPr>
              <w:t>Clay products Total</w:t>
            </w:r>
          </w:p>
        </w:tc>
        <w:tc>
          <w:tcPr>
            <w:tcW w:w="2694" w:type="dxa"/>
            <w:shd w:val="clear" w:color="auto" w:fill="8DB3E2" w:themeFill="text2" w:themeFillTint="66"/>
            <w:noWrap/>
            <w:vAlign w:val="center"/>
            <w:hideMark/>
          </w:tcPr>
          <w:p w14:paraId="7D597F80"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p>
        </w:tc>
        <w:tc>
          <w:tcPr>
            <w:tcW w:w="2268" w:type="dxa"/>
            <w:shd w:val="clear" w:color="auto" w:fill="8DB3E2" w:themeFill="text2" w:themeFillTint="66"/>
            <w:noWrap/>
            <w:vAlign w:val="center"/>
            <w:hideMark/>
          </w:tcPr>
          <w:p w14:paraId="6D7D3D18" w14:textId="25A48F25"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b/>
                <w:color w:val="000000" w:themeColor="text1"/>
                <w:lang w:val="en-AU" w:eastAsia="en-AU"/>
              </w:rPr>
            </w:pPr>
            <w:r w:rsidRPr="007E7143">
              <w:rPr>
                <w:rFonts w:cs="Arial"/>
                <w:b/>
                <w:color w:val="000000" w:themeColor="text1"/>
              </w:rPr>
              <w:t>1.012</w:t>
            </w:r>
          </w:p>
        </w:tc>
        <w:tc>
          <w:tcPr>
            <w:tcW w:w="1701" w:type="dxa"/>
            <w:shd w:val="clear" w:color="auto" w:fill="8DB3E2" w:themeFill="text2" w:themeFillTint="66"/>
            <w:noWrap/>
            <w:vAlign w:val="center"/>
            <w:hideMark/>
          </w:tcPr>
          <w:p w14:paraId="789DBBA0" w14:textId="66F64610"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b/>
                <w:color w:val="000000" w:themeColor="text1"/>
                <w:lang w:val="en-AU" w:eastAsia="en-AU"/>
              </w:rPr>
            </w:pPr>
            <w:r w:rsidRPr="007E7143">
              <w:rPr>
                <w:rFonts w:cs="Arial"/>
                <w:b/>
                <w:color w:val="000000" w:themeColor="text1"/>
              </w:rPr>
              <w:t>$3.14</w:t>
            </w:r>
          </w:p>
        </w:tc>
      </w:tr>
      <w:tr w:rsidR="004E64CF" w:rsidRPr="00343BC9" w14:paraId="5C9EC598"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val="restart"/>
            <w:noWrap/>
            <w:vAlign w:val="center"/>
            <w:hideMark/>
          </w:tcPr>
          <w:p w14:paraId="1DD92C4E"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r w:rsidRPr="007E7143">
              <w:rPr>
                <w:rFonts w:eastAsia="Times New Roman" w:cs="Arial"/>
                <w:color w:val="000000"/>
                <w:lang w:val="en-AU" w:eastAsia="en-AU"/>
              </w:rPr>
              <w:t>Limestone products</w:t>
            </w:r>
          </w:p>
        </w:tc>
        <w:tc>
          <w:tcPr>
            <w:tcW w:w="2694" w:type="dxa"/>
            <w:noWrap/>
            <w:vAlign w:val="center"/>
            <w:hideMark/>
          </w:tcPr>
          <w:p w14:paraId="2F855DF1"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Agriculture</w:t>
            </w:r>
          </w:p>
        </w:tc>
        <w:tc>
          <w:tcPr>
            <w:tcW w:w="2268" w:type="dxa"/>
            <w:noWrap/>
            <w:vAlign w:val="center"/>
            <w:hideMark/>
          </w:tcPr>
          <w:p w14:paraId="2A71A378" w14:textId="16DB086B"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0.597</w:t>
            </w:r>
          </w:p>
        </w:tc>
        <w:tc>
          <w:tcPr>
            <w:tcW w:w="1701" w:type="dxa"/>
            <w:noWrap/>
            <w:vAlign w:val="center"/>
            <w:hideMark/>
          </w:tcPr>
          <w:p w14:paraId="6498FFEB" w14:textId="5AA3B5DA"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$16.67</w:t>
            </w:r>
          </w:p>
        </w:tc>
      </w:tr>
      <w:tr w:rsidR="004E64CF" w:rsidRPr="00343BC9" w14:paraId="7801154A"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noWrap/>
            <w:vAlign w:val="center"/>
            <w:hideMark/>
          </w:tcPr>
          <w:p w14:paraId="520F2F49"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p>
        </w:tc>
        <w:tc>
          <w:tcPr>
            <w:tcW w:w="2694" w:type="dxa"/>
            <w:noWrap/>
            <w:vAlign w:val="center"/>
            <w:hideMark/>
          </w:tcPr>
          <w:p w14:paraId="2B95DFE8"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Cement</w:t>
            </w:r>
          </w:p>
        </w:tc>
        <w:tc>
          <w:tcPr>
            <w:tcW w:w="2268" w:type="dxa"/>
            <w:noWrap/>
            <w:vAlign w:val="center"/>
            <w:hideMark/>
          </w:tcPr>
          <w:p w14:paraId="2FBB9FB3" w14:textId="503A4506"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0.078</w:t>
            </w:r>
          </w:p>
        </w:tc>
        <w:tc>
          <w:tcPr>
            <w:tcW w:w="1701" w:type="dxa"/>
            <w:noWrap/>
            <w:vAlign w:val="center"/>
            <w:hideMark/>
          </w:tcPr>
          <w:p w14:paraId="4BEA5664" w14:textId="79CCE100"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$1.70</w:t>
            </w:r>
          </w:p>
        </w:tc>
      </w:tr>
      <w:tr w:rsidR="004E64CF" w:rsidRPr="00343BC9" w14:paraId="22AF709D"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noWrap/>
            <w:vAlign w:val="center"/>
            <w:hideMark/>
          </w:tcPr>
          <w:p w14:paraId="5C9AA55A"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p>
        </w:tc>
        <w:tc>
          <w:tcPr>
            <w:tcW w:w="2694" w:type="dxa"/>
            <w:noWrap/>
            <w:vAlign w:val="center"/>
            <w:hideMark/>
          </w:tcPr>
          <w:p w14:paraId="33C65612"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Lime</w:t>
            </w:r>
          </w:p>
        </w:tc>
        <w:tc>
          <w:tcPr>
            <w:tcW w:w="2268" w:type="dxa"/>
            <w:noWrap/>
            <w:vAlign w:val="center"/>
            <w:hideMark/>
          </w:tcPr>
          <w:p w14:paraId="5AE0CB5A" w14:textId="1CE1A702"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0.080</w:t>
            </w:r>
          </w:p>
        </w:tc>
        <w:tc>
          <w:tcPr>
            <w:tcW w:w="1701" w:type="dxa"/>
            <w:noWrap/>
            <w:vAlign w:val="center"/>
            <w:hideMark/>
          </w:tcPr>
          <w:p w14:paraId="7CE61B3A" w14:textId="3A9B2331"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$1.57</w:t>
            </w:r>
          </w:p>
        </w:tc>
      </w:tr>
      <w:tr w:rsidR="004E64CF" w:rsidRPr="00343BC9" w14:paraId="43622D1A"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shd w:val="clear" w:color="auto" w:fill="8DB3E2" w:themeFill="text2" w:themeFillTint="66"/>
            <w:noWrap/>
            <w:vAlign w:val="center"/>
            <w:hideMark/>
          </w:tcPr>
          <w:p w14:paraId="3F800A48"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r w:rsidRPr="007E7143">
              <w:rPr>
                <w:rFonts w:eastAsia="Times New Roman" w:cs="Arial"/>
                <w:color w:val="000000"/>
                <w:lang w:val="en-AU" w:eastAsia="en-AU"/>
              </w:rPr>
              <w:t>Limestone products Total</w:t>
            </w:r>
          </w:p>
        </w:tc>
        <w:tc>
          <w:tcPr>
            <w:tcW w:w="2694" w:type="dxa"/>
            <w:shd w:val="clear" w:color="auto" w:fill="8DB3E2" w:themeFill="text2" w:themeFillTint="66"/>
            <w:noWrap/>
            <w:vAlign w:val="center"/>
            <w:hideMark/>
          </w:tcPr>
          <w:p w14:paraId="2E173E6E"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p>
        </w:tc>
        <w:tc>
          <w:tcPr>
            <w:tcW w:w="2268" w:type="dxa"/>
            <w:shd w:val="clear" w:color="auto" w:fill="8DB3E2" w:themeFill="text2" w:themeFillTint="66"/>
            <w:noWrap/>
            <w:vAlign w:val="center"/>
            <w:hideMark/>
          </w:tcPr>
          <w:p w14:paraId="4CC2C65F" w14:textId="1C46B7A8"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7E7143">
              <w:rPr>
                <w:rFonts w:cs="Arial"/>
                <w:b/>
                <w:color w:val="000000" w:themeColor="text1"/>
              </w:rPr>
              <w:t>0.754</w:t>
            </w:r>
          </w:p>
        </w:tc>
        <w:tc>
          <w:tcPr>
            <w:tcW w:w="1701" w:type="dxa"/>
            <w:shd w:val="clear" w:color="auto" w:fill="8DB3E2" w:themeFill="text2" w:themeFillTint="66"/>
            <w:noWrap/>
            <w:vAlign w:val="center"/>
            <w:hideMark/>
          </w:tcPr>
          <w:p w14:paraId="6740FE21" w14:textId="090E188A"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7E7143">
              <w:rPr>
                <w:rFonts w:cs="Arial"/>
                <w:b/>
                <w:color w:val="000000" w:themeColor="text1"/>
              </w:rPr>
              <w:t>$19.93</w:t>
            </w:r>
          </w:p>
        </w:tc>
      </w:tr>
      <w:tr w:rsidR="004E64CF" w:rsidRPr="00343BC9" w14:paraId="27BD4837"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val="restart"/>
            <w:noWrap/>
            <w:vAlign w:val="center"/>
            <w:hideMark/>
          </w:tcPr>
          <w:p w14:paraId="2869149D"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r w:rsidRPr="007E7143">
              <w:rPr>
                <w:rFonts w:eastAsia="Times New Roman" w:cs="Arial"/>
                <w:color w:val="000000"/>
                <w:lang w:val="en-AU" w:eastAsia="en-AU"/>
              </w:rPr>
              <w:t>Miscellaneous</w:t>
            </w:r>
          </w:p>
        </w:tc>
        <w:tc>
          <w:tcPr>
            <w:tcW w:w="2694" w:type="dxa"/>
            <w:noWrap/>
            <w:vAlign w:val="center"/>
            <w:hideMark/>
          </w:tcPr>
          <w:p w14:paraId="6248A087"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Dimension Stone</w:t>
            </w:r>
          </w:p>
        </w:tc>
        <w:tc>
          <w:tcPr>
            <w:tcW w:w="2268" w:type="dxa"/>
            <w:noWrap/>
            <w:vAlign w:val="center"/>
            <w:hideMark/>
          </w:tcPr>
          <w:p w14:paraId="17433E8D" w14:textId="5792BA69"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0.006</w:t>
            </w:r>
          </w:p>
        </w:tc>
        <w:tc>
          <w:tcPr>
            <w:tcW w:w="1701" w:type="dxa"/>
            <w:noWrap/>
            <w:vAlign w:val="center"/>
            <w:hideMark/>
          </w:tcPr>
          <w:p w14:paraId="09C36318" w14:textId="0FA8AFAB"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$0.20</w:t>
            </w:r>
          </w:p>
        </w:tc>
      </w:tr>
      <w:tr w:rsidR="004E64CF" w:rsidRPr="00343BC9" w14:paraId="75AB6506"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noWrap/>
            <w:vAlign w:val="center"/>
            <w:hideMark/>
          </w:tcPr>
          <w:p w14:paraId="23883E2C"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p>
        </w:tc>
        <w:tc>
          <w:tcPr>
            <w:tcW w:w="2694" w:type="dxa"/>
            <w:noWrap/>
            <w:vAlign w:val="center"/>
            <w:hideMark/>
          </w:tcPr>
          <w:p w14:paraId="3CC5EFCE"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Soil</w:t>
            </w:r>
          </w:p>
        </w:tc>
        <w:tc>
          <w:tcPr>
            <w:tcW w:w="2268" w:type="dxa"/>
            <w:noWrap/>
            <w:vAlign w:val="center"/>
            <w:hideMark/>
          </w:tcPr>
          <w:p w14:paraId="108D992A" w14:textId="0F64FD7B"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0.024</w:t>
            </w:r>
          </w:p>
        </w:tc>
        <w:tc>
          <w:tcPr>
            <w:tcW w:w="1701" w:type="dxa"/>
            <w:noWrap/>
            <w:vAlign w:val="center"/>
            <w:hideMark/>
          </w:tcPr>
          <w:p w14:paraId="2339A63E" w14:textId="7BD57D53"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$0.26</w:t>
            </w:r>
          </w:p>
        </w:tc>
      </w:tr>
      <w:tr w:rsidR="004E64CF" w:rsidRPr="00343BC9" w14:paraId="362C9BC2"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noWrap/>
            <w:vAlign w:val="center"/>
            <w:hideMark/>
          </w:tcPr>
          <w:p w14:paraId="4B4F827A"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p>
        </w:tc>
        <w:tc>
          <w:tcPr>
            <w:tcW w:w="2694" w:type="dxa"/>
            <w:noWrap/>
            <w:vAlign w:val="center"/>
            <w:hideMark/>
          </w:tcPr>
          <w:p w14:paraId="444D605B" w14:textId="2FC15912"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Unspecified</w:t>
            </w:r>
          </w:p>
        </w:tc>
        <w:tc>
          <w:tcPr>
            <w:tcW w:w="2268" w:type="dxa"/>
            <w:noWrap/>
            <w:vAlign w:val="center"/>
            <w:hideMark/>
          </w:tcPr>
          <w:p w14:paraId="67765B52" w14:textId="519EAF4F"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4.538</w:t>
            </w:r>
          </w:p>
        </w:tc>
        <w:tc>
          <w:tcPr>
            <w:tcW w:w="1701" w:type="dxa"/>
            <w:noWrap/>
            <w:vAlign w:val="center"/>
            <w:hideMark/>
          </w:tcPr>
          <w:p w14:paraId="429A57F1" w14:textId="6CDE21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$50.04</w:t>
            </w:r>
          </w:p>
        </w:tc>
      </w:tr>
      <w:tr w:rsidR="004E64CF" w:rsidRPr="00343BC9" w14:paraId="7E0796E2"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shd w:val="clear" w:color="auto" w:fill="8DB3E2" w:themeFill="text2" w:themeFillTint="66"/>
            <w:noWrap/>
            <w:vAlign w:val="center"/>
            <w:hideMark/>
          </w:tcPr>
          <w:p w14:paraId="686027D5"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r w:rsidRPr="007E7143">
              <w:rPr>
                <w:rFonts w:eastAsia="Times New Roman" w:cs="Arial"/>
                <w:color w:val="000000"/>
                <w:lang w:val="en-AU" w:eastAsia="en-AU"/>
              </w:rPr>
              <w:t>Miscellaneous Total</w:t>
            </w:r>
          </w:p>
        </w:tc>
        <w:tc>
          <w:tcPr>
            <w:tcW w:w="2694" w:type="dxa"/>
            <w:shd w:val="clear" w:color="auto" w:fill="8DB3E2" w:themeFill="text2" w:themeFillTint="66"/>
            <w:noWrap/>
            <w:vAlign w:val="center"/>
            <w:hideMark/>
          </w:tcPr>
          <w:p w14:paraId="4BE505B9"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p>
        </w:tc>
        <w:tc>
          <w:tcPr>
            <w:tcW w:w="2268" w:type="dxa"/>
            <w:shd w:val="clear" w:color="auto" w:fill="8DB3E2" w:themeFill="text2" w:themeFillTint="66"/>
            <w:noWrap/>
            <w:vAlign w:val="center"/>
            <w:hideMark/>
          </w:tcPr>
          <w:p w14:paraId="2C1960E7" w14:textId="1C780EE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7E7143">
              <w:rPr>
                <w:rFonts w:cs="Arial"/>
                <w:b/>
                <w:color w:val="000000" w:themeColor="text1"/>
              </w:rPr>
              <w:t>4.568</w:t>
            </w:r>
          </w:p>
        </w:tc>
        <w:tc>
          <w:tcPr>
            <w:tcW w:w="1701" w:type="dxa"/>
            <w:shd w:val="clear" w:color="auto" w:fill="8DB3E2" w:themeFill="text2" w:themeFillTint="66"/>
            <w:noWrap/>
            <w:vAlign w:val="center"/>
            <w:hideMark/>
          </w:tcPr>
          <w:p w14:paraId="64A73776" w14:textId="74CDC71B"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7E7143">
              <w:rPr>
                <w:rFonts w:cs="Arial"/>
                <w:b/>
                <w:color w:val="000000" w:themeColor="text1"/>
              </w:rPr>
              <w:t>$50.51</w:t>
            </w:r>
          </w:p>
        </w:tc>
      </w:tr>
      <w:tr w:rsidR="004E64CF" w:rsidRPr="00343BC9" w14:paraId="75EB5806"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val="restart"/>
            <w:noWrap/>
            <w:vAlign w:val="center"/>
            <w:hideMark/>
          </w:tcPr>
          <w:p w14:paraId="04346753"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r w:rsidRPr="007E7143">
              <w:rPr>
                <w:rFonts w:eastAsia="Times New Roman" w:cs="Arial"/>
                <w:color w:val="000000"/>
                <w:lang w:val="en-AU" w:eastAsia="en-AU"/>
              </w:rPr>
              <w:t>Multi size products</w:t>
            </w:r>
          </w:p>
        </w:tc>
        <w:tc>
          <w:tcPr>
            <w:tcW w:w="2694" w:type="dxa"/>
            <w:noWrap/>
            <w:vAlign w:val="center"/>
            <w:hideMark/>
          </w:tcPr>
          <w:p w14:paraId="696C7B25"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Fill</w:t>
            </w:r>
          </w:p>
        </w:tc>
        <w:tc>
          <w:tcPr>
            <w:tcW w:w="2268" w:type="dxa"/>
            <w:noWrap/>
            <w:vAlign w:val="center"/>
            <w:hideMark/>
          </w:tcPr>
          <w:p w14:paraId="01BD29CA" w14:textId="0E4170C8"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3.585</w:t>
            </w:r>
          </w:p>
        </w:tc>
        <w:tc>
          <w:tcPr>
            <w:tcW w:w="1701" w:type="dxa"/>
            <w:noWrap/>
            <w:vAlign w:val="center"/>
            <w:hideMark/>
          </w:tcPr>
          <w:p w14:paraId="50F8DAB6" w14:textId="5E7389CF"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$36.25</w:t>
            </w:r>
          </w:p>
        </w:tc>
      </w:tr>
      <w:tr w:rsidR="004E64CF" w:rsidRPr="00343BC9" w14:paraId="23C892AC"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noWrap/>
            <w:vAlign w:val="center"/>
            <w:hideMark/>
          </w:tcPr>
          <w:p w14:paraId="609CE234"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p>
        </w:tc>
        <w:tc>
          <w:tcPr>
            <w:tcW w:w="2694" w:type="dxa"/>
            <w:noWrap/>
            <w:vAlign w:val="center"/>
            <w:hideMark/>
          </w:tcPr>
          <w:p w14:paraId="7D9EC0D3"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Road Base</w:t>
            </w:r>
          </w:p>
        </w:tc>
        <w:tc>
          <w:tcPr>
            <w:tcW w:w="2268" w:type="dxa"/>
            <w:noWrap/>
            <w:vAlign w:val="center"/>
            <w:hideMark/>
          </w:tcPr>
          <w:p w14:paraId="4E5859FC" w14:textId="2B66891D"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6.014</w:t>
            </w:r>
          </w:p>
        </w:tc>
        <w:tc>
          <w:tcPr>
            <w:tcW w:w="1701" w:type="dxa"/>
            <w:noWrap/>
            <w:vAlign w:val="center"/>
            <w:hideMark/>
          </w:tcPr>
          <w:p w14:paraId="2E80F1CA" w14:textId="78F48BFF"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$103.29</w:t>
            </w:r>
          </w:p>
        </w:tc>
      </w:tr>
      <w:tr w:rsidR="004E64CF" w:rsidRPr="00343BC9" w14:paraId="742422AD"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noWrap/>
            <w:vAlign w:val="center"/>
            <w:hideMark/>
          </w:tcPr>
          <w:p w14:paraId="60AFA47A"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p>
        </w:tc>
        <w:tc>
          <w:tcPr>
            <w:tcW w:w="2694" w:type="dxa"/>
            <w:noWrap/>
            <w:vAlign w:val="center"/>
            <w:hideMark/>
          </w:tcPr>
          <w:p w14:paraId="4D45CDE9"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Road Sub-Base</w:t>
            </w:r>
          </w:p>
        </w:tc>
        <w:tc>
          <w:tcPr>
            <w:tcW w:w="2268" w:type="dxa"/>
            <w:noWrap/>
            <w:vAlign w:val="center"/>
            <w:hideMark/>
          </w:tcPr>
          <w:p w14:paraId="09F94B93" w14:textId="4C3E23F1"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10.934</w:t>
            </w:r>
          </w:p>
        </w:tc>
        <w:tc>
          <w:tcPr>
            <w:tcW w:w="1701" w:type="dxa"/>
            <w:noWrap/>
            <w:vAlign w:val="center"/>
            <w:hideMark/>
          </w:tcPr>
          <w:p w14:paraId="3BD4F768" w14:textId="1A3E635B"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$136.75</w:t>
            </w:r>
          </w:p>
        </w:tc>
      </w:tr>
      <w:tr w:rsidR="004E64CF" w:rsidRPr="00343BC9" w14:paraId="4EE439DD"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shd w:val="clear" w:color="auto" w:fill="8DB3E2" w:themeFill="text2" w:themeFillTint="66"/>
            <w:noWrap/>
            <w:vAlign w:val="center"/>
            <w:hideMark/>
          </w:tcPr>
          <w:p w14:paraId="29533525"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r w:rsidRPr="007E7143">
              <w:rPr>
                <w:rFonts w:eastAsia="Times New Roman" w:cs="Arial"/>
                <w:color w:val="000000"/>
                <w:lang w:val="en-AU" w:eastAsia="en-AU"/>
              </w:rPr>
              <w:t>Multi size products Total</w:t>
            </w:r>
          </w:p>
        </w:tc>
        <w:tc>
          <w:tcPr>
            <w:tcW w:w="2694" w:type="dxa"/>
            <w:shd w:val="clear" w:color="auto" w:fill="8DB3E2" w:themeFill="text2" w:themeFillTint="66"/>
            <w:noWrap/>
            <w:vAlign w:val="center"/>
            <w:hideMark/>
          </w:tcPr>
          <w:p w14:paraId="782A8E4D"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p>
        </w:tc>
        <w:tc>
          <w:tcPr>
            <w:tcW w:w="2268" w:type="dxa"/>
            <w:shd w:val="clear" w:color="auto" w:fill="8DB3E2" w:themeFill="text2" w:themeFillTint="66"/>
            <w:noWrap/>
            <w:vAlign w:val="center"/>
            <w:hideMark/>
          </w:tcPr>
          <w:p w14:paraId="13A21337" w14:textId="66215491"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7E7143">
              <w:rPr>
                <w:rFonts w:cs="Arial"/>
                <w:b/>
                <w:color w:val="000000" w:themeColor="text1"/>
              </w:rPr>
              <w:t>20.533</w:t>
            </w:r>
          </w:p>
        </w:tc>
        <w:tc>
          <w:tcPr>
            <w:tcW w:w="1701" w:type="dxa"/>
            <w:shd w:val="clear" w:color="auto" w:fill="8DB3E2" w:themeFill="text2" w:themeFillTint="66"/>
            <w:noWrap/>
            <w:vAlign w:val="center"/>
            <w:hideMark/>
          </w:tcPr>
          <w:p w14:paraId="4BC7E68B" w14:textId="10D7261E"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7E7143">
              <w:rPr>
                <w:rFonts w:cs="Arial"/>
                <w:b/>
                <w:color w:val="000000" w:themeColor="text1"/>
              </w:rPr>
              <w:t>$276.29</w:t>
            </w:r>
          </w:p>
        </w:tc>
      </w:tr>
      <w:tr w:rsidR="004E64CF" w:rsidRPr="00343BC9" w14:paraId="063C58B7"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val="restart"/>
            <w:noWrap/>
            <w:vAlign w:val="center"/>
            <w:hideMark/>
          </w:tcPr>
          <w:p w14:paraId="248CA52F"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r w:rsidRPr="007E7143">
              <w:rPr>
                <w:rFonts w:eastAsia="Times New Roman" w:cs="Arial"/>
                <w:color w:val="000000"/>
                <w:lang w:val="en-AU" w:eastAsia="en-AU"/>
              </w:rPr>
              <w:t>Sand products</w:t>
            </w:r>
          </w:p>
        </w:tc>
        <w:tc>
          <w:tcPr>
            <w:tcW w:w="2694" w:type="dxa"/>
            <w:noWrap/>
            <w:vAlign w:val="center"/>
            <w:hideMark/>
          </w:tcPr>
          <w:p w14:paraId="42A9C401"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Concrete Sand</w:t>
            </w:r>
          </w:p>
        </w:tc>
        <w:tc>
          <w:tcPr>
            <w:tcW w:w="2268" w:type="dxa"/>
            <w:noWrap/>
            <w:vAlign w:val="center"/>
            <w:hideMark/>
          </w:tcPr>
          <w:p w14:paraId="05D14298" w14:textId="6A36B839"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7.168</w:t>
            </w:r>
          </w:p>
        </w:tc>
        <w:tc>
          <w:tcPr>
            <w:tcW w:w="1701" w:type="dxa"/>
            <w:noWrap/>
            <w:vAlign w:val="center"/>
            <w:hideMark/>
          </w:tcPr>
          <w:p w14:paraId="47F467BB" w14:textId="3436D9E2"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$132.10</w:t>
            </w:r>
          </w:p>
        </w:tc>
      </w:tr>
      <w:tr w:rsidR="004E64CF" w:rsidRPr="00343BC9" w14:paraId="1CF732E9"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noWrap/>
            <w:vAlign w:val="center"/>
            <w:hideMark/>
          </w:tcPr>
          <w:p w14:paraId="5424078C"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p>
        </w:tc>
        <w:tc>
          <w:tcPr>
            <w:tcW w:w="2694" w:type="dxa"/>
            <w:noWrap/>
            <w:vAlign w:val="center"/>
            <w:hideMark/>
          </w:tcPr>
          <w:p w14:paraId="05426001"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Fine Sand</w:t>
            </w:r>
          </w:p>
        </w:tc>
        <w:tc>
          <w:tcPr>
            <w:tcW w:w="2268" w:type="dxa"/>
            <w:noWrap/>
            <w:vAlign w:val="center"/>
            <w:hideMark/>
          </w:tcPr>
          <w:p w14:paraId="5E69A72E" w14:textId="4BE40A64"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2.233</w:t>
            </w:r>
          </w:p>
        </w:tc>
        <w:tc>
          <w:tcPr>
            <w:tcW w:w="1701" w:type="dxa"/>
            <w:noWrap/>
            <w:vAlign w:val="center"/>
            <w:hideMark/>
          </w:tcPr>
          <w:p w14:paraId="163F7EFB" w14:textId="7CACC370"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$37.70</w:t>
            </w:r>
          </w:p>
        </w:tc>
      </w:tr>
      <w:tr w:rsidR="004E64CF" w:rsidRPr="00343BC9" w14:paraId="11369331"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noWrap/>
            <w:vAlign w:val="center"/>
            <w:hideMark/>
          </w:tcPr>
          <w:p w14:paraId="5268D24F"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p>
        </w:tc>
        <w:tc>
          <w:tcPr>
            <w:tcW w:w="2694" w:type="dxa"/>
            <w:noWrap/>
            <w:vAlign w:val="center"/>
            <w:hideMark/>
          </w:tcPr>
          <w:p w14:paraId="1A590D59"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Foundry Sand</w:t>
            </w:r>
          </w:p>
        </w:tc>
        <w:tc>
          <w:tcPr>
            <w:tcW w:w="2268" w:type="dxa"/>
            <w:noWrap/>
            <w:vAlign w:val="center"/>
            <w:hideMark/>
          </w:tcPr>
          <w:p w14:paraId="6561D158" w14:textId="4BE56FD1"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0.003</w:t>
            </w:r>
          </w:p>
        </w:tc>
        <w:tc>
          <w:tcPr>
            <w:tcW w:w="1701" w:type="dxa"/>
            <w:noWrap/>
            <w:vAlign w:val="center"/>
            <w:hideMark/>
          </w:tcPr>
          <w:p w14:paraId="74A8F7C7" w14:textId="526A257D"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$0.04</w:t>
            </w:r>
          </w:p>
        </w:tc>
      </w:tr>
      <w:tr w:rsidR="004E64CF" w:rsidRPr="00343BC9" w14:paraId="29A1BF9F"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noWrap/>
            <w:vAlign w:val="center"/>
            <w:hideMark/>
          </w:tcPr>
          <w:p w14:paraId="75B9890D"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p>
        </w:tc>
        <w:tc>
          <w:tcPr>
            <w:tcW w:w="2694" w:type="dxa"/>
            <w:noWrap/>
            <w:vAlign w:val="center"/>
            <w:hideMark/>
          </w:tcPr>
          <w:p w14:paraId="69CBB826"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Industrial Filters</w:t>
            </w:r>
          </w:p>
        </w:tc>
        <w:tc>
          <w:tcPr>
            <w:tcW w:w="2268" w:type="dxa"/>
            <w:noWrap/>
            <w:vAlign w:val="center"/>
            <w:hideMark/>
          </w:tcPr>
          <w:p w14:paraId="47647088" w14:textId="54106E84"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0.002</w:t>
            </w:r>
          </w:p>
        </w:tc>
        <w:tc>
          <w:tcPr>
            <w:tcW w:w="1701" w:type="dxa"/>
            <w:noWrap/>
            <w:vAlign w:val="center"/>
            <w:hideMark/>
          </w:tcPr>
          <w:p w14:paraId="733DEC5E" w14:textId="0210B809"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$0.01</w:t>
            </w:r>
          </w:p>
        </w:tc>
      </w:tr>
      <w:tr w:rsidR="004E64CF" w:rsidRPr="00343BC9" w14:paraId="6495568C"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shd w:val="clear" w:color="auto" w:fill="8DB3E2" w:themeFill="text2" w:themeFillTint="66"/>
            <w:noWrap/>
            <w:vAlign w:val="center"/>
            <w:hideMark/>
          </w:tcPr>
          <w:p w14:paraId="3D40F8C6"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r w:rsidRPr="007E7143">
              <w:rPr>
                <w:rFonts w:eastAsia="Times New Roman" w:cs="Arial"/>
                <w:color w:val="000000"/>
                <w:lang w:val="en-AU" w:eastAsia="en-AU"/>
              </w:rPr>
              <w:t>Sand products Total</w:t>
            </w:r>
          </w:p>
        </w:tc>
        <w:tc>
          <w:tcPr>
            <w:tcW w:w="2694" w:type="dxa"/>
            <w:shd w:val="clear" w:color="auto" w:fill="8DB3E2" w:themeFill="text2" w:themeFillTint="66"/>
            <w:noWrap/>
            <w:vAlign w:val="center"/>
            <w:hideMark/>
          </w:tcPr>
          <w:p w14:paraId="00949EBF"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p>
        </w:tc>
        <w:tc>
          <w:tcPr>
            <w:tcW w:w="2268" w:type="dxa"/>
            <w:shd w:val="clear" w:color="auto" w:fill="8DB3E2" w:themeFill="text2" w:themeFillTint="66"/>
            <w:noWrap/>
            <w:vAlign w:val="center"/>
            <w:hideMark/>
          </w:tcPr>
          <w:p w14:paraId="609ABE8E" w14:textId="4218BB2D"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7E7143">
              <w:rPr>
                <w:rFonts w:cs="Arial"/>
                <w:b/>
                <w:color w:val="000000" w:themeColor="text1"/>
              </w:rPr>
              <w:t>9.407</w:t>
            </w:r>
          </w:p>
        </w:tc>
        <w:tc>
          <w:tcPr>
            <w:tcW w:w="1701" w:type="dxa"/>
            <w:shd w:val="clear" w:color="auto" w:fill="8DB3E2" w:themeFill="text2" w:themeFillTint="66"/>
            <w:noWrap/>
            <w:vAlign w:val="center"/>
            <w:hideMark/>
          </w:tcPr>
          <w:p w14:paraId="2B8D3E22" w14:textId="05FCD0F5"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7E7143">
              <w:rPr>
                <w:rFonts w:cs="Arial"/>
                <w:b/>
                <w:color w:val="000000" w:themeColor="text1"/>
              </w:rPr>
              <w:t>$169.85</w:t>
            </w:r>
          </w:p>
        </w:tc>
      </w:tr>
      <w:tr w:rsidR="004E64CF" w:rsidRPr="00343BC9" w14:paraId="66F2DD60"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val="restart"/>
            <w:noWrap/>
            <w:vAlign w:val="center"/>
            <w:hideMark/>
          </w:tcPr>
          <w:p w14:paraId="50261B8A"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r w:rsidRPr="007E7143">
              <w:rPr>
                <w:rFonts w:eastAsia="Times New Roman" w:cs="Arial"/>
                <w:color w:val="000000"/>
                <w:lang w:val="en-AU" w:eastAsia="en-AU"/>
              </w:rPr>
              <w:t>Single size products</w:t>
            </w:r>
          </w:p>
        </w:tc>
        <w:tc>
          <w:tcPr>
            <w:tcW w:w="2694" w:type="dxa"/>
            <w:noWrap/>
            <w:vAlign w:val="center"/>
            <w:hideMark/>
          </w:tcPr>
          <w:p w14:paraId="60FB5F70"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Aggregate</w:t>
            </w:r>
          </w:p>
        </w:tc>
        <w:tc>
          <w:tcPr>
            <w:tcW w:w="2268" w:type="dxa"/>
            <w:noWrap/>
            <w:vAlign w:val="center"/>
            <w:hideMark/>
          </w:tcPr>
          <w:p w14:paraId="26893184" w14:textId="5CE37B13"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21.535</w:t>
            </w:r>
          </w:p>
        </w:tc>
        <w:tc>
          <w:tcPr>
            <w:tcW w:w="1701" w:type="dxa"/>
            <w:noWrap/>
            <w:vAlign w:val="center"/>
            <w:hideMark/>
          </w:tcPr>
          <w:p w14:paraId="783D6905" w14:textId="6D739C7F"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$426.86</w:t>
            </w:r>
          </w:p>
        </w:tc>
      </w:tr>
      <w:tr w:rsidR="004E64CF" w:rsidRPr="00343BC9" w14:paraId="28B1D58C"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vMerge/>
            <w:noWrap/>
            <w:vAlign w:val="center"/>
            <w:hideMark/>
          </w:tcPr>
          <w:p w14:paraId="0E238FC2"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p>
        </w:tc>
        <w:tc>
          <w:tcPr>
            <w:tcW w:w="2694" w:type="dxa"/>
            <w:noWrap/>
            <w:vAlign w:val="center"/>
            <w:hideMark/>
          </w:tcPr>
          <w:p w14:paraId="054EBDD4"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r w:rsidRPr="007E7143">
              <w:rPr>
                <w:rFonts w:eastAsia="Times New Roman" w:cs="Arial"/>
                <w:color w:val="000000"/>
                <w:lang w:val="en-AU" w:eastAsia="en-AU"/>
              </w:rPr>
              <w:t>Armour</w:t>
            </w:r>
          </w:p>
        </w:tc>
        <w:tc>
          <w:tcPr>
            <w:tcW w:w="2268" w:type="dxa"/>
            <w:noWrap/>
            <w:vAlign w:val="center"/>
            <w:hideMark/>
          </w:tcPr>
          <w:p w14:paraId="38D511E8" w14:textId="657F381C"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0.060</w:t>
            </w:r>
          </w:p>
        </w:tc>
        <w:tc>
          <w:tcPr>
            <w:tcW w:w="1701" w:type="dxa"/>
            <w:noWrap/>
            <w:vAlign w:val="center"/>
            <w:hideMark/>
          </w:tcPr>
          <w:p w14:paraId="611CCB58" w14:textId="5E24AE8B"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rFonts w:cs="Arial"/>
                <w:color w:val="000000" w:themeColor="text1"/>
              </w:rPr>
              <w:t>$1.18</w:t>
            </w:r>
          </w:p>
        </w:tc>
      </w:tr>
      <w:tr w:rsidR="004E64CF" w:rsidRPr="00343BC9" w14:paraId="39054ED0" w14:textId="77777777" w:rsidTr="00D227EC">
        <w:trPr>
          <w:trHeight w:val="336"/>
        </w:trPr>
        <w:tc>
          <w:tcPr>
            <w:cnfStyle w:val="001000000000" w:firstRow="0" w:lastRow="0" w:firstColumn="1" w:lastColumn="0" w:oddVBand="0" w:evenVBand="0" w:oddHBand="0" w:evenHBand="0" w:firstRowFirstColumn="0" w:firstRowLastColumn="0" w:lastRowFirstColumn="0" w:lastRowLastColumn="0"/>
            <w:tcW w:w="3397" w:type="dxa"/>
            <w:shd w:val="clear" w:color="auto" w:fill="8DB3E2" w:themeFill="text2" w:themeFillTint="66"/>
            <w:noWrap/>
            <w:vAlign w:val="center"/>
            <w:hideMark/>
          </w:tcPr>
          <w:p w14:paraId="495A28E3"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000000"/>
                <w:lang w:val="en-AU" w:eastAsia="en-AU"/>
              </w:rPr>
            </w:pPr>
            <w:r w:rsidRPr="007E7143">
              <w:rPr>
                <w:rFonts w:eastAsia="Times New Roman" w:cs="Arial"/>
                <w:color w:val="000000"/>
                <w:lang w:val="en-AU" w:eastAsia="en-AU"/>
              </w:rPr>
              <w:t>Single size products Total</w:t>
            </w:r>
          </w:p>
        </w:tc>
        <w:tc>
          <w:tcPr>
            <w:tcW w:w="2694" w:type="dxa"/>
            <w:shd w:val="clear" w:color="auto" w:fill="8DB3E2" w:themeFill="text2" w:themeFillTint="66"/>
            <w:noWrap/>
            <w:vAlign w:val="center"/>
            <w:hideMark/>
          </w:tcPr>
          <w:p w14:paraId="22DF5BD1" w14:textId="7777777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eastAsia="en-AU"/>
              </w:rPr>
            </w:pPr>
          </w:p>
        </w:tc>
        <w:tc>
          <w:tcPr>
            <w:tcW w:w="2268" w:type="dxa"/>
            <w:shd w:val="clear" w:color="auto" w:fill="8DB3E2" w:themeFill="text2" w:themeFillTint="66"/>
            <w:noWrap/>
            <w:vAlign w:val="center"/>
            <w:hideMark/>
          </w:tcPr>
          <w:p w14:paraId="6DD2221C" w14:textId="4A4F47AD"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7E7143">
              <w:rPr>
                <w:rFonts w:cs="Arial"/>
                <w:b/>
                <w:color w:val="000000" w:themeColor="text1"/>
              </w:rPr>
              <w:t>21.596</w:t>
            </w:r>
          </w:p>
        </w:tc>
        <w:tc>
          <w:tcPr>
            <w:tcW w:w="1701" w:type="dxa"/>
            <w:shd w:val="clear" w:color="auto" w:fill="8DB3E2" w:themeFill="text2" w:themeFillTint="66"/>
            <w:noWrap/>
            <w:vAlign w:val="center"/>
            <w:hideMark/>
          </w:tcPr>
          <w:p w14:paraId="31738D6D" w14:textId="147B6565"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Arial"/>
                <w:b/>
                <w:color w:val="000000" w:themeColor="text1"/>
              </w:rPr>
            </w:pPr>
            <w:r w:rsidRPr="007E7143">
              <w:rPr>
                <w:rFonts w:cs="Arial"/>
                <w:b/>
                <w:color w:val="000000" w:themeColor="text1"/>
              </w:rPr>
              <w:t>$428.04</w:t>
            </w:r>
          </w:p>
        </w:tc>
      </w:tr>
      <w:tr w:rsidR="004E64CF" w:rsidRPr="00343BC9" w14:paraId="539282B0" w14:textId="77777777" w:rsidTr="00D227EC">
        <w:trPr>
          <w:cnfStyle w:val="010000000000" w:firstRow="0" w:lastRow="1"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97" w:type="dxa"/>
            <w:shd w:val="clear" w:color="auto" w:fill="365F91" w:themeFill="accent1" w:themeFillShade="BF"/>
            <w:noWrap/>
            <w:vAlign w:val="center"/>
            <w:hideMark/>
          </w:tcPr>
          <w:p w14:paraId="1BAD4E97" w14:textId="77777777" w:rsidR="004E64CF" w:rsidRPr="007E7143" w:rsidRDefault="004E64CF" w:rsidP="004E64CF">
            <w:pPr>
              <w:widowControl/>
              <w:suppressAutoHyphens w:val="0"/>
              <w:autoSpaceDE/>
              <w:autoSpaceDN/>
              <w:adjustRightInd/>
              <w:spacing w:after="0" w:line="240" w:lineRule="auto"/>
              <w:jc w:val="center"/>
              <w:textAlignment w:val="auto"/>
              <w:rPr>
                <w:rFonts w:eastAsia="Times New Roman" w:cs="Arial"/>
                <w:color w:val="FFFFFF" w:themeColor="background1"/>
                <w:lang w:val="en-AU" w:eastAsia="en-AU"/>
              </w:rPr>
            </w:pPr>
            <w:r w:rsidRPr="007E7143">
              <w:rPr>
                <w:rFonts w:eastAsia="Times New Roman" w:cs="Arial"/>
                <w:color w:val="FFFFFF" w:themeColor="background1"/>
                <w:lang w:val="en-AU" w:eastAsia="en-AU"/>
              </w:rPr>
              <w:t>Grand Total</w:t>
            </w:r>
          </w:p>
        </w:tc>
        <w:tc>
          <w:tcPr>
            <w:tcW w:w="2694" w:type="dxa"/>
            <w:shd w:val="clear" w:color="auto" w:fill="365F91" w:themeFill="accent1" w:themeFillShade="BF"/>
            <w:noWrap/>
            <w:vAlign w:val="center"/>
            <w:hideMark/>
          </w:tcPr>
          <w:p w14:paraId="62ACC634" w14:textId="77777777" w:rsidR="004E64CF" w:rsidRPr="007E7143" w:rsidRDefault="004E64CF" w:rsidP="004E64CF">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color w:val="FFFFFF" w:themeColor="background1"/>
                <w:lang w:val="en-AU" w:eastAsia="en-AU"/>
              </w:rPr>
            </w:pPr>
          </w:p>
        </w:tc>
        <w:tc>
          <w:tcPr>
            <w:tcW w:w="2268" w:type="dxa"/>
            <w:shd w:val="clear" w:color="auto" w:fill="365F91" w:themeFill="accent1" w:themeFillShade="BF"/>
            <w:noWrap/>
            <w:vAlign w:val="center"/>
            <w:hideMark/>
          </w:tcPr>
          <w:p w14:paraId="193CA072" w14:textId="1FA3AB94" w:rsidR="004E64CF" w:rsidRPr="00176ABA" w:rsidRDefault="004E64CF" w:rsidP="004E64CF">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color w:val="FFFFFF" w:themeColor="background1"/>
                <w:lang w:val="en-AU" w:eastAsia="en-AU"/>
              </w:rPr>
            </w:pPr>
            <w:r w:rsidRPr="00176ABA">
              <w:rPr>
                <w:rFonts w:cs="Arial"/>
                <w:color w:val="FFFFFF" w:themeColor="background1"/>
              </w:rPr>
              <w:t>57.869</w:t>
            </w:r>
          </w:p>
        </w:tc>
        <w:tc>
          <w:tcPr>
            <w:tcW w:w="1701" w:type="dxa"/>
            <w:shd w:val="clear" w:color="auto" w:fill="365F91" w:themeFill="accent1" w:themeFillShade="BF"/>
            <w:noWrap/>
            <w:vAlign w:val="center"/>
            <w:hideMark/>
          </w:tcPr>
          <w:p w14:paraId="45E3E9F0" w14:textId="6A1E0BB2" w:rsidR="004E64CF" w:rsidRPr="00176ABA" w:rsidRDefault="004E64CF" w:rsidP="004E64CF">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color w:val="FFFFFF" w:themeColor="background1"/>
                <w:lang w:val="en-AU" w:eastAsia="en-AU"/>
              </w:rPr>
            </w:pPr>
            <w:r w:rsidRPr="00176ABA">
              <w:rPr>
                <w:rFonts w:cs="Arial"/>
                <w:color w:val="FFFFFF" w:themeColor="background1"/>
              </w:rPr>
              <w:t>$947.76</w:t>
            </w:r>
          </w:p>
        </w:tc>
      </w:tr>
    </w:tbl>
    <w:p w14:paraId="098D425B" w14:textId="77777777" w:rsidR="00B11372" w:rsidRPr="00A11CC5" w:rsidRDefault="00B11372" w:rsidP="00B11372">
      <w:pPr>
        <w:widowControl/>
        <w:suppressAutoHyphens w:val="0"/>
        <w:autoSpaceDE/>
        <w:autoSpaceDN/>
        <w:adjustRightInd/>
        <w:spacing w:after="0" w:line="240" w:lineRule="auto"/>
        <w:textAlignment w:val="auto"/>
        <w:rPr>
          <w:rFonts w:eastAsia="Times New Roman" w:cs="Arial"/>
          <w:b/>
          <w:bCs/>
          <w:color w:val="auto"/>
          <w:lang w:val="en-AU" w:eastAsia="en-AU"/>
        </w:rPr>
      </w:pPr>
    </w:p>
    <w:p w14:paraId="0B374812" w14:textId="537CC1D2" w:rsidR="00BD56A1" w:rsidRDefault="00B11372" w:rsidP="00B11372">
      <w:pPr>
        <w:widowControl/>
        <w:suppressAutoHyphens w:val="0"/>
        <w:autoSpaceDE/>
        <w:autoSpaceDN/>
        <w:adjustRightInd/>
        <w:spacing w:after="0" w:line="240" w:lineRule="auto"/>
        <w:textAlignment w:val="auto"/>
        <w:rPr>
          <w:rFonts w:cs="Arial"/>
          <w:color w:val="auto"/>
          <w:u w:color="FFFFFF" w:themeColor="background1"/>
          <w:lang w:val="en-AU"/>
        </w:rPr>
      </w:pPr>
      <w:r w:rsidRPr="004E64CF">
        <w:rPr>
          <w:rFonts w:eastAsia="Times New Roman" w:cs="Arial"/>
          <w:bCs/>
          <w:color w:val="auto"/>
          <w:lang w:val="en-AU" w:eastAsia="en-AU"/>
        </w:rPr>
        <w:t>S</w:t>
      </w:r>
      <w:r w:rsidRPr="00A11CC5">
        <w:rPr>
          <w:rFonts w:cs="Arial"/>
          <w:color w:val="auto"/>
          <w:u w:color="FFFFFF" w:themeColor="background1"/>
          <w:lang w:val="en-AU"/>
        </w:rPr>
        <w:t xml:space="preserve">ource: </w:t>
      </w:r>
      <w:r w:rsidR="00484EE0">
        <w:rPr>
          <w:rFonts w:cs="Arial"/>
          <w:color w:val="auto"/>
          <w:u w:color="FFFFFF" w:themeColor="background1"/>
          <w:lang w:val="en-AU"/>
        </w:rPr>
        <w:t>DJPR</w:t>
      </w:r>
      <w:r w:rsidRPr="00A11CC5">
        <w:rPr>
          <w:rFonts w:cs="Arial"/>
          <w:color w:val="auto"/>
          <w:u w:color="FFFFFF" w:themeColor="background1"/>
          <w:lang w:val="en-AU"/>
        </w:rPr>
        <w:t>, statutory returns under the MRSDA.</w:t>
      </w:r>
    </w:p>
    <w:p w14:paraId="4EAB5259" w14:textId="08F83D2E" w:rsidR="00393978" w:rsidRPr="00A11CC5" w:rsidRDefault="00393978" w:rsidP="00393978">
      <w:pPr>
        <w:spacing w:after="120"/>
        <w:jc w:val="both"/>
        <w:rPr>
          <w:rFonts w:cs="Arial"/>
          <w:color w:val="auto"/>
          <w:sz w:val="16"/>
          <w:szCs w:val="16"/>
          <w:u w:color="FFFFFF" w:themeColor="background1"/>
          <w:lang w:val="en-AU"/>
        </w:rPr>
      </w:pPr>
      <w:r w:rsidRPr="00A11CC5">
        <w:rPr>
          <w:rFonts w:cs="Arial"/>
          <w:color w:val="auto"/>
          <w:sz w:val="16"/>
          <w:szCs w:val="16"/>
          <w:u w:color="FFFFFF" w:themeColor="background1"/>
          <w:lang w:val="en-AU"/>
        </w:rPr>
        <w:t xml:space="preserve">^Data as at </w:t>
      </w:r>
      <w:r>
        <w:rPr>
          <w:rFonts w:cs="Arial"/>
          <w:color w:val="auto"/>
          <w:sz w:val="16"/>
          <w:szCs w:val="16"/>
          <w:u w:color="FFFFFF" w:themeColor="background1"/>
          <w:lang w:val="en-AU"/>
        </w:rPr>
        <w:t>17/12</w:t>
      </w:r>
      <w:r w:rsidRPr="00A11CC5">
        <w:rPr>
          <w:rFonts w:cs="Arial"/>
          <w:color w:val="auto"/>
          <w:sz w:val="16"/>
          <w:szCs w:val="16"/>
          <w:u w:color="FFFFFF" w:themeColor="background1"/>
          <w:lang w:val="en-AU"/>
        </w:rPr>
        <w:t>/2018</w:t>
      </w:r>
      <w:r>
        <w:rPr>
          <w:rFonts w:cs="Arial"/>
          <w:color w:val="auto"/>
          <w:sz w:val="16"/>
          <w:szCs w:val="16"/>
          <w:u w:color="FFFFFF" w:themeColor="background1"/>
          <w:lang w:val="en-AU"/>
        </w:rPr>
        <w:t xml:space="preserve"> from Pr</w:t>
      </w:r>
      <w:r w:rsidR="00275B85">
        <w:rPr>
          <w:rFonts w:cs="Arial"/>
          <w:color w:val="auto"/>
          <w:sz w:val="16"/>
          <w:szCs w:val="16"/>
          <w:u w:color="FFFFFF" w:themeColor="background1"/>
          <w:lang w:val="en-AU"/>
        </w:rPr>
        <w:t>oduction and Royalty Reports on</w:t>
      </w:r>
      <w:r w:rsidRPr="009A41EF">
        <w:rPr>
          <w:rFonts w:cs="Arial"/>
          <w:color w:val="auto"/>
          <w:sz w:val="16"/>
          <w:szCs w:val="16"/>
          <w:u w:color="FFFFFF" w:themeColor="background1"/>
          <w:lang w:val="en-AU"/>
        </w:rPr>
        <w:t xml:space="preserve"> </w:t>
      </w:r>
      <w:r w:rsidR="00275B85">
        <w:rPr>
          <w:rFonts w:cs="Arial"/>
          <w:color w:val="auto"/>
          <w:sz w:val="16"/>
          <w:szCs w:val="16"/>
          <w:u w:color="FFFFFF" w:themeColor="background1"/>
          <w:lang w:val="en-AU"/>
        </w:rPr>
        <w:t xml:space="preserve">Work Authorities. </w:t>
      </w:r>
      <w:r>
        <w:rPr>
          <w:rFonts w:cs="Arial"/>
          <w:color w:val="auto"/>
          <w:sz w:val="16"/>
          <w:szCs w:val="16"/>
          <w:u w:color="FFFFFF" w:themeColor="background1"/>
          <w:lang w:val="en-AU"/>
        </w:rPr>
        <w:t>received from the industry</w:t>
      </w:r>
      <w:r w:rsidR="00275B85">
        <w:rPr>
          <w:rFonts w:cs="Arial"/>
          <w:color w:val="auto"/>
          <w:sz w:val="16"/>
          <w:szCs w:val="16"/>
          <w:u w:color="FFFFFF" w:themeColor="background1"/>
          <w:lang w:val="en-AU"/>
        </w:rPr>
        <w:t xml:space="preserve"> (84%)</w:t>
      </w:r>
      <w:r>
        <w:rPr>
          <w:rFonts w:cs="Arial"/>
          <w:color w:val="auto"/>
          <w:sz w:val="16"/>
          <w:szCs w:val="16"/>
          <w:u w:color="FFFFFF" w:themeColor="background1"/>
          <w:lang w:val="en-AU"/>
        </w:rPr>
        <w:t>.</w:t>
      </w:r>
    </w:p>
    <w:p w14:paraId="0D5FCCC4" w14:textId="77777777" w:rsidR="00046093" w:rsidRPr="00A11CC5" w:rsidRDefault="00046093" w:rsidP="00B11372">
      <w:pPr>
        <w:widowControl/>
        <w:suppressAutoHyphens w:val="0"/>
        <w:autoSpaceDE/>
        <w:autoSpaceDN/>
        <w:adjustRightInd/>
        <w:spacing w:after="0" w:line="240" w:lineRule="auto"/>
        <w:textAlignment w:val="auto"/>
        <w:rPr>
          <w:rFonts w:eastAsia="Times New Roman" w:cs="Arial"/>
          <w:b/>
          <w:color w:val="auto"/>
          <w:szCs w:val="24"/>
          <w:u w:color="FFFFFF" w:themeColor="background1"/>
          <w:lang w:val="en-AU"/>
        </w:rPr>
      </w:pPr>
    </w:p>
    <w:p w14:paraId="62D4980E" w14:textId="77777777" w:rsidR="00377E87" w:rsidRPr="00A11CC5" w:rsidRDefault="00377E87">
      <w:pPr>
        <w:widowControl/>
        <w:suppressAutoHyphens w:val="0"/>
        <w:autoSpaceDE/>
        <w:autoSpaceDN/>
        <w:adjustRightInd/>
        <w:spacing w:before="200" w:after="200" w:line="276" w:lineRule="auto"/>
        <w:textAlignment w:val="auto"/>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br w:type="page"/>
      </w:r>
    </w:p>
    <w:p w14:paraId="10DA2FCC" w14:textId="5D99BDF1" w:rsidR="00377E87" w:rsidRPr="00A11CC5" w:rsidRDefault="00377E87">
      <w:pPr>
        <w:widowControl/>
        <w:suppressAutoHyphens w:val="0"/>
        <w:autoSpaceDE/>
        <w:autoSpaceDN/>
        <w:adjustRightInd/>
        <w:spacing w:before="200" w:after="200" w:line="276" w:lineRule="auto"/>
        <w:textAlignment w:val="auto"/>
        <w:rPr>
          <w:rFonts w:eastAsia="Times New Roman" w:cs="Arial"/>
          <w:b/>
          <w:color w:val="auto"/>
          <w:szCs w:val="24"/>
          <w:u w:color="FFFFFF" w:themeColor="background1"/>
          <w:lang w:val="en-AU"/>
        </w:rPr>
      </w:pPr>
    </w:p>
    <w:p w14:paraId="1D686F5E" w14:textId="5ED31052" w:rsidR="005E5094" w:rsidRDefault="006A0BAC" w:rsidP="006A0BAC">
      <w:pPr>
        <w:spacing w:after="0" w:line="240" w:lineRule="auto"/>
        <w:jc w:val="both"/>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T</w:t>
      </w:r>
      <w:bookmarkStart w:id="12" w:name="_Toc126483789"/>
      <w:bookmarkStart w:id="13" w:name="_Toc157237383"/>
      <w:bookmarkStart w:id="14" w:name="_Toc279573161"/>
      <w:r w:rsidRPr="00A11CC5">
        <w:rPr>
          <w:rFonts w:eastAsia="Times New Roman" w:cs="Arial"/>
          <w:b/>
          <w:color w:val="auto"/>
          <w:szCs w:val="24"/>
          <w:u w:color="FFFFFF" w:themeColor="background1"/>
          <w:lang w:val="en-AU"/>
        </w:rPr>
        <w:t xml:space="preserve">able </w:t>
      </w:r>
      <w:r w:rsidR="002B7F82" w:rsidRPr="00A11CC5">
        <w:rPr>
          <w:rFonts w:eastAsia="Times New Roman" w:cs="Arial"/>
          <w:b/>
          <w:color w:val="auto"/>
          <w:szCs w:val="24"/>
          <w:u w:color="FFFFFF" w:themeColor="background1"/>
          <w:lang w:val="en-AU"/>
        </w:rPr>
        <w:t>3</w:t>
      </w:r>
      <w:r w:rsidR="00B11372" w:rsidRPr="00A11CC5">
        <w:rPr>
          <w:rFonts w:eastAsia="Times New Roman" w:cs="Arial"/>
          <w:b/>
          <w:color w:val="auto"/>
          <w:szCs w:val="24"/>
          <w:u w:color="FFFFFF" w:themeColor="background1"/>
          <w:lang w:val="en-AU"/>
        </w:rPr>
        <w:t>.3</w:t>
      </w:r>
      <w:r w:rsidRPr="00A11CC5">
        <w:rPr>
          <w:rFonts w:eastAsia="Times New Roman" w:cs="Arial"/>
          <w:b/>
          <w:color w:val="auto"/>
          <w:szCs w:val="24"/>
          <w:u w:color="FFFFFF" w:themeColor="background1"/>
          <w:lang w:val="en-AU"/>
        </w:rPr>
        <w:t xml:space="preserve"> Victorian extractive industries sales by rock type </w:t>
      </w:r>
      <w:bookmarkEnd w:id="12"/>
      <w:bookmarkEnd w:id="13"/>
      <w:bookmarkEnd w:id="14"/>
      <w:r w:rsidR="00E05450">
        <w:rPr>
          <w:rFonts w:eastAsia="Times New Roman" w:cs="Arial"/>
          <w:b/>
          <w:color w:val="auto"/>
          <w:szCs w:val="24"/>
          <w:u w:color="FFFFFF" w:themeColor="background1"/>
          <w:lang w:val="en-AU"/>
        </w:rPr>
        <w:t>2017-18</w:t>
      </w:r>
      <w:r w:rsidR="00046093">
        <w:rPr>
          <w:rFonts w:eastAsia="Times New Roman" w:cs="Arial"/>
          <w:b/>
          <w:color w:val="auto"/>
          <w:szCs w:val="24"/>
          <w:u w:color="FFFFFF" w:themeColor="background1"/>
          <w:lang w:val="en-AU"/>
        </w:rPr>
        <w:t>^</w:t>
      </w:r>
    </w:p>
    <w:p w14:paraId="2DF827BE" w14:textId="77777777" w:rsidR="002B2AA6" w:rsidRPr="00A11CC5" w:rsidRDefault="002B2AA6" w:rsidP="006A0BAC">
      <w:pPr>
        <w:spacing w:after="0" w:line="240" w:lineRule="auto"/>
        <w:jc w:val="both"/>
        <w:rPr>
          <w:rFonts w:eastAsia="Times New Roman" w:cs="Arial"/>
          <w:b/>
          <w:color w:val="auto"/>
          <w:szCs w:val="24"/>
          <w:u w:color="FFFFFF" w:themeColor="background1"/>
          <w:lang w:val="en-AU"/>
        </w:rPr>
      </w:pPr>
    </w:p>
    <w:tbl>
      <w:tblPr>
        <w:tblStyle w:val="GridTable4-Accent1"/>
        <w:tblW w:w="10160" w:type="dxa"/>
        <w:tblLook w:val="04E0" w:firstRow="1" w:lastRow="1" w:firstColumn="1" w:lastColumn="0" w:noHBand="0" w:noVBand="1"/>
        <w:tblCaption w:val="Product type, volume and value of sales"/>
        <w:tblDescription w:val="Lists products in product group and sales volumes in tonnes with value."/>
      </w:tblPr>
      <w:tblGrid>
        <w:gridCol w:w="2633"/>
        <w:gridCol w:w="3024"/>
        <w:gridCol w:w="2283"/>
        <w:gridCol w:w="2220"/>
      </w:tblGrid>
      <w:tr w:rsidR="00F608A7" w:rsidRPr="00A11CC5" w14:paraId="7D67936D" w14:textId="77777777" w:rsidTr="001079DF">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33" w:type="dxa"/>
            <w:noWrap/>
            <w:vAlign w:val="center"/>
            <w:hideMark/>
          </w:tcPr>
          <w:p w14:paraId="4A851CD9" w14:textId="77777777" w:rsidR="00F608A7" w:rsidRPr="00F608A7" w:rsidRDefault="00F608A7" w:rsidP="001079DF">
            <w:pPr>
              <w:widowControl/>
              <w:suppressAutoHyphens w:val="0"/>
              <w:autoSpaceDE/>
              <w:autoSpaceDN/>
              <w:adjustRightInd/>
              <w:spacing w:after="0" w:line="240" w:lineRule="auto"/>
              <w:jc w:val="center"/>
              <w:textAlignment w:val="auto"/>
              <w:rPr>
                <w:rFonts w:eastAsia="Times New Roman" w:cs="Arial"/>
                <w:bCs w:val="0"/>
                <w:color w:val="FFFFFF" w:themeColor="background1"/>
                <w:lang w:val="en-AU" w:eastAsia="en-AU"/>
              </w:rPr>
            </w:pPr>
            <w:r w:rsidRPr="00F608A7">
              <w:rPr>
                <w:rFonts w:eastAsia="Times New Roman" w:cs="Arial"/>
                <w:bCs w:val="0"/>
                <w:color w:val="FFFFFF" w:themeColor="background1"/>
                <w:lang w:val="en-AU" w:eastAsia="en-AU"/>
              </w:rPr>
              <w:t>Rock Type</w:t>
            </w:r>
          </w:p>
        </w:tc>
        <w:tc>
          <w:tcPr>
            <w:tcW w:w="3024" w:type="dxa"/>
            <w:noWrap/>
            <w:vAlign w:val="center"/>
            <w:hideMark/>
          </w:tcPr>
          <w:p w14:paraId="6FB09768" w14:textId="77777777" w:rsidR="00F608A7" w:rsidRPr="00F608A7" w:rsidRDefault="00F608A7" w:rsidP="001079DF">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F608A7">
              <w:rPr>
                <w:rFonts w:eastAsia="Times New Roman" w:cs="Arial"/>
                <w:bCs w:val="0"/>
                <w:color w:val="FFFFFF" w:themeColor="background1"/>
                <w:lang w:val="en-AU" w:eastAsia="en-AU"/>
              </w:rPr>
              <w:t>Product Type</w:t>
            </w:r>
          </w:p>
        </w:tc>
        <w:tc>
          <w:tcPr>
            <w:tcW w:w="2283" w:type="dxa"/>
            <w:vAlign w:val="center"/>
            <w:hideMark/>
          </w:tcPr>
          <w:p w14:paraId="5DDF4614" w14:textId="75C92054" w:rsidR="00F608A7" w:rsidRPr="00F608A7" w:rsidRDefault="00AF0A57" w:rsidP="001079DF">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Pr>
                <w:rFonts w:eastAsia="Times New Roman" w:cs="Arial"/>
                <w:bCs w:val="0"/>
                <w:color w:val="FFFFFF" w:themeColor="background1"/>
                <w:lang w:val="en-AU" w:eastAsia="en-AU"/>
              </w:rPr>
              <w:t>Production</w:t>
            </w:r>
            <w:r w:rsidR="00F608A7" w:rsidRPr="00F608A7">
              <w:rPr>
                <w:rFonts w:eastAsia="Times New Roman" w:cs="Arial"/>
                <w:bCs w:val="0"/>
                <w:color w:val="FFFFFF" w:themeColor="background1"/>
                <w:lang w:val="en-AU" w:eastAsia="en-AU"/>
              </w:rPr>
              <w:t xml:space="preserve"> Volume</w:t>
            </w:r>
          </w:p>
          <w:p w14:paraId="64AD642B" w14:textId="172DE36C" w:rsidR="00F608A7" w:rsidRPr="00F608A7" w:rsidRDefault="00AF0A57" w:rsidP="001079DF">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lang w:val="en-AU" w:eastAsia="en-AU"/>
              </w:rPr>
            </w:pPr>
            <w:r>
              <w:rPr>
                <w:rFonts w:eastAsia="Times New Roman" w:cs="Arial"/>
                <w:bCs w:val="0"/>
                <w:color w:val="FFFFFF" w:themeColor="background1"/>
                <w:lang w:val="en-AU" w:eastAsia="en-AU"/>
              </w:rPr>
              <w:t>(</w:t>
            </w:r>
            <w:r w:rsidR="00F608A7" w:rsidRPr="00F608A7">
              <w:rPr>
                <w:rFonts w:eastAsia="Times New Roman" w:cs="Arial"/>
                <w:bCs w:val="0"/>
                <w:color w:val="FFFFFF" w:themeColor="background1"/>
                <w:lang w:val="en-AU" w:eastAsia="en-AU"/>
              </w:rPr>
              <w:t>Million Tonnes</w:t>
            </w:r>
            <w:r>
              <w:rPr>
                <w:rFonts w:eastAsia="Times New Roman" w:cs="Arial"/>
                <w:bCs w:val="0"/>
                <w:color w:val="FFFFFF" w:themeColor="background1"/>
                <w:lang w:val="en-AU" w:eastAsia="en-AU"/>
              </w:rPr>
              <w:t>)</w:t>
            </w:r>
          </w:p>
        </w:tc>
        <w:tc>
          <w:tcPr>
            <w:tcW w:w="2220" w:type="dxa"/>
            <w:vAlign w:val="center"/>
            <w:hideMark/>
          </w:tcPr>
          <w:p w14:paraId="5E4E9A89" w14:textId="77777777" w:rsidR="00F608A7" w:rsidRPr="00F608A7" w:rsidRDefault="00F608A7" w:rsidP="001079DF">
            <w:pPr>
              <w:widowControl/>
              <w:suppressAutoHyphens w:val="0"/>
              <w:autoSpaceDE/>
              <w:autoSpaceDN/>
              <w:adjustRightInd/>
              <w:spacing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F608A7">
              <w:rPr>
                <w:rFonts w:eastAsia="Times New Roman" w:cs="Arial"/>
                <w:bCs w:val="0"/>
                <w:color w:val="FFFFFF" w:themeColor="background1"/>
                <w:lang w:val="en-AU" w:eastAsia="en-AU"/>
              </w:rPr>
              <w:t>Sales Value</w:t>
            </w:r>
          </w:p>
          <w:p w14:paraId="6AE8BB55" w14:textId="2582FF02" w:rsidR="00F608A7" w:rsidRPr="00F608A7" w:rsidRDefault="00F608A7" w:rsidP="001079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F608A7">
              <w:rPr>
                <w:rFonts w:eastAsia="Times New Roman" w:cs="Arial"/>
                <w:bCs w:val="0"/>
                <w:color w:val="FFFFFF" w:themeColor="background1"/>
                <w:lang w:val="en-AU" w:eastAsia="en-AU"/>
              </w:rPr>
              <w:t>($Am)</w:t>
            </w:r>
          </w:p>
        </w:tc>
      </w:tr>
      <w:tr w:rsidR="004E64CF" w:rsidRPr="00A11CC5" w14:paraId="630FEA2D" w14:textId="77777777" w:rsidTr="004E64C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633" w:type="dxa"/>
            <w:vMerge w:val="restart"/>
            <w:noWrap/>
            <w:vAlign w:val="center"/>
            <w:hideMark/>
          </w:tcPr>
          <w:p w14:paraId="336F50AA" w14:textId="77777777"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A11CC5">
              <w:rPr>
                <w:rFonts w:eastAsia="Times New Roman" w:cs="Arial"/>
                <w:color w:val="auto"/>
                <w:lang w:val="en-AU" w:eastAsia="en-AU"/>
              </w:rPr>
              <w:t>Hard Rock</w:t>
            </w:r>
          </w:p>
        </w:tc>
        <w:tc>
          <w:tcPr>
            <w:tcW w:w="3024" w:type="dxa"/>
            <w:noWrap/>
            <w:vAlign w:val="center"/>
            <w:hideMark/>
          </w:tcPr>
          <w:p w14:paraId="50764DA4" w14:textId="292903FB" w:rsidR="004E64CF" w:rsidRPr="00A11CC5"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A11CC5">
              <w:rPr>
                <w:rFonts w:eastAsia="Times New Roman" w:cs="Arial"/>
                <w:color w:val="auto"/>
                <w:lang w:val="en-AU" w:eastAsia="en-AU"/>
              </w:rPr>
              <w:t>BASALT</w:t>
            </w:r>
          </w:p>
        </w:tc>
        <w:tc>
          <w:tcPr>
            <w:tcW w:w="2283" w:type="dxa"/>
            <w:noWrap/>
            <w:vAlign w:val="center"/>
            <w:hideMark/>
          </w:tcPr>
          <w:p w14:paraId="658D7C25" w14:textId="0D561CA7"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23.021</w:t>
            </w:r>
          </w:p>
        </w:tc>
        <w:tc>
          <w:tcPr>
            <w:tcW w:w="2220" w:type="dxa"/>
            <w:noWrap/>
            <w:vAlign w:val="center"/>
            <w:hideMark/>
          </w:tcPr>
          <w:p w14:paraId="7FE08309" w14:textId="7F9417A8"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377.00</w:t>
            </w:r>
          </w:p>
        </w:tc>
      </w:tr>
      <w:tr w:rsidR="004E64CF" w:rsidRPr="00A11CC5" w14:paraId="149707FB" w14:textId="77777777" w:rsidTr="004E64CF">
        <w:trPr>
          <w:trHeight w:val="371"/>
        </w:trPr>
        <w:tc>
          <w:tcPr>
            <w:cnfStyle w:val="001000000000" w:firstRow="0" w:lastRow="0" w:firstColumn="1" w:lastColumn="0" w:oddVBand="0" w:evenVBand="0" w:oddHBand="0" w:evenHBand="0" w:firstRowFirstColumn="0" w:firstRowLastColumn="0" w:lastRowFirstColumn="0" w:lastRowLastColumn="0"/>
            <w:tcW w:w="2633" w:type="dxa"/>
            <w:vMerge/>
            <w:noWrap/>
            <w:vAlign w:val="center"/>
            <w:hideMark/>
          </w:tcPr>
          <w:p w14:paraId="7497AE90" w14:textId="77777777"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color w:val="auto"/>
                <w:lang w:val="en-AU" w:eastAsia="en-AU"/>
              </w:rPr>
            </w:pPr>
          </w:p>
        </w:tc>
        <w:tc>
          <w:tcPr>
            <w:tcW w:w="3024" w:type="dxa"/>
            <w:noWrap/>
            <w:vAlign w:val="center"/>
            <w:hideMark/>
          </w:tcPr>
          <w:p w14:paraId="7A10D1EE" w14:textId="77777777" w:rsidR="004E64CF" w:rsidRPr="00A11CC5"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A11CC5">
              <w:rPr>
                <w:rFonts w:eastAsia="Times New Roman" w:cs="Arial"/>
                <w:color w:val="auto"/>
                <w:lang w:val="en-AU" w:eastAsia="en-AU"/>
              </w:rPr>
              <w:t>GNEISS</w:t>
            </w:r>
          </w:p>
        </w:tc>
        <w:tc>
          <w:tcPr>
            <w:tcW w:w="2283" w:type="dxa"/>
            <w:noWrap/>
            <w:vAlign w:val="center"/>
            <w:hideMark/>
          </w:tcPr>
          <w:p w14:paraId="72528EF8" w14:textId="487C3EA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0.005</w:t>
            </w:r>
          </w:p>
        </w:tc>
        <w:tc>
          <w:tcPr>
            <w:tcW w:w="2220" w:type="dxa"/>
            <w:noWrap/>
            <w:vAlign w:val="center"/>
            <w:hideMark/>
          </w:tcPr>
          <w:p w14:paraId="6443B581" w14:textId="7F8EB733"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0.01</w:t>
            </w:r>
          </w:p>
        </w:tc>
      </w:tr>
      <w:tr w:rsidR="004E64CF" w:rsidRPr="00A11CC5" w14:paraId="089C888D" w14:textId="77777777" w:rsidTr="004E64C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633" w:type="dxa"/>
            <w:vMerge/>
            <w:noWrap/>
            <w:vAlign w:val="center"/>
            <w:hideMark/>
          </w:tcPr>
          <w:p w14:paraId="0119F42A" w14:textId="77777777"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color w:val="auto"/>
                <w:lang w:val="en-AU" w:eastAsia="en-AU"/>
              </w:rPr>
            </w:pPr>
          </w:p>
        </w:tc>
        <w:tc>
          <w:tcPr>
            <w:tcW w:w="3024" w:type="dxa"/>
            <w:noWrap/>
            <w:vAlign w:val="center"/>
            <w:hideMark/>
          </w:tcPr>
          <w:p w14:paraId="5BB8A9C7" w14:textId="77777777" w:rsidR="004E64CF" w:rsidRPr="00A11CC5"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A11CC5">
              <w:rPr>
                <w:rFonts w:eastAsia="Times New Roman" w:cs="Arial"/>
                <w:color w:val="auto"/>
                <w:lang w:val="en-AU" w:eastAsia="en-AU"/>
              </w:rPr>
              <w:t>GRANITE</w:t>
            </w:r>
          </w:p>
        </w:tc>
        <w:tc>
          <w:tcPr>
            <w:tcW w:w="2283" w:type="dxa"/>
            <w:noWrap/>
            <w:vAlign w:val="center"/>
            <w:hideMark/>
          </w:tcPr>
          <w:p w14:paraId="56560BD0" w14:textId="111D442E"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5.347</w:t>
            </w:r>
          </w:p>
        </w:tc>
        <w:tc>
          <w:tcPr>
            <w:tcW w:w="2220" w:type="dxa"/>
            <w:noWrap/>
            <w:vAlign w:val="center"/>
            <w:hideMark/>
          </w:tcPr>
          <w:p w14:paraId="3E100BAC" w14:textId="23B0DF6D"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122.86</w:t>
            </w:r>
          </w:p>
        </w:tc>
      </w:tr>
      <w:tr w:rsidR="004E64CF" w:rsidRPr="00A11CC5" w14:paraId="2D9D5F2E" w14:textId="77777777" w:rsidTr="004E64CF">
        <w:trPr>
          <w:trHeight w:val="371"/>
        </w:trPr>
        <w:tc>
          <w:tcPr>
            <w:cnfStyle w:val="001000000000" w:firstRow="0" w:lastRow="0" w:firstColumn="1" w:lastColumn="0" w:oddVBand="0" w:evenVBand="0" w:oddHBand="0" w:evenHBand="0" w:firstRowFirstColumn="0" w:firstRowLastColumn="0" w:lastRowFirstColumn="0" w:lastRowLastColumn="0"/>
            <w:tcW w:w="2633" w:type="dxa"/>
            <w:vMerge/>
            <w:noWrap/>
            <w:vAlign w:val="center"/>
            <w:hideMark/>
          </w:tcPr>
          <w:p w14:paraId="782F2C23" w14:textId="77777777"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color w:val="auto"/>
                <w:lang w:val="en-AU" w:eastAsia="en-AU"/>
              </w:rPr>
            </w:pPr>
          </w:p>
        </w:tc>
        <w:tc>
          <w:tcPr>
            <w:tcW w:w="3024" w:type="dxa"/>
            <w:noWrap/>
            <w:vAlign w:val="center"/>
            <w:hideMark/>
          </w:tcPr>
          <w:p w14:paraId="44BD2D48" w14:textId="77777777" w:rsidR="004E64CF" w:rsidRPr="00A11CC5"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A11CC5">
              <w:rPr>
                <w:rFonts w:eastAsia="Times New Roman" w:cs="Arial"/>
                <w:color w:val="auto"/>
                <w:lang w:val="en-AU" w:eastAsia="en-AU"/>
              </w:rPr>
              <w:t>HORNFELS</w:t>
            </w:r>
          </w:p>
        </w:tc>
        <w:tc>
          <w:tcPr>
            <w:tcW w:w="2283" w:type="dxa"/>
            <w:noWrap/>
            <w:vAlign w:val="center"/>
            <w:hideMark/>
          </w:tcPr>
          <w:p w14:paraId="287EF2A8" w14:textId="434DFA3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4.462</w:t>
            </w:r>
          </w:p>
        </w:tc>
        <w:tc>
          <w:tcPr>
            <w:tcW w:w="2220" w:type="dxa"/>
            <w:noWrap/>
            <w:vAlign w:val="center"/>
            <w:hideMark/>
          </w:tcPr>
          <w:p w14:paraId="292FE628" w14:textId="03DCC586"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75.05</w:t>
            </w:r>
          </w:p>
        </w:tc>
      </w:tr>
      <w:tr w:rsidR="004E64CF" w:rsidRPr="00A11CC5" w14:paraId="3C7A67F0" w14:textId="77777777" w:rsidTr="004E64C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633" w:type="dxa"/>
            <w:vMerge/>
            <w:noWrap/>
            <w:vAlign w:val="center"/>
            <w:hideMark/>
          </w:tcPr>
          <w:p w14:paraId="0959289A" w14:textId="77777777"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color w:val="auto"/>
                <w:lang w:val="en-AU" w:eastAsia="en-AU"/>
              </w:rPr>
            </w:pPr>
          </w:p>
        </w:tc>
        <w:tc>
          <w:tcPr>
            <w:tcW w:w="3024" w:type="dxa"/>
            <w:noWrap/>
            <w:vAlign w:val="center"/>
            <w:hideMark/>
          </w:tcPr>
          <w:p w14:paraId="3C775AF6" w14:textId="77777777" w:rsidR="004E64CF" w:rsidRPr="00A11CC5"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A11CC5">
              <w:rPr>
                <w:rFonts w:eastAsia="Times New Roman" w:cs="Arial"/>
                <w:color w:val="auto"/>
                <w:lang w:val="en-AU" w:eastAsia="en-AU"/>
              </w:rPr>
              <w:t>QUARTZITE</w:t>
            </w:r>
          </w:p>
        </w:tc>
        <w:tc>
          <w:tcPr>
            <w:tcW w:w="2283" w:type="dxa"/>
            <w:noWrap/>
            <w:vAlign w:val="center"/>
            <w:hideMark/>
          </w:tcPr>
          <w:p w14:paraId="49E95FFD" w14:textId="554ABB81"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0.030</w:t>
            </w:r>
          </w:p>
        </w:tc>
        <w:tc>
          <w:tcPr>
            <w:tcW w:w="2220" w:type="dxa"/>
            <w:noWrap/>
            <w:vAlign w:val="center"/>
            <w:hideMark/>
          </w:tcPr>
          <w:p w14:paraId="191457D6" w14:textId="6503B896"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0.36</w:t>
            </w:r>
          </w:p>
        </w:tc>
      </w:tr>
      <w:tr w:rsidR="004E64CF" w:rsidRPr="00A11CC5" w14:paraId="7887F414" w14:textId="77777777" w:rsidTr="004E64CF">
        <w:trPr>
          <w:trHeight w:val="371"/>
        </w:trPr>
        <w:tc>
          <w:tcPr>
            <w:cnfStyle w:val="001000000000" w:firstRow="0" w:lastRow="0" w:firstColumn="1" w:lastColumn="0" w:oddVBand="0" w:evenVBand="0" w:oddHBand="0" w:evenHBand="0" w:firstRowFirstColumn="0" w:firstRowLastColumn="0" w:lastRowFirstColumn="0" w:lastRowLastColumn="0"/>
            <w:tcW w:w="2633" w:type="dxa"/>
            <w:vMerge/>
            <w:noWrap/>
            <w:vAlign w:val="center"/>
            <w:hideMark/>
          </w:tcPr>
          <w:p w14:paraId="3EF228B2" w14:textId="77777777"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color w:val="auto"/>
                <w:lang w:val="en-AU" w:eastAsia="en-AU"/>
              </w:rPr>
            </w:pPr>
          </w:p>
        </w:tc>
        <w:tc>
          <w:tcPr>
            <w:tcW w:w="3024" w:type="dxa"/>
            <w:noWrap/>
            <w:vAlign w:val="center"/>
            <w:hideMark/>
          </w:tcPr>
          <w:p w14:paraId="6B100B94" w14:textId="77777777" w:rsidR="004E64CF" w:rsidRPr="00A11CC5"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A11CC5">
              <w:rPr>
                <w:rFonts w:eastAsia="Times New Roman" w:cs="Arial"/>
                <w:color w:val="auto"/>
                <w:lang w:val="en-AU" w:eastAsia="en-AU"/>
              </w:rPr>
              <w:t>RHYODACITE</w:t>
            </w:r>
          </w:p>
        </w:tc>
        <w:tc>
          <w:tcPr>
            <w:tcW w:w="2283" w:type="dxa"/>
            <w:noWrap/>
            <w:vAlign w:val="center"/>
            <w:hideMark/>
          </w:tcPr>
          <w:p w14:paraId="61992194" w14:textId="10777906"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1.779</w:t>
            </w:r>
          </w:p>
        </w:tc>
        <w:tc>
          <w:tcPr>
            <w:tcW w:w="2220" w:type="dxa"/>
            <w:noWrap/>
            <w:vAlign w:val="center"/>
            <w:hideMark/>
          </w:tcPr>
          <w:p w14:paraId="4AAA0B7F" w14:textId="5C0C7EEB"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43.64</w:t>
            </w:r>
          </w:p>
        </w:tc>
      </w:tr>
      <w:tr w:rsidR="004E64CF" w:rsidRPr="00A11CC5" w14:paraId="4173C9CC" w14:textId="77777777" w:rsidTr="004E64C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633" w:type="dxa"/>
            <w:vMerge/>
            <w:noWrap/>
            <w:vAlign w:val="center"/>
            <w:hideMark/>
          </w:tcPr>
          <w:p w14:paraId="12ABA784" w14:textId="77777777"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color w:val="auto"/>
                <w:lang w:val="en-AU" w:eastAsia="en-AU"/>
              </w:rPr>
            </w:pPr>
          </w:p>
        </w:tc>
        <w:tc>
          <w:tcPr>
            <w:tcW w:w="3024" w:type="dxa"/>
            <w:noWrap/>
            <w:vAlign w:val="center"/>
            <w:hideMark/>
          </w:tcPr>
          <w:p w14:paraId="5E463D5B" w14:textId="77777777" w:rsidR="004E64CF" w:rsidRPr="00A11CC5"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A11CC5">
              <w:rPr>
                <w:rFonts w:eastAsia="Times New Roman" w:cs="Arial"/>
                <w:color w:val="auto"/>
                <w:lang w:val="en-AU" w:eastAsia="en-AU"/>
              </w:rPr>
              <w:t>SCHIST</w:t>
            </w:r>
          </w:p>
        </w:tc>
        <w:tc>
          <w:tcPr>
            <w:tcW w:w="2283" w:type="dxa"/>
            <w:noWrap/>
            <w:vAlign w:val="center"/>
            <w:hideMark/>
          </w:tcPr>
          <w:p w14:paraId="47ACB40F" w14:textId="21A084DD"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0.273</w:t>
            </w:r>
          </w:p>
        </w:tc>
        <w:tc>
          <w:tcPr>
            <w:tcW w:w="2220" w:type="dxa"/>
            <w:noWrap/>
            <w:vAlign w:val="center"/>
            <w:hideMark/>
          </w:tcPr>
          <w:p w14:paraId="478481C9" w14:textId="3166C0EE"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5.86</w:t>
            </w:r>
          </w:p>
        </w:tc>
      </w:tr>
      <w:tr w:rsidR="004E64CF" w:rsidRPr="00A11CC5" w14:paraId="35DE6DBE" w14:textId="77777777" w:rsidTr="004E64CF">
        <w:trPr>
          <w:trHeight w:val="371"/>
        </w:trPr>
        <w:tc>
          <w:tcPr>
            <w:cnfStyle w:val="001000000000" w:firstRow="0" w:lastRow="0" w:firstColumn="1" w:lastColumn="0" w:oddVBand="0" w:evenVBand="0" w:oddHBand="0" w:evenHBand="0" w:firstRowFirstColumn="0" w:firstRowLastColumn="0" w:lastRowFirstColumn="0" w:lastRowLastColumn="0"/>
            <w:tcW w:w="2633" w:type="dxa"/>
            <w:vMerge/>
            <w:noWrap/>
            <w:vAlign w:val="center"/>
            <w:hideMark/>
          </w:tcPr>
          <w:p w14:paraId="12115F6B" w14:textId="77777777"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color w:val="auto"/>
                <w:lang w:val="en-AU" w:eastAsia="en-AU"/>
              </w:rPr>
            </w:pPr>
          </w:p>
        </w:tc>
        <w:tc>
          <w:tcPr>
            <w:tcW w:w="3024" w:type="dxa"/>
            <w:noWrap/>
            <w:vAlign w:val="center"/>
            <w:hideMark/>
          </w:tcPr>
          <w:p w14:paraId="3F864A36" w14:textId="77777777" w:rsidR="004E64CF" w:rsidRPr="00A11CC5"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A11CC5">
              <w:rPr>
                <w:rFonts w:eastAsia="Times New Roman" w:cs="Arial"/>
                <w:color w:val="auto"/>
                <w:lang w:val="en-AU" w:eastAsia="en-AU"/>
              </w:rPr>
              <w:t>SLATE</w:t>
            </w:r>
          </w:p>
        </w:tc>
        <w:tc>
          <w:tcPr>
            <w:tcW w:w="2283" w:type="dxa"/>
            <w:noWrap/>
            <w:vAlign w:val="center"/>
            <w:hideMark/>
          </w:tcPr>
          <w:p w14:paraId="1DD9D841" w14:textId="10DD5C44"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0.043</w:t>
            </w:r>
          </w:p>
        </w:tc>
        <w:tc>
          <w:tcPr>
            <w:tcW w:w="2220" w:type="dxa"/>
            <w:noWrap/>
            <w:vAlign w:val="center"/>
            <w:hideMark/>
          </w:tcPr>
          <w:p w14:paraId="4949F8E6" w14:textId="273DA327"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0.66</w:t>
            </w:r>
          </w:p>
        </w:tc>
      </w:tr>
      <w:tr w:rsidR="004E64CF" w:rsidRPr="00A11CC5" w14:paraId="7CFF7843" w14:textId="77777777" w:rsidTr="004E64C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633" w:type="dxa"/>
            <w:vMerge/>
            <w:noWrap/>
            <w:vAlign w:val="center"/>
          </w:tcPr>
          <w:p w14:paraId="5639D7E9" w14:textId="77777777"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color w:val="auto"/>
                <w:lang w:val="en-AU" w:eastAsia="en-AU"/>
              </w:rPr>
            </w:pPr>
          </w:p>
        </w:tc>
        <w:tc>
          <w:tcPr>
            <w:tcW w:w="3024" w:type="dxa"/>
            <w:noWrap/>
            <w:vAlign w:val="center"/>
          </w:tcPr>
          <w:p w14:paraId="041CF0F2" w14:textId="3960CB2C" w:rsidR="004E64CF" w:rsidRPr="00A11CC5"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Pr>
                <w:rFonts w:eastAsia="Times New Roman" w:cs="Arial"/>
                <w:color w:val="auto"/>
                <w:lang w:val="en-AU" w:eastAsia="en-AU"/>
              </w:rPr>
              <w:t>TRACHYTE</w:t>
            </w:r>
          </w:p>
        </w:tc>
        <w:tc>
          <w:tcPr>
            <w:tcW w:w="2283" w:type="dxa"/>
            <w:noWrap/>
            <w:vAlign w:val="center"/>
          </w:tcPr>
          <w:p w14:paraId="65542B95" w14:textId="20FD9192"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themeColor="text1"/>
              </w:rPr>
            </w:pPr>
            <w:r w:rsidRPr="007E7143">
              <w:rPr>
                <w:color w:val="000000" w:themeColor="text1"/>
              </w:rPr>
              <w:t>0.038</w:t>
            </w:r>
          </w:p>
        </w:tc>
        <w:tc>
          <w:tcPr>
            <w:tcW w:w="2220" w:type="dxa"/>
            <w:noWrap/>
            <w:vAlign w:val="center"/>
          </w:tcPr>
          <w:p w14:paraId="6918F1C1" w14:textId="64BD9741"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themeColor="text1"/>
              </w:rPr>
            </w:pPr>
            <w:r w:rsidRPr="007E7143">
              <w:rPr>
                <w:color w:val="000000" w:themeColor="text1"/>
              </w:rPr>
              <w:t>0.80</w:t>
            </w:r>
          </w:p>
        </w:tc>
      </w:tr>
      <w:tr w:rsidR="004E64CF" w:rsidRPr="00A11CC5" w14:paraId="00B22935" w14:textId="77777777" w:rsidTr="004E64CF">
        <w:trPr>
          <w:trHeight w:val="459"/>
        </w:trPr>
        <w:tc>
          <w:tcPr>
            <w:cnfStyle w:val="001000000000" w:firstRow="0" w:lastRow="0" w:firstColumn="1" w:lastColumn="0" w:oddVBand="0" w:evenVBand="0" w:oddHBand="0" w:evenHBand="0" w:firstRowFirstColumn="0" w:firstRowLastColumn="0" w:lastRowFirstColumn="0" w:lastRowLastColumn="0"/>
            <w:tcW w:w="2633" w:type="dxa"/>
            <w:shd w:val="clear" w:color="auto" w:fill="8DB3E2" w:themeFill="text2" w:themeFillTint="66"/>
            <w:noWrap/>
            <w:vAlign w:val="center"/>
            <w:hideMark/>
          </w:tcPr>
          <w:p w14:paraId="20E99FCC" w14:textId="77777777" w:rsidR="004E64CF" w:rsidRPr="00140174" w:rsidRDefault="004E64CF" w:rsidP="004E64CF">
            <w:pPr>
              <w:widowControl/>
              <w:suppressAutoHyphens w:val="0"/>
              <w:autoSpaceDE/>
              <w:autoSpaceDN/>
              <w:adjustRightInd/>
              <w:spacing w:after="0" w:line="240" w:lineRule="auto"/>
              <w:jc w:val="center"/>
              <w:textAlignment w:val="auto"/>
              <w:rPr>
                <w:rFonts w:eastAsia="Times New Roman" w:cs="Arial"/>
                <w:bCs w:val="0"/>
                <w:color w:val="auto"/>
                <w:lang w:val="en-AU" w:eastAsia="en-AU"/>
              </w:rPr>
            </w:pPr>
            <w:r w:rsidRPr="00140174">
              <w:rPr>
                <w:rFonts w:eastAsia="Times New Roman" w:cs="Arial"/>
                <w:bCs w:val="0"/>
                <w:color w:val="auto"/>
                <w:lang w:val="en-AU" w:eastAsia="en-AU"/>
              </w:rPr>
              <w:t>Hard Rock Total</w:t>
            </w:r>
          </w:p>
        </w:tc>
        <w:tc>
          <w:tcPr>
            <w:tcW w:w="3024" w:type="dxa"/>
            <w:shd w:val="clear" w:color="auto" w:fill="8DB3E2" w:themeFill="text2" w:themeFillTint="66"/>
            <w:noWrap/>
            <w:vAlign w:val="center"/>
            <w:hideMark/>
          </w:tcPr>
          <w:p w14:paraId="3DA41566" w14:textId="258A8A5A" w:rsidR="004E64CF" w:rsidRPr="00A11CC5"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auto"/>
                <w:sz w:val="22"/>
                <w:szCs w:val="22"/>
                <w:lang w:val="en-AU" w:eastAsia="en-AU"/>
              </w:rPr>
            </w:pPr>
          </w:p>
        </w:tc>
        <w:tc>
          <w:tcPr>
            <w:tcW w:w="2283" w:type="dxa"/>
            <w:shd w:val="clear" w:color="auto" w:fill="8DB3E2" w:themeFill="text2" w:themeFillTint="66"/>
            <w:noWrap/>
            <w:vAlign w:val="center"/>
            <w:hideMark/>
          </w:tcPr>
          <w:p w14:paraId="5AD5BE0C" w14:textId="080AD2B2"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lang w:val="en-AU" w:eastAsia="en-AU"/>
              </w:rPr>
            </w:pPr>
            <w:r w:rsidRPr="007E7143">
              <w:rPr>
                <w:b/>
                <w:color w:val="000000" w:themeColor="text1"/>
              </w:rPr>
              <w:t>34.999</w:t>
            </w:r>
          </w:p>
        </w:tc>
        <w:tc>
          <w:tcPr>
            <w:tcW w:w="2220" w:type="dxa"/>
            <w:shd w:val="clear" w:color="auto" w:fill="8DB3E2" w:themeFill="text2" w:themeFillTint="66"/>
            <w:noWrap/>
            <w:vAlign w:val="center"/>
            <w:hideMark/>
          </w:tcPr>
          <w:p w14:paraId="54E8C3F3" w14:textId="4AB9094E"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lang w:val="en-AU" w:eastAsia="en-AU"/>
              </w:rPr>
            </w:pPr>
            <w:r w:rsidRPr="007E7143">
              <w:rPr>
                <w:b/>
                <w:color w:val="000000" w:themeColor="text1"/>
              </w:rPr>
              <w:t>626.24</w:t>
            </w:r>
          </w:p>
        </w:tc>
      </w:tr>
      <w:tr w:rsidR="004E64CF" w:rsidRPr="00A11CC5" w14:paraId="6DBB8375" w14:textId="77777777" w:rsidTr="004E64C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633" w:type="dxa"/>
            <w:vMerge w:val="restart"/>
            <w:noWrap/>
            <w:vAlign w:val="center"/>
            <w:hideMark/>
          </w:tcPr>
          <w:p w14:paraId="4DE38742" w14:textId="77777777"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A11CC5">
              <w:rPr>
                <w:rFonts w:eastAsia="Times New Roman" w:cs="Arial"/>
                <w:color w:val="auto"/>
                <w:lang w:val="en-AU" w:eastAsia="en-AU"/>
              </w:rPr>
              <w:t>Soft Rock</w:t>
            </w:r>
          </w:p>
        </w:tc>
        <w:tc>
          <w:tcPr>
            <w:tcW w:w="3024" w:type="dxa"/>
            <w:noWrap/>
            <w:vAlign w:val="center"/>
            <w:hideMark/>
          </w:tcPr>
          <w:p w14:paraId="2CC8C0E0" w14:textId="77777777" w:rsidR="004E64CF" w:rsidRPr="00A11CC5"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A11CC5">
              <w:rPr>
                <w:rFonts w:eastAsia="Times New Roman" w:cs="Arial"/>
                <w:color w:val="auto"/>
                <w:lang w:val="en-AU" w:eastAsia="en-AU"/>
              </w:rPr>
              <w:t>CLAY &amp; CLAY SHALE</w:t>
            </w:r>
          </w:p>
        </w:tc>
        <w:tc>
          <w:tcPr>
            <w:tcW w:w="2283" w:type="dxa"/>
            <w:noWrap/>
            <w:vAlign w:val="center"/>
            <w:hideMark/>
          </w:tcPr>
          <w:p w14:paraId="2C9C24C6" w14:textId="13E5945A"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1.475</w:t>
            </w:r>
          </w:p>
        </w:tc>
        <w:tc>
          <w:tcPr>
            <w:tcW w:w="2220" w:type="dxa"/>
            <w:noWrap/>
            <w:vAlign w:val="center"/>
            <w:hideMark/>
          </w:tcPr>
          <w:p w14:paraId="7D3B79C5" w14:textId="626F744E"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3.87</w:t>
            </w:r>
          </w:p>
        </w:tc>
      </w:tr>
      <w:tr w:rsidR="004E64CF" w:rsidRPr="00A11CC5" w14:paraId="713EC21A" w14:textId="77777777" w:rsidTr="004E64CF">
        <w:trPr>
          <w:trHeight w:val="371"/>
        </w:trPr>
        <w:tc>
          <w:tcPr>
            <w:cnfStyle w:val="001000000000" w:firstRow="0" w:lastRow="0" w:firstColumn="1" w:lastColumn="0" w:oddVBand="0" w:evenVBand="0" w:oddHBand="0" w:evenHBand="0" w:firstRowFirstColumn="0" w:firstRowLastColumn="0" w:lastRowFirstColumn="0" w:lastRowLastColumn="0"/>
            <w:tcW w:w="2633" w:type="dxa"/>
            <w:vMerge/>
            <w:noWrap/>
            <w:vAlign w:val="center"/>
            <w:hideMark/>
          </w:tcPr>
          <w:p w14:paraId="4DAF1A50" w14:textId="77777777"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color w:val="auto"/>
                <w:lang w:val="en-AU" w:eastAsia="en-AU"/>
              </w:rPr>
            </w:pPr>
          </w:p>
        </w:tc>
        <w:tc>
          <w:tcPr>
            <w:tcW w:w="3024" w:type="dxa"/>
            <w:noWrap/>
            <w:vAlign w:val="center"/>
            <w:hideMark/>
          </w:tcPr>
          <w:p w14:paraId="51913DD0" w14:textId="77777777" w:rsidR="004E64CF" w:rsidRPr="00A11CC5"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A11CC5">
              <w:rPr>
                <w:rFonts w:eastAsia="Times New Roman" w:cs="Arial"/>
                <w:color w:val="auto"/>
                <w:lang w:val="en-AU" w:eastAsia="en-AU"/>
              </w:rPr>
              <w:t>LIMESTONE</w:t>
            </w:r>
          </w:p>
        </w:tc>
        <w:tc>
          <w:tcPr>
            <w:tcW w:w="2283" w:type="dxa"/>
            <w:noWrap/>
            <w:vAlign w:val="center"/>
            <w:hideMark/>
          </w:tcPr>
          <w:p w14:paraId="4BFD2ABB" w14:textId="3AFDC834"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1.424</w:t>
            </w:r>
          </w:p>
        </w:tc>
        <w:tc>
          <w:tcPr>
            <w:tcW w:w="2220" w:type="dxa"/>
            <w:noWrap/>
            <w:vAlign w:val="center"/>
            <w:hideMark/>
          </w:tcPr>
          <w:p w14:paraId="4A5D1D6D" w14:textId="65D98B66"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26.20</w:t>
            </w:r>
          </w:p>
        </w:tc>
      </w:tr>
      <w:tr w:rsidR="004E64CF" w:rsidRPr="00A11CC5" w14:paraId="0ED8BBA5" w14:textId="77777777" w:rsidTr="004E64C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633" w:type="dxa"/>
            <w:vMerge/>
            <w:noWrap/>
            <w:vAlign w:val="center"/>
            <w:hideMark/>
          </w:tcPr>
          <w:p w14:paraId="0FA941AE" w14:textId="77777777"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color w:val="auto"/>
                <w:lang w:val="en-AU" w:eastAsia="en-AU"/>
              </w:rPr>
            </w:pPr>
          </w:p>
        </w:tc>
        <w:tc>
          <w:tcPr>
            <w:tcW w:w="3024" w:type="dxa"/>
            <w:noWrap/>
            <w:vAlign w:val="center"/>
            <w:hideMark/>
          </w:tcPr>
          <w:p w14:paraId="6B4968C8" w14:textId="77777777" w:rsidR="004E64CF" w:rsidRPr="00A11CC5"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A11CC5">
              <w:rPr>
                <w:rFonts w:eastAsia="Times New Roman" w:cs="Arial"/>
                <w:color w:val="auto"/>
                <w:lang w:val="en-AU" w:eastAsia="en-AU"/>
              </w:rPr>
              <w:t>SAND &amp; GRAVEL</w:t>
            </w:r>
          </w:p>
        </w:tc>
        <w:tc>
          <w:tcPr>
            <w:tcW w:w="2283" w:type="dxa"/>
            <w:noWrap/>
            <w:vAlign w:val="center"/>
            <w:hideMark/>
          </w:tcPr>
          <w:p w14:paraId="7A459FD0" w14:textId="6E362DF1"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15.503</w:t>
            </w:r>
          </w:p>
        </w:tc>
        <w:tc>
          <w:tcPr>
            <w:tcW w:w="2220" w:type="dxa"/>
            <w:noWrap/>
            <w:vAlign w:val="center"/>
            <w:hideMark/>
          </w:tcPr>
          <w:p w14:paraId="5C10E2C6" w14:textId="5E543B6A"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236.52</w:t>
            </w:r>
          </w:p>
        </w:tc>
      </w:tr>
      <w:tr w:rsidR="004E64CF" w:rsidRPr="00A11CC5" w14:paraId="02BBC395" w14:textId="77777777" w:rsidTr="004E64CF">
        <w:trPr>
          <w:trHeight w:val="371"/>
        </w:trPr>
        <w:tc>
          <w:tcPr>
            <w:cnfStyle w:val="001000000000" w:firstRow="0" w:lastRow="0" w:firstColumn="1" w:lastColumn="0" w:oddVBand="0" w:evenVBand="0" w:oddHBand="0" w:evenHBand="0" w:firstRowFirstColumn="0" w:firstRowLastColumn="0" w:lastRowFirstColumn="0" w:lastRowLastColumn="0"/>
            <w:tcW w:w="2633" w:type="dxa"/>
            <w:vMerge/>
            <w:noWrap/>
            <w:vAlign w:val="center"/>
            <w:hideMark/>
          </w:tcPr>
          <w:p w14:paraId="2BA36A21" w14:textId="77777777"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color w:val="auto"/>
                <w:lang w:val="en-AU" w:eastAsia="en-AU"/>
              </w:rPr>
            </w:pPr>
          </w:p>
        </w:tc>
        <w:tc>
          <w:tcPr>
            <w:tcW w:w="3024" w:type="dxa"/>
            <w:noWrap/>
            <w:vAlign w:val="center"/>
            <w:hideMark/>
          </w:tcPr>
          <w:p w14:paraId="372B4EE1" w14:textId="676DFAB9" w:rsidR="004E64CF" w:rsidRPr="00A11CC5"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A11CC5">
              <w:rPr>
                <w:rFonts w:eastAsia="Times New Roman" w:cs="Arial"/>
                <w:color w:val="auto"/>
                <w:lang w:val="en-AU" w:eastAsia="en-AU"/>
              </w:rPr>
              <w:t>SCORIA</w:t>
            </w:r>
          </w:p>
        </w:tc>
        <w:tc>
          <w:tcPr>
            <w:tcW w:w="2283" w:type="dxa"/>
            <w:noWrap/>
            <w:vAlign w:val="center"/>
            <w:hideMark/>
          </w:tcPr>
          <w:p w14:paraId="137DCDE1" w14:textId="7F544DC8"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1.128</w:t>
            </w:r>
          </w:p>
        </w:tc>
        <w:tc>
          <w:tcPr>
            <w:tcW w:w="2220" w:type="dxa"/>
            <w:noWrap/>
            <w:vAlign w:val="center"/>
            <w:hideMark/>
          </w:tcPr>
          <w:p w14:paraId="5C4FF6CB" w14:textId="03DFB3E2"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17.97</w:t>
            </w:r>
          </w:p>
        </w:tc>
      </w:tr>
      <w:tr w:rsidR="004E64CF" w:rsidRPr="00A11CC5" w14:paraId="66746E1D" w14:textId="77777777" w:rsidTr="004E64CF">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633" w:type="dxa"/>
            <w:vMerge/>
            <w:noWrap/>
            <w:vAlign w:val="center"/>
            <w:hideMark/>
          </w:tcPr>
          <w:p w14:paraId="784AEBF0" w14:textId="77777777"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color w:val="auto"/>
                <w:lang w:val="en-AU" w:eastAsia="en-AU"/>
              </w:rPr>
            </w:pPr>
          </w:p>
        </w:tc>
        <w:tc>
          <w:tcPr>
            <w:tcW w:w="3024" w:type="dxa"/>
            <w:noWrap/>
            <w:vAlign w:val="center"/>
            <w:hideMark/>
          </w:tcPr>
          <w:p w14:paraId="6D4A5AF6" w14:textId="5E4438DA" w:rsidR="004E64CF" w:rsidRPr="00A11CC5"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A11CC5">
              <w:rPr>
                <w:rFonts w:eastAsia="Times New Roman" w:cs="Arial"/>
                <w:color w:val="auto"/>
                <w:lang w:val="en-AU" w:eastAsia="en-AU"/>
              </w:rPr>
              <w:t>SEDIMENTARY*</w:t>
            </w:r>
          </w:p>
        </w:tc>
        <w:tc>
          <w:tcPr>
            <w:tcW w:w="2283" w:type="dxa"/>
            <w:noWrap/>
            <w:vAlign w:val="center"/>
            <w:hideMark/>
          </w:tcPr>
          <w:p w14:paraId="58907B30" w14:textId="21D46928"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2.755</w:t>
            </w:r>
          </w:p>
        </w:tc>
        <w:tc>
          <w:tcPr>
            <w:tcW w:w="2220" w:type="dxa"/>
            <w:noWrap/>
            <w:vAlign w:val="center"/>
            <w:hideMark/>
          </w:tcPr>
          <w:p w14:paraId="39D2C8F7" w14:textId="739CEAB5"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32.01</w:t>
            </w:r>
          </w:p>
        </w:tc>
      </w:tr>
      <w:tr w:rsidR="004E64CF" w:rsidRPr="00A11CC5" w14:paraId="1F89E753" w14:textId="77777777" w:rsidTr="004E64CF">
        <w:trPr>
          <w:trHeight w:val="371"/>
        </w:trPr>
        <w:tc>
          <w:tcPr>
            <w:cnfStyle w:val="001000000000" w:firstRow="0" w:lastRow="0" w:firstColumn="1" w:lastColumn="0" w:oddVBand="0" w:evenVBand="0" w:oddHBand="0" w:evenHBand="0" w:firstRowFirstColumn="0" w:firstRowLastColumn="0" w:lastRowFirstColumn="0" w:lastRowLastColumn="0"/>
            <w:tcW w:w="2633" w:type="dxa"/>
            <w:vMerge/>
            <w:noWrap/>
            <w:vAlign w:val="center"/>
            <w:hideMark/>
          </w:tcPr>
          <w:p w14:paraId="1BB14C31" w14:textId="77777777"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color w:val="auto"/>
                <w:lang w:val="en-AU" w:eastAsia="en-AU"/>
              </w:rPr>
            </w:pPr>
          </w:p>
        </w:tc>
        <w:tc>
          <w:tcPr>
            <w:tcW w:w="3024" w:type="dxa"/>
            <w:noWrap/>
            <w:vAlign w:val="center"/>
            <w:hideMark/>
          </w:tcPr>
          <w:p w14:paraId="7BC4BEBA" w14:textId="77777777" w:rsidR="004E64CF" w:rsidRPr="00A11CC5"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auto"/>
                <w:lang w:val="en-AU" w:eastAsia="en-AU"/>
              </w:rPr>
            </w:pPr>
            <w:r w:rsidRPr="00A11CC5">
              <w:rPr>
                <w:rFonts w:eastAsia="Times New Roman" w:cs="Arial"/>
                <w:color w:val="auto"/>
                <w:lang w:val="en-AU" w:eastAsia="en-AU"/>
              </w:rPr>
              <w:t>SOIL</w:t>
            </w:r>
          </w:p>
        </w:tc>
        <w:tc>
          <w:tcPr>
            <w:tcW w:w="2283" w:type="dxa"/>
            <w:noWrap/>
            <w:vAlign w:val="center"/>
            <w:hideMark/>
          </w:tcPr>
          <w:p w14:paraId="45D5D7FC" w14:textId="238AF7C9"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0.024</w:t>
            </w:r>
          </w:p>
        </w:tc>
        <w:tc>
          <w:tcPr>
            <w:tcW w:w="2220" w:type="dxa"/>
            <w:noWrap/>
            <w:vAlign w:val="center"/>
            <w:hideMark/>
          </w:tcPr>
          <w:p w14:paraId="37CBC679" w14:textId="21958D2D"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0.26</w:t>
            </w:r>
          </w:p>
        </w:tc>
      </w:tr>
      <w:tr w:rsidR="004E64CF" w:rsidRPr="00A11CC5" w14:paraId="373496F4" w14:textId="77777777" w:rsidTr="004E64CF">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633" w:type="dxa"/>
            <w:vMerge/>
            <w:noWrap/>
            <w:vAlign w:val="center"/>
            <w:hideMark/>
          </w:tcPr>
          <w:p w14:paraId="087C2D0D" w14:textId="4EEA7430" w:rsidR="004E64CF" w:rsidRPr="00A11CC5" w:rsidRDefault="004E64CF" w:rsidP="004E64CF">
            <w:pPr>
              <w:widowControl/>
              <w:suppressAutoHyphens w:val="0"/>
              <w:autoSpaceDE/>
              <w:autoSpaceDN/>
              <w:adjustRightInd/>
              <w:spacing w:after="0" w:line="240" w:lineRule="auto"/>
              <w:jc w:val="center"/>
              <w:textAlignment w:val="auto"/>
              <w:rPr>
                <w:rFonts w:eastAsia="Times New Roman" w:cs="Arial"/>
                <w:b w:val="0"/>
                <w:bCs w:val="0"/>
                <w:color w:val="auto"/>
                <w:lang w:val="en-AU" w:eastAsia="en-AU"/>
              </w:rPr>
            </w:pPr>
          </w:p>
        </w:tc>
        <w:tc>
          <w:tcPr>
            <w:tcW w:w="3024" w:type="dxa"/>
            <w:noWrap/>
            <w:vAlign w:val="center"/>
            <w:hideMark/>
          </w:tcPr>
          <w:p w14:paraId="1ED913A8" w14:textId="77777777" w:rsidR="004E64CF" w:rsidRPr="00A11CC5"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auto"/>
                <w:lang w:val="en-AU" w:eastAsia="en-AU"/>
              </w:rPr>
            </w:pPr>
            <w:r w:rsidRPr="00A11CC5">
              <w:rPr>
                <w:rFonts w:eastAsia="Times New Roman" w:cs="Arial"/>
                <w:color w:val="auto"/>
                <w:lang w:val="en-AU" w:eastAsia="en-AU"/>
              </w:rPr>
              <w:t>TUFF</w:t>
            </w:r>
          </w:p>
        </w:tc>
        <w:tc>
          <w:tcPr>
            <w:tcW w:w="2283" w:type="dxa"/>
            <w:noWrap/>
            <w:vAlign w:val="center"/>
            <w:hideMark/>
          </w:tcPr>
          <w:p w14:paraId="08D3D5E6" w14:textId="52B76216"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0.562</w:t>
            </w:r>
          </w:p>
        </w:tc>
        <w:tc>
          <w:tcPr>
            <w:tcW w:w="2220" w:type="dxa"/>
            <w:noWrap/>
            <w:vAlign w:val="center"/>
            <w:hideMark/>
          </w:tcPr>
          <w:p w14:paraId="41C17F11" w14:textId="486850D1" w:rsidR="004E64CF" w:rsidRPr="007E7143" w:rsidRDefault="004E64CF" w:rsidP="004E64CF">
            <w:pPr>
              <w:widowControl/>
              <w:suppressAutoHyphens w:val="0"/>
              <w:autoSpaceDE/>
              <w:autoSpaceDN/>
              <w:adjustRightInd/>
              <w:spacing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val="en-AU" w:eastAsia="en-AU"/>
              </w:rPr>
            </w:pPr>
            <w:r w:rsidRPr="007E7143">
              <w:rPr>
                <w:color w:val="000000" w:themeColor="text1"/>
              </w:rPr>
              <w:t>4.69</w:t>
            </w:r>
          </w:p>
        </w:tc>
      </w:tr>
      <w:tr w:rsidR="004E64CF" w:rsidRPr="00A11CC5" w14:paraId="3AE8C459" w14:textId="77777777" w:rsidTr="004E64CF">
        <w:trPr>
          <w:trHeight w:val="393"/>
        </w:trPr>
        <w:tc>
          <w:tcPr>
            <w:cnfStyle w:val="001000000000" w:firstRow="0" w:lastRow="0" w:firstColumn="1" w:lastColumn="0" w:oddVBand="0" w:evenVBand="0" w:oddHBand="0" w:evenHBand="0" w:firstRowFirstColumn="0" w:firstRowLastColumn="0" w:lastRowFirstColumn="0" w:lastRowLastColumn="0"/>
            <w:tcW w:w="2633" w:type="dxa"/>
            <w:shd w:val="clear" w:color="auto" w:fill="8DB3E2" w:themeFill="text2" w:themeFillTint="66"/>
            <w:noWrap/>
            <w:vAlign w:val="center"/>
            <w:hideMark/>
          </w:tcPr>
          <w:p w14:paraId="778FD811" w14:textId="77777777" w:rsidR="004E64CF" w:rsidRPr="00140174" w:rsidRDefault="004E64CF" w:rsidP="004E64CF">
            <w:pPr>
              <w:widowControl/>
              <w:suppressAutoHyphens w:val="0"/>
              <w:autoSpaceDE/>
              <w:autoSpaceDN/>
              <w:adjustRightInd/>
              <w:spacing w:after="0" w:line="240" w:lineRule="auto"/>
              <w:jc w:val="center"/>
              <w:textAlignment w:val="auto"/>
              <w:rPr>
                <w:rFonts w:eastAsia="Times New Roman" w:cs="Arial"/>
                <w:bCs w:val="0"/>
                <w:color w:val="auto"/>
                <w:lang w:val="en-AU" w:eastAsia="en-AU"/>
              </w:rPr>
            </w:pPr>
            <w:r w:rsidRPr="00140174">
              <w:rPr>
                <w:rFonts w:eastAsia="Times New Roman" w:cs="Arial"/>
                <w:bCs w:val="0"/>
                <w:color w:val="auto"/>
                <w:lang w:val="en-AU" w:eastAsia="en-AU"/>
              </w:rPr>
              <w:t>Soft Rock Total</w:t>
            </w:r>
          </w:p>
        </w:tc>
        <w:tc>
          <w:tcPr>
            <w:tcW w:w="3024" w:type="dxa"/>
            <w:shd w:val="clear" w:color="auto" w:fill="8DB3E2" w:themeFill="text2" w:themeFillTint="66"/>
            <w:noWrap/>
            <w:vAlign w:val="center"/>
            <w:hideMark/>
          </w:tcPr>
          <w:p w14:paraId="646104AD" w14:textId="137838F2" w:rsidR="004E64CF" w:rsidRPr="00A11CC5"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b/>
                <w:bCs/>
                <w:color w:val="auto"/>
                <w:lang w:val="en-AU" w:eastAsia="en-AU"/>
              </w:rPr>
            </w:pPr>
          </w:p>
        </w:tc>
        <w:tc>
          <w:tcPr>
            <w:tcW w:w="2283" w:type="dxa"/>
            <w:shd w:val="clear" w:color="auto" w:fill="8DB3E2" w:themeFill="text2" w:themeFillTint="66"/>
            <w:noWrap/>
            <w:vAlign w:val="center"/>
            <w:hideMark/>
          </w:tcPr>
          <w:p w14:paraId="78FD4E77" w14:textId="169CD3B9"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lang w:val="en-AU" w:eastAsia="en-AU"/>
              </w:rPr>
            </w:pPr>
            <w:r w:rsidRPr="007E7143">
              <w:rPr>
                <w:b/>
                <w:color w:val="000000" w:themeColor="text1"/>
              </w:rPr>
              <w:t>22.868</w:t>
            </w:r>
          </w:p>
        </w:tc>
        <w:tc>
          <w:tcPr>
            <w:tcW w:w="2220" w:type="dxa"/>
            <w:shd w:val="clear" w:color="auto" w:fill="8DB3E2" w:themeFill="text2" w:themeFillTint="66"/>
            <w:noWrap/>
            <w:vAlign w:val="center"/>
            <w:hideMark/>
          </w:tcPr>
          <w:p w14:paraId="28B82178" w14:textId="6E25F97C" w:rsidR="004E64CF" w:rsidRPr="007E7143" w:rsidRDefault="004E64CF" w:rsidP="004E64CF">
            <w:pPr>
              <w:widowControl/>
              <w:suppressAutoHyphens w:val="0"/>
              <w:autoSpaceDE/>
              <w:autoSpaceDN/>
              <w:adjustRightInd/>
              <w:spacing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lang w:val="en-AU" w:eastAsia="en-AU"/>
              </w:rPr>
            </w:pPr>
            <w:r w:rsidRPr="007E7143">
              <w:rPr>
                <w:b/>
                <w:color w:val="000000" w:themeColor="text1"/>
              </w:rPr>
              <w:t>321.52</w:t>
            </w:r>
          </w:p>
        </w:tc>
      </w:tr>
      <w:tr w:rsidR="004E64CF" w:rsidRPr="00A11CC5" w14:paraId="05E80332" w14:textId="77777777" w:rsidTr="004E64CF">
        <w:trPr>
          <w:cnfStyle w:val="010000000000" w:firstRow="0" w:lastRow="1"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633" w:type="dxa"/>
            <w:shd w:val="clear" w:color="auto" w:fill="1F497D" w:themeFill="text2"/>
            <w:noWrap/>
            <w:vAlign w:val="center"/>
            <w:hideMark/>
          </w:tcPr>
          <w:p w14:paraId="7BF7A832" w14:textId="77777777" w:rsidR="004E64CF" w:rsidRPr="00F608A7" w:rsidRDefault="004E64CF" w:rsidP="004E64CF">
            <w:pPr>
              <w:widowControl/>
              <w:suppressAutoHyphens w:val="0"/>
              <w:autoSpaceDE/>
              <w:autoSpaceDN/>
              <w:adjustRightInd/>
              <w:spacing w:after="0" w:line="240" w:lineRule="auto"/>
              <w:jc w:val="center"/>
              <w:textAlignment w:val="auto"/>
              <w:rPr>
                <w:rFonts w:eastAsia="Times New Roman" w:cs="Arial"/>
                <w:bCs w:val="0"/>
                <w:color w:val="FFFFFF" w:themeColor="background1"/>
                <w:lang w:val="en-AU" w:eastAsia="en-AU"/>
              </w:rPr>
            </w:pPr>
            <w:r w:rsidRPr="00F608A7">
              <w:rPr>
                <w:rFonts w:eastAsia="Times New Roman" w:cs="Arial"/>
                <w:bCs w:val="0"/>
                <w:color w:val="FFFFFF" w:themeColor="background1"/>
                <w:lang w:val="en-AU" w:eastAsia="en-AU"/>
              </w:rPr>
              <w:t>GRAND TOTAL</w:t>
            </w:r>
          </w:p>
        </w:tc>
        <w:tc>
          <w:tcPr>
            <w:tcW w:w="3024" w:type="dxa"/>
            <w:shd w:val="clear" w:color="auto" w:fill="1F497D" w:themeFill="text2"/>
            <w:noWrap/>
            <w:vAlign w:val="center"/>
            <w:hideMark/>
          </w:tcPr>
          <w:p w14:paraId="66FC73C8" w14:textId="148D7285" w:rsidR="004E64CF" w:rsidRPr="00F608A7" w:rsidRDefault="004E64CF" w:rsidP="004E64CF">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p>
        </w:tc>
        <w:tc>
          <w:tcPr>
            <w:tcW w:w="2283" w:type="dxa"/>
            <w:shd w:val="clear" w:color="auto" w:fill="1F497D" w:themeFill="text2"/>
            <w:noWrap/>
            <w:vAlign w:val="center"/>
            <w:hideMark/>
          </w:tcPr>
          <w:p w14:paraId="7DF2B5F7" w14:textId="7158CABC" w:rsidR="004E64CF" w:rsidRPr="00176ABA" w:rsidRDefault="004E64CF" w:rsidP="004E64CF">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76ABA">
              <w:rPr>
                <w:color w:val="FFFFFF" w:themeColor="background1"/>
              </w:rPr>
              <w:t>57.869</w:t>
            </w:r>
          </w:p>
        </w:tc>
        <w:tc>
          <w:tcPr>
            <w:tcW w:w="2220" w:type="dxa"/>
            <w:shd w:val="clear" w:color="auto" w:fill="1F497D" w:themeFill="text2"/>
            <w:noWrap/>
            <w:vAlign w:val="center"/>
            <w:hideMark/>
          </w:tcPr>
          <w:p w14:paraId="633BBDAA" w14:textId="57337925" w:rsidR="004E64CF" w:rsidRPr="00176ABA" w:rsidRDefault="004E64CF" w:rsidP="004E64CF">
            <w:pPr>
              <w:widowControl/>
              <w:suppressAutoHyphens w:val="0"/>
              <w:autoSpaceDE/>
              <w:autoSpaceDN/>
              <w:adjustRightInd/>
              <w:spacing w:after="0" w:line="240" w:lineRule="auto"/>
              <w:jc w:val="center"/>
              <w:textAlignment w:val="auto"/>
              <w:cnfStyle w:val="010000000000" w:firstRow="0" w:lastRow="1" w:firstColumn="0" w:lastColumn="0" w:oddVBand="0" w:evenVBand="0" w:oddHBand="0" w:evenHBand="0" w:firstRowFirstColumn="0" w:firstRowLastColumn="0" w:lastRowFirstColumn="0" w:lastRowLastColumn="0"/>
              <w:rPr>
                <w:rFonts w:eastAsia="Times New Roman" w:cs="Arial"/>
                <w:bCs w:val="0"/>
                <w:color w:val="FFFFFF" w:themeColor="background1"/>
                <w:lang w:val="en-AU" w:eastAsia="en-AU"/>
              </w:rPr>
            </w:pPr>
            <w:r w:rsidRPr="00176ABA">
              <w:rPr>
                <w:color w:val="FFFFFF" w:themeColor="background1"/>
              </w:rPr>
              <w:t>947.76</w:t>
            </w:r>
          </w:p>
        </w:tc>
      </w:tr>
    </w:tbl>
    <w:p w14:paraId="30CF3FE0" w14:textId="77777777" w:rsidR="008861E9" w:rsidRPr="00A11CC5" w:rsidRDefault="008861E9" w:rsidP="002F1970">
      <w:pPr>
        <w:pStyle w:val="BodyText"/>
        <w:spacing w:before="0" w:after="0"/>
        <w:rPr>
          <w:rFonts w:eastAsia="Times New Roman" w:cs="Arial"/>
          <w:u w:color="FFFFFF" w:themeColor="background1"/>
          <w:lang w:val="en-AU"/>
        </w:rPr>
      </w:pPr>
    </w:p>
    <w:p w14:paraId="19D23C62" w14:textId="38BBE923" w:rsidR="006A0BAC" w:rsidRPr="00A11CC5" w:rsidRDefault="006A0BAC" w:rsidP="002F1970">
      <w:pPr>
        <w:pStyle w:val="BodyText"/>
        <w:spacing w:before="0" w:after="0"/>
        <w:rPr>
          <w:rFonts w:eastAsia="Times New Roman" w:cs="Arial"/>
          <w:sz w:val="16"/>
          <w:u w:color="FFFFFF" w:themeColor="background1"/>
          <w:lang w:val="en-AU"/>
        </w:rPr>
      </w:pPr>
      <w:r w:rsidRPr="00A11CC5">
        <w:rPr>
          <w:rFonts w:eastAsia="Times New Roman" w:cs="Arial"/>
          <w:u w:color="FFFFFF" w:themeColor="background1"/>
          <w:lang w:val="en-AU"/>
        </w:rPr>
        <w:t xml:space="preserve"> </w:t>
      </w:r>
      <w:r w:rsidRPr="00A11CC5">
        <w:rPr>
          <w:rFonts w:cs="Arial"/>
          <w:u w:color="FFFFFF" w:themeColor="background1"/>
          <w:lang w:val="en-AU"/>
        </w:rPr>
        <w:t xml:space="preserve">Source: </w:t>
      </w:r>
      <w:r w:rsidR="00484EE0">
        <w:rPr>
          <w:rFonts w:cs="Arial"/>
          <w:u w:color="FFFFFF" w:themeColor="background1"/>
          <w:lang w:val="en-AU"/>
        </w:rPr>
        <w:t>DJPR</w:t>
      </w:r>
      <w:r w:rsidRPr="00A11CC5">
        <w:rPr>
          <w:rFonts w:cs="Arial"/>
          <w:u w:color="FFFFFF" w:themeColor="background1"/>
          <w:lang w:val="en-AU"/>
        </w:rPr>
        <w:t>, statutory returns under the MRSDA.</w:t>
      </w:r>
    </w:p>
    <w:p w14:paraId="3163446F" w14:textId="62260E27" w:rsidR="00FD4DDA" w:rsidRDefault="00FD4DDA" w:rsidP="00C55182">
      <w:pPr>
        <w:spacing w:before="120" w:after="0" w:line="240" w:lineRule="auto"/>
        <w:jc w:val="both"/>
        <w:rPr>
          <w:rFonts w:eastAsia="Times New Roman" w:cs="Arial"/>
          <w:color w:val="auto"/>
          <w:sz w:val="16"/>
          <w:szCs w:val="24"/>
          <w:u w:color="FFFFFF" w:themeColor="background1"/>
          <w:lang w:val="en-AU"/>
        </w:rPr>
      </w:pPr>
      <w:r w:rsidRPr="00A11CC5">
        <w:rPr>
          <w:rFonts w:eastAsia="Times New Roman" w:cs="Arial"/>
          <w:color w:val="auto"/>
          <w:sz w:val="16"/>
          <w:szCs w:val="24"/>
          <w:u w:color="FFFFFF" w:themeColor="background1"/>
          <w:lang w:val="en-AU"/>
        </w:rPr>
        <w:t>*Sedimentary</w:t>
      </w:r>
      <w:r w:rsidR="00AF7EBC" w:rsidRPr="00A11CC5">
        <w:rPr>
          <w:rFonts w:eastAsia="Times New Roman" w:cs="Arial"/>
          <w:color w:val="auto"/>
          <w:sz w:val="16"/>
          <w:szCs w:val="24"/>
          <w:u w:color="FFFFFF" w:themeColor="background1"/>
          <w:lang w:val="en-AU"/>
        </w:rPr>
        <w:t xml:space="preserve"> (usually </w:t>
      </w:r>
      <w:proofErr w:type="spellStart"/>
      <w:r w:rsidR="00B533F5" w:rsidRPr="00A11CC5">
        <w:rPr>
          <w:rFonts w:eastAsia="Times New Roman" w:cs="Arial"/>
          <w:color w:val="auto"/>
          <w:sz w:val="16"/>
          <w:szCs w:val="24"/>
          <w:u w:color="FFFFFF" w:themeColor="background1"/>
          <w:lang w:val="en-AU"/>
        </w:rPr>
        <w:t>rippable</w:t>
      </w:r>
      <w:proofErr w:type="spellEnd"/>
      <w:r w:rsidR="00E178D6" w:rsidRPr="00A11CC5">
        <w:rPr>
          <w:rFonts w:eastAsia="Times New Roman" w:cs="Arial"/>
          <w:color w:val="auto"/>
          <w:sz w:val="16"/>
          <w:szCs w:val="24"/>
          <w:u w:color="FFFFFF" w:themeColor="background1"/>
          <w:lang w:val="en-AU"/>
        </w:rPr>
        <w:t xml:space="preserve"> rocks including</w:t>
      </w:r>
      <w:r w:rsidRPr="00A11CC5">
        <w:rPr>
          <w:rFonts w:eastAsia="Times New Roman" w:cs="Arial"/>
          <w:color w:val="auto"/>
          <w:sz w:val="16"/>
          <w:szCs w:val="24"/>
          <w:u w:color="FFFFFF" w:themeColor="background1"/>
          <w:lang w:val="en-AU"/>
        </w:rPr>
        <w:t xml:space="preserve"> sandstone, shale, siltstone</w:t>
      </w:r>
      <w:r w:rsidR="00B65DA8" w:rsidRPr="00A11CC5">
        <w:rPr>
          <w:rFonts w:eastAsia="Times New Roman" w:cs="Arial"/>
          <w:color w:val="auto"/>
          <w:sz w:val="16"/>
          <w:szCs w:val="24"/>
          <w:u w:color="FFFFFF" w:themeColor="background1"/>
          <w:lang w:val="en-AU"/>
        </w:rPr>
        <w:t>,</w:t>
      </w:r>
      <w:r w:rsidRPr="00A11CC5">
        <w:rPr>
          <w:rFonts w:eastAsia="Times New Roman" w:cs="Arial"/>
          <w:color w:val="auto"/>
          <w:sz w:val="16"/>
          <w:szCs w:val="24"/>
          <w:u w:color="FFFFFF" w:themeColor="background1"/>
          <w:lang w:val="en-AU"/>
        </w:rPr>
        <w:t xml:space="preserve"> chert, mudstone, claystone</w:t>
      </w:r>
      <w:r w:rsidR="00AF7EBC" w:rsidRPr="00A11CC5">
        <w:rPr>
          <w:rFonts w:eastAsia="Times New Roman" w:cs="Arial"/>
          <w:color w:val="auto"/>
          <w:sz w:val="16"/>
          <w:szCs w:val="24"/>
          <w:u w:color="FFFFFF" w:themeColor="background1"/>
          <w:lang w:val="en-AU"/>
        </w:rPr>
        <w:t>).</w:t>
      </w:r>
    </w:p>
    <w:p w14:paraId="2BE7094B" w14:textId="77777777" w:rsidR="00275B85" w:rsidRPr="00A11CC5" w:rsidRDefault="00275B85" w:rsidP="00275B85">
      <w:pPr>
        <w:spacing w:after="120"/>
        <w:jc w:val="both"/>
        <w:rPr>
          <w:rFonts w:cs="Arial"/>
          <w:color w:val="auto"/>
          <w:sz w:val="16"/>
          <w:szCs w:val="16"/>
          <w:u w:color="FFFFFF" w:themeColor="background1"/>
          <w:lang w:val="en-AU"/>
        </w:rPr>
      </w:pPr>
      <w:r w:rsidRPr="00A11CC5">
        <w:rPr>
          <w:rFonts w:cs="Arial"/>
          <w:color w:val="auto"/>
          <w:sz w:val="16"/>
          <w:szCs w:val="16"/>
          <w:u w:color="FFFFFF" w:themeColor="background1"/>
          <w:lang w:val="en-AU"/>
        </w:rPr>
        <w:t xml:space="preserve">^Data as at </w:t>
      </w:r>
      <w:r>
        <w:rPr>
          <w:rFonts w:cs="Arial"/>
          <w:color w:val="auto"/>
          <w:sz w:val="16"/>
          <w:szCs w:val="16"/>
          <w:u w:color="FFFFFF" w:themeColor="background1"/>
          <w:lang w:val="en-AU"/>
        </w:rPr>
        <w:t>17/12</w:t>
      </w:r>
      <w:r w:rsidRPr="00A11CC5">
        <w:rPr>
          <w:rFonts w:cs="Arial"/>
          <w:color w:val="auto"/>
          <w:sz w:val="16"/>
          <w:szCs w:val="16"/>
          <w:u w:color="FFFFFF" w:themeColor="background1"/>
          <w:lang w:val="en-AU"/>
        </w:rPr>
        <w:t>/2018</w:t>
      </w:r>
      <w:r>
        <w:rPr>
          <w:rFonts w:cs="Arial"/>
          <w:color w:val="auto"/>
          <w:sz w:val="16"/>
          <w:szCs w:val="16"/>
          <w:u w:color="FFFFFF" w:themeColor="background1"/>
          <w:lang w:val="en-AU"/>
        </w:rPr>
        <w:t xml:space="preserve"> from Production and Royalty Reports on</w:t>
      </w:r>
      <w:r w:rsidRPr="009A41EF">
        <w:rPr>
          <w:rFonts w:cs="Arial"/>
          <w:color w:val="auto"/>
          <w:sz w:val="16"/>
          <w:szCs w:val="16"/>
          <w:u w:color="FFFFFF" w:themeColor="background1"/>
          <w:lang w:val="en-AU"/>
        </w:rPr>
        <w:t xml:space="preserve"> </w:t>
      </w:r>
      <w:r>
        <w:rPr>
          <w:rFonts w:cs="Arial"/>
          <w:color w:val="auto"/>
          <w:sz w:val="16"/>
          <w:szCs w:val="16"/>
          <w:u w:color="FFFFFF" w:themeColor="background1"/>
          <w:lang w:val="en-AU"/>
        </w:rPr>
        <w:t>Work Authorities. received from the industry (84%).</w:t>
      </w:r>
    </w:p>
    <w:p w14:paraId="68F9CB60" w14:textId="77777777" w:rsidR="00046093" w:rsidRPr="00A11CC5" w:rsidRDefault="00046093" w:rsidP="00C55182">
      <w:pPr>
        <w:spacing w:before="120" w:after="0" w:line="240" w:lineRule="auto"/>
        <w:jc w:val="both"/>
        <w:rPr>
          <w:rFonts w:eastAsia="Times New Roman" w:cs="Arial"/>
          <w:color w:val="auto"/>
          <w:sz w:val="16"/>
          <w:szCs w:val="24"/>
          <w:u w:color="FFFFFF" w:themeColor="background1"/>
          <w:lang w:val="en-AU"/>
        </w:rPr>
      </w:pPr>
    </w:p>
    <w:p w14:paraId="48451F14" w14:textId="77777777" w:rsidR="000E1E7F" w:rsidRPr="00A11CC5" w:rsidRDefault="000E1E7F">
      <w:pPr>
        <w:rPr>
          <w:rFonts w:cs="Arial"/>
          <w:b/>
          <w:bCs/>
          <w:caps/>
          <w:color w:val="auto"/>
          <w:spacing w:val="15"/>
          <w:sz w:val="22"/>
          <w:szCs w:val="22"/>
          <w:u w:color="FFFFFF" w:themeColor="background1"/>
          <w:lang w:val="en-AU"/>
        </w:rPr>
      </w:pPr>
      <w:r w:rsidRPr="00A11CC5">
        <w:rPr>
          <w:rFonts w:cs="Arial"/>
          <w:color w:val="auto"/>
          <w:u w:color="FFFFFF" w:themeColor="background1"/>
          <w:lang w:val="en-AU"/>
        </w:rPr>
        <w:br w:type="page"/>
      </w:r>
    </w:p>
    <w:p w14:paraId="1EC62A6B" w14:textId="2EAA4AC5" w:rsidR="006A0BAC" w:rsidRPr="00A11CC5" w:rsidRDefault="006A0BAC" w:rsidP="006A0BAC">
      <w:pPr>
        <w:pStyle w:val="Heading1"/>
        <w:rPr>
          <w:rFonts w:cs="Arial"/>
          <w:color w:val="auto"/>
          <w:u w:color="FFFFFF" w:themeColor="background1"/>
          <w:lang w:val="en-AU"/>
        </w:rPr>
      </w:pPr>
      <w:bookmarkStart w:id="15" w:name="_Toc533149012"/>
      <w:r w:rsidRPr="00A11CC5">
        <w:rPr>
          <w:rFonts w:cs="Arial"/>
          <w:color w:val="auto"/>
          <w:u w:color="FFFFFF" w:themeColor="background1"/>
          <w:lang w:val="en-AU"/>
        </w:rPr>
        <w:lastRenderedPageBreak/>
        <w:t xml:space="preserve">Revenue and </w:t>
      </w:r>
      <w:r w:rsidR="00FD16AC" w:rsidRPr="00A11CC5">
        <w:rPr>
          <w:rFonts w:cs="Arial"/>
          <w:color w:val="auto"/>
          <w:u w:color="FFFFFF" w:themeColor="background1"/>
          <w:lang w:val="en-AU"/>
        </w:rPr>
        <w:t>b</w:t>
      </w:r>
      <w:r w:rsidRPr="00A11CC5">
        <w:rPr>
          <w:rFonts w:cs="Arial"/>
          <w:color w:val="auto"/>
          <w:u w:color="FFFFFF" w:themeColor="background1"/>
          <w:lang w:val="en-AU"/>
        </w:rPr>
        <w:t>onds</w:t>
      </w:r>
      <w:bookmarkEnd w:id="15"/>
    </w:p>
    <w:p w14:paraId="335610C8" w14:textId="377B0A7D" w:rsidR="006A0BAC" w:rsidRPr="00A11CC5" w:rsidRDefault="006A0BAC" w:rsidP="00BB6F8A">
      <w:pPr>
        <w:pStyle w:val="Heading2"/>
        <w:rPr>
          <w:color w:val="auto"/>
          <w:lang w:val="en-AU"/>
        </w:rPr>
      </w:pPr>
      <w:bookmarkStart w:id="16" w:name="_Toc533149013"/>
      <w:r w:rsidRPr="00A11CC5">
        <w:rPr>
          <w:color w:val="auto"/>
          <w:lang w:val="en-AU"/>
        </w:rPr>
        <w:t>Revenue</w:t>
      </w:r>
      <w:r w:rsidR="00187EF6">
        <w:rPr>
          <w:color w:val="auto"/>
          <w:lang w:val="en-AU"/>
        </w:rPr>
        <w:t xml:space="preserve"> Payable</w:t>
      </w:r>
      <w:bookmarkEnd w:id="16"/>
    </w:p>
    <w:p w14:paraId="07CE8E32" w14:textId="77777777" w:rsidR="002C0E42" w:rsidRPr="00A11CC5" w:rsidRDefault="002C0E42" w:rsidP="002C0E42">
      <w:pPr>
        <w:pStyle w:val="bodycopy"/>
        <w:spacing w:after="0"/>
        <w:rPr>
          <w:color w:val="auto"/>
          <w:u w:color="FFFFFF" w:themeColor="background1"/>
          <w:lang w:val="en-AU"/>
        </w:rPr>
      </w:pPr>
    </w:p>
    <w:p w14:paraId="1A31B6DC" w14:textId="0D24DA0F" w:rsidR="002C0E42" w:rsidRPr="002B2AA6" w:rsidRDefault="00E77027" w:rsidP="002C0E42">
      <w:pPr>
        <w:pStyle w:val="bodycopy"/>
        <w:spacing w:after="0"/>
        <w:rPr>
          <w:color w:val="auto"/>
          <w:u w:color="FFFFFF" w:themeColor="background1"/>
          <w:lang w:val="en-AU"/>
        </w:rPr>
      </w:pPr>
      <w:r>
        <w:rPr>
          <w:color w:val="auto"/>
          <w:u w:color="FFFFFF" w:themeColor="background1"/>
          <w:lang w:val="en-AU"/>
        </w:rPr>
        <w:t xml:space="preserve">Revenues </w:t>
      </w:r>
      <w:r w:rsidR="002C0E42" w:rsidRPr="002B2AA6">
        <w:rPr>
          <w:color w:val="auto"/>
          <w:u w:color="FFFFFF" w:themeColor="background1"/>
          <w:lang w:val="en-AU"/>
        </w:rPr>
        <w:t xml:space="preserve">has been updated </w:t>
      </w:r>
      <w:r w:rsidR="002B2AA6">
        <w:rPr>
          <w:color w:val="auto"/>
          <w:u w:color="FFFFFF" w:themeColor="background1"/>
          <w:lang w:val="en-AU"/>
        </w:rPr>
        <w:t xml:space="preserve">from </w:t>
      </w:r>
      <w:r w:rsidR="00E53F2E">
        <w:rPr>
          <w:color w:val="auto"/>
          <w:u w:color="FFFFFF" w:themeColor="background1"/>
          <w:lang w:val="en-AU"/>
        </w:rPr>
        <w:t>‘</w:t>
      </w:r>
      <w:r w:rsidR="002B2AA6" w:rsidRPr="002B2AA6">
        <w:rPr>
          <w:color w:val="auto"/>
          <w:u w:color="FFFFFF" w:themeColor="background1"/>
          <w:lang w:val="en-AU"/>
        </w:rPr>
        <w:t>revenues collected</w:t>
      </w:r>
      <w:r w:rsidR="00E53F2E">
        <w:rPr>
          <w:color w:val="auto"/>
          <w:u w:color="FFFFFF" w:themeColor="background1"/>
          <w:lang w:val="en-AU"/>
        </w:rPr>
        <w:t>’</w:t>
      </w:r>
      <w:r w:rsidR="002B2AA6" w:rsidRPr="002B2AA6">
        <w:rPr>
          <w:color w:val="auto"/>
          <w:u w:color="FFFFFF" w:themeColor="background1"/>
          <w:lang w:val="en-AU"/>
        </w:rPr>
        <w:t xml:space="preserve"> </w:t>
      </w:r>
      <w:r w:rsidR="002C0E42" w:rsidRPr="002B2AA6">
        <w:rPr>
          <w:color w:val="auto"/>
          <w:u w:color="FFFFFF" w:themeColor="background1"/>
          <w:lang w:val="en-AU"/>
        </w:rPr>
        <w:t xml:space="preserve">to </w:t>
      </w:r>
      <w:r w:rsidR="00E53F2E">
        <w:rPr>
          <w:color w:val="auto"/>
          <w:u w:color="FFFFFF" w:themeColor="background1"/>
          <w:lang w:val="en-AU"/>
        </w:rPr>
        <w:t>‘</w:t>
      </w:r>
      <w:r w:rsidR="002C0E42" w:rsidRPr="002B2AA6">
        <w:rPr>
          <w:color w:val="auto"/>
          <w:u w:color="FFFFFF" w:themeColor="background1"/>
          <w:lang w:val="en-AU"/>
        </w:rPr>
        <w:t>revenue payable</w:t>
      </w:r>
      <w:r w:rsidR="00E53F2E">
        <w:rPr>
          <w:color w:val="auto"/>
          <w:u w:color="FFFFFF" w:themeColor="background1"/>
          <w:lang w:val="en-AU"/>
        </w:rPr>
        <w:t>’</w:t>
      </w:r>
      <w:r w:rsidR="00DF03BA">
        <w:rPr>
          <w:color w:val="auto"/>
          <w:u w:color="FFFFFF" w:themeColor="background1"/>
          <w:lang w:val="en-AU"/>
        </w:rPr>
        <w:t xml:space="preserve"> </w:t>
      </w:r>
      <w:r w:rsidR="002C0E42" w:rsidRPr="002B2AA6">
        <w:rPr>
          <w:color w:val="auto"/>
          <w:u w:color="FFFFFF" w:themeColor="background1"/>
          <w:lang w:val="en-AU"/>
        </w:rPr>
        <w:t>in alig</w:t>
      </w:r>
      <w:r w:rsidR="002B2AA6">
        <w:rPr>
          <w:color w:val="auto"/>
          <w:u w:color="FFFFFF" w:themeColor="background1"/>
          <w:lang w:val="en-AU"/>
        </w:rPr>
        <w:t xml:space="preserve">nment with the </w:t>
      </w:r>
      <w:r w:rsidR="00E53F2E">
        <w:rPr>
          <w:color w:val="auto"/>
          <w:u w:color="FFFFFF" w:themeColor="background1"/>
          <w:lang w:val="en-AU"/>
        </w:rPr>
        <w:t xml:space="preserve">financial year </w:t>
      </w:r>
      <w:r w:rsidR="002B2AA6">
        <w:rPr>
          <w:color w:val="auto"/>
          <w:u w:color="FFFFFF" w:themeColor="background1"/>
          <w:lang w:val="en-AU"/>
        </w:rPr>
        <w:t>reporting period.</w:t>
      </w:r>
    </w:p>
    <w:p w14:paraId="0040CD39" w14:textId="77777777" w:rsidR="001321D5" w:rsidRPr="00DB3CD5" w:rsidRDefault="001321D5" w:rsidP="006A0BAC">
      <w:pPr>
        <w:pStyle w:val="bodycopy"/>
        <w:spacing w:after="0"/>
        <w:rPr>
          <w:color w:val="auto"/>
          <w:u w:color="FFFFFF" w:themeColor="background1"/>
          <w:lang w:val="en-AU"/>
        </w:rPr>
      </w:pPr>
    </w:p>
    <w:p w14:paraId="510DB921" w14:textId="1DC63E64" w:rsidR="00B41D47" w:rsidRPr="00DB3CD5" w:rsidRDefault="006A0BAC" w:rsidP="006A0BAC">
      <w:pPr>
        <w:pStyle w:val="bodycopy"/>
        <w:spacing w:after="0"/>
        <w:rPr>
          <w:color w:val="auto"/>
          <w:u w:color="FFFFFF" w:themeColor="background1"/>
          <w:lang w:val="en-AU"/>
        </w:rPr>
      </w:pPr>
      <w:r w:rsidRPr="00DB3CD5">
        <w:rPr>
          <w:color w:val="auto"/>
          <w:u w:color="FFFFFF" w:themeColor="background1"/>
          <w:lang w:val="en-AU"/>
        </w:rPr>
        <w:t xml:space="preserve">In </w:t>
      </w:r>
      <w:r w:rsidR="00EE297A" w:rsidRPr="00DB3CD5">
        <w:rPr>
          <w:color w:val="auto"/>
          <w:u w:color="FFFFFF" w:themeColor="background1"/>
          <w:lang w:val="en-AU"/>
        </w:rPr>
        <w:t>201</w:t>
      </w:r>
      <w:r w:rsidR="00AE56F4" w:rsidRPr="00DB3CD5">
        <w:rPr>
          <w:color w:val="auto"/>
          <w:u w:color="FFFFFF" w:themeColor="background1"/>
          <w:lang w:val="en-AU"/>
        </w:rPr>
        <w:t>7-18</w:t>
      </w:r>
      <w:r w:rsidRPr="00DB3CD5">
        <w:rPr>
          <w:color w:val="auto"/>
          <w:u w:color="FFFFFF" w:themeColor="background1"/>
          <w:lang w:val="en-AU"/>
        </w:rPr>
        <w:t>, a total of $</w:t>
      </w:r>
      <w:r w:rsidR="00AE56F4" w:rsidRPr="00DB3CD5">
        <w:rPr>
          <w:color w:val="auto"/>
          <w:u w:color="FFFFFF" w:themeColor="background1"/>
          <w:lang w:val="en-AU"/>
        </w:rPr>
        <w:t>102.3</w:t>
      </w:r>
      <w:r w:rsidRPr="00DB3CD5">
        <w:rPr>
          <w:color w:val="auto"/>
          <w:u w:color="FFFFFF" w:themeColor="background1"/>
          <w:lang w:val="en-AU"/>
        </w:rPr>
        <w:t xml:space="preserve"> million was </w:t>
      </w:r>
      <w:r w:rsidR="00AE56F4" w:rsidRPr="00DB3CD5">
        <w:rPr>
          <w:color w:val="auto"/>
          <w:u w:color="FFFFFF" w:themeColor="background1"/>
          <w:lang w:val="en-AU"/>
        </w:rPr>
        <w:t>payable</w:t>
      </w:r>
      <w:r w:rsidRPr="00DB3CD5">
        <w:rPr>
          <w:color w:val="auto"/>
          <w:u w:color="FFFFFF" w:themeColor="background1"/>
          <w:lang w:val="en-AU"/>
        </w:rPr>
        <w:t xml:space="preserve"> from industry in royalties</w:t>
      </w:r>
      <w:r w:rsidR="00C011A9" w:rsidRPr="00DB3CD5">
        <w:rPr>
          <w:color w:val="auto"/>
          <w:u w:color="FFFFFF" w:themeColor="background1"/>
          <w:lang w:val="en-AU"/>
        </w:rPr>
        <w:t xml:space="preserve"> and </w:t>
      </w:r>
      <w:r w:rsidRPr="00DB3CD5">
        <w:rPr>
          <w:color w:val="auto"/>
          <w:u w:color="FFFFFF" w:themeColor="background1"/>
          <w:lang w:val="en-AU"/>
        </w:rPr>
        <w:t xml:space="preserve">fees under the </w:t>
      </w:r>
      <w:r w:rsidR="00C011A9" w:rsidRPr="00DB3CD5">
        <w:rPr>
          <w:color w:val="auto"/>
          <w:u w:color="FFFFFF" w:themeColor="background1"/>
          <w:lang w:val="en-AU"/>
        </w:rPr>
        <w:t xml:space="preserve">relevant </w:t>
      </w:r>
      <w:r w:rsidRPr="00DB3CD5">
        <w:rPr>
          <w:color w:val="auto"/>
          <w:u w:color="FFFFFF" w:themeColor="background1"/>
          <w:lang w:val="en-AU"/>
        </w:rPr>
        <w:t>Acts</w:t>
      </w:r>
      <w:r w:rsidR="00CD2BD8" w:rsidRPr="00DB3CD5">
        <w:rPr>
          <w:color w:val="auto"/>
          <w:u w:color="FFFFFF" w:themeColor="background1"/>
          <w:lang w:val="en-AU"/>
        </w:rPr>
        <w:t xml:space="preserve">. This was an increase of </w:t>
      </w:r>
      <w:r w:rsidR="002C0E42">
        <w:rPr>
          <w:color w:val="auto"/>
          <w:u w:color="FFFFFF" w:themeColor="background1"/>
          <w:lang w:val="en-AU"/>
        </w:rPr>
        <w:t>18</w:t>
      </w:r>
      <w:r w:rsidR="00DF03BA">
        <w:rPr>
          <w:color w:val="auto"/>
          <w:u w:color="FFFFFF" w:themeColor="background1"/>
          <w:lang w:val="en-AU"/>
        </w:rPr>
        <w:t xml:space="preserve">% </w:t>
      </w:r>
      <w:r w:rsidR="00CD2BD8" w:rsidRPr="00DB3CD5">
        <w:rPr>
          <w:color w:val="auto"/>
          <w:u w:color="FFFFFF" w:themeColor="background1"/>
          <w:lang w:val="en-AU"/>
        </w:rPr>
        <w:t>($</w:t>
      </w:r>
      <w:r w:rsidR="002C0E42">
        <w:rPr>
          <w:color w:val="auto"/>
          <w:u w:color="FFFFFF" w:themeColor="background1"/>
          <w:lang w:val="en-AU"/>
        </w:rPr>
        <w:t xml:space="preserve">15.7 </w:t>
      </w:r>
      <w:r w:rsidR="00CD2BD8" w:rsidRPr="00DB3CD5">
        <w:rPr>
          <w:color w:val="auto"/>
          <w:u w:color="FFFFFF" w:themeColor="background1"/>
          <w:lang w:val="en-AU"/>
        </w:rPr>
        <w:t>million)</w:t>
      </w:r>
      <w:r w:rsidRPr="00DB3CD5">
        <w:rPr>
          <w:color w:val="auto"/>
          <w:u w:color="FFFFFF" w:themeColor="background1"/>
          <w:lang w:val="en-AU"/>
        </w:rPr>
        <w:t xml:space="preserve"> </w:t>
      </w:r>
      <w:r w:rsidR="00CD2BD8" w:rsidRPr="00DB3CD5">
        <w:rPr>
          <w:color w:val="auto"/>
          <w:u w:color="FFFFFF" w:themeColor="background1"/>
          <w:lang w:val="en-AU"/>
        </w:rPr>
        <w:t xml:space="preserve">compared to </w:t>
      </w:r>
      <w:r w:rsidRPr="00DB3CD5">
        <w:rPr>
          <w:color w:val="auto"/>
          <w:u w:color="FFFFFF" w:themeColor="background1"/>
          <w:lang w:val="en-AU"/>
        </w:rPr>
        <w:t>$</w:t>
      </w:r>
      <w:r w:rsidR="002C0E42">
        <w:rPr>
          <w:color w:val="auto"/>
          <w:u w:color="FFFFFF" w:themeColor="background1"/>
          <w:lang w:val="en-AU"/>
        </w:rPr>
        <w:t>86.6</w:t>
      </w:r>
      <w:r w:rsidRPr="00DB3CD5">
        <w:rPr>
          <w:color w:val="auto"/>
          <w:u w:color="FFFFFF" w:themeColor="background1"/>
          <w:lang w:val="en-AU"/>
        </w:rPr>
        <w:t xml:space="preserve"> million </w:t>
      </w:r>
      <w:r w:rsidR="002C0E42">
        <w:rPr>
          <w:color w:val="auto"/>
          <w:u w:color="FFFFFF" w:themeColor="background1"/>
          <w:lang w:val="en-AU"/>
        </w:rPr>
        <w:t>payable</w:t>
      </w:r>
      <w:r w:rsidRPr="00DB3CD5">
        <w:rPr>
          <w:color w:val="auto"/>
          <w:u w:color="FFFFFF" w:themeColor="background1"/>
          <w:lang w:val="en-AU"/>
        </w:rPr>
        <w:t xml:space="preserve"> in </w:t>
      </w:r>
      <w:r w:rsidR="000F18E0" w:rsidRPr="00DB3CD5">
        <w:rPr>
          <w:color w:val="auto"/>
          <w:u w:color="FFFFFF" w:themeColor="background1"/>
          <w:lang w:val="en-AU"/>
        </w:rPr>
        <w:t>201</w:t>
      </w:r>
      <w:r w:rsidR="002C0E42">
        <w:rPr>
          <w:color w:val="auto"/>
          <w:u w:color="FFFFFF" w:themeColor="background1"/>
          <w:lang w:val="en-AU"/>
        </w:rPr>
        <w:t>6</w:t>
      </w:r>
      <w:r w:rsidR="000F18E0" w:rsidRPr="00DB3CD5">
        <w:rPr>
          <w:color w:val="auto"/>
          <w:u w:color="FFFFFF" w:themeColor="background1"/>
          <w:lang w:val="en-AU"/>
        </w:rPr>
        <w:t>-1</w:t>
      </w:r>
      <w:r w:rsidR="002C0E42">
        <w:rPr>
          <w:color w:val="auto"/>
          <w:u w:color="FFFFFF" w:themeColor="background1"/>
          <w:lang w:val="en-AU"/>
        </w:rPr>
        <w:t>7</w:t>
      </w:r>
      <w:r w:rsidRPr="00DB3CD5">
        <w:rPr>
          <w:color w:val="auto"/>
          <w:u w:color="FFFFFF" w:themeColor="background1"/>
          <w:lang w:val="en-AU"/>
        </w:rPr>
        <w:t>.</w:t>
      </w:r>
      <w:r w:rsidR="00035170" w:rsidRPr="00DB3CD5">
        <w:rPr>
          <w:color w:val="auto"/>
          <w:u w:color="FFFFFF" w:themeColor="background1"/>
          <w:lang w:val="en-AU"/>
        </w:rPr>
        <w:t xml:space="preserve"> </w:t>
      </w:r>
      <w:r w:rsidR="00B41D47" w:rsidRPr="00DB3CD5">
        <w:rPr>
          <w:color w:val="auto"/>
          <w:szCs w:val="20"/>
          <w:u w:color="FFFFFF" w:themeColor="background1"/>
          <w:lang w:val="en-AU"/>
        </w:rPr>
        <w:t xml:space="preserve">This increase was </w:t>
      </w:r>
      <w:r w:rsidR="001854C6">
        <w:rPr>
          <w:color w:val="auto"/>
          <w:szCs w:val="20"/>
          <w:u w:color="FFFFFF" w:themeColor="background1"/>
          <w:lang w:val="en-AU"/>
        </w:rPr>
        <w:t xml:space="preserve">mainly </w:t>
      </w:r>
      <w:r w:rsidR="00B41D47" w:rsidRPr="00DB3CD5">
        <w:rPr>
          <w:color w:val="auto"/>
          <w:szCs w:val="20"/>
          <w:u w:color="FFFFFF" w:themeColor="background1"/>
          <w:lang w:val="en-AU"/>
        </w:rPr>
        <w:t>attributable to an adjustment in the royalty rate for brown coal</w:t>
      </w:r>
      <w:r w:rsidR="00B41D47" w:rsidRPr="00DB3CD5">
        <w:rPr>
          <w:color w:val="auto"/>
          <w:u w:color="FFFFFF" w:themeColor="background1"/>
          <w:lang w:val="en-AU"/>
        </w:rPr>
        <w:t xml:space="preserve"> from $0.0776/Gigajoule to $0.2324/Gigajoule</w:t>
      </w:r>
      <w:r w:rsidR="00B41D47" w:rsidRPr="00DB3CD5">
        <w:rPr>
          <w:color w:val="auto"/>
          <w:szCs w:val="20"/>
          <w:u w:color="FFFFFF" w:themeColor="background1"/>
          <w:lang w:val="en-AU"/>
        </w:rPr>
        <w:t>, which came into effect on 1 January 2017.</w:t>
      </w:r>
    </w:p>
    <w:p w14:paraId="16841463" w14:textId="77777777" w:rsidR="00E93222" w:rsidRPr="00A11CC5" w:rsidRDefault="00E93222" w:rsidP="006A0BAC">
      <w:pPr>
        <w:pStyle w:val="bodycopy"/>
        <w:spacing w:after="0"/>
        <w:rPr>
          <w:color w:val="auto"/>
          <w:u w:color="FFFFFF" w:themeColor="background1"/>
          <w:lang w:val="en-AU"/>
        </w:rPr>
      </w:pPr>
    </w:p>
    <w:p w14:paraId="640EE351" w14:textId="77777777" w:rsidR="006A0BAC" w:rsidRDefault="006A0BAC" w:rsidP="006A0BAC">
      <w:pPr>
        <w:spacing w:after="0"/>
        <w:rPr>
          <w:rFonts w:cs="Arial"/>
          <w:b/>
          <w:color w:val="auto"/>
          <w:u w:color="FFFFFF" w:themeColor="background1"/>
          <w:lang w:val="en-AU"/>
        </w:rPr>
      </w:pPr>
      <w:r w:rsidRPr="00A11CC5">
        <w:rPr>
          <w:rFonts w:cs="Arial"/>
          <w:b/>
          <w:color w:val="auto"/>
          <w:u w:color="FFFFFF" w:themeColor="background1"/>
          <w:lang w:val="en-AU"/>
        </w:rPr>
        <w:t xml:space="preserve">Table </w:t>
      </w:r>
      <w:r w:rsidR="002B7F82" w:rsidRPr="00A11CC5">
        <w:rPr>
          <w:rFonts w:cs="Arial"/>
          <w:b/>
          <w:color w:val="auto"/>
          <w:u w:color="FFFFFF" w:themeColor="background1"/>
          <w:lang w:val="en-AU"/>
        </w:rPr>
        <w:t>4.1 Mineral,</w:t>
      </w:r>
      <w:r w:rsidRPr="00A11CC5">
        <w:rPr>
          <w:rFonts w:cs="Arial"/>
          <w:b/>
          <w:color w:val="auto"/>
          <w:u w:color="FFFFFF" w:themeColor="background1"/>
          <w:lang w:val="en-AU"/>
        </w:rPr>
        <w:t xml:space="preserve"> extractive and petroleum revenue </w:t>
      </w:r>
      <w:r w:rsidR="00187EF6">
        <w:rPr>
          <w:rFonts w:cs="Arial"/>
          <w:b/>
          <w:color w:val="auto"/>
          <w:u w:color="FFFFFF" w:themeColor="background1"/>
          <w:lang w:val="en-AU"/>
        </w:rPr>
        <w:t>payable</w:t>
      </w:r>
      <w:r w:rsidR="00367EBB">
        <w:rPr>
          <w:rFonts w:cs="Arial"/>
          <w:b/>
          <w:color w:val="auto"/>
          <w:u w:color="FFFFFF" w:themeColor="background1"/>
          <w:lang w:val="en-AU"/>
        </w:rPr>
        <w:t xml:space="preserve"> ($A</w:t>
      </w:r>
      <w:r w:rsidR="00AE56F4">
        <w:rPr>
          <w:rFonts w:cs="Arial"/>
          <w:b/>
          <w:color w:val="auto"/>
          <w:u w:color="FFFFFF" w:themeColor="background1"/>
          <w:lang w:val="en-AU"/>
        </w:rPr>
        <w:t xml:space="preserve"> Millions</w:t>
      </w:r>
      <w:r w:rsidR="00367EBB">
        <w:rPr>
          <w:rFonts w:cs="Arial"/>
          <w:b/>
          <w:color w:val="auto"/>
          <w:u w:color="FFFFFF" w:themeColor="background1"/>
          <w:lang w:val="en-AU"/>
        </w:rPr>
        <w:t>)</w:t>
      </w:r>
    </w:p>
    <w:p w14:paraId="2A3393F6" w14:textId="77777777" w:rsidR="00AE6754" w:rsidRDefault="00AE6754" w:rsidP="006A0BAC">
      <w:pPr>
        <w:spacing w:after="0"/>
        <w:rPr>
          <w:rFonts w:cs="Arial"/>
          <w:b/>
          <w:color w:val="auto"/>
          <w:u w:color="FFFFFF" w:themeColor="background1"/>
          <w:lang w:val="en-AU"/>
        </w:rPr>
      </w:pPr>
    </w:p>
    <w:tbl>
      <w:tblPr>
        <w:tblStyle w:val="GridTable4-Accent1"/>
        <w:tblW w:w="0" w:type="auto"/>
        <w:tblLook w:val="05A0" w:firstRow="1" w:lastRow="0" w:firstColumn="1" w:lastColumn="1" w:noHBand="0" w:noVBand="1"/>
      </w:tblPr>
      <w:tblGrid>
        <w:gridCol w:w="1678"/>
        <w:gridCol w:w="1679"/>
        <w:gridCol w:w="1678"/>
        <w:gridCol w:w="1678"/>
        <w:gridCol w:w="1679"/>
        <w:gridCol w:w="1678"/>
      </w:tblGrid>
      <w:tr w:rsidR="00E12C22" w14:paraId="3DF06D75" w14:textId="77777777" w:rsidTr="00393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vAlign w:val="center"/>
          </w:tcPr>
          <w:p w14:paraId="17C00FAC" w14:textId="26C76A44" w:rsidR="00E12C22" w:rsidRPr="00A826C1" w:rsidRDefault="00E77027" w:rsidP="00E77027">
            <w:pPr>
              <w:jc w:val="center"/>
            </w:pPr>
            <w:r w:rsidRPr="00E77027">
              <w:rPr>
                <w:color w:val="FFFFFF" w:themeColor="background1"/>
              </w:rPr>
              <w:t>Year</w:t>
            </w:r>
          </w:p>
        </w:tc>
        <w:tc>
          <w:tcPr>
            <w:tcW w:w="1679" w:type="dxa"/>
            <w:vAlign w:val="center"/>
          </w:tcPr>
          <w:p w14:paraId="3E260204" w14:textId="77777777" w:rsidR="00E12C22" w:rsidRPr="00F608A7" w:rsidRDefault="00367EBB" w:rsidP="00E7702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F608A7">
              <w:rPr>
                <w:color w:val="FFFFFF" w:themeColor="background1"/>
              </w:rPr>
              <w:t>Fees &amp;</w:t>
            </w:r>
            <w:r w:rsidR="00E12C22" w:rsidRPr="00F608A7">
              <w:rPr>
                <w:color w:val="FFFFFF" w:themeColor="background1"/>
              </w:rPr>
              <w:t xml:space="preserve"> Charges</w:t>
            </w:r>
          </w:p>
        </w:tc>
        <w:tc>
          <w:tcPr>
            <w:tcW w:w="1678" w:type="dxa"/>
            <w:vAlign w:val="center"/>
          </w:tcPr>
          <w:p w14:paraId="532826B3" w14:textId="77777777" w:rsidR="00E12C22" w:rsidRPr="00F608A7" w:rsidRDefault="00E12C22" w:rsidP="00E7702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F608A7">
              <w:rPr>
                <w:color w:val="FFFFFF" w:themeColor="background1"/>
              </w:rPr>
              <w:t>Rent</w:t>
            </w:r>
          </w:p>
        </w:tc>
        <w:tc>
          <w:tcPr>
            <w:tcW w:w="1678" w:type="dxa"/>
            <w:vAlign w:val="center"/>
          </w:tcPr>
          <w:p w14:paraId="4661734C" w14:textId="77777777" w:rsidR="00E12C22" w:rsidRPr="00F608A7" w:rsidRDefault="00E12C22" w:rsidP="00E7702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F608A7">
              <w:rPr>
                <w:color w:val="FFFFFF" w:themeColor="background1"/>
              </w:rPr>
              <w:t>Royalty</w:t>
            </w:r>
          </w:p>
        </w:tc>
        <w:tc>
          <w:tcPr>
            <w:tcW w:w="1679" w:type="dxa"/>
            <w:vAlign w:val="center"/>
          </w:tcPr>
          <w:p w14:paraId="23911562" w14:textId="77777777" w:rsidR="00E12C22" w:rsidRPr="00F608A7" w:rsidRDefault="00367EBB" w:rsidP="00E7702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F608A7">
              <w:rPr>
                <w:color w:val="FFFFFF" w:themeColor="background1"/>
              </w:rPr>
              <w:t>Mine S</w:t>
            </w:r>
            <w:r w:rsidR="00E12C22" w:rsidRPr="00F608A7">
              <w:rPr>
                <w:color w:val="FFFFFF" w:themeColor="background1"/>
              </w:rPr>
              <w:t>tability Levy</w:t>
            </w:r>
          </w:p>
        </w:tc>
        <w:tc>
          <w:tcPr>
            <w:cnfStyle w:val="000100000000" w:firstRow="0" w:lastRow="0" w:firstColumn="0" w:lastColumn="1" w:oddVBand="0" w:evenVBand="0" w:oddHBand="0" w:evenHBand="0" w:firstRowFirstColumn="0" w:firstRowLastColumn="0" w:lastRowFirstColumn="0" w:lastRowLastColumn="0"/>
            <w:tcW w:w="1678" w:type="dxa"/>
            <w:vAlign w:val="center"/>
          </w:tcPr>
          <w:p w14:paraId="0FEE243A" w14:textId="77777777" w:rsidR="00E12C22" w:rsidRPr="00F608A7" w:rsidRDefault="00E12C22" w:rsidP="00E77027">
            <w:pPr>
              <w:jc w:val="center"/>
              <w:rPr>
                <w:color w:val="FFFFFF" w:themeColor="background1"/>
              </w:rPr>
            </w:pPr>
            <w:r w:rsidRPr="00F608A7">
              <w:rPr>
                <w:color w:val="FFFFFF" w:themeColor="background1"/>
              </w:rPr>
              <w:t>Total</w:t>
            </w:r>
          </w:p>
        </w:tc>
      </w:tr>
      <w:tr w:rsidR="00E12C22" w14:paraId="5F13B64F" w14:textId="77777777" w:rsidTr="00393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vAlign w:val="center"/>
          </w:tcPr>
          <w:p w14:paraId="4BA3F7AC" w14:textId="3810A622" w:rsidR="00E12C22" w:rsidRPr="00187EF6" w:rsidRDefault="00E12C22" w:rsidP="00E77027">
            <w:pPr>
              <w:jc w:val="center"/>
              <w:rPr>
                <w:color w:val="auto"/>
              </w:rPr>
            </w:pPr>
            <w:r w:rsidRPr="00187EF6">
              <w:rPr>
                <w:color w:val="auto"/>
              </w:rPr>
              <w:t>2015-16</w:t>
            </w:r>
          </w:p>
        </w:tc>
        <w:tc>
          <w:tcPr>
            <w:tcW w:w="1679" w:type="dxa"/>
            <w:vAlign w:val="center"/>
          </w:tcPr>
          <w:p w14:paraId="6C6156FA" w14:textId="77777777" w:rsidR="00E12C22" w:rsidRPr="00187EF6" w:rsidRDefault="00E12C22" w:rsidP="00E77027">
            <w:pPr>
              <w:jc w:val="center"/>
              <w:cnfStyle w:val="000000100000" w:firstRow="0" w:lastRow="0" w:firstColumn="0" w:lastColumn="0" w:oddVBand="0" w:evenVBand="0" w:oddHBand="1" w:evenHBand="0" w:firstRowFirstColumn="0" w:firstRowLastColumn="0" w:lastRowFirstColumn="0" w:lastRowLastColumn="0"/>
              <w:rPr>
                <w:color w:val="auto"/>
              </w:rPr>
            </w:pPr>
            <w:r w:rsidRPr="00187EF6">
              <w:rPr>
                <w:color w:val="auto"/>
              </w:rPr>
              <w:t>0.7</w:t>
            </w:r>
          </w:p>
        </w:tc>
        <w:tc>
          <w:tcPr>
            <w:tcW w:w="1678" w:type="dxa"/>
            <w:vAlign w:val="center"/>
          </w:tcPr>
          <w:p w14:paraId="6D529853" w14:textId="77777777" w:rsidR="00E12C22" w:rsidRPr="00187EF6" w:rsidRDefault="00E12C22" w:rsidP="00E77027">
            <w:pPr>
              <w:jc w:val="center"/>
              <w:cnfStyle w:val="000000100000" w:firstRow="0" w:lastRow="0" w:firstColumn="0" w:lastColumn="0" w:oddVBand="0" w:evenVBand="0" w:oddHBand="1" w:evenHBand="0" w:firstRowFirstColumn="0" w:firstRowLastColumn="0" w:lastRowFirstColumn="0" w:lastRowLastColumn="0"/>
              <w:rPr>
                <w:color w:val="auto"/>
              </w:rPr>
            </w:pPr>
            <w:r w:rsidRPr="00187EF6">
              <w:rPr>
                <w:color w:val="auto"/>
              </w:rPr>
              <w:t>2.0</w:t>
            </w:r>
          </w:p>
        </w:tc>
        <w:tc>
          <w:tcPr>
            <w:tcW w:w="1678" w:type="dxa"/>
            <w:vAlign w:val="center"/>
          </w:tcPr>
          <w:p w14:paraId="14AA8A63" w14:textId="77777777" w:rsidR="00E12C22" w:rsidRPr="00187EF6" w:rsidRDefault="00E12C22" w:rsidP="00E77027">
            <w:pPr>
              <w:jc w:val="center"/>
              <w:cnfStyle w:val="000000100000" w:firstRow="0" w:lastRow="0" w:firstColumn="0" w:lastColumn="0" w:oddVBand="0" w:evenVBand="0" w:oddHBand="1" w:evenHBand="0" w:firstRowFirstColumn="0" w:firstRowLastColumn="0" w:lastRowFirstColumn="0" w:lastRowLastColumn="0"/>
              <w:rPr>
                <w:color w:val="auto"/>
              </w:rPr>
            </w:pPr>
            <w:r w:rsidRPr="00187EF6">
              <w:rPr>
                <w:color w:val="auto"/>
              </w:rPr>
              <w:t>47.7</w:t>
            </w:r>
          </w:p>
        </w:tc>
        <w:tc>
          <w:tcPr>
            <w:tcW w:w="1679" w:type="dxa"/>
            <w:vAlign w:val="center"/>
          </w:tcPr>
          <w:p w14:paraId="6D8BB089" w14:textId="77777777" w:rsidR="00E12C22" w:rsidRPr="00187EF6" w:rsidRDefault="00E12C22" w:rsidP="00E77027">
            <w:pPr>
              <w:jc w:val="center"/>
              <w:cnfStyle w:val="000000100000" w:firstRow="0" w:lastRow="0" w:firstColumn="0" w:lastColumn="0" w:oddVBand="0" w:evenVBand="0" w:oddHBand="1" w:evenHBand="0" w:firstRowFirstColumn="0" w:firstRowLastColumn="0" w:lastRowFirstColumn="0" w:lastRowLastColumn="0"/>
              <w:rPr>
                <w:color w:val="auto"/>
              </w:rPr>
            </w:pPr>
            <w:r w:rsidRPr="00187EF6">
              <w:rPr>
                <w:color w:val="auto"/>
              </w:rPr>
              <w:t>1.4</w:t>
            </w:r>
          </w:p>
        </w:tc>
        <w:tc>
          <w:tcPr>
            <w:cnfStyle w:val="000100000000" w:firstRow="0" w:lastRow="0" w:firstColumn="0" w:lastColumn="1" w:oddVBand="0" w:evenVBand="0" w:oddHBand="0" w:evenHBand="0" w:firstRowFirstColumn="0" w:firstRowLastColumn="0" w:lastRowFirstColumn="0" w:lastRowLastColumn="0"/>
            <w:tcW w:w="1678" w:type="dxa"/>
            <w:vAlign w:val="center"/>
          </w:tcPr>
          <w:p w14:paraId="230056EE" w14:textId="591BF73E" w:rsidR="00E12C22" w:rsidRPr="00187EF6" w:rsidRDefault="00E8670E" w:rsidP="00E77027">
            <w:pPr>
              <w:jc w:val="center"/>
              <w:rPr>
                <w:color w:val="auto"/>
              </w:rPr>
            </w:pPr>
            <w:r>
              <w:rPr>
                <w:color w:val="auto"/>
              </w:rPr>
              <w:fldChar w:fldCharType="begin"/>
            </w:r>
            <w:r>
              <w:rPr>
                <w:color w:val="auto"/>
              </w:rPr>
              <w:instrText xml:space="preserve"> =SUM(LEFT) </w:instrText>
            </w:r>
            <w:r>
              <w:rPr>
                <w:color w:val="auto"/>
              </w:rPr>
              <w:fldChar w:fldCharType="separate"/>
            </w:r>
            <w:r>
              <w:rPr>
                <w:noProof/>
                <w:color w:val="auto"/>
              </w:rPr>
              <w:t>51.8</w:t>
            </w:r>
            <w:r>
              <w:rPr>
                <w:color w:val="auto"/>
              </w:rPr>
              <w:fldChar w:fldCharType="end"/>
            </w:r>
          </w:p>
        </w:tc>
      </w:tr>
      <w:tr w:rsidR="00E12C22" w14:paraId="5138CD06" w14:textId="77777777" w:rsidTr="00393978">
        <w:tc>
          <w:tcPr>
            <w:cnfStyle w:val="001000000000" w:firstRow="0" w:lastRow="0" w:firstColumn="1" w:lastColumn="0" w:oddVBand="0" w:evenVBand="0" w:oddHBand="0" w:evenHBand="0" w:firstRowFirstColumn="0" w:firstRowLastColumn="0" w:lastRowFirstColumn="0" w:lastRowLastColumn="0"/>
            <w:tcW w:w="1678" w:type="dxa"/>
            <w:vAlign w:val="center"/>
          </w:tcPr>
          <w:p w14:paraId="1245EA57" w14:textId="5253A274" w:rsidR="00E12C22" w:rsidRPr="00187EF6" w:rsidRDefault="00E12C22" w:rsidP="00E77027">
            <w:pPr>
              <w:jc w:val="center"/>
              <w:rPr>
                <w:color w:val="auto"/>
              </w:rPr>
            </w:pPr>
            <w:r w:rsidRPr="00187EF6">
              <w:rPr>
                <w:color w:val="auto"/>
              </w:rPr>
              <w:t>2016-17</w:t>
            </w:r>
          </w:p>
        </w:tc>
        <w:tc>
          <w:tcPr>
            <w:tcW w:w="1679" w:type="dxa"/>
            <w:vAlign w:val="center"/>
          </w:tcPr>
          <w:p w14:paraId="1F3BC5D4" w14:textId="77777777" w:rsidR="00E12C22" w:rsidRPr="00187EF6" w:rsidRDefault="00E12C22" w:rsidP="00E77027">
            <w:pPr>
              <w:jc w:val="center"/>
              <w:cnfStyle w:val="000000000000" w:firstRow="0" w:lastRow="0" w:firstColumn="0" w:lastColumn="0" w:oddVBand="0" w:evenVBand="0" w:oddHBand="0" w:evenHBand="0" w:firstRowFirstColumn="0" w:firstRowLastColumn="0" w:lastRowFirstColumn="0" w:lastRowLastColumn="0"/>
              <w:rPr>
                <w:color w:val="auto"/>
              </w:rPr>
            </w:pPr>
            <w:r w:rsidRPr="00187EF6">
              <w:rPr>
                <w:color w:val="auto"/>
              </w:rPr>
              <w:t>0.7</w:t>
            </w:r>
          </w:p>
        </w:tc>
        <w:tc>
          <w:tcPr>
            <w:tcW w:w="1678" w:type="dxa"/>
            <w:vAlign w:val="center"/>
          </w:tcPr>
          <w:p w14:paraId="53210EA9" w14:textId="77777777" w:rsidR="00E12C22" w:rsidRPr="00187EF6" w:rsidRDefault="00E12C22" w:rsidP="00E77027">
            <w:pPr>
              <w:jc w:val="center"/>
              <w:cnfStyle w:val="000000000000" w:firstRow="0" w:lastRow="0" w:firstColumn="0" w:lastColumn="0" w:oddVBand="0" w:evenVBand="0" w:oddHBand="0" w:evenHBand="0" w:firstRowFirstColumn="0" w:firstRowLastColumn="0" w:lastRowFirstColumn="0" w:lastRowLastColumn="0"/>
              <w:rPr>
                <w:color w:val="auto"/>
              </w:rPr>
            </w:pPr>
            <w:r w:rsidRPr="00187EF6">
              <w:rPr>
                <w:color w:val="auto"/>
              </w:rPr>
              <w:t>1.4</w:t>
            </w:r>
          </w:p>
        </w:tc>
        <w:tc>
          <w:tcPr>
            <w:tcW w:w="1678" w:type="dxa"/>
            <w:vAlign w:val="center"/>
          </w:tcPr>
          <w:p w14:paraId="363C4F86" w14:textId="77777777" w:rsidR="00E12C22" w:rsidRPr="00187EF6" w:rsidRDefault="00E12C22" w:rsidP="00E77027">
            <w:pPr>
              <w:jc w:val="center"/>
              <w:cnfStyle w:val="000000000000" w:firstRow="0" w:lastRow="0" w:firstColumn="0" w:lastColumn="0" w:oddVBand="0" w:evenVBand="0" w:oddHBand="0" w:evenHBand="0" w:firstRowFirstColumn="0" w:firstRowLastColumn="0" w:lastRowFirstColumn="0" w:lastRowLastColumn="0"/>
              <w:rPr>
                <w:color w:val="auto"/>
              </w:rPr>
            </w:pPr>
            <w:r w:rsidRPr="00187EF6">
              <w:rPr>
                <w:color w:val="auto"/>
              </w:rPr>
              <w:t>83.1</w:t>
            </w:r>
          </w:p>
        </w:tc>
        <w:tc>
          <w:tcPr>
            <w:tcW w:w="1679" w:type="dxa"/>
            <w:vAlign w:val="center"/>
          </w:tcPr>
          <w:p w14:paraId="42C39142" w14:textId="77777777" w:rsidR="00E12C22" w:rsidRPr="00187EF6" w:rsidRDefault="00E12C22" w:rsidP="00E77027">
            <w:pPr>
              <w:jc w:val="center"/>
              <w:cnfStyle w:val="000000000000" w:firstRow="0" w:lastRow="0" w:firstColumn="0" w:lastColumn="0" w:oddVBand="0" w:evenVBand="0" w:oddHBand="0" w:evenHBand="0" w:firstRowFirstColumn="0" w:firstRowLastColumn="0" w:lastRowFirstColumn="0" w:lastRowLastColumn="0"/>
              <w:rPr>
                <w:color w:val="auto"/>
              </w:rPr>
            </w:pPr>
            <w:r w:rsidRPr="00187EF6">
              <w:rPr>
                <w:color w:val="auto"/>
              </w:rPr>
              <w:t>1.4</w:t>
            </w:r>
          </w:p>
        </w:tc>
        <w:tc>
          <w:tcPr>
            <w:cnfStyle w:val="000100000000" w:firstRow="0" w:lastRow="0" w:firstColumn="0" w:lastColumn="1" w:oddVBand="0" w:evenVBand="0" w:oddHBand="0" w:evenHBand="0" w:firstRowFirstColumn="0" w:firstRowLastColumn="0" w:lastRowFirstColumn="0" w:lastRowLastColumn="0"/>
            <w:tcW w:w="1678" w:type="dxa"/>
            <w:vAlign w:val="center"/>
          </w:tcPr>
          <w:p w14:paraId="63A8790D" w14:textId="03638FEA" w:rsidR="00E12C22" w:rsidRPr="00187EF6" w:rsidRDefault="00E8670E" w:rsidP="00E77027">
            <w:pPr>
              <w:jc w:val="center"/>
              <w:rPr>
                <w:color w:val="auto"/>
              </w:rPr>
            </w:pPr>
            <w:r>
              <w:rPr>
                <w:color w:val="auto"/>
              </w:rPr>
              <w:fldChar w:fldCharType="begin"/>
            </w:r>
            <w:r>
              <w:rPr>
                <w:color w:val="auto"/>
              </w:rPr>
              <w:instrText xml:space="preserve"> =SUM(LEFT) </w:instrText>
            </w:r>
            <w:r>
              <w:rPr>
                <w:color w:val="auto"/>
              </w:rPr>
              <w:fldChar w:fldCharType="separate"/>
            </w:r>
            <w:r>
              <w:rPr>
                <w:noProof/>
                <w:color w:val="auto"/>
              </w:rPr>
              <w:t>86.6</w:t>
            </w:r>
            <w:r>
              <w:rPr>
                <w:color w:val="auto"/>
              </w:rPr>
              <w:fldChar w:fldCharType="end"/>
            </w:r>
          </w:p>
        </w:tc>
      </w:tr>
      <w:tr w:rsidR="00E12C22" w14:paraId="3BB1D774" w14:textId="77777777" w:rsidTr="00393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vAlign w:val="center"/>
          </w:tcPr>
          <w:p w14:paraId="0B1E4F33" w14:textId="02D6BBA5" w:rsidR="00E12C22" w:rsidRPr="00187EF6" w:rsidRDefault="00E12C22" w:rsidP="00E77027">
            <w:pPr>
              <w:jc w:val="center"/>
              <w:rPr>
                <w:color w:val="auto"/>
              </w:rPr>
            </w:pPr>
            <w:r w:rsidRPr="00187EF6">
              <w:rPr>
                <w:color w:val="auto"/>
              </w:rPr>
              <w:t>2017-18</w:t>
            </w:r>
          </w:p>
        </w:tc>
        <w:tc>
          <w:tcPr>
            <w:tcW w:w="1679" w:type="dxa"/>
            <w:vAlign w:val="center"/>
          </w:tcPr>
          <w:p w14:paraId="24D12036" w14:textId="77777777" w:rsidR="00E12C22" w:rsidRPr="00187EF6" w:rsidRDefault="00E12C22" w:rsidP="00E77027">
            <w:pPr>
              <w:jc w:val="center"/>
              <w:cnfStyle w:val="000000100000" w:firstRow="0" w:lastRow="0" w:firstColumn="0" w:lastColumn="0" w:oddVBand="0" w:evenVBand="0" w:oddHBand="1" w:evenHBand="0" w:firstRowFirstColumn="0" w:firstRowLastColumn="0" w:lastRowFirstColumn="0" w:lastRowLastColumn="0"/>
              <w:rPr>
                <w:color w:val="auto"/>
              </w:rPr>
            </w:pPr>
            <w:r w:rsidRPr="00187EF6">
              <w:rPr>
                <w:color w:val="auto"/>
              </w:rPr>
              <w:t>0.8</w:t>
            </w:r>
          </w:p>
        </w:tc>
        <w:tc>
          <w:tcPr>
            <w:tcW w:w="1678" w:type="dxa"/>
            <w:vAlign w:val="center"/>
          </w:tcPr>
          <w:p w14:paraId="05CD7271" w14:textId="77777777" w:rsidR="00E12C22" w:rsidRPr="00187EF6" w:rsidRDefault="00E12C22" w:rsidP="00E77027">
            <w:pPr>
              <w:jc w:val="center"/>
              <w:cnfStyle w:val="000000100000" w:firstRow="0" w:lastRow="0" w:firstColumn="0" w:lastColumn="0" w:oddVBand="0" w:evenVBand="0" w:oddHBand="1" w:evenHBand="0" w:firstRowFirstColumn="0" w:firstRowLastColumn="0" w:lastRowFirstColumn="0" w:lastRowLastColumn="0"/>
              <w:rPr>
                <w:color w:val="auto"/>
              </w:rPr>
            </w:pPr>
            <w:r w:rsidRPr="00187EF6">
              <w:rPr>
                <w:color w:val="auto"/>
              </w:rPr>
              <w:t>1.7</w:t>
            </w:r>
          </w:p>
        </w:tc>
        <w:tc>
          <w:tcPr>
            <w:tcW w:w="1678" w:type="dxa"/>
            <w:vAlign w:val="center"/>
          </w:tcPr>
          <w:p w14:paraId="35ABFCB8" w14:textId="003F22DC" w:rsidR="00E12C22" w:rsidRPr="00187EF6" w:rsidRDefault="00E8670E" w:rsidP="00E77027">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99.1</w:t>
            </w:r>
          </w:p>
        </w:tc>
        <w:tc>
          <w:tcPr>
            <w:tcW w:w="1679" w:type="dxa"/>
            <w:vAlign w:val="center"/>
          </w:tcPr>
          <w:p w14:paraId="220AE401" w14:textId="77777777" w:rsidR="00E12C22" w:rsidRPr="00187EF6" w:rsidRDefault="00E12C22" w:rsidP="00E77027">
            <w:pPr>
              <w:jc w:val="center"/>
              <w:cnfStyle w:val="000000100000" w:firstRow="0" w:lastRow="0" w:firstColumn="0" w:lastColumn="0" w:oddVBand="0" w:evenVBand="0" w:oddHBand="1" w:evenHBand="0" w:firstRowFirstColumn="0" w:firstRowLastColumn="0" w:lastRowFirstColumn="0" w:lastRowLastColumn="0"/>
              <w:rPr>
                <w:color w:val="auto"/>
              </w:rPr>
            </w:pPr>
            <w:r w:rsidRPr="00187EF6">
              <w:rPr>
                <w:color w:val="auto"/>
              </w:rPr>
              <w:t>1.5</w:t>
            </w:r>
          </w:p>
        </w:tc>
        <w:tc>
          <w:tcPr>
            <w:cnfStyle w:val="000100000000" w:firstRow="0" w:lastRow="0" w:firstColumn="0" w:lastColumn="1" w:oddVBand="0" w:evenVBand="0" w:oddHBand="0" w:evenHBand="0" w:firstRowFirstColumn="0" w:firstRowLastColumn="0" w:lastRowFirstColumn="0" w:lastRowLastColumn="0"/>
            <w:tcW w:w="1678" w:type="dxa"/>
            <w:vAlign w:val="center"/>
          </w:tcPr>
          <w:p w14:paraId="16D9C6F1" w14:textId="1368BB47" w:rsidR="00E12C22" w:rsidRPr="00187EF6" w:rsidRDefault="00E8670E" w:rsidP="00E77027">
            <w:pPr>
              <w:jc w:val="center"/>
              <w:rPr>
                <w:color w:val="auto"/>
              </w:rPr>
            </w:pPr>
            <w:r>
              <w:rPr>
                <w:color w:val="auto"/>
              </w:rPr>
              <w:fldChar w:fldCharType="begin"/>
            </w:r>
            <w:r>
              <w:rPr>
                <w:color w:val="auto"/>
              </w:rPr>
              <w:instrText xml:space="preserve"> =SUM(LEFT) </w:instrText>
            </w:r>
            <w:r>
              <w:rPr>
                <w:color w:val="auto"/>
              </w:rPr>
              <w:fldChar w:fldCharType="separate"/>
            </w:r>
            <w:r>
              <w:rPr>
                <w:noProof/>
                <w:color w:val="auto"/>
              </w:rPr>
              <w:t>103.1</w:t>
            </w:r>
            <w:r>
              <w:rPr>
                <w:color w:val="auto"/>
              </w:rPr>
              <w:fldChar w:fldCharType="end"/>
            </w:r>
          </w:p>
        </w:tc>
      </w:tr>
    </w:tbl>
    <w:p w14:paraId="57D690D6" w14:textId="3EDC365C" w:rsidR="006A0BAC" w:rsidRDefault="006A0BAC" w:rsidP="002F1970">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p>
    <w:p w14:paraId="0129CBD2" w14:textId="3B7CD87C" w:rsidR="003763D6" w:rsidRDefault="003763D6" w:rsidP="003763D6">
      <w:pPr>
        <w:rPr>
          <w:lang w:val="en-AU"/>
        </w:rPr>
      </w:pPr>
    </w:p>
    <w:p w14:paraId="3F89D26F" w14:textId="255AB2E9" w:rsidR="003763D6" w:rsidRDefault="003763D6" w:rsidP="003763D6">
      <w:pPr>
        <w:rPr>
          <w:lang w:val="en-AU"/>
        </w:rPr>
      </w:pPr>
    </w:p>
    <w:p w14:paraId="238E4C2B" w14:textId="77777777" w:rsidR="003763D6" w:rsidRPr="003763D6" w:rsidRDefault="003763D6" w:rsidP="003763D6">
      <w:pPr>
        <w:rPr>
          <w:lang w:val="en-AU"/>
        </w:rPr>
      </w:pPr>
    </w:p>
    <w:p w14:paraId="5D7F56B4" w14:textId="570631C2" w:rsidR="00982FB8" w:rsidRPr="00A11CC5" w:rsidRDefault="006A0BAC" w:rsidP="000E1E7F">
      <w:pPr>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 xml:space="preserve">Graph </w:t>
      </w:r>
      <w:r w:rsidR="002B7F82" w:rsidRPr="00A11CC5">
        <w:rPr>
          <w:rFonts w:eastAsia="Times New Roman" w:cs="Arial"/>
          <w:b/>
          <w:color w:val="auto"/>
          <w:szCs w:val="24"/>
          <w:u w:color="FFFFFF" w:themeColor="background1"/>
          <w:lang w:val="en-AU"/>
        </w:rPr>
        <w:t>4</w:t>
      </w:r>
      <w:r w:rsidR="00B669BF">
        <w:rPr>
          <w:rFonts w:eastAsia="Times New Roman" w:cs="Arial"/>
          <w:b/>
          <w:color w:val="auto"/>
          <w:szCs w:val="24"/>
          <w:u w:color="FFFFFF" w:themeColor="background1"/>
          <w:lang w:val="en-AU"/>
        </w:rPr>
        <w:t>.1</w:t>
      </w:r>
      <w:r w:rsidR="00CE310B" w:rsidRPr="00A11CC5">
        <w:rPr>
          <w:rFonts w:eastAsia="Times New Roman" w:cs="Arial"/>
          <w:b/>
          <w:color w:val="auto"/>
          <w:szCs w:val="24"/>
          <w:u w:color="FFFFFF" w:themeColor="background1"/>
          <w:lang w:val="en-AU"/>
        </w:rPr>
        <w:t xml:space="preserve"> </w:t>
      </w:r>
      <w:r w:rsidRPr="00A11CC5">
        <w:rPr>
          <w:rFonts w:eastAsia="Times New Roman" w:cs="Arial"/>
          <w:b/>
          <w:color w:val="auto"/>
          <w:szCs w:val="24"/>
          <w:u w:color="FFFFFF" w:themeColor="background1"/>
          <w:lang w:val="en-AU"/>
        </w:rPr>
        <w:t xml:space="preserve">Mineral, extractive and petroleum </w:t>
      </w:r>
      <w:r w:rsidR="00AE56F4">
        <w:rPr>
          <w:rFonts w:eastAsia="Times New Roman" w:cs="Arial"/>
          <w:b/>
          <w:color w:val="auto"/>
          <w:szCs w:val="24"/>
          <w:u w:color="FFFFFF" w:themeColor="background1"/>
          <w:lang w:val="en-AU"/>
        </w:rPr>
        <w:t>revenue payable ($A Millions)</w:t>
      </w:r>
    </w:p>
    <w:p w14:paraId="792E25FB" w14:textId="77777777" w:rsidR="00982FB8" w:rsidRPr="00A11CC5" w:rsidRDefault="00187EF6" w:rsidP="000E1E7F">
      <w:pPr>
        <w:rPr>
          <w:rFonts w:eastAsia="Times New Roman" w:cs="Arial"/>
          <w:b/>
          <w:color w:val="auto"/>
          <w:szCs w:val="24"/>
          <w:u w:color="FFFFFF" w:themeColor="background1"/>
          <w:lang w:val="en-AU"/>
        </w:rPr>
      </w:pPr>
      <w:r>
        <w:rPr>
          <w:rFonts w:eastAsia="Times New Roman" w:cs="Arial"/>
          <w:b/>
          <w:noProof/>
          <w:color w:val="auto"/>
          <w:szCs w:val="24"/>
          <w:u w:color="FFFFFF" w:themeColor="background1"/>
          <w:lang w:val="en-AU"/>
        </w:rPr>
        <w:drawing>
          <wp:inline distT="0" distB="0" distL="0" distR="0" wp14:anchorId="269D27A9" wp14:editId="3B0D2ED9">
            <wp:extent cx="6619875" cy="338137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A741247" w14:textId="77777777" w:rsidR="006A0BAC" w:rsidRPr="00A11CC5" w:rsidRDefault="006A0BAC" w:rsidP="004D05D3">
      <w:pPr>
        <w:spacing w:after="0" w:line="240" w:lineRule="auto"/>
        <w:jc w:val="center"/>
        <w:rPr>
          <w:rFonts w:eastAsia="Times New Roman" w:cs="Arial"/>
          <w:b/>
          <w:color w:val="auto"/>
          <w:szCs w:val="24"/>
          <w:u w:color="FFFFFF" w:themeColor="background1"/>
          <w:lang w:val="en-AU"/>
        </w:rPr>
      </w:pPr>
    </w:p>
    <w:p w14:paraId="51EE36FC" w14:textId="77777777" w:rsidR="00E93222" w:rsidRPr="00A11CC5" w:rsidRDefault="00E93222" w:rsidP="004D05D3">
      <w:pPr>
        <w:spacing w:after="0" w:line="240" w:lineRule="auto"/>
        <w:jc w:val="center"/>
        <w:rPr>
          <w:rFonts w:eastAsia="Times New Roman" w:cs="Arial"/>
          <w:b/>
          <w:color w:val="auto"/>
          <w:szCs w:val="24"/>
          <w:u w:color="FFFFFF" w:themeColor="background1"/>
          <w:lang w:val="en-AU"/>
        </w:rPr>
      </w:pPr>
    </w:p>
    <w:p w14:paraId="3AC051DD" w14:textId="77777777" w:rsidR="00982FB8" w:rsidRPr="00A11CC5" w:rsidRDefault="00982FB8" w:rsidP="004D05D3">
      <w:pPr>
        <w:spacing w:after="0" w:line="240" w:lineRule="auto"/>
        <w:jc w:val="center"/>
        <w:rPr>
          <w:rFonts w:eastAsia="Times New Roman" w:cs="Arial"/>
          <w:b/>
          <w:color w:val="auto"/>
          <w:szCs w:val="24"/>
          <w:u w:color="FFFFFF" w:themeColor="background1"/>
          <w:lang w:val="en-AU"/>
        </w:rPr>
      </w:pPr>
    </w:p>
    <w:p w14:paraId="7F116FD6" w14:textId="2155B208" w:rsidR="006A0BAC" w:rsidRPr="00A11CC5" w:rsidRDefault="006A0BAC" w:rsidP="002F1970">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p>
    <w:p w14:paraId="5AFC5BCD" w14:textId="77777777" w:rsidR="00367EBB" w:rsidRDefault="00367EBB">
      <w:pPr>
        <w:widowControl/>
        <w:suppressAutoHyphens w:val="0"/>
        <w:autoSpaceDE/>
        <w:autoSpaceDN/>
        <w:adjustRightInd/>
        <w:spacing w:before="200" w:after="200" w:line="276" w:lineRule="auto"/>
        <w:textAlignment w:val="auto"/>
        <w:rPr>
          <w:color w:val="auto"/>
          <w:lang w:val="en-AU"/>
        </w:rPr>
      </w:pPr>
      <w:r>
        <w:rPr>
          <w:color w:val="auto"/>
          <w:lang w:val="en-AU"/>
        </w:rPr>
        <w:br w:type="page"/>
      </w:r>
    </w:p>
    <w:p w14:paraId="1E5AB971" w14:textId="77777777" w:rsidR="00982FB8" w:rsidRPr="00A11CC5" w:rsidRDefault="00982FB8" w:rsidP="00982FB8">
      <w:pPr>
        <w:rPr>
          <w:color w:val="auto"/>
          <w:lang w:val="en-AU"/>
        </w:rPr>
      </w:pPr>
    </w:p>
    <w:p w14:paraId="7216C487" w14:textId="067C7582" w:rsidR="00574167" w:rsidRDefault="006A0BAC" w:rsidP="00A23DBD">
      <w:pPr>
        <w:spacing w:before="120" w:after="120" w:line="240" w:lineRule="auto"/>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 xml:space="preserve">Table </w:t>
      </w:r>
      <w:r w:rsidR="00E869FB" w:rsidRPr="00A11CC5">
        <w:rPr>
          <w:rFonts w:eastAsia="Times New Roman" w:cs="Arial"/>
          <w:b/>
          <w:color w:val="auto"/>
          <w:szCs w:val="24"/>
          <w:u w:color="FFFFFF" w:themeColor="background1"/>
          <w:lang w:val="en-AU"/>
        </w:rPr>
        <w:t>4</w:t>
      </w:r>
      <w:r w:rsidR="00DF3569">
        <w:rPr>
          <w:rFonts w:eastAsia="Times New Roman" w:cs="Arial"/>
          <w:b/>
          <w:color w:val="auto"/>
          <w:szCs w:val="24"/>
          <w:u w:color="FFFFFF" w:themeColor="background1"/>
          <w:lang w:val="en-AU"/>
        </w:rPr>
        <w:t>.2 Mineral, E</w:t>
      </w:r>
      <w:r w:rsidRPr="00A11CC5">
        <w:rPr>
          <w:rFonts w:eastAsia="Times New Roman" w:cs="Arial"/>
          <w:b/>
          <w:color w:val="auto"/>
          <w:szCs w:val="24"/>
          <w:u w:color="FFFFFF" w:themeColor="background1"/>
          <w:lang w:val="en-AU"/>
        </w:rPr>
        <w:t xml:space="preserve">xtractive and </w:t>
      </w:r>
      <w:r w:rsidR="00DF3569">
        <w:rPr>
          <w:rFonts w:eastAsia="Times New Roman" w:cs="Arial"/>
          <w:b/>
          <w:color w:val="auto"/>
          <w:szCs w:val="24"/>
          <w:u w:color="FFFFFF" w:themeColor="background1"/>
          <w:lang w:val="en-AU"/>
        </w:rPr>
        <w:t>P</w:t>
      </w:r>
      <w:r w:rsidR="00367EBB">
        <w:rPr>
          <w:rFonts w:eastAsia="Times New Roman" w:cs="Arial"/>
          <w:b/>
          <w:color w:val="auto"/>
          <w:szCs w:val="24"/>
          <w:u w:color="FFFFFF" w:themeColor="background1"/>
          <w:lang w:val="en-AU"/>
        </w:rPr>
        <w:t xml:space="preserve">etroleum </w:t>
      </w:r>
      <w:r w:rsidR="002C0E42">
        <w:rPr>
          <w:rFonts w:eastAsia="Times New Roman" w:cs="Arial"/>
          <w:b/>
          <w:color w:val="auto"/>
          <w:szCs w:val="24"/>
          <w:u w:color="FFFFFF" w:themeColor="background1"/>
          <w:lang w:val="en-AU"/>
        </w:rPr>
        <w:t xml:space="preserve">sector </w:t>
      </w:r>
      <w:r w:rsidR="00367EBB">
        <w:rPr>
          <w:rFonts w:eastAsia="Times New Roman" w:cs="Arial"/>
          <w:b/>
          <w:color w:val="auto"/>
          <w:szCs w:val="24"/>
          <w:u w:color="FFFFFF" w:themeColor="background1"/>
          <w:lang w:val="en-AU"/>
        </w:rPr>
        <w:t>royalties</w:t>
      </w:r>
      <w:r w:rsidR="00574167">
        <w:rPr>
          <w:rFonts w:eastAsia="Times New Roman" w:cs="Arial"/>
          <w:b/>
          <w:color w:val="auto"/>
          <w:szCs w:val="24"/>
          <w:u w:color="FFFFFF" w:themeColor="background1"/>
          <w:lang w:val="en-AU"/>
        </w:rPr>
        <w:t xml:space="preserve"> payable in the financial year</w:t>
      </w:r>
      <w:r w:rsidR="00367EBB">
        <w:rPr>
          <w:rFonts w:eastAsia="Times New Roman" w:cs="Arial"/>
          <w:b/>
          <w:color w:val="auto"/>
          <w:szCs w:val="24"/>
          <w:u w:color="FFFFFF" w:themeColor="background1"/>
          <w:lang w:val="en-AU"/>
        </w:rPr>
        <w:t xml:space="preserve"> ($A Millions)</w:t>
      </w:r>
    </w:p>
    <w:tbl>
      <w:tblPr>
        <w:tblStyle w:val="GridTable4-Accent1"/>
        <w:tblpPr w:leftFromText="180" w:rightFromText="180" w:vertAnchor="page" w:horzAnchor="margin" w:tblpY="2416"/>
        <w:tblW w:w="10324" w:type="dxa"/>
        <w:tblLook w:val="05A0" w:firstRow="1" w:lastRow="0" w:firstColumn="1" w:lastColumn="1" w:noHBand="0" w:noVBand="1"/>
      </w:tblPr>
      <w:tblGrid>
        <w:gridCol w:w="1721"/>
        <w:gridCol w:w="1720"/>
        <w:gridCol w:w="1721"/>
        <w:gridCol w:w="1720"/>
        <w:gridCol w:w="1721"/>
        <w:gridCol w:w="1721"/>
      </w:tblGrid>
      <w:tr w:rsidR="00574167" w14:paraId="08442A91" w14:textId="77777777" w:rsidTr="0063587C">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721" w:type="dxa"/>
            <w:vAlign w:val="center"/>
          </w:tcPr>
          <w:p w14:paraId="54FF262C" w14:textId="77777777" w:rsidR="00574167" w:rsidRPr="00A826C1" w:rsidRDefault="00574167" w:rsidP="00574167">
            <w:pPr>
              <w:jc w:val="center"/>
            </w:pPr>
            <w:r w:rsidRPr="00E77027">
              <w:rPr>
                <w:color w:val="FFFFFF" w:themeColor="background1"/>
              </w:rPr>
              <w:t>Year</w:t>
            </w:r>
          </w:p>
        </w:tc>
        <w:tc>
          <w:tcPr>
            <w:tcW w:w="1720" w:type="dxa"/>
            <w:vAlign w:val="center"/>
          </w:tcPr>
          <w:p w14:paraId="5B684332" w14:textId="771DD0E9" w:rsidR="00574167" w:rsidRPr="00F608A7" w:rsidRDefault="00574167" w:rsidP="0057416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Coal</w:t>
            </w:r>
          </w:p>
        </w:tc>
        <w:tc>
          <w:tcPr>
            <w:tcW w:w="1721" w:type="dxa"/>
          </w:tcPr>
          <w:p w14:paraId="08319A07" w14:textId="565A6CA7" w:rsidR="00574167" w:rsidRPr="00F608A7" w:rsidRDefault="00574167" w:rsidP="0057416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Minerals</w:t>
            </w:r>
          </w:p>
        </w:tc>
        <w:tc>
          <w:tcPr>
            <w:tcW w:w="1720" w:type="dxa"/>
            <w:vAlign w:val="center"/>
          </w:tcPr>
          <w:p w14:paraId="49E6AD81" w14:textId="2A1524CD" w:rsidR="00574167" w:rsidRPr="00F608A7" w:rsidRDefault="00574167" w:rsidP="0057416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F608A7">
              <w:rPr>
                <w:color w:val="FFFFFF" w:themeColor="background1"/>
              </w:rPr>
              <w:t>Extractive</w:t>
            </w:r>
          </w:p>
        </w:tc>
        <w:tc>
          <w:tcPr>
            <w:tcW w:w="1721" w:type="dxa"/>
            <w:vAlign w:val="center"/>
          </w:tcPr>
          <w:p w14:paraId="319B0D9F" w14:textId="77777777" w:rsidR="00574167" w:rsidRPr="00F608A7" w:rsidRDefault="00574167" w:rsidP="0057416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F608A7">
              <w:rPr>
                <w:color w:val="FFFFFF" w:themeColor="background1"/>
              </w:rPr>
              <w:t>Petroleum</w:t>
            </w:r>
          </w:p>
        </w:tc>
        <w:tc>
          <w:tcPr>
            <w:cnfStyle w:val="000100000000" w:firstRow="0" w:lastRow="0" w:firstColumn="0" w:lastColumn="1" w:oddVBand="0" w:evenVBand="0" w:oddHBand="0" w:evenHBand="0" w:firstRowFirstColumn="0" w:firstRowLastColumn="0" w:lastRowFirstColumn="0" w:lastRowLastColumn="0"/>
            <w:tcW w:w="1721" w:type="dxa"/>
            <w:vAlign w:val="center"/>
          </w:tcPr>
          <w:p w14:paraId="24666BD9" w14:textId="77777777" w:rsidR="00574167" w:rsidRPr="00F608A7" w:rsidRDefault="00574167" w:rsidP="00574167">
            <w:pPr>
              <w:jc w:val="center"/>
              <w:rPr>
                <w:color w:val="FFFFFF" w:themeColor="background1"/>
              </w:rPr>
            </w:pPr>
            <w:r w:rsidRPr="00F608A7">
              <w:rPr>
                <w:color w:val="FFFFFF" w:themeColor="background1"/>
              </w:rPr>
              <w:t>Total</w:t>
            </w:r>
          </w:p>
        </w:tc>
      </w:tr>
      <w:tr w:rsidR="00574167" w14:paraId="6D4966A7" w14:textId="77777777" w:rsidTr="0057416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21" w:type="dxa"/>
            <w:vAlign w:val="center"/>
          </w:tcPr>
          <w:p w14:paraId="3A21C223" w14:textId="77777777" w:rsidR="00574167" w:rsidRPr="00187EF6" w:rsidRDefault="00574167" w:rsidP="00574167">
            <w:pPr>
              <w:jc w:val="center"/>
              <w:rPr>
                <w:color w:val="auto"/>
              </w:rPr>
            </w:pPr>
            <w:r w:rsidRPr="00187EF6">
              <w:rPr>
                <w:color w:val="auto"/>
              </w:rPr>
              <w:t>2015-16</w:t>
            </w:r>
          </w:p>
        </w:tc>
        <w:tc>
          <w:tcPr>
            <w:tcW w:w="1720" w:type="dxa"/>
            <w:vAlign w:val="center"/>
          </w:tcPr>
          <w:p w14:paraId="3C217ACD" w14:textId="43021C1F" w:rsidR="00574167" w:rsidRPr="00367EBB" w:rsidRDefault="0063587C" w:rsidP="00574167">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36.6</w:t>
            </w:r>
          </w:p>
        </w:tc>
        <w:tc>
          <w:tcPr>
            <w:tcW w:w="1721" w:type="dxa"/>
          </w:tcPr>
          <w:p w14:paraId="6D2D5B9D" w14:textId="35A959D1" w:rsidR="00574167" w:rsidRPr="00367EBB" w:rsidRDefault="0063587C" w:rsidP="00574167">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5.7</w:t>
            </w:r>
          </w:p>
        </w:tc>
        <w:tc>
          <w:tcPr>
            <w:tcW w:w="1720" w:type="dxa"/>
            <w:vAlign w:val="center"/>
          </w:tcPr>
          <w:p w14:paraId="6B70EC40" w14:textId="71EEB1F1" w:rsidR="00574167" w:rsidRPr="00367EBB" w:rsidRDefault="00574167" w:rsidP="00574167">
            <w:pPr>
              <w:jc w:val="center"/>
              <w:cnfStyle w:val="000000100000" w:firstRow="0" w:lastRow="0" w:firstColumn="0" w:lastColumn="0" w:oddVBand="0" w:evenVBand="0" w:oddHBand="1" w:evenHBand="0" w:firstRowFirstColumn="0" w:firstRowLastColumn="0" w:lastRowFirstColumn="0" w:lastRowLastColumn="0"/>
              <w:rPr>
                <w:color w:val="auto"/>
              </w:rPr>
            </w:pPr>
            <w:r w:rsidRPr="00367EBB">
              <w:rPr>
                <w:color w:val="auto"/>
              </w:rPr>
              <w:t>6.2</w:t>
            </w:r>
          </w:p>
        </w:tc>
        <w:tc>
          <w:tcPr>
            <w:tcW w:w="1721" w:type="dxa"/>
            <w:vAlign w:val="center"/>
          </w:tcPr>
          <w:p w14:paraId="66245506" w14:textId="77777777" w:rsidR="00574167" w:rsidRPr="00367EBB" w:rsidRDefault="00574167" w:rsidP="00574167">
            <w:pPr>
              <w:jc w:val="center"/>
              <w:cnfStyle w:val="000000100000" w:firstRow="0" w:lastRow="0" w:firstColumn="0" w:lastColumn="0" w:oddVBand="0" w:evenVBand="0" w:oddHBand="1" w:evenHBand="0" w:firstRowFirstColumn="0" w:firstRowLastColumn="0" w:lastRowFirstColumn="0" w:lastRowLastColumn="0"/>
              <w:rPr>
                <w:color w:val="auto"/>
              </w:rPr>
            </w:pPr>
            <w:r w:rsidRPr="00367EBB">
              <w:rPr>
                <w:color w:val="auto"/>
              </w:rPr>
              <w:t>0.1</w:t>
            </w:r>
          </w:p>
        </w:tc>
        <w:tc>
          <w:tcPr>
            <w:cnfStyle w:val="000100000000" w:firstRow="0" w:lastRow="0" w:firstColumn="0" w:lastColumn="1" w:oddVBand="0" w:evenVBand="0" w:oddHBand="0" w:evenHBand="0" w:firstRowFirstColumn="0" w:firstRowLastColumn="0" w:lastRowFirstColumn="0" w:lastRowLastColumn="0"/>
            <w:tcW w:w="1721" w:type="dxa"/>
            <w:vAlign w:val="center"/>
          </w:tcPr>
          <w:p w14:paraId="1ADEB819" w14:textId="77777777" w:rsidR="00574167" w:rsidRPr="00367EBB" w:rsidRDefault="00574167" w:rsidP="00574167">
            <w:pPr>
              <w:jc w:val="center"/>
              <w:rPr>
                <w:color w:val="auto"/>
              </w:rPr>
            </w:pPr>
            <w:r w:rsidRPr="00367EBB">
              <w:rPr>
                <w:color w:val="auto"/>
              </w:rPr>
              <w:t>47.7</w:t>
            </w:r>
          </w:p>
        </w:tc>
      </w:tr>
      <w:tr w:rsidR="00574167" w14:paraId="66E0D1A6" w14:textId="77777777" w:rsidTr="00574167">
        <w:trPr>
          <w:trHeight w:val="348"/>
        </w:trPr>
        <w:tc>
          <w:tcPr>
            <w:cnfStyle w:val="001000000000" w:firstRow="0" w:lastRow="0" w:firstColumn="1" w:lastColumn="0" w:oddVBand="0" w:evenVBand="0" w:oddHBand="0" w:evenHBand="0" w:firstRowFirstColumn="0" w:firstRowLastColumn="0" w:lastRowFirstColumn="0" w:lastRowLastColumn="0"/>
            <w:tcW w:w="1721" w:type="dxa"/>
            <w:vAlign w:val="center"/>
          </w:tcPr>
          <w:p w14:paraId="33F41120" w14:textId="77777777" w:rsidR="00574167" w:rsidRPr="00187EF6" w:rsidRDefault="00574167" w:rsidP="00574167">
            <w:pPr>
              <w:jc w:val="center"/>
              <w:rPr>
                <w:color w:val="auto"/>
              </w:rPr>
            </w:pPr>
            <w:r w:rsidRPr="00187EF6">
              <w:rPr>
                <w:color w:val="auto"/>
              </w:rPr>
              <w:t>2016-17</w:t>
            </w:r>
          </w:p>
        </w:tc>
        <w:tc>
          <w:tcPr>
            <w:tcW w:w="1720" w:type="dxa"/>
            <w:vAlign w:val="center"/>
          </w:tcPr>
          <w:p w14:paraId="3541C73A" w14:textId="0C8AD239" w:rsidR="00574167" w:rsidRPr="00367EBB" w:rsidRDefault="0063587C" w:rsidP="00574167">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66.9</w:t>
            </w:r>
          </w:p>
        </w:tc>
        <w:tc>
          <w:tcPr>
            <w:tcW w:w="1721" w:type="dxa"/>
          </w:tcPr>
          <w:p w14:paraId="7DC02D70" w14:textId="4ED5FB2E" w:rsidR="00574167" w:rsidRPr="00367EBB" w:rsidRDefault="0063587C" w:rsidP="00574167">
            <w:pPr>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6.1</w:t>
            </w:r>
          </w:p>
        </w:tc>
        <w:tc>
          <w:tcPr>
            <w:tcW w:w="1720" w:type="dxa"/>
            <w:vAlign w:val="center"/>
          </w:tcPr>
          <w:p w14:paraId="3784C44D" w14:textId="002099FD" w:rsidR="00574167" w:rsidRPr="00367EBB" w:rsidRDefault="00574167" w:rsidP="00574167">
            <w:pPr>
              <w:jc w:val="center"/>
              <w:cnfStyle w:val="000000000000" w:firstRow="0" w:lastRow="0" w:firstColumn="0" w:lastColumn="0" w:oddVBand="0" w:evenVBand="0" w:oddHBand="0" w:evenHBand="0" w:firstRowFirstColumn="0" w:firstRowLastColumn="0" w:lastRowFirstColumn="0" w:lastRowLastColumn="0"/>
              <w:rPr>
                <w:color w:val="auto"/>
              </w:rPr>
            </w:pPr>
            <w:r w:rsidRPr="00367EBB">
              <w:rPr>
                <w:color w:val="auto"/>
              </w:rPr>
              <w:t>5.9</w:t>
            </w:r>
          </w:p>
        </w:tc>
        <w:tc>
          <w:tcPr>
            <w:tcW w:w="1721" w:type="dxa"/>
            <w:vAlign w:val="center"/>
          </w:tcPr>
          <w:p w14:paraId="7B6B9BB4" w14:textId="77777777" w:rsidR="00574167" w:rsidRPr="00367EBB" w:rsidRDefault="00574167" w:rsidP="00574167">
            <w:pPr>
              <w:jc w:val="center"/>
              <w:cnfStyle w:val="000000000000" w:firstRow="0" w:lastRow="0" w:firstColumn="0" w:lastColumn="0" w:oddVBand="0" w:evenVBand="0" w:oddHBand="0" w:evenHBand="0" w:firstRowFirstColumn="0" w:firstRowLastColumn="0" w:lastRowFirstColumn="0" w:lastRowLastColumn="0"/>
              <w:rPr>
                <w:color w:val="auto"/>
              </w:rPr>
            </w:pPr>
            <w:r w:rsidRPr="00367EBB">
              <w:rPr>
                <w:color w:val="auto"/>
              </w:rPr>
              <w:t>4.2</w:t>
            </w:r>
          </w:p>
        </w:tc>
        <w:tc>
          <w:tcPr>
            <w:cnfStyle w:val="000100000000" w:firstRow="0" w:lastRow="0" w:firstColumn="0" w:lastColumn="1" w:oddVBand="0" w:evenVBand="0" w:oddHBand="0" w:evenHBand="0" w:firstRowFirstColumn="0" w:firstRowLastColumn="0" w:lastRowFirstColumn="0" w:lastRowLastColumn="0"/>
            <w:tcW w:w="1721" w:type="dxa"/>
            <w:vAlign w:val="center"/>
          </w:tcPr>
          <w:p w14:paraId="6A415182" w14:textId="2F1D44FE" w:rsidR="00574167" w:rsidRPr="00367EBB" w:rsidRDefault="0063587C" w:rsidP="00574167">
            <w:pPr>
              <w:jc w:val="center"/>
              <w:rPr>
                <w:color w:val="auto"/>
              </w:rPr>
            </w:pPr>
            <w:r>
              <w:rPr>
                <w:color w:val="auto"/>
              </w:rPr>
              <w:fldChar w:fldCharType="begin"/>
            </w:r>
            <w:r>
              <w:rPr>
                <w:color w:val="auto"/>
              </w:rPr>
              <w:instrText xml:space="preserve"> =SUM(LEFT) </w:instrText>
            </w:r>
            <w:r>
              <w:rPr>
                <w:color w:val="auto"/>
              </w:rPr>
              <w:fldChar w:fldCharType="separate"/>
            </w:r>
            <w:r>
              <w:rPr>
                <w:noProof/>
                <w:color w:val="auto"/>
              </w:rPr>
              <w:t>83.1</w:t>
            </w:r>
            <w:r>
              <w:rPr>
                <w:color w:val="auto"/>
              </w:rPr>
              <w:fldChar w:fldCharType="end"/>
            </w:r>
          </w:p>
        </w:tc>
      </w:tr>
      <w:tr w:rsidR="00574167" w14:paraId="3524EC09" w14:textId="77777777" w:rsidTr="0057416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21" w:type="dxa"/>
            <w:vAlign w:val="center"/>
          </w:tcPr>
          <w:p w14:paraId="59D7BCF2" w14:textId="77777777" w:rsidR="00574167" w:rsidRPr="00187EF6" w:rsidRDefault="00574167" w:rsidP="00574167">
            <w:pPr>
              <w:jc w:val="center"/>
              <w:rPr>
                <w:color w:val="auto"/>
              </w:rPr>
            </w:pPr>
            <w:r w:rsidRPr="00187EF6">
              <w:rPr>
                <w:color w:val="auto"/>
              </w:rPr>
              <w:t>2017-18</w:t>
            </w:r>
          </w:p>
        </w:tc>
        <w:tc>
          <w:tcPr>
            <w:tcW w:w="1720" w:type="dxa"/>
            <w:vAlign w:val="center"/>
          </w:tcPr>
          <w:p w14:paraId="4478827B" w14:textId="19209B07" w:rsidR="00574167" w:rsidRPr="00367EBB" w:rsidRDefault="00574167" w:rsidP="00574167">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84.0</w:t>
            </w:r>
          </w:p>
        </w:tc>
        <w:tc>
          <w:tcPr>
            <w:tcW w:w="1721" w:type="dxa"/>
          </w:tcPr>
          <w:p w14:paraId="0FA4F536" w14:textId="3DA13D12" w:rsidR="00574167" w:rsidRPr="00367EBB" w:rsidRDefault="008D7B9A" w:rsidP="00574167">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5.6</w:t>
            </w:r>
          </w:p>
        </w:tc>
        <w:tc>
          <w:tcPr>
            <w:tcW w:w="1720" w:type="dxa"/>
            <w:vAlign w:val="center"/>
          </w:tcPr>
          <w:p w14:paraId="5E32781B" w14:textId="509C1A2C" w:rsidR="00574167" w:rsidRPr="00367EBB" w:rsidRDefault="00574167" w:rsidP="00574167">
            <w:pPr>
              <w:jc w:val="center"/>
              <w:cnfStyle w:val="000000100000" w:firstRow="0" w:lastRow="0" w:firstColumn="0" w:lastColumn="0" w:oddVBand="0" w:evenVBand="0" w:oddHBand="1" w:evenHBand="0" w:firstRowFirstColumn="0" w:firstRowLastColumn="0" w:lastRowFirstColumn="0" w:lastRowLastColumn="0"/>
              <w:rPr>
                <w:color w:val="auto"/>
              </w:rPr>
            </w:pPr>
            <w:r w:rsidRPr="00367EBB">
              <w:rPr>
                <w:color w:val="auto"/>
              </w:rPr>
              <w:t>6.2</w:t>
            </w:r>
          </w:p>
        </w:tc>
        <w:tc>
          <w:tcPr>
            <w:tcW w:w="1721" w:type="dxa"/>
            <w:vAlign w:val="center"/>
          </w:tcPr>
          <w:p w14:paraId="51369254" w14:textId="0F0CC7A2" w:rsidR="00574167" w:rsidRPr="00367EBB" w:rsidRDefault="0063587C" w:rsidP="00574167">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3.2</w:t>
            </w:r>
          </w:p>
        </w:tc>
        <w:tc>
          <w:tcPr>
            <w:cnfStyle w:val="000100000000" w:firstRow="0" w:lastRow="0" w:firstColumn="0" w:lastColumn="1" w:oddVBand="0" w:evenVBand="0" w:oddHBand="0" w:evenHBand="0" w:firstRowFirstColumn="0" w:firstRowLastColumn="0" w:lastRowFirstColumn="0" w:lastRowLastColumn="0"/>
            <w:tcW w:w="1721" w:type="dxa"/>
            <w:vAlign w:val="center"/>
          </w:tcPr>
          <w:p w14:paraId="35987749" w14:textId="52A974D3" w:rsidR="00574167" w:rsidRPr="00367EBB" w:rsidRDefault="0063587C" w:rsidP="00574167">
            <w:pPr>
              <w:jc w:val="center"/>
              <w:rPr>
                <w:color w:val="auto"/>
              </w:rPr>
            </w:pPr>
            <w:r>
              <w:rPr>
                <w:color w:val="auto"/>
              </w:rPr>
              <w:fldChar w:fldCharType="begin"/>
            </w:r>
            <w:r>
              <w:rPr>
                <w:color w:val="auto"/>
              </w:rPr>
              <w:instrText xml:space="preserve"> =SUM(LEFT) </w:instrText>
            </w:r>
            <w:r>
              <w:rPr>
                <w:color w:val="auto"/>
              </w:rPr>
              <w:fldChar w:fldCharType="separate"/>
            </w:r>
            <w:r>
              <w:rPr>
                <w:noProof/>
                <w:color w:val="auto"/>
              </w:rPr>
              <w:t>99</w:t>
            </w:r>
            <w:r>
              <w:rPr>
                <w:color w:val="auto"/>
              </w:rPr>
              <w:fldChar w:fldCharType="end"/>
            </w:r>
            <w:r w:rsidR="00E8670E">
              <w:rPr>
                <w:color w:val="auto"/>
              </w:rPr>
              <w:t>.1</w:t>
            </w:r>
          </w:p>
        </w:tc>
      </w:tr>
    </w:tbl>
    <w:p w14:paraId="74003FAF" w14:textId="77777777" w:rsidR="006A0BAC" w:rsidRPr="00A11CC5" w:rsidRDefault="006A0BAC" w:rsidP="006A0BAC">
      <w:pPr>
        <w:spacing w:after="0" w:line="240" w:lineRule="auto"/>
        <w:rPr>
          <w:rFonts w:eastAsia="Times New Roman" w:cs="Arial"/>
          <w:b/>
          <w:color w:val="auto"/>
          <w:szCs w:val="24"/>
          <w:u w:color="FFFFFF" w:themeColor="background1"/>
          <w:lang w:val="en-AU"/>
        </w:rPr>
      </w:pPr>
    </w:p>
    <w:p w14:paraId="489817D5" w14:textId="77777777" w:rsidR="006A0BAC" w:rsidRPr="00A11CC5" w:rsidRDefault="00A51F39" w:rsidP="00A23DBD">
      <w:pPr>
        <w:spacing w:before="120" w:after="120" w:line="240" w:lineRule="auto"/>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Graph</w:t>
      </w:r>
      <w:r w:rsidR="006A0BAC" w:rsidRPr="00A11CC5">
        <w:rPr>
          <w:rFonts w:eastAsia="Times New Roman" w:cs="Arial"/>
          <w:b/>
          <w:color w:val="auto"/>
          <w:szCs w:val="24"/>
          <w:u w:color="FFFFFF" w:themeColor="background1"/>
          <w:lang w:val="en-AU"/>
        </w:rPr>
        <w:t xml:space="preserve"> </w:t>
      </w:r>
      <w:r w:rsidRPr="00A11CC5">
        <w:rPr>
          <w:rFonts w:eastAsia="Times New Roman" w:cs="Arial"/>
          <w:b/>
          <w:color w:val="auto"/>
          <w:szCs w:val="24"/>
          <w:u w:color="FFFFFF" w:themeColor="background1"/>
          <w:lang w:val="en-AU"/>
        </w:rPr>
        <w:t>4</w:t>
      </w:r>
      <w:r w:rsidR="006A0BAC" w:rsidRPr="00A11CC5">
        <w:rPr>
          <w:rFonts w:eastAsia="Times New Roman" w:cs="Arial"/>
          <w:b/>
          <w:color w:val="auto"/>
          <w:szCs w:val="24"/>
          <w:u w:color="FFFFFF" w:themeColor="background1"/>
          <w:lang w:val="en-AU"/>
        </w:rPr>
        <w:t>.2</w:t>
      </w:r>
      <w:r w:rsidR="006774AA" w:rsidRPr="00A11CC5">
        <w:rPr>
          <w:rFonts w:eastAsia="Times New Roman" w:cs="Arial"/>
          <w:b/>
          <w:color w:val="auto"/>
          <w:szCs w:val="24"/>
          <w:u w:color="FFFFFF" w:themeColor="background1"/>
          <w:lang w:val="en-AU"/>
        </w:rPr>
        <w:t xml:space="preserve"> </w:t>
      </w:r>
      <w:r w:rsidRPr="00A11CC5">
        <w:rPr>
          <w:rFonts w:eastAsia="Times New Roman" w:cs="Arial"/>
          <w:b/>
          <w:color w:val="auto"/>
          <w:szCs w:val="24"/>
          <w:u w:color="FFFFFF" w:themeColor="background1"/>
          <w:lang w:val="en-AU"/>
        </w:rPr>
        <w:t>Mineral</w:t>
      </w:r>
      <w:r w:rsidR="006A0BAC" w:rsidRPr="00A11CC5">
        <w:rPr>
          <w:rFonts w:eastAsia="Times New Roman" w:cs="Arial"/>
          <w:b/>
          <w:color w:val="auto"/>
          <w:szCs w:val="24"/>
          <w:u w:color="FFFFFF" w:themeColor="background1"/>
          <w:lang w:val="en-AU"/>
        </w:rPr>
        <w:t>, extractive and petroleum</w:t>
      </w:r>
      <w:r w:rsidR="002C0E42">
        <w:rPr>
          <w:rFonts w:eastAsia="Times New Roman" w:cs="Arial"/>
          <w:b/>
          <w:color w:val="auto"/>
          <w:szCs w:val="24"/>
          <w:u w:color="FFFFFF" w:themeColor="background1"/>
          <w:lang w:val="en-AU"/>
        </w:rPr>
        <w:t xml:space="preserve"> sector</w:t>
      </w:r>
      <w:r w:rsidR="006A0BAC" w:rsidRPr="00A11CC5">
        <w:rPr>
          <w:rFonts w:eastAsia="Times New Roman" w:cs="Arial"/>
          <w:b/>
          <w:color w:val="auto"/>
          <w:szCs w:val="24"/>
          <w:u w:color="FFFFFF" w:themeColor="background1"/>
          <w:lang w:val="en-AU"/>
        </w:rPr>
        <w:t xml:space="preserve"> royalties</w:t>
      </w:r>
      <w:r w:rsidR="00AE56F4">
        <w:rPr>
          <w:rFonts w:eastAsia="Times New Roman" w:cs="Arial"/>
          <w:b/>
          <w:color w:val="auto"/>
          <w:szCs w:val="24"/>
          <w:u w:color="FFFFFF" w:themeColor="background1"/>
          <w:lang w:val="en-AU"/>
        </w:rPr>
        <w:t xml:space="preserve"> payable ($A Millions)</w:t>
      </w:r>
    </w:p>
    <w:p w14:paraId="0DD71894" w14:textId="77777777" w:rsidR="006A0BAC" w:rsidRPr="00A11CC5" w:rsidRDefault="00367EBB" w:rsidP="002774E7">
      <w:pPr>
        <w:spacing w:before="120" w:after="120" w:line="240" w:lineRule="auto"/>
        <w:jc w:val="center"/>
        <w:rPr>
          <w:rFonts w:eastAsia="Times New Roman" w:cs="Arial"/>
          <w:color w:val="auto"/>
          <w:szCs w:val="24"/>
          <w:u w:color="FFFFFF" w:themeColor="background1"/>
          <w:lang w:val="en-AU"/>
        </w:rPr>
      </w:pPr>
      <w:r>
        <w:rPr>
          <w:rFonts w:eastAsia="Times New Roman" w:cs="Arial"/>
          <w:noProof/>
          <w:color w:val="auto"/>
          <w:szCs w:val="24"/>
          <w:u w:color="FFFFFF" w:themeColor="background1"/>
          <w:lang w:val="en-AU"/>
        </w:rPr>
        <w:drawing>
          <wp:inline distT="0" distB="0" distL="0" distR="0" wp14:anchorId="1180769A" wp14:editId="2C5B726F">
            <wp:extent cx="6676845" cy="3157268"/>
            <wp:effectExtent l="0" t="0" r="0" b="508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FD6A336" w14:textId="3F12C4DC" w:rsidR="006A0BAC" w:rsidRPr="00A11CC5" w:rsidRDefault="006A0BAC" w:rsidP="002F1970">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p>
    <w:p w14:paraId="383FFFFF" w14:textId="77777777" w:rsidR="00982FB8" w:rsidRPr="00A11CC5" w:rsidRDefault="00982FB8">
      <w:pPr>
        <w:widowControl/>
        <w:suppressAutoHyphens w:val="0"/>
        <w:autoSpaceDE/>
        <w:autoSpaceDN/>
        <w:adjustRightInd/>
        <w:spacing w:before="200" w:after="200" w:line="276" w:lineRule="auto"/>
        <w:textAlignment w:val="auto"/>
        <w:rPr>
          <w:color w:val="auto"/>
          <w:lang w:val="en-AU"/>
        </w:rPr>
      </w:pPr>
      <w:r w:rsidRPr="00A11CC5">
        <w:rPr>
          <w:color w:val="auto"/>
          <w:lang w:val="en-AU"/>
        </w:rPr>
        <w:br w:type="page"/>
      </w:r>
    </w:p>
    <w:p w14:paraId="0A4CA804" w14:textId="77777777" w:rsidR="00982FB8" w:rsidRPr="00A11CC5" w:rsidRDefault="00982FB8" w:rsidP="00982FB8">
      <w:pPr>
        <w:rPr>
          <w:color w:val="auto"/>
          <w:lang w:val="en-AU"/>
        </w:rPr>
      </w:pPr>
    </w:p>
    <w:p w14:paraId="39D654C8" w14:textId="0D2531BE" w:rsidR="006A0BAC" w:rsidRPr="00A11CC5" w:rsidRDefault="006A0BAC" w:rsidP="00BB6F8A">
      <w:pPr>
        <w:pStyle w:val="Heading2"/>
        <w:rPr>
          <w:color w:val="auto"/>
          <w:lang w:val="en-AU"/>
        </w:rPr>
      </w:pPr>
      <w:bookmarkStart w:id="17" w:name="_Toc533149014"/>
      <w:r w:rsidRPr="00A11CC5">
        <w:rPr>
          <w:color w:val="auto"/>
          <w:lang w:val="en-AU"/>
        </w:rPr>
        <w:t xml:space="preserve">Rehabilitation </w:t>
      </w:r>
      <w:r w:rsidR="00FD16AC" w:rsidRPr="00A11CC5">
        <w:rPr>
          <w:color w:val="auto"/>
          <w:lang w:val="en-AU"/>
        </w:rPr>
        <w:t>b</w:t>
      </w:r>
      <w:r w:rsidRPr="00A11CC5">
        <w:rPr>
          <w:color w:val="auto"/>
          <w:lang w:val="en-AU"/>
        </w:rPr>
        <w:t>onds</w:t>
      </w:r>
      <w:bookmarkEnd w:id="17"/>
    </w:p>
    <w:p w14:paraId="6E7F4064" w14:textId="48D24B1B" w:rsidR="006A0BAC" w:rsidRPr="00B93971" w:rsidRDefault="006A0BAC" w:rsidP="00A23DBD">
      <w:pPr>
        <w:pStyle w:val="bodycopy"/>
        <w:spacing w:before="120"/>
        <w:rPr>
          <w:color w:val="auto"/>
          <w:u w:color="FFFFFF" w:themeColor="background1"/>
          <w:lang w:val="en-AU"/>
        </w:rPr>
      </w:pPr>
      <w:r w:rsidRPr="00B93971">
        <w:rPr>
          <w:color w:val="auto"/>
          <w:u w:color="FFFFFF" w:themeColor="background1"/>
          <w:lang w:val="en-AU"/>
        </w:rPr>
        <w:t xml:space="preserve">The </w:t>
      </w:r>
      <w:r w:rsidR="00B41D47" w:rsidRPr="00B93971">
        <w:rPr>
          <w:color w:val="auto"/>
          <w:u w:color="FFFFFF" w:themeColor="background1"/>
          <w:lang w:val="en-AU"/>
        </w:rPr>
        <w:t>total monetary value</w:t>
      </w:r>
      <w:r w:rsidRPr="00B93971">
        <w:rPr>
          <w:color w:val="auto"/>
          <w:u w:color="FFFFFF" w:themeColor="background1"/>
          <w:lang w:val="en-AU"/>
        </w:rPr>
        <w:t xml:space="preserve"> of </w:t>
      </w:r>
      <w:r w:rsidR="00B41D47" w:rsidRPr="00B93971">
        <w:rPr>
          <w:color w:val="auto"/>
          <w:u w:color="FFFFFF" w:themeColor="background1"/>
          <w:lang w:val="en-AU"/>
        </w:rPr>
        <w:t xml:space="preserve">the </w:t>
      </w:r>
      <w:r w:rsidRPr="00B93971">
        <w:rPr>
          <w:color w:val="auto"/>
          <w:u w:color="FFFFFF" w:themeColor="background1"/>
          <w:lang w:val="en-AU"/>
        </w:rPr>
        <w:t xml:space="preserve">rehabilitation bonds held by </w:t>
      </w:r>
      <w:r w:rsidR="00B41D47" w:rsidRPr="00B93971">
        <w:rPr>
          <w:color w:val="auto"/>
          <w:u w:color="FFFFFF" w:themeColor="background1"/>
          <w:lang w:val="en-AU"/>
        </w:rPr>
        <w:t>Earth Resources Regulation</w:t>
      </w:r>
      <w:r w:rsidRPr="00B93971">
        <w:rPr>
          <w:color w:val="auto"/>
          <w:u w:color="FFFFFF" w:themeColor="background1"/>
          <w:lang w:val="en-AU"/>
        </w:rPr>
        <w:t xml:space="preserve"> in </w:t>
      </w:r>
      <w:r w:rsidR="004A199E" w:rsidRPr="00B93971">
        <w:rPr>
          <w:color w:val="auto"/>
          <w:u w:color="FFFFFF" w:themeColor="background1"/>
          <w:lang w:val="en-AU"/>
        </w:rPr>
        <w:t>2017-18</w:t>
      </w:r>
      <w:r w:rsidRPr="00B93971">
        <w:rPr>
          <w:color w:val="auto"/>
          <w:u w:color="FFFFFF" w:themeColor="background1"/>
          <w:lang w:val="en-AU"/>
        </w:rPr>
        <w:t xml:space="preserve"> was $</w:t>
      </w:r>
      <w:r w:rsidR="00354BCB" w:rsidRPr="00B93971">
        <w:rPr>
          <w:color w:val="auto"/>
          <w:u w:color="FFFFFF" w:themeColor="background1"/>
          <w:lang w:val="en-AU"/>
        </w:rPr>
        <w:t>812.2</w:t>
      </w:r>
      <w:r w:rsidRPr="00B93971">
        <w:rPr>
          <w:color w:val="auto"/>
          <w:u w:color="FFFFFF" w:themeColor="background1"/>
          <w:lang w:val="en-AU"/>
        </w:rPr>
        <w:t xml:space="preserve"> million</w:t>
      </w:r>
      <w:r w:rsidR="007B0307" w:rsidRPr="00B93971">
        <w:rPr>
          <w:color w:val="auto"/>
          <w:u w:color="FFFFFF" w:themeColor="background1"/>
          <w:lang w:val="en-AU"/>
        </w:rPr>
        <w:t>,</w:t>
      </w:r>
      <w:r w:rsidR="005C3537" w:rsidRPr="00B93971">
        <w:rPr>
          <w:color w:val="auto"/>
          <w:u w:color="FFFFFF" w:themeColor="background1"/>
          <w:lang w:val="en-AU"/>
        </w:rPr>
        <w:t xml:space="preserve"> </w:t>
      </w:r>
      <w:r w:rsidR="00B533F5" w:rsidRPr="00B93971">
        <w:rPr>
          <w:color w:val="auto"/>
          <w:u w:color="FFFFFF" w:themeColor="background1"/>
          <w:lang w:val="en-AU"/>
        </w:rPr>
        <w:t>an increase</w:t>
      </w:r>
      <w:r w:rsidR="004212A0" w:rsidRPr="00B93971">
        <w:rPr>
          <w:color w:val="auto"/>
          <w:u w:color="FFFFFF" w:themeColor="background1"/>
          <w:lang w:val="en-AU"/>
        </w:rPr>
        <w:t xml:space="preserve"> of </w:t>
      </w:r>
      <w:r w:rsidR="00B93971" w:rsidRPr="00B93971">
        <w:rPr>
          <w:color w:val="auto"/>
          <w:u w:color="FFFFFF" w:themeColor="background1"/>
          <w:lang w:val="en-AU"/>
        </w:rPr>
        <w:t>71.2</w:t>
      </w:r>
      <w:r w:rsidR="00970D78">
        <w:rPr>
          <w:color w:val="auto"/>
          <w:u w:color="FFFFFF" w:themeColor="background1"/>
          <w:lang w:val="en-AU"/>
        </w:rPr>
        <w:t>%</w:t>
      </w:r>
      <w:r w:rsidR="00B41D47" w:rsidRPr="00B93971">
        <w:rPr>
          <w:color w:val="auto"/>
          <w:u w:color="FFFFFF" w:themeColor="background1"/>
          <w:lang w:val="en-AU"/>
        </w:rPr>
        <w:t xml:space="preserve"> </w:t>
      </w:r>
      <w:r w:rsidR="00CD2BD8" w:rsidRPr="00B93971">
        <w:rPr>
          <w:color w:val="auto"/>
          <w:u w:color="FFFFFF" w:themeColor="background1"/>
          <w:lang w:val="en-AU"/>
        </w:rPr>
        <w:t>(</w:t>
      </w:r>
      <w:r w:rsidR="004212A0" w:rsidRPr="00B93971">
        <w:rPr>
          <w:color w:val="auto"/>
          <w:u w:color="FFFFFF" w:themeColor="background1"/>
          <w:lang w:val="en-AU"/>
        </w:rPr>
        <w:t>$</w:t>
      </w:r>
      <w:r w:rsidR="00B93971" w:rsidRPr="00B93971">
        <w:rPr>
          <w:color w:val="auto"/>
          <w:u w:color="FFFFFF" w:themeColor="background1"/>
          <w:lang w:val="en-AU"/>
        </w:rPr>
        <w:t>337.7</w:t>
      </w:r>
      <w:r w:rsidR="005C3537" w:rsidRPr="00B93971">
        <w:rPr>
          <w:color w:val="auto"/>
          <w:u w:color="FFFFFF" w:themeColor="background1"/>
          <w:lang w:val="en-AU"/>
        </w:rPr>
        <w:t xml:space="preserve"> million</w:t>
      </w:r>
      <w:r w:rsidR="00CD2BD8" w:rsidRPr="00B93971">
        <w:rPr>
          <w:color w:val="auto"/>
          <w:u w:color="FFFFFF" w:themeColor="background1"/>
          <w:lang w:val="en-AU"/>
        </w:rPr>
        <w:t>) year on year</w:t>
      </w:r>
      <w:r w:rsidR="00B41D47" w:rsidRPr="00B93971">
        <w:rPr>
          <w:color w:val="auto"/>
          <w:u w:color="FFFFFF" w:themeColor="background1"/>
          <w:lang w:val="en-AU"/>
        </w:rPr>
        <w:t>.</w:t>
      </w:r>
      <w:r w:rsidR="001854C6">
        <w:rPr>
          <w:color w:val="auto"/>
          <w:u w:color="FFFFFF" w:themeColor="background1"/>
          <w:lang w:val="en-AU"/>
        </w:rPr>
        <w:t xml:space="preserve"> The increase in rehabilitation bonds held in 2017-18 was ma</w:t>
      </w:r>
      <w:r w:rsidR="005F78BC">
        <w:rPr>
          <w:color w:val="auto"/>
          <w:u w:color="FFFFFF" w:themeColor="background1"/>
          <w:lang w:val="en-AU"/>
        </w:rPr>
        <w:t>inly due to a substantial revision</w:t>
      </w:r>
      <w:r w:rsidR="001854C6">
        <w:rPr>
          <w:color w:val="auto"/>
          <w:u w:color="FFFFFF" w:themeColor="background1"/>
          <w:lang w:val="en-AU"/>
        </w:rPr>
        <w:t xml:space="preserve"> of the Latrobe Valley coal mine bonds.</w:t>
      </w:r>
    </w:p>
    <w:p w14:paraId="22D61DF6" w14:textId="3B5C378A" w:rsidR="006A0BAC" w:rsidRPr="00A11CC5" w:rsidRDefault="006A0BAC" w:rsidP="00A23DBD">
      <w:pPr>
        <w:spacing w:before="120" w:after="120"/>
        <w:rPr>
          <w:rFonts w:cs="Arial"/>
          <w:b/>
          <w:color w:val="auto"/>
          <w:u w:color="FFFFFF" w:themeColor="background1"/>
          <w:lang w:val="en-AU"/>
        </w:rPr>
      </w:pPr>
      <w:r w:rsidRPr="00A11CC5">
        <w:rPr>
          <w:rFonts w:cs="Arial"/>
          <w:b/>
          <w:color w:val="auto"/>
          <w:u w:color="FFFFFF" w:themeColor="background1"/>
          <w:lang w:val="en-AU"/>
        </w:rPr>
        <w:t xml:space="preserve">Table </w:t>
      </w:r>
      <w:r w:rsidR="00A51F39" w:rsidRPr="00A11CC5">
        <w:rPr>
          <w:rFonts w:cs="Arial"/>
          <w:b/>
          <w:color w:val="auto"/>
          <w:u w:color="FFFFFF" w:themeColor="background1"/>
          <w:lang w:val="en-AU"/>
        </w:rPr>
        <w:t>4</w:t>
      </w:r>
      <w:r w:rsidRPr="00A11CC5">
        <w:rPr>
          <w:rFonts w:cs="Arial"/>
          <w:b/>
          <w:color w:val="auto"/>
          <w:u w:color="FFFFFF" w:themeColor="background1"/>
          <w:lang w:val="en-AU"/>
        </w:rPr>
        <w:t>.3 Value of rehabilitation bonds by authority type ($A million)</w:t>
      </w:r>
    </w:p>
    <w:tbl>
      <w:tblPr>
        <w:tblStyle w:val="GridTable4-Accent1"/>
        <w:tblW w:w="4903" w:type="pct"/>
        <w:tblLayout w:type="fixed"/>
        <w:tblLook w:val="04A0" w:firstRow="1" w:lastRow="0" w:firstColumn="1" w:lastColumn="0" w:noHBand="0" w:noVBand="1"/>
        <w:tblCaption w:val="Rehabilitation bonds value held"/>
        <w:tblDescription w:val="Value of rehabilitation bonds by authority type ($A million) and year."/>
      </w:tblPr>
      <w:tblGrid>
        <w:gridCol w:w="1203"/>
        <w:gridCol w:w="1390"/>
        <w:gridCol w:w="1546"/>
        <w:gridCol w:w="1620"/>
        <w:gridCol w:w="1438"/>
        <w:gridCol w:w="1499"/>
        <w:gridCol w:w="1179"/>
      </w:tblGrid>
      <w:tr w:rsidR="00A11CC5" w:rsidRPr="00A11CC5" w14:paraId="1AC3DCBC" w14:textId="77777777" w:rsidTr="00E77027">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609" w:type="pct"/>
            <w:noWrap/>
            <w:vAlign w:val="center"/>
            <w:hideMark/>
          </w:tcPr>
          <w:p w14:paraId="0B4833EC" w14:textId="77777777" w:rsidR="006A0BAC" w:rsidRPr="00F608A7" w:rsidRDefault="006A0BAC" w:rsidP="00E77027">
            <w:pPr>
              <w:spacing w:before="120" w:after="120"/>
              <w:jc w:val="center"/>
              <w:rPr>
                <w:rFonts w:cs="Arial"/>
                <w:color w:val="FFFFFF" w:themeColor="background1"/>
                <w:sz w:val="16"/>
                <w:u w:color="FFFFFF" w:themeColor="background1"/>
                <w:lang w:val="en-AU"/>
              </w:rPr>
            </w:pPr>
            <w:r w:rsidRPr="00F608A7">
              <w:rPr>
                <w:rFonts w:cs="Arial"/>
                <w:color w:val="FFFFFF" w:themeColor="background1"/>
                <w:sz w:val="16"/>
                <w:u w:color="FFFFFF" w:themeColor="background1"/>
                <w:lang w:val="en-AU"/>
              </w:rPr>
              <w:t>Year</w:t>
            </w:r>
          </w:p>
        </w:tc>
        <w:tc>
          <w:tcPr>
            <w:tcW w:w="704" w:type="pct"/>
            <w:noWrap/>
            <w:vAlign w:val="center"/>
            <w:hideMark/>
          </w:tcPr>
          <w:p w14:paraId="6BFC9822" w14:textId="77777777" w:rsidR="006A0BAC" w:rsidRPr="00F608A7" w:rsidRDefault="006A0BAC" w:rsidP="00E77027">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u w:color="FFFFFF" w:themeColor="background1"/>
                <w:lang w:val="en-AU"/>
              </w:rPr>
            </w:pPr>
            <w:r w:rsidRPr="00F608A7">
              <w:rPr>
                <w:rFonts w:cs="Arial"/>
                <w:color w:val="FFFFFF" w:themeColor="background1"/>
                <w:sz w:val="16"/>
                <w:u w:color="FFFFFF" w:themeColor="background1"/>
                <w:lang w:val="en-AU"/>
              </w:rPr>
              <w:t>Exploration Licence</w:t>
            </w:r>
          </w:p>
        </w:tc>
        <w:tc>
          <w:tcPr>
            <w:tcW w:w="783" w:type="pct"/>
            <w:noWrap/>
            <w:vAlign w:val="center"/>
            <w:hideMark/>
          </w:tcPr>
          <w:p w14:paraId="5465416B" w14:textId="77777777" w:rsidR="006A0BAC" w:rsidRPr="00F608A7" w:rsidRDefault="006A0BAC" w:rsidP="00E77027">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u w:color="FFFFFF" w:themeColor="background1"/>
                <w:lang w:val="en-AU"/>
              </w:rPr>
            </w:pPr>
            <w:r w:rsidRPr="00F608A7">
              <w:rPr>
                <w:rFonts w:cs="Arial"/>
                <w:color w:val="FFFFFF" w:themeColor="background1"/>
                <w:sz w:val="16"/>
                <w:u w:color="FFFFFF" w:themeColor="background1"/>
                <w:lang w:val="en-AU"/>
              </w:rPr>
              <w:t>Mining Licence</w:t>
            </w:r>
          </w:p>
        </w:tc>
        <w:tc>
          <w:tcPr>
            <w:tcW w:w="820" w:type="pct"/>
            <w:vAlign w:val="center"/>
            <w:hideMark/>
          </w:tcPr>
          <w:p w14:paraId="4B8B8375" w14:textId="77777777" w:rsidR="006A0BAC" w:rsidRPr="00F608A7" w:rsidRDefault="006A0BAC" w:rsidP="00E77027">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u w:color="FFFFFF" w:themeColor="background1"/>
                <w:lang w:val="en-AU"/>
              </w:rPr>
            </w:pPr>
            <w:r w:rsidRPr="00F608A7">
              <w:rPr>
                <w:rFonts w:cs="Arial"/>
                <w:color w:val="FFFFFF" w:themeColor="background1"/>
                <w:sz w:val="16"/>
                <w:u w:color="FFFFFF" w:themeColor="background1"/>
                <w:lang w:val="en-AU"/>
              </w:rPr>
              <w:t>Prospecting Licence</w:t>
            </w:r>
          </w:p>
        </w:tc>
        <w:tc>
          <w:tcPr>
            <w:tcW w:w="728" w:type="pct"/>
            <w:vAlign w:val="center"/>
            <w:hideMark/>
          </w:tcPr>
          <w:p w14:paraId="423EF453" w14:textId="77777777" w:rsidR="006A0BAC" w:rsidRPr="00F608A7" w:rsidRDefault="006A0BAC" w:rsidP="00E77027">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u w:color="FFFFFF" w:themeColor="background1"/>
                <w:lang w:val="en-AU"/>
              </w:rPr>
            </w:pPr>
            <w:r w:rsidRPr="00F608A7">
              <w:rPr>
                <w:rFonts w:cs="Arial"/>
                <w:color w:val="FFFFFF" w:themeColor="background1"/>
                <w:sz w:val="16"/>
                <w:u w:color="FFFFFF" w:themeColor="background1"/>
                <w:lang w:val="en-AU"/>
              </w:rPr>
              <w:t>Retention Licence</w:t>
            </w:r>
          </w:p>
        </w:tc>
        <w:tc>
          <w:tcPr>
            <w:tcW w:w="759" w:type="pct"/>
            <w:noWrap/>
            <w:vAlign w:val="center"/>
            <w:hideMark/>
          </w:tcPr>
          <w:p w14:paraId="042FDF4F" w14:textId="77777777" w:rsidR="006A0BAC" w:rsidRPr="00F608A7" w:rsidRDefault="006A0BAC" w:rsidP="00E77027">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u w:color="FFFFFF" w:themeColor="background1"/>
                <w:lang w:val="en-AU"/>
              </w:rPr>
            </w:pPr>
            <w:r w:rsidRPr="00F608A7">
              <w:rPr>
                <w:rFonts w:cs="Arial"/>
                <w:color w:val="FFFFFF" w:themeColor="background1"/>
                <w:sz w:val="16"/>
                <w:u w:color="FFFFFF" w:themeColor="background1"/>
                <w:lang w:val="en-AU"/>
              </w:rPr>
              <w:t>Work Authority</w:t>
            </w:r>
          </w:p>
        </w:tc>
        <w:tc>
          <w:tcPr>
            <w:tcW w:w="598" w:type="pct"/>
            <w:noWrap/>
            <w:vAlign w:val="center"/>
            <w:hideMark/>
          </w:tcPr>
          <w:p w14:paraId="3B96944B" w14:textId="77777777" w:rsidR="006A0BAC" w:rsidRPr="00F608A7" w:rsidRDefault="006A0BAC" w:rsidP="00E77027">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Cs w:val="0"/>
                <w:color w:val="FFFFFF" w:themeColor="background1"/>
                <w:sz w:val="16"/>
                <w:u w:color="FFFFFF" w:themeColor="background1"/>
                <w:lang w:val="en-AU"/>
              </w:rPr>
            </w:pPr>
            <w:r w:rsidRPr="00F608A7">
              <w:rPr>
                <w:rFonts w:cs="Arial"/>
                <w:bCs w:val="0"/>
                <w:color w:val="FFFFFF" w:themeColor="background1"/>
                <w:sz w:val="16"/>
                <w:u w:color="FFFFFF" w:themeColor="background1"/>
                <w:lang w:val="en-AU"/>
              </w:rPr>
              <w:t>Total</w:t>
            </w:r>
          </w:p>
        </w:tc>
      </w:tr>
      <w:tr w:rsidR="00A11CC5" w:rsidRPr="00A11CC5" w14:paraId="70B3DCCF" w14:textId="77777777" w:rsidTr="00E770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9" w:type="pct"/>
            <w:noWrap/>
            <w:vAlign w:val="center"/>
            <w:hideMark/>
          </w:tcPr>
          <w:p w14:paraId="66F7E9D1" w14:textId="77777777" w:rsidR="006A0BAC" w:rsidRPr="00A11CC5" w:rsidRDefault="00EE297A" w:rsidP="00E77027">
            <w:pPr>
              <w:spacing w:before="120" w:after="120"/>
              <w:jc w:val="center"/>
              <w:rPr>
                <w:rFonts w:cs="Arial"/>
                <w:b w:val="0"/>
                <w:color w:val="auto"/>
                <w:u w:color="FFFFFF" w:themeColor="background1"/>
                <w:lang w:val="en-AU"/>
              </w:rPr>
            </w:pPr>
            <w:r w:rsidRPr="00A11CC5">
              <w:rPr>
                <w:rFonts w:cs="Arial"/>
                <w:b w:val="0"/>
                <w:color w:val="auto"/>
                <w:u w:color="FFFFFF" w:themeColor="background1"/>
                <w:lang w:val="en-AU"/>
              </w:rPr>
              <w:t>2011-12</w:t>
            </w:r>
          </w:p>
        </w:tc>
        <w:tc>
          <w:tcPr>
            <w:tcW w:w="704" w:type="pct"/>
            <w:noWrap/>
            <w:hideMark/>
          </w:tcPr>
          <w:p w14:paraId="4FD1E8BE" w14:textId="77777777" w:rsidR="006A0BAC" w:rsidRPr="00A11CC5" w:rsidRDefault="006A0BA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2.5</w:t>
            </w:r>
          </w:p>
        </w:tc>
        <w:tc>
          <w:tcPr>
            <w:tcW w:w="783" w:type="pct"/>
            <w:noWrap/>
            <w:hideMark/>
          </w:tcPr>
          <w:p w14:paraId="42DA977E" w14:textId="77777777" w:rsidR="006A0BAC" w:rsidRPr="00A11CC5" w:rsidRDefault="006A0BA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156.9</w:t>
            </w:r>
          </w:p>
        </w:tc>
        <w:tc>
          <w:tcPr>
            <w:tcW w:w="820" w:type="pct"/>
            <w:hideMark/>
          </w:tcPr>
          <w:p w14:paraId="56F287C7" w14:textId="77777777" w:rsidR="006A0BAC" w:rsidRPr="00A11CC5" w:rsidRDefault="006A0BA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w:t>
            </w:r>
          </w:p>
        </w:tc>
        <w:tc>
          <w:tcPr>
            <w:tcW w:w="728" w:type="pct"/>
            <w:hideMark/>
          </w:tcPr>
          <w:p w14:paraId="314FB051" w14:textId="77777777" w:rsidR="006A0BAC" w:rsidRPr="00A11CC5" w:rsidRDefault="006A0BA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N/A</w:t>
            </w:r>
          </w:p>
        </w:tc>
        <w:tc>
          <w:tcPr>
            <w:tcW w:w="759" w:type="pct"/>
            <w:noWrap/>
            <w:hideMark/>
          </w:tcPr>
          <w:p w14:paraId="592BD0CA" w14:textId="77777777" w:rsidR="006A0BAC" w:rsidRPr="00A11CC5" w:rsidRDefault="006A0BA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80.9</w:t>
            </w:r>
          </w:p>
        </w:tc>
        <w:tc>
          <w:tcPr>
            <w:tcW w:w="598" w:type="pct"/>
            <w:noWrap/>
            <w:hideMark/>
          </w:tcPr>
          <w:p w14:paraId="00F5CC86" w14:textId="77777777" w:rsidR="006A0BAC" w:rsidRPr="00A11CC5" w:rsidRDefault="006A0BA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b/>
                <w:bCs/>
                <w:color w:val="auto"/>
                <w:u w:color="FFFFFF" w:themeColor="background1"/>
                <w:lang w:val="en-AU"/>
              </w:rPr>
            </w:pPr>
            <w:r w:rsidRPr="00A11CC5">
              <w:rPr>
                <w:rFonts w:cs="Arial"/>
                <w:b/>
                <w:bCs/>
                <w:color w:val="auto"/>
                <w:u w:color="FFFFFF" w:themeColor="background1"/>
                <w:lang w:val="en-AU"/>
              </w:rPr>
              <w:t>240.3</w:t>
            </w:r>
          </w:p>
        </w:tc>
      </w:tr>
      <w:tr w:rsidR="00A11CC5" w:rsidRPr="00A11CC5" w14:paraId="7882A12D" w14:textId="77777777" w:rsidTr="00E77027">
        <w:trPr>
          <w:trHeight w:val="240"/>
        </w:trPr>
        <w:tc>
          <w:tcPr>
            <w:cnfStyle w:val="001000000000" w:firstRow="0" w:lastRow="0" w:firstColumn="1" w:lastColumn="0" w:oddVBand="0" w:evenVBand="0" w:oddHBand="0" w:evenHBand="0" w:firstRowFirstColumn="0" w:firstRowLastColumn="0" w:lastRowFirstColumn="0" w:lastRowLastColumn="0"/>
            <w:tcW w:w="609" w:type="pct"/>
            <w:noWrap/>
            <w:vAlign w:val="center"/>
            <w:hideMark/>
          </w:tcPr>
          <w:p w14:paraId="3F2AF0E1" w14:textId="77777777" w:rsidR="006A0BAC" w:rsidRPr="00A11CC5" w:rsidRDefault="00EE297A" w:rsidP="00E77027">
            <w:pPr>
              <w:spacing w:before="120" w:after="120"/>
              <w:jc w:val="center"/>
              <w:rPr>
                <w:rFonts w:cs="Arial"/>
                <w:b w:val="0"/>
                <w:color w:val="auto"/>
                <w:u w:color="FFFFFF" w:themeColor="background1"/>
                <w:lang w:val="en-AU"/>
              </w:rPr>
            </w:pPr>
            <w:r w:rsidRPr="00A11CC5">
              <w:rPr>
                <w:rFonts w:cs="Arial"/>
                <w:b w:val="0"/>
                <w:color w:val="auto"/>
                <w:u w:color="FFFFFF" w:themeColor="background1"/>
                <w:lang w:val="en-AU"/>
              </w:rPr>
              <w:t>2012-13</w:t>
            </w:r>
          </w:p>
        </w:tc>
        <w:tc>
          <w:tcPr>
            <w:tcW w:w="704" w:type="pct"/>
            <w:noWrap/>
            <w:hideMark/>
          </w:tcPr>
          <w:p w14:paraId="6D67BA88" w14:textId="77777777" w:rsidR="006A0BAC" w:rsidRPr="00A11CC5" w:rsidRDefault="006A0BAC"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2.4</w:t>
            </w:r>
          </w:p>
        </w:tc>
        <w:tc>
          <w:tcPr>
            <w:tcW w:w="783" w:type="pct"/>
            <w:noWrap/>
            <w:hideMark/>
          </w:tcPr>
          <w:p w14:paraId="3F6BE898" w14:textId="77777777" w:rsidR="006A0BAC" w:rsidRPr="00A11CC5" w:rsidRDefault="006A0BAC"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158.3</w:t>
            </w:r>
          </w:p>
        </w:tc>
        <w:tc>
          <w:tcPr>
            <w:tcW w:w="820" w:type="pct"/>
            <w:hideMark/>
          </w:tcPr>
          <w:p w14:paraId="29C6EC5B" w14:textId="77777777" w:rsidR="006A0BAC" w:rsidRPr="00A11CC5" w:rsidRDefault="006A0BAC"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0.025</w:t>
            </w:r>
          </w:p>
        </w:tc>
        <w:tc>
          <w:tcPr>
            <w:tcW w:w="728" w:type="pct"/>
            <w:hideMark/>
          </w:tcPr>
          <w:p w14:paraId="4F66306E" w14:textId="77777777" w:rsidR="006A0BAC" w:rsidRPr="00A11CC5" w:rsidRDefault="006A0BAC"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N/A</w:t>
            </w:r>
          </w:p>
        </w:tc>
        <w:tc>
          <w:tcPr>
            <w:tcW w:w="759" w:type="pct"/>
            <w:noWrap/>
            <w:hideMark/>
          </w:tcPr>
          <w:p w14:paraId="1E5CCFD8" w14:textId="77777777" w:rsidR="006A0BAC" w:rsidRPr="00A11CC5" w:rsidRDefault="006A0BAC"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81.0</w:t>
            </w:r>
          </w:p>
        </w:tc>
        <w:tc>
          <w:tcPr>
            <w:tcW w:w="598" w:type="pct"/>
            <w:noWrap/>
            <w:hideMark/>
          </w:tcPr>
          <w:p w14:paraId="699E49D0" w14:textId="77777777" w:rsidR="006A0BAC" w:rsidRPr="00A11CC5" w:rsidRDefault="006A0BAC"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b/>
                <w:bCs/>
                <w:color w:val="auto"/>
                <w:u w:color="FFFFFF" w:themeColor="background1"/>
                <w:lang w:val="en-AU"/>
              </w:rPr>
            </w:pPr>
            <w:r w:rsidRPr="00A11CC5">
              <w:rPr>
                <w:rFonts w:cs="Arial"/>
                <w:b/>
                <w:bCs/>
                <w:color w:val="auto"/>
                <w:u w:color="FFFFFF" w:themeColor="background1"/>
                <w:lang w:val="en-AU"/>
              </w:rPr>
              <w:t>241.7</w:t>
            </w:r>
          </w:p>
        </w:tc>
      </w:tr>
      <w:tr w:rsidR="00A11CC5" w:rsidRPr="00A11CC5" w14:paraId="49C6D425" w14:textId="77777777" w:rsidTr="00E770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9" w:type="pct"/>
            <w:noWrap/>
            <w:vAlign w:val="center"/>
            <w:hideMark/>
          </w:tcPr>
          <w:p w14:paraId="466E3BC6" w14:textId="77777777" w:rsidR="006A0BAC" w:rsidRPr="00A11CC5" w:rsidRDefault="00EE297A" w:rsidP="00E77027">
            <w:pPr>
              <w:spacing w:before="120" w:after="120"/>
              <w:jc w:val="center"/>
              <w:rPr>
                <w:rFonts w:cs="Arial"/>
                <w:b w:val="0"/>
                <w:color w:val="auto"/>
                <w:u w:color="FFFFFF" w:themeColor="background1"/>
                <w:lang w:val="en-AU"/>
              </w:rPr>
            </w:pPr>
            <w:r w:rsidRPr="00A11CC5">
              <w:rPr>
                <w:rFonts w:cs="Arial"/>
                <w:b w:val="0"/>
                <w:color w:val="auto"/>
                <w:u w:color="FFFFFF" w:themeColor="background1"/>
                <w:lang w:val="en-AU"/>
              </w:rPr>
              <w:t>2013-14</w:t>
            </w:r>
          </w:p>
        </w:tc>
        <w:tc>
          <w:tcPr>
            <w:tcW w:w="704" w:type="pct"/>
            <w:noWrap/>
            <w:hideMark/>
          </w:tcPr>
          <w:p w14:paraId="0DF801A9" w14:textId="77777777" w:rsidR="006A0BAC" w:rsidRPr="00A11CC5" w:rsidRDefault="006A0BA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2.1</w:t>
            </w:r>
          </w:p>
        </w:tc>
        <w:tc>
          <w:tcPr>
            <w:tcW w:w="783" w:type="pct"/>
            <w:noWrap/>
            <w:hideMark/>
          </w:tcPr>
          <w:p w14:paraId="7E6464FE" w14:textId="77777777" w:rsidR="006A0BAC" w:rsidRPr="00A11CC5" w:rsidRDefault="006A0BA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183.4</w:t>
            </w:r>
          </w:p>
        </w:tc>
        <w:tc>
          <w:tcPr>
            <w:tcW w:w="820" w:type="pct"/>
            <w:hideMark/>
          </w:tcPr>
          <w:p w14:paraId="6C8351BE" w14:textId="77777777" w:rsidR="006A0BAC" w:rsidRPr="00A11CC5" w:rsidRDefault="006A0BA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0.091</w:t>
            </w:r>
          </w:p>
        </w:tc>
        <w:tc>
          <w:tcPr>
            <w:tcW w:w="728" w:type="pct"/>
            <w:hideMark/>
          </w:tcPr>
          <w:p w14:paraId="04E3CE67" w14:textId="77777777" w:rsidR="006A0BAC" w:rsidRPr="00A11CC5" w:rsidRDefault="006A0BA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0.010</w:t>
            </w:r>
          </w:p>
        </w:tc>
        <w:tc>
          <w:tcPr>
            <w:tcW w:w="759" w:type="pct"/>
            <w:noWrap/>
            <w:hideMark/>
          </w:tcPr>
          <w:p w14:paraId="3271F9F2" w14:textId="77777777" w:rsidR="006A0BAC" w:rsidRPr="00A11CC5" w:rsidRDefault="006A0BA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90.9</w:t>
            </w:r>
          </w:p>
        </w:tc>
        <w:tc>
          <w:tcPr>
            <w:tcW w:w="598" w:type="pct"/>
            <w:noWrap/>
            <w:hideMark/>
          </w:tcPr>
          <w:p w14:paraId="598E790D" w14:textId="77777777" w:rsidR="006A0BAC" w:rsidRPr="00A11CC5" w:rsidRDefault="006A0BA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b/>
                <w:bCs/>
                <w:color w:val="auto"/>
                <w:u w:color="FFFFFF" w:themeColor="background1"/>
                <w:lang w:val="en-AU"/>
              </w:rPr>
            </w:pPr>
            <w:r w:rsidRPr="00A11CC5">
              <w:rPr>
                <w:rFonts w:cs="Arial"/>
                <w:b/>
                <w:bCs/>
                <w:color w:val="auto"/>
                <w:u w:color="FFFFFF" w:themeColor="background1"/>
                <w:lang w:val="en-AU"/>
              </w:rPr>
              <w:t>276.5</w:t>
            </w:r>
          </w:p>
        </w:tc>
      </w:tr>
      <w:tr w:rsidR="00A11CC5" w:rsidRPr="00A11CC5" w14:paraId="24D0E0D5" w14:textId="77777777" w:rsidTr="00E77027">
        <w:trPr>
          <w:trHeight w:val="240"/>
        </w:trPr>
        <w:tc>
          <w:tcPr>
            <w:cnfStyle w:val="001000000000" w:firstRow="0" w:lastRow="0" w:firstColumn="1" w:lastColumn="0" w:oddVBand="0" w:evenVBand="0" w:oddHBand="0" w:evenHBand="0" w:firstRowFirstColumn="0" w:firstRowLastColumn="0" w:lastRowFirstColumn="0" w:lastRowLastColumn="0"/>
            <w:tcW w:w="609" w:type="pct"/>
            <w:noWrap/>
            <w:vAlign w:val="center"/>
          </w:tcPr>
          <w:p w14:paraId="6BC562E9" w14:textId="77777777" w:rsidR="006A0BAC" w:rsidRPr="00A11CC5" w:rsidRDefault="000F18E0" w:rsidP="00E77027">
            <w:pPr>
              <w:spacing w:before="120" w:after="120"/>
              <w:jc w:val="center"/>
              <w:rPr>
                <w:rFonts w:cs="Arial"/>
                <w:b w:val="0"/>
                <w:color w:val="auto"/>
                <w:u w:color="FFFFFF" w:themeColor="background1"/>
                <w:lang w:val="en-AU"/>
              </w:rPr>
            </w:pPr>
            <w:r w:rsidRPr="00A11CC5">
              <w:rPr>
                <w:rFonts w:cs="Arial"/>
                <w:b w:val="0"/>
                <w:color w:val="auto"/>
                <w:u w:color="FFFFFF" w:themeColor="background1"/>
                <w:lang w:val="en-AU"/>
              </w:rPr>
              <w:t>2014-15</w:t>
            </w:r>
          </w:p>
        </w:tc>
        <w:tc>
          <w:tcPr>
            <w:tcW w:w="704" w:type="pct"/>
            <w:noWrap/>
          </w:tcPr>
          <w:p w14:paraId="0E706BD3" w14:textId="77777777" w:rsidR="006A0BAC" w:rsidRPr="00A11CC5" w:rsidRDefault="006A0BAC"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1.9</w:t>
            </w:r>
          </w:p>
        </w:tc>
        <w:tc>
          <w:tcPr>
            <w:tcW w:w="783" w:type="pct"/>
            <w:noWrap/>
          </w:tcPr>
          <w:p w14:paraId="09E535C7" w14:textId="77777777" w:rsidR="006A0BAC" w:rsidRPr="00A11CC5" w:rsidRDefault="006A0BAC"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153.0</w:t>
            </w:r>
          </w:p>
        </w:tc>
        <w:tc>
          <w:tcPr>
            <w:tcW w:w="820" w:type="pct"/>
          </w:tcPr>
          <w:p w14:paraId="394CC8A5" w14:textId="77777777" w:rsidR="006A0BAC" w:rsidRPr="00A11CC5" w:rsidRDefault="006A0BAC"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0.138</w:t>
            </w:r>
          </w:p>
        </w:tc>
        <w:tc>
          <w:tcPr>
            <w:tcW w:w="728" w:type="pct"/>
          </w:tcPr>
          <w:p w14:paraId="51BA2201" w14:textId="77777777" w:rsidR="006A0BAC" w:rsidRPr="00A11CC5" w:rsidRDefault="006A0BAC"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0.050</w:t>
            </w:r>
          </w:p>
        </w:tc>
        <w:tc>
          <w:tcPr>
            <w:tcW w:w="759" w:type="pct"/>
            <w:noWrap/>
          </w:tcPr>
          <w:p w14:paraId="6CB765D0" w14:textId="77777777" w:rsidR="006A0BAC" w:rsidRPr="00A11CC5" w:rsidRDefault="006A0BAC"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85.8</w:t>
            </w:r>
          </w:p>
        </w:tc>
        <w:tc>
          <w:tcPr>
            <w:tcW w:w="598" w:type="pct"/>
            <w:noWrap/>
          </w:tcPr>
          <w:p w14:paraId="52C9DA84" w14:textId="77777777" w:rsidR="006A0BAC" w:rsidRPr="00A11CC5" w:rsidRDefault="006A0BAC"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b/>
                <w:bCs/>
                <w:color w:val="auto"/>
                <w:u w:color="FFFFFF" w:themeColor="background1"/>
                <w:lang w:val="en-AU"/>
              </w:rPr>
            </w:pPr>
            <w:r w:rsidRPr="00A11CC5">
              <w:rPr>
                <w:rFonts w:cs="Arial"/>
                <w:b/>
                <w:bCs/>
                <w:color w:val="auto"/>
                <w:u w:color="FFFFFF" w:themeColor="background1"/>
                <w:lang w:val="en-AU"/>
              </w:rPr>
              <w:t>241.0</w:t>
            </w:r>
          </w:p>
        </w:tc>
      </w:tr>
      <w:tr w:rsidR="00A11CC5" w:rsidRPr="00A11CC5" w14:paraId="5630B2D2" w14:textId="77777777" w:rsidTr="00E770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9" w:type="pct"/>
            <w:noWrap/>
            <w:vAlign w:val="center"/>
          </w:tcPr>
          <w:p w14:paraId="7C4E0DE9" w14:textId="77777777" w:rsidR="005F6A2C" w:rsidRPr="00A11CC5" w:rsidRDefault="00EE297A" w:rsidP="00E77027">
            <w:pPr>
              <w:spacing w:before="120" w:after="120"/>
              <w:jc w:val="center"/>
              <w:rPr>
                <w:rFonts w:cs="Arial"/>
                <w:b w:val="0"/>
                <w:color w:val="auto"/>
                <w:u w:color="FFFFFF" w:themeColor="background1"/>
                <w:lang w:val="en-AU"/>
              </w:rPr>
            </w:pPr>
            <w:r w:rsidRPr="00A11CC5">
              <w:rPr>
                <w:rFonts w:cs="Arial"/>
                <w:b w:val="0"/>
                <w:color w:val="auto"/>
                <w:u w:color="FFFFFF" w:themeColor="background1"/>
                <w:lang w:val="en-AU"/>
              </w:rPr>
              <w:t>2015-16</w:t>
            </w:r>
          </w:p>
        </w:tc>
        <w:tc>
          <w:tcPr>
            <w:tcW w:w="704" w:type="pct"/>
            <w:noWrap/>
          </w:tcPr>
          <w:p w14:paraId="5978AF3C" w14:textId="77777777" w:rsidR="005F6A2C" w:rsidRPr="00A11CC5" w:rsidRDefault="005F6A2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2.0</w:t>
            </w:r>
          </w:p>
        </w:tc>
        <w:tc>
          <w:tcPr>
            <w:tcW w:w="783" w:type="pct"/>
            <w:noWrap/>
          </w:tcPr>
          <w:p w14:paraId="05E779ED" w14:textId="77777777" w:rsidR="005F6A2C" w:rsidRPr="00A11CC5" w:rsidRDefault="005F6A2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239.6</w:t>
            </w:r>
          </w:p>
        </w:tc>
        <w:tc>
          <w:tcPr>
            <w:tcW w:w="820" w:type="pct"/>
          </w:tcPr>
          <w:p w14:paraId="1C3D2682" w14:textId="77777777" w:rsidR="005F6A2C" w:rsidRPr="00A11CC5" w:rsidRDefault="005F6A2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0.2</w:t>
            </w:r>
          </w:p>
        </w:tc>
        <w:tc>
          <w:tcPr>
            <w:tcW w:w="728" w:type="pct"/>
          </w:tcPr>
          <w:p w14:paraId="70FAFF8C" w14:textId="77777777" w:rsidR="005F6A2C" w:rsidRPr="00A11CC5" w:rsidRDefault="005F6A2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0.1</w:t>
            </w:r>
          </w:p>
        </w:tc>
        <w:tc>
          <w:tcPr>
            <w:tcW w:w="759" w:type="pct"/>
            <w:noWrap/>
          </w:tcPr>
          <w:p w14:paraId="682A9225" w14:textId="77777777" w:rsidR="005F6A2C" w:rsidRPr="00A11CC5" w:rsidRDefault="005F6A2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88.6</w:t>
            </w:r>
          </w:p>
        </w:tc>
        <w:tc>
          <w:tcPr>
            <w:tcW w:w="598" w:type="pct"/>
            <w:noWrap/>
          </w:tcPr>
          <w:p w14:paraId="4435920C" w14:textId="77777777" w:rsidR="005F6A2C" w:rsidRPr="00A11CC5" w:rsidRDefault="005F6A2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b/>
                <w:bCs/>
                <w:color w:val="auto"/>
                <w:u w:color="FFFFFF" w:themeColor="background1"/>
                <w:lang w:val="en-AU"/>
              </w:rPr>
            </w:pPr>
            <w:r w:rsidRPr="00A11CC5">
              <w:rPr>
                <w:rFonts w:cs="Arial"/>
                <w:b/>
                <w:bCs/>
                <w:color w:val="auto"/>
                <w:u w:color="FFFFFF" w:themeColor="background1"/>
                <w:lang w:val="en-AU"/>
              </w:rPr>
              <w:t>330.5</w:t>
            </w:r>
          </w:p>
        </w:tc>
      </w:tr>
      <w:tr w:rsidR="00A11CC5" w:rsidRPr="00A11CC5" w14:paraId="0163DECC" w14:textId="77777777" w:rsidTr="00E77027">
        <w:trPr>
          <w:trHeight w:val="240"/>
        </w:trPr>
        <w:tc>
          <w:tcPr>
            <w:cnfStyle w:val="001000000000" w:firstRow="0" w:lastRow="0" w:firstColumn="1" w:lastColumn="0" w:oddVBand="0" w:evenVBand="0" w:oddHBand="0" w:evenHBand="0" w:firstRowFirstColumn="0" w:firstRowLastColumn="0" w:lastRowFirstColumn="0" w:lastRowLastColumn="0"/>
            <w:tcW w:w="609" w:type="pct"/>
            <w:noWrap/>
            <w:vAlign w:val="center"/>
          </w:tcPr>
          <w:p w14:paraId="254901AD" w14:textId="77777777" w:rsidR="00133317" w:rsidRPr="00A11CC5" w:rsidRDefault="00133317" w:rsidP="00E77027">
            <w:pPr>
              <w:spacing w:before="120" w:after="120"/>
              <w:jc w:val="center"/>
              <w:rPr>
                <w:rFonts w:cs="Arial"/>
                <w:b w:val="0"/>
                <w:color w:val="auto"/>
                <w:u w:color="FFFFFF" w:themeColor="background1"/>
                <w:lang w:val="en-AU"/>
              </w:rPr>
            </w:pPr>
            <w:r w:rsidRPr="00A11CC5">
              <w:rPr>
                <w:rFonts w:cs="Arial"/>
                <w:b w:val="0"/>
                <w:color w:val="auto"/>
                <w:u w:color="FFFFFF" w:themeColor="background1"/>
                <w:lang w:val="en-AU"/>
              </w:rPr>
              <w:t>2016-17</w:t>
            </w:r>
          </w:p>
        </w:tc>
        <w:tc>
          <w:tcPr>
            <w:tcW w:w="704" w:type="pct"/>
            <w:noWrap/>
          </w:tcPr>
          <w:p w14:paraId="7CD20616" w14:textId="77777777" w:rsidR="00133317" w:rsidRPr="00A11CC5" w:rsidRDefault="000C1E84"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2.0</w:t>
            </w:r>
          </w:p>
        </w:tc>
        <w:tc>
          <w:tcPr>
            <w:tcW w:w="783" w:type="pct"/>
            <w:noWrap/>
          </w:tcPr>
          <w:p w14:paraId="20407BB2" w14:textId="77777777" w:rsidR="00133317" w:rsidRPr="00A11CC5" w:rsidRDefault="000C1E84"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380.5</w:t>
            </w:r>
          </w:p>
        </w:tc>
        <w:tc>
          <w:tcPr>
            <w:tcW w:w="820" w:type="pct"/>
          </w:tcPr>
          <w:p w14:paraId="64D61F53" w14:textId="77777777" w:rsidR="00133317" w:rsidRPr="00A11CC5" w:rsidRDefault="000C1E84"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0.2</w:t>
            </w:r>
          </w:p>
        </w:tc>
        <w:tc>
          <w:tcPr>
            <w:tcW w:w="728" w:type="pct"/>
          </w:tcPr>
          <w:p w14:paraId="057C8DD2" w14:textId="77777777" w:rsidR="00133317" w:rsidRPr="00A11CC5" w:rsidRDefault="000C1E84"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0.1</w:t>
            </w:r>
          </w:p>
        </w:tc>
        <w:tc>
          <w:tcPr>
            <w:tcW w:w="759" w:type="pct"/>
            <w:noWrap/>
          </w:tcPr>
          <w:p w14:paraId="16595C87" w14:textId="77777777" w:rsidR="00133317" w:rsidRPr="00A11CC5" w:rsidRDefault="000C1E84"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9</w:t>
            </w:r>
            <w:r w:rsidR="006230AF" w:rsidRPr="00A11CC5">
              <w:rPr>
                <w:rFonts w:cs="Arial"/>
                <w:color w:val="auto"/>
                <w:u w:color="FFFFFF" w:themeColor="background1"/>
                <w:lang w:val="en-AU"/>
              </w:rPr>
              <w:t>1.7</w:t>
            </w:r>
          </w:p>
        </w:tc>
        <w:tc>
          <w:tcPr>
            <w:tcW w:w="598" w:type="pct"/>
            <w:noWrap/>
          </w:tcPr>
          <w:p w14:paraId="7D3F5319" w14:textId="77777777" w:rsidR="00133317" w:rsidRPr="00A11CC5" w:rsidRDefault="000C1E84"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cs="Arial"/>
                <w:b/>
                <w:bCs/>
                <w:color w:val="auto"/>
                <w:u w:color="FFFFFF" w:themeColor="background1"/>
                <w:lang w:val="en-AU"/>
              </w:rPr>
            </w:pPr>
            <w:r w:rsidRPr="00A11CC5">
              <w:rPr>
                <w:rFonts w:cs="Arial"/>
                <w:b/>
                <w:bCs/>
                <w:color w:val="auto"/>
                <w:u w:color="FFFFFF" w:themeColor="background1"/>
                <w:lang w:val="en-AU"/>
              </w:rPr>
              <w:t>47</w:t>
            </w:r>
            <w:r w:rsidR="00A2753E" w:rsidRPr="00A11CC5">
              <w:rPr>
                <w:rFonts w:cs="Arial"/>
                <w:b/>
                <w:bCs/>
                <w:color w:val="auto"/>
                <w:u w:color="FFFFFF" w:themeColor="background1"/>
                <w:lang w:val="en-AU"/>
              </w:rPr>
              <w:t>4.5</w:t>
            </w:r>
          </w:p>
        </w:tc>
      </w:tr>
      <w:tr w:rsidR="002C0E42" w:rsidRPr="00A11CC5" w14:paraId="52D75924" w14:textId="77777777" w:rsidTr="00E7702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09" w:type="pct"/>
            <w:noWrap/>
            <w:vAlign w:val="center"/>
          </w:tcPr>
          <w:p w14:paraId="6F66DD32" w14:textId="77777777" w:rsidR="002C0E42" w:rsidRPr="00A11CC5" w:rsidRDefault="002C0E42" w:rsidP="00E77027">
            <w:pPr>
              <w:spacing w:before="120" w:after="120"/>
              <w:jc w:val="center"/>
              <w:rPr>
                <w:rFonts w:cs="Arial"/>
                <w:b w:val="0"/>
                <w:color w:val="auto"/>
                <w:u w:color="FFFFFF" w:themeColor="background1"/>
                <w:lang w:val="en-AU"/>
              </w:rPr>
            </w:pPr>
            <w:r>
              <w:rPr>
                <w:rFonts w:cs="Arial"/>
                <w:b w:val="0"/>
                <w:color w:val="auto"/>
                <w:u w:color="FFFFFF" w:themeColor="background1"/>
                <w:lang w:val="en-AU"/>
              </w:rPr>
              <w:t>2017-18</w:t>
            </w:r>
          </w:p>
        </w:tc>
        <w:tc>
          <w:tcPr>
            <w:tcW w:w="704" w:type="pct"/>
            <w:noWrap/>
          </w:tcPr>
          <w:p w14:paraId="5840C3FF" w14:textId="77777777" w:rsidR="002C0E42" w:rsidRPr="00A11CC5" w:rsidRDefault="002C0E42"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2.0</w:t>
            </w:r>
          </w:p>
        </w:tc>
        <w:tc>
          <w:tcPr>
            <w:tcW w:w="783" w:type="pct"/>
            <w:noWrap/>
          </w:tcPr>
          <w:p w14:paraId="47ABE42E" w14:textId="77777777" w:rsidR="002C0E42" w:rsidRPr="00A11CC5" w:rsidRDefault="002C0E42"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717.7</w:t>
            </w:r>
          </w:p>
        </w:tc>
        <w:tc>
          <w:tcPr>
            <w:tcW w:w="820" w:type="pct"/>
          </w:tcPr>
          <w:p w14:paraId="285D8AAF" w14:textId="77777777" w:rsidR="002C0E42" w:rsidRPr="00A11CC5" w:rsidRDefault="002C0E42"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0.2</w:t>
            </w:r>
          </w:p>
        </w:tc>
        <w:tc>
          <w:tcPr>
            <w:tcW w:w="728" w:type="pct"/>
          </w:tcPr>
          <w:p w14:paraId="279E2A7A" w14:textId="77777777" w:rsidR="002C0E42" w:rsidRPr="00A11CC5" w:rsidRDefault="002C0E42"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0.1</w:t>
            </w:r>
          </w:p>
        </w:tc>
        <w:tc>
          <w:tcPr>
            <w:tcW w:w="759" w:type="pct"/>
            <w:noWrap/>
          </w:tcPr>
          <w:p w14:paraId="79D0480F" w14:textId="77777777" w:rsidR="002C0E42" w:rsidRPr="00A11CC5" w:rsidRDefault="002C0E42"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92.2</w:t>
            </w:r>
          </w:p>
        </w:tc>
        <w:tc>
          <w:tcPr>
            <w:tcW w:w="598" w:type="pct"/>
            <w:noWrap/>
          </w:tcPr>
          <w:p w14:paraId="46695B10" w14:textId="77777777" w:rsidR="002C0E42" w:rsidRPr="00A11CC5" w:rsidRDefault="002D6B24"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cs="Arial"/>
                <w:b/>
                <w:bCs/>
                <w:color w:val="auto"/>
                <w:u w:color="FFFFFF" w:themeColor="background1"/>
                <w:lang w:val="en-AU"/>
              </w:rPr>
            </w:pPr>
            <w:r>
              <w:rPr>
                <w:rFonts w:cs="Arial"/>
                <w:b/>
                <w:bCs/>
                <w:color w:val="auto"/>
                <w:u w:color="FFFFFF" w:themeColor="background1"/>
                <w:lang w:val="en-AU"/>
              </w:rPr>
              <w:t>812.2</w:t>
            </w:r>
          </w:p>
        </w:tc>
      </w:tr>
    </w:tbl>
    <w:p w14:paraId="2A839C3C" w14:textId="626D70B8" w:rsidR="000E1E7F" w:rsidRPr="00A11CC5" w:rsidRDefault="006A0BAC" w:rsidP="002F1970">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p>
    <w:p w14:paraId="160D81B1" w14:textId="77777777" w:rsidR="00A23DBD" w:rsidRPr="00A11CC5" w:rsidRDefault="00A23DBD">
      <w:pPr>
        <w:widowControl/>
        <w:suppressAutoHyphens w:val="0"/>
        <w:autoSpaceDE/>
        <w:autoSpaceDN/>
        <w:adjustRightInd/>
        <w:spacing w:before="200" w:after="200" w:line="276" w:lineRule="auto"/>
        <w:textAlignment w:val="auto"/>
        <w:rPr>
          <w:rFonts w:cs="Arial"/>
          <w:b/>
          <w:color w:val="auto"/>
          <w:u w:color="FFFFFF" w:themeColor="background1"/>
          <w:lang w:val="en-AU"/>
        </w:rPr>
      </w:pPr>
    </w:p>
    <w:p w14:paraId="172AA6FB" w14:textId="7A1BEC59" w:rsidR="00A30DF1" w:rsidRDefault="006A0BAC" w:rsidP="00A23DBD">
      <w:pPr>
        <w:spacing w:before="120" w:after="120"/>
        <w:rPr>
          <w:rFonts w:eastAsia="Times New Roman" w:cs="Arial"/>
          <w:b/>
          <w:color w:val="auto"/>
          <w:szCs w:val="24"/>
          <w:u w:color="FFFFFF" w:themeColor="background1"/>
          <w:lang w:val="en-AU"/>
        </w:rPr>
      </w:pPr>
      <w:r w:rsidRPr="00A11CC5">
        <w:rPr>
          <w:rFonts w:cs="Arial"/>
          <w:b/>
          <w:color w:val="auto"/>
          <w:u w:color="FFFFFF" w:themeColor="background1"/>
          <w:lang w:val="en-AU"/>
        </w:rPr>
        <w:t xml:space="preserve">Graph </w:t>
      </w:r>
      <w:r w:rsidR="00A51F39" w:rsidRPr="00A11CC5">
        <w:rPr>
          <w:rFonts w:cs="Arial"/>
          <w:b/>
          <w:color w:val="auto"/>
          <w:u w:color="FFFFFF" w:themeColor="background1"/>
          <w:lang w:val="en-AU"/>
        </w:rPr>
        <w:t>4</w:t>
      </w:r>
      <w:r w:rsidRPr="00A11CC5">
        <w:rPr>
          <w:rFonts w:cs="Arial"/>
          <w:b/>
          <w:color w:val="auto"/>
          <w:u w:color="FFFFFF" w:themeColor="background1"/>
          <w:lang w:val="en-AU"/>
        </w:rPr>
        <w:t>.3</w:t>
      </w:r>
      <w:r w:rsidR="00F21245">
        <w:rPr>
          <w:rFonts w:cs="Arial"/>
          <w:b/>
          <w:color w:val="auto"/>
          <w:u w:color="FFFFFF" w:themeColor="background1"/>
          <w:lang w:val="en-AU"/>
        </w:rPr>
        <w:t xml:space="preserve"> </w:t>
      </w:r>
      <w:r w:rsidR="006774AA" w:rsidRPr="00A11CC5">
        <w:rPr>
          <w:rFonts w:cs="Arial"/>
          <w:b/>
          <w:color w:val="auto"/>
          <w:u w:color="FFFFFF" w:themeColor="background1"/>
          <w:lang w:val="en-AU"/>
        </w:rPr>
        <w:t xml:space="preserve"> </w:t>
      </w:r>
      <w:r w:rsidRPr="00A11CC5">
        <w:rPr>
          <w:rFonts w:cs="Arial"/>
          <w:b/>
          <w:color w:val="auto"/>
          <w:u w:color="FFFFFF" w:themeColor="background1"/>
          <w:lang w:val="en-AU"/>
        </w:rPr>
        <w:t xml:space="preserve">Value of rehabilitation bonds by authority type ($A million) </w:t>
      </w:r>
      <w:r w:rsidR="002A1675" w:rsidRPr="00A11CC5">
        <w:rPr>
          <w:rFonts w:cs="Arial"/>
          <w:b/>
          <w:color w:val="auto"/>
          <w:u w:color="FFFFFF" w:themeColor="background1"/>
          <w:lang w:val="en-AU"/>
        </w:rPr>
        <w:t>2011-12</w:t>
      </w:r>
      <w:r w:rsidR="00746274" w:rsidRPr="00A11CC5">
        <w:rPr>
          <w:rFonts w:cs="Arial"/>
          <w:b/>
          <w:color w:val="auto"/>
          <w:u w:color="FFFFFF" w:themeColor="background1"/>
          <w:lang w:val="en-AU"/>
        </w:rPr>
        <w:t xml:space="preserve"> to </w:t>
      </w:r>
      <w:r w:rsidR="00EE297A" w:rsidRPr="00A11CC5">
        <w:rPr>
          <w:rFonts w:eastAsia="Times New Roman" w:cs="Arial"/>
          <w:b/>
          <w:color w:val="auto"/>
          <w:szCs w:val="24"/>
          <w:u w:color="FFFFFF" w:themeColor="background1"/>
          <w:lang w:val="en-AU"/>
        </w:rPr>
        <w:t>201</w:t>
      </w:r>
      <w:r w:rsidR="00B93971">
        <w:rPr>
          <w:rFonts w:eastAsia="Times New Roman" w:cs="Arial"/>
          <w:b/>
          <w:color w:val="auto"/>
          <w:szCs w:val="24"/>
          <w:u w:color="FFFFFF" w:themeColor="background1"/>
          <w:lang w:val="en-AU"/>
        </w:rPr>
        <w:t>7</w:t>
      </w:r>
      <w:r w:rsidR="00EE297A" w:rsidRPr="00A11CC5">
        <w:rPr>
          <w:rFonts w:eastAsia="Times New Roman" w:cs="Arial"/>
          <w:b/>
          <w:color w:val="auto"/>
          <w:szCs w:val="24"/>
          <w:u w:color="FFFFFF" w:themeColor="background1"/>
          <w:lang w:val="en-AU"/>
        </w:rPr>
        <w:t>-1</w:t>
      </w:r>
      <w:r w:rsidR="00B93971">
        <w:rPr>
          <w:rFonts w:eastAsia="Times New Roman" w:cs="Arial"/>
          <w:b/>
          <w:color w:val="auto"/>
          <w:szCs w:val="24"/>
          <w:u w:color="FFFFFF" w:themeColor="background1"/>
          <w:lang w:val="en-AU"/>
        </w:rPr>
        <w:t>8</w:t>
      </w:r>
    </w:p>
    <w:p w14:paraId="7CA4FC10" w14:textId="12E23BAB" w:rsidR="00A30DF1" w:rsidRDefault="00A30DF1" w:rsidP="00A23DBD">
      <w:pPr>
        <w:spacing w:before="120" w:after="120"/>
        <w:rPr>
          <w:rFonts w:eastAsia="Times New Roman" w:cs="Arial"/>
          <w:b/>
          <w:color w:val="auto"/>
          <w:szCs w:val="24"/>
          <w:u w:color="FFFFFF" w:themeColor="background1"/>
          <w:lang w:val="en-AU"/>
        </w:rPr>
      </w:pPr>
      <w:r>
        <w:rPr>
          <w:rFonts w:eastAsia="Times New Roman" w:cs="Arial"/>
          <w:b/>
          <w:noProof/>
          <w:color w:val="auto"/>
          <w:szCs w:val="24"/>
          <w:u w:color="FFFFFF" w:themeColor="background1"/>
          <w:lang w:val="en-AU"/>
        </w:rPr>
        <w:drawing>
          <wp:inline distT="0" distB="0" distL="0" distR="0" wp14:anchorId="0C17B809" wp14:editId="4C9E46AC">
            <wp:extent cx="6556075" cy="3648710"/>
            <wp:effectExtent l="0" t="0" r="0" b="889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0E10084" w14:textId="77777777" w:rsidR="00982FB8" w:rsidRPr="00A11CC5" w:rsidRDefault="00982FB8" w:rsidP="00982FB8">
      <w:pPr>
        <w:rPr>
          <w:color w:val="auto"/>
          <w:lang w:val="en-AU"/>
        </w:rPr>
      </w:pPr>
    </w:p>
    <w:p w14:paraId="72DD7C2D" w14:textId="77777777" w:rsidR="00982FB8" w:rsidRPr="00A11CC5" w:rsidRDefault="00982FB8">
      <w:pPr>
        <w:widowControl/>
        <w:suppressAutoHyphens w:val="0"/>
        <w:autoSpaceDE/>
        <w:autoSpaceDN/>
        <w:adjustRightInd/>
        <w:spacing w:before="200" w:after="200" w:line="276" w:lineRule="auto"/>
        <w:textAlignment w:val="auto"/>
        <w:rPr>
          <w:color w:val="auto"/>
          <w:lang w:val="en-AU"/>
        </w:rPr>
      </w:pPr>
      <w:r w:rsidRPr="00A11CC5">
        <w:rPr>
          <w:color w:val="auto"/>
          <w:lang w:val="en-AU"/>
        </w:rPr>
        <w:br w:type="page"/>
      </w:r>
    </w:p>
    <w:p w14:paraId="35F1BB57" w14:textId="77777777" w:rsidR="00982FB8" w:rsidRPr="00A11CC5" w:rsidRDefault="00982FB8" w:rsidP="00982FB8">
      <w:pPr>
        <w:rPr>
          <w:color w:val="auto"/>
          <w:lang w:val="en-AU"/>
        </w:rPr>
      </w:pPr>
    </w:p>
    <w:p w14:paraId="15ACCF27" w14:textId="77777777" w:rsidR="006A0BAC" w:rsidRPr="00A11CC5" w:rsidRDefault="006A0BAC" w:rsidP="00A23DBD">
      <w:pPr>
        <w:spacing w:before="120" w:after="120" w:line="240" w:lineRule="auto"/>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 xml:space="preserve">Table </w:t>
      </w:r>
      <w:r w:rsidR="00A51F39" w:rsidRPr="00A11CC5">
        <w:rPr>
          <w:rFonts w:eastAsia="Times New Roman" w:cs="Arial"/>
          <w:b/>
          <w:color w:val="auto"/>
          <w:szCs w:val="24"/>
          <w:u w:color="FFFFFF" w:themeColor="background1"/>
          <w:lang w:val="en-AU"/>
        </w:rPr>
        <w:t>4</w:t>
      </w:r>
      <w:r w:rsidRPr="00A11CC5">
        <w:rPr>
          <w:rFonts w:eastAsia="Times New Roman" w:cs="Arial"/>
          <w:b/>
          <w:color w:val="auto"/>
          <w:szCs w:val="24"/>
          <w:u w:color="FFFFFF" w:themeColor="background1"/>
          <w:lang w:val="en-AU"/>
        </w:rPr>
        <w:t>.4 Rehabilitation bond reviews over time</w:t>
      </w:r>
    </w:p>
    <w:tbl>
      <w:tblPr>
        <w:tblStyle w:val="GridTable4-Accent1"/>
        <w:tblW w:w="5000" w:type="pct"/>
        <w:tblLook w:val="04A0" w:firstRow="1" w:lastRow="0" w:firstColumn="1" w:lastColumn="0" w:noHBand="0" w:noVBand="1"/>
        <w:tblCaption w:val="Rehabilitation bond reviews"/>
        <w:tblDescription w:val="Bond reviews (number), results, decrease or release."/>
      </w:tblPr>
      <w:tblGrid>
        <w:gridCol w:w="1130"/>
        <w:gridCol w:w="2227"/>
        <w:gridCol w:w="1803"/>
        <w:gridCol w:w="2642"/>
        <w:gridCol w:w="2268"/>
      </w:tblGrid>
      <w:tr w:rsidR="00A11CC5" w:rsidRPr="00A11CC5" w14:paraId="55AD3557" w14:textId="77777777" w:rsidTr="00E77027">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561" w:type="pct"/>
            <w:noWrap/>
            <w:vAlign w:val="center"/>
            <w:hideMark/>
          </w:tcPr>
          <w:p w14:paraId="2193B6C7" w14:textId="77777777" w:rsidR="00B34BA7" w:rsidRPr="007B0AC1" w:rsidRDefault="00B34BA7" w:rsidP="00E77027">
            <w:pPr>
              <w:spacing w:before="120" w:after="120"/>
              <w:jc w:val="center"/>
              <w:rPr>
                <w:rFonts w:eastAsia="Times New Roman" w:cs="Arial"/>
                <w:bCs w:val="0"/>
                <w:color w:val="FFFFFF" w:themeColor="background1"/>
                <w:szCs w:val="24"/>
                <w:u w:color="FFFFFF" w:themeColor="background1"/>
                <w:lang w:val="en-AU"/>
              </w:rPr>
            </w:pPr>
            <w:r w:rsidRPr="007B0AC1">
              <w:rPr>
                <w:rFonts w:eastAsia="Times New Roman" w:cs="Arial"/>
                <w:bCs w:val="0"/>
                <w:color w:val="FFFFFF" w:themeColor="background1"/>
                <w:szCs w:val="24"/>
                <w:u w:color="FFFFFF" w:themeColor="background1"/>
                <w:lang w:val="en-AU"/>
              </w:rPr>
              <w:t>Year</w:t>
            </w:r>
          </w:p>
        </w:tc>
        <w:tc>
          <w:tcPr>
            <w:tcW w:w="1106" w:type="pct"/>
            <w:vAlign w:val="center"/>
            <w:hideMark/>
          </w:tcPr>
          <w:p w14:paraId="3AD7BF31" w14:textId="77777777" w:rsidR="00B34BA7" w:rsidRPr="007B0AC1" w:rsidRDefault="00B34BA7" w:rsidP="00E77027">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szCs w:val="24"/>
                <w:u w:color="FFFFFF" w:themeColor="background1"/>
                <w:lang w:val="en-AU"/>
              </w:rPr>
            </w:pPr>
            <w:r w:rsidRPr="007B0AC1">
              <w:rPr>
                <w:rFonts w:eastAsia="Times New Roman" w:cs="Arial"/>
                <w:bCs w:val="0"/>
                <w:color w:val="FFFFFF" w:themeColor="background1"/>
                <w:szCs w:val="24"/>
                <w:u w:color="FFFFFF" w:themeColor="background1"/>
                <w:lang w:val="en-AU"/>
              </w:rPr>
              <w:t>Number of Bonds Reviewed</w:t>
            </w:r>
          </w:p>
        </w:tc>
        <w:tc>
          <w:tcPr>
            <w:tcW w:w="895" w:type="pct"/>
            <w:noWrap/>
            <w:vAlign w:val="center"/>
            <w:hideMark/>
          </w:tcPr>
          <w:p w14:paraId="01CE9EE9" w14:textId="77777777" w:rsidR="00B34BA7" w:rsidRPr="007B0AC1" w:rsidRDefault="00B34BA7" w:rsidP="00E77027">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Cs w:val="24"/>
                <w:u w:color="FFFFFF" w:themeColor="background1"/>
                <w:lang w:val="en-AU"/>
              </w:rPr>
            </w:pPr>
            <w:r w:rsidRPr="007B0AC1">
              <w:rPr>
                <w:rFonts w:eastAsia="Times New Roman" w:cs="Arial"/>
                <w:bCs w:val="0"/>
                <w:color w:val="FFFFFF" w:themeColor="background1"/>
                <w:szCs w:val="24"/>
                <w:u w:color="FFFFFF" w:themeColor="background1"/>
                <w:lang w:val="en-AU"/>
              </w:rPr>
              <w:t xml:space="preserve">Result of Review - </w:t>
            </w:r>
            <w:r w:rsidRPr="007B0AC1">
              <w:rPr>
                <w:rFonts w:eastAsia="Times New Roman" w:cs="Arial"/>
                <w:bCs w:val="0"/>
                <w:color w:val="FFFFFF" w:themeColor="background1"/>
                <w:szCs w:val="24"/>
                <w:u w:color="FFFFFF" w:themeColor="background1"/>
                <w:lang w:val="en-AU"/>
              </w:rPr>
              <w:br/>
              <w:t>Increase</w:t>
            </w:r>
          </w:p>
        </w:tc>
        <w:tc>
          <w:tcPr>
            <w:tcW w:w="1312" w:type="pct"/>
            <w:vAlign w:val="center"/>
          </w:tcPr>
          <w:p w14:paraId="6EB2F788" w14:textId="6CC94E3B" w:rsidR="005F6A2C" w:rsidRPr="007B0AC1" w:rsidRDefault="00B34BA7" w:rsidP="00E77027">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u w:color="FFFFFF" w:themeColor="background1"/>
                <w:lang w:val="en-AU"/>
              </w:rPr>
            </w:pPr>
            <w:r w:rsidRPr="007B0AC1">
              <w:rPr>
                <w:rFonts w:eastAsia="Times New Roman" w:cs="Arial"/>
                <w:color w:val="FFFFFF" w:themeColor="background1"/>
                <w:szCs w:val="24"/>
                <w:u w:color="FFFFFF" w:themeColor="background1"/>
                <w:lang w:val="en-AU"/>
              </w:rPr>
              <w:t>Result of Review</w:t>
            </w:r>
          </w:p>
          <w:p w14:paraId="62CF00A9" w14:textId="77777777" w:rsidR="00B34BA7" w:rsidRPr="007B0AC1" w:rsidRDefault="00B34BA7" w:rsidP="00E77027">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u w:color="FFFFFF" w:themeColor="background1"/>
                <w:lang w:val="en-AU"/>
              </w:rPr>
            </w:pPr>
            <w:r w:rsidRPr="007B0AC1">
              <w:rPr>
                <w:rFonts w:eastAsia="Times New Roman" w:cs="Arial"/>
                <w:color w:val="FFFFFF" w:themeColor="background1"/>
                <w:szCs w:val="24"/>
                <w:u w:color="FFFFFF" w:themeColor="background1"/>
                <w:lang w:val="en-AU"/>
              </w:rPr>
              <w:t>No Change</w:t>
            </w:r>
          </w:p>
        </w:tc>
        <w:tc>
          <w:tcPr>
            <w:tcW w:w="1126" w:type="pct"/>
            <w:vAlign w:val="center"/>
          </w:tcPr>
          <w:p w14:paraId="3A5945A9" w14:textId="77777777" w:rsidR="005F6A2C" w:rsidRPr="007B0AC1" w:rsidRDefault="00B34BA7" w:rsidP="00E77027">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szCs w:val="24"/>
                <w:u w:color="FFFFFF" w:themeColor="background1"/>
                <w:lang w:val="en-AU"/>
              </w:rPr>
            </w:pPr>
            <w:r w:rsidRPr="007B0AC1">
              <w:rPr>
                <w:rFonts w:eastAsia="Times New Roman" w:cs="Arial"/>
                <w:bCs w:val="0"/>
                <w:color w:val="FFFFFF" w:themeColor="background1"/>
                <w:szCs w:val="24"/>
                <w:u w:color="FFFFFF" w:themeColor="background1"/>
                <w:lang w:val="en-AU"/>
              </w:rPr>
              <w:t xml:space="preserve">Result of Review </w:t>
            </w:r>
            <w:r w:rsidR="00FD16AC" w:rsidRPr="007B0AC1">
              <w:rPr>
                <w:rFonts w:eastAsia="Times New Roman" w:cs="Arial"/>
                <w:bCs w:val="0"/>
                <w:color w:val="FFFFFF" w:themeColor="background1"/>
                <w:szCs w:val="24"/>
                <w:u w:color="FFFFFF" w:themeColor="background1"/>
                <w:lang w:val="en-AU"/>
              </w:rPr>
              <w:t>-</w:t>
            </w:r>
          </w:p>
          <w:p w14:paraId="0DD23E50" w14:textId="77777777" w:rsidR="00B34BA7" w:rsidRPr="007B0AC1" w:rsidRDefault="00B34BA7" w:rsidP="00E77027">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szCs w:val="24"/>
                <w:u w:color="FFFFFF" w:themeColor="background1"/>
                <w:lang w:val="en-AU"/>
              </w:rPr>
            </w:pPr>
            <w:r w:rsidRPr="007B0AC1">
              <w:rPr>
                <w:rFonts w:eastAsia="Times New Roman" w:cs="Arial"/>
                <w:bCs w:val="0"/>
                <w:color w:val="FFFFFF" w:themeColor="background1"/>
                <w:szCs w:val="24"/>
                <w:u w:color="FFFFFF" w:themeColor="background1"/>
                <w:lang w:val="en-AU"/>
              </w:rPr>
              <w:t>Decrease</w:t>
            </w:r>
            <w:r w:rsidR="00FD4DDA" w:rsidRPr="007B0AC1">
              <w:rPr>
                <w:rFonts w:eastAsia="Times New Roman" w:cs="Arial"/>
                <w:bCs w:val="0"/>
                <w:color w:val="FFFFFF" w:themeColor="background1"/>
                <w:szCs w:val="24"/>
                <w:u w:color="FFFFFF" w:themeColor="background1"/>
                <w:lang w:val="en-AU"/>
              </w:rPr>
              <w:t xml:space="preserve"> or Release</w:t>
            </w:r>
          </w:p>
        </w:tc>
      </w:tr>
      <w:tr w:rsidR="00A11CC5" w:rsidRPr="00A11CC5" w14:paraId="54063358" w14:textId="77777777" w:rsidTr="007B0AC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61" w:type="pct"/>
            <w:noWrap/>
            <w:hideMark/>
          </w:tcPr>
          <w:p w14:paraId="70E41FDF" w14:textId="77777777" w:rsidR="001D266D" w:rsidRPr="00A11CC5" w:rsidRDefault="00EE297A" w:rsidP="00A23DBD">
            <w:pPr>
              <w:spacing w:before="120" w:after="120"/>
              <w:jc w:val="center"/>
              <w:rPr>
                <w:rFonts w:eastAsia="Times New Roman" w:cs="Arial"/>
                <w:b w:val="0"/>
                <w:color w:val="auto"/>
                <w:szCs w:val="24"/>
                <w:u w:color="FFFFFF" w:themeColor="background1"/>
                <w:lang w:val="en-AU"/>
              </w:rPr>
            </w:pPr>
            <w:r w:rsidRPr="00A11CC5">
              <w:rPr>
                <w:rFonts w:eastAsia="Times New Roman" w:cs="Arial"/>
                <w:b w:val="0"/>
                <w:color w:val="auto"/>
                <w:szCs w:val="24"/>
                <w:u w:color="FFFFFF" w:themeColor="background1"/>
                <w:lang w:val="en-AU"/>
              </w:rPr>
              <w:t>2011-12</w:t>
            </w:r>
          </w:p>
        </w:tc>
        <w:tc>
          <w:tcPr>
            <w:tcW w:w="1106" w:type="pct"/>
            <w:noWrap/>
            <w:hideMark/>
          </w:tcPr>
          <w:p w14:paraId="7AA7A2F9" w14:textId="77777777" w:rsidR="001D266D" w:rsidRPr="00A11CC5" w:rsidRDefault="001D266D"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auto"/>
                <w:szCs w:val="24"/>
                <w:u w:color="FFFFFF" w:themeColor="background1"/>
                <w:lang w:val="en-AU"/>
              </w:rPr>
            </w:pPr>
            <w:r w:rsidRPr="00A11CC5">
              <w:rPr>
                <w:rFonts w:eastAsia="Times New Roman" w:cs="Arial"/>
                <w:bCs/>
                <w:color w:val="auto"/>
                <w:szCs w:val="24"/>
                <w:u w:color="FFFFFF" w:themeColor="background1"/>
                <w:lang w:val="en-AU"/>
              </w:rPr>
              <w:t>216</w:t>
            </w:r>
          </w:p>
        </w:tc>
        <w:tc>
          <w:tcPr>
            <w:tcW w:w="895" w:type="pct"/>
            <w:noWrap/>
            <w:hideMark/>
          </w:tcPr>
          <w:p w14:paraId="0C241921" w14:textId="77777777" w:rsidR="001D266D" w:rsidRPr="00A11CC5" w:rsidRDefault="001D266D"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auto"/>
                <w:szCs w:val="24"/>
                <w:u w:color="FFFFFF" w:themeColor="background1"/>
                <w:lang w:val="en-AU"/>
              </w:rPr>
            </w:pPr>
            <w:r w:rsidRPr="00A11CC5">
              <w:rPr>
                <w:rFonts w:eastAsia="Times New Roman" w:cs="Arial"/>
                <w:bCs/>
                <w:color w:val="auto"/>
                <w:szCs w:val="24"/>
                <w:u w:color="FFFFFF" w:themeColor="background1"/>
                <w:lang w:val="en-AU"/>
              </w:rPr>
              <w:t>19</w:t>
            </w:r>
          </w:p>
        </w:tc>
        <w:tc>
          <w:tcPr>
            <w:tcW w:w="1312" w:type="pct"/>
            <w:noWrap/>
            <w:hideMark/>
          </w:tcPr>
          <w:p w14:paraId="5FE4C567" w14:textId="77777777" w:rsidR="001D266D" w:rsidRPr="00A11CC5" w:rsidRDefault="001D266D"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auto"/>
                <w:szCs w:val="24"/>
                <w:u w:color="FFFFFF" w:themeColor="background1"/>
                <w:lang w:val="en-AU"/>
              </w:rPr>
            </w:pPr>
            <w:r w:rsidRPr="00A11CC5">
              <w:rPr>
                <w:rFonts w:eastAsia="Times New Roman" w:cs="Arial"/>
                <w:bCs/>
                <w:color w:val="auto"/>
                <w:szCs w:val="24"/>
                <w:u w:color="FFFFFF" w:themeColor="background1"/>
                <w:lang w:val="en-AU"/>
              </w:rPr>
              <w:t>193</w:t>
            </w:r>
          </w:p>
        </w:tc>
        <w:tc>
          <w:tcPr>
            <w:tcW w:w="1126" w:type="pct"/>
            <w:noWrap/>
            <w:hideMark/>
          </w:tcPr>
          <w:p w14:paraId="6675E605" w14:textId="77777777" w:rsidR="001D266D" w:rsidRPr="00A11CC5" w:rsidRDefault="001D266D"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auto"/>
                <w:szCs w:val="24"/>
                <w:u w:color="FFFFFF" w:themeColor="background1"/>
                <w:lang w:val="en-AU"/>
              </w:rPr>
            </w:pPr>
            <w:r w:rsidRPr="00A11CC5">
              <w:rPr>
                <w:rFonts w:eastAsia="Times New Roman" w:cs="Arial"/>
                <w:bCs/>
                <w:color w:val="auto"/>
                <w:szCs w:val="24"/>
                <w:u w:color="FFFFFF" w:themeColor="background1"/>
                <w:lang w:val="en-AU"/>
              </w:rPr>
              <w:t>4</w:t>
            </w:r>
          </w:p>
        </w:tc>
      </w:tr>
      <w:tr w:rsidR="00A11CC5" w:rsidRPr="00A11CC5" w14:paraId="5B927FBF" w14:textId="77777777" w:rsidTr="007B0AC1">
        <w:trPr>
          <w:trHeight w:val="243"/>
        </w:trPr>
        <w:tc>
          <w:tcPr>
            <w:cnfStyle w:val="001000000000" w:firstRow="0" w:lastRow="0" w:firstColumn="1" w:lastColumn="0" w:oddVBand="0" w:evenVBand="0" w:oddHBand="0" w:evenHBand="0" w:firstRowFirstColumn="0" w:firstRowLastColumn="0" w:lastRowFirstColumn="0" w:lastRowLastColumn="0"/>
            <w:tcW w:w="561" w:type="pct"/>
            <w:noWrap/>
            <w:hideMark/>
          </w:tcPr>
          <w:p w14:paraId="0CEC9588" w14:textId="77777777" w:rsidR="001D266D" w:rsidRPr="00A11CC5" w:rsidRDefault="00EE297A" w:rsidP="00A23DBD">
            <w:pPr>
              <w:spacing w:before="120" w:after="120"/>
              <w:jc w:val="center"/>
              <w:rPr>
                <w:rFonts w:eastAsia="Times New Roman" w:cs="Arial"/>
                <w:b w:val="0"/>
                <w:color w:val="auto"/>
                <w:szCs w:val="24"/>
                <w:u w:color="FFFFFF" w:themeColor="background1"/>
                <w:lang w:val="en-AU"/>
              </w:rPr>
            </w:pPr>
            <w:r w:rsidRPr="00A11CC5">
              <w:rPr>
                <w:rFonts w:eastAsia="Times New Roman" w:cs="Arial"/>
                <w:b w:val="0"/>
                <w:color w:val="auto"/>
                <w:szCs w:val="24"/>
                <w:u w:color="FFFFFF" w:themeColor="background1"/>
                <w:lang w:val="en-AU"/>
              </w:rPr>
              <w:t>2012-13</w:t>
            </w:r>
          </w:p>
        </w:tc>
        <w:tc>
          <w:tcPr>
            <w:tcW w:w="1106" w:type="pct"/>
            <w:noWrap/>
            <w:hideMark/>
          </w:tcPr>
          <w:p w14:paraId="6B313EB9" w14:textId="77777777" w:rsidR="001D266D" w:rsidRPr="00A11CC5" w:rsidRDefault="001D266D"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auto"/>
                <w:szCs w:val="24"/>
                <w:u w:color="FFFFFF" w:themeColor="background1"/>
                <w:lang w:val="en-AU"/>
              </w:rPr>
            </w:pPr>
            <w:r w:rsidRPr="00A11CC5">
              <w:rPr>
                <w:rFonts w:eastAsia="Times New Roman" w:cs="Arial"/>
                <w:bCs/>
                <w:color w:val="auto"/>
                <w:szCs w:val="24"/>
                <w:u w:color="FFFFFF" w:themeColor="background1"/>
                <w:lang w:val="en-AU"/>
              </w:rPr>
              <w:t>258</w:t>
            </w:r>
          </w:p>
        </w:tc>
        <w:tc>
          <w:tcPr>
            <w:tcW w:w="895" w:type="pct"/>
            <w:noWrap/>
            <w:hideMark/>
          </w:tcPr>
          <w:p w14:paraId="5B402183" w14:textId="77777777" w:rsidR="001D266D" w:rsidRPr="00A11CC5" w:rsidRDefault="001D266D"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auto"/>
                <w:szCs w:val="24"/>
                <w:u w:color="FFFFFF" w:themeColor="background1"/>
                <w:lang w:val="en-AU"/>
              </w:rPr>
            </w:pPr>
            <w:r w:rsidRPr="00A11CC5">
              <w:rPr>
                <w:rFonts w:eastAsia="Times New Roman" w:cs="Arial"/>
                <w:bCs/>
                <w:color w:val="auto"/>
                <w:szCs w:val="24"/>
                <w:u w:color="FFFFFF" w:themeColor="background1"/>
                <w:lang w:val="en-AU"/>
              </w:rPr>
              <w:t>37</w:t>
            </w:r>
          </w:p>
        </w:tc>
        <w:tc>
          <w:tcPr>
            <w:tcW w:w="1312" w:type="pct"/>
            <w:noWrap/>
            <w:hideMark/>
          </w:tcPr>
          <w:p w14:paraId="4652846B" w14:textId="77777777" w:rsidR="001D266D" w:rsidRPr="00A11CC5" w:rsidRDefault="001D266D"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auto"/>
                <w:szCs w:val="24"/>
                <w:u w:color="FFFFFF" w:themeColor="background1"/>
                <w:lang w:val="en-AU"/>
              </w:rPr>
            </w:pPr>
            <w:r w:rsidRPr="00A11CC5">
              <w:rPr>
                <w:rFonts w:eastAsia="Times New Roman" w:cs="Arial"/>
                <w:bCs/>
                <w:color w:val="auto"/>
                <w:szCs w:val="24"/>
                <w:u w:color="FFFFFF" w:themeColor="background1"/>
                <w:lang w:val="en-AU"/>
              </w:rPr>
              <w:t>220</w:t>
            </w:r>
          </w:p>
        </w:tc>
        <w:tc>
          <w:tcPr>
            <w:tcW w:w="1126" w:type="pct"/>
            <w:noWrap/>
            <w:hideMark/>
          </w:tcPr>
          <w:p w14:paraId="66AED0F0" w14:textId="77777777" w:rsidR="001D266D" w:rsidRPr="00A11CC5" w:rsidRDefault="001D266D"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Arial"/>
                <w:bCs/>
                <w:color w:val="auto"/>
                <w:szCs w:val="24"/>
                <w:u w:color="FFFFFF" w:themeColor="background1"/>
                <w:lang w:val="en-AU"/>
              </w:rPr>
            </w:pPr>
            <w:r w:rsidRPr="00A11CC5">
              <w:rPr>
                <w:rFonts w:eastAsia="Times New Roman" w:cs="Arial"/>
                <w:bCs/>
                <w:color w:val="auto"/>
                <w:szCs w:val="24"/>
                <w:u w:color="FFFFFF" w:themeColor="background1"/>
                <w:lang w:val="en-AU"/>
              </w:rPr>
              <w:t>1</w:t>
            </w:r>
          </w:p>
        </w:tc>
      </w:tr>
      <w:tr w:rsidR="00A11CC5" w:rsidRPr="00A11CC5" w14:paraId="045FC50B" w14:textId="77777777" w:rsidTr="007B0AC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61" w:type="pct"/>
            <w:noWrap/>
            <w:hideMark/>
          </w:tcPr>
          <w:p w14:paraId="1E3BA632" w14:textId="77777777" w:rsidR="001D266D" w:rsidRPr="00A11CC5" w:rsidRDefault="00EE297A" w:rsidP="00A23DBD">
            <w:pPr>
              <w:spacing w:before="120" w:after="120"/>
              <w:jc w:val="center"/>
              <w:rPr>
                <w:rFonts w:eastAsia="Times New Roman" w:cs="Arial"/>
                <w:b w:val="0"/>
                <w:color w:val="auto"/>
                <w:szCs w:val="24"/>
                <w:u w:color="FFFFFF" w:themeColor="background1"/>
                <w:lang w:val="en-AU"/>
              </w:rPr>
            </w:pPr>
            <w:r w:rsidRPr="00A11CC5">
              <w:rPr>
                <w:rFonts w:eastAsia="Times New Roman" w:cs="Arial"/>
                <w:b w:val="0"/>
                <w:color w:val="auto"/>
                <w:szCs w:val="24"/>
                <w:u w:color="FFFFFF" w:themeColor="background1"/>
                <w:lang w:val="en-AU"/>
              </w:rPr>
              <w:t>2013-14</w:t>
            </w:r>
          </w:p>
        </w:tc>
        <w:tc>
          <w:tcPr>
            <w:tcW w:w="1106" w:type="pct"/>
            <w:noWrap/>
            <w:hideMark/>
          </w:tcPr>
          <w:p w14:paraId="71637D8A" w14:textId="77777777" w:rsidR="001D266D" w:rsidRPr="00A11CC5" w:rsidRDefault="001D266D"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auto"/>
                <w:szCs w:val="24"/>
                <w:u w:color="FFFFFF" w:themeColor="background1"/>
                <w:lang w:val="en-AU"/>
              </w:rPr>
            </w:pPr>
            <w:r w:rsidRPr="00A11CC5">
              <w:rPr>
                <w:rFonts w:eastAsia="Times New Roman" w:cs="Arial"/>
                <w:bCs/>
                <w:color w:val="auto"/>
                <w:szCs w:val="24"/>
                <w:u w:color="FFFFFF" w:themeColor="background1"/>
                <w:lang w:val="en-AU"/>
              </w:rPr>
              <w:t>214</w:t>
            </w:r>
          </w:p>
        </w:tc>
        <w:tc>
          <w:tcPr>
            <w:tcW w:w="895" w:type="pct"/>
            <w:noWrap/>
            <w:hideMark/>
          </w:tcPr>
          <w:p w14:paraId="10D40BE0" w14:textId="77777777" w:rsidR="001D266D" w:rsidRPr="00A11CC5" w:rsidRDefault="001D266D"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auto"/>
                <w:szCs w:val="24"/>
                <w:u w:color="FFFFFF" w:themeColor="background1"/>
                <w:lang w:val="en-AU"/>
              </w:rPr>
            </w:pPr>
            <w:r w:rsidRPr="00A11CC5">
              <w:rPr>
                <w:rFonts w:eastAsia="Times New Roman" w:cs="Arial"/>
                <w:bCs/>
                <w:color w:val="auto"/>
                <w:szCs w:val="24"/>
                <w:u w:color="FFFFFF" w:themeColor="background1"/>
                <w:lang w:val="en-AU"/>
              </w:rPr>
              <w:t>66</w:t>
            </w:r>
          </w:p>
        </w:tc>
        <w:tc>
          <w:tcPr>
            <w:tcW w:w="1312" w:type="pct"/>
            <w:noWrap/>
            <w:hideMark/>
          </w:tcPr>
          <w:p w14:paraId="31D843DA" w14:textId="77777777" w:rsidR="001D266D" w:rsidRPr="00A11CC5" w:rsidRDefault="001D266D"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auto"/>
                <w:szCs w:val="24"/>
                <w:u w:color="FFFFFF" w:themeColor="background1"/>
                <w:lang w:val="en-AU"/>
              </w:rPr>
            </w:pPr>
            <w:r w:rsidRPr="00A11CC5">
              <w:rPr>
                <w:rFonts w:eastAsia="Times New Roman" w:cs="Arial"/>
                <w:bCs/>
                <w:color w:val="auto"/>
                <w:szCs w:val="24"/>
                <w:u w:color="FFFFFF" w:themeColor="background1"/>
                <w:lang w:val="en-AU"/>
              </w:rPr>
              <w:t>139</w:t>
            </w:r>
          </w:p>
        </w:tc>
        <w:tc>
          <w:tcPr>
            <w:tcW w:w="1126" w:type="pct"/>
            <w:noWrap/>
            <w:hideMark/>
          </w:tcPr>
          <w:p w14:paraId="50AFD3DE" w14:textId="77777777" w:rsidR="001D266D" w:rsidRPr="00A11CC5" w:rsidRDefault="001D266D"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auto"/>
                <w:szCs w:val="24"/>
                <w:u w:color="FFFFFF" w:themeColor="background1"/>
                <w:lang w:val="en-AU"/>
              </w:rPr>
            </w:pPr>
            <w:r w:rsidRPr="00A11CC5">
              <w:rPr>
                <w:rFonts w:eastAsia="Times New Roman" w:cs="Arial"/>
                <w:bCs/>
                <w:color w:val="auto"/>
                <w:szCs w:val="24"/>
                <w:u w:color="FFFFFF" w:themeColor="background1"/>
                <w:lang w:val="en-AU"/>
              </w:rPr>
              <w:t>9</w:t>
            </w:r>
          </w:p>
        </w:tc>
      </w:tr>
      <w:tr w:rsidR="00A11CC5" w:rsidRPr="00A11CC5" w14:paraId="3D176087" w14:textId="77777777" w:rsidTr="007B0AC1">
        <w:trPr>
          <w:trHeight w:val="243"/>
        </w:trPr>
        <w:tc>
          <w:tcPr>
            <w:cnfStyle w:val="001000000000" w:firstRow="0" w:lastRow="0" w:firstColumn="1" w:lastColumn="0" w:oddVBand="0" w:evenVBand="0" w:oddHBand="0" w:evenHBand="0" w:firstRowFirstColumn="0" w:firstRowLastColumn="0" w:lastRowFirstColumn="0" w:lastRowLastColumn="0"/>
            <w:tcW w:w="561" w:type="pct"/>
            <w:noWrap/>
          </w:tcPr>
          <w:p w14:paraId="6916DEDB" w14:textId="77777777" w:rsidR="001D266D" w:rsidRPr="00A11CC5" w:rsidRDefault="000F18E0" w:rsidP="00A23DBD">
            <w:pPr>
              <w:spacing w:before="120" w:after="120"/>
              <w:jc w:val="center"/>
              <w:rPr>
                <w:rFonts w:eastAsia="Times New Roman" w:cs="Arial"/>
                <w:b w:val="0"/>
                <w:color w:val="auto"/>
                <w:szCs w:val="24"/>
                <w:u w:color="FFFFFF" w:themeColor="background1"/>
                <w:lang w:val="en-AU"/>
              </w:rPr>
            </w:pPr>
            <w:r w:rsidRPr="00A11CC5">
              <w:rPr>
                <w:rFonts w:eastAsia="Times New Roman" w:cs="Arial"/>
                <w:b w:val="0"/>
                <w:color w:val="auto"/>
                <w:szCs w:val="24"/>
                <w:u w:color="FFFFFF" w:themeColor="background1"/>
                <w:lang w:val="en-AU"/>
              </w:rPr>
              <w:t>2014-15</w:t>
            </w:r>
          </w:p>
        </w:tc>
        <w:tc>
          <w:tcPr>
            <w:tcW w:w="1106" w:type="pct"/>
            <w:noWrap/>
          </w:tcPr>
          <w:p w14:paraId="2D7069AD" w14:textId="77777777" w:rsidR="001D266D" w:rsidRPr="00A11CC5" w:rsidRDefault="001D266D"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u w:color="FFFFFF" w:themeColor="background1"/>
                <w:lang w:val="en-AU"/>
              </w:rPr>
            </w:pPr>
            <w:r w:rsidRPr="00A11CC5">
              <w:rPr>
                <w:rFonts w:eastAsia="Times New Roman" w:cs="Arial"/>
                <w:color w:val="auto"/>
                <w:u w:color="FFFFFF" w:themeColor="background1"/>
                <w:lang w:val="en-AU"/>
              </w:rPr>
              <w:t>106</w:t>
            </w:r>
          </w:p>
        </w:tc>
        <w:tc>
          <w:tcPr>
            <w:tcW w:w="895" w:type="pct"/>
            <w:noWrap/>
          </w:tcPr>
          <w:p w14:paraId="4C92DDD3" w14:textId="77777777" w:rsidR="001D266D" w:rsidRPr="00A11CC5" w:rsidRDefault="001D266D"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u w:color="FFFFFF" w:themeColor="background1"/>
                <w:lang w:val="en-AU"/>
              </w:rPr>
            </w:pPr>
            <w:r w:rsidRPr="00A11CC5">
              <w:rPr>
                <w:rFonts w:eastAsia="Times New Roman" w:cs="Arial"/>
                <w:color w:val="auto"/>
                <w:u w:color="FFFFFF" w:themeColor="background1"/>
                <w:lang w:val="en-AU"/>
              </w:rPr>
              <w:t>54</w:t>
            </w:r>
          </w:p>
        </w:tc>
        <w:tc>
          <w:tcPr>
            <w:tcW w:w="1312" w:type="pct"/>
            <w:noWrap/>
          </w:tcPr>
          <w:p w14:paraId="3954C889" w14:textId="77777777" w:rsidR="001D266D" w:rsidRPr="00A11CC5" w:rsidRDefault="001D266D"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u w:color="FFFFFF" w:themeColor="background1"/>
                <w:lang w:val="en-AU"/>
              </w:rPr>
            </w:pPr>
            <w:r w:rsidRPr="00A11CC5">
              <w:rPr>
                <w:rFonts w:eastAsia="Times New Roman" w:cs="Arial"/>
                <w:color w:val="auto"/>
                <w:u w:color="FFFFFF" w:themeColor="background1"/>
                <w:lang w:val="en-AU"/>
              </w:rPr>
              <w:t>10</w:t>
            </w:r>
          </w:p>
        </w:tc>
        <w:tc>
          <w:tcPr>
            <w:tcW w:w="1126" w:type="pct"/>
            <w:noWrap/>
          </w:tcPr>
          <w:p w14:paraId="049E044B" w14:textId="77777777" w:rsidR="001D266D" w:rsidRPr="00A11CC5" w:rsidRDefault="001D266D"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u w:color="FFFFFF" w:themeColor="background1"/>
                <w:lang w:val="en-AU"/>
              </w:rPr>
            </w:pPr>
            <w:r w:rsidRPr="00A11CC5">
              <w:rPr>
                <w:rFonts w:eastAsia="Times New Roman" w:cs="Arial"/>
                <w:color w:val="auto"/>
                <w:u w:color="FFFFFF" w:themeColor="background1"/>
                <w:lang w:val="en-AU"/>
              </w:rPr>
              <w:t>42</w:t>
            </w:r>
          </w:p>
        </w:tc>
      </w:tr>
      <w:tr w:rsidR="00A11CC5" w:rsidRPr="00A11CC5" w14:paraId="788525A9" w14:textId="77777777" w:rsidTr="007B0AC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61" w:type="pct"/>
            <w:noWrap/>
          </w:tcPr>
          <w:p w14:paraId="44DEE61F" w14:textId="77777777" w:rsidR="005F6A2C" w:rsidRPr="00A11CC5" w:rsidRDefault="00EE297A" w:rsidP="00A23DBD">
            <w:pPr>
              <w:spacing w:before="120" w:after="120"/>
              <w:jc w:val="center"/>
              <w:rPr>
                <w:rFonts w:eastAsia="Times New Roman" w:cs="Arial"/>
                <w:b w:val="0"/>
                <w:color w:val="auto"/>
                <w:szCs w:val="24"/>
                <w:u w:color="FFFFFF" w:themeColor="background1"/>
                <w:lang w:val="en-AU"/>
              </w:rPr>
            </w:pPr>
            <w:r w:rsidRPr="00A11CC5">
              <w:rPr>
                <w:rFonts w:eastAsia="Times New Roman" w:cs="Arial"/>
                <w:b w:val="0"/>
                <w:color w:val="auto"/>
                <w:szCs w:val="24"/>
                <w:u w:color="FFFFFF" w:themeColor="background1"/>
                <w:lang w:val="en-AU"/>
              </w:rPr>
              <w:t>2015-16</w:t>
            </w:r>
          </w:p>
        </w:tc>
        <w:tc>
          <w:tcPr>
            <w:tcW w:w="1106" w:type="pct"/>
            <w:noWrap/>
          </w:tcPr>
          <w:p w14:paraId="362F0D40" w14:textId="77777777" w:rsidR="005F6A2C" w:rsidRPr="00A11CC5" w:rsidRDefault="005F6A2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u w:color="FFFFFF" w:themeColor="background1"/>
                <w:lang w:val="en-AU"/>
              </w:rPr>
            </w:pPr>
            <w:r w:rsidRPr="00A11CC5">
              <w:rPr>
                <w:rFonts w:eastAsia="Times New Roman" w:cs="Arial"/>
                <w:color w:val="auto"/>
                <w:u w:color="FFFFFF" w:themeColor="background1"/>
                <w:lang w:val="en-AU"/>
              </w:rPr>
              <w:t>100</w:t>
            </w:r>
          </w:p>
        </w:tc>
        <w:tc>
          <w:tcPr>
            <w:tcW w:w="895" w:type="pct"/>
            <w:noWrap/>
          </w:tcPr>
          <w:p w14:paraId="461C2FDC" w14:textId="77777777" w:rsidR="005F6A2C" w:rsidRPr="00A11CC5" w:rsidRDefault="005F6A2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u w:color="FFFFFF" w:themeColor="background1"/>
                <w:lang w:val="en-AU"/>
              </w:rPr>
            </w:pPr>
            <w:r w:rsidRPr="00A11CC5">
              <w:rPr>
                <w:rFonts w:eastAsia="Times New Roman" w:cs="Arial"/>
                <w:color w:val="auto"/>
                <w:u w:color="FFFFFF" w:themeColor="background1"/>
                <w:lang w:val="en-AU"/>
              </w:rPr>
              <w:t>48</w:t>
            </w:r>
          </w:p>
        </w:tc>
        <w:tc>
          <w:tcPr>
            <w:tcW w:w="1312" w:type="pct"/>
            <w:noWrap/>
          </w:tcPr>
          <w:p w14:paraId="4264DC12" w14:textId="77777777" w:rsidR="005F6A2C" w:rsidRPr="00A11CC5" w:rsidRDefault="005F6A2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u w:color="FFFFFF" w:themeColor="background1"/>
                <w:lang w:val="en-AU"/>
              </w:rPr>
            </w:pPr>
            <w:r w:rsidRPr="00A11CC5">
              <w:rPr>
                <w:rFonts w:eastAsia="Times New Roman" w:cs="Arial"/>
                <w:color w:val="auto"/>
                <w:u w:color="FFFFFF" w:themeColor="background1"/>
                <w:lang w:val="en-AU"/>
              </w:rPr>
              <w:t>6</w:t>
            </w:r>
          </w:p>
        </w:tc>
        <w:tc>
          <w:tcPr>
            <w:tcW w:w="1126" w:type="pct"/>
            <w:noWrap/>
          </w:tcPr>
          <w:p w14:paraId="325B6D84" w14:textId="77777777" w:rsidR="005F6A2C" w:rsidRPr="00A11CC5" w:rsidRDefault="005F6A2C"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u w:color="FFFFFF" w:themeColor="background1"/>
                <w:lang w:val="en-AU"/>
              </w:rPr>
            </w:pPr>
            <w:r w:rsidRPr="00A11CC5">
              <w:rPr>
                <w:rFonts w:eastAsia="Times New Roman" w:cs="Arial"/>
                <w:color w:val="auto"/>
                <w:u w:color="FFFFFF" w:themeColor="background1"/>
                <w:lang w:val="en-AU"/>
              </w:rPr>
              <w:t>46</w:t>
            </w:r>
          </w:p>
        </w:tc>
      </w:tr>
      <w:tr w:rsidR="00A11CC5" w:rsidRPr="00A11CC5" w14:paraId="6B360A83" w14:textId="77777777" w:rsidTr="007B0AC1">
        <w:trPr>
          <w:trHeight w:val="243"/>
        </w:trPr>
        <w:tc>
          <w:tcPr>
            <w:cnfStyle w:val="001000000000" w:firstRow="0" w:lastRow="0" w:firstColumn="1" w:lastColumn="0" w:oddVBand="0" w:evenVBand="0" w:oddHBand="0" w:evenHBand="0" w:firstRowFirstColumn="0" w:firstRowLastColumn="0" w:lastRowFirstColumn="0" w:lastRowLastColumn="0"/>
            <w:tcW w:w="561" w:type="pct"/>
            <w:noWrap/>
          </w:tcPr>
          <w:p w14:paraId="2702B3E4" w14:textId="77777777" w:rsidR="00133317" w:rsidRPr="00A11CC5" w:rsidRDefault="00133317" w:rsidP="00A23DBD">
            <w:pPr>
              <w:spacing w:before="120" w:after="120"/>
              <w:jc w:val="center"/>
              <w:rPr>
                <w:rFonts w:eastAsia="Times New Roman" w:cs="Arial"/>
                <w:b w:val="0"/>
                <w:color w:val="auto"/>
                <w:szCs w:val="24"/>
                <w:u w:color="FFFFFF" w:themeColor="background1"/>
                <w:lang w:val="en-AU"/>
              </w:rPr>
            </w:pPr>
            <w:r w:rsidRPr="00A11CC5">
              <w:rPr>
                <w:rFonts w:eastAsia="Times New Roman" w:cs="Arial"/>
                <w:b w:val="0"/>
                <w:color w:val="auto"/>
                <w:szCs w:val="24"/>
                <w:u w:color="FFFFFF" w:themeColor="background1"/>
                <w:lang w:val="en-AU"/>
              </w:rPr>
              <w:t>2016-17</w:t>
            </w:r>
          </w:p>
        </w:tc>
        <w:tc>
          <w:tcPr>
            <w:tcW w:w="1106" w:type="pct"/>
            <w:noWrap/>
          </w:tcPr>
          <w:p w14:paraId="2DBBF018" w14:textId="77777777" w:rsidR="00133317" w:rsidRPr="00A11CC5" w:rsidRDefault="008F2BF9"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u w:color="FFFFFF" w:themeColor="background1"/>
                <w:lang w:val="en-AU"/>
              </w:rPr>
            </w:pPr>
            <w:r w:rsidRPr="00A11CC5">
              <w:rPr>
                <w:rFonts w:eastAsia="Times New Roman" w:cs="Arial"/>
                <w:color w:val="auto"/>
                <w:u w:color="FFFFFF" w:themeColor="background1"/>
                <w:lang w:val="en-AU"/>
              </w:rPr>
              <w:t>91</w:t>
            </w:r>
          </w:p>
        </w:tc>
        <w:tc>
          <w:tcPr>
            <w:tcW w:w="895" w:type="pct"/>
            <w:noWrap/>
          </w:tcPr>
          <w:p w14:paraId="1DF6A063" w14:textId="77777777" w:rsidR="00133317" w:rsidRPr="00A11CC5" w:rsidRDefault="008F2BF9"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u w:color="FFFFFF" w:themeColor="background1"/>
                <w:lang w:val="en-AU"/>
              </w:rPr>
            </w:pPr>
            <w:r w:rsidRPr="00A11CC5">
              <w:rPr>
                <w:rFonts w:eastAsia="Times New Roman" w:cs="Arial"/>
                <w:color w:val="auto"/>
                <w:u w:color="FFFFFF" w:themeColor="background1"/>
                <w:lang w:val="en-AU"/>
              </w:rPr>
              <w:t>46</w:t>
            </w:r>
          </w:p>
        </w:tc>
        <w:tc>
          <w:tcPr>
            <w:tcW w:w="1312" w:type="pct"/>
            <w:noWrap/>
          </w:tcPr>
          <w:p w14:paraId="1973BD60" w14:textId="77777777" w:rsidR="00133317" w:rsidRPr="00A11CC5" w:rsidRDefault="008F2BF9"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u w:color="FFFFFF" w:themeColor="background1"/>
                <w:lang w:val="en-AU"/>
              </w:rPr>
            </w:pPr>
            <w:r w:rsidRPr="00A11CC5">
              <w:rPr>
                <w:rFonts w:eastAsia="Times New Roman" w:cs="Arial"/>
                <w:color w:val="auto"/>
                <w:u w:color="FFFFFF" w:themeColor="background1"/>
                <w:lang w:val="en-AU"/>
              </w:rPr>
              <w:t>12</w:t>
            </w:r>
          </w:p>
        </w:tc>
        <w:tc>
          <w:tcPr>
            <w:tcW w:w="1126" w:type="pct"/>
            <w:noWrap/>
          </w:tcPr>
          <w:p w14:paraId="0834C353" w14:textId="77777777" w:rsidR="00133317" w:rsidRPr="00A11CC5" w:rsidRDefault="008F2BF9" w:rsidP="00A23DBD">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u w:color="FFFFFF" w:themeColor="background1"/>
                <w:lang w:val="en-AU"/>
              </w:rPr>
            </w:pPr>
            <w:r w:rsidRPr="00A11CC5">
              <w:rPr>
                <w:rFonts w:eastAsia="Times New Roman" w:cs="Arial"/>
                <w:color w:val="auto"/>
                <w:u w:color="FFFFFF" w:themeColor="background1"/>
                <w:lang w:val="en-AU"/>
              </w:rPr>
              <w:t>33</w:t>
            </w:r>
          </w:p>
        </w:tc>
      </w:tr>
      <w:tr w:rsidR="00BB4E3D" w:rsidRPr="00A11CC5" w14:paraId="7BD40165" w14:textId="77777777" w:rsidTr="007B0AC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61" w:type="pct"/>
            <w:noWrap/>
          </w:tcPr>
          <w:p w14:paraId="133E28BF" w14:textId="77777777" w:rsidR="00BB4E3D" w:rsidRPr="00A11CC5" w:rsidRDefault="00BB3CFE" w:rsidP="00A23DBD">
            <w:pPr>
              <w:spacing w:before="120" w:after="120"/>
              <w:jc w:val="center"/>
              <w:rPr>
                <w:rFonts w:eastAsia="Times New Roman" w:cs="Arial"/>
                <w:b w:val="0"/>
                <w:color w:val="auto"/>
                <w:szCs w:val="24"/>
                <w:u w:color="FFFFFF" w:themeColor="background1"/>
                <w:lang w:val="en-AU"/>
              </w:rPr>
            </w:pPr>
            <w:r>
              <w:rPr>
                <w:rFonts w:eastAsia="Times New Roman" w:cs="Arial"/>
                <w:b w:val="0"/>
                <w:color w:val="auto"/>
                <w:szCs w:val="24"/>
                <w:u w:color="FFFFFF" w:themeColor="background1"/>
                <w:lang w:val="en-AU"/>
              </w:rPr>
              <w:t>2017-18</w:t>
            </w:r>
          </w:p>
        </w:tc>
        <w:tc>
          <w:tcPr>
            <w:tcW w:w="1106" w:type="pct"/>
            <w:noWrap/>
          </w:tcPr>
          <w:p w14:paraId="52ADE341" w14:textId="77777777" w:rsidR="00BB4E3D" w:rsidRPr="00A11CC5" w:rsidRDefault="009D4B6A"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u w:color="FFFFFF" w:themeColor="background1"/>
                <w:lang w:val="en-AU"/>
              </w:rPr>
            </w:pPr>
            <w:r>
              <w:rPr>
                <w:rFonts w:eastAsia="Times New Roman" w:cs="Arial"/>
                <w:color w:val="auto"/>
                <w:u w:color="FFFFFF" w:themeColor="background1"/>
                <w:lang w:val="en-AU"/>
              </w:rPr>
              <w:t>114</w:t>
            </w:r>
          </w:p>
        </w:tc>
        <w:tc>
          <w:tcPr>
            <w:tcW w:w="895" w:type="pct"/>
            <w:noWrap/>
          </w:tcPr>
          <w:p w14:paraId="73F41378" w14:textId="77777777" w:rsidR="00BB4E3D" w:rsidRPr="00A11CC5" w:rsidRDefault="009D4B6A"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u w:color="FFFFFF" w:themeColor="background1"/>
                <w:lang w:val="en-AU"/>
              </w:rPr>
            </w:pPr>
            <w:r>
              <w:rPr>
                <w:rFonts w:eastAsia="Times New Roman" w:cs="Arial"/>
                <w:color w:val="auto"/>
                <w:u w:color="FFFFFF" w:themeColor="background1"/>
                <w:lang w:val="en-AU"/>
              </w:rPr>
              <w:t>49</w:t>
            </w:r>
          </w:p>
        </w:tc>
        <w:tc>
          <w:tcPr>
            <w:tcW w:w="1312" w:type="pct"/>
            <w:noWrap/>
          </w:tcPr>
          <w:p w14:paraId="759BE125" w14:textId="77777777" w:rsidR="00BB4E3D" w:rsidRPr="00A11CC5" w:rsidRDefault="009D4B6A"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u w:color="FFFFFF" w:themeColor="background1"/>
                <w:lang w:val="en-AU"/>
              </w:rPr>
            </w:pPr>
            <w:r>
              <w:rPr>
                <w:rFonts w:eastAsia="Times New Roman" w:cs="Arial"/>
                <w:color w:val="auto"/>
                <w:u w:color="FFFFFF" w:themeColor="background1"/>
                <w:lang w:val="en-AU"/>
              </w:rPr>
              <w:t>8</w:t>
            </w:r>
          </w:p>
        </w:tc>
        <w:tc>
          <w:tcPr>
            <w:tcW w:w="1126" w:type="pct"/>
            <w:noWrap/>
          </w:tcPr>
          <w:p w14:paraId="781940B3" w14:textId="77777777" w:rsidR="00BB4E3D" w:rsidRPr="00A11CC5" w:rsidRDefault="009D4B6A" w:rsidP="00A23DB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u w:color="FFFFFF" w:themeColor="background1"/>
                <w:lang w:val="en-AU"/>
              </w:rPr>
            </w:pPr>
            <w:r>
              <w:rPr>
                <w:rFonts w:eastAsia="Times New Roman" w:cs="Arial"/>
                <w:color w:val="auto"/>
                <w:u w:color="FFFFFF" w:themeColor="background1"/>
                <w:lang w:val="en-AU"/>
              </w:rPr>
              <w:t>57</w:t>
            </w:r>
          </w:p>
        </w:tc>
      </w:tr>
    </w:tbl>
    <w:p w14:paraId="0F466EF7" w14:textId="1FF64F28" w:rsidR="006A0BAC" w:rsidRPr="00A11CC5" w:rsidRDefault="006A0BAC" w:rsidP="002F1970">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p>
    <w:p w14:paraId="1C1BA32B" w14:textId="77777777" w:rsidR="00EB76F3" w:rsidRPr="00A11CC5" w:rsidRDefault="00EB76F3" w:rsidP="00EB76F3">
      <w:pPr>
        <w:rPr>
          <w:color w:val="auto"/>
          <w:lang w:val="en-AU"/>
        </w:rPr>
      </w:pPr>
    </w:p>
    <w:p w14:paraId="6B4F6D41" w14:textId="77777777" w:rsidR="00EB76F3" w:rsidRPr="00A11CC5" w:rsidRDefault="00EB76F3" w:rsidP="00EB76F3">
      <w:pPr>
        <w:rPr>
          <w:b/>
          <w:color w:val="auto"/>
          <w:lang w:val="en-AU"/>
        </w:rPr>
      </w:pPr>
    </w:p>
    <w:p w14:paraId="611F3F23" w14:textId="77777777" w:rsidR="009D4B6A" w:rsidRDefault="006E0C43" w:rsidP="00EB76F3">
      <w:pPr>
        <w:rPr>
          <w:b/>
          <w:color w:val="auto"/>
          <w:lang w:val="en-AU"/>
        </w:rPr>
      </w:pPr>
      <w:r w:rsidRPr="00A11CC5">
        <w:rPr>
          <w:b/>
          <w:color w:val="auto"/>
          <w:lang w:val="en-AU"/>
        </w:rPr>
        <w:t>Graph 4.4 Outcome of bond reviews over time</w:t>
      </w:r>
    </w:p>
    <w:p w14:paraId="06C60A8B" w14:textId="77777777" w:rsidR="009D4B6A" w:rsidRDefault="009D4B6A" w:rsidP="00EB76F3">
      <w:pPr>
        <w:rPr>
          <w:b/>
          <w:color w:val="auto"/>
          <w:lang w:val="en-AU"/>
        </w:rPr>
      </w:pPr>
      <w:r>
        <w:rPr>
          <w:b/>
          <w:noProof/>
          <w:color w:val="auto"/>
          <w:lang w:val="en-AU"/>
        </w:rPr>
        <w:drawing>
          <wp:inline distT="0" distB="0" distL="0" distR="0" wp14:anchorId="0101293C" wp14:editId="04CDAC2E">
            <wp:extent cx="6469811" cy="3200400"/>
            <wp:effectExtent l="0" t="0" r="762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68F2E64" w14:textId="77777777" w:rsidR="00EB76F3" w:rsidRPr="00A11CC5" w:rsidRDefault="00EB76F3" w:rsidP="00EB76F3">
      <w:pPr>
        <w:rPr>
          <w:color w:val="auto"/>
          <w:lang w:val="en-AU"/>
        </w:rPr>
      </w:pPr>
    </w:p>
    <w:p w14:paraId="6DF39F7F" w14:textId="77777777" w:rsidR="000E1E7F" w:rsidRPr="00A11CC5" w:rsidRDefault="000E1E7F" w:rsidP="00A23DBD">
      <w:pPr>
        <w:spacing w:before="120" w:after="120"/>
        <w:rPr>
          <w:rFonts w:cs="Arial"/>
          <w:b/>
          <w:bCs/>
          <w:caps/>
          <w:color w:val="auto"/>
          <w:spacing w:val="15"/>
          <w:sz w:val="22"/>
          <w:szCs w:val="22"/>
          <w:u w:color="FFFFFF" w:themeColor="background1"/>
          <w:lang w:val="en-AU"/>
        </w:rPr>
      </w:pPr>
      <w:r w:rsidRPr="00A11CC5">
        <w:rPr>
          <w:rFonts w:cs="Arial"/>
          <w:color w:val="auto"/>
          <w:u w:color="FFFFFF" w:themeColor="background1"/>
          <w:lang w:val="en-AU"/>
        </w:rPr>
        <w:br w:type="page"/>
      </w:r>
    </w:p>
    <w:p w14:paraId="363ABE01" w14:textId="1F40F2DB" w:rsidR="006A0BAC" w:rsidRPr="00A11CC5" w:rsidRDefault="006A0BAC" w:rsidP="00A23DBD">
      <w:pPr>
        <w:pStyle w:val="Heading1"/>
        <w:spacing w:before="120"/>
        <w:rPr>
          <w:rFonts w:cs="Arial"/>
          <w:color w:val="auto"/>
          <w:u w:color="FFFFFF" w:themeColor="background1"/>
          <w:lang w:val="en-AU"/>
        </w:rPr>
      </w:pPr>
      <w:bookmarkStart w:id="18" w:name="_Toc533149015"/>
      <w:r w:rsidRPr="00A11CC5">
        <w:rPr>
          <w:rFonts w:cs="Arial"/>
          <w:color w:val="auto"/>
          <w:u w:color="FFFFFF" w:themeColor="background1"/>
          <w:lang w:val="en-AU"/>
        </w:rPr>
        <w:lastRenderedPageBreak/>
        <w:t xml:space="preserve">Monitoring, </w:t>
      </w:r>
      <w:r w:rsidR="00FD16AC" w:rsidRPr="00A11CC5">
        <w:rPr>
          <w:rFonts w:cs="Arial"/>
          <w:color w:val="auto"/>
          <w:u w:color="FFFFFF" w:themeColor="background1"/>
          <w:lang w:val="en-AU"/>
        </w:rPr>
        <w:t>c</w:t>
      </w:r>
      <w:r w:rsidRPr="00A11CC5">
        <w:rPr>
          <w:rFonts w:cs="Arial"/>
          <w:color w:val="auto"/>
          <w:u w:color="FFFFFF" w:themeColor="background1"/>
          <w:lang w:val="en-AU"/>
        </w:rPr>
        <w:t xml:space="preserve">ompliance and </w:t>
      </w:r>
      <w:r w:rsidR="00FD16AC" w:rsidRPr="00A11CC5">
        <w:rPr>
          <w:rFonts w:cs="Arial"/>
          <w:color w:val="auto"/>
          <w:u w:color="FFFFFF" w:themeColor="background1"/>
          <w:lang w:val="en-AU"/>
        </w:rPr>
        <w:t>e</w:t>
      </w:r>
      <w:r w:rsidRPr="00A11CC5">
        <w:rPr>
          <w:rFonts w:cs="Arial"/>
          <w:color w:val="auto"/>
          <w:u w:color="FFFFFF" w:themeColor="background1"/>
          <w:lang w:val="en-AU"/>
        </w:rPr>
        <w:t>nforcement</w:t>
      </w:r>
      <w:bookmarkEnd w:id="18"/>
    </w:p>
    <w:p w14:paraId="0697F160" w14:textId="77777777" w:rsidR="006A0BAC" w:rsidRPr="00A11CC5" w:rsidRDefault="00B41D47" w:rsidP="00A23DBD">
      <w:pPr>
        <w:pStyle w:val="bodycopy"/>
        <w:spacing w:before="120"/>
        <w:rPr>
          <w:rFonts w:eastAsia="Times New Roman"/>
          <w:color w:val="auto"/>
          <w:u w:color="FFFFFF" w:themeColor="background1"/>
          <w:lang w:val="en-AU"/>
        </w:rPr>
      </w:pPr>
      <w:r w:rsidRPr="00A11CC5">
        <w:rPr>
          <w:rFonts w:eastAsia="Times New Roman"/>
          <w:color w:val="auto"/>
          <w:u w:color="FFFFFF" w:themeColor="background1"/>
          <w:lang w:val="en-AU"/>
        </w:rPr>
        <w:t>Earth Resources Regulation</w:t>
      </w:r>
      <w:r w:rsidR="006A0BAC" w:rsidRPr="00A11CC5">
        <w:rPr>
          <w:rFonts w:eastAsia="Times New Roman"/>
          <w:color w:val="auto"/>
          <w:u w:color="FFFFFF" w:themeColor="background1"/>
          <w:lang w:val="en-AU"/>
        </w:rPr>
        <w:t xml:space="preserve"> undertakes a compliance program to ensure that authority holders compl</w:t>
      </w:r>
      <w:r w:rsidRPr="00A11CC5">
        <w:rPr>
          <w:rFonts w:eastAsia="Times New Roman"/>
          <w:color w:val="auto"/>
          <w:u w:color="FFFFFF" w:themeColor="background1"/>
          <w:lang w:val="en-AU"/>
        </w:rPr>
        <w:t>y</w:t>
      </w:r>
      <w:r w:rsidR="006A0BAC" w:rsidRPr="00A11CC5">
        <w:rPr>
          <w:rFonts w:eastAsia="Times New Roman"/>
          <w:color w:val="auto"/>
          <w:u w:color="FFFFFF" w:themeColor="background1"/>
          <w:lang w:val="en-AU"/>
        </w:rPr>
        <w:t xml:space="preserve"> with their obligations. </w:t>
      </w:r>
      <w:r w:rsidRPr="00A11CC5">
        <w:rPr>
          <w:rFonts w:eastAsia="Times New Roman"/>
          <w:color w:val="auto"/>
          <w:u w:color="FFFFFF" w:themeColor="background1"/>
          <w:lang w:val="en-AU"/>
        </w:rPr>
        <w:t>M</w:t>
      </w:r>
      <w:r w:rsidR="006A0BAC" w:rsidRPr="00A11CC5">
        <w:rPr>
          <w:rFonts w:eastAsia="Times New Roman"/>
          <w:color w:val="auto"/>
          <w:u w:color="FFFFFF" w:themeColor="background1"/>
          <w:lang w:val="en-AU"/>
        </w:rPr>
        <w:t xml:space="preserve">onitoring, compliance and enforcement activities under the MRSDA are summarised in the table below. </w:t>
      </w:r>
    </w:p>
    <w:p w14:paraId="5300A992" w14:textId="5B8C322E" w:rsidR="00D366C7" w:rsidRDefault="007A7F9D" w:rsidP="00A23DBD">
      <w:pPr>
        <w:pStyle w:val="bodycopy"/>
        <w:spacing w:before="120"/>
        <w:rPr>
          <w:rFonts w:eastAsia="Times New Roman"/>
          <w:color w:val="auto"/>
          <w:u w:color="FFFFFF" w:themeColor="background1"/>
          <w:lang w:val="en-AU"/>
        </w:rPr>
      </w:pPr>
      <w:r>
        <w:rPr>
          <w:rFonts w:eastAsia="Times New Roman"/>
          <w:color w:val="auto"/>
          <w:u w:color="FFFFFF" w:themeColor="background1"/>
          <w:lang w:val="en-AU"/>
        </w:rPr>
        <w:t xml:space="preserve">In </w:t>
      </w:r>
      <w:r w:rsidR="00190C79">
        <w:rPr>
          <w:rFonts w:eastAsia="Times New Roman"/>
          <w:color w:val="auto"/>
          <w:u w:color="FFFFFF" w:themeColor="background1"/>
          <w:lang w:val="en-AU"/>
        </w:rPr>
        <w:t xml:space="preserve">2017-18 </w:t>
      </w:r>
      <w:r w:rsidR="00BE2E66">
        <w:rPr>
          <w:rFonts w:eastAsia="Times New Roman"/>
          <w:color w:val="auto"/>
          <w:u w:color="FFFFFF" w:themeColor="background1"/>
          <w:lang w:val="en-AU"/>
        </w:rPr>
        <w:t>Earth Resources Regulation</w:t>
      </w:r>
      <w:r>
        <w:rPr>
          <w:rFonts w:eastAsia="Times New Roman"/>
          <w:color w:val="auto"/>
          <w:u w:color="FFFFFF" w:themeColor="background1"/>
          <w:lang w:val="en-AU"/>
        </w:rPr>
        <w:t xml:space="preserve"> revised the process for issuing notices</w:t>
      </w:r>
      <w:r w:rsidR="00F6183F">
        <w:rPr>
          <w:rFonts w:eastAsia="Times New Roman"/>
          <w:color w:val="auto"/>
          <w:u w:color="FFFFFF" w:themeColor="background1"/>
          <w:lang w:val="en-AU"/>
        </w:rPr>
        <w:t xml:space="preserve"> and</w:t>
      </w:r>
      <w:r w:rsidR="00AA250D">
        <w:rPr>
          <w:rFonts w:eastAsia="Times New Roman"/>
          <w:color w:val="auto"/>
          <w:u w:color="FFFFFF" w:themeColor="background1"/>
          <w:lang w:val="en-AU"/>
        </w:rPr>
        <w:t xml:space="preserve"> </w:t>
      </w:r>
      <w:r w:rsidR="00F6183F">
        <w:rPr>
          <w:rFonts w:eastAsia="Times New Roman"/>
          <w:color w:val="auto"/>
          <w:u w:color="FFFFFF" w:themeColor="background1"/>
          <w:lang w:val="en-AU"/>
        </w:rPr>
        <w:t xml:space="preserve">this </w:t>
      </w:r>
      <w:r w:rsidR="00AA250D">
        <w:rPr>
          <w:rFonts w:eastAsia="Times New Roman"/>
          <w:color w:val="auto"/>
          <w:u w:color="FFFFFF" w:themeColor="background1"/>
          <w:lang w:val="en-AU"/>
        </w:rPr>
        <w:t>is expected to lead to an increase in the number of notices</w:t>
      </w:r>
      <w:r w:rsidR="00BA35C1">
        <w:rPr>
          <w:rFonts w:eastAsia="Times New Roman"/>
          <w:color w:val="auto"/>
          <w:u w:color="FFFFFF" w:themeColor="background1"/>
          <w:lang w:val="en-AU"/>
        </w:rPr>
        <w:t xml:space="preserve"> in</w:t>
      </w:r>
      <w:r w:rsidR="00AA250D">
        <w:rPr>
          <w:rFonts w:eastAsia="Times New Roman"/>
          <w:color w:val="auto"/>
          <w:u w:color="FFFFFF" w:themeColor="background1"/>
          <w:lang w:val="en-AU"/>
        </w:rPr>
        <w:t xml:space="preserve"> the future.</w:t>
      </w:r>
      <w:r w:rsidR="00400B16" w:rsidRPr="00400B16">
        <w:rPr>
          <w:rFonts w:eastAsia="Times New Roman"/>
          <w:color w:val="auto"/>
          <w:u w:color="FFFFFF" w:themeColor="background1"/>
          <w:lang w:val="en-AU"/>
        </w:rPr>
        <w:t xml:space="preserve"> </w:t>
      </w:r>
      <w:r w:rsidR="00D366C7">
        <w:rPr>
          <w:rFonts w:eastAsia="Times New Roman"/>
          <w:color w:val="auto"/>
          <w:u w:color="FFFFFF" w:themeColor="background1"/>
          <w:lang w:val="en-AU"/>
        </w:rPr>
        <w:t xml:space="preserve">Inspections increased </w:t>
      </w:r>
      <w:r w:rsidR="003A35D4">
        <w:rPr>
          <w:rFonts w:eastAsia="Times New Roman"/>
          <w:color w:val="auto"/>
          <w:u w:color="FFFFFF" w:themeColor="background1"/>
          <w:lang w:val="en-AU"/>
        </w:rPr>
        <w:t>11% from 357 to 396 in 2017-18</w:t>
      </w:r>
      <w:r w:rsidR="00C61199">
        <w:rPr>
          <w:rFonts w:eastAsia="Times New Roman"/>
          <w:color w:val="auto"/>
          <w:u w:color="FFFFFF" w:themeColor="background1"/>
          <w:lang w:val="en-AU"/>
        </w:rPr>
        <w:t>.</w:t>
      </w:r>
    </w:p>
    <w:p w14:paraId="6C2EAAA7" w14:textId="2158494C" w:rsidR="00BC426B" w:rsidRDefault="00400B16" w:rsidP="00A23DBD">
      <w:pPr>
        <w:pStyle w:val="bodycopy"/>
        <w:spacing w:before="120"/>
        <w:rPr>
          <w:rFonts w:eastAsia="Times New Roman"/>
          <w:color w:val="auto"/>
          <w:u w:color="FFFFFF" w:themeColor="background1"/>
          <w:lang w:val="en-AU"/>
        </w:rPr>
      </w:pPr>
      <w:r>
        <w:rPr>
          <w:rFonts w:eastAsia="Times New Roman"/>
          <w:color w:val="auto"/>
          <w:u w:color="FFFFFF" w:themeColor="background1"/>
          <w:lang w:val="en-AU"/>
        </w:rPr>
        <w:t>I</w:t>
      </w:r>
      <w:r w:rsidRPr="00400B16">
        <w:rPr>
          <w:rFonts w:eastAsia="Times New Roman"/>
          <w:color w:val="auto"/>
          <w:u w:color="FFFFFF" w:themeColor="background1"/>
          <w:lang w:val="en-AU"/>
        </w:rPr>
        <w:t>mproveme</w:t>
      </w:r>
      <w:r>
        <w:rPr>
          <w:rFonts w:eastAsia="Times New Roman"/>
          <w:color w:val="auto"/>
          <w:u w:color="FFFFFF" w:themeColor="background1"/>
          <w:lang w:val="en-AU"/>
        </w:rPr>
        <w:t>nt actions wer</w:t>
      </w:r>
      <w:r w:rsidR="00BA35C1">
        <w:rPr>
          <w:rFonts w:eastAsia="Times New Roman"/>
          <w:color w:val="auto"/>
          <w:u w:color="FFFFFF" w:themeColor="background1"/>
          <w:lang w:val="en-AU"/>
        </w:rPr>
        <w:t xml:space="preserve">e identified in </w:t>
      </w:r>
      <w:r w:rsidR="00BE2E66">
        <w:rPr>
          <w:rFonts w:eastAsia="Times New Roman"/>
          <w:color w:val="auto"/>
          <w:u w:color="FFFFFF" w:themeColor="background1"/>
          <w:lang w:val="en-AU"/>
        </w:rPr>
        <w:t>73% (</w:t>
      </w:r>
      <w:r w:rsidR="00BA35C1">
        <w:rPr>
          <w:rFonts w:eastAsia="Times New Roman"/>
          <w:color w:val="auto"/>
          <w:u w:color="FFFFFF" w:themeColor="background1"/>
          <w:lang w:val="en-AU"/>
        </w:rPr>
        <w:t>117 out of 160</w:t>
      </w:r>
      <w:r w:rsidR="00BE2E66">
        <w:rPr>
          <w:rFonts w:eastAsia="Times New Roman"/>
          <w:color w:val="auto"/>
          <w:u w:color="FFFFFF" w:themeColor="background1"/>
          <w:lang w:val="en-AU"/>
        </w:rPr>
        <w:t>)</w:t>
      </w:r>
      <w:r w:rsidR="00BA35C1">
        <w:rPr>
          <w:rFonts w:eastAsia="Times New Roman"/>
          <w:color w:val="auto"/>
          <w:u w:color="FFFFFF" w:themeColor="background1"/>
          <w:lang w:val="en-AU"/>
        </w:rPr>
        <w:t xml:space="preserve"> A</w:t>
      </w:r>
      <w:r>
        <w:rPr>
          <w:rFonts w:eastAsia="Times New Roman"/>
          <w:color w:val="auto"/>
          <w:u w:color="FFFFFF" w:themeColor="background1"/>
          <w:lang w:val="en-AU"/>
        </w:rPr>
        <w:t>udits during 2017-</w:t>
      </w:r>
      <w:r w:rsidRPr="00400B16">
        <w:rPr>
          <w:rFonts w:eastAsia="Times New Roman"/>
          <w:color w:val="auto"/>
          <w:u w:color="FFFFFF" w:themeColor="background1"/>
          <w:lang w:val="en-AU"/>
        </w:rPr>
        <w:t>18</w:t>
      </w:r>
      <w:r>
        <w:rPr>
          <w:rFonts w:eastAsia="Times New Roman"/>
          <w:color w:val="auto"/>
          <w:u w:color="FFFFFF" w:themeColor="background1"/>
          <w:lang w:val="en-AU"/>
        </w:rPr>
        <w:t>.</w:t>
      </w:r>
    </w:p>
    <w:p w14:paraId="4FBC6631" w14:textId="77777777" w:rsidR="00F21245" w:rsidRDefault="00F21245" w:rsidP="00A23DBD">
      <w:pPr>
        <w:pStyle w:val="bodycopy"/>
        <w:spacing w:before="120"/>
        <w:rPr>
          <w:rFonts w:eastAsia="Times New Roman"/>
          <w:color w:val="auto"/>
          <w:u w:color="FFFFFF" w:themeColor="background1"/>
          <w:lang w:val="en-AU"/>
        </w:rPr>
      </w:pPr>
    </w:p>
    <w:p w14:paraId="55A09D7F" w14:textId="5D909F2B" w:rsidR="00AA250D" w:rsidRPr="00F21245" w:rsidRDefault="00F21245" w:rsidP="00F21245">
      <w:pPr>
        <w:spacing w:before="120" w:after="120" w:line="240" w:lineRule="auto"/>
        <w:rPr>
          <w:rFonts w:eastAsia="Times New Roman" w:cs="Arial"/>
          <w:b/>
          <w:color w:val="auto"/>
          <w:szCs w:val="24"/>
          <w:u w:color="FFFFFF" w:themeColor="background1"/>
          <w:lang w:val="en-AU"/>
        </w:rPr>
      </w:pPr>
      <w:r w:rsidRPr="00F21245">
        <w:rPr>
          <w:rFonts w:eastAsia="Times New Roman" w:cs="Arial"/>
          <w:b/>
          <w:color w:val="auto"/>
          <w:szCs w:val="24"/>
          <w:u w:color="FFFFFF" w:themeColor="background1"/>
          <w:lang w:val="en-AU"/>
        </w:rPr>
        <w:t>Table 5.1</w:t>
      </w:r>
    </w:p>
    <w:tbl>
      <w:tblPr>
        <w:tblW w:w="10382" w:type="dxa"/>
        <w:tblInd w:w="-10" w:type="dxa"/>
        <w:tblLook w:val="05A0" w:firstRow="1" w:lastRow="0" w:firstColumn="1" w:lastColumn="1" w:noHBand="0" w:noVBand="1"/>
      </w:tblPr>
      <w:tblGrid>
        <w:gridCol w:w="1049"/>
        <w:gridCol w:w="906"/>
        <w:gridCol w:w="1641"/>
        <w:gridCol w:w="1256"/>
        <w:gridCol w:w="1029"/>
        <w:gridCol w:w="1019"/>
        <w:gridCol w:w="1013"/>
        <w:gridCol w:w="1571"/>
        <w:gridCol w:w="898"/>
      </w:tblGrid>
      <w:tr w:rsidR="00E93977" w:rsidRPr="00E93977" w14:paraId="0D2CF7A1" w14:textId="77777777" w:rsidTr="00E77027">
        <w:trPr>
          <w:trHeight w:val="720"/>
        </w:trPr>
        <w:tc>
          <w:tcPr>
            <w:tcW w:w="1049" w:type="dxa"/>
            <w:tcBorders>
              <w:top w:val="single" w:sz="8" w:space="0" w:color="4F81BD"/>
              <w:left w:val="single" w:sz="8" w:space="0" w:color="4F81BD"/>
              <w:bottom w:val="single" w:sz="8" w:space="0" w:color="4F81BD"/>
              <w:right w:val="nil"/>
            </w:tcBorders>
            <w:shd w:val="clear" w:color="000000" w:fill="4F81BD"/>
            <w:vAlign w:val="center"/>
            <w:hideMark/>
          </w:tcPr>
          <w:p w14:paraId="1B4F782A"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FFFFFF"/>
                <w:lang w:val="en-AU" w:eastAsia="en-AU"/>
              </w:rPr>
            </w:pPr>
            <w:r w:rsidRPr="00E93977">
              <w:rPr>
                <w:rFonts w:eastAsia="Times New Roman" w:cs="Arial"/>
                <w:b/>
                <w:bCs/>
                <w:color w:val="FFFFFF" w:themeColor="background1"/>
                <w:lang w:eastAsia="en-AU"/>
              </w:rPr>
              <w:t>Activities</w:t>
            </w:r>
          </w:p>
        </w:tc>
        <w:tc>
          <w:tcPr>
            <w:tcW w:w="906" w:type="dxa"/>
            <w:tcBorders>
              <w:top w:val="single" w:sz="8" w:space="0" w:color="4F81BD"/>
              <w:left w:val="nil"/>
              <w:bottom w:val="single" w:sz="8" w:space="0" w:color="4F81BD"/>
              <w:right w:val="nil"/>
            </w:tcBorders>
            <w:shd w:val="clear" w:color="000000" w:fill="4F81BD"/>
            <w:vAlign w:val="center"/>
            <w:hideMark/>
          </w:tcPr>
          <w:p w14:paraId="52C1B2E8" w14:textId="78D26963"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FFFFFF"/>
                <w:lang w:val="en-AU" w:eastAsia="en-AU"/>
              </w:rPr>
            </w:pPr>
            <w:r w:rsidRPr="00E93977">
              <w:rPr>
                <w:rFonts w:eastAsia="Times New Roman" w:cs="Arial"/>
                <w:b/>
                <w:bCs/>
                <w:color w:val="FFFFFF" w:themeColor="background1"/>
                <w:lang w:eastAsia="en-AU"/>
              </w:rPr>
              <w:t>Audit</w:t>
            </w:r>
            <w:r w:rsidR="00400B16">
              <w:rPr>
                <w:rFonts w:eastAsia="Times New Roman" w:cs="Arial"/>
                <w:b/>
                <w:bCs/>
                <w:color w:val="FFFFFF" w:themeColor="background1"/>
                <w:lang w:eastAsia="en-AU"/>
              </w:rPr>
              <w:t>s</w:t>
            </w:r>
          </w:p>
        </w:tc>
        <w:tc>
          <w:tcPr>
            <w:tcW w:w="1641" w:type="dxa"/>
            <w:tcBorders>
              <w:top w:val="single" w:sz="8" w:space="0" w:color="4F81BD"/>
              <w:left w:val="nil"/>
              <w:bottom w:val="single" w:sz="8" w:space="0" w:color="4F81BD"/>
              <w:right w:val="nil"/>
            </w:tcBorders>
            <w:shd w:val="clear" w:color="000000" w:fill="4F81BD"/>
            <w:vAlign w:val="center"/>
            <w:hideMark/>
          </w:tcPr>
          <w:p w14:paraId="6BF94B57"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FFFFFF"/>
                <w:lang w:val="en-AU" w:eastAsia="en-AU"/>
              </w:rPr>
            </w:pPr>
            <w:r w:rsidRPr="00E93977">
              <w:rPr>
                <w:rFonts w:eastAsia="Times New Roman" w:cs="Arial"/>
                <w:b/>
                <w:bCs/>
                <w:color w:val="FFFFFF" w:themeColor="background1"/>
                <w:lang w:eastAsia="en-AU"/>
              </w:rPr>
              <w:t>Environmental Review Committees</w:t>
            </w:r>
          </w:p>
        </w:tc>
        <w:tc>
          <w:tcPr>
            <w:tcW w:w="1256" w:type="dxa"/>
            <w:tcBorders>
              <w:top w:val="single" w:sz="8" w:space="0" w:color="4F81BD"/>
              <w:left w:val="nil"/>
              <w:bottom w:val="single" w:sz="8" w:space="0" w:color="4F81BD"/>
              <w:right w:val="nil"/>
            </w:tcBorders>
            <w:shd w:val="clear" w:color="000000" w:fill="4F81BD"/>
            <w:vAlign w:val="center"/>
            <w:hideMark/>
          </w:tcPr>
          <w:p w14:paraId="55CC395F"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FFFFFF"/>
                <w:lang w:val="en-AU" w:eastAsia="en-AU"/>
              </w:rPr>
            </w:pPr>
            <w:r w:rsidRPr="00E93977">
              <w:rPr>
                <w:rFonts w:eastAsia="Times New Roman" w:cs="Arial"/>
                <w:b/>
                <w:bCs/>
                <w:color w:val="FFFFFF" w:themeColor="background1"/>
                <w:lang w:eastAsia="en-AU"/>
              </w:rPr>
              <w:t>Inspections</w:t>
            </w:r>
          </w:p>
        </w:tc>
        <w:tc>
          <w:tcPr>
            <w:tcW w:w="1029" w:type="dxa"/>
            <w:tcBorders>
              <w:top w:val="single" w:sz="8" w:space="0" w:color="4F81BD"/>
              <w:left w:val="nil"/>
              <w:bottom w:val="single" w:sz="8" w:space="0" w:color="4F81BD"/>
              <w:right w:val="nil"/>
            </w:tcBorders>
            <w:shd w:val="clear" w:color="000000" w:fill="4F81BD"/>
            <w:vAlign w:val="center"/>
            <w:hideMark/>
          </w:tcPr>
          <w:p w14:paraId="16C1D997"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FFFFFF"/>
                <w:lang w:val="en-AU" w:eastAsia="en-AU"/>
              </w:rPr>
            </w:pPr>
            <w:r w:rsidRPr="00E93977">
              <w:rPr>
                <w:rFonts w:eastAsia="Times New Roman" w:cs="Arial"/>
                <w:b/>
                <w:bCs/>
                <w:color w:val="FFFFFF" w:themeColor="background1"/>
                <w:lang w:eastAsia="en-AU"/>
              </w:rPr>
              <w:t>Meetings</w:t>
            </w:r>
          </w:p>
        </w:tc>
        <w:tc>
          <w:tcPr>
            <w:tcW w:w="1019" w:type="dxa"/>
            <w:tcBorders>
              <w:top w:val="single" w:sz="8" w:space="0" w:color="4F81BD"/>
              <w:left w:val="nil"/>
              <w:bottom w:val="single" w:sz="8" w:space="0" w:color="4F81BD"/>
              <w:right w:val="nil"/>
            </w:tcBorders>
            <w:shd w:val="clear" w:color="000000" w:fill="4F81BD"/>
            <w:vAlign w:val="center"/>
            <w:hideMark/>
          </w:tcPr>
          <w:p w14:paraId="25C534CC"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FFFFFF"/>
                <w:lang w:val="en-AU" w:eastAsia="en-AU"/>
              </w:rPr>
            </w:pPr>
            <w:r w:rsidRPr="00E93977">
              <w:rPr>
                <w:rFonts w:eastAsia="Times New Roman" w:cs="Arial"/>
                <w:b/>
                <w:bCs/>
                <w:color w:val="FFFFFF" w:themeColor="background1"/>
                <w:lang w:eastAsia="en-AU"/>
              </w:rPr>
              <w:t>Site Closures</w:t>
            </w:r>
          </w:p>
        </w:tc>
        <w:tc>
          <w:tcPr>
            <w:tcW w:w="1013" w:type="dxa"/>
            <w:tcBorders>
              <w:top w:val="single" w:sz="8" w:space="0" w:color="4F81BD"/>
              <w:left w:val="nil"/>
              <w:bottom w:val="single" w:sz="8" w:space="0" w:color="4F81BD"/>
              <w:right w:val="nil"/>
            </w:tcBorders>
            <w:shd w:val="clear" w:color="000000" w:fill="4F81BD"/>
            <w:vAlign w:val="center"/>
            <w:hideMark/>
          </w:tcPr>
          <w:p w14:paraId="19873FC4"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FFFFFF"/>
                <w:lang w:val="en-AU" w:eastAsia="en-AU"/>
              </w:rPr>
            </w:pPr>
            <w:r w:rsidRPr="00E93977">
              <w:rPr>
                <w:rFonts w:eastAsia="Times New Roman" w:cs="Arial"/>
                <w:b/>
                <w:bCs/>
                <w:color w:val="FFFFFF" w:themeColor="background1"/>
                <w:lang w:eastAsia="en-AU"/>
              </w:rPr>
              <w:t>Site Visits</w:t>
            </w:r>
          </w:p>
        </w:tc>
        <w:tc>
          <w:tcPr>
            <w:tcW w:w="1571" w:type="dxa"/>
            <w:tcBorders>
              <w:top w:val="single" w:sz="8" w:space="0" w:color="4F81BD"/>
              <w:left w:val="nil"/>
              <w:bottom w:val="single" w:sz="8" w:space="0" w:color="4F81BD"/>
              <w:right w:val="nil"/>
            </w:tcBorders>
            <w:shd w:val="clear" w:color="000000" w:fill="4F81BD"/>
            <w:vAlign w:val="center"/>
            <w:hideMark/>
          </w:tcPr>
          <w:p w14:paraId="74A60AE1" w14:textId="45BB1AE5"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FFFFFF"/>
                <w:lang w:val="en-AU" w:eastAsia="en-AU"/>
              </w:rPr>
            </w:pPr>
            <w:r>
              <w:rPr>
                <w:rFonts w:eastAsia="Times New Roman" w:cs="Arial"/>
                <w:b/>
                <w:bCs/>
                <w:color w:val="FFFFFF"/>
                <w:lang w:val="en-AU" w:eastAsia="en-AU"/>
              </w:rPr>
              <w:t>Enforcement</w:t>
            </w:r>
            <w:r w:rsidRPr="00E93977">
              <w:rPr>
                <w:rFonts w:eastAsia="Times New Roman" w:cs="Arial"/>
                <w:b/>
                <w:bCs/>
                <w:color w:val="FFFFFF"/>
                <w:lang w:val="en-AU" w:eastAsia="en-AU"/>
              </w:rPr>
              <w:t xml:space="preserve"> Notices</w:t>
            </w:r>
            <w:r w:rsidR="009D4205">
              <w:rPr>
                <w:rFonts w:eastAsia="Times New Roman" w:cs="Arial"/>
                <w:b/>
                <w:bCs/>
                <w:color w:val="FFFFFF"/>
                <w:lang w:val="en-AU" w:eastAsia="en-AU"/>
              </w:rPr>
              <w:t xml:space="preserve"> *</w:t>
            </w:r>
          </w:p>
        </w:tc>
        <w:tc>
          <w:tcPr>
            <w:tcW w:w="898" w:type="dxa"/>
            <w:tcBorders>
              <w:top w:val="single" w:sz="8" w:space="0" w:color="4F81BD"/>
              <w:left w:val="nil"/>
              <w:bottom w:val="single" w:sz="8" w:space="0" w:color="4F81BD"/>
              <w:right w:val="single" w:sz="8" w:space="0" w:color="4F81BD"/>
            </w:tcBorders>
            <w:shd w:val="clear" w:color="000000" w:fill="4F81BD"/>
            <w:vAlign w:val="center"/>
            <w:hideMark/>
          </w:tcPr>
          <w:p w14:paraId="20FC6149"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FFFFFF"/>
                <w:lang w:val="en-AU" w:eastAsia="en-AU"/>
              </w:rPr>
            </w:pPr>
            <w:r w:rsidRPr="00E93977">
              <w:rPr>
                <w:rFonts w:eastAsia="Times New Roman" w:cs="Arial"/>
                <w:b/>
                <w:bCs/>
                <w:color w:val="FFFFFF" w:themeColor="background1"/>
                <w:lang w:eastAsia="en-AU"/>
              </w:rPr>
              <w:t>Total</w:t>
            </w:r>
          </w:p>
        </w:tc>
      </w:tr>
      <w:tr w:rsidR="00E93977" w:rsidRPr="00E93977" w14:paraId="44FEE343" w14:textId="77777777" w:rsidTr="00E77027">
        <w:trPr>
          <w:trHeight w:val="390"/>
        </w:trPr>
        <w:tc>
          <w:tcPr>
            <w:tcW w:w="1049" w:type="dxa"/>
            <w:tcBorders>
              <w:top w:val="nil"/>
              <w:left w:val="single" w:sz="8" w:space="0" w:color="95B3D7"/>
              <w:bottom w:val="single" w:sz="8" w:space="0" w:color="95B3D7"/>
              <w:right w:val="single" w:sz="8" w:space="0" w:color="95B3D7"/>
            </w:tcBorders>
            <w:shd w:val="clear" w:color="000000" w:fill="DBE5F1"/>
            <w:vAlign w:val="center"/>
            <w:hideMark/>
          </w:tcPr>
          <w:p w14:paraId="11248141"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auto"/>
                <w:lang w:val="en-AU" w:eastAsia="en-AU"/>
              </w:rPr>
            </w:pPr>
            <w:r w:rsidRPr="00E93977">
              <w:rPr>
                <w:rFonts w:eastAsia="Times New Roman" w:cs="Arial"/>
                <w:b/>
                <w:bCs/>
                <w:color w:val="auto"/>
                <w:lang w:eastAsia="en-AU"/>
              </w:rPr>
              <w:t>2014-15</w:t>
            </w:r>
          </w:p>
        </w:tc>
        <w:tc>
          <w:tcPr>
            <w:tcW w:w="906" w:type="dxa"/>
            <w:tcBorders>
              <w:top w:val="nil"/>
              <w:left w:val="nil"/>
              <w:bottom w:val="single" w:sz="8" w:space="0" w:color="95B3D7"/>
              <w:right w:val="single" w:sz="8" w:space="0" w:color="95B3D7"/>
            </w:tcBorders>
            <w:shd w:val="clear" w:color="000000" w:fill="DBE5F1"/>
            <w:vAlign w:val="center"/>
            <w:hideMark/>
          </w:tcPr>
          <w:p w14:paraId="407F6312"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155</w:t>
            </w:r>
          </w:p>
        </w:tc>
        <w:tc>
          <w:tcPr>
            <w:tcW w:w="1641" w:type="dxa"/>
            <w:tcBorders>
              <w:top w:val="nil"/>
              <w:left w:val="nil"/>
              <w:bottom w:val="single" w:sz="8" w:space="0" w:color="95B3D7"/>
              <w:right w:val="single" w:sz="8" w:space="0" w:color="95B3D7"/>
            </w:tcBorders>
            <w:shd w:val="clear" w:color="000000" w:fill="DBE5F1"/>
            <w:vAlign w:val="center"/>
            <w:hideMark/>
          </w:tcPr>
          <w:p w14:paraId="720875D0"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35</w:t>
            </w:r>
          </w:p>
        </w:tc>
        <w:tc>
          <w:tcPr>
            <w:tcW w:w="1256" w:type="dxa"/>
            <w:tcBorders>
              <w:top w:val="nil"/>
              <w:left w:val="nil"/>
              <w:bottom w:val="single" w:sz="8" w:space="0" w:color="95B3D7"/>
              <w:right w:val="single" w:sz="8" w:space="0" w:color="95B3D7"/>
            </w:tcBorders>
            <w:shd w:val="clear" w:color="000000" w:fill="DBE5F1"/>
            <w:vAlign w:val="center"/>
            <w:hideMark/>
          </w:tcPr>
          <w:p w14:paraId="499CA951"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380</w:t>
            </w:r>
          </w:p>
        </w:tc>
        <w:tc>
          <w:tcPr>
            <w:tcW w:w="1029" w:type="dxa"/>
            <w:tcBorders>
              <w:top w:val="nil"/>
              <w:left w:val="nil"/>
              <w:bottom w:val="single" w:sz="8" w:space="0" w:color="95B3D7"/>
              <w:right w:val="single" w:sz="8" w:space="0" w:color="95B3D7"/>
            </w:tcBorders>
            <w:shd w:val="clear" w:color="000000" w:fill="DBE5F1"/>
            <w:vAlign w:val="center"/>
            <w:hideMark/>
          </w:tcPr>
          <w:p w14:paraId="1A1872E7"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49</w:t>
            </w:r>
          </w:p>
        </w:tc>
        <w:tc>
          <w:tcPr>
            <w:tcW w:w="1019" w:type="dxa"/>
            <w:tcBorders>
              <w:top w:val="nil"/>
              <w:left w:val="nil"/>
              <w:bottom w:val="single" w:sz="8" w:space="0" w:color="95B3D7"/>
              <w:right w:val="single" w:sz="8" w:space="0" w:color="95B3D7"/>
            </w:tcBorders>
            <w:shd w:val="clear" w:color="000000" w:fill="DBE5F1"/>
            <w:vAlign w:val="center"/>
            <w:hideMark/>
          </w:tcPr>
          <w:p w14:paraId="36FCBFAA"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28</w:t>
            </w:r>
          </w:p>
        </w:tc>
        <w:tc>
          <w:tcPr>
            <w:tcW w:w="1013" w:type="dxa"/>
            <w:tcBorders>
              <w:top w:val="nil"/>
              <w:left w:val="nil"/>
              <w:bottom w:val="single" w:sz="8" w:space="0" w:color="95B3D7"/>
              <w:right w:val="single" w:sz="8" w:space="0" w:color="95B3D7"/>
            </w:tcBorders>
            <w:shd w:val="clear" w:color="000000" w:fill="DBE5F1"/>
            <w:vAlign w:val="center"/>
            <w:hideMark/>
          </w:tcPr>
          <w:p w14:paraId="1951BBFF"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51</w:t>
            </w:r>
          </w:p>
        </w:tc>
        <w:tc>
          <w:tcPr>
            <w:tcW w:w="1571" w:type="dxa"/>
            <w:tcBorders>
              <w:top w:val="nil"/>
              <w:left w:val="nil"/>
              <w:bottom w:val="single" w:sz="8" w:space="0" w:color="95B3D7"/>
              <w:right w:val="single" w:sz="8" w:space="0" w:color="95B3D7"/>
            </w:tcBorders>
            <w:shd w:val="clear" w:color="000000" w:fill="DBE5F1"/>
            <w:vAlign w:val="center"/>
            <w:hideMark/>
          </w:tcPr>
          <w:p w14:paraId="6FA5D3F1"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val="en-AU" w:eastAsia="en-AU"/>
              </w:rPr>
              <w:t>31</w:t>
            </w:r>
          </w:p>
        </w:tc>
        <w:tc>
          <w:tcPr>
            <w:tcW w:w="898" w:type="dxa"/>
            <w:tcBorders>
              <w:top w:val="nil"/>
              <w:left w:val="nil"/>
              <w:bottom w:val="single" w:sz="8" w:space="0" w:color="95B3D7"/>
              <w:right w:val="single" w:sz="8" w:space="0" w:color="95B3D7"/>
            </w:tcBorders>
            <w:shd w:val="clear" w:color="000000" w:fill="DBE5F1"/>
            <w:vAlign w:val="center"/>
            <w:hideMark/>
          </w:tcPr>
          <w:p w14:paraId="47C0A821"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auto"/>
                <w:lang w:val="en-AU" w:eastAsia="en-AU"/>
              </w:rPr>
            </w:pPr>
            <w:r w:rsidRPr="00E93977">
              <w:rPr>
                <w:rFonts w:eastAsia="Times New Roman" w:cs="Arial"/>
                <w:b/>
                <w:bCs/>
                <w:color w:val="auto"/>
                <w:lang w:eastAsia="en-AU"/>
              </w:rPr>
              <w:t>729</w:t>
            </w:r>
          </w:p>
        </w:tc>
      </w:tr>
      <w:tr w:rsidR="00E93977" w:rsidRPr="00E93977" w14:paraId="22F6A433" w14:textId="77777777" w:rsidTr="00E77027">
        <w:trPr>
          <w:trHeight w:val="390"/>
        </w:trPr>
        <w:tc>
          <w:tcPr>
            <w:tcW w:w="1049" w:type="dxa"/>
            <w:tcBorders>
              <w:top w:val="nil"/>
              <w:left w:val="single" w:sz="8" w:space="0" w:color="95B3D7"/>
              <w:bottom w:val="single" w:sz="8" w:space="0" w:color="95B3D7"/>
              <w:right w:val="single" w:sz="8" w:space="0" w:color="95B3D7"/>
            </w:tcBorders>
            <w:shd w:val="clear" w:color="auto" w:fill="auto"/>
            <w:vAlign w:val="center"/>
            <w:hideMark/>
          </w:tcPr>
          <w:p w14:paraId="0161630D"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auto"/>
                <w:lang w:val="en-AU" w:eastAsia="en-AU"/>
              </w:rPr>
            </w:pPr>
            <w:r w:rsidRPr="00E93977">
              <w:rPr>
                <w:rFonts w:eastAsia="Times New Roman" w:cs="Arial"/>
                <w:b/>
                <w:bCs/>
                <w:color w:val="auto"/>
                <w:lang w:eastAsia="en-AU"/>
              </w:rPr>
              <w:t>2015-16</w:t>
            </w:r>
          </w:p>
        </w:tc>
        <w:tc>
          <w:tcPr>
            <w:tcW w:w="906" w:type="dxa"/>
            <w:tcBorders>
              <w:top w:val="nil"/>
              <w:left w:val="nil"/>
              <w:bottom w:val="single" w:sz="8" w:space="0" w:color="95B3D7"/>
              <w:right w:val="single" w:sz="8" w:space="0" w:color="95B3D7"/>
            </w:tcBorders>
            <w:shd w:val="clear" w:color="auto" w:fill="auto"/>
            <w:vAlign w:val="center"/>
            <w:hideMark/>
          </w:tcPr>
          <w:p w14:paraId="102197CF"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186</w:t>
            </w:r>
          </w:p>
        </w:tc>
        <w:tc>
          <w:tcPr>
            <w:tcW w:w="1641" w:type="dxa"/>
            <w:tcBorders>
              <w:top w:val="nil"/>
              <w:left w:val="nil"/>
              <w:bottom w:val="single" w:sz="8" w:space="0" w:color="95B3D7"/>
              <w:right w:val="single" w:sz="8" w:space="0" w:color="95B3D7"/>
            </w:tcBorders>
            <w:shd w:val="clear" w:color="auto" w:fill="auto"/>
            <w:vAlign w:val="center"/>
            <w:hideMark/>
          </w:tcPr>
          <w:p w14:paraId="73C98882"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76</w:t>
            </w:r>
          </w:p>
        </w:tc>
        <w:tc>
          <w:tcPr>
            <w:tcW w:w="1256" w:type="dxa"/>
            <w:tcBorders>
              <w:top w:val="nil"/>
              <w:left w:val="nil"/>
              <w:bottom w:val="single" w:sz="8" w:space="0" w:color="95B3D7"/>
              <w:right w:val="single" w:sz="8" w:space="0" w:color="95B3D7"/>
            </w:tcBorders>
            <w:shd w:val="clear" w:color="auto" w:fill="auto"/>
            <w:vAlign w:val="center"/>
            <w:hideMark/>
          </w:tcPr>
          <w:p w14:paraId="1586E44B"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366</w:t>
            </w:r>
          </w:p>
        </w:tc>
        <w:tc>
          <w:tcPr>
            <w:tcW w:w="1029" w:type="dxa"/>
            <w:tcBorders>
              <w:top w:val="nil"/>
              <w:left w:val="nil"/>
              <w:bottom w:val="single" w:sz="8" w:space="0" w:color="95B3D7"/>
              <w:right w:val="single" w:sz="8" w:space="0" w:color="95B3D7"/>
            </w:tcBorders>
            <w:shd w:val="clear" w:color="auto" w:fill="auto"/>
            <w:vAlign w:val="center"/>
            <w:hideMark/>
          </w:tcPr>
          <w:p w14:paraId="72F0D341"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199</w:t>
            </w:r>
          </w:p>
        </w:tc>
        <w:tc>
          <w:tcPr>
            <w:tcW w:w="1019" w:type="dxa"/>
            <w:tcBorders>
              <w:top w:val="nil"/>
              <w:left w:val="nil"/>
              <w:bottom w:val="single" w:sz="8" w:space="0" w:color="95B3D7"/>
              <w:right w:val="single" w:sz="8" w:space="0" w:color="95B3D7"/>
            </w:tcBorders>
            <w:shd w:val="clear" w:color="auto" w:fill="auto"/>
            <w:vAlign w:val="center"/>
            <w:hideMark/>
          </w:tcPr>
          <w:p w14:paraId="1BE565CB"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32</w:t>
            </w:r>
          </w:p>
        </w:tc>
        <w:tc>
          <w:tcPr>
            <w:tcW w:w="1013" w:type="dxa"/>
            <w:tcBorders>
              <w:top w:val="nil"/>
              <w:left w:val="nil"/>
              <w:bottom w:val="single" w:sz="8" w:space="0" w:color="95B3D7"/>
              <w:right w:val="single" w:sz="8" w:space="0" w:color="95B3D7"/>
            </w:tcBorders>
            <w:shd w:val="clear" w:color="auto" w:fill="auto"/>
            <w:vAlign w:val="center"/>
            <w:hideMark/>
          </w:tcPr>
          <w:p w14:paraId="4A7ED5EB"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80</w:t>
            </w:r>
          </w:p>
        </w:tc>
        <w:tc>
          <w:tcPr>
            <w:tcW w:w="1571" w:type="dxa"/>
            <w:tcBorders>
              <w:top w:val="nil"/>
              <w:left w:val="nil"/>
              <w:bottom w:val="single" w:sz="8" w:space="0" w:color="95B3D7"/>
              <w:right w:val="single" w:sz="8" w:space="0" w:color="95B3D7"/>
            </w:tcBorders>
            <w:shd w:val="clear" w:color="auto" w:fill="auto"/>
            <w:vAlign w:val="center"/>
            <w:hideMark/>
          </w:tcPr>
          <w:p w14:paraId="7EE1628C"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val="en-AU" w:eastAsia="en-AU"/>
              </w:rPr>
              <w:t>59</w:t>
            </w:r>
          </w:p>
        </w:tc>
        <w:tc>
          <w:tcPr>
            <w:tcW w:w="898" w:type="dxa"/>
            <w:tcBorders>
              <w:top w:val="nil"/>
              <w:left w:val="nil"/>
              <w:bottom w:val="single" w:sz="8" w:space="0" w:color="95B3D7"/>
              <w:right w:val="single" w:sz="8" w:space="0" w:color="95B3D7"/>
            </w:tcBorders>
            <w:shd w:val="clear" w:color="auto" w:fill="auto"/>
            <w:vAlign w:val="center"/>
            <w:hideMark/>
          </w:tcPr>
          <w:p w14:paraId="278E8E52"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auto"/>
                <w:lang w:val="en-AU" w:eastAsia="en-AU"/>
              </w:rPr>
            </w:pPr>
            <w:r w:rsidRPr="00E93977">
              <w:rPr>
                <w:rFonts w:eastAsia="Times New Roman" w:cs="Arial"/>
                <w:b/>
                <w:bCs/>
                <w:color w:val="auto"/>
                <w:lang w:eastAsia="en-AU"/>
              </w:rPr>
              <w:t>998</w:t>
            </w:r>
          </w:p>
        </w:tc>
      </w:tr>
      <w:tr w:rsidR="00E93977" w:rsidRPr="00E93977" w14:paraId="34537E0A" w14:textId="77777777" w:rsidTr="00E77027">
        <w:trPr>
          <w:trHeight w:val="390"/>
        </w:trPr>
        <w:tc>
          <w:tcPr>
            <w:tcW w:w="1049" w:type="dxa"/>
            <w:tcBorders>
              <w:top w:val="nil"/>
              <w:left w:val="single" w:sz="8" w:space="0" w:color="95B3D7"/>
              <w:bottom w:val="single" w:sz="8" w:space="0" w:color="95B3D7"/>
              <w:right w:val="single" w:sz="8" w:space="0" w:color="95B3D7"/>
            </w:tcBorders>
            <w:shd w:val="clear" w:color="000000" w:fill="DBE5F1"/>
            <w:vAlign w:val="center"/>
            <w:hideMark/>
          </w:tcPr>
          <w:p w14:paraId="6B060C25"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auto"/>
                <w:lang w:val="en-AU" w:eastAsia="en-AU"/>
              </w:rPr>
            </w:pPr>
            <w:r w:rsidRPr="00E93977">
              <w:rPr>
                <w:rFonts w:eastAsia="Times New Roman" w:cs="Arial"/>
                <w:b/>
                <w:bCs/>
                <w:color w:val="auto"/>
                <w:lang w:eastAsia="en-AU"/>
              </w:rPr>
              <w:t>2016-17</w:t>
            </w:r>
          </w:p>
        </w:tc>
        <w:tc>
          <w:tcPr>
            <w:tcW w:w="906" w:type="dxa"/>
            <w:tcBorders>
              <w:top w:val="nil"/>
              <w:left w:val="nil"/>
              <w:bottom w:val="single" w:sz="8" w:space="0" w:color="95B3D7"/>
              <w:right w:val="single" w:sz="8" w:space="0" w:color="95B3D7"/>
            </w:tcBorders>
            <w:shd w:val="clear" w:color="000000" w:fill="DBE5F1"/>
            <w:vAlign w:val="center"/>
            <w:hideMark/>
          </w:tcPr>
          <w:p w14:paraId="620CDC8D"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170</w:t>
            </w:r>
          </w:p>
        </w:tc>
        <w:tc>
          <w:tcPr>
            <w:tcW w:w="1641" w:type="dxa"/>
            <w:tcBorders>
              <w:top w:val="nil"/>
              <w:left w:val="nil"/>
              <w:bottom w:val="single" w:sz="8" w:space="0" w:color="95B3D7"/>
              <w:right w:val="single" w:sz="8" w:space="0" w:color="95B3D7"/>
            </w:tcBorders>
            <w:shd w:val="clear" w:color="000000" w:fill="DBE5F1"/>
            <w:vAlign w:val="center"/>
            <w:hideMark/>
          </w:tcPr>
          <w:p w14:paraId="227609D5"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96</w:t>
            </w:r>
          </w:p>
        </w:tc>
        <w:tc>
          <w:tcPr>
            <w:tcW w:w="1256" w:type="dxa"/>
            <w:tcBorders>
              <w:top w:val="nil"/>
              <w:left w:val="nil"/>
              <w:bottom w:val="single" w:sz="8" w:space="0" w:color="95B3D7"/>
              <w:right w:val="single" w:sz="8" w:space="0" w:color="95B3D7"/>
            </w:tcBorders>
            <w:shd w:val="clear" w:color="000000" w:fill="DBE5F1"/>
            <w:vAlign w:val="center"/>
            <w:hideMark/>
          </w:tcPr>
          <w:p w14:paraId="2563E67B"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357</w:t>
            </w:r>
          </w:p>
        </w:tc>
        <w:tc>
          <w:tcPr>
            <w:tcW w:w="1029" w:type="dxa"/>
            <w:tcBorders>
              <w:top w:val="nil"/>
              <w:left w:val="nil"/>
              <w:bottom w:val="single" w:sz="8" w:space="0" w:color="95B3D7"/>
              <w:right w:val="single" w:sz="8" w:space="0" w:color="95B3D7"/>
            </w:tcBorders>
            <w:shd w:val="clear" w:color="000000" w:fill="DBE5F1"/>
            <w:vAlign w:val="center"/>
            <w:hideMark/>
          </w:tcPr>
          <w:p w14:paraId="048DB5B5"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106</w:t>
            </w:r>
          </w:p>
        </w:tc>
        <w:tc>
          <w:tcPr>
            <w:tcW w:w="1019" w:type="dxa"/>
            <w:tcBorders>
              <w:top w:val="nil"/>
              <w:left w:val="nil"/>
              <w:bottom w:val="single" w:sz="8" w:space="0" w:color="95B3D7"/>
              <w:right w:val="single" w:sz="8" w:space="0" w:color="95B3D7"/>
            </w:tcBorders>
            <w:shd w:val="clear" w:color="000000" w:fill="DBE5F1"/>
            <w:vAlign w:val="center"/>
            <w:hideMark/>
          </w:tcPr>
          <w:p w14:paraId="4B809CFF"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25</w:t>
            </w:r>
          </w:p>
        </w:tc>
        <w:tc>
          <w:tcPr>
            <w:tcW w:w="1013" w:type="dxa"/>
            <w:tcBorders>
              <w:top w:val="nil"/>
              <w:left w:val="nil"/>
              <w:bottom w:val="single" w:sz="8" w:space="0" w:color="95B3D7"/>
              <w:right w:val="single" w:sz="8" w:space="0" w:color="95B3D7"/>
            </w:tcBorders>
            <w:shd w:val="clear" w:color="000000" w:fill="DBE5F1"/>
            <w:vAlign w:val="center"/>
            <w:hideMark/>
          </w:tcPr>
          <w:p w14:paraId="2013BDFA"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86</w:t>
            </w:r>
          </w:p>
        </w:tc>
        <w:tc>
          <w:tcPr>
            <w:tcW w:w="1571" w:type="dxa"/>
            <w:tcBorders>
              <w:top w:val="nil"/>
              <w:left w:val="nil"/>
              <w:bottom w:val="single" w:sz="8" w:space="0" w:color="95B3D7"/>
              <w:right w:val="single" w:sz="8" w:space="0" w:color="95B3D7"/>
            </w:tcBorders>
            <w:shd w:val="clear" w:color="000000" w:fill="DBE5F1"/>
            <w:vAlign w:val="center"/>
            <w:hideMark/>
          </w:tcPr>
          <w:p w14:paraId="306BE368"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val="en-AU" w:eastAsia="en-AU"/>
              </w:rPr>
              <w:t>61</w:t>
            </w:r>
          </w:p>
        </w:tc>
        <w:tc>
          <w:tcPr>
            <w:tcW w:w="898" w:type="dxa"/>
            <w:tcBorders>
              <w:top w:val="nil"/>
              <w:left w:val="nil"/>
              <w:bottom w:val="single" w:sz="8" w:space="0" w:color="95B3D7"/>
              <w:right w:val="single" w:sz="8" w:space="0" w:color="95B3D7"/>
            </w:tcBorders>
            <w:shd w:val="clear" w:color="000000" w:fill="DBE5F1"/>
            <w:vAlign w:val="center"/>
            <w:hideMark/>
          </w:tcPr>
          <w:p w14:paraId="35FFE07A"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auto"/>
                <w:lang w:val="en-AU" w:eastAsia="en-AU"/>
              </w:rPr>
            </w:pPr>
            <w:r w:rsidRPr="00E93977">
              <w:rPr>
                <w:rFonts w:eastAsia="Times New Roman" w:cs="Arial"/>
                <w:b/>
                <w:bCs/>
                <w:color w:val="auto"/>
                <w:lang w:val="en-AU" w:eastAsia="en-AU"/>
              </w:rPr>
              <w:t>901</w:t>
            </w:r>
          </w:p>
        </w:tc>
      </w:tr>
      <w:tr w:rsidR="00E93977" w:rsidRPr="00E93977" w14:paraId="5FEF38EF" w14:textId="77777777" w:rsidTr="00E77027">
        <w:trPr>
          <w:trHeight w:val="390"/>
        </w:trPr>
        <w:tc>
          <w:tcPr>
            <w:tcW w:w="1049" w:type="dxa"/>
            <w:tcBorders>
              <w:top w:val="nil"/>
              <w:left w:val="single" w:sz="8" w:space="0" w:color="95B3D7"/>
              <w:bottom w:val="single" w:sz="8" w:space="0" w:color="95B3D7"/>
              <w:right w:val="single" w:sz="8" w:space="0" w:color="95B3D7"/>
            </w:tcBorders>
            <w:shd w:val="clear" w:color="auto" w:fill="auto"/>
            <w:vAlign w:val="center"/>
            <w:hideMark/>
          </w:tcPr>
          <w:p w14:paraId="021717AF"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auto"/>
                <w:lang w:val="en-AU" w:eastAsia="en-AU"/>
              </w:rPr>
            </w:pPr>
            <w:r w:rsidRPr="00E93977">
              <w:rPr>
                <w:rFonts w:eastAsia="Times New Roman" w:cs="Arial"/>
                <w:b/>
                <w:bCs/>
                <w:color w:val="auto"/>
                <w:lang w:eastAsia="en-AU"/>
              </w:rPr>
              <w:t>2017-18</w:t>
            </w:r>
          </w:p>
        </w:tc>
        <w:tc>
          <w:tcPr>
            <w:tcW w:w="906" w:type="dxa"/>
            <w:tcBorders>
              <w:top w:val="nil"/>
              <w:left w:val="nil"/>
              <w:bottom w:val="single" w:sz="8" w:space="0" w:color="95B3D7"/>
              <w:right w:val="single" w:sz="8" w:space="0" w:color="95B3D7"/>
            </w:tcBorders>
            <w:shd w:val="clear" w:color="auto" w:fill="auto"/>
            <w:vAlign w:val="center"/>
            <w:hideMark/>
          </w:tcPr>
          <w:p w14:paraId="4AF44414"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160</w:t>
            </w:r>
          </w:p>
        </w:tc>
        <w:tc>
          <w:tcPr>
            <w:tcW w:w="1641" w:type="dxa"/>
            <w:tcBorders>
              <w:top w:val="nil"/>
              <w:left w:val="nil"/>
              <w:bottom w:val="single" w:sz="8" w:space="0" w:color="95B3D7"/>
              <w:right w:val="single" w:sz="8" w:space="0" w:color="95B3D7"/>
            </w:tcBorders>
            <w:shd w:val="clear" w:color="auto" w:fill="auto"/>
            <w:vAlign w:val="center"/>
            <w:hideMark/>
          </w:tcPr>
          <w:p w14:paraId="17E49341"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90</w:t>
            </w:r>
          </w:p>
        </w:tc>
        <w:tc>
          <w:tcPr>
            <w:tcW w:w="1256" w:type="dxa"/>
            <w:tcBorders>
              <w:top w:val="nil"/>
              <w:left w:val="nil"/>
              <w:bottom w:val="single" w:sz="8" w:space="0" w:color="95B3D7"/>
              <w:right w:val="single" w:sz="8" w:space="0" w:color="95B3D7"/>
            </w:tcBorders>
            <w:shd w:val="clear" w:color="auto" w:fill="auto"/>
            <w:vAlign w:val="center"/>
            <w:hideMark/>
          </w:tcPr>
          <w:p w14:paraId="36F1E2E1"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396</w:t>
            </w:r>
          </w:p>
        </w:tc>
        <w:tc>
          <w:tcPr>
            <w:tcW w:w="1029" w:type="dxa"/>
            <w:tcBorders>
              <w:top w:val="nil"/>
              <w:left w:val="nil"/>
              <w:bottom w:val="single" w:sz="8" w:space="0" w:color="95B3D7"/>
              <w:right w:val="single" w:sz="8" w:space="0" w:color="95B3D7"/>
            </w:tcBorders>
            <w:shd w:val="clear" w:color="auto" w:fill="auto"/>
            <w:vAlign w:val="center"/>
            <w:hideMark/>
          </w:tcPr>
          <w:p w14:paraId="7899A967"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91</w:t>
            </w:r>
          </w:p>
        </w:tc>
        <w:tc>
          <w:tcPr>
            <w:tcW w:w="1019" w:type="dxa"/>
            <w:tcBorders>
              <w:top w:val="nil"/>
              <w:left w:val="nil"/>
              <w:bottom w:val="single" w:sz="8" w:space="0" w:color="95B3D7"/>
              <w:right w:val="single" w:sz="8" w:space="0" w:color="95B3D7"/>
            </w:tcBorders>
            <w:shd w:val="clear" w:color="auto" w:fill="auto"/>
            <w:vAlign w:val="center"/>
            <w:hideMark/>
          </w:tcPr>
          <w:p w14:paraId="3A04C230"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56</w:t>
            </w:r>
          </w:p>
        </w:tc>
        <w:tc>
          <w:tcPr>
            <w:tcW w:w="1013" w:type="dxa"/>
            <w:tcBorders>
              <w:top w:val="nil"/>
              <w:left w:val="nil"/>
              <w:bottom w:val="single" w:sz="8" w:space="0" w:color="95B3D7"/>
              <w:right w:val="single" w:sz="8" w:space="0" w:color="95B3D7"/>
            </w:tcBorders>
            <w:shd w:val="clear" w:color="auto" w:fill="auto"/>
            <w:vAlign w:val="center"/>
            <w:hideMark/>
          </w:tcPr>
          <w:p w14:paraId="639A8952"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eastAsia="en-AU"/>
              </w:rPr>
              <w:t>81</w:t>
            </w:r>
          </w:p>
        </w:tc>
        <w:tc>
          <w:tcPr>
            <w:tcW w:w="1571" w:type="dxa"/>
            <w:tcBorders>
              <w:top w:val="nil"/>
              <w:left w:val="nil"/>
              <w:bottom w:val="single" w:sz="8" w:space="0" w:color="95B3D7"/>
              <w:right w:val="single" w:sz="8" w:space="0" w:color="95B3D7"/>
            </w:tcBorders>
            <w:shd w:val="clear" w:color="auto" w:fill="auto"/>
            <w:vAlign w:val="center"/>
            <w:hideMark/>
          </w:tcPr>
          <w:p w14:paraId="3A92FF7B"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color w:val="auto"/>
                <w:lang w:val="en-AU" w:eastAsia="en-AU"/>
              </w:rPr>
            </w:pPr>
            <w:r w:rsidRPr="00E93977">
              <w:rPr>
                <w:rFonts w:eastAsia="Times New Roman" w:cs="Arial"/>
                <w:color w:val="auto"/>
                <w:lang w:val="en-AU" w:eastAsia="en-AU"/>
              </w:rPr>
              <w:t>8</w:t>
            </w:r>
          </w:p>
        </w:tc>
        <w:tc>
          <w:tcPr>
            <w:tcW w:w="898" w:type="dxa"/>
            <w:tcBorders>
              <w:top w:val="nil"/>
              <w:left w:val="nil"/>
              <w:bottom w:val="single" w:sz="8" w:space="0" w:color="95B3D7"/>
              <w:right w:val="single" w:sz="8" w:space="0" w:color="95B3D7"/>
            </w:tcBorders>
            <w:shd w:val="clear" w:color="auto" w:fill="auto"/>
            <w:vAlign w:val="center"/>
            <w:hideMark/>
          </w:tcPr>
          <w:p w14:paraId="345FF2B7" w14:textId="77777777" w:rsidR="00E93977" w:rsidRPr="00E93977" w:rsidRDefault="00E93977" w:rsidP="00E93977">
            <w:pPr>
              <w:widowControl/>
              <w:suppressAutoHyphens w:val="0"/>
              <w:autoSpaceDE/>
              <w:autoSpaceDN/>
              <w:adjustRightInd/>
              <w:spacing w:after="0" w:line="240" w:lineRule="auto"/>
              <w:jc w:val="center"/>
              <w:textAlignment w:val="auto"/>
              <w:rPr>
                <w:rFonts w:eastAsia="Times New Roman" w:cs="Arial"/>
                <w:b/>
                <w:bCs/>
                <w:color w:val="auto"/>
                <w:lang w:val="en-AU" w:eastAsia="en-AU"/>
              </w:rPr>
            </w:pPr>
            <w:r w:rsidRPr="00E93977">
              <w:rPr>
                <w:rFonts w:eastAsia="Times New Roman" w:cs="Arial"/>
                <w:b/>
                <w:bCs/>
                <w:color w:val="auto"/>
                <w:lang w:val="en-AU" w:eastAsia="en-AU"/>
              </w:rPr>
              <w:t>882</w:t>
            </w:r>
          </w:p>
        </w:tc>
      </w:tr>
    </w:tbl>
    <w:p w14:paraId="264A625F" w14:textId="60BEA10A" w:rsidR="00E93977" w:rsidRPr="00A11CC5" w:rsidRDefault="009D4205" w:rsidP="00A23DBD">
      <w:pPr>
        <w:pStyle w:val="bodycopy"/>
        <w:spacing w:before="120"/>
        <w:rPr>
          <w:rFonts w:eastAsia="Times New Roman"/>
          <w:color w:val="auto"/>
          <w:u w:color="FFFFFF" w:themeColor="background1"/>
          <w:lang w:val="en-AU"/>
        </w:rPr>
      </w:pPr>
      <w:r>
        <w:rPr>
          <w:rFonts w:eastAsia="Times New Roman"/>
          <w:color w:val="auto"/>
          <w:u w:color="FFFFFF" w:themeColor="background1"/>
          <w:lang w:val="en-AU"/>
        </w:rPr>
        <w:t>*</w:t>
      </w:r>
      <w:r w:rsidRPr="009D4205">
        <w:rPr>
          <w:rFonts w:eastAsia="Times New Roman"/>
          <w:color w:val="auto"/>
          <w:sz w:val="16"/>
          <w:szCs w:val="16"/>
          <w:u w:color="FFFFFF" w:themeColor="background1"/>
          <w:lang w:val="en-AU"/>
        </w:rPr>
        <w:t>s110 and s110a Notices</w:t>
      </w:r>
    </w:p>
    <w:p w14:paraId="6EB55A64" w14:textId="1CEEA1E1" w:rsidR="003763D6" w:rsidRPr="00A11CC5" w:rsidRDefault="003763D6" w:rsidP="003763D6">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p>
    <w:p w14:paraId="5555B90F" w14:textId="77777777" w:rsidR="00BC426B" w:rsidRPr="00A11CC5" w:rsidRDefault="00BC426B" w:rsidP="00A23DBD">
      <w:pPr>
        <w:pStyle w:val="bodycopy"/>
        <w:spacing w:before="120"/>
        <w:rPr>
          <w:rFonts w:eastAsia="Times New Roman"/>
          <w:color w:val="auto"/>
          <w:u w:color="FFFFFF" w:themeColor="background1"/>
          <w:lang w:val="en-AU"/>
        </w:rPr>
      </w:pPr>
    </w:p>
    <w:p w14:paraId="54A95FF8" w14:textId="77777777" w:rsidR="00CA6FF5" w:rsidRPr="00BB4E3D" w:rsidRDefault="006A0BAC" w:rsidP="00A23DBD">
      <w:pPr>
        <w:spacing w:before="120" w:after="120" w:line="240" w:lineRule="auto"/>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 xml:space="preserve">Graph </w:t>
      </w:r>
      <w:r w:rsidR="00A51F39" w:rsidRPr="00A11CC5">
        <w:rPr>
          <w:rFonts w:eastAsia="Times New Roman" w:cs="Arial"/>
          <w:b/>
          <w:color w:val="auto"/>
          <w:szCs w:val="24"/>
          <w:u w:color="FFFFFF" w:themeColor="background1"/>
          <w:lang w:val="en-AU"/>
        </w:rPr>
        <w:t>5</w:t>
      </w:r>
      <w:r w:rsidRPr="00A11CC5">
        <w:rPr>
          <w:rFonts w:eastAsia="Times New Roman" w:cs="Arial"/>
          <w:b/>
          <w:color w:val="auto"/>
          <w:szCs w:val="24"/>
          <w:u w:color="FFFFFF" w:themeColor="background1"/>
          <w:lang w:val="en-AU"/>
        </w:rPr>
        <w:t>.1 Monitoring, compli</w:t>
      </w:r>
      <w:r w:rsidR="00CA6FF5">
        <w:rPr>
          <w:rFonts w:eastAsia="Times New Roman" w:cs="Arial"/>
          <w:b/>
          <w:color w:val="auto"/>
          <w:szCs w:val="24"/>
          <w:u w:color="FFFFFF" w:themeColor="background1"/>
          <w:lang w:val="en-AU"/>
        </w:rPr>
        <w:t>ance and enforcement activities</w:t>
      </w:r>
    </w:p>
    <w:p w14:paraId="00D3A00A" w14:textId="77777777" w:rsidR="00CA6FF5" w:rsidRPr="00A11CC5" w:rsidRDefault="00CA6FF5" w:rsidP="00A23DBD">
      <w:pPr>
        <w:spacing w:before="120" w:after="120" w:line="240" w:lineRule="auto"/>
        <w:rPr>
          <w:rFonts w:eastAsia="Times New Roman" w:cs="Arial"/>
          <w:color w:val="auto"/>
          <w:szCs w:val="24"/>
          <w:u w:color="FFFFFF" w:themeColor="background1"/>
          <w:lang w:val="en-AU"/>
        </w:rPr>
      </w:pPr>
      <w:r>
        <w:rPr>
          <w:rFonts w:eastAsia="Times New Roman" w:cs="Arial"/>
          <w:noProof/>
          <w:color w:val="auto"/>
          <w:szCs w:val="24"/>
          <w:u w:color="FFFFFF" w:themeColor="background1"/>
          <w:lang w:val="en-AU"/>
        </w:rPr>
        <w:drawing>
          <wp:inline distT="0" distB="0" distL="0" distR="0" wp14:anchorId="67474346" wp14:editId="2D911244">
            <wp:extent cx="6685472" cy="3157267"/>
            <wp:effectExtent l="0" t="0" r="1270" b="508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1AF452C" w14:textId="63100C03" w:rsidR="006A0BAC" w:rsidRPr="00A11CC5" w:rsidRDefault="006A0BAC" w:rsidP="002F1970">
      <w:pPr>
        <w:pStyle w:val="BodyText"/>
        <w:spacing w:before="0" w:after="0"/>
        <w:rPr>
          <w:rFonts w:cs="Arial"/>
          <w:u w:color="FFFFFF" w:themeColor="background1"/>
          <w:lang w:val="en-AU"/>
        </w:rPr>
      </w:pPr>
      <w:r w:rsidRPr="00A11CC5">
        <w:rPr>
          <w:rFonts w:cs="Arial"/>
          <w:u w:color="FFFFFF" w:themeColor="background1"/>
          <w:lang w:val="en-AU"/>
        </w:rPr>
        <w:t xml:space="preserve">Source: </w:t>
      </w:r>
      <w:r w:rsidR="00484EE0">
        <w:rPr>
          <w:rFonts w:cs="Arial"/>
          <w:u w:color="FFFFFF" w:themeColor="background1"/>
          <w:lang w:val="en-AU"/>
        </w:rPr>
        <w:t>DJPR</w:t>
      </w:r>
    </w:p>
    <w:p w14:paraId="4BFD82E6" w14:textId="77777777" w:rsidR="006A0BAC" w:rsidRPr="00A11CC5" w:rsidRDefault="006A0BAC" w:rsidP="00A23DBD">
      <w:pPr>
        <w:spacing w:before="120" w:after="120"/>
        <w:rPr>
          <w:rFonts w:cs="Arial"/>
          <w:color w:val="auto"/>
          <w:sz w:val="24"/>
          <w:u w:color="FFFFFF" w:themeColor="background1"/>
          <w:lang w:val="en-AU"/>
        </w:rPr>
      </w:pPr>
      <w:r w:rsidRPr="00A11CC5">
        <w:rPr>
          <w:rFonts w:cs="Arial"/>
          <w:color w:val="auto"/>
          <w:u w:color="FFFFFF" w:themeColor="background1"/>
          <w:lang w:val="en-AU"/>
        </w:rPr>
        <w:br w:type="page"/>
      </w:r>
    </w:p>
    <w:p w14:paraId="18FFDE0D" w14:textId="79342A5A" w:rsidR="00F657F1" w:rsidRPr="00A11CC5" w:rsidRDefault="00F657F1" w:rsidP="00F657F1">
      <w:pPr>
        <w:pStyle w:val="Heading1"/>
        <w:spacing w:before="120"/>
        <w:rPr>
          <w:rFonts w:cs="Arial"/>
          <w:color w:val="auto"/>
          <w:sz w:val="28"/>
          <w:szCs w:val="28"/>
          <w:u w:color="FFFFFF" w:themeColor="background1"/>
          <w:lang w:val="en-AU"/>
        </w:rPr>
      </w:pPr>
      <w:bookmarkStart w:id="19" w:name="_Toc454977054"/>
      <w:bookmarkStart w:id="20" w:name="_Toc533149016"/>
      <w:r w:rsidRPr="00A11CC5">
        <w:rPr>
          <w:rFonts w:cs="Arial"/>
          <w:color w:val="auto"/>
          <w:sz w:val="28"/>
          <w:szCs w:val="28"/>
          <w:u w:color="FFFFFF" w:themeColor="background1"/>
          <w:lang w:val="en-AU"/>
        </w:rPr>
        <w:lastRenderedPageBreak/>
        <w:t>Petroleum, geothermal and pipelines</w:t>
      </w:r>
      <w:bookmarkEnd w:id="19"/>
      <w:bookmarkEnd w:id="20"/>
    </w:p>
    <w:p w14:paraId="2AF65CFC" w14:textId="3A3BE751" w:rsidR="00F657F1" w:rsidRPr="00A11CC5" w:rsidRDefault="00F657F1" w:rsidP="00F657F1">
      <w:pPr>
        <w:pStyle w:val="Heading2"/>
        <w:rPr>
          <w:color w:val="auto"/>
          <w:lang w:val="en-AU"/>
        </w:rPr>
      </w:pPr>
      <w:bookmarkStart w:id="21" w:name="_Toc533149017"/>
      <w:r w:rsidRPr="00A11CC5">
        <w:rPr>
          <w:color w:val="auto"/>
          <w:lang w:val="en-AU"/>
        </w:rPr>
        <w:t>Petroleum</w:t>
      </w:r>
      <w:bookmarkEnd w:id="21"/>
    </w:p>
    <w:p w14:paraId="4859F53B" w14:textId="77777777" w:rsidR="00F657F1" w:rsidRPr="00A11CC5" w:rsidRDefault="00F657F1" w:rsidP="00F657F1">
      <w:pPr>
        <w:pStyle w:val="BodyText"/>
        <w:spacing w:before="120" w:line="240" w:lineRule="auto"/>
        <w:rPr>
          <w:rFonts w:cs="Arial"/>
          <w:u w:color="FFFFFF" w:themeColor="background1"/>
          <w:lang w:val="en-AU"/>
        </w:rPr>
      </w:pPr>
      <w:r w:rsidRPr="00A11CC5">
        <w:rPr>
          <w:rFonts w:cs="Arial"/>
          <w:u w:color="FFFFFF" w:themeColor="background1"/>
          <w:lang w:val="en-AU"/>
        </w:rPr>
        <w:t>Exploration for petroleum within Victoria’s jurisdiction occurred in the Otway and Gippsland geological basins.  Production activity occurred in the Otway Basin.</w:t>
      </w:r>
    </w:p>
    <w:p w14:paraId="3E21AF6D" w14:textId="77777777" w:rsidR="00F657F1" w:rsidRPr="00A11CC5" w:rsidRDefault="00F657F1" w:rsidP="00F657F1">
      <w:pPr>
        <w:pStyle w:val="BodyText"/>
        <w:spacing w:before="120" w:line="240" w:lineRule="auto"/>
        <w:rPr>
          <w:rFonts w:cs="Arial"/>
          <w:u w:color="FFFFFF" w:themeColor="background1"/>
          <w:lang w:val="en-AU"/>
        </w:rPr>
      </w:pPr>
      <w:r w:rsidRPr="00A11CC5">
        <w:rPr>
          <w:rFonts w:cs="Arial"/>
          <w:u w:color="FFFFFF" w:themeColor="background1"/>
          <w:lang w:val="en-AU"/>
        </w:rPr>
        <w:t>Offshore activities occur within three nautical miles off the coast, as covered by Victorian legislation. Waters greater than three nautical miles offshore from the coast are covered by Commonwealth legislation and reported separately by Commonwealth Government agencies.</w:t>
      </w:r>
    </w:p>
    <w:p w14:paraId="2D53BE04" w14:textId="77777777" w:rsidR="00F657F1" w:rsidRPr="00A11CC5" w:rsidRDefault="00F657F1" w:rsidP="00F657F1">
      <w:pPr>
        <w:rPr>
          <w:color w:val="auto"/>
          <w:lang w:val="en-AU"/>
        </w:rPr>
      </w:pPr>
    </w:p>
    <w:p w14:paraId="00AD7BFE" w14:textId="4228F93A" w:rsidR="00F657F1" w:rsidRPr="00A11CC5" w:rsidRDefault="00F657F1" w:rsidP="00F657F1">
      <w:pPr>
        <w:pStyle w:val="Heading2"/>
        <w:rPr>
          <w:color w:val="auto"/>
          <w:lang w:val="en-AU"/>
        </w:rPr>
      </w:pPr>
      <w:bookmarkStart w:id="22" w:name="_Toc533149018"/>
      <w:r w:rsidRPr="00A11CC5">
        <w:rPr>
          <w:color w:val="auto"/>
          <w:lang w:val="en-AU"/>
        </w:rPr>
        <w:t>Petroleum tenements</w:t>
      </w:r>
      <w:bookmarkEnd w:id="22"/>
    </w:p>
    <w:p w14:paraId="1A7A7F44" w14:textId="77777777" w:rsidR="00F657F1" w:rsidRPr="00A11CC5" w:rsidRDefault="00F657F1" w:rsidP="00F657F1">
      <w:pPr>
        <w:spacing w:before="120"/>
        <w:rPr>
          <w:rFonts w:cs="Arial"/>
          <w:color w:val="auto"/>
          <w:u w:color="FFFFFF" w:themeColor="background1"/>
          <w:lang w:val="en-AU"/>
        </w:rPr>
      </w:pPr>
      <w:r w:rsidRPr="00A11CC5">
        <w:rPr>
          <w:rFonts w:cs="Arial"/>
          <w:color w:val="auto"/>
          <w:u w:color="FFFFFF" w:themeColor="background1"/>
          <w:lang w:val="en-AU"/>
        </w:rPr>
        <w:t xml:space="preserve">In 2017-18, no Petroleum Exploration Permits, Retention Leases or Production Leases applications were received or granted. </w:t>
      </w:r>
    </w:p>
    <w:p w14:paraId="68710BD3" w14:textId="445B7813" w:rsidR="00F657F1" w:rsidRPr="00A11CC5" w:rsidRDefault="00F657F1" w:rsidP="00F657F1">
      <w:pPr>
        <w:spacing w:before="120" w:after="0" w:line="240" w:lineRule="auto"/>
        <w:jc w:val="both"/>
        <w:rPr>
          <w:rFonts w:eastAsia="Times New Roman" w:cs="Arial"/>
          <w:b/>
          <w:color w:val="auto"/>
          <w:szCs w:val="24"/>
          <w:u w:color="FFFFFF" w:themeColor="background1"/>
          <w:lang w:val="en-AU"/>
        </w:rPr>
      </w:pPr>
      <w:r w:rsidRPr="00A11CC5">
        <w:rPr>
          <w:rFonts w:eastAsia="Times New Roman" w:cs="Arial"/>
          <w:b/>
          <w:color w:val="auto"/>
          <w:szCs w:val="24"/>
          <w:u w:color="FFFFFF" w:themeColor="background1"/>
          <w:lang w:val="en-AU"/>
        </w:rPr>
        <w:t xml:space="preserve">Table </w:t>
      </w:r>
      <w:r w:rsidR="00F21245">
        <w:rPr>
          <w:rFonts w:eastAsia="Times New Roman" w:cs="Arial"/>
          <w:b/>
          <w:color w:val="auto"/>
          <w:szCs w:val="24"/>
          <w:u w:color="FFFFFF" w:themeColor="background1"/>
          <w:lang w:val="en-AU"/>
        </w:rPr>
        <w:t>6</w:t>
      </w:r>
      <w:r w:rsidRPr="00A11CC5">
        <w:rPr>
          <w:rFonts w:eastAsia="Times New Roman" w:cs="Arial"/>
          <w:b/>
          <w:color w:val="auto"/>
          <w:szCs w:val="24"/>
          <w:u w:color="FFFFFF" w:themeColor="background1"/>
          <w:lang w:val="en-AU"/>
        </w:rPr>
        <w:t>.1 Overview of petroleum tenements current as at 30 June 2018</w:t>
      </w:r>
    </w:p>
    <w:tbl>
      <w:tblPr>
        <w:tblStyle w:val="GridTable4-Accent1"/>
        <w:tblW w:w="4948" w:type="pct"/>
        <w:tblLayout w:type="fixed"/>
        <w:tblLook w:val="05A0" w:firstRow="1" w:lastRow="0" w:firstColumn="1" w:lastColumn="1" w:noHBand="0" w:noVBand="1"/>
        <w:tblCaption w:val="Current petroleum tenements at 30 June 2016"/>
        <w:tblDescription w:val="Onshore and onshore tenements for exploration permits, retention leases, petroleum production and others."/>
      </w:tblPr>
      <w:tblGrid>
        <w:gridCol w:w="1418"/>
        <w:gridCol w:w="1698"/>
        <w:gridCol w:w="1700"/>
        <w:gridCol w:w="1961"/>
        <w:gridCol w:w="1861"/>
        <w:gridCol w:w="1327"/>
      </w:tblGrid>
      <w:tr w:rsidR="00F657F1" w:rsidRPr="00A11CC5" w14:paraId="17F6EDAC" w14:textId="77777777" w:rsidTr="006559CC">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711" w:type="pct"/>
            <w:noWrap/>
            <w:hideMark/>
          </w:tcPr>
          <w:p w14:paraId="53DF84DD" w14:textId="77777777" w:rsidR="00F657F1" w:rsidRPr="00A11CC5" w:rsidRDefault="00F657F1" w:rsidP="006559CC">
            <w:pPr>
              <w:spacing w:before="120"/>
              <w:jc w:val="both"/>
              <w:rPr>
                <w:rFonts w:eastAsia="Times New Roman" w:cs="Arial"/>
                <w:b w:val="0"/>
                <w:color w:val="auto"/>
                <w:szCs w:val="24"/>
                <w:u w:color="FFFFFF" w:themeColor="background1"/>
                <w:lang w:val="en-AU"/>
              </w:rPr>
            </w:pPr>
            <w:r w:rsidRPr="00A11CC5">
              <w:rPr>
                <w:rFonts w:eastAsia="Times New Roman" w:cs="Arial"/>
                <w:color w:val="auto"/>
                <w:szCs w:val="24"/>
                <w:u w:color="FFFFFF" w:themeColor="background1"/>
                <w:lang w:val="en-AU"/>
              </w:rPr>
              <w:t> </w:t>
            </w:r>
          </w:p>
        </w:tc>
        <w:tc>
          <w:tcPr>
            <w:tcW w:w="852" w:type="pct"/>
            <w:noWrap/>
            <w:hideMark/>
          </w:tcPr>
          <w:p w14:paraId="40F90753" w14:textId="77777777" w:rsidR="00F657F1" w:rsidRPr="00C62DDE" w:rsidRDefault="00F657F1" w:rsidP="006559CC">
            <w:pPr>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Cs w:val="24"/>
                <w:u w:color="FFFFFF" w:themeColor="background1"/>
                <w:lang w:val="en-AU"/>
              </w:rPr>
            </w:pPr>
            <w:r w:rsidRPr="00C62DDE">
              <w:rPr>
                <w:rFonts w:eastAsia="Times New Roman" w:cs="Arial"/>
                <w:color w:val="FFFFFF" w:themeColor="background1"/>
                <w:szCs w:val="24"/>
                <w:u w:color="FFFFFF" w:themeColor="background1"/>
                <w:lang w:val="en-AU"/>
              </w:rPr>
              <w:t xml:space="preserve">Petroleum Exploration Permits </w:t>
            </w:r>
          </w:p>
        </w:tc>
        <w:tc>
          <w:tcPr>
            <w:tcW w:w="853" w:type="pct"/>
            <w:noWrap/>
            <w:hideMark/>
          </w:tcPr>
          <w:p w14:paraId="2C9ACA5A" w14:textId="77777777" w:rsidR="00F657F1" w:rsidRPr="00C62DDE" w:rsidRDefault="00F657F1" w:rsidP="006559CC">
            <w:pPr>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Cs w:val="24"/>
                <w:u w:color="FFFFFF" w:themeColor="background1"/>
                <w:lang w:val="en-AU"/>
              </w:rPr>
            </w:pPr>
            <w:r w:rsidRPr="00C62DDE">
              <w:rPr>
                <w:rFonts w:eastAsia="Times New Roman" w:cs="Arial"/>
                <w:color w:val="FFFFFF" w:themeColor="background1"/>
                <w:szCs w:val="24"/>
                <w:u w:color="FFFFFF" w:themeColor="background1"/>
                <w:lang w:val="en-AU"/>
              </w:rPr>
              <w:t xml:space="preserve">Petroleum Retention Leases </w:t>
            </w:r>
          </w:p>
        </w:tc>
        <w:tc>
          <w:tcPr>
            <w:tcW w:w="984" w:type="pct"/>
            <w:noWrap/>
            <w:hideMark/>
          </w:tcPr>
          <w:p w14:paraId="4951B84F" w14:textId="77777777" w:rsidR="00F657F1" w:rsidRPr="00C62DDE" w:rsidRDefault="00F657F1" w:rsidP="006559CC">
            <w:pPr>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szCs w:val="24"/>
                <w:u w:color="FFFFFF" w:themeColor="background1"/>
                <w:lang w:val="en-AU"/>
              </w:rPr>
            </w:pPr>
            <w:r w:rsidRPr="00C62DDE">
              <w:rPr>
                <w:rFonts w:eastAsia="Times New Roman" w:cs="Arial"/>
                <w:color w:val="FFFFFF" w:themeColor="background1"/>
                <w:szCs w:val="24"/>
                <w:u w:color="FFFFFF" w:themeColor="background1"/>
                <w:lang w:val="en-AU"/>
              </w:rPr>
              <w:t xml:space="preserve">Petroleum Production Licences </w:t>
            </w:r>
          </w:p>
        </w:tc>
        <w:tc>
          <w:tcPr>
            <w:tcW w:w="934" w:type="pct"/>
          </w:tcPr>
          <w:p w14:paraId="5F1891D4" w14:textId="77777777" w:rsidR="00F657F1" w:rsidRPr="00C62DDE" w:rsidRDefault="00F657F1" w:rsidP="006559CC">
            <w:pPr>
              <w:spacing w:before="12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Cs w:val="24"/>
                <w:u w:color="FFFFFF" w:themeColor="background1"/>
                <w:lang w:val="en-AU"/>
              </w:rPr>
            </w:pPr>
            <w:r w:rsidRPr="00C62DDE">
              <w:rPr>
                <w:rFonts w:eastAsia="Times New Roman" w:cs="Arial"/>
                <w:color w:val="FFFFFF" w:themeColor="background1"/>
                <w:szCs w:val="24"/>
                <w:u w:color="FFFFFF" w:themeColor="background1"/>
                <w:lang w:val="en-AU"/>
              </w:rPr>
              <w:t>Other Tenements (PSAA, PSDA, AA)</w:t>
            </w:r>
          </w:p>
        </w:tc>
        <w:tc>
          <w:tcPr>
            <w:cnfStyle w:val="000100000000" w:firstRow="0" w:lastRow="0" w:firstColumn="0" w:lastColumn="1" w:oddVBand="0" w:evenVBand="0" w:oddHBand="0" w:evenHBand="0" w:firstRowFirstColumn="0" w:firstRowLastColumn="0" w:lastRowFirstColumn="0" w:lastRowLastColumn="0"/>
            <w:tcW w:w="666" w:type="pct"/>
          </w:tcPr>
          <w:p w14:paraId="4C9F57C5" w14:textId="77777777" w:rsidR="00F657F1" w:rsidRPr="00C62DDE" w:rsidRDefault="00F657F1" w:rsidP="006559CC">
            <w:pPr>
              <w:spacing w:before="120"/>
              <w:jc w:val="center"/>
              <w:rPr>
                <w:rFonts w:eastAsia="Times New Roman" w:cs="Arial"/>
                <w:color w:val="FFFFFF" w:themeColor="background1"/>
                <w:szCs w:val="24"/>
                <w:u w:color="FFFFFF" w:themeColor="background1"/>
                <w:lang w:val="en-AU"/>
              </w:rPr>
            </w:pPr>
            <w:r w:rsidRPr="00C62DDE">
              <w:rPr>
                <w:rFonts w:eastAsia="Times New Roman" w:cs="Arial"/>
                <w:color w:val="FFFFFF" w:themeColor="background1"/>
                <w:szCs w:val="24"/>
                <w:u w:color="FFFFFF" w:themeColor="background1"/>
                <w:lang w:val="en-AU"/>
              </w:rPr>
              <w:t>Total</w:t>
            </w:r>
          </w:p>
        </w:tc>
      </w:tr>
      <w:tr w:rsidR="00F657F1" w:rsidRPr="00A11CC5" w14:paraId="12B0D262" w14:textId="77777777" w:rsidTr="006559CC">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711" w:type="pct"/>
            <w:noWrap/>
            <w:hideMark/>
          </w:tcPr>
          <w:p w14:paraId="77088F6F" w14:textId="77777777" w:rsidR="00F657F1" w:rsidRPr="00C62DDE" w:rsidRDefault="00F657F1" w:rsidP="006559CC">
            <w:pPr>
              <w:spacing w:before="120"/>
              <w:rPr>
                <w:rFonts w:eastAsia="Times New Roman" w:cs="Arial"/>
                <w:color w:val="auto"/>
                <w:u w:color="FFFFFF" w:themeColor="background1"/>
                <w:lang w:val="en-AU"/>
              </w:rPr>
            </w:pPr>
            <w:r w:rsidRPr="00C62DDE">
              <w:rPr>
                <w:rFonts w:eastAsia="Times New Roman" w:cs="Arial"/>
                <w:color w:val="auto"/>
                <w:u w:color="FFFFFF" w:themeColor="background1"/>
                <w:lang w:val="en-AU"/>
              </w:rPr>
              <w:t>Onshore</w:t>
            </w:r>
          </w:p>
        </w:tc>
        <w:tc>
          <w:tcPr>
            <w:tcW w:w="852" w:type="pct"/>
            <w:noWrap/>
          </w:tcPr>
          <w:p w14:paraId="1E739F1F" w14:textId="77777777" w:rsidR="00F657F1" w:rsidRPr="00C62DDE" w:rsidRDefault="00F657F1" w:rsidP="006559CC">
            <w:pPr>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u w:color="FFFFFF" w:themeColor="background1"/>
                <w:lang w:val="en-AU"/>
              </w:rPr>
            </w:pPr>
            <w:r w:rsidRPr="00C62DDE">
              <w:rPr>
                <w:rFonts w:eastAsia="Times New Roman" w:cs="Arial"/>
                <w:color w:val="auto"/>
                <w:sz w:val="20"/>
                <w:szCs w:val="20"/>
                <w:u w:color="FFFFFF" w:themeColor="background1"/>
                <w:lang w:val="en-AU"/>
              </w:rPr>
              <w:t>11</w:t>
            </w:r>
          </w:p>
        </w:tc>
        <w:tc>
          <w:tcPr>
            <w:tcW w:w="853" w:type="pct"/>
            <w:noWrap/>
          </w:tcPr>
          <w:p w14:paraId="54AC1D3C" w14:textId="77777777" w:rsidR="00F657F1" w:rsidRPr="00C62DDE" w:rsidRDefault="00F657F1" w:rsidP="006559CC">
            <w:pPr>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u w:color="FFFFFF" w:themeColor="background1"/>
                <w:lang w:val="en-AU"/>
              </w:rPr>
            </w:pPr>
            <w:r w:rsidRPr="00C62DDE">
              <w:rPr>
                <w:rFonts w:eastAsia="Times New Roman" w:cs="Arial"/>
                <w:color w:val="auto"/>
                <w:sz w:val="20"/>
                <w:szCs w:val="20"/>
                <w:u w:color="FFFFFF" w:themeColor="background1"/>
                <w:lang w:val="en-AU"/>
              </w:rPr>
              <w:t>3</w:t>
            </w:r>
          </w:p>
        </w:tc>
        <w:tc>
          <w:tcPr>
            <w:tcW w:w="984" w:type="pct"/>
            <w:noWrap/>
          </w:tcPr>
          <w:p w14:paraId="69EA70BE" w14:textId="77777777" w:rsidR="00F657F1" w:rsidRPr="00C62DDE" w:rsidRDefault="00F657F1" w:rsidP="006559CC">
            <w:pPr>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u w:color="FFFFFF" w:themeColor="background1"/>
                <w:lang w:val="en-AU"/>
              </w:rPr>
            </w:pPr>
            <w:r w:rsidRPr="00C62DDE">
              <w:rPr>
                <w:rFonts w:eastAsia="Times New Roman" w:cs="Arial"/>
                <w:color w:val="auto"/>
                <w:sz w:val="20"/>
                <w:szCs w:val="20"/>
                <w:u w:color="FFFFFF" w:themeColor="background1"/>
                <w:lang w:val="en-AU"/>
              </w:rPr>
              <w:t>13</w:t>
            </w:r>
          </w:p>
        </w:tc>
        <w:tc>
          <w:tcPr>
            <w:tcW w:w="934" w:type="pct"/>
          </w:tcPr>
          <w:p w14:paraId="61F42314" w14:textId="77777777" w:rsidR="00F657F1" w:rsidRPr="00C62DDE" w:rsidRDefault="00F657F1" w:rsidP="006559CC">
            <w:pPr>
              <w:spacing w:before="120"/>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u w:color="FFFFFF" w:themeColor="background1"/>
                <w:lang w:val="en-AU"/>
              </w:rPr>
            </w:pPr>
            <w:r w:rsidRPr="00C62DDE">
              <w:rPr>
                <w:rFonts w:eastAsia="Times New Roman" w:cs="Arial"/>
                <w:color w:val="auto"/>
                <w:sz w:val="20"/>
                <w:szCs w:val="20"/>
                <w:u w:color="FFFFFF" w:themeColor="background1"/>
                <w:lang w:val="en-AU"/>
              </w:rPr>
              <w:t>2</w:t>
            </w:r>
          </w:p>
        </w:tc>
        <w:tc>
          <w:tcPr>
            <w:cnfStyle w:val="000100000000" w:firstRow="0" w:lastRow="0" w:firstColumn="0" w:lastColumn="1" w:oddVBand="0" w:evenVBand="0" w:oddHBand="0" w:evenHBand="0" w:firstRowFirstColumn="0" w:firstRowLastColumn="0" w:lastRowFirstColumn="0" w:lastRowLastColumn="0"/>
            <w:tcW w:w="666" w:type="pct"/>
          </w:tcPr>
          <w:p w14:paraId="6DF2B258" w14:textId="77777777" w:rsidR="00F657F1" w:rsidRPr="00C62DDE" w:rsidRDefault="00F657F1" w:rsidP="006559CC">
            <w:pPr>
              <w:spacing w:before="120"/>
              <w:jc w:val="center"/>
              <w:rPr>
                <w:rFonts w:eastAsia="Times New Roman" w:cs="Arial"/>
                <w:color w:val="auto"/>
                <w:sz w:val="20"/>
                <w:szCs w:val="20"/>
                <w:u w:color="FFFFFF" w:themeColor="background1"/>
                <w:lang w:val="en-AU"/>
              </w:rPr>
            </w:pPr>
            <w:r w:rsidRPr="00C62DDE">
              <w:rPr>
                <w:rFonts w:eastAsia="Times New Roman" w:cs="Arial"/>
                <w:color w:val="auto"/>
                <w:sz w:val="20"/>
                <w:szCs w:val="20"/>
                <w:u w:color="FFFFFF" w:themeColor="background1"/>
                <w:lang w:val="en-AU"/>
              </w:rPr>
              <w:t>28</w:t>
            </w:r>
          </w:p>
        </w:tc>
      </w:tr>
      <w:tr w:rsidR="00F657F1" w:rsidRPr="00A11CC5" w14:paraId="147C272B" w14:textId="77777777" w:rsidTr="006559CC">
        <w:trPr>
          <w:trHeight w:val="247"/>
        </w:trPr>
        <w:tc>
          <w:tcPr>
            <w:cnfStyle w:val="001000000000" w:firstRow="0" w:lastRow="0" w:firstColumn="1" w:lastColumn="0" w:oddVBand="0" w:evenVBand="0" w:oddHBand="0" w:evenHBand="0" w:firstRowFirstColumn="0" w:firstRowLastColumn="0" w:lastRowFirstColumn="0" w:lastRowLastColumn="0"/>
            <w:tcW w:w="711" w:type="pct"/>
            <w:noWrap/>
            <w:hideMark/>
          </w:tcPr>
          <w:p w14:paraId="2483A92F" w14:textId="77777777" w:rsidR="00F657F1" w:rsidRPr="00C62DDE" w:rsidRDefault="00F657F1" w:rsidP="006559CC">
            <w:pPr>
              <w:spacing w:before="120"/>
              <w:rPr>
                <w:rFonts w:eastAsia="Times New Roman" w:cs="Arial"/>
                <w:color w:val="auto"/>
                <w:u w:color="FFFFFF" w:themeColor="background1"/>
                <w:lang w:val="en-AU"/>
              </w:rPr>
            </w:pPr>
            <w:r w:rsidRPr="00C62DDE">
              <w:rPr>
                <w:rFonts w:eastAsia="Times New Roman" w:cs="Arial"/>
                <w:color w:val="auto"/>
                <w:u w:color="FFFFFF" w:themeColor="background1"/>
                <w:lang w:val="en-AU"/>
              </w:rPr>
              <w:t>Offshore (Vic)</w:t>
            </w:r>
          </w:p>
        </w:tc>
        <w:tc>
          <w:tcPr>
            <w:tcW w:w="852" w:type="pct"/>
            <w:noWrap/>
          </w:tcPr>
          <w:p w14:paraId="69FE30A9" w14:textId="77777777" w:rsidR="00F657F1" w:rsidRPr="00C62DDE" w:rsidRDefault="00F657F1" w:rsidP="006559CC">
            <w:pPr>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u w:color="FFFFFF" w:themeColor="background1"/>
                <w:lang w:val="en-AU"/>
              </w:rPr>
            </w:pPr>
            <w:r w:rsidRPr="00C62DDE">
              <w:rPr>
                <w:rFonts w:eastAsia="Times New Roman" w:cs="Arial"/>
                <w:color w:val="auto"/>
                <w:sz w:val="20"/>
                <w:szCs w:val="20"/>
                <w:u w:color="FFFFFF" w:themeColor="background1"/>
                <w:lang w:val="en-AU"/>
              </w:rPr>
              <w:t>3</w:t>
            </w:r>
          </w:p>
        </w:tc>
        <w:tc>
          <w:tcPr>
            <w:tcW w:w="853" w:type="pct"/>
            <w:noWrap/>
          </w:tcPr>
          <w:p w14:paraId="579DB343" w14:textId="77777777" w:rsidR="00F657F1" w:rsidRPr="00C62DDE" w:rsidRDefault="00F657F1" w:rsidP="006559CC">
            <w:pPr>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u w:color="FFFFFF" w:themeColor="background1"/>
                <w:lang w:val="en-AU"/>
              </w:rPr>
            </w:pPr>
            <w:r w:rsidRPr="00C62DDE">
              <w:rPr>
                <w:rFonts w:eastAsia="Times New Roman" w:cs="Arial"/>
                <w:color w:val="auto"/>
                <w:sz w:val="20"/>
                <w:szCs w:val="20"/>
                <w:u w:color="FFFFFF" w:themeColor="background1"/>
                <w:lang w:val="en-AU"/>
              </w:rPr>
              <w:t>1</w:t>
            </w:r>
          </w:p>
        </w:tc>
        <w:tc>
          <w:tcPr>
            <w:tcW w:w="984" w:type="pct"/>
            <w:noWrap/>
          </w:tcPr>
          <w:p w14:paraId="57F2F272" w14:textId="77777777" w:rsidR="00F657F1" w:rsidRPr="00C62DDE" w:rsidRDefault="00F657F1" w:rsidP="006559CC">
            <w:pPr>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u w:color="FFFFFF" w:themeColor="background1"/>
                <w:lang w:val="en-AU"/>
              </w:rPr>
            </w:pPr>
            <w:r w:rsidRPr="00C62DDE">
              <w:rPr>
                <w:rFonts w:eastAsia="Times New Roman" w:cs="Arial"/>
                <w:color w:val="auto"/>
                <w:sz w:val="20"/>
                <w:szCs w:val="20"/>
                <w:u w:color="FFFFFF" w:themeColor="background1"/>
                <w:lang w:val="en-AU"/>
              </w:rPr>
              <w:t>1</w:t>
            </w:r>
          </w:p>
        </w:tc>
        <w:tc>
          <w:tcPr>
            <w:tcW w:w="934" w:type="pct"/>
          </w:tcPr>
          <w:p w14:paraId="1E4BE8D7" w14:textId="77777777" w:rsidR="00F657F1" w:rsidRPr="00C62DDE" w:rsidRDefault="00F657F1" w:rsidP="006559CC">
            <w:pPr>
              <w:spacing w:before="120"/>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u w:color="FFFFFF" w:themeColor="background1"/>
                <w:lang w:val="en-AU"/>
              </w:rPr>
            </w:pPr>
            <w:r w:rsidRPr="00C62DDE">
              <w:rPr>
                <w:rFonts w:eastAsia="Times New Roman" w:cs="Arial"/>
                <w:color w:val="auto"/>
                <w:sz w:val="20"/>
                <w:szCs w:val="20"/>
                <w:u w:color="FFFFFF" w:themeColor="background1"/>
                <w:lang w:val="en-AU"/>
              </w:rPr>
              <w:t>1</w:t>
            </w:r>
          </w:p>
        </w:tc>
        <w:tc>
          <w:tcPr>
            <w:cnfStyle w:val="000100000000" w:firstRow="0" w:lastRow="0" w:firstColumn="0" w:lastColumn="1" w:oddVBand="0" w:evenVBand="0" w:oddHBand="0" w:evenHBand="0" w:firstRowFirstColumn="0" w:firstRowLastColumn="0" w:lastRowFirstColumn="0" w:lastRowLastColumn="0"/>
            <w:tcW w:w="666" w:type="pct"/>
          </w:tcPr>
          <w:p w14:paraId="61304962" w14:textId="77777777" w:rsidR="00F657F1" w:rsidRPr="00C62DDE" w:rsidRDefault="00F657F1" w:rsidP="006559CC">
            <w:pPr>
              <w:spacing w:before="120"/>
              <w:jc w:val="center"/>
              <w:rPr>
                <w:rFonts w:eastAsia="Times New Roman" w:cs="Arial"/>
                <w:color w:val="auto"/>
                <w:sz w:val="20"/>
                <w:szCs w:val="20"/>
                <w:u w:color="FFFFFF" w:themeColor="background1"/>
                <w:lang w:val="en-AU"/>
              </w:rPr>
            </w:pPr>
            <w:r w:rsidRPr="00C62DDE">
              <w:rPr>
                <w:rFonts w:eastAsia="Times New Roman" w:cs="Arial"/>
                <w:color w:val="auto"/>
                <w:sz w:val="20"/>
                <w:szCs w:val="20"/>
                <w:u w:color="FFFFFF" w:themeColor="background1"/>
                <w:lang w:val="en-AU"/>
              </w:rPr>
              <w:t>6</w:t>
            </w:r>
          </w:p>
        </w:tc>
      </w:tr>
    </w:tbl>
    <w:p w14:paraId="79F76C0B" w14:textId="77777777" w:rsidR="00F657F1" w:rsidRDefault="00F657F1" w:rsidP="00F657F1">
      <w:pPr>
        <w:spacing w:after="0" w:line="240" w:lineRule="auto"/>
        <w:jc w:val="both"/>
        <w:rPr>
          <w:rFonts w:eastAsia="Times New Roman" w:cs="Arial"/>
          <w:color w:val="auto"/>
          <w:sz w:val="16"/>
          <w:szCs w:val="24"/>
          <w:u w:color="FFFFFF" w:themeColor="background1"/>
          <w:lang w:val="en-AU"/>
        </w:rPr>
      </w:pPr>
      <w:r w:rsidRPr="00A11CC5">
        <w:rPr>
          <w:rFonts w:eastAsia="Times New Roman" w:cs="Arial"/>
          <w:color w:val="auto"/>
          <w:sz w:val="16"/>
          <w:szCs w:val="24"/>
          <w:u w:color="FFFFFF" w:themeColor="background1"/>
          <w:lang w:val="en-AU"/>
        </w:rPr>
        <w:t xml:space="preserve">Source: </w:t>
      </w:r>
      <w:r>
        <w:rPr>
          <w:rFonts w:eastAsia="Times New Roman" w:cs="Arial"/>
          <w:color w:val="auto"/>
          <w:sz w:val="16"/>
          <w:szCs w:val="24"/>
          <w:u w:color="FFFFFF" w:themeColor="background1"/>
          <w:lang w:val="en-AU"/>
        </w:rPr>
        <w:t>DJPR</w:t>
      </w:r>
    </w:p>
    <w:p w14:paraId="23F8D084" w14:textId="77777777" w:rsidR="00F657F1" w:rsidRPr="00A11CC5" w:rsidRDefault="00F657F1" w:rsidP="00F657F1">
      <w:pPr>
        <w:spacing w:after="0" w:line="240" w:lineRule="auto"/>
        <w:jc w:val="both"/>
        <w:rPr>
          <w:rFonts w:eastAsia="Times New Roman" w:cs="Arial"/>
          <w:color w:val="auto"/>
          <w:sz w:val="16"/>
          <w:szCs w:val="24"/>
          <w:u w:color="FFFFFF" w:themeColor="background1"/>
          <w:lang w:val="en-AU"/>
        </w:rPr>
      </w:pPr>
    </w:p>
    <w:p w14:paraId="1B642ECC" w14:textId="77777777" w:rsidR="00F657F1" w:rsidRPr="00A11CC5" w:rsidRDefault="00F657F1" w:rsidP="00F657F1">
      <w:pPr>
        <w:pStyle w:val="Heading4"/>
        <w:rPr>
          <w:color w:val="auto"/>
          <w:lang w:val="en-AU"/>
        </w:rPr>
      </w:pPr>
      <w:r w:rsidRPr="00A11CC5">
        <w:rPr>
          <w:color w:val="auto"/>
          <w:lang w:val="en-AU"/>
        </w:rPr>
        <w:t>Onshore</w:t>
      </w:r>
    </w:p>
    <w:p w14:paraId="6D640F97" w14:textId="77777777" w:rsidR="00F657F1" w:rsidRPr="00A11CC5" w:rsidRDefault="00F657F1" w:rsidP="00F657F1">
      <w:pPr>
        <w:pStyle w:val="BodyText"/>
        <w:spacing w:before="120" w:line="240" w:lineRule="auto"/>
        <w:rPr>
          <w:rFonts w:cs="Arial"/>
          <w:u w:color="FFFFFF" w:themeColor="background1"/>
          <w:lang w:val="en-AU"/>
        </w:rPr>
      </w:pPr>
      <w:r>
        <w:rPr>
          <w:rFonts w:cs="Arial"/>
          <w:u w:color="FFFFFF" w:themeColor="background1"/>
          <w:lang w:val="en-AU"/>
        </w:rPr>
        <w:t>Due to the onshore moratorium, there were n</w:t>
      </w:r>
      <w:r w:rsidRPr="00A11CC5">
        <w:rPr>
          <w:rFonts w:cs="Arial"/>
          <w:u w:color="FFFFFF" w:themeColor="background1"/>
          <w:lang w:val="en-AU"/>
        </w:rPr>
        <w:t>o onshore petroleum retention licence or exploration permit applications received or granted in 201</w:t>
      </w:r>
      <w:r>
        <w:rPr>
          <w:rFonts w:cs="Arial"/>
          <w:u w:color="FFFFFF" w:themeColor="background1"/>
          <w:lang w:val="en-AU"/>
        </w:rPr>
        <w:t>7</w:t>
      </w:r>
      <w:r w:rsidRPr="00A11CC5">
        <w:rPr>
          <w:rFonts w:cs="Arial"/>
          <w:u w:color="FFFFFF" w:themeColor="background1"/>
          <w:lang w:val="en-AU"/>
        </w:rPr>
        <w:t>-1</w:t>
      </w:r>
      <w:r>
        <w:rPr>
          <w:rFonts w:cs="Arial"/>
          <w:u w:color="FFFFFF" w:themeColor="background1"/>
          <w:lang w:val="en-AU"/>
        </w:rPr>
        <w:t>8</w:t>
      </w:r>
      <w:r w:rsidRPr="00A11CC5">
        <w:rPr>
          <w:rFonts w:cs="Arial"/>
          <w:u w:color="FFFFFF" w:themeColor="background1"/>
          <w:lang w:val="en-AU"/>
        </w:rPr>
        <w:t xml:space="preserve">. </w:t>
      </w:r>
    </w:p>
    <w:p w14:paraId="32B6F8A3" w14:textId="44168A32" w:rsidR="00F657F1" w:rsidRPr="00A11CC5" w:rsidRDefault="00F657F1" w:rsidP="00F657F1">
      <w:pPr>
        <w:spacing w:before="240" w:after="0"/>
        <w:jc w:val="both"/>
        <w:rPr>
          <w:rFonts w:cs="Arial"/>
          <w:b/>
          <w:color w:val="auto"/>
          <w:u w:color="FFFFFF" w:themeColor="background1"/>
          <w:lang w:val="en-AU"/>
        </w:rPr>
      </w:pPr>
      <w:r w:rsidRPr="00A11CC5">
        <w:rPr>
          <w:rFonts w:cs="Arial"/>
          <w:b/>
          <w:color w:val="auto"/>
          <w:u w:color="FFFFFF" w:themeColor="background1"/>
          <w:lang w:val="en-AU"/>
        </w:rPr>
        <w:t xml:space="preserve">Table </w:t>
      </w:r>
      <w:r w:rsidR="00F21245">
        <w:rPr>
          <w:rFonts w:cs="Arial"/>
          <w:b/>
          <w:color w:val="auto"/>
          <w:u w:color="FFFFFF" w:themeColor="background1"/>
          <w:lang w:val="en-AU"/>
        </w:rPr>
        <w:t>6</w:t>
      </w:r>
      <w:r w:rsidRPr="00A11CC5">
        <w:rPr>
          <w:rFonts w:cs="Arial"/>
          <w:b/>
          <w:color w:val="auto"/>
          <w:u w:color="FFFFFF" w:themeColor="background1"/>
          <w:lang w:val="en-AU"/>
        </w:rPr>
        <w:t xml:space="preserve">.2 Overview of onshore petroleum exploration permits </w:t>
      </w:r>
    </w:p>
    <w:tbl>
      <w:tblPr>
        <w:tblStyle w:val="GridTable4-Accent1"/>
        <w:tblW w:w="4955" w:type="pct"/>
        <w:tblLook w:val="0420" w:firstRow="1" w:lastRow="0" w:firstColumn="0" w:lastColumn="0" w:noHBand="0" w:noVBand="1"/>
        <w:tblCaption w:val="Onshore petroleum explorations recieved"/>
        <w:tblDescription w:val="Annual information for applications recieved and granted."/>
      </w:tblPr>
      <w:tblGrid>
        <w:gridCol w:w="1208"/>
        <w:gridCol w:w="1254"/>
        <w:gridCol w:w="1254"/>
        <w:gridCol w:w="1255"/>
        <w:gridCol w:w="1253"/>
        <w:gridCol w:w="1253"/>
        <w:gridCol w:w="1253"/>
        <w:gridCol w:w="1249"/>
      </w:tblGrid>
      <w:tr w:rsidR="00F657F1" w:rsidRPr="00A11CC5" w14:paraId="00D5DAB5" w14:textId="77777777" w:rsidTr="006559CC">
        <w:trPr>
          <w:cnfStyle w:val="100000000000" w:firstRow="1" w:lastRow="0" w:firstColumn="0" w:lastColumn="0" w:oddVBand="0" w:evenVBand="0" w:oddHBand="0" w:evenHBand="0" w:firstRowFirstColumn="0" w:firstRowLastColumn="0" w:lastRowFirstColumn="0" w:lastRowLastColumn="0"/>
          <w:trHeight w:val="480"/>
        </w:trPr>
        <w:tc>
          <w:tcPr>
            <w:tcW w:w="605" w:type="pct"/>
            <w:noWrap/>
            <w:vAlign w:val="center"/>
          </w:tcPr>
          <w:p w14:paraId="306D4488" w14:textId="77777777" w:rsidR="00F657F1" w:rsidRPr="00A11CC5" w:rsidRDefault="00F657F1" w:rsidP="006559CC">
            <w:pPr>
              <w:spacing w:before="120"/>
              <w:jc w:val="center"/>
              <w:rPr>
                <w:rFonts w:cs="Arial"/>
                <w:b w:val="0"/>
                <w:color w:val="auto"/>
                <w:u w:color="FFFFFF" w:themeColor="background1"/>
                <w:lang w:val="en-AU"/>
              </w:rPr>
            </w:pPr>
          </w:p>
        </w:tc>
        <w:tc>
          <w:tcPr>
            <w:tcW w:w="628" w:type="pct"/>
            <w:vAlign w:val="center"/>
          </w:tcPr>
          <w:p w14:paraId="6AEADB89"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2011-12</w:t>
            </w:r>
          </w:p>
        </w:tc>
        <w:tc>
          <w:tcPr>
            <w:tcW w:w="628" w:type="pct"/>
            <w:vAlign w:val="center"/>
          </w:tcPr>
          <w:p w14:paraId="4EF51792"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2012-13</w:t>
            </w:r>
          </w:p>
        </w:tc>
        <w:tc>
          <w:tcPr>
            <w:tcW w:w="629" w:type="pct"/>
            <w:vAlign w:val="center"/>
          </w:tcPr>
          <w:p w14:paraId="2B961F2C"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2013-14</w:t>
            </w:r>
          </w:p>
        </w:tc>
        <w:tc>
          <w:tcPr>
            <w:tcW w:w="628" w:type="pct"/>
            <w:vAlign w:val="center"/>
          </w:tcPr>
          <w:p w14:paraId="39369A60"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2014-15</w:t>
            </w:r>
          </w:p>
        </w:tc>
        <w:tc>
          <w:tcPr>
            <w:tcW w:w="628" w:type="pct"/>
            <w:vAlign w:val="center"/>
          </w:tcPr>
          <w:p w14:paraId="7ECD21F9"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2015-16</w:t>
            </w:r>
          </w:p>
        </w:tc>
        <w:tc>
          <w:tcPr>
            <w:tcW w:w="628" w:type="pct"/>
            <w:vAlign w:val="center"/>
          </w:tcPr>
          <w:p w14:paraId="1E9D4A24"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2016-17</w:t>
            </w:r>
          </w:p>
        </w:tc>
        <w:tc>
          <w:tcPr>
            <w:tcW w:w="627" w:type="pct"/>
            <w:vAlign w:val="center"/>
          </w:tcPr>
          <w:p w14:paraId="13320426"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2017-18</w:t>
            </w:r>
          </w:p>
        </w:tc>
      </w:tr>
      <w:tr w:rsidR="00F657F1" w:rsidRPr="00A11CC5" w14:paraId="1B8BB9AE" w14:textId="77777777" w:rsidTr="006559CC">
        <w:trPr>
          <w:cnfStyle w:val="000000100000" w:firstRow="0" w:lastRow="0" w:firstColumn="0" w:lastColumn="0" w:oddVBand="0" w:evenVBand="0" w:oddHBand="1" w:evenHBand="0" w:firstRowFirstColumn="0" w:firstRowLastColumn="0" w:lastRowFirstColumn="0" w:lastRowLastColumn="0"/>
          <w:trHeight w:val="750"/>
        </w:trPr>
        <w:tc>
          <w:tcPr>
            <w:tcW w:w="605" w:type="pct"/>
            <w:vAlign w:val="center"/>
          </w:tcPr>
          <w:p w14:paraId="27340E5F" w14:textId="77777777" w:rsidR="00F657F1" w:rsidRPr="00C62DDE" w:rsidRDefault="00F657F1" w:rsidP="006559CC">
            <w:pPr>
              <w:spacing w:before="120"/>
              <w:jc w:val="center"/>
              <w:rPr>
                <w:rFonts w:cs="Arial"/>
                <w:b/>
                <w:color w:val="auto"/>
                <w:u w:color="FFFFFF" w:themeColor="background1"/>
                <w:lang w:val="en-AU"/>
              </w:rPr>
            </w:pPr>
            <w:r w:rsidRPr="00C62DDE">
              <w:rPr>
                <w:rFonts w:cs="Arial"/>
                <w:b/>
                <w:color w:val="auto"/>
                <w:u w:color="FFFFFF" w:themeColor="background1"/>
                <w:lang w:val="en-AU"/>
              </w:rPr>
              <w:t>Application Received</w:t>
            </w:r>
          </w:p>
        </w:tc>
        <w:tc>
          <w:tcPr>
            <w:tcW w:w="628" w:type="pct"/>
            <w:vAlign w:val="center"/>
          </w:tcPr>
          <w:p w14:paraId="13182A55"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1</w:t>
            </w:r>
          </w:p>
        </w:tc>
        <w:tc>
          <w:tcPr>
            <w:tcW w:w="628" w:type="pct"/>
            <w:vAlign w:val="center"/>
          </w:tcPr>
          <w:p w14:paraId="211CB95D"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9" w:type="pct"/>
            <w:vAlign w:val="center"/>
          </w:tcPr>
          <w:p w14:paraId="65FFE2A3"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8" w:type="pct"/>
            <w:vAlign w:val="center"/>
          </w:tcPr>
          <w:p w14:paraId="24A6721A"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8" w:type="pct"/>
            <w:vAlign w:val="center"/>
          </w:tcPr>
          <w:p w14:paraId="20741A60"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8" w:type="pct"/>
            <w:vAlign w:val="center"/>
          </w:tcPr>
          <w:p w14:paraId="2124A0EE"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7" w:type="pct"/>
            <w:vAlign w:val="center"/>
          </w:tcPr>
          <w:p w14:paraId="153E8BF4" w14:textId="77777777" w:rsidR="00F657F1" w:rsidRPr="00A11CC5" w:rsidRDefault="00F657F1" w:rsidP="006559CC">
            <w:pPr>
              <w:spacing w:before="120"/>
              <w:jc w:val="center"/>
              <w:rPr>
                <w:rFonts w:cs="Arial"/>
                <w:color w:val="auto"/>
                <w:u w:color="FFFFFF" w:themeColor="background1"/>
                <w:lang w:val="en-AU"/>
              </w:rPr>
            </w:pPr>
            <w:r>
              <w:rPr>
                <w:rFonts w:cs="Arial"/>
                <w:color w:val="auto"/>
                <w:u w:color="FFFFFF" w:themeColor="background1"/>
                <w:lang w:val="en-AU"/>
              </w:rPr>
              <w:t>0</w:t>
            </w:r>
          </w:p>
        </w:tc>
      </w:tr>
      <w:tr w:rsidR="00F657F1" w:rsidRPr="00A11CC5" w14:paraId="5DD1C66C" w14:textId="77777777" w:rsidTr="006559CC">
        <w:trPr>
          <w:trHeight w:val="750"/>
        </w:trPr>
        <w:tc>
          <w:tcPr>
            <w:tcW w:w="605" w:type="pct"/>
            <w:vAlign w:val="center"/>
          </w:tcPr>
          <w:p w14:paraId="5A5EF7DD" w14:textId="77777777" w:rsidR="00F657F1" w:rsidRPr="00C62DDE" w:rsidRDefault="00F657F1" w:rsidP="006559CC">
            <w:pPr>
              <w:spacing w:before="120"/>
              <w:jc w:val="center"/>
              <w:rPr>
                <w:rFonts w:cs="Arial"/>
                <w:b/>
                <w:color w:val="auto"/>
                <w:u w:color="FFFFFF" w:themeColor="background1"/>
                <w:lang w:val="en-AU"/>
              </w:rPr>
            </w:pPr>
            <w:r w:rsidRPr="00C62DDE">
              <w:rPr>
                <w:rFonts w:cs="Arial"/>
                <w:b/>
                <w:color w:val="auto"/>
                <w:u w:color="FFFFFF" w:themeColor="background1"/>
                <w:lang w:val="en-AU"/>
              </w:rPr>
              <w:t>Granted</w:t>
            </w:r>
          </w:p>
        </w:tc>
        <w:tc>
          <w:tcPr>
            <w:tcW w:w="628" w:type="pct"/>
            <w:vAlign w:val="center"/>
          </w:tcPr>
          <w:p w14:paraId="0857C735"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8" w:type="pct"/>
            <w:vAlign w:val="center"/>
          </w:tcPr>
          <w:p w14:paraId="2A8201A4"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2</w:t>
            </w:r>
          </w:p>
        </w:tc>
        <w:tc>
          <w:tcPr>
            <w:tcW w:w="629" w:type="pct"/>
            <w:vAlign w:val="center"/>
          </w:tcPr>
          <w:p w14:paraId="5885ABB2"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2</w:t>
            </w:r>
          </w:p>
        </w:tc>
        <w:tc>
          <w:tcPr>
            <w:tcW w:w="628" w:type="pct"/>
            <w:vAlign w:val="center"/>
          </w:tcPr>
          <w:p w14:paraId="1B18B192"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8" w:type="pct"/>
            <w:vAlign w:val="center"/>
          </w:tcPr>
          <w:p w14:paraId="1D60E2B7"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8" w:type="pct"/>
            <w:vAlign w:val="center"/>
          </w:tcPr>
          <w:p w14:paraId="28E6548F"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7" w:type="pct"/>
            <w:vAlign w:val="center"/>
          </w:tcPr>
          <w:p w14:paraId="2746AFC4" w14:textId="77777777" w:rsidR="00F657F1" w:rsidRPr="00A11CC5" w:rsidRDefault="00F657F1" w:rsidP="006559CC">
            <w:pPr>
              <w:spacing w:before="120"/>
              <w:jc w:val="center"/>
              <w:rPr>
                <w:rFonts w:cs="Arial"/>
                <w:color w:val="auto"/>
                <w:u w:color="FFFFFF" w:themeColor="background1"/>
                <w:lang w:val="en-AU"/>
              </w:rPr>
            </w:pPr>
            <w:r>
              <w:rPr>
                <w:rFonts w:cs="Arial"/>
                <w:color w:val="auto"/>
                <w:u w:color="FFFFFF" w:themeColor="background1"/>
                <w:lang w:val="en-AU"/>
              </w:rPr>
              <w:t>0</w:t>
            </w:r>
          </w:p>
        </w:tc>
      </w:tr>
    </w:tbl>
    <w:p w14:paraId="53B5FD5E" w14:textId="77777777" w:rsidR="00F657F1" w:rsidRDefault="00F657F1" w:rsidP="00F657F1">
      <w:pPr>
        <w:jc w:val="both"/>
        <w:rPr>
          <w:rFonts w:cs="Arial"/>
          <w:color w:val="auto"/>
          <w:sz w:val="16"/>
          <w:u w:color="FFFFFF" w:themeColor="background1"/>
          <w:lang w:val="en-AU"/>
        </w:rPr>
      </w:pPr>
      <w:r w:rsidRPr="00A11CC5">
        <w:rPr>
          <w:rFonts w:cs="Arial"/>
          <w:color w:val="auto"/>
          <w:sz w:val="16"/>
          <w:u w:color="FFFFFF" w:themeColor="background1"/>
          <w:lang w:val="en-AU"/>
        </w:rPr>
        <w:t xml:space="preserve">Source: </w:t>
      </w:r>
      <w:r>
        <w:rPr>
          <w:rFonts w:cs="Arial"/>
          <w:color w:val="auto"/>
          <w:sz w:val="16"/>
          <w:u w:color="FFFFFF" w:themeColor="background1"/>
          <w:lang w:val="en-AU"/>
        </w:rPr>
        <w:t>DJPR</w:t>
      </w:r>
    </w:p>
    <w:p w14:paraId="07C5DAB7" w14:textId="77777777" w:rsidR="00F657F1" w:rsidRPr="00A11CC5" w:rsidRDefault="00F657F1" w:rsidP="00F657F1">
      <w:pPr>
        <w:jc w:val="both"/>
        <w:rPr>
          <w:rFonts w:cs="Arial"/>
          <w:b/>
          <w:color w:val="auto"/>
          <w:u w:color="FFFFFF" w:themeColor="background1"/>
          <w:lang w:val="en-AU"/>
        </w:rPr>
      </w:pPr>
    </w:p>
    <w:p w14:paraId="4C64509B" w14:textId="2F11F418" w:rsidR="00F657F1" w:rsidRPr="00A11CC5" w:rsidRDefault="00F657F1" w:rsidP="00F657F1">
      <w:pPr>
        <w:spacing w:before="240" w:after="0"/>
        <w:jc w:val="both"/>
        <w:rPr>
          <w:rFonts w:cs="Arial"/>
          <w:b/>
          <w:color w:val="auto"/>
          <w:u w:color="FFFFFF" w:themeColor="background1"/>
          <w:lang w:val="en-AU"/>
        </w:rPr>
      </w:pPr>
      <w:r w:rsidRPr="00A11CC5">
        <w:rPr>
          <w:rFonts w:cs="Arial"/>
          <w:b/>
          <w:color w:val="auto"/>
          <w:u w:color="FFFFFF" w:themeColor="background1"/>
          <w:lang w:val="en-AU"/>
        </w:rPr>
        <w:t xml:space="preserve">Table </w:t>
      </w:r>
      <w:r w:rsidR="00F21245">
        <w:rPr>
          <w:rFonts w:cs="Arial"/>
          <w:b/>
          <w:color w:val="auto"/>
          <w:u w:color="FFFFFF" w:themeColor="background1"/>
          <w:lang w:val="en-AU"/>
        </w:rPr>
        <w:t>6</w:t>
      </w:r>
      <w:r w:rsidRPr="00A11CC5">
        <w:rPr>
          <w:rFonts w:cs="Arial"/>
          <w:b/>
          <w:color w:val="auto"/>
          <w:u w:color="FFFFFF" w:themeColor="background1"/>
          <w:lang w:val="en-AU"/>
        </w:rPr>
        <w:t xml:space="preserve">.3 Overview of onshore petroleum retention licences </w:t>
      </w:r>
    </w:p>
    <w:tbl>
      <w:tblPr>
        <w:tblStyle w:val="GridTable4-Accent1"/>
        <w:tblW w:w="4946" w:type="pct"/>
        <w:tblLook w:val="0420" w:firstRow="1" w:lastRow="0" w:firstColumn="0" w:lastColumn="0" w:noHBand="0" w:noVBand="1"/>
        <w:tblCaption w:val="Onsure peteroleum retention licences"/>
        <w:tblDescription w:val="Annual breakdown which shows zero between 2011-2016"/>
      </w:tblPr>
      <w:tblGrid>
        <w:gridCol w:w="1286"/>
        <w:gridCol w:w="1287"/>
        <w:gridCol w:w="1287"/>
        <w:gridCol w:w="1283"/>
        <w:gridCol w:w="1283"/>
        <w:gridCol w:w="1283"/>
        <w:gridCol w:w="1128"/>
        <w:gridCol w:w="1124"/>
      </w:tblGrid>
      <w:tr w:rsidR="00F657F1" w:rsidRPr="00A11CC5" w14:paraId="051A9F00" w14:textId="77777777" w:rsidTr="006559CC">
        <w:trPr>
          <w:cnfStyle w:val="100000000000" w:firstRow="1" w:lastRow="0" w:firstColumn="0" w:lastColumn="0" w:oddVBand="0" w:evenVBand="0" w:oddHBand="0" w:evenHBand="0" w:firstRowFirstColumn="0" w:firstRowLastColumn="0" w:lastRowFirstColumn="0" w:lastRowLastColumn="0"/>
          <w:trHeight w:val="486"/>
        </w:trPr>
        <w:tc>
          <w:tcPr>
            <w:tcW w:w="646" w:type="pct"/>
            <w:noWrap/>
            <w:vAlign w:val="center"/>
          </w:tcPr>
          <w:p w14:paraId="3F753801" w14:textId="77777777" w:rsidR="00F657F1" w:rsidRPr="00A11CC5" w:rsidRDefault="00F657F1" w:rsidP="006559CC">
            <w:pPr>
              <w:spacing w:before="120"/>
              <w:jc w:val="center"/>
              <w:rPr>
                <w:rFonts w:cs="Arial"/>
                <w:b w:val="0"/>
                <w:color w:val="auto"/>
                <w:u w:color="FFFFFF" w:themeColor="background1"/>
                <w:lang w:val="en-AU"/>
              </w:rPr>
            </w:pPr>
          </w:p>
        </w:tc>
        <w:tc>
          <w:tcPr>
            <w:tcW w:w="646" w:type="pct"/>
            <w:vAlign w:val="center"/>
          </w:tcPr>
          <w:p w14:paraId="0EF25535"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2011-12</w:t>
            </w:r>
          </w:p>
        </w:tc>
        <w:tc>
          <w:tcPr>
            <w:tcW w:w="646" w:type="pct"/>
            <w:vAlign w:val="center"/>
          </w:tcPr>
          <w:p w14:paraId="01BB99BD"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2012-13</w:t>
            </w:r>
          </w:p>
        </w:tc>
        <w:tc>
          <w:tcPr>
            <w:tcW w:w="644" w:type="pct"/>
            <w:vAlign w:val="center"/>
          </w:tcPr>
          <w:p w14:paraId="1505A614"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2013-14</w:t>
            </w:r>
          </w:p>
        </w:tc>
        <w:tc>
          <w:tcPr>
            <w:tcW w:w="644" w:type="pct"/>
            <w:vAlign w:val="center"/>
          </w:tcPr>
          <w:p w14:paraId="14C10C83"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2014-15</w:t>
            </w:r>
          </w:p>
        </w:tc>
        <w:tc>
          <w:tcPr>
            <w:tcW w:w="644" w:type="pct"/>
            <w:vAlign w:val="center"/>
          </w:tcPr>
          <w:p w14:paraId="4D09AD65"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2015-16</w:t>
            </w:r>
          </w:p>
        </w:tc>
        <w:tc>
          <w:tcPr>
            <w:tcW w:w="566" w:type="pct"/>
            <w:vAlign w:val="center"/>
          </w:tcPr>
          <w:p w14:paraId="074DD130"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2016-17</w:t>
            </w:r>
          </w:p>
        </w:tc>
        <w:tc>
          <w:tcPr>
            <w:tcW w:w="566" w:type="pct"/>
            <w:vAlign w:val="center"/>
          </w:tcPr>
          <w:p w14:paraId="4F5EDB94"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2017-18</w:t>
            </w:r>
          </w:p>
        </w:tc>
      </w:tr>
      <w:tr w:rsidR="00F657F1" w:rsidRPr="00A11CC5" w14:paraId="190AD40E" w14:textId="77777777" w:rsidTr="006559CC">
        <w:trPr>
          <w:cnfStyle w:val="000000100000" w:firstRow="0" w:lastRow="0" w:firstColumn="0" w:lastColumn="0" w:oddVBand="0" w:evenVBand="0" w:oddHBand="1" w:evenHBand="0" w:firstRowFirstColumn="0" w:firstRowLastColumn="0" w:lastRowFirstColumn="0" w:lastRowLastColumn="0"/>
          <w:trHeight w:val="700"/>
        </w:trPr>
        <w:tc>
          <w:tcPr>
            <w:tcW w:w="646" w:type="pct"/>
            <w:vAlign w:val="center"/>
          </w:tcPr>
          <w:p w14:paraId="69527B7E" w14:textId="77777777" w:rsidR="00F657F1" w:rsidRPr="00C62DDE" w:rsidRDefault="00F657F1" w:rsidP="006559CC">
            <w:pPr>
              <w:spacing w:before="120"/>
              <w:jc w:val="center"/>
              <w:rPr>
                <w:rFonts w:cs="Arial"/>
                <w:b/>
                <w:color w:val="auto"/>
                <w:u w:color="FFFFFF" w:themeColor="background1"/>
                <w:lang w:val="en-AU"/>
              </w:rPr>
            </w:pPr>
            <w:r w:rsidRPr="00C62DDE">
              <w:rPr>
                <w:rFonts w:cs="Arial"/>
                <w:b/>
                <w:color w:val="auto"/>
                <w:u w:color="FFFFFF" w:themeColor="background1"/>
                <w:lang w:val="en-AU"/>
              </w:rPr>
              <w:t>Application Received</w:t>
            </w:r>
          </w:p>
        </w:tc>
        <w:tc>
          <w:tcPr>
            <w:tcW w:w="646" w:type="pct"/>
            <w:vAlign w:val="center"/>
          </w:tcPr>
          <w:p w14:paraId="1C588F54"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46" w:type="pct"/>
            <w:vAlign w:val="center"/>
          </w:tcPr>
          <w:p w14:paraId="0C7F5B57"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44" w:type="pct"/>
            <w:vAlign w:val="center"/>
          </w:tcPr>
          <w:p w14:paraId="0CDFD992"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44" w:type="pct"/>
            <w:vAlign w:val="center"/>
          </w:tcPr>
          <w:p w14:paraId="02AA7C07"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44" w:type="pct"/>
            <w:vAlign w:val="center"/>
          </w:tcPr>
          <w:p w14:paraId="6164BEAE"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566" w:type="pct"/>
            <w:vAlign w:val="center"/>
          </w:tcPr>
          <w:p w14:paraId="70F40482"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566" w:type="pct"/>
            <w:vAlign w:val="center"/>
          </w:tcPr>
          <w:p w14:paraId="5C5DE443" w14:textId="77777777" w:rsidR="00F657F1" w:rsidRPr="00A11CC5" w:rsidRDefault="00F657F1" w:rsidP="006559CC">
            <w:pPr>
              <w:spacing w:before="120"/>
              <w:jc w:val="center"/>
              <w:rPr>
                <w:rFonts w:cs="Arial"/>
                <w:color w:val="auto"/>
                <w:u w:color="FFFFFF" w:themeColor="background1"/>
                <w:lang w:val="en-AU"/>
              </w:rPr>
            </w:pPr>
            <w:r>
              <w:rPr>
                <w:rFonts w:cs="Arial"/>
                <w:color w:val="auto"/>
                <w:u w:color="FFFFFF" w:themeColor="background1"/>
                <w:lang w:val="en-AU"/>
              </w:rPr>
              <w:t>0</w:t>
            </w:r>
          </w:p>
        </w:tc>
      </w:tr>
      <w:tr w:rsidR="00F657F1" w:rsidRPr="00A11CC5" w14:paraId="23C84574" w14:textId="77777777" w:rsidTr="006559CC">
        <w:trPr>
          <w:trHeight w:val="700"/>
        </w:trPr>
        <w:tc>
          <w:tcPr>
            <w:tcW w:w="646" w:type="pct"/>
            <w:vAlign w:val="center"/>
          </w:tcPr>
          <w:p w14:paraId="4F75DE46" w14:textId="77777777" w:rsidR="00F657F1" w:rsidRPr="00C62DDE" w:rsidRDefault="00F657F1" w:rsidP="006559CC">
            <w:pPr>
              <w:spacing w:before="120"/>
              <w:jc w:val="center"/>
              <w:rPr>
                <w:rFonts w:cs="Arial"/>
                <w:b/>
                <w:color w:val="auto"/>
                <w:u w:color="FFFFFF" w:themeColor="background1"/>
                <w:lang w:val="en-AU"/>
              </w:rPr>
            </w:pPr>
            <w:r w:rsidRPr="00C62DDE">
              <w:rPr>
                <w:rFonts w:cs="Arial"/>
                <w:b/>
                <w:color w:val="auto"/>
                <w:u w:color="FFFFFF" w:themeColor="background1"/>
                <w:lang w:val="en-AU"/>
              </w:rPr>
              <w:t>Granted</w:t>
            </w:r>
          </w:p>
        </w:tc>
        <w:tc>
          <w:tcPr>
            <w:tcW w:w="646" w:type="pct"/>
            <w:vAlign w:val="center"/>
          </w:tcPr>
          <w:p w14:paraId="77DCFE51"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46" w:type="pct"/>
            <w:vAlign w:val="center"/>
          </w:tcPr>
          <w:p w14:paraId="74154FED"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44" w:type="pct"/>
            <w:vAlign w:val="center"/>
          </w:tcPr>
          <w:p w14:paraId="70A82384"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44" w:type="pct"/>
            <w:vAlign w:val="center"/>
          </w:tcPr>
          <w:p w14:paraId="7D6778DC"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44" w:type="pct"/>
            <w:vAlign w:val="center"/>
          </w:tcPr>
          <w:p w14:paraId="05947E25"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566" w:type="pct"/>
            <w:vAlign w:val="center"/>
          </w:tcPr>
          <w:p w14:paraId="2CB80C69"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566" w:type="pct"/>
            <w:vAlign w:val="center"/>
          </w:tcPr>
          <w:p w14:paraId="2BC0F01D" w14:textId="77777777" w:rsidR="00F657F1" w:rsidRPr="00A11CC5" w:rsidRDefault="00F657F1" w:rsidP="006559CC">
            <w:pPr>
              <w:spacing w:before="120"/>
              <w:jc w:val="center"/>
              <w:rPr>
                <w:rFonts w:cs="Arial"/>
                <w:color w:val="auto"/>
                <w:u w:color="FFFFFF" w:themeColor="background1"/>
                <w:lang w:val="en-AU"/>
              </w:rPr>
            </w:pPr>
            <w:r>
              <w:rPr>
                <w:rFonts w:cs="Arial"/>
                <w:color w:val="auto"/>
                <w:u w:color="FFFFFF" w:themeColor="background1"/>
                <w:lang w:val="en-AU"/>
              </w:rPr>
              <w:t>0</w:t>
            </w:r>
          </w:p>
        </w:tc>
      </w:tr>
    </w:tbl>
    <w:p w14:paraId="551D4077" w14:textId="77777777" w:rsidR="00F657F1" w:rsidRPr="00A11CC5" w:rsidRDefault="00F657F1" w:rsidP="00F657F1">
      <w:pPr>
        <w:jc w:val="both"/>
        <w:rPr>
          <w:rFonts w:cs="Arial"/>
          <w:color w:val="auto"/>
          <w:sz w:val="16"/>
          <w:u w:color="FFFFFF" w:themeColor="background1"/>
          <w:lang w:val="en-AU"/>
        </w:rPr>
      </w:pPr>
      <w:r w:rsidRPr="00A11CC5">
        <w:rPr>
          <w:rFonts w:cs="Arial"/>
          <w:color w:val="auto"/>
          <w:sz w:val="16"/>
          <w:u w:color="FFFFFF" w:themeColor="background1"/>
          <w:lang w:val="en-AU"/>
        </w:rPr>
        <w:t xml:space="preserve">Source: </w:t>
      </w:r>
      <w:r>
        <w:rPr>
          <w:rFonts w:cs="Arial"/>
          <w:color w:val="auto"/>
          <w:sz w:val="16"/>
          <w:u w:color="FFFFFF" w:themeColor="background1"/>
          <w:lang w:val="en-AU"/>
        </w:rPr>
        <w:t>DJPR</w:t>
      </w:r>
    </w:p>
    <w:p w14:paraId="5E3F0074" w14:textId="77777777" w:rsidR="00F657F1" w:rsidRPr="00A11CC5" w:rsidRDefault="00F657F1" w:rsidP="00F657F1">
      <w:pPr>
        <w:widowControl/>
        <w:suppressAutoHyphens w:val="0"/>
        <w:autoSpaceDE/>
        <w:autoSpaceDN/>
        <w:adjustRightInd/>
        <w:spacing w:before="200" w:after="200" w:line="276" w:lineRule="auto"/>
        <w:textAlignment w:val="auto"/>
        <w:rPr>
          <w:rFonts w:cs="Arial"/>
          <w:b/>
          <w:bCs/>
          <w:color w:val="auto"/>
          <w:sz w:val="24"/>
          <w:szCs w:val="24"/>
          <w:u w:color="FFFFFF" w:themeColor="background1"/>
          <w:lang w:val="en-AU"/>
        </w:rPr>
      </w:pPr>
      <w:r w:rsidRPr="00A11CC5">
        <w:rPr>
          <w:rFonts w:cs="Arial"/>
          <w:color w:val="auto"/>
          <w:sz w:val="24"/>
          <w:szCs w:val="24"/>
          <w:u w:color="FFFFFF" w:themeColor="background1"/>
          <w:lang w:val="en-AU"/>
        </w:rPr>
        <w:br w:type="page"/>
      </w:r>
    </w:p>
    <w:p w14:paraId="32013935" w14:textId="77777777" w:rsidR="00F657F1" w:rsidRPr="00A11CC5" w:rsidRDefault="00F657F1" w:rsidP="00F657F1">
      <w:pPr>
        <w:pStyle w:val="Heading4"/>
        <w:rPr>
          <w:color w:val="auto"/>
          <w:lang w:val="en-AU"/>
        </w:rPr>
      </w:pPr>
      <w:r w:rsidRPr="00A11CC5">
        <w:rPr>
          <w:color w:val="auto"/>
          <w:lang w:val="en-AU"/>
        </w:rPr>
        <w:lastRenderedPageBreak/>
        <w:t>Offshore (Victorian Waters)</w:t>
      </w:r>
    </w:p>
    <w:p w14:paraId="73FC82A3" w14:textId="77777777" w:rsidR="00F657F1" w:rsidRPr="00A11CC5" w:rsidRDefault="00F657F1" w:rsidP="00F657F1">
      <w:pPr>
        <w:pStyle w:val="BodyText"/>
        <w:spacing w:before="120" w:line="240" w:lineRule="auto"/>
        <w:rPr>
          <w:rFonts w:cs="Arial"/>
          <w:u w:color="FFFFFF" w:themeColor="background1"/>
          <w:lang w:val="en-AU"/>
        </w:rPr>
      </w:pPr>
      <w:r w:rsidRPr="00A11CC5">
        <w:rPr>
          <w:rFonts w:cs="Arial"/>
          <w:u w:color="FFFFFF" w:themeColor="background1"/>
          <w:lang w:val="en-AU"/>
        </w:rPr>
        <w:t xml:space="preserve">No offshore petroleum </w:t>
      </w:r>
      <w:r>
        <w:rPr>
          <w:rFonts w:cs="Arial"/>
          <w:u w:color="FFFFFF" w:themeColor="background1"/>
          <w:lang w:val="en-AU"/>
        </w:rPr>
        <w:t>permits were received or granted in 2017-18</w:t>
      </w:r>
    </w:p>
    <w:p w14:paraId="392CA5FF" w14:textId="5EA9DE4A" w:rsidR="00F657F1" w:rsidRPr="00A11CC5" w:rsidRDefault="00F657F1" w:rsidP="00F657F1">
      <w:pPr>
        <w:pStyle w:val="BodyText"/>
        <w:spacing w:before="240" w:after="0"/>
        <w:rPr>
          <w:rFonts w:cs="Arial"/>
          <w:b/>
          <w:u w:color="FFFFFF" w:themeColor="background1"/>
          <w:lang w:val="en-AU"/>
        </w:rPr>
      </w:pPr>
      <w:r w:rsidRPr="00A11CC5">
        <w:rPr>
          <w:rFonts w:cs="Arial"/>
          <w:b/>
          <w:u w:color="FFFFFF" w:themeColor="background1"/>
          <w:lang w:val="en-AU"/>
        </w:rPr>
        <w:t xml:space="preserve">Table </w:t>
      </w:r>
      <w:r w:rsidR="00F21245">
        <w:rPr>
          <w:rFonts w:cs="Arial"/>
          <w:b/>
          <w:u w:color="FFFFFF" w:themeColor="background1"/>
          <w:lang w:val="en-AU"/>
        </w:rPr>
        <w:t>6</w:t>
      </w:r>
      <w:r w:rsidRPr="00A11CC5">
        <w:rPr>
          <w:rFonts w:cs="Arial"/>
          <w:b/>
          <w:u w:color="FFFFFF" w:themeColor="background1"/>
          <w:lang w:val="en-AU"/>
        </w:rPr>
        <w:t xml:space="preserve">.4 Overview of offshore petroleum exploration permits </w:t>
      </w:r>
    </w:p>
    <w:tbl>
      <w:tblPr>
        <w:tblStyle w:val="GridTable4-Accent1"/>
        <w:tblW w:w="5000" w:type="pct"/>
        <w:tblLook w:val="0420" w:firstRow="1" w:lastRow="0" w:firstColumn="0" w:lastColumn="0" w:noHBand="0" w:noVBand="1"/>
        <w:tblCaption w:val="offshore pertoleum exploration permits"/>
        <w:tblDescription w:val="Applications received and granted between 2011-16"/>
      </w:tblPr>
      <w:tblGrid>
        <w:gridCol w:w="1258"/>
        <w:gridCol w:w="1260"/>
        <w:gridCol w:w="1259"/>
        <w:gridCol w:w="1261"/>
        <w:gridCol w:w="1259"/>
        <w:gridCol w:w="1261"/>
        <w:gridCol w:w="1257"/>
        <w:gridCol w:w="1255"/>
      </w:tblGrid>
      <w:tr w:rsidR="00F657F1" w:rsidRPr="00A11CC5" w14:paraId="3FF16ED9" w14:textId="77777777" w:rsidTr="006559CC">
        <w:trPr>
          <w:cnfStyle w:val="100000000000" w:firstRow="1" w:lastRow="0" w:firstColumn="0" w:lastColumn="0" w:oddVBand="0" w:evenVBand="0" w:oddHBand="0" w:evenHBand="0" w:firstRowFirstColumn="0" w:firstRowLastColumn="0" w:lastRowFirstColumn="0" w:lastRowLastColumn="0"/>
          <w:trHeight w:val="314"/>
        </w:trPr>
        <w:tc>
          <w:tcPr>
            <w:tcW w:w="625" w:type="pct"/>
            <w:noWrap/>
          </w:tcPr>
          <w:p w14:paraId="00E8E801" w14:textId="77777777" w:rsidR="00F657F1" w:rsidRPr="00A11CC5" w:rsidRDefault="00F657F1" w:rsidP="006559CC">
            <w:pPr>
              <w:spacing w:before="120"/>
              <w:jc w:val="both"/>
              <w:rPr>
                <w:rFonts w:cs="Arial"/>
                <w:color w:val="auto"/>
                <w:u w:color="FFFFFF" w:themeColor="background1"/>
                <w:lang w:val="en-AU"/>
              </w:rPr>
            </w:pPr>
          </w:p>
        </w:tc>
        <w:tc>
          <w:tcPr>
            <w:tcW w:w="626" w:type="pct"/>
          </w:tcPr>
          <w:p w14:paraId="021922F8"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2011-12</w:t>
            </w:r>
          </w:p>
        </w:tc>
        <w:tc>
          <w:tcPr>
            <w:tcW w:w="625" w:type="pct"/>
          </w:tcPr>
          <w:p w14:paraId="195F24D7"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2012-13</w:t>
            </w:r>
          </w:p>
        </w:tc>
        <w:tc>
          <w:tcPr>
            <w:tcW w:w="626" w:type="pct"/>
          </w:tcPr>
          <w:p w14:paraId="7215198A"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2013-14</w:t>
            </w:r>
          </w:p>
        </w:tc>
        <w:tc>
          <w:tcPr>
            <w:tcW w:w="625" w:type="pct"/>
          </w:tcPr>
          <w:p w14:paraId="2E81B4FD"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2014-15</w:t>
            </w:r>
          </w:p>
        </w:tc>
        <w:tc>
          <w:tcPr>
            <w:tcW w:w="626" w:type="pct"/>
          </w:tcPr>
          <w:p w14:paraId="410914B8"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2015-16</w:t>
            </w:r>
          </w:p>
        </w:tc>
        <w:tc>
          <w:tcPr>
            <w:tcW w:w="624" w:type="pct"/>
          </w:tcPr>
          <w:p w14:paraId="146CA346"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2016-17</w:t>
            </w:r>
          </w:p>
        </w:tc>
        <w:tc>
          <w:tcPr>
            <w:tcW w:w="623" w:type="pct"/>
          </w:tcPr>
          <w:p w14:paraId="26C07266" w14:textId="77777777" w:rsidR="00F657F1" w:rsidRPr="00C62DDE" w:rsidRDefault="00F657F1" w:rsidP="006559CC">
            <w:pPr>
              <w:spacing w:before="120"/>
              <w:jc w:val="center"/>
              <w:rPr>
                <w:rFonts w:cs="Arial"/>
                <w:color w:val="FFFFFF" w:themeColor="background1"/>
                <w:u w:color="FFFFFF" w:themeColor="background1"/>
                <w:lang w:val="en-AU"/>
              </w:rPr>
            </w:pPr>
            <w:r w:rsidRPr="00C62DDE">
              <w:rPr>
                <w:rFonts w:cs="Arial"/>
                <w:color w:val="FFFFFF" w:themeColor="background1"/>
                <w:u w:color="FFFFFF" w:themeColor="background1"/>
                <w:lang w:val="en-AU"/>
              </w:rPr>
              <w:t>2017-18</w:t>
            </w:r>
          </w:p>
        </w:tc>
      </w:tr>
      <w:tr w:rsidR="00F657F1" w:rsidRPr="00A11CC5" w14:paraId="47D2505F" w14:textId="77777777" w:rsidTr="006559CC">
        <w:trPr>
          <w:cnfStyle w:val="000000100000" w:firstRow="0" w:lastRow="0" w:firstColumn="0" w:lastColumn="0" w:oddVBand="0" w:evenVBand="0" w:oddHBand="1" w:evenHBand="0" w:firstRowFirstColumn="0" w:firstRowLastColumn="0" w:lastRowFirstColumn="0" w:lastRowLastColumn="0"/>
          <w:trHeight w:val="296"/>
        </w:trPr>
        <w:tc>
          <w:tcPr>
            <w:tcW w:w="625" w:type="pct"/>
            <w:vAlign w:val="center"/>
          </w:tcPr>
          <w:p w14:paraId="2C3652B9" w14:textId="77777777" w:rsidR="00F657F1" w:rsidRPr="00522ECE" w:rsidRDefault="00F657F1" w:rsidP="006559CC">
            <w:pPr>
              <w:spacing w:before="120"/>
              <w:jc w:val="center"/>
              <w:rPr>
                <w:rFonts w:cs="Arial"/>
                <w:b/>
                <w:color w:val="auto"/>
                <w:u w:color="FFFFFF" w:themeColor="background1"/>
                <w:lang w:val="en-AU"/>
              </w:rPr>
            </w:pPr>
            <w:r w:rsidRPr="00522ECE">
              <w:rPr>
                <w:rFonts w:cs="Arial"/>
                <w:b/>
                <w:color w:val="auto"/>
                <w:u w:color="FFFFFF" w:themeColor="background1"/>
                <w:lang w:val="en-AU"/>
              </w:rPr>
              <w:t>Application Received</w:t>
            </w:r>
          </w:p>
        </w:tc>
        <w:tc>
          <w:tcPr>
            <w:tcW w:w="626" w:type="pct"/>
            <w:vAlign w:val="center"/>
          </w:tcPr>
          <w:p w14:paraId="3B105F85"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7E2D42C3"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6" w:type="pct"/>
            <w:vAlign w:val="center"/>
          </w:tcPr>
          <w:p w14:paraId="29671DB0"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2</w:t>
            </w:r>
          </w:p>
        </w:tc>
        <w:tc>
          <w:tcPr>
            <w:tcW w:w="625" w:type="pct"/>
            <w:vAlign w:val="center"/>
          </w:tcPr>
          <w:p w14:paraId="73EAC3AC"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6" w:type="pct"/>
            <w:vAlign w:val="center"/>
          </w:tcPr>
          <w:p w14:paraId="10619C6B"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4" w:type="pct"/>
            <w:vAlign w:val="center"/>
          </w:tcPr>
          <w:p w14:paraId="0BBA5CF6"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3" w:type="pct"/>
            <w:vAlign w:val="center"/>
          </w:tcPr>
          <w:p w14:paraId="078D03AA" w14:textId="77777777" w:rsidR="00F657F1" w:rsidRPr="00A11CC5" w:rsidRDefault="00F657F1" w:rsidP="006559CC">
            <w:pPr>
              <w:spacing w:before="120"/>
              <w:jc w:val="center"/>
              <w:rPr>
                <w:rFonts w:cs="Arial"/>
                <w:color w:val="auto"/>
                <w:u w:color="FFFFFF" w:themeColor="background1"/>
                <w:lang w:val="en-AU"/>
              </w:rPr>
            </w:pPr>
            <w:r>
              <w:rPr>
                <w:rFonts w:cs="Arial"/>
                <w:color w:val="auto"/>
                <w:u w:color="FFFFFF" w:themeColor="background1"/>
                <w:lang w:val="en-AU"/>
              </w:rPr>
              <w:t>0</w:t>
            </w:r>
          </w:p>
        </w:tc>
      </w:tr>
      <w:tr w:rsidR="00F657F1" w:rsidRPr="00A11CC5" w14:paraId="40F8AAFD" w14:textId="77777777" w:rsidTr="006559CC">
        <w:trPr>
          <w:trHeight w:val="314"/>
        </w:trPr>
        <w:tc>
          <w:tcPr>
            <w:tcW w:w="625" w:type="pct"/>
            <w:vAlign w:val="center"/>
          </w:tcPr>
          <w:p w14:paraId="6A622E84" w14:textId="77777777" w:rsidR="00F657F1" w:rsidRPr="00522ECE" w:rsidRDefault="00F657F1" w:rsidP="006559CC">
            <w:pPr>
              <w:spacing w:before="120"/>
              <w:jc w:val="center"/>
              <w:rPr>
                <w:rFonts w:cs="Arial"/>
                <w:b/>
                <w:color w:val="auto"/>
                <w:u w:color="FFFFFF" w:themeColor="background1"/>
                <w:lang w:val="en-AU"/>
              </w:rPr>
            </w:pPr>
            <w:r w:rsidRPr="00522ECE">
              <w:rPr>
                <w:rFonts w:cs="Arial"/>
                <w:b/>
                <w:color w:val="auto"/>
                <w:u w:color="FFFFFF" w:themeColor="background1"/>
                <w:lang w:val="en-AU"/>
              </w:rPr>
              <w:t>Granted</w:t>
            </w:r>
          </w:p>
        </w:tc>
        <w:tc>
          <w:tcPr>
            <w:tcW w:w="626" w:type="pct"/>
            <w:vAlign w:val="center"/>
          </w:tcPr>
          <w:p w14:paraId="539F6E45"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1</w:t>
            </w:r>
          </w:p>
        </w:tc>
        <w:tc>
          <w:tcPr>
            <w:tcW w:w="625" w:type="pct"/>
            <w:vAlign w:val="center"/>
          </w:tcPr>
          <w:p w14:paraId="2656319F"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6" w:type="pct"/>
            <w:vAlign w:val="center"/>
          </w:tcPr>
          <w:p w14:paraId="53BA7175"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329F8765"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2</w:t>
            </w:r>
          </w:p>
        </w:tc>
        <w:tc>
          <w:tcPr>
            <w:tcW w:w="626" w:type="pct"/>
            <w:vAlign w:val="center"/>
          </w:tcPr>
          <w:p w14:paraId="2D1A0B21"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4" w:type="pct"/>
            <w:vAlign w:val="center"/>
          </w:tcPr>
          <w:p w14:paraId="5B29B7DE"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3" w:type="pct"/>
            <w:vAlign w:val="center"/>
          </w:tcPr>
          <w:p w14:paraId="6A7FB968" w14:textId="77777777" w:rsidR="00F657F1" w:rsidRPr="00A11CC5" w:rsidRDefault="00F657F1" w:rsidP="006559CC">
            <w:pPr>
              <w:spacing w:before="120"/>
              <w:jc w:val="center"/>
              <w:rPr>
                <w:rFonts w:cs="Arial"/>
                <w:color w:val="auto"/>
                <w:u w:color="FFFFFF" w:themeColor="background1"/>
                <w:lang w:val="en-AU"/>
              </w:rPr>
            </w:pPr>
            <w:r>
              <w:rPr>
                <w:rFonts w:cs="Arial"/>
                <w:color w:val="auto"/>
                <w:u w:color="FFFFFF" w:themeColor="background1"/>
                <w:lang w:val="en-AU"/>
              </w:rPr>
              <w:t>0</w:t>
            </w:r>
          </w:p>
        </w:tc>
      </w:tr>
    </w:tbl>
    <w:p w14:paraId="1EC48E71" w14:textId="77777777" w:rsidR="00F657F1" w:rsidRDefault="00F657F1" w:rsidP="00F657F1">
      <w:pPr>
        <w:pStyle w:val="BodyText"/>
        <w:spacing w:before="0" w:after="0"/>
        <w:rPr>
          <w:rFonts w:cs="Arial"/>
          <w:u w:color="FFFFFF" w:themeColor="background1"/>
          <w:lang w:val="en-AU"/>
        </w:rPr>
      </w:pPr>
      <w:r w:rsidRPr="00A11CC5">
        <w:rPr>
          <w:rFonts w:cs="Arial"/>
          <w:u w:color="FFFFFF" w:themeColor="background1"/>
          <w:lang w:val="en-AU"/>
        </w:rPr>
        <w:t xml:space="preserve">Source: </w:t>
      </w:r>
      <w:r>
        <w:rPr>
          <w:rFonts w:cs="Arial"/>
          <w:u w:color="FFFFFF" w:themeColor="background1"/>
          <w:lang w:val="en-AU"/>
        </w:rPr>
        <w:t>DJPR</w:t>
      </w:r>
    </w:p>
    <w:p w14:paraId="7599596B" w14:textId="77777777" w:rsidR="00F657F1" w:rsidRDefault="00F657F1" w:rsidP="00F657F1">
      <w:pPr>
        <w:rPr>
          <w:lang w:val="en-AU"/>
        </w:rPr>
      </w:pPr>
    </w:p>
    <w:p w14:paraId="17084BF2" w14:textId="77777777" w:rsidR="00F657F1" w:rsidRPr="00C62DDE" w:rsidRDefault="00F657F1" w:rsidP="00F657F1">
      <w:pPr>
        <w:rPr>
          <w:lang w:val="en-AU"/>
        </w:rPr>
      </w:pPr>
    </w:p>
    <w:p w14:paraId="34562FF2" w14:textId="6DB44CCC" w:rsidR="00F657F1" w:rsidRPr="00A11CC5" w:rsidRDefault="00F657F1" w:rsidP="00F657F1">
      <w:pPr>
        <w:pStyle w:val="BodyText"/>
        <w:spacing w:before="120" w:after="0"/>
        <w:rPr>
          <w:rFonts w:cs="Arial"/>
          <w:b/>
          <w:u w:color="FFFFFF" w:themeColor="background1"/>
          <w:lang w:val="en-AU"/>
        </w:rPr>
      </w:pPr>
      <w:r w:rsidRPr="00A11CC5">
        <w:rPr>
          <w:rFonts w:cs="Arial"/>
          <w:b/>
          <w:u w:color="FFFFFF" w:themeColor="background1"/>
          <w:lang w:val="en-AU"/>
        </w:rPr>
        <w:t xml:space="preserve">Table </w:t>
      </w:r>
      <w:r w:rsidR="00F21245">
        <w:rPr>
          <w:rFonts w:cs="Arial"/>
          <w:b/>
          <w:u w:color="FFFFFF" w:themeColor="background1"/>
          <w:lang w:val="en-AU"/>
        </w:rPr>
        <w:t>6</w:t>
      </w:r>
      <w:r w:rsidRPr="00A11CC5">
        <w:rPr>
          <w:rFonts w:cs="Arial"/>
          <w:b/>
          <w:u w:color="FFFFFF" w:themeColor="background1"/>
          <w:lang w:val="en-AU"/>
        </w:rPr>
        <w:t xml:space="preserve">.5 Overview of offshore petroleum retention leases </w:t>
      </w:r>
    </w:p>
    <w:tbl>
      <w:tblPr>
        <w:tblStyle w:val="GridTable4-Accent1"/>
        <w:tblW w:w="5000" w:type="pct"/>
        <w:tblLook w:val="0420" w:firstRow="1" w:lastRow="0" w:firstColumn="0" w:lastColumn="0" w:noHBand="0" w:noVBand="1"/>
        <w:tblCaption w:val="Offshore pertoleum retention leases"/>
        <w:tblDescription w:val="Applications received and granted between 2011-16"/>
      </w:tblPr>
      <w:tblGrid>
        <w:gridCol w:w="1259"/>
        <w:gridCol w:w="1261"/>
        <w:gridCol w:w="1259"/>
        <w:gridCol w:w="1261"/>
        <w:gridCol w:w="1259"/>
        <w:gridCol w:w="1261"/>
        <w:gridCol w:w="1257"/>
        <w:gridCol w:w="1253"/>
      </w:tblGrid>
      <w:tr w:rsidR="00F657F1" w:rsidRPr="00A11CC5" w14:paraId="45FD525C" w14:textId="77777777" w:rsidTr="006559CC">
        <w:trPr>
          <w:cnfStyle w:val="100000000000" w:firstRow="1" w:lastRow="0" w:firstColumn="0" w:lastColumn="0" w:oddVBand="0" w:evenVBand="0" w:oddHBand="0" w:evenHBand="0" w:firstRowFirstColumn="0" w:firstRowLastColumn="0" w:lastRowFirstColumn="0" w:lastRowLastColumn="0"/>
          <w:trHeight w:val="303"/>
        </w:trPr>
        <w:tc>
          <w:tcPr>
            <w:tcW w:w="625" w:type="pct"/>
            <w:noWrap/>
          </w:tcPr>
          <w:p w14:paraId="697A371F" w14:textId="77777777" w:rsidR="00F657F1" w:rsidRPr="00A11CC5" w:rsidRDefault="00F657F1" w:rsidP="006559CC">
            <w:pPr>
              <w:spacing w:before="120"/>
              <w:jc w:val="both"/>
              <w:rPr>
                <w:rFonts w:cs="Arial"/>
                <w:color w:val="auto"/>
                <w:u w:color="FFFFFF" w:themeColor="background1"/>
                <w:lang w:val="en-AU"/>
              </w:rPr>
            </w:pPr>
          </w:p>
        </w:tc>
        <w:tc>
          <w:tcPr>
            <w:tcW w:w="626" w:type="pct"/>
          </w:tcPr>
          <w:p w14:paraId="10A182CC"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2011-12</w:t>
            </w:r>
          </w:p>
        </w:tc>
        <w:tc>
          <w:tcPr>
            <w:tcW w:w="625" w:type="pct"/>
          </w:tcPr>
          <w:p w14:paraId="1F237A1E"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2012-13</w:t>
            </w:r>
          </w:p>
        </w:tc>
        <w:tc>
          <w:tcPr>
            <w:tcW w:w="626" w:type="pct"/>
          </w:tcPr>
          <w:p w14:paraId="2F10989B"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2013-14</w:t>
            </w:r>
          </w:p>
        </w:tc>
        <w:tc>
          <w:tcPr>
            <w:tcW w:w="625" w:type="pct"/>
          </w:tcPr>
          <w:p w14:paraId="2ABB45A1"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2014-15</w:t>
            </w:r>
          </w:p>
        </w:tc>
        <w:tc>
          <w:tcPr>
            <w:tcW w:w="626" w:type="pct"/>
          </w:tcPr>
          <w:p w14:paraId="6D6B0ABA"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2015-16</w:t>
            </w:r>
          </w:p>
        </w:tc>
        <w:tc>
          <w:tcPr>
            <w:tcW w:w="624" w:type="pct"/>
          </w:tcPr>
          <w:p w14:paraId="3E876839"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2016-17</w:t>
            </w:r>
          </w:p>
        </w:tc>
        <w:tc>
          <w:tcPr>
            <w:tcW w:w="622" w:type="pct"/>
          </w:tcPr>
          <w:p w14:paraId="6BB626D9"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2017-18</w:t>
            </w:r>
          </w:p>
        </w:tc>
      </w:tr>
      <w:tr w:rsidR="00F657F1" w:rsidRPr="00A11CC5" w14:paraId="67CCA72B" w14:textId="77777777" w:rsidTr="006559CC">
        <w:trPr>
          <w:cnfStyle w:val="000000100000" w:firstRow="0" w:lastRow="0" w:firstColumn="0" w:lastColumn="0" w:oddVBand="0" w:evenVBand="0" w:oddHBand="1" w:evenHBand="0" w:firstRowFirstColumn="0" w:firstRowLastColumn="0" w:lastRowFirstColumn="0" w:lastRowLastColumn="0"/>
          <w:trHeight w:val="285"/>
        </w:trPr>
        <w:tc>
          <w:tcPr>
            <w:tcW w:w="625" w:type="pct"/>
            <w:vAlign w:val="center"/>
          </w:tcPr>
          <w:p w14:paraId="224D7342" w14:textId="77777777" w:rsidR="00F657F1" w:rsidRPr="00522ECE" w:rsidRDefault="00F657F1" w:rsidP="006559CC">
            <w:pPr>
              <w:spacing w:before="120"/>
              <w:jc w:val="center"/>
              <w:rPr>
                <w:rFonts w:cs="Arial"/>
                <w:b/>
                <w:color w:val="auto"/>
                <w:u w:color="FFFFFF" w:themeColor="background1"/>
                <w:lang w:val="en-AU"/>
              </w:rPr>
            </w:pPr>
            <w:r w:rsidRPr="00522ECE">
              <w:rPr>
                <w:rFonts w:cs="Arial"/>
                <w:b/>
                <w:color w:val="auto"/>
                <w:u w:color="FFFFFF" w:themeColor="background1"/>
                <w:lang w:val="en-AU"/>
              </w:rPr>
              <w:t>Application Received</w:t>
            </w:r>
          </w:p>
        </w:tc>
        <w:tc>
          <w:tcPr>
            <w:tcW w:w="626" w:type="pct"/>
            <w:vAlign w:val="center"/>
          </w:tcPr>
          <w:p w14:paraId="104B6AAB"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3847E4BC"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6" w:type="pct"/>
            <w:vAlign w:val="center"/>
          </w:tcPr>
          <w:p w14:paraId="391EC621"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6CA3C4EA"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6" w:type="pct"/>
            <w:vAlign w:val="center"/>
          </w:tcPr>
          <w:p w14:paraId="61C6388C"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4" w:type="pct"/>
            <w:vAlign w:val="center"/>
          </w:tcPr>
          <w:p w14:paraId="0C74304C"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2" w:type="pct"/>
            <w:vAlign w:val="center"/>
          </w:tcPr>
          <w:p w14:paraId="606D9A7D" w14:textId="77777777" w:rsidR="00F657F1" w:rsidRPr="00A11CC5" w:rsidRDefault="00F657F1" w:rsidP="006559CC">
            <w:pPr>
              <w:spacing w:before="120"/>
              <w:jc w:val="center"/>
              <w:rPr>
                <w:rFonts w:cs="Arial"/>
                <w:color w:val="auto"/>
                <w:u w:color="FFFFFF" w:themeColor="background1"/>
                <w:lang w:val="en-AU"/>
              </w:rPr>
            </w:pPr>
            <w:r>
              <w:rPr>
                <w:rFonts w:cs="Arial"/>
                <w:color w:val="auto"/>
                <w:u w:color="FFFFFF" w:themeColor="background1"/>
                <w:lang w:val="en-AU"/>
              </w:rPr>
              <w:t>0</w:t>
            </w:r>
          </w:p>
        </w:tc>
      </w:tr>
      <w:tr w:rsidR="00F657F1" w:rsidRPr="00A11CC5" w14:paraId="09992744" w14:textId="77777777" w:rsidTr="006559CC">
        <w:trPr>
          <w:trHeight w:val="303"/>
        </w:trPr>
        <w:tc>
          <w:tcPr>
            <w:tcW w:w="625" w:type="pct"/>
            <w:vAlign w:val="center"/>
          </w:tcPr>
          <w:p w14:paraId="3135FCD5" w14:textId="77777777" w:rsidR="00F657F1" w:rsidRPr="00522ECE" w:rsidRDefault="00F657F1" w:rsidP="006559CC">
            <w:pPr>
              <w:spacing w:before="120"/>
              <w:jc w:val="center"/>
              <w:rPr>
                <w:rFonts w:cs="Arial"/>
                <w:b/>
                <w:color w:val="auto"/>
                <w:u w:color="FFFFFF" w:themeColor="background1"/>
                <w:lang w:val="en-AU"/>
              </w:rPr>
            </w:pPr>
            <w:r w:rsidRPr="00522ECE">
              <w:rPr>
                <w:rFonts w:cs="Arial"/>
                <w:b/>
                <w:color w:val="auto"/>
                <w:u w:color="FFFFFF" w:themeColor="background1"/>
                <w:lang w:val="en-AU"/>
              </w:rPr>
              <w:t>Granted</w:t>
            </w:r>
          </w:p>
        </w:tc>
        <w:tc>
          <w:tcPr>
            <w:tcW w:w="626" w:type="pct"/>
            <w:vAlign w:val="center"/>
          </w:tcPr>
          <w:p w14:paraId="7F31338B"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1D93563B"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6" w:type="pct"/>
            <w:vAlign w:val="center"/>
          </w:tcPr>
          <w:p w14:paraId="385FDD4A"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50B94124"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6" w:type="pct"/>
            <w:vAlign w:val="center"/>
          </w:tcPr>
          <w:p w14:paraId="6E04D313"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4" w:type="pct"/>
            <w:vAlign w:val="center"/>
          </w:tcPr>
          <w:p w14:paraId="4A22674E"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2" w:type="pct"/>
            <w:vAlign w:val="center"/>
          </w:tcPr>
          <w:p w14:paraId="24E1E84A" w14:textId="77777777" w:rsidR="00F657F1" w:rsidRPr="00A11CC5" w:rsidRDefault="00F657F1" w:rsidP="006559CC">
            <w:pPr>
              <w:spacing w:before="120"/>
              <w:jc w:val="center"/>
              <w:rPr>
                <w:rFonts w:cs="Arial"/>
                <w:color w:val="auto"/>
                <w:u w:color="FFFFFF" w:themeColor="background1"/>
                <w:lang w:val="en-AU"/>
              </w:rPr>
            </w:pPr>
            <w:r>
              <w:rPr>
                <w:rFonts w:cs="Arial"/>
                <w:color w:val="auto"/>
                <w:u w:color="FFFFFF" w:themeColor="background1"/>
                <w:lang w:val="en-AU"/>
              </w:rPr>
              <w:t>0</w:t>
            </w:r>
          </w:p>
        </w:tc>
      </w:tr>
    </w:tbl>
    <w:p w14:paraId="53842103" w14:textId="77777777" w:rsidR="00F657F1" w:rsidRDefault="00F657F1" w:rsidP="00F657F1">
      <w:pPr>
        <w:pStyle w:val="BodyText"/>
        <w:spacing w:before="0" w:after="0"/>
        <w:rPr>
          <w:rFonts w:cs="Arial"/>
          <w:u w:color="FFFFFF" w:themeColor="background1"/>
          <w:lang w:val="en-AU"/>
        </w:rPr>
      </w:pPr>
      <w:r w:rsidRPr="00A11CC5">
        <w:rPr>
          <w:rFonts w:cs="Arial"/>
          <w:u w:color="FFFFFF" w:themeColor="background1"/>
          <w:lang w:val="en-AU"/>
        </w:rPr>
        <w:t xml:space="preserve">Source: </w:t>
      </w:r>
      <w:r>
        <w:rPr>
          <w:rFonts w:cs="Arial"/>
          <w:u w:color="FFFFFF" w:themeColor="background1"/>
          <w:lang w:val="en-AU"/>
        </w:rPr>
        <w:t>DJPR</w:t>
      </w:r>
    </w:p>
    <w:p w14:paraId="0EF34A9B" w14:textId="77777777" w:rsidR="00F657F1" w:rsidRDefault="00F657F1" w:rsidP="00F657F1">
      <w:pPr>
        <w:rPr>
          <w:lang w:val="en-AU"/>
        </w:rPr>
      </w:pPr>
    </w:p>
    <w:p w14:paraId="2681DFF9" w14:textId="77777777" w:rsidR="00F657F1" w:rsidRPr="00C62DDE" w:rsidRDefault="00F657F1" w:rsidP="00F657F1">
      <w:pPr>
        <w:rPr>
          <w:lang w:val="en-AU"/>
        </w:rPr>
      </w:pPr>
    </w:p>
    <w:p w14:paraId="5F7A07C1" w14:textId="37979EAA" w:rsidR="00F657F1" w:rsidRPr="00A11CC5" w:rsidRDefault="00F657F1" w:rsidP="00F657F1">
      <w:pPr>
        <w:pStyle w:val="BodyText"/>
        <w:spacing w:before="120" w:after="0"/>
        <w:rPr>
          <w:rFonts w:cs="Arial"/>
          <w:b/>
          <w:u w:color="FFFFFF" w:themeColor="background1"/>
          <w:lang w:val="en-AU"/>
        </w:rPr>
      </w:pPr>
      <w:r w:rsidRPr="00A11CC5">
        <w:rPr>
          <w:rFonts w:cs="Arial"/>
          <w:b/>
          <w:u w:color="FFFFFF" w:themeColor="background1"/>
          <w:lang w:val="en-AU"/>
        </w:rPr>
        <w:t xml:space="preserve">Table </w:t>
      </w:r>
      <w:r w:rsidR="00F21245">
        <w:rPr>
          <w:rFonts w:cs="Arial"/>
          <w:b/>
          <w:u w:color="FFFFFF" w:themeColor="background1"/>
          <w:lang w:val="en-AU"/>
        </w:rPr>
        <w:t>6</w:t>
      </w:r>
      <w:r w:rsidRPr="00A11CC5">
        <w:rPr>
          <w:rFonts w:cs="Arial"/>
          <w:b/>
          <w:u w:color="FFFFFF" w:themeColor="background1"/>
          <w:lang w:val="en-AU"/>
        </w:rPr>
        <w:t xml:space="preserve">.6 Overview of offshore petroleum production licences </w:t>
      </w:r>
    </w:p>
    <w:tbl>
      <w:tblPr>
        <w:tblStyle w:val="GridTable4-Accent1"/>
        <w:tblW w:w="5000" w:type="pct"/>
        <w:tblLook w:val="0420" w:firstRow="1" w:lastRow="0" w:firstColumn="0" w:lastColumn="0" w:noHBand="0" w:noVBand="1"/>
        <w:tblCaption w:val="Offshore petroleum production licences"/>
        <w:tblDescription w:val="Applications received and granted between 2011-16"/>
      </w:tblPr>
      <w:tblGrid>
        <w:gridCol w:w="1258"/>
        <w:gridCol w:w="1260"/>
        <w:gridCol w:w="1259"/>
        <w:gridCol w:w="1261"/>
        <w:gridCol w:w="1259"/>
        <w:gridCol w:w="1261"/>
        <w:gridCol w:w="1257"/>
        <w:gridCol w:w="1255"/>
      </w:tblGrid>
      <w:tr w:rsidR="00F657F1" w:rsidRPr="00522ECE" w14:paraId="4A2EAB83" w14:textId="77777777" w:rsidTr="006559CC">
        <w:trPr>
          <w:cnfStyle w:val="100000000000" w:firstRow="1" w:lastRow="0" w:firstColumn="0" w:lastColumn="0" w:oddVBand="0" w:evenVBand="0" w:oddHBand="0" w:evenHBand="0" w:firstRowFirstColumn="0" w:firstRowLastColumn="0" w:lastRowFirstColumn="0" w:lastRowLastColumn="0"/>
          <w:trHeight w:val="286"/>
        </w:trPr>
        <w:tc>
          <w:tcPr>
            <w:tcW w:w="625" w:type="pct"/>
            <w:noWrap/>
          </w:tcPr>
          <w:p w14:paraId="67886F12" w14:textId="77777777" w:rsidR="00F657F1" w:rsidRPr="00A11CC5" w:rsidRDefault="00F657F1" w:rsidP="006559CC">
            <w:pPr>
              <w:spacing w:before="120"/>
              <w:jc w:val="both"/>
              <w:rPr>
                <w:rFonts w:cs="Arial"/>
                <w:color w:val="auto"/>
                <w:u w:color="FFFFFF" w:themeColor="background1"/>
                <w:lang w:val="en-AU"/>
              </w:rPr>
            </w:pPr>
          </w:p>
        </w:tc>
        <w:tc>
          <w:tcPr>
            <w:tcW w:w="626" w:type="pct"/>
          </w:tcPr>
          <w:p w14:paraId="7819FE52"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2011-12</w:t>
            </w:r>
          </w:p>
        </w:tc>
        <w:tc>
          <w:tcPr>
            <w:tcW w:w="625" w:type="pct"/>
          </w:tcPr>
          <w:p w14:paraId="183E8880"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2012-13</w:t>
            </w:r>
          </w:p>
        </w:tc>
        <w:tc>
          <w:tcPr>
            <w:tcW w:w="626" w:type="pct"/>
          </w:tcPr>
          <w:p w14:paraId="320761F4"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2013-14</w:t>
            </w:r>
          </w:p>
        </w:tc>
        <w:tc>
          <w:tcPr>
            <w:tcW w:w="625" w:type="pct"/>
          </w:tcPr>
          <w:p w14:paraId="6045A41B"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2014-15</w:t>
            </w:r>
          </w:p>
        </w:tc>
        <w:tc>
          <w:tcPr>
            <w:tcW w:w="626" w:type="pct"/>
          </w:tcPr>
          <w:p w14:paraId="6AB5912C"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2015-16</w:t>
            </w:r>
          </w:p>
        </w:tc>
        <w:tc>
          <w:tcPr>
            <w:tcW w:w="624" w:type="pct"/>
          </w:tcPr>
          <w:p w14:paraId="528F3E5E"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2016-17</w:t>
            </w:r>
          </w:p>
        </w:tc>
        <w:tc>
          <w:tcPr>
            <w:tcW w:w="623" w:type="pct"/>
          </w:tcPr>
          <w:p w14:paraId="5C587FE0"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2017-18</w:t>
            </w:r>
          </w:p>
        </w:tc>
      </w:tr>
      <w:tr w:rsidR="00F657F1" w:rsidRPr="00A11CC5" w14:paraId="3E6E1DCF" w14:textId="77777777" w:rsidTr="006559CC">
        <w:trPr>
          <w:cnfStyle w:val="000000100000" w:firstRow="0" w:lastRow="0" w:firstColumn="0" w:lastColumn="0" w:oddVBand="0" w:evenVBand="0" w:oddHBand="1" w:evenHBand="0" w:firstRowFirstColumn="0" w:firstRowLastColumn="0" w:lastRowFirstColumn="0" w:lastRowLastColumn="0"/>
          <w:trHeight w:val="269"/>
        </w:trPr>
        <w:tc>
          <w:tcPr>
            <w:tcW w:w="625" w:type="pct"/>
            <w:vAlign w:val="center"/>
          </w:tcPr>
          <w:p w14:paraId="7B769315" w14:textId="77777777" w:rsidR="00F657F1" w:rsidRPr="00522ECE" w:rsidRDefault="00F657F1" w:rsidP="006559CC">
            <w:pPr>
              <w:spacing w:before="120"/>
              <w:jc w:val="center"/>
              <w:rPr>
                <w:rFonts w:cs="Arial"/>
                <w:b/>
                <w:color w:val="auto"/>
                <w:u w:color="FFFFFF" w:themeColor="background1"/>
                <w:lang w:val="en-AU"/>
              </w:rPr>
            </w:pPr>
            <w:r w:rsidRPr="00522ECE">
              <w:rPr>
                <w:rFonts w:cs="Arial"/>
                <w:b/>
                <w:color w:val="auto"/>
                <w:u w:color="FFFFFF" w:themeColor="background1"/>
                <w:lang w:val="en-AU"/>
              </w:rPr>
              <w:t>Application Received</w:t>
            </w:r>
          </w:p>
        </w:tc>
        <w:tc>
          <w:tcPr>
            <w:tcW w:w="626" w:type="pct"/>
            <w:vAlign w:val="center"/>
          </w:tcPr>
          <w:p w14:paraId="0EF58C4F"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7D1479F4"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6" w:type="pct"/>
            <w:vAlign w:val="center"/>
          </w:tcPr>
          <w:p w14:paraId="15977BE1"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1</w:t>
            </w:r>
          </w:p>
        </w:tc>
        <w:tc>
          <w:tcPr>
            <w:tcW w:w="625" w:type="pct"/>
            <w:vAlign w:val="center"/>
          </w:tcPr>
          <w:p w14:paraId="6F78327D"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6" w:type="pct"/>
            <w:vAlign w:val="center"/>
          </w:tcPr>
          <w:p w14:paraId="7135D7C0"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4" w:type="pct"/>
            <w:vAlign w:val="center"/>
          </w:tcPr>
          <w:p w14:paraId="39A2C1C8" w14:textId="77777777" w:rsidR="00F657F1" w:rsidRPr="00A11CC5" w:rsidRDefault="00F657F1" w:rsidP="006559CC">
            <w:pPr>
              <w:spacing w:before="120"/>
              <w:jc w:val="center"/>
              <w:rPr>
                <w:rFonts w:cs="Arial"/>
                <w:color w:val="auto"/>
                <w:u w:color="FFFFFF" w:themeColor="background1"/>
                <w:lang w:val="en-AU"/>
              </w:rPr>
            </w:pPr>
            <w:r>
              <w:rPr>
                <w:rFonts w:cs="Arial"/>
                <w:color w:val="auto"/>
                <w:u w:color="FFFFFF" w:themeColor="background1"/>
                <w:lang w:val="en-AU"/>
              </w:rPr>
              <w:t>0</w:t>
            </w:r>
          </w:p>
        </w:tc>
        <w:tc>
          <w:tcPr>
            <w:tcW w:w="623" w:type="pct"/>
            <w:vAlign w:val="center"/>
          </w:tcPr>
          <w:p w14:paraId="33F0F830"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r>
      <w:tr w:rsidR="00F657F1" w:rsidRPr="00A11CC5" w14:paraId="65DDAA8B" w14:textId="77777777" w:rsidTr="006559CC">
        <w:trPr>
          <w:trHeight w:val="286"/>
        </w:trPr>
        <w:tc>
          <w:tcPr>
            <w:tcW w:w="625" w:type="pct"/>
            <w:vAlign w:val="center"/>
          </w:tcPr>
          <w:p w14:paraId="217A55E8" w14:textId="77777777" w:rsidR="00F657F1" w:rsidRPr="00522ECE" w:rsidRDefault="00F657F1" w:rsidP="006559CC">
            <w:pPr>
              <w:spacing w:before="120"/>
              <w:jc w:val="center"/>
              <w:rPr>
                <w:rFonts w:cs="Arial"/>
                <w:b/>
                <w:color w:val="auto"/>
                <w:u w:color="FFFFFF" w:themeColor="background1"/>
                <w:lang w:val="en-AU"/>
              </w:rPr>
            </w:pPr>
            <w:r w:rsidRPr="00522ECE">
              <w:rPr>
                <w:rFonts w:cs="Arial"/>
                <w:b/>
                <w:color w:val="auto"/>
                <w:u w:color="FFFFFF" w:themeColor="background1"/>
                <w:lang w:val="en-AU"/>
              </w:rPr>
              <w:t>Granted</w:t>
            </w:r>
          </w:p>
        </w:tc>
        <w:tc>
          <w:tcPr>
            <w:tcW w:w="626" w:type="pct"/>
            <w:vAlign w:val="center"/>
          </w:tcPr>
          <w:p w14:paraId="6D3E7899"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10A58530"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6" w:type="pct"/>
            <w:vAlign w:val="center"/>
          </w:tcPr>
          <w:p w14:paraId="38F342CD"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67568D6F"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1</w:t>
            </w:r>
          </w:p>
        </w:tc>
        <w:tc>
          <w:tcPr>
            <w:tcW w:w="626" w:type="pct"/>
            <w:vAlign w:val="center"/>
          </w:tcPr>
          <w:p w14:paraId="7E7CC8CA"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4" w:type="pct"/>
            <w:vAlign w:val="center"/>
          </w:tcPr>
          <w:p w14:paraId="142FFC0D" w14:textId="77777777" w:rsidR="00F657F1" w:rsidRPr="00A11CC5" w:rsidRDefault="00F657F1" w:rsidP="006559CC">
            <w:pPr>
              <w:spacing w:before="120"/>
              <w:jc w:val="center"/>
              <w:rPr>
                <w:rFonts w:cs="Arial"/>
                <w:color w:val="auto"/>
                <w:u w:color="FFFFFF" w:themeColor="background1"/>
                <w:lang w:val="en-AU"/>
              </w:rPr>
            </w:pPr>
            <w:r>
              <w:rPr>
                <w:rFonts w:cs="Arial"/>
                <w:color w:val="auto"/>
                <w:u w:color="FFFFFF" w:themeColor="background1"/>
                <w:lang w:val="en-AU"/>
              </w:rPr>
              <w:t>0</w:t>
            </w:r>
          </w:p>
        </w:tc>
        <w:tc>
          <w:tcPr>
            <w:tcW w:w="623" w:type="pct"/>
            <w:vAlign w:val="center"/>
          </w:tcPr>
          <w:p w14:paraId="0FE52C35"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r>
    </w:tbl>
    <w:p w14:paraId="03E486AB" w14:textId="77777777" w:rsidR="00F657F1" w:rsidRDefault="00F657F1" w:rsidP="00F657F1">
      <w:pPr>
        <w:pStyle w:val="BodyText"/>
        <w:spacing w:before="0" w:after="0"/>
        <w:rPr>
          <w:rFonts w:cs="Arial"/>
          <w:u w:color="FFFFFF" w:themeColor="background1"/>
          <w:lang w:val="en-AU"/>
        </w:rPr>
      </w:pPr>
      <w:r w:rsidRPr="00A11CC5">
        <w:rPr>
          <w:rFonts w:cs="Arial"/>
          <w:u w:color="FFFFFF" w:themeColor="background1"/>
          <w:lang w:val="en-AU"/>
        </w:rPr>
        <w:t xml:space="preserve">Source: </w:t>
      </w:r>
      <w:r>
        <w:rPr>
          <w:rFonts w:cs="Arial"/>
          <w:u w:color="FFFFFF" w:themeColor="background1"/>
          <w:lang w:val="en-AU"/>
        </w:rPr>
        <w:t>DJPR</w:t>
      </w:r>
    </w:p>
    <w:p w14:paraId="710EFE5F" w14:textId="77777777" w:rsidR="00F657F1" w:rsidRDefault="00F657F1" w:rsidP="00F657F1">
      <w:pPr>
        <w:rPr>
          <w:lang w:val="en-AU"/>
        </w:rPr>
      </w:pPr>
    </w:p>
    <w:p w14:paraId="674181D0" w14:textId="77777777" w:rsidR="00F657F1" w:rsidRPr="00C62DDE" w:rsidRDefault="00F657F1" w:rsidP="00F657F1">
      <w:pPr>
        <w:rPr>
          <w:lang w:val="en-AU"/>
        </w:rPr>
      </w:pPr>
    </w:p>
    <w:p w14:paraId="571DF9C7" w14:textId="77777777" w:rsidR="00F657F1" w:rsidRPr="00A11CC5" w:rsidRDefault="00F657F1" w:rsidP="00F657F1">
      <w:pPr>
        <w:pStyle w:val="Heading4"/>
        <w:rPr>
          <w:color w:val="auto"/>
          <w:lang w:val="en-AU"/>
        </w:rPr>
      </w:pPr>
      <w:r w:rsidRPr="00A11CC5">
        <w:rPr>
          <w:color w:val="auto"/>
          <w:lang w:val="en-AU"/>
        </w:rPr>
        <w:t>Greenhouse gas storage</w:t>
      </w:r>
    </w:p>
    <w:p w14:paraId="340432BE" w14:textId="77777777" w:rsidR="00F657F1" w:rsidRPr="00A11CC5" w:rsidRDefault="00F657F1" w:rsidP="00F657F1">
      <w:pPr>
        <w:pStyle w:val="BodyText"/>
        <w:spacing w:before="120" w:after="0"/>
        <w:rPr>
          <w:rFonts w:cs="Arial"/>
          <w:u w:color="FFFFFF" w:themeColor="background1"/>
          <w:lang w:val="en-AU"/>
        </w:rPr>
      </w:pPr>
      <w:r>
        <w:rPr>
          <w:rFonts w:cs="Arial"/>
          <w:u w:color="FFFFFF" w:themeColor="background1"/>
          <w:lang w:val="en-AU"/>
        </w:rPr>
        <w:t xml:space="preserve">There were no </w:t>
      </w:r>
      <w:r w:rsidRPr="00A11CC5">
        <w:rPr>
          <w:rFonts w:cs="Arial"/>
          <w:u w:color="FFFFFF" w:themeColor="background1"/>
          <w:lang w:val="en-AU"/>
        </w:rPr>
        <w:t>application</w:t>
      </w:r>
      <w:r>
        <w:rPr>
          <w:rFonts w:cs="Arial"/>
          <w:u w:color="FFFFFF" w:themeColor="background1"/>
          <w:lang w:val="en-AU"/>
        </w:rPr>
        <w:t xml:space="preserve"> received or granted for</w:t>
      </w:r>
      <w:r w:rsidRPr="00A11CC5">
        <w:rPr>
          <w:rFonts w:cs="Arial"/>
          <w:u w:color="FFFFFF" w:themeColor="background1"/>
          <w:lang w:val="en-AU"/>
        </w:rPr>
        <w:t xml:space="preserve"> Greenhouse Gas Access Permit.</w:t>
      </w:r>
    </w:p>
    <w:p w14:paraId="201B68A2" w14:textId="7EEE1826" w:rsidR="00F657F1" w:rsidRPr="00A11CC5" w:rsidRDefault="00F21245" w:rsidP="00F657F1">
      <w:pPr>
        <w:pStyle w:val="BodyText"/>
        <w:spacing w:before="120" w:after="0"/>
        <w:rPr>
          <w:rFonts w:cs="Arial"/>
          <w:b/>
          <w:u w:color="FFFFFF" w:themeColor="background1"/>
          <w:lang w:val="en-AU"/>
        </w:rPr>
      </w:pPr>
      <w:r>
        <w:rPr>
          <w:rFonts w:cs="Arial"/>
          <w:b/>
          <w:u w:color="FFFFFF" w:themeColor="background1"/>
          <w:lang w:val="en-AU"/>
        </w:rPr>
        <w:t>Table 6</w:t>
      </w:r>
      <w:r w:rsidR="00F657F1" w:rsidRPr="00A11CC5">
        <w:rPr>
          <w:rFonts w:cs="Arial"/>
          <w:b/>
          <w:u w:color="FFFFFF" w:themeColor="background1"/>
          <w:lang w:val="en-AU"/>
        </w:rPr>
        <w:t xml:space="preserve">.7 Overview of offshore Greenhouse Gas Assessment Permit </w:t>
      </w:r>
    </w:p>
    <w:tbl>
      <w:tblPr>
        <w:tblStyle w:val="GridTable4-Accent1"/>
        <w:tblW w:w="5000" w:type="pct"/>
        <w:tblLayout w:type="fixed"/>
        <w:tblLook w:val="0420" w:firstRow="1" w:lastRow="0" w:firstColumn="0" w:lastColumn="0" w:noHBand="0" w:noVBand="1"/>
        <w:tblCaption w:val="Greenhouse Gas Assessment Permit"/>
        <w:tblDescription w:val="Applications received and granted between 2011-16"/>
      </w:tblPr>
      <w:tblGrid>
        <w:gridCol w:w="1258"/>
        <w:gridCol w:w="1260"/>
        <w:gridCol w:w="1259"/>
        <w:gridCol w:w="1261"/>
        <w:gridCol w:w="1259"/>
        <w:gridCol w:w="1261"/>
        <w:gridCol w:w="1257"/>
        <w:gridCol w:w="1255"/>
      </w:tblGrid>
      <w:tr w:rsidR="00F657F1" w:rsidRPr="00A11CC5" w14:paraId="06FD2283" w14:textId="77777777" w:rsidTr="006559CC">
        <w:trPr>
          <w:cnfStyle w:val="100000000000" w:firstRow="1" w:lastRow="0" w:firstColumn="0" w:lastColumn="0" w:oddVBand="0" w:evenVBand="0" w:oddHBand="0" w:evenHBand="0" w:firstRowFirstColumn="0" w:firstRowLastColumn="0" w:lastRowFirstColumn="0" w:lastRowLastColumn="0"/>
          <w:trHeight w:val="287"/>
        </w:trPr>
        <w:tc>
          <w:tcPr>
            <w:tcW w:w="625" w:type="pct"/>
            <w:noWrap/>
          </w:tcPr>
          <w:p w14:paraId="5689DEE0" w14:textId="77777777" w:rsidR="00F657F1" w:rsidRPr="00A11CC5" w:rsidRDefault="00F657F1" w:rsidP="006559CC">
            <w:pPr>
              <w:spacing w:before="120"/>
              <w:jc w:val="both"/>
              <w:rPr>
                <w:rFonts w:cs="Arial"/>
                <w:color w:val="auto"/>
                <w:u w:color="FFFFFF" w:themeColor="background1"/>
                <w:lang w:val="en-AU"/>
              </w:rPr>
            </w:pPr>
          </w:p>
        </w:tc>
        <w:tc>
          <w:tcPr>
            <w:tcW w:w="626" w:type="pct"/>
          </w:tcPr>
          <w:p w14:paraId="023810EB"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2011-12</w:t>
            </w:r>
          </w:p>
        </w:tc>
        <w:tc>
          <w:tcPr>
            <w:tcW w:w="625" w:type="pct"/>
          </w:tcPr>
          <w:p w14:paraId="3BEDBD2C"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2012-13</w:t>
            </w:r>
          </w:p>
        </w:tc>
        <w:tc>
          <w:tcPr>
            <w:tcW w:w="626" w:type="pct"/>
          </w:tcPr>
          <w:p w14:paraId="2A7F0480"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2013-14</w:t>
            </w:r>
          </w:p>
        </w:tc>
        <w:tc>
          <w:tcPr>
            <w:tcW w:w="625" w:type="pct"/>
          </w:tcPr>
          <w:p w14:paraId="65DC5FDD"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2014-15</w:t>
            </w:r>
          </w:p>
        </w:tc>
        <w:tc>
          <w:tcPr>
            <w:tcW w:w="626" w:type="pct"/>
          </w:tcPr>
          <w:p w14:paraId="5256986C"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2015-16</w:t>
            </w:r>
          </w:p>
        </w:tc>
        <w:tc>
          <w:tcPr>
            <w:tcW w:w="624" w:type="pct"/>
          </w:tcPr>
          <w:p w14:paraId="5F2239BB"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2016-17</w:t>
            </w:r>
          </w:p>
        </w:tc>
        <w:tc>
          <w:tcPr>
            <w:tcW w:w="623" w:type="pct"/>
          </w:tcPr>
          <w:p w14:paraId="3F0D9440" w14:textId="77777777" w:rsidR="00F657F1" w:rsidRPr="00522ECE" w:rsidRDefault="00F657F1" w:rsidP="006559CC">
            <w:pPr>
              <w:spacing w:before="120"/>
              <w:jc w:val="center"/>
              <w:rPr>
                <w:rFonts w:cs="Arial"/>
                <w:color w:val="FFFFFF" w:themeColor="background1"/>
                <w:u w:color="FFFFFF" w:themeColor="background1"/>
                <w:lang w:val="en-AU"/>
              </w:rPr>
            </w:pPr>
            <w:r w:rsidRPr="00522ECE">
              <w:rPr>
                <w:rFonts w:cs="Arial"/>
                <w:color w:val="FFFFFF" w:themeColor="background1"/>
                <w:u w:color="FFFFFF" w:themeColor="background1"/>
                <w:lang w:val="en-AU"/>
              </w:rPr>
              <w:t>2017-18</w:t>
            </w:r>
          </w:p>
        </w:tc>
      </w:tr>
      <w:tr w:rsidR="00F657F1" w:rsidRPr="00A11CC5" w14:paraId="7136AA60" w14:textId="77777777" w:rsidTr="006559CC">
        <w:trPr>
          <w:cnfStyle w:val="000000100000" w:firstRow="0" w:lastRow="0" w:firstColumn="0" w:lastColumn="0" w:oddVBand="0" w:evenVBand="0" w:oddHBand="1" w:evenHBand="0" w:firstRowFirstColumn="0" w:firstRowLastColumn="0" w:lastRowFirstColumn="0" w:lastRowLastColumn="0"/>
          <w:trHeight w:val="271"/>
        </w:trPr>
        <w:tc>
          <w:tcPr>
            <w:tcW w:w="625" w:type="pct"/>
            <w:vAlign w:val="center"/>
          </w:tcPr>
          <w:p w14:paraId="3821A51A" w14:textId="77777777" w:rsidR="00F657F1" w:rsidRPr="00522ECE" w:rsidRDefault="00F657F1" w:rsidP="006559CC">
            <w:pPr>
              <w:spacing w:before="120"/>
              <w:jc w:val="center"/>
              <w:rPr>
                <w:rFonts w:cs="Arial"/>
                <w:b/>
                <w:color w:val="auto"/>
                <w:u w:color="FFFFFF" w:themeColor="background1"/>
                <w:lang w:val="en-AU"/>
              </w:rPr>
            </w:pPr>
            <w:r w:rsidRPr="00522ECE">
              <w:rPr>
                <w:rFonts w:cs="Arial"/>
                <w:b/>
                <w:color w:val="auto"/>
                <w:u w:color="FFFFFF" w:themeColor="background1"/>
                <w:lang w:val="en-AU"/>
              </w:rPr>
              <w:t>Application Received</w:t>
            </w:r>
          </w:p>
        </w:tc>
        <w:tc>
          <w:tcPr>
            <w:tcW w:w="626" w:type="pct"/>
            <w:vAlign w:val="center"/>
          </w:tcPr>
          <w:p w14:paraId="7DC7A20B"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6EA08AC3"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6" w:type="pct"/>
            <w:vAlign w:val="center"/>
          </w:tcPr>
          <w:p w14:paraId="1FF843F7"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12542E94"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6" w:type="pct"/>
            <w:vAlign w:val="center"/>
          </w:tcPr>
          <w:p w14:paraId="428BA10F"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1</w:t>
            </w:r>
          </w:p>
        </w:tc>
        <w:tc>
          <w:tcPr>
            <w:tcW w:w="624" w:type="pct"/>
            <w:vAlign w:val="center"/>
          </w:tcPr>
          <w:p w14:paraId="01AE8642"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1</w:t>
            </w:r>
          </w:p>
        </w:tc>
        <w:tc>
          <w:tcPr>
            <w:tcW w:w="623" w:type="pct"/>
            <w:vAlign w:val="center"/>
          </w:tcPr>
          <w:p w14:paraId="1F61423C" w14:textId="77777777" w:rsidR="00F657F1" w:rsidRPr="00A11CC5" w:rsidRDefault="00F657F1" w:rsidP="006559CC">
            <w:pPr>
              <w:spacing w:before="120"/>
              <w:jc w:val="center"/>
              <w:rPr>
                <w:rFonts w:cs="Arial"/>
                <w:color w:val="auto"/>
                <w:u w:color="FFFFFF" w:themeColor="background1"/>
                <w:lang w:val="en-AU"/>
              </w:rPr>
            </w:pPr>
            <w:r>
              <w:rPr>
                <w:rFonts w:cs="Arial"/>
                <w:color w:val="auto"/>
                <w:u w:color="FFFFFF" w:themeColor="background1"/>
                <w:lang w:val="en-AU"/>
              </w:rPr>
              <w:t>0</w:t>
            </w:r>
          </w:p>
        </w:tc>
      </w:tr>
      <w:tr w:rsidR="00F657F1" w:rsidRPr="00A11CC5" w14:paraId="262D3102" w14:textId="77777777" w:rsidTr="006559CC">
        <w:trPr>
          <w:trHeight w:val="287"/>
        </w:trPr>
        <w:tc>
          <w:tcPr>
            <w:tcW w:w="625" w:type="pct"/>
            <w:vAlign w:val="center"/>
          </w:tcPr>
          <w:p w14:paraId="593306A8" w14:textId="77777777" w:rsidR="00F657F1" w:rsidRPr="00522ECE" w:rsidRDefault="00F657F1" w:rsidP="006559CC">
            <w:pPr>
              <w:spacing w:before="120"/>
              <w:jc w:val="center"/>
              <w:rPr>
                <w:rFonts w:cs="Arial"/>
                <w:b/>
                <w:color w:val="auto"/>
                <w:u w:color="FFFFFF" w:themeColor="background1"/>
                <w:lang w:val="en-AU"/>
              </w:rPr>
            </w:pPr>
            <w:r w:rsidRPr="00522ECE">
              <w:rPr>
                <w:rFonts w:cs="Arial"/>
                <w:b/>
                <w:color w:val="auto"/>
                <w:u w:color="FFFFFF" w:themeColor="background1"/>
                <w:lang w:val="en-AU"/>
              </w:rPr>
              <w:t>Granted</w:t>
            </w:r>
          </w:p>
        </w:tc>
        <w:tc>
          <w:tcPr>
            <w:tcW w:w="626" w:type="pct"/>
            <w:vAlign w:val="center"/>
          </w:tcPr>
          <w:p w14:paraId="15933686"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4B9F5DD7"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6" w:type="pct"/>
            <w:vAlign w:val="center"/>
          </w:tcPr>
          <w:p w14:paraId="3BDFCC8F"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13B7606B"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6" w:type="pct"/>
            <w:vAlign w:val="center"/>
          </w:tcPr>
          <w:p w14:paraId="7CFAB3DF"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0</w:t>
            </w:r>
          </w:p>
        </w:tc>
        <w:tc>
          <w:tcPr>
            <w:tcW w:w="624" w:type="pct"/>
            <w:vAlign w:val="center"/>
          </w:tcPr>
          <w:p w14:paraId="38D36B65" w14:textId="77777777" w:rsidR="00F657F1" w:rsidRPr="00A11CC5" w:rsidRDefault="00F657F1" w:rsidP="006559CC">
            <w:pPr>
              <w:spacing w:before="120"/>
              <w:jc w:val="center"/>
              <w:rPr>
                <w:rFonts w:cs="Arial"/>
                <w:color w:val="auto"/>
                <w:u w:color="FFFFFF" w:themeColor="background1"/>
                <w:lang w:val="en-AU"/>
              </w:rPr>
            </w:pPr>
            <w:r w:rsidRPr="00A11CC5">
              <w:rPr>
                <w:rFonts w:cs="Arial"/>
                <w:color w:val="auto"/>
                <w:u w:color="FFFFFF" w:themeColor="background1"/>
                <w:lang w:val="en-AU"/>
              </w:rPr>
              <w:t>1</w:t>
            </w:r>
          </w:p>
        </w:tc>
        <w:tc>
          <w:tcPr>
            <w:tcW w:w="623" w:type="pct"/>
            <w:vAlign w:val="center"/>
          </w:tcPr>
          <w:p w14:paraId="21CBE56C" w14:textId="77777777" w:rsidR="00F657F1" w:rsidRPr="00A11CC5" w:rsidRDefault="00F657F1" w:rsidP="006559CC">
            <w:pPr>
              <w:spacing w:before="120"/>
              <w:jc w:val="center"/>
              <w:rPr>
                <w:rFonts w:cs="Arial"/>
                <w:color w:val="auto"/>
                <w:u w:color="FFFFFF" w:themeColor="background1"/>
                <w:lang w:val="en-AU"/>
              </w:rPr>
            </w:pPr>
            <w:r>
              <w:rPr>
                <w:rFonts w:cs="Arial"/>
                <w:color w:val="auto"/>
                <w:u w:color="FFFFFF" w:themeColor="background1"/>
                <w:lang w:val="en-AU"/>
              </w:rPr>
              <w:t>0</w:t>
            </w:r>
          </w:p>
        </w:tc>
      </w:tr>
    </w:tbl>
    <w:p w14:paraId="2EBDEC39" w14:textId="77777777" w:rsidR="00F657F1" w:rsidRPr="00A11CC5" w:rsidRDefault="00F657F1" w:rsidP="00F657F1">
      <w:pPr>
        <w:pStyle w:val="BodyText"/>
        <w:spacing w:before="0" w:after="0"/>
        <w:rPr>
          <w:rFonts w:cs="Arial"/>
          <w:u w:color="FFFFFF" w:themeColor="background1"/>
          <w:lang w:val="en-AU"/>
        </w:rPr>
      </w:pPr>
      <w:r w:rsidRPr="00A11CC5">
        <w:rPr>
          <w:rFonts w:cs="Arial"/>
          <w:u w:color="FFFFFF" w:themeColor="background1"/>
          <w:lang w:val="en-AU"/>
        </w:rPr>
        <w:t xml:space="preserve">Source: </w:t>
      </w:r>
      <w:r>
        <w:rPr>
          <w:rFonts w:cs="Arial"/>
          <w:u w:color="FFFFFF" w:themeColor="background1"/>
          <w:lang w:val="en-AU"/>
        </w:rPr>
        <w:t>DJPR</w:t>
      </w:r>
    </w:p>
    <w:p w14:paraId="471C2005" w14:textId="77777777" w:rsidR="00F657F1" w:rsidRPr="00A11CC5" w:rsidRDefault="00F657F1" w:rsidP="00F657F1">
      <w:pPr>
        <w:spacing w:before="240"/>
        <w:rPr>
          <w:rFonts w:cs="Arial"/>
          <w:color w:val="auto"/>
          <w:u w:color="FFFFFF" w:themeColor="background1"/>
          <w:lang w:val="en-AU"/>
        </w:rPr>
      </w:pPr>
      <w:r w:rsidRPr="00A11CC5">
        <w:rPr>
          <w:rFonts w:cs="Arial"/>
          <w:color w:val="auto"/>
          <w:u w:color="FFFFFF" w:themeColor="background1"/>
          <w:lang w:val="en-AU"/>
        </w:rPr>
        <w:br w:type="page"/>
      </w:r>
    </w:p>
    <w:p w14:paraId="1D054D70" w14:textId="3DEEB2A0" w:rsidR="00F657F1" w:rsidRPr="00A11CC5" w:rsidRDefault="00F657F1" w:rsidP="00F657F1">
      <w:pPr>
        <w:pStyle w:val="Heading3"/>
        <w:rPr>
          <w:rFonts w:cs="Arial"/>
          <w:color w:val="auto"/>
          <w:u w:color="FFFFFF" w:themeColor="background1"/>
          <w:lang w:val="en-AU"/>
        </w:rPr>
      </w:pPr>
      <w:bookmarkStart w:id="23" w:name="_Toc533149019"/>
      <w:r w:rsidRPr="00A11CC5">
        <w:rPr>
          <w:rFonts w:cs="Arial"/>
          <w:color w:val="auto"/>
          <w:u w:color="FFFFFF" w:themeColor="background1"/>
          <w:lang w:val="en-AU"/>
        </w:rPr>
        <w:lastRenderedPageBreak/>
        <w:t>Petroleum exploration and development</w:t>
      </w:r>
      <w:bookmarkEnd w:id="23"/>
    </w:p>
    <w:p w14:paraId="6F78918F" w14:textId="77777777" w:rsidR="00F657F1" w:rsidRPr="00A11CC5" w:rsidRDefault="00F657F1" w:rsidP="00F657F1">
      <w:pPr>
        <w:spacing w:after="0"/>
        <w:rPr>
          <w:rFonts w:cs="Arial"/>
          <w:color w:val="auto"/>
          <w:u w:color="FFFFFF" w:themeColor="background1"/>
          <w:lang w:val="en-AU"/>
        </w:rPr>
      </w:pPr>
      <w:r>
        <w:rPr>
          <w:rFonts w:cs="Arial"/>
          <w:color w:val="auto"/>
          <w:u w:color="FFFFFF" w:themeColor="background1"/>
          <w:lang w:val="en-AU"/>
        </w:rPr>
        <w:t>Due to the onshore Moratorium, n</w:t>
      </w:r>
      <w:r w:rsidRPr="00A11CC5">
        <w:rPr>
          <w:rFonts w:cs="Arial"/>
          <w:color w:val="auto"/>
          <w:u w:color="FFFFFF" w:themeColor="background1"/>
          <w:lang w:val="en-AU"/>
        </w:rPr>
        <w:t>o drilling or seismic activities occurred on Onshore Petroleum tenements in Victoria</w:t>
      </w:r>
      <w:r>
        <w:rPr>
          <w:rFonts w:cs="Arial"/>
          <w:color w:val="auto"/>
          <w:u w:color="FFFFFF" w:themeColor="background1"/>
          <w:lang w:val="en-AU"/>
        </w:rPr>
        <w:t xml:space="preserve"> in   2017-18</w:t>
      </w:r>
      <w:r w:rsidRPr="00A11CC5">
        <w:rPr>
          <w:rFonts w:cs="Arial"/>
          <w:color w:val="auto"/>
          <w:u w:color="FFFFFF" w:themeColor="background1"/>
          <w:lang w:val="en-AU"/>
        </w:rPr>
        <w:t>.</w:t>
      </w:r>
    </w:p>
    <w:p w14:paraId="7F750CE9" w14:textId="77777777" w:rsidR="00F657F1" w:rsidRPr="00A11CC5" w:rsidRDefault="00F657F1" w:rsidP="00F657F1">
      <w:pPr>
        <w:pStyle w:val="Heading4"/>
        <w:rPr>
          <w:color w:val="auto"/>
          <w:lang w:val="en-AU"/>
        </w:rPr>
      </w:pPr>
      <w:r w:rsidRPr="00A11CC5">
        <w:rPr>
          <w:color w:val="auto"/>
          <w:lang w:val="en-AU"/>
        </w:rPr>
        <w:t>Drilling</w:t>
      </w:r>
    </w:p>
    <w:p w14:paraId="487D517D" w14:textId="292DBD9E" w:rsidR="00F657F1" w:rsidRPr="00A11CC5" w:rsidRDefault="00F657F1" w:rsidP="00F657F1">
      <w:pPr>
        <w:spacing w:after="0"/>
        <w:jc w:val="both"/>
        <w:rPr>
          <w:rFonts w:cs="Arial"/>
          <w:color w:val="auto"/>
          <w:u w:color="FFFFFF" w:themeColor="background1"/>
          <w:lang w:val="en-AU"/>
        </w:rPr>
      </w:pPr>
      <w:r>
        <w:rPr>
          <w:rFonts w:cs="Arial"/>
          <w:color w:val="auto"/>
          <w:u w:color="FFFFFF" w:themeColor="background1"/>
          <w:lang w:val="en-AU"/>
        </w:rPr>
        <w:t>During 2017-18</w:t>
      </w:r>
      <w:r w:rsidRPr="00A11CC5">
        <w:rPr>
          <w:rFonts w:cs="Arial"/>
          <w:color w:val="auto"/>
          <w:u w:color="FFFFFF" w:themeColor="background1"/>
          <w:lang w:val="en-AU"/>
        </w:rPr>
        <w:t>, no onshore wells were drilled. A legislated moratorium on exploration and production of onshore conventional gas is place until June 2020, while scientific investigations are undertaken on t</w:t>
      </w:r>
      <w:r>
        <w:rPr>
          <w:rFonts w:cs="Arial"/>
          <w:color w:val="auto"/>
          <w:u w:color="FFFFFF" w:themeColor="background1"/>
          <w:lang w:val="en-AU"/>
        </w:rPr>
        <w:t>he risks, benefits and impacts.</w:t>
      </w:r>
      <w:r w:rsidRPr="00A11CC5">
        <w:rPr>
          <w:rFonts w:cs="Arial"/>
          <w:color w:val="auto"/>
          <w:u w:color="FFFFFF" w:themeColor="background1"/>
          <w:lang w:val="en-AU"/>
        </w:rPr>
        <w:t xml:space="preserve"> Onshore unconventional gas activities, including hydraulic fracturing, are</w:t>
      </w:r>
      <w:r>
        <w:rPr>
          <w:rFonts w:cs="Arial"/>
          <w:color w:val="auto"/>
          <w:u w:color="FFFFFF" w:themeColor="background1"/>
          <w:lang w:val="en-AU"/>
        </w:rPr>
        <w:t xml:space="preserve"> not permitted</w:t>
      </w:r>
      <w:r w:rsidR="0063711B">
        <w:rPr>
          <w:rFonts w:cs="Arial"/>
          <w:color w:val="auto"/>
          <w:u w:color="FFFFFF" w:themeColor="background1"/>
          <w:lang w:val="en-AU"/>
        </w:rPr>
        <w:t xml:space="preserve"> by law</w:t>
      </w:r>
      <w:r w:rsidRPr="00A11CC5">
        <w:rPr>
          <w:rFonts w:cs="Arial"/>
          <w:color w:val="auto"/>
          <w:u w:color="FFFFFF" w:themeColor="background1"/>
          <w:lang w:val="en-AU"/>
        </w:rPr>
        <w:t>.</w:t>
      </w:r>
    </w:p>
    <w:p w14:paraId="0AABF238" w14:textId="77777777" w:rsidR="00F657F1" w:rsidRPr="00A11CC5" w:rsidRDefault="00F657F1" w:rsidP="00F657F1">
      <w:pPr>
        <w:spacing w:after="0"/>
        <w:jc w:val="both"/>
        <w:rPr>
          <w:rFonts w:cs="Arial"/>
          <w:color w:val="auto"/>
          <w:u w:color="FFFFFF" w:themeColor="background1"/>
          <w:lang w:val="en-AU"/>
        </w:rPr>
      </w:pPr>
    </w:p>
    <w:p w14:paraId="0177FE9A" w14:textId="788DC6E8" w:rsidR="00F657F1" w:rsidRPr="00A11CC5" w:rsidRDefault="00F657F1" w:rsidP="00F657F1">
      <w:pPr>
        <w:spacing w:after="0"/>
        <w:jc w:val="both"/>
        <w:rPr>
          <w:rFonts w:cs="Arial"/>
          <w:b/>
          <w:color w:val="auto"/>
          <w:u w:color="FFFFFF" w:themeColor="background1"/>
          <w:lang w:val="en-AU"/>
        </w:rPr>
      </w:pPr>
      <w:r w:rsidRPr="00A11CC5">
        <w:rPr>
          <w:rFonts w:cs="Arial"/>
          <w:b/>
          <w:color w:val="auto"/>
          <w:u w:color="FFFFFF" w:themeColor="background1"/>
          <w:lang w:val="en-AU"/>
        </w:rPr>
        <w:t xml:space="preserve">Table </w:t>
      </w:r>
      <w:r w:rsidR="00F21245">
        <w:rPr>
          <w:rFonts w:cs="Arial"/>
          <w:b/>
          <w:color w:val="auto"/>
          <w:u w:color="FFFFFF" w:themeColor="background1"/>
          <w:lang w:val="en-AU"/>
        </w:rPr>
        <w:t>6</w:t>
      </w:r>
      <w:r w:rsidRPr="00A11CC5">
        <w:rPr>
          <w:rFonts w:cs="Arial"/>
          <w:b/>
          <w:color w:val="auto"/>
          <w:u w:color="FFFFFF" w:themeColor="background1"/>
          <w:lang w:val="en-AU"/>
        </w:rPr>
        <w:t xml:space="preserve">.8 Number of exploration wells drilled in Victoria </w:t>
      </w:r>
    </w:p>
    <w:tbl>
      <w:tblPr>
        <w:tblStyle w:val="GridTable4-Accent1"/>
        <w:tblW w:w="5000" w:type="pct"/>
        <w:tblLayout w:type="fixed"/>
        <w:tblLook w:val="0460" w:firstRow="1" w:lastRow="1" w:firstColumn="0" w:lastColumn="0" w:noHBand="0" w:noVBand="1"/>
        <w:tblCaption w:val="Exploration wells drilled against locations in Victoria"/>
        <w:tblDescription w:val="Annual activities between 2011-16"/>
      </w:tblPr>
      <w:tblGrid>
        <w:gridCol w:w="1160"/>
        <w:gridCol w:w="1803"/>
        <w:gridCol w:w="1637"/>
        <w:gridCol w:w="1722"/>
        <w:gridCol w:w="1456"/>
        <w:gridCol w:w="1323"/>
        <w:gridCol w:w="969"/>
      </w:tblGrid>
      <w:tr w:rsidR="00F657F1" w:rsidRPr="00A11CC5" w14:paraId="21F8BFDB" w14:textId="77777777" w:rsidTr="006559CC">
        <w:trPr>
          <w:cnfStyle w:val="100000000000" w:firstRow="1" w:lastRow="0" w:firstColumn="0" w:lastColumn="0" w:oddVBand="0" w:evenVBand="0" w:oddHBand="0" w:evenHBand="0" w:firstRowFirstColumn="0" w:firstRowLastColumn="0" w:lastRowFirstColumn="0" w:lastRowLastColumn="0"/>
          <w:trHeight w:val="625"/>
        </w:trPr>
        <w:tc>
          <w:tcPr>
            <w:tcW w:w="576" w:type="pct"/>
            <w:vAlign w:val="center"/>
          </w:tcPr>
          <w:p w14:paraId="736F0C85" w14:textId="77777777" w:rsidR="00F657F1" w:rsidRPr="002F5585" w:rsidRDefault="00F657F1" w:rsidP="006559CC">
            <w:pPr>
              <w:jc w:val="center"/>
              <w:rPr>
                <w:rFonts w:cs="Arial"/>
                <w:color w:val="FFFFFF" w:themeColor="background1"/>
                <w:u w:color="FFFFFF" w:themeColor="background1"/>
                <w:lang w:val="en-AU"/>
              </w:rPr>
            </w:pPr>
            <w:r w:rsidRPr="002F5585">
              <w:rPr>
                <w:rFonts w:cs="Arial"/>
                <w:color w:val="FFFFFF" w:themeColor="background1"/>
                <w:u w:color="FFFFFF" w:themeColor="background1"/>
                <w:lang w:val="en-AU"/>
              </w:rPr>
              <w:t>Year</w:t>
            </w:r>
          </w:p>
        </w:tc>
        <w:tc>
          <w:tcPr>
            <w:tcW w:w="895" w:type="pct"/>
            <w:noWrap/>
            <w:vAlign w:val="center"/>
          </w:tcPr>
          <w:p w14:paraId="06403B77" w14:textId="77777777" w:rsidR="00F657F1" w:rsidRPr="002F5585" w:rsidRDefault="00F657F1" w:rsidP="006559CC">
            <w:pPr>
              <w:jc w:val="center"/>
              <w:rPr>
                <w:rFonts w:cs="Arial"/>
                <w:color w:val="FFFFFF" w:themeColor="background1"/>
                <w:u w:color="FFFFFF" w:themeColor="background1"/>
                <w:lang w:val="en-AU"/>
              </w:rPr>
            </w:pPr>
            <w:r w:rsidRPr="002F5585">
              <w:rPr>
                <w:rFonts w:cs="Arial"/>
                <w:color w:val="FFFFFF" w:themeColor="background1"/>
                <w:u w:color="FFFFFF" w:themeColor="background1"/>
                <w:lang w:val="en-AU"/>
              </w:rPr>
              <w:t>Offshore (Vic) Gippsland</w:t>
            </w:r>
          </w:p>
        </w:tc>
        <w:tc>
          <w:tcPr>
            <w:tcW w:w="813" w:type="pct"/>
            <w:noWrap/>
            <w:vAlign w:val="center"/>
          </w:tcPr>
          <w:p w14:paraId="6935E785" w14:textId="77777777" w:rsidR="00F657F1" w:rsidRPr="002F5585" w:rsidRDefault="00F657F1" w:rsidP="006559CC">
            <w:pPr>
              <w:jc w:val="center"/>
              <w:rPr>
                <w:rFonts w:cs="Arial"/>
                <w:color w:val="FFFFFF" w:themeColor="background1"/>
                <w:u w:color="FFFFFF" w:themeColor="background1"/>
                <w:lang w:val="en-AU"/>
              </w:rPr>
            </w:pPr>
            <w:r w:rsidRPr="002F5585">
              <w:rPr>
                <w:rFonts w:cs="Arial"/>
                <w:color w:val="FFFFFF" w:themeColor="background1"/>
                <w:u w:color="FFFFFF" w:themeColor="background1"/>
                <w:lang w:val="en-AU"/>
              </w:rPr>
              <w:t>Offshore (Vic) Otway</w:t>
            </w:r>
          </w:p>
        </w:tc>
        <w:tc>
          <w:tcPr>
            <w:tcW w:w="855" w:type="pct"/>
            <w:noWrap/>
            <w:vAlign w:val="center"/>
          </w:tcPr>
          <w:p w14:paraId="53FFC85C" w14:textId="77777777" w:rsidR="00F657F1" w:rsidRPr="002F5585" w:rsidRDefault="00F657F1" w:rsidP="006559CC">
            <w:pPr>
              <w:jc w:val="center"/>
              <w:rPr>
                <w:rFonts w:cs="Arial"/>
                <w:color w:val="FFFFFF" w:themeColor="background1"/>
                <w:u w:color="FFFFFF" w:themeColor="background1"/>
                <w:lang w:val="en-AU"/>
              </w:rPr>
            </w:pPr>
            <w:r w:rsidRPr="002F5585">
              <w:rPr>
                <w:rFonts w:cs="Arial"/>
                <w:color w:val="FFFFFF" w:themeColor="background1"/>
                <w:u w:color="FFFFFF" w:themeColor="background1"/>
                <w:lang w:val="en-AU"/>
              </w:rPr>
              <w:t>Onshore Gippsland</w:t>
            </w:r>
          </w:p>
        </w:tc>
        <w:tc>
          <w:tcPr>
            <w:tcW w:w="723" w:type="pct"/>
            <w:noWrap/>
            <w:vAlign w:val="center"/>
          </w:tcPr>
          <w:p w14:paraId="16B6529B" w14:textId="77777777" w:rsidR="00F657F1" w:rsidRPr="002F5585" w:rsidRDefault="00F657F1" w:rsidP="006559CC">
            <w:pPr>
              <w:jc w:val="center"/>
              <w:rPr>
                <w:rFonts w:cs="Arial"/>
                <w:color w:val="FFFFFF" w:themeColor="background1"/>
                <w:u w:color="FFFFFF" w:themeColor="background1"/>
                <w:lang w:val="en-AU"/>
              </w:rPr>
            </w:pPr>
            <w:r w:rsidRPr="002F5585">
              <w:rPr>
                <w:rFonts w:cs="Arial"/>
                <w:color w:val="FFFFFF" w:themeColor="background1"/>
                <w:u w:color="FFFFFF" w:themeColor="background1"/>
                <w:lang w:val="en-AU"/>
              </w:rPr>
              <w:t>Onshore Otway</w:t>
            </w:r>
          </w:p>
        </w:tc>
        <w:tc>
          <w:tcPr>
            <w:tcW w:w="657" w:type="pct"/>
            <w:noWrap/>
            <w:vAlign w:val="center"/>
          </w:tcPr>
          <w:p w14:paraId="6B8BCE56" w14:textId="77777777" w:rsidR="00F657F1" w:rsidRPr="002F5585" w:rsidRDefault="00F657F1" w:rsidP="006559CC">
            <w:pPr>
              <w:jc w:val="center"/>
              <w:rPr>
                <w:rFonts w:cs="Arial"/>
                <w:color w:val="FFFFFF" w:themeColor="background1"/>
                <w:u w:color="FFFFFF" w:themeColor="background1"/>
                <w:lang w:val="en-AU"/>
              </w:rPr>
            </w:pPr>
            <w:r w:rsidRPr="002F5585">
              <w:rPr>
                <w:rFonts w:cs="Arial"/>
                <w:color w:val="FFFFFF" w:themeColor="background1"/>
                <w:u w:color="FFFFFF" w:themeColor="background1"/>
                <w:lang w:val="en-AU"/>
              </w:rPr>
              <w:t>Onshore Murray</w:t>
            </w:r>
          </w:p>
        </w:tc>
        <w:tc>
          <w:tcPr>
            <w:tcW w:w="481" w:type="pct"/>
            <w:vAlign w:val="center"/>
          </w:tcPr>
          <w:p w14:paraId="6D77A4C3" w14:textId="77777777" w:rsidR="00F657F1" w:rsidRPr="002F5585" w:rsidRDefault="00F657F1" w:rsidP="006559CC">
            <w:pPr>
              <w:jc w:val="center"/>
              <w:rPr>
                <w:rFonts w:cs="Arial"/>
                <w:color w:val="FFFFFF" w:themeColor="background1"/>
                <w:u w:color="FFFFFF" w:themeColor="background1"/>
                <w:lang w:val="en-AU"/>
              </w:rPr>
            </w:pPr>
            <w:r w:rsidRPr="002F5585">
              <w:rPr>
                <w:rFonts w:cs="Arial"/>
                <w:color w:val="FFFFFF" w:themeColor="background1"/>
                <w:u w:color="FFFFFF" w:themeColor="background1"/>
                <w:lang w:val="en-AU"/>
              </w:rPr>
              <w:t>Total wells</w:t>
            </w:r>
          </w:p>
        </w:tc>
      </w:tr>
      <w:tr w:rsidR="00F657F1" w:rsidRPr="00A11CC5" w14:paraId="618F7096" w14:textId="77777777" w:rsidTr="006559CC">
        <w:trPr>
          <w:cnfStyle w:val="000000100000" w:firstRow="0" w:lastRow="0" w:firstColumn="0" w:lastColumn="0" w:oddVBand="0" w:evenVBand="0" w:oddHBand="1" w:evenHBand="0" w:firstRowFirstColumn="0" w:firstRowLastColumn="0" w:lastRowFirstColumn="0" w:lastRowLastColumn="0"/>
          <w:trHeight w:val="327"/>
        </w:trPr>
        <w:tc>
          <w:tcPr>
            <w:tcW w:w="576" w:type="pct"/>
            <w:noWrap/>
            <w:vAlign w:val="center"/>
          </w:tcPr>
          <w:p w14:paraId="5EE50781" w14:textId="77777777" w:rsidR="00F657F1" w:rsidRPr="002F5585" w:rsidRDefault="00F657F1" w:rsidP="006559CC">
            <w:pPr>
              <w:jc w:val="center"/>
              <w:rPr>
                <w:rFonts w:cs="Arial"/>
                <w:b/>
                <w:color w:val="auto"/>
                <w:u w:color="FFFFFF" w:themeColor="background1"/>
                <w:lang w:val="en-AU"/>
              </w:rPr>
            </w:pPr>
            <w:r w:rsidRPr="002F5585">
              <w:rPr>
                <w:rFonts w:cs="Arial"/>
                <w:b/>
                <w:color w:val="auto"/>
                <w:u w:color="FFFFFF" w:themeColor="background1"/>
                <w:lang w:val="en-AU"/>
              </w:rPr>
              <w:t>2011-12</w:t>
            </w:r>
          </w:p>
        </w:tc>
        <w:tc>
          <w:tcPr>
            <w:tcW w:w="895" w:type="pct"/>
            <w:noWrap/>
            <w:vAlign w:val="center"/>
          </w:tcPr>
          <w:p w14:paraId="135DBCA1"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813" w:type="pct"/>
            <w:noWrap/>
            <w:vAlign w:val="center"/>
          </w:tcPr>
          <w:p w14:paraId="0E1A1B06"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855" w:type="pct"/>
            <w:noWrap/>
            <w:vAlign w:val="center"/>
          </w:tcPr>
          <w:p w14:paraId="1A8B60F1"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1</w:t>
            </w:r>
          </w:p>
        </w:tc>
        <w:tc>
          <w:tcPr>
            <w:tcW w:w="723" w:type="pct"/>
            <w:noWrap/>
            <w:vAlign w:val="center"/>
          </w:tcPr>
          <w:p w14:paraId="7012B405"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1</w:t>
            </w:r>
          </w:p>
        </w:tc>
        <w:tc>
          <w:tcPr>
            <w:tcW w:w="657" w:type="pct"/>
            <w:noWrap/>
            <w:vAlign w:val="center"/>
          </w:tcPr>
          <w:p w14:paraId="1891260B"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481" w:type="pct"/>
            <w:noWrap/>
            <w:vAlign w:val="center"/>
          </w:tcPr>
          <w:p w14:paraId="136D4226"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2</w:t>
            </w:r>
          </w:p>
        </w:tc>
      </w:tr>
      <w:tr w:rsidR="00F657F1" w:rsidRPr="00A11CC5" w14:paraId="1575CC02" w14:textId="77777777" w:rsidTr="006559CC">
        <w:trPr>
          <w:trHeight w:val="327"/>
        </w:trPr>
        <w:tc>
          <w:tcPr>
            <w:tcW w:w="576" w:type="pct"/>
            <w:noWrap/>
            <w:vAlign w:val="center"/>
          </w:tcPr>
          <w:p w14:paraId="56DF20F4" w14:textId="77777777" w:rsidR="00F657F1" w:rsidRPr="002F5585" w:rsidRDefault="00F657F1" w:rsidP="006559CC">
            <w:pPr>
              <w:jc w:val="center"/>
              <w:rPr>
                <w:rFonts w:cs="Arial"/>
                <w:b/>
                <w:color w:val="auto"/>
                <w:u w:color="FFFFFF" w:themeColor="background1"/>
                <w:lang w:val="en-AU"/>
              </w:rPr>
            </w:pPr>
            <w:r w:rsidRPr="002F5585">
              <w:rPr>
                <w:rFonts w:cs="Arial"/>
                <w:b/>
                <w:color w:val="auto"/>
                <w:u w:color="FFFFFF" w:themeColor="background1"/>
                <w:lang w:val="en-AU"/>
              </w:rPr>
              <w:t>2012-13</w:t>
            </w:r>
          </w:p>
        </w:tc>
        <w:tc>
          <w:tcPr>
            <w:tcW w:w="895" w:type="pct"/>
            <w:noWrap/>
            <w:vAlign w:val="center"/>
          </w:tcPr>
          <w:p w14:paraId="49001126"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813" w:type="pct"/>
            <w:noWrap/>
            <w:vAlign w:val="center"/>
          </w:tcPr>
          <w:p w14:paraId="229EB6D9"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855" w:type="pct"/>
            <w:noWrap/>
            <w:vAlign w:val="center"/>
          </w:tcPr>
          <w:p w14:paraId="3DD966B8"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2</w:t>
            </w:r>
          </w:p>
        </w:tc>
        <w:tc>
          <w:tcPr>
            <w:tcW w:w="723" w:type="pct"/>
            <w:noWrap/>
            <w:vAlign w:val="center"/>
          </w:tcPr>
          <w:p w14:paraId="58466A0C"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657" w:type="pct"/>
            <w:noWrap/>
            <w:vAlign w:val="center"/>
          </w:tcPr>
          <w:p w14:paraId="205F39F5"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481" w:type="pct"/>
            <w:noWrap/>
            <w:vAlign w:val="center"/>
          </w:tcPr>
          <w:p w14:paraId="003F3F8E"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2</w:t>
            </w:r>
          </w:p>
        </w:tc>
      </w:tr>
      <w:tr w:rsidR="00F657F1" w:rsidRPr="00A11CC5" w14:paraId="1789158E" w14:textId="77777777" w:rsidTr="006559CC">
        <w:trPr>
          <w:cnfStyle w:val="000000100000" w:firstRow="0" w:lastRow="0" w:firstColumn="0" w:lastColumn="0" w:oddVBand="0" w:evenVBand="0" w:oddHBand="1" w:evenHBand="0" w:firstRowFirstColumn="0" w:firstRowLastColumn="0" w:lastRowFirstColumn="0" w:lastRowLastColumn="0"/>
          <w:trHeight w:val="327"/>
        </w:trPr>
        <w:tc>
          <w:tcPr>
            <w:tcW w:w="576" w:type="pct"/>
            <w:noWrap/>
            <w:vAlign w:val="center"/>
          </w:tcPr>
          <w:p w14:paraId="63201CA7" w14:textId="77777777" w:rsidR="00F657F1" w:rsidRPr="002F5585" w:rsidRDefault="00F657F1" w:rsidP="006559CC">
            <w:pPr>
              <w:jc w:val="center"/>
              <w:rPr>
                <w:rFonts w:cs="Arial"/>
                <w:b/>
                <w:color w:val="auto"/>
                <w:u w:color="FFFFFF" w:themeColor="background1"/>
                <w:lang w:val="en-AU"/>
              </w:rPr>
            </w:pPr>
            <w:r w:rsidRPr="002F5585">
              <w:rPr>
                <w:rFonts w:cs="Arial"/>
                <w:b/>
                <w:color w:val="auto"/>
                <w:u w:color="FFFFFF" w:themeColor="background1"/>
                <w:lang w:val="en-AU"/>
              </w:rPr>
              <w:t>2013-14</w:t>
            </w:r>
          </w:p>
        </w:tc>
        <w:tc>
          <w:tcPr>
            <w:tcW w:w="895" w:type="pct"/>
            <w:noWrap/>
            <w:vAlign w:val="center"/>
          </w:tcPr>
          <w:p w14:paraId="61F81627"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813" w:type="pct"/>
            <w:noWrap/>
            <w:vAlign w:val="center"/>
          </w:tcPr>
          <w:p w14:paraId="0576C045"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855" w:type="pct"/>
            <w:noWrap/>
            <w:vAlign w:val="center"/>
          </w:tcPr>
          <w:p w14:paraId="37BAD256"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723" w:type="pct"/>
            <w:noWrap/>
            <w:vAlign w:val="center"/>
          </w:tcPr>
          <w:p w14:paraId="1523FAB9"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657" w:type="pct"/>
            <w:noWrap/>
            <w:vAlign w:val="center"/>
          </w:tcPr>
          <w:p w14:paraId="205637A4"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481" w:type="pct"/>
            <w:noWrap/>
            <w:vAlign w:val="center"/>
          </w:tcPr>
          <w:p w14:paraId="26A15D68"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r>
      <w:tr w:rsidR="00F657F1" w:rsidRPr="00A11CC5" w14:paraId="5FB6E64F" w14:textId="77777777" w:rsidTr="006559CC">
        <w:trPr>
          <w:trHeight w:val="327"/>
        </w:trPr>
        <w:tc>
          <w:tcPr>
            <w:tcW w:w="576" w:type="pct"/>
            <w:noWrap/>
            <w:vAlign w:val="center"/>
          </w:tcPr>
          <w:p w14:paraId="010CB9F6" w14:textId="77777777" w:rsidR="00F657F1" w:rsidRPr="002F5585" w:rsidRDefault="00F657F1" w:rsidP="006559CC">
            <w:pPr>
              <w:jc w:val="center"/>
              <w:rPr>
                <w:rFonts w:cs="Arial"/>
                <w:b/>
                <w:color w:val="auto"/>
                <w:u w:color="FFFFFF" w:themeColor="background1"/>
                <w:lang w:val="en-AU"/>
              </w:rPr>
            </w:pPr>
            <w:r w:rsidRPr="002F5585">
              <w:rPr>
                <w:rFonts w:cs="Arial"/>
                <w:b/>
                <w:color w:val="auto"/>
                <w:u w:color="FFFFFF" w:themeColor="background1"/>
                <w:lang w:val="en-AU"/>
              </w:rPr>
              <w:t>2014-15</w:t>
            </w:r>
          </w:p>
        </w:tc>
        <w:tc>
          <w:tcPr>
            <w:tcW w:w="895" w:type="pct"/>
            <w:noWrap/>
            <w:vAlign w:val="center"/>
          </w:tcPr>
          <w:p w14:paraId="6046CFE2"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813" w:type="pct"/>
            <w:noWrap/>
            <w:vAlign w:val="center"/>
          </w:tcPr>
          <w:p w14:paraId="17A1EFD1"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855" w:type="pct"/>
            <w:noWrap/>
            <w:vAlign w:val="center"/>
          </w:tcPr>
          <w:p w14:paraId="3A79D448"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723" w:type="pct"/>
            <w:noWrap/>
            <w:vAlign w:val="center"/>
          </w:tcPr>
          <w:p w14:paraId="6ED1A033"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657" w:type="pct"/>
            <w:noWrap/>
            <w:vAlign w:val="center"/>
          </w:tcPr>
          <w:p w14:paraId="7AFBC0C1"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481" w:type="pct"/>
            <w:noWrap/>
            <w:vAlign w:val="center"/>
          </w:tcPr>
          <w:p w14:paraId="271EB29D"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r>
      <w:tr w:rsidR="00F657F1" w:rsidRPr="00A11CC5" w14:paraId="081F8DF6" w14:textId="77777777" w:rsidTr="006559CC">
        <w:trPr>
          <w:cnfStyle w:val="000000100000" w:firstRow="0" w:lastRow="0" w:firstColumn="0" w:lastColumn="0" w:oddVBand="0" w:evenVBand="0" w:oddHBand="1" w:evenHBand="0" w:firstRowFirstColumn="0" w:firstRowLastColumn="0" w:lastRowFirstColumn="0" w:lastRowLastColumn="0"/>
          <w:trHeight w:val="327"/>
        </w:trPr>
        <w:tc>
          <w:tcPr>
            <w:tcW w:w="576" w:type="pct"/>
            <w:noWrap/>
            <w:vAlign w:val="center"/>
          </w:tcPr>
          <w:p w14:paraId="06AE4429" w14:textId="77777777" w:rsidR="00F657F1" w:rsidRPr="002F5585" w:rsidRDefault="00F657F1" w:rsidP="006559CC">
            <w:pPr>
              <w:jc w:val="center"/>
              <w:rPr>
                <w:rFonts w:cs="Arial"/>
                <w:b/>
                <w:color w:val="auto"/>
                <w:u w:color="FFFFFF" w:themeColor="background1"/>
                <w:lang w:val="en-AU"/>
              </w:rPr>
            </w:pPr>
            <w:r w:rsidRPr="002F5585">
              <w:rPr>
                <w:rFonts w:cs="Arial"/>
                <w:b/>
                <w:color w:val="auto"/>
                <w:u w:color="FFFFFF" w:themeColor="background1"/>
                <w:lang w:val="en-AU"/>
              </w:rPr>
              <w:t>2015-16</w:t>
            </w:r>
          </w:p>
        </w:tc>
        <w:tc>
          <w:tcPr>
            <w:tcW w:w="895" w:type="pct"/>
            <w:noWrap/>
            <w:vAlign w:val="center"/>
          </w:tcPr>
          <w:p w14:paraId="66799C1A"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813" w:type="pct"/>
            <w:noWrap/>
            <w:vAlign w:val="center"/>
          </w:tcPr>
          <w:p w14:paraId="62668F06"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1</w:t>
            </w:r>
          </w:p>
        </w:tc>
        <w:tc>
          <w:tcPr>
            <w:tcW w:w="855" w:type="pct"/>
            <w:noWrap/>
            <w:vAlign w:val="center"/>
          </w:tcPr>
          <w:p w14:paraId="1389C382"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723" w:type="pct"/>
            <w:noWrap/>
            <w:vAlign w:val="center"/>
          </w:tcPr>
          <w:p w14:paraId="271DFC0A"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657" w:type="pct"/>
            <w:noWrap/>
            <w:vAlign w:val="center"/>
          </w:tcPr>
          <w:p w14:paraId="445ACCBF"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481" w:type="pct"/>
            <w:noWrap/>
            <w:vAlign w:val="center"/>
          </w:tcPr>
          <w:p w14:paraId="6A6D8F4E"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1</w:t>
            </w:r>
          </w:p>
        </w:tc>
      </w:tr>
      <w:tr w:rsidR="00F657F1" w:rsidRPr="00A11CC5" w14:paraId="64648870" w14:textId="77777777" w:rsidTr="006559CC">
        <w:trPr>
          <w:trHeight w:val="327"/>
        </w:trPr>
        <w:tc>
          <w:tcPr>
            <w:tcW w:w="576" w:type="pct"/>
            <w:noWrap/>
            <w:vAlign w:val="center"/>
          </w:tcPr>
          <w:p w14:paraId="3D95DC0D" w14:textId="77777777" w:rsidR="00F657F1" w:rsidRPr="002F5585" w:rsidRDefault="00F657F1" w:rsidP="006559CC">
            <w:pPr>
              <w:jc w:val="center"/>
              <w:rPr>
                <w:rFonts w:cs="Arial"/>
                <w:b/>
                <w:color w:val="auto"/>
                <w:u w:color="FFFFFF" w:themeColor="background1"/>
                <w:lang w:val="en-AU"/>
              </w:rPr>
            </w:pPr>
            <w:r w:rsidRPr="002F5585">
              <w:rPr>
                <w:rFonts w:cs="Arial"/>
                <w:b/>
                <w:color w:val="auto"/>
                <w:u w:color="FFFFFF" w:themeColor="background1"/>
                <w:lang w:val="en-AU"/>
              </w:rPr>
              <w:t>2016-17</w:t>
            </w:r>
          </w:p>
        </w:tc>
        <w:tc>
          <w:tcPr>
            <w:tcW w:w="895" w:type="pct"/>
            <w:noWrap/>
            <w:vAlign w:val="center"/>
          </w:tcPr>
          <w:p w14:paraId="3927B5B7"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813" w:type="pct"/>
            <w:noWrap/>
            <w:vAlign w:val="center"/>
          </w:tcPr>
          <w:p w14:paraId="437302E6"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855" w:type="pct"/>
            <w:noWrap/>
            <w:vAlign w:val="center"/>
          </w:tcPr>
          <w:p w14:paraId="2E430E18"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723" w:type="pct"/>
            <w:noWrap/>
            <w:vAlign w:val="center"/>
          </w:tcPr>
          <w:p w14:paraId="5D806EB5" w14:textId="77777777" w:rsidR="00F657F1" w:rsidRPr="00A11CC5" w:rsidRDefault="00F657F1" w:rsidP="006559CC">
            <w:pPr>
              <w:jc w:val="center"/>
              <w:rPr>
                <w:rFonts w:cs="Arial"/>
                <w:color w:val="auto"/>
                <w:u w:color="FFFFFF" w:themeColor="background1"/>
                <w:lang w:val="en-AU"/>
              </w:rPr>
            </w:pPr>
            <w:r>
              <w:rPr>
                <w:rFonts w:cs="Arial"/>
                <w:color w:val="auto"/>
                <w:u w:color="FFFFFF" w:themeColor="background1"/>
                <w:lang w:val="en-AU"/>
              </w:rPr>
              <w:t>5</w:t>
            </w:r>
          </w:p>
        </w:tc>
        <w:tc>
          <w:tcPr>
            <w:tcW w:w="657" w:type="pct"/>
            <w:noWrap/>
            <w:vAlign w:val="center"/>
          </w:tcPr>
          <w:p w14:paraId="2323F43E"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c>
          <w:tcPr>
            <w:tcW w:w="481" w:type="pct"/>
            <w:noWrap/>
            <w:vAlign w:val="center"/>
          </w:tcPr>
          <w:p w14:paraId="355DA3E0" w14:textId="77777777" w:rsidR="00F657F1" w:rsidRPr="00A11CC5" w:rsidRDefault="00F657F1" w:rsidP="006559CC">
            <w:pPr>
              <w:jc w:val="center"/>
              <w:rPr>
                <w:rFonts w:cs="Arial"/>
                <w:color w:val="auto"/>
                <w:u w:color="FFFFFF" w:themeColor="background1"/>
                <w:lang w:val="en-AU"/>
              </w:rPr>
            </w:pPr>
            <w:r w:rsidRPr="00A11CC5">
              <w:rPr>
                <w:rFonts w:cs="Arial"/>
                <w:color w:val="auto"/>
                <w:u w:color="FFFFFF" w:themeColor="background1"/>
                <w:lang w:val="en-AU"/>
              </w:rPr>
              <w:t>0</w:t>
            </w:r>
          </w:p>
        </w:tc>
      </w:tr>
      <w:tr w:rsidR="00F657F1" w:rsidRPr="00A11CC5" w14:paraId="13E3A98C" w14:textId="77777777" w:rsidTr="006559CC">
        <w:trPr>
          <w:cnfStyle w:val="000000100000" w:firstRow="0" w:lastRow="0" w:firstColumn="0" w:lastColumn="0" w:oddVBand="0" w:evenVBand="0" w:oddHBand="1" w:evenHBand="0" w:firstRowFirstColumn="0" w:firstRowLastColumn="0" w:lastRowFirstColumn="0" w:lastRowLastColumn="0"/>
          <w:trHeight w:val="327"/>
        </w:trPr>
        <w:tc>
          <w:tcPr>
            <w:tcW w:w="576" w:type="pct"/>
            <w:noWrap/>
            <w:vAlign w:val="center"/>
          </w:tcPr>
          <w:p w14:paraId="7FD31623" w14:textId="77777777" w:rsidR="00F657F1" w:rsidRPr="002F5585" w:rsidRDefault="00F657F1" w:rsidP="006559CC">
            <w:pPr>
              <w:jc w:val="center"/>
              <w:rPr>
                <w:rFonts w:cs="Arial"/>
                <w:b/>
                <w:color w:val="auto"/>
                <w:u w:color="FFFFFF" w:themeColor="background1"/>
                <w:lang w:val="en-AU"/>
              </w:rPr>
            </w:pPr>
            <w:r w:rsidRPr="002F5585">
              <w:rPr>
                <w:rFonts w:cs="Arial"/>
                <w:b/>
                <w:color w:val="auto"/>
                <w:u w:color="FFFFFF" w:themeColor="background1"/>
                <w:lang w:val="en-AU"/>
              </w:rPr>
              <w:t>2017-18</w:t>
            </w:r>
          </w:p>
        </w:tc>
        <w:tc>
          <w:tcPr>
            <w:tcW w:w="895" w:type="pct"/>
            <w:noWrap/>
            <w:vAlign w:val="center"/>
          </w:tcPr>
          <w:p w14:paraId="60053AAB" w14:textId="77777777" w:rsidR="00F657F1" w:rsidRPr="00A11CC5" w:rsidRDefault="00F657F1" w:rsidP="006559CC">
            <w:pPr>
              <w:jc w:val="center"/>
              <w:rPr>
                <w:rFonts w:cs="Arial"/>
                <w:color w:val="auto"/>
                <w:u w:color="FFFFFF" w:themeColor="background1"/>
                <w:lang w:val="en-AU"/>
              </w:rPr>
            </w:pPr>
            <w:r>
              <w:rPr>
                <w:rFonts w:cs="Arial"/>
                <w:color w:val="auto"/>
                <w:u w:color="FFFFFF" w:themeColor="background1"/>
                <w:lang w:val="en-AU"/>
              </w:rPr>
              <w:t>0</w:t>
            </w:r>
          </w:p>
        </w:tc>
        <w:tc>
          <w:tcPr>
            <w:tcW w:w="813" w:type="pct"/>
            <w:noWrap/>
            <w:vAlign w:val="center"/>
          </w:tcPr>
          <w:p w14:paraId="43A898FF" w14:textId="77777777" w:rsidR="00F657F1" w:rsidRPr="00A11CC5" w:rsidRDefault="00F657F1" w:rsidP="006559CC">
            <w:pPr>
              <w:jc w:val="center"/>
              <w:rPr>
                <w:rFonts w:cs="Arial"/>
                <w:color w:val="auto"/>
                <w:u w:color="FFFFFF" w:themeColor="background1"/>
                <w:lang w:val="en-AU"/>
              </w:rPr>
            </w:pPr>
            <w:r>
              <w:rPr>
                <w:rFonts w:cs="Arial"/>
                <w:color w:val="auto"/>
                <w:u w:color="FFFFFF" w:themeColor="background1"/>
                <w:lang w:val="en-AU"/>
              </w:rPr>
              <w:t>0</w:t>
            </w:r>
          </w:p>
        </w:tc>
        <w:tc>
          <w:tcPr>
            <w:tcW w:w="855" w:type="pct"/>
            <w:noWrap/>
            <w:vAlign w:val="center"/>
          </w:tcPr>
          <w:p w14:paraId="3602578A" w14:textId="77777777" w:rsidR="00F657F1" w:rsidRPr="00A11CC5" w:rsidRDefault="00F657F1" w:rsidP="006559CC">
            <w:pPr>
              <w:jc w:val="center"/>
              <w:rPr>
                <w:rFonts w:cs="Arial"/>
                <w:color w:val="auto"/>
                <w:u w:color="FFFFFF" w:themeColor="background1"/>
                <w:lang w:val="en-AU"/>
              </w:rPr>
            </w:pPr>
            <w:r>
              <w:rPr>
                <w:rFonts w:cs="Arial"/>
                <w:color w:val="auto"/>
                <w:u w:color="FFFFFF" w:themeColor="background1"/>
                <w:lang w:val="en-AU"/>
              </w:rPr>
              <w:t>0</w:t>
            </w:r>
          </w:p>
        </w:tc>
        <w:tc>
          <w:tcPr>
            <w:tcW w:w="723" w:type="pct"/>
            <w:noWrap/>
            <w:vAlign w:val="center"/>
          </w:tcPr>
          <w:p w14:paraId="12E50800" w14:textId="77777777" w:rsidR="00F657F1" w:rsidRPr="00A11CC5" w:rsidRDefault="00F657F1" w:rsidP="006559CC">
            <w:pPr>
              <w:jc w:val="center"/>
              <w:rPr>
                <w:rFonts w:cs="Arial"/>
                <w:color w:val="auto"/>
                <w:u w:color="FFFFFF" w:themeColor="background1"/>
                <w:lang w:val="en-AU"/>
              </w:rPr>
            </w:pPr>
            <w:r>
              <w:rPr>
                <w:rFonts w:cs="Arial"/>
                <w:color w:val="auto"/>
                <w:u w:color="FFFFFF" w:themeColor="background1"/>
                <w:lang w:val="en-AU"/>
              </w:rPr>
              <w:t>0</w:t>
            </w:r>
          </w:p>
        </w:tc>
        <w:tc>
          <w:tcPr>
            <w:tcW w:w="657" w:type="pct"/>
            <w:noWrap/>
            <w:vAlign w:val="center"/>
          </w:tcPr>
          <w:p w14:paraId="7770AAAF" w14:textId="77777777" w:rsidR="00F657F1" w:rsidRPr="00A11CC5" w:rsidRDefault="00F657F1" w:rsidP="006559CC">
            <w:pPr>
              <w:jc w:val="center"/>
              <w:rPr>
                <w:rFonts w:cs="Arial"/>
                <w:color w:val="auto"/>
                <w:u w:color="FFFFFF" w:themeColor="background1"/>
                <w:lang w:val="en-AU"/>
              </w:rPr>
            </w:pPr>
            <w:r>
              <w:rPr>
                <w:rFonts w:cs="Arial"/>
                <w:color w:val="auto"/>
                <w:u w:color="FFFFFF" w:themeColor="background1"/>
                <w:lang w:val="en-AU"/>
              </w:rPr>
              <w:t>0</w:t>
            </w:r>
          </w:p>
        </w:tc>
        <w:tc>
          <w:tcPr>
            <w:tcW w:w="481" w:type="pct"/>
            <w:noWrap/>
            <w:vAlign w:val="center"/>
          </w:tcPr>
          <w:p w14:paraId="3850EEBD" w14:textId="77777777" w:rsidR="00F657F1" w:rsidRPr="00A11CC5" w:rsidRDefault="00F657F1" w:rsidP="006559CC">
            <w:pPr>
              <w:jc w:val="center"/>
              <w:rPr>
                <w:rFonts w:cs="Arial"/>
                <w:color w:val="auto"/>
                <w:u w:color="FFFFFF" w:themeColor="background1"/>
                <w:lang w:val="en-AU"/>
              </w:rPr>
            </w:pPr>
            <w:r>
              <w:rPr>
                <w:rFonts w:cs="Arial"/>
                <w:color w:val="auto"/>
                <w:u w:color="FFFFFF" w:themeColor="background1"/>
                <w:lang w:val="en-AU"/>
              </w:rPr>
              <w:t>0</w:t>
            </w:r>
          </w:p>
        </w:tc>
      </w:tr>
      <w:tr w:rsidR="00F657F1" w:rsidRPr="00A11CC5" w14:paraId="71EF37CA" w14:textId="77777777" w:rsidTr="006559CC">
        <w:trPr>
          <w:cnfStyle w:val="010000000000" w:firstRow="0" w:lastRow="1" w:firstColumn="0" w:lastColumn="0" w:oddVBand="0" w:evenVBand="0" w:oddHBand="0" w:evenHBand="0" w:firstRowFirstColumn="0" w:firstRowLastColumn="0" w:lastRowFirstColumn="0" w:lastRowLastColumn="0"/>
          <w:trHeight w:val="327"/>
        </w:trPr>
        <w:tc>
          <w:tcPr>
            <w:tcW w:w="576" w:type="pct"/>
            <w:shd w:val="clear" w:color="auto" w:fill="auto"/>
            <w:noWrap/>
            <w:vAlign w:val="center"/>
          </w:tcPr>
          <w:p w14:paraId="1FEC0E04" w14:textId="77777777" w:rsidR="00F657F1" w:rsidRPr="001762FC" w:rsidRDefault="00F657F1" w:rsidP="006559CC">
            <w:pPr>
              <w:jc w:val="center"/>
              <w:rPr>
                <w:rFonts w:cs="Arial"/>
                <w:color w:val="auto"/>
                <w:u w:color="FFFFFF" w:themeColor="background1"/>
                <w:lang w:val="en-AU"/>
              </w:rPr>
            </w:pPr>
            <w:r w:rsidRPr="001762FC">
              <w:rPr>
                <w:rFonts w:cs="Arial"/>
                <w:color w:val="auto"/>
                <w:u w:color="FFFFFF" w:themeColor="background1"/>
                <w:lang w:val="en-AU"/>
              </w:rPr>
              <w:t>Total</w:t>
            </w:r>
          </w:p>
        </w:tc>
        <w:tc>
          <w:tcPr>
            <w:tcW w:w="895" w:type="pct"/>
            <w:shd w:val="clear" w:color="auto" w:fill="auto"/>
            <w:noWrap/>
            <w:vAlign w:val="center"/>
          </w:tcPr>
          <w:p w14:paraId="3DE28519" w14:textId="77777777" w:rsidR="00F657F1" w:rsidRPr="001762FC" w:rsidRDefault="00F657F1" w:rsidP="006559CC">
            <w:pPr>
              <w:jc w:val="center"/>
              <w:rPr>
                <w:rFonts w:cs="Arial"/>
                <w:color w:val="auto"/>
                <w:u w:color="FFFFFF" w:themeColor="background1"/>
                <w:lang w:val="en-AU"/>
              </w:rPr>
            </w:pPr>
            <w:r w:rsidRPr="001762FC">
              <w:rPr>
                <w:rFonts w:cs="Arial"/>
                <w:color w:val="auto"/>
                <w:u w:color="FFFFFF" w:themeColor="background1"/>
                <w:lang w:val="en-AU"/>
              </w:rPr>
              <w:fldChar w:fldCharType="begin"/>
            </w:r>
            <w:r w:rsidRPr="001762FC">
              <w:rPr>
                <w:rFonts w:cs="Arial"/>
                <w:color w:val="auto"/>
                <w:u w:color="FFFFFF" w:themeColor="background1"/>
                <w:lang w:val="en-AU"/>
              </w:rPr>
              <w:instrText xml:space="preserve"> =SUM(ABOVE) </w:instrText>
            </w:r>
            <w:r w:rsidRPr="001762FC">
              <w:rPr>
                <w:rFonts w:cs="Arial"/>
                <w:color w:val="auto"/>
                <w:u w:color="FFFFFF" w:themeColor="background1"/>
                <w:lang w:val="en-AU"/>
              </w:rPr>
              <w:fldChar w:fldCharType="separate"/>
            </w:r>
            <w:r w:rsidRPr="001762FC">
              <w:rPr>
                <w:rFonts w:cs="Arial"/>
                <w:noProof/>
                <w:color w:val="auto"/>
                <w:u w:color="FFFFFF" w:themeColor="background1"/>
                <w:lang w:val="en-AU"/>
              </w:rPr>
              <w:t>0</w:t>
            </w:r>
            <w:r w:rsidRPr="001762FC">
              <w:rPr>
                <w:rFonts w:cs="Arial"/>
                <w:color w:val="auto"/>
                <w:u w:color="FFFFFF" w:themeColor="background1"/>
                <w:lang w:val="en-AU"/>
              </w:rPr>
              <w:fldChar w:fldCharType="end"/>
            </w:r>
          </w:p>
        </w:tc>
        <w:tc>
          <w:tcPr>
            <w:tcW w:w="813" w:type="pct"/>
            <w:shd w:val="clear" w:color="auto" w:fill="auto"/>
            <w:noWrap/>
            <w:vAlign w:val="center"/>
          </w:tcPr>
          <w:p w14:paraId="3618DB29" w14:textId="77777777" w:rsidR="00F657F1" w:rsidRPr="001762FC" w:rsidRDefault="00F657F1" w:rsidP="006559CC">
            <w:pPr>
              <w:jc w:val="center"/>
              <w:rPr>
                <w:rFonts w:cs="Arial"/>
                <w:color w:val="auto"/>
                <w:u w:color="FFFFFF" w:themeColor="background1"/>
                <w:lang w:val="en-AU"/>
              </w:rPr>
            </w:pPr>
            <w:r w:rsidRPr="001762FC">
              <w:rPr>
                <w:rFonts w:cs="Arial"/>
                <w:color w:val="auto"/>
                <w:u w:color="FFFFFF" w:themeColor="background1"/>
                <w:lang w:val="en-AU"/>
              </w:rPr>
              <w:t>1</w:t>
            </w:r>
          </w:p>
        </w:tc>
        <w:tc>
          <w:tcPr>
            <w:tcW w:w="855" w:type="pct"/>
            <w:shd w:val="clear" w:color="auto" w:fill="auto"/>
            <w:noWrap/>
            <w:vAlign w:val="center"/>
          </w:tcPr>
          <w:p w14:paraId="729C8DE1" w14:textId="77777777" w:rsidR="00F657F1" w:rsidRPr="001762FC" w:rsidRDefault="00F657F1" w:rsidP="006559CC">
            <w:pPr>
              <w:jc w:val="center"/>
              <w:rPr>
                <w:rFonts w:cs="Arial"/>
                <w:color w:val="auto"/>
                <w:u w:color="FFFFFF" w:themeColor="background1"/>
                <w:lang w:val="en-AU"/>
              </w:rPr>
            </w:pPr>
            <w:r w:rsidRPr="001762FC">
              <w:rPr>
                <w:rFonts w:cs="Arial"/>
                <w:color w:val="auto"/>
                <w:u w:color="FFFFFF" w:themeColor="background1"/>
                <w:lang w:val="en-AU"/>
              </w:rPr>
              <w:t>3</w:t>
            </w:r>
          </w:p>
        </w:tc>
        <w:tc>
          <w:tcPr>
            <w:tcW w:w="723" w:type="pct"/>
            <w:shd w:val="clear" w:color="auto" w:fill="auto"/>
            <w:noWrap/>
            <w:vAlign w:val="center"/>
          </w:tcPr>
          <w:p w14:paraId="7AFBF6B5" w14:textId="77777777" w:rsidR="00F657F1" w:rsidRPr="001762FC" w:rsidRDefault="00F657F1" w:rsidP="006559CC">
            <w:pPr>
              <w:jc w:val="center"/>
              <w:rPr>
                <w:rFonts w:cs="Arial"/>
                <w:color w:val="auto"/>
                <w:u w:color="FFFFFF" w:themeColor="background1"/>
                <w:lang w:val="en-AU"/>
              </w:rPr>
            </w:pPr>
            <w:r w:rsidRPr="001762FC">
              <w:rPr>
                <w:rFonts w:cs="Arial"/>
                <w:color w:val="auto"/>
                <w:u w:color="FFFFFF" w:themeColor="background1"/>
                <w:lang w:val="en-AU"/>
              </w:rPr>
              <w:t>1</w:t>
            </w:r>
          </w:p>
        </w:tc>
        <w:tc>
          <w:tcPr>
            <w:tcW w:w="657" w:type="pct"/>
            <w:shd w:val="clear" w:color="auto" w:fill="auto"/>
            <w:noWrap/>
            <w:vAlign w:val="center"/>
          </w:tcPr>
          <w:p w14:paraId="2F347544" w14:textId="77777777" w:rsidR="00F657F1" w:rsidRPr="001762FC" w:rsidRDefault="00F657F1" w:rsidP="006559CC">
            <w:pPr>
              <w:jc w:val="center"/>
              <w:rPr>
                <w:rFonts w:cs="Arial"/>
                <w:color w:val="auto"/>
                <w:u w:color="FFFFFF" w:themeColor="background1"/>
                <w:lang w:val="en-AU"/>
              </w:rPr>
            </w:pPr>
            <w:r w:rsidRPr="001762FC">
              <w:rPr>
                <w:rFonts w:cs="Arial"/>
                <w:color w:val="auto"/>
                <w:u w:color="FFFFFF" w:themeColor="background1"/>
                <w:lang w:val="en-AU"/>
              </w:rPr>
              <w:t>0</w:t>
            </w:r>
          </w:p>
        </w:tc>
        <w:tc>
          <w:tcPr>
            <w:tcW w:w="481" w:type="pct"/>
            <w:shd w:val="clear" w:color="auto" w:fill="auto"/>
            <w:noWrap/>
            <w:vAlign w:val="center"/>
          </w:tcPr>
          <w:p w14:paraId="0A8380C2" w14:textId="77777777" w:rsidR="00F657F1" w:rsidRPr="001762FC" w:rsidRDefault="00F657F1" w:rsidP="006559CC">
            <w:pPr>
              <w:jc w:val="center"/>
              <w:rPr>
                <w:rFonts w:cs="Arial"/>
                <w:color w:val="auto"/>
                <w:u w:color="FFFFFF" w:themeColor="background1"/>
                <w:lang w:val="en-AU"/>
              </w:rPr>
            </w:pPr>
            <w:r w:rsidRPr="001762FC">
              <w:rPr>
                <w:rFonts w:cs="Arial"/>
                <w:color w:val="auto"/>
                <w:u w:color="FFFFFF" w:themeColor="background1"/>
                <w:lang w:val="en-AU"/>
              </w:rPr>
              <w:fldChar w:fldCharType="begin"/>
            </w:r>
            <w:r w:rsidRPr="001762FC">
              <w:rPr>
                <w:rFonts w:cs="Arial"/>
                <w:color w:val="auto"/>
                <w:u w:color="FFFFFF" w:themeColor="background1"/>
                <w:lang w:val="en-AU"/>
              </w:rPr>
              <w:instrText xml:space="preserve"> =SUM(ABOVE) </w:instrText>
            </w:r>
            <w:r w:rsidRPr="001762FC">
              <w:rPr>
                <w:rFonts w:cs="Arial"/>
                <w:color w:val="auto"/>
                <w:u w:color="FFFFFF" w:themeColor="background1"/>
                <w:lang w:val="en-AU"/>
              </w:rPr>
              <w:fldChar w:fldCharType="separate"/>
            </w:r>
            <w:r w:rsidRPr="001762FC">
              <w:rPr>
                <w:rFonts w:cs="Arial"/>
                <w:noProof/>
                <w:color w:val="auto"/>
                <w:u w:color="FFFFFF" w:themeColor="background1"/>
                <w:lang w:val="en-AU"/>
              </w:rPr>
              <w:t>5</w:t>
            </w:r>
            <w:r w:rsidRPr="001762FC">
              <w:rPr>
                <w:rFonts w:cs="Arial"/>
                <w:color w:val="auto"/>
                <w:u w:color="FFFFFF" w:themeColor="background1"/>
                <w:lang w:val="en-AU"/>
              </w:rPr>
              <w:fldChar w:fldCharType="end"/>
            </w:r>
          </w:p>
        </w:tc>
      </w:tr>
    </w:tbl>
    <w:p w14:paraId="013C2BC2" w14:textId="77777777" w:rsidR="00F657F1" w:rsidRPr="00A11CC5" w:rsidRDefault="00F657F1" w:rsidP="00F657F1">
      <w:pPr>
        <w:pStyle w:val="BodyText"/>
        <w:spacing w:before="0" w:after="0"/>
        <w:rPr>
          <w:rFonts w:cs="Arial"/>
          <w:u w:color="FFFFFF" w:themeColor="background1"/>
          <w:lang w:val="en-AU"/>
        </w:rPr>
      </w:pPr>
      <w:r w:rsidRPr="00A11CC5">
        <w:rPr>
          <w:rFonts w:cs="Arial"/>
          <w:u w:color="FFFFFF" w:themeColor="background1"/>
          <w:lang w:val="en-AU"/>
        </w:rPr>
        <w:t xml:space="preserve">Source: </w:t>
      </w:r>
      <w:r>
        <w:rPr>
          <w:rFonts w:cs="Arial"/>
          <w:u w:color="FFFFFF" w:themeColor="background1"/>
          <w:lang w:val="en-AU"/>
        </w:rPr>
        <w:t>DJPR</w:t>
      </w:r>
    </w:p>
    <w:p w14:paraId="7C677030" w14:textId="0D85AED5" w:rsidR="00F657F1" w:rsidRDefault="00F657F1" w:rsidP="00F657F1">
      <w:pPr>
        <w:spacing w:before="120" w:after="120"/>
        <w:rPr>
          <w:noProof/>
          <w:color w:val="auto"/>
        </w:rPr>
      </w:pPr>
      <w:r w:rsidRPr="00A11CC5">
        <w:rPr>
          <w:rFonts w:cs="Arial"/>
          <w:b/>
          <w:color w:val="auto"/>
          <w:u w:color="FFFFFF" w:themeColor="background1"/>
          <w:lang w:val="en-AU"/>
        </w:rPr>
        <w:t xml:space="preserve">Graph </w:t>
      </w:r>
      <w:r w:rsidR="00F21245">
        <w:rPr>
          <w:rFonts w:cs="Arial"/>
          <w:b/>
          <w:color w:val="auto"/>
          <w:u w:color="FFFFFF" w:themeColor="background1"/>
          <w:lang w:val="en-AU"/>
        </w:rPr>
        <w:t>6</w:t>
      </w:r>
      <w:r w:rsidRPr="00A11CC5">
        <w:rPr>
          <w:rFonts w:cs="Arial"/>
          <w:b/>
          <w:color w:val="auto"/>
          <w:u w:color="FFFFFF" w:themeColor="background1"/>
          <w:lang w:val="en-AU"/>
        </w:rPr>
        <w:t xml:space="preserve">.1 Number of exploration wells drilled </w:t>
      </w:r>
    </w:p>
    <w:p w14:paraId="2747E2EB" w14:textId="77777777" w:rsidR="00F657F1" w:rsidRDefault="00F657F1" w:rsidP="00F657F1">
      <w:pPr>
        <w:spacing w:before="120" w:after="120"/>
        <w:rPr>
          <w:noProof/>
          <w:color w:val="auto"/>
        </w:rPr>
      </w:pPr>
      <w:r>
        <w:rPr>
          <w:noProof/>
          <w:color w:val="auto"/>
        </w:rPr>
        <w:drawing>
          <wp:inline distT="0" distB="0" distL="0" distR="0" wp14:anchorId="74054502" wp14:editId="09354C79">
            <wp:extent cx="6581775" cy="29241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BD90B98" w14:textId="77777777" w:rsidR="00F657F1" w:rsidRPr="00A11CC5" w:rsidRDefault="00F657F1" w:rsidP="00F657F1">
      <w:pPr>
        <w:spacing w:before="120" w:after="120"/>
        <w:rPr>
          <w:rFonts w:cs="Arial"/>
          <w:b/>
          <w:color w:val="auto"/>
          <w:u w:color="FFFFFF" w:themeColor="background1"/>
          <w:lang w:val="en-AU"/>
        </w:rPr>
      </w:pPr>
    </w:p>
    <w:p w14:paraId="209E7EDE" w14:textId="77777777" w:rsidR="00F657F1" w:rsidRPr="00A11CC5" w:rsidRDefault="00F657F1" w:rsidP="00F657F1">
      <w:pPr>
        <w:pStyle w:val="BodyText"/>
        <w:spacing w:before="0" w:after="0"/>
        <w:rPr>
          <w:rFonts w:cs="Arial"/>
          <w:u w:color="FFFFFF" w:themeColor="background1"/>
          <w:lang w:val="en-AU"/>
        </w:rPr>
      </w:pPr>
      <w:r w:rsidRPr="00A11CC5">
        <w:rPr>
          <w:rFonts w:cs="Arial"/>
          <w:u w:color="FFFFFF" w:themeColor="background1"/>
          <w:lang w:val="en-AU"/>
        </w:rPr>
        <w:t xml:space="preserve">Source: </w:t>
      </w:r>
      <w:r>
        <w:rPr>
          <w:rFonts w:cs="Arial"/>
          <w:u w:color="FFFFFF" w:themeColor="background1"/>
          <w:lang w:val="en-AU"/>
        </w:rPr>
        <w:t>DJPR</w:t>
      </w:r>
    </w:p>
    <w:p w14:paraId="7B75CA69" w14:textId="77777777" w:rsidR="00F657F1" w:rsidRPr="00A11CC5" w:rsidRDefault="00F657F1" w:rsidP="00F657F1">
      <w:pPr>
        <w:rPr>
          <w:color w:val="auto"/>
          <w:lang w:val="en-AU"/>
        </w:rPr>
      </w:pPr>
    </w:p>
    <w:p w14:paraId="70E30E16" w14:textId="77777777" w:rsidR="00F657F1" w:rsidRPr="00A11CC5" w:rsidRDefault="00F657F1" w:rsidP="00F657F1">
      <w:pPr>
        <w:rPr>
          <w:color w:val="auto"/>
          <w:lang w:val="en-AU"/>
        </w:rPr>
      </w:pPr>
    </w:p>
    <w:p w14:paraId="51A04A37" w14:textId="77777777" w:rsidR="00F657F1" w:rsidRPr="00A11CC5" w:rsidRDefault="00F657F1" w:rsidP="00F657F1">
      <w:pPr>
        <w:pStyle w:val="Heading4"/>
        <w:rPr>
          <w:color w:val="auto"/>
          <w:lang w:val="en-AU"/>
        </w:rPr>
      </w:pPr>
      <w:r w:rsidRPr="00A11CC5">
        <w:rPr>
          <w:color w:val="auto"/>
          <w:lang w:val="en-AU"/>
        </w:rPr>
        <w:br w:type="page"/>
      </w:r>
      <w:r w:rsidRPr="00A11CC5">
        <w:rPr>
          <w:color w:val="auto"/>
          <w:lang w:val="en-AU"/>
        </w:rPr>
        <w:lastRenderedPageBreak/>
        <w:t>Production</w:t>
      </w:r>
    </w:p>
    <w:p w14:paraId="0D4C134C" w14:textId="77777777" w:rsidR="00F657F1" w:rsidRDefault="00F657F1" w:rsidP="00F657F1">
      <w:pPr>
        <w:spacing w:after="0" w:line="240" w:lineRule="auto"/>
        <w:jc w:val="both"/>
        <w:rPr>
          <w:rFonts w:eastAsia="Cambria" w:cs="Arial"/>
          <w:color w:val="auto"/>
          <w:u w:color="FFFFFF" w:themeColor="background1"/>
          <w:lang w:val="en-AU"/>
        </w:rPr>
      </w:pPr>
    </w:p>
    <w:p w14:paraId="69BEF2FA" w14:textId="77777777" w:rsidR="00BA726A" w:rsidRPr="00CA0D24" w:rsidRDefault="00BA726A" w:rsidP="00BA726A">
      <w:pPr>
        <w:spacing w:after="0" w:line="240" w:lineRule="auto"/>
        <w:jc w:val="both"/>
        <w:rPr>
          <w:rFonts w:asciiTheme="minorHAnsi" w:eastAsia="Cambria" w:hAnsiTheme="minorHAnsi" w:cs="Arial"/>
          <w:color w:val="auto"/>
          <w:u w:color="FFFFFF" w:themeColor="background1"/>
          <w:lang w:val="en-AU"/>
        </w:rPr>
      </w:pPr>
      <w:r w:rsidRPr="00CA0D24">
        <w:rPr>
          <w:rFonts w:asciiTheme="minorHAnsi" w:eastAsia="Cambria" w:hAnsiTheme="minorHAnsi" w:cs="Arial"/>
          <w:color w:val="auto"/>
          <w:u w:color="FFFFFF" w:themeColor="background1"/>
          <w:lang w:val="en-AU"/>
        </w:rPr>
        <w:t>Gas production located within Victoria’s three nautical mile zone.</w:t>
      </w:r>
    </w:p>
    <w:p w14:paraId="3EB5509C" w14:textId="77777777" w:rsidR="00F657F1" w:rsidRPr="00BA726A" w:rsidRDefault="00F657F1" w:rsidP="00F657F1">
      <w:pPr>
        <w:spacing w:after="0" w:line="240" w:lineRule="auto"/>
        <w:jc w:val="both"/>
        <w:rPr>
          <w:rFonts w:eastAsia="Cambria" w:cs="Arial"/>
          <w:color w:val="000000" w:themeColor="text1"/>
          <w:u w:color="FFFFFF" w:themeColor="background1"/>
          <w:lang w:val="en-AU"/>
        </w:rPr>
      </w:pPr>
    </w:p>
    <w:p w14:paraId="4CE24245" w14:textId="77777777" w:rsidR="00F657F1" w:rsidRPr="00BA726A" w:rsidRDefault="00F657F1" w:rsidP="00F657F1">
      <w:pPr>
        <w:spacing w:after="0" w:line="240" w:lineRule="auto"/>
        <w:jc w:val="both"/>
        <w:rPr>
          <w:rFonts w:eastAsia="Cambria" w:cs="Arial"/>
          <w:color w:val="000000" w:themeColor="text1"/>
          <w:u w:color="FFFFFF" w:themeColor="background1"/>
          <w:lang w:val="en-AU"/>
        </w:rPr>
      </w:pPr>
    </w:p>
    <w:p w14:paraId="1F15237D" w14:textId="736E0470" w:rsidR="00F657F1" w:rsidRDefault="00F657F1" w:rsidP="00F657F1">
      <w:pPr>
        <w:spacing w:after="0" w:line="240" w:lineRule="auto"/>
        <w:jc w:val="both"/>
        <w:rPr>
          <w:rFonts w:cs="Arial"/>
          <w:b/>
          <w:color w:val="auto"/>
          <w:u w:color="FFFFFF" w:themeColor="background1"/>
          <w:lang w:val="en-AU"/>
        </w:rPr>
      </w:pPr>
      <w:r w:rsidRPr="00A11CC5">
        <w:rPr>
          <w:rFonts w:cs="Arial"/>
          <w:b/>
          <w:color w:val="auto"/>
          <w:u w:color="FFFFFF" w:themeColor="background1"/>
          <w:lang w:val="en-AU"/>
        </w:rPr>
        <w:t xml:space="preserve">Table </w:t>
      </w:r>
      <w:r w:rsidR="00F21245">
        <w:rPr>
          <w:rFonts w:cs="Arial"/>
          <w:b/>
          <w:color w:val="auto"/>
          <w:u w:color="FFFFFF" w:themeColor="background1"/>
          <w:lang w:val="en-AU"/>
        </w:rPr>
        <w:t>6</w:t>
      </w:r>
      <w:r w:rsidRPr="00A11CC5">
        <w:rPr>
          <w:rFonts w:cs="Arial"/>
          <w:b/>
          <w:color w:val="auto"/>
          <w:u w:color="FFFFFF" w:themeColor="background1"/>
          <w:lang w:val="en-AU"/>
        </w:rPr>
        <w:t xml:space="preserve">.9: </w:t>
      </w:r>
      <w:r w:rsidR="00CC210E">
        <w:rPr>
          <w:rFonts w:cs="Arial"/>
          <w:b/>
          <w:color w:val="auto"/>
          <w:u w:color="FFFFFF" w:themeColor="background1"/>
          <w:lang w:val="en-AU"/>
        </w:rPr>
        <w:t>Gas</w:t>
      </w:r>
      <w:r w:rsidRPr="00A11CC5">
        <w:rPr>
          <w:rFonts w:cs="Arial"/>
          <w:b/>
          <w:color w:val="auto"/>
          <w:u w:color="FFFFFF" w:themeColor="background1"/>
          <w:lang w:val="en-AU"/>
        </w:rPr>
        <w:t xml:space="preserve"> production 201</w:t>
      </w:r>
      <w:r>
        <w:rPr>
          <w:rFonts w:cs="Arial"/>
          <w:b/>
          <w:color w:val="auto"/>
          <w:u w:color="FFFFFF" w:themeColor="background1"/>
          <w:lang w:val="en-AU"/>
        </w:rPr>
        <w:t>7</w:t>
      </w:r>
      <w:r w:rsidRPr="00A11CC5">
        <w:rPr>
          <w:rFonts w:cs="Arial"/>
          <w:b/>
          <w:color w:val="auto"/>
          <w:u w:color="FFFFFF" w:themeColor="background1"/>
          <w:lang w:val="en-AU"/>
        </w:rPr>
        <w:t>-1</w:t>
      </w:r>
      <w:r>
        <w:rPr>
          <w:rFonts w:cs="Arial"/>
          <w:b/>
          <w:color w:val="auto"/>
          <w:u w:color="FFFFFF" w:themeColor="background1"/>
          <w:lang w:val="en-AU"/>
        </w:rPr>
        <w:t>8</w:t>
      </w:r>
    </w:p>
    <w:tbl>
      <w:tblPr>
        <w:tblStyle w:val="GridTable4-Accent1"/>
        <w:tblW w:w="5000" w:type="pct"/>
        <w:tblLook w:val="07A0" w:firstRow="1" w:lastRow="0" w:firstColumn="1" w:lastColumn="1" w:noHBand="1" w:noVBand="1"/>
        <w:tblCaption w:val="Anual Otway production and injection"/>
        <w:tblDescription w:val="Location against condensate, production and injection."/>
      </w:tblPr>
      <w:tblGrid>
        <w:gridCol w:w="1780"/>
        <w:gridCol w:w="1712"/>
        <w:gridCol w:w="1895"/>
        <w:gridCol w:w="1480"/>
        <w:gridCol w:w="1515"/>
        <w:gridCol w:w="1688"/>
      </w:tblGrid>
      <w:tr w:rsidR="004D03B3" w:rsidRPr="00CA0D24" w14:paraId="14645BD8" w14:textId="77777777" w:rsidTr="00FD68B7">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884" w:type="pct"/>
            <w:vAlign w:val="center"/>
          </w:tcPr>
          <w:p w14:paraId="522603AD" w14:textId="77777777" w:rsidR="004D03B3" w:rsidRPr="00CA0D24" w:rsidRDefault="004D03B3" w:rsidP="00FD68B7">
            <w:pPr>
              <w:jc w:val="center"/>
              <w:rPr>
                <w:rFonts w:asciiTheme="minorHAnsi" w:hAnsiTheme="minorHAnsi" w:cs="Arial"/>
                <w:color w:val="FFFFFF" w:themeColor="background1"/>
                <w:u w:color="FFFFFF" w:themeColor="background1"/>
                <w:lang w:val="en-AU"/>
              </w:rPr>
            </w:pPr>
            <w:r w:rsidRPr="00CA0D24">
              <w:rPr>
                <w:rFonts w:asciiTheme="minorHAnsi" w:hAnsiTheme="minorHAnsi" w:cs="Arial"/>
                <w:color w:val="FFFFFF" w:themeColor="background1"/>
                <w:u w:color="FFFFFF" w:themeColor="background1"/>
                <w:lang w:val="en-AU"/>
              </w:rPr>
              <w:t>Condensate (</w:t>
            </w:r>
            <w:proofErr w:type="spellStart"/>
            <w:r w:rsidRPr="00CA0D24">
              <w:rPr>
                <w:rFonts w:asciiTheme="minorHAnsi" w:hAnsiTheme="minorHAnsi" w:cs="Arial"/>
                <w:color w:val="FFFFFF" w:themeColor="background1"/>
                <w:u w:color="FFFFFF" w:themeColor="background1"/>
                <w:lang w:val="en-AU"/>
              </w:rPr>
              <w:t>bbl</w:t>
            </w:r>
            <w:proofErr w:type="spellEnd"/>
            <w:r w:rsidRPr="00CA0D24">
              <w:rPr>
                <w:rFonts w:asciiTheme="minorHAnsi" w:hAnsiTheme="minorHAnsi" w:cs="Arial"/>
                <w:color w:val="FFFFFF" w:themeColor="background1"/>
                <w:u w:color="FFFFFF" w:themeColor="background1"/>
                <w:lang w:val="en-AU"/>
              </w:rPr>
              <w:t>*)</w:t>
            </w:r>
          </w:p>
        </w:tc>
        <w:tc>
          <w:tcPr>
            <w:tcW w:w="850" w:type="pct"/>
            <w:vAlign w:val="center"/>
          </w:tcPr>
          <w:p w14:paraId="1767F298" w14:textId="77777777" w:rsidR="004D03B3" w:rsidRPr="00CA0D24" w:rsidRDefault="004D03B3" w:rsidP="00FD68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themeColor="background1"/>
                <w:u w:color="FFFFFF" w:themeColor="background1"/>
                <w:lang w:val="en-AU"/>
              </w:rPr>
            </w:pPr>
            <w:r w:rsidRPr="00CA0D24">
              <w:rPr>
                <w:rFonts w:asciiTheme="minorHAnsi" w:hAnsiTheme="minorHAnsi" w:cs="Arial"/>
                <w:color w:val="FFFFFF" w:themeColor="background1"/>
                <w:u w:color="FFFFFF" w:themeColor="background1"/>
                <w:lang w:val="en-AU"/>
              </w:rPr>
              <w:t>Gas Production (</w:t>
            </w:r>
            <w:proofErr w:type="spellStart"/>
            <w:r w:rsidRPr="00CA0D24">
              <w:rPr>
                <w:rFonts w:asciiTheme="minorHAnsi" w:hAnsiTheme="minorHAnsi" w:cs="Arial"/>
                <w:color w:val="FFFFFF" w:themeColor="background1"/>
                <w:u w:color="FFFFFF" w:themeColor="background1"/>
                <w:lang w:val="en-AU"/>
              </w:rPr>
              <w:t>MMscf</w:t>
            </w:r>
            <w:proofErr w:type="spellEnd"/>
            <w:r w:rsidRPr="00CA0D24">
              <w:rPr>
                <w:rFonts w:asciiTheme="minorHAnsi" w:hAnsiTheme="minorHAnsi" w:cs="Arial"/>
                <w:color w:val="FFFFFF" w:themeColor="background1"/>
                <w:u w:color="FFFFFF" w:themeColor="background1"/>
                <w:lang w:val="en-AU"/>
              </w:rPr>
              <w:t>**)</w:t>
            </w:r>
          </w:p>
        </w:tc>
        <w:tc>
          <w:tcPr>
            <w:tcW w:w="941" w:type="pct"/>
            <w:vAlign w:val="center"/>
          </w:tcPr>
          <w:p w14:paraId="09D27688" w14:textId="77777777" w:rsidR="004D03B3" w:rsidRPr="00CA0D24" w:rsidRDefault="004D03B3" w:rsidP="00FD68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themeColor="background1"/>
                <w:u w:color="FFFFFF" w:themeColor="background1"/>
                <w:lang w:val="en-AU"/>
              </w:rPr>
            </w:pPr>
            <w:r w:rsidRPr="00CA0D24">
              <w:rPr>
                <w:rFonts w:asciiTheme="minorHAnsi" w:hAnsiTheme="minorHAnsi" w:cs="Arial"/>
                <w:color w:val="FFFFFF" w:themeColor="background1"/>
                <w:u w:color="FFFFFF" w:themeColor="background1"/>
                <w:lang w:val="en-AU"/>
              </w:rPr>
              <w:t>Gas Production (Petajoules^)</w:t>
            </w:r>
          </w:p>
        </w:tc>
        <w:tc>
          <w:tcPr>
            <w:tcW w:w="735" w:type="pct"/>
            <w:vAlign w:val="center"/>
          </w:tcPr>
          <w:p w14:paraId="6A19F38E" w14:textId="77777777" w:rsidR="004D03B3" w:rsidRPr="00CA0D24" w:rsidRDefault="004D03B3" w:rsidP="00FD68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themeColor="background1"/>
                <w:u w:color="FFFFFF" w:themeColor="background1"/>
                <w:lang w:val="en-AU"/>
              </w:rPr>
            </w:pPr>
            <w:r w:rsidRPr="00CA0D24">
              <w:rPr>
                <w:rFonts w:asciiTheme="minorHAnsi" w:hAnsiTheme="minorHAnsi" w:cs="Arial"/>
                <w:color w:val="FFFFFF" w:themeColor="background1"/>
                <w:u w:color="FFFFFF" w:themeColor="background1"/>
                <w:lang w:val="en-AU"/>
              </w:rPr>
              <w:t>CO2 Prod. (tonnes)</w:t>
            </w:r>
          </w:p>
        </w:tc>
        <w:tc>
          <w:tcPr>
            <w:tcW w:w="752" w:type="pct"/>
            <w:vAlign w:val="center"/>
          </w:tcPr>
          <w:p w14:paraId="00A1789D" w14:textId="77777777" w:rsidR="004D03B3" w:rsidRPr="00CA0D24" w:rsidRDefault="004D03B3" w:rsidP="00FD68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themeColor="background1"/>
                <w:u w:color="FFFFFF" w:themeColor="background1"/>
                <w:lang w:val="en-AU"/>
              </w:rPr>
            </w:pPr>
            <w:r w:rsidRPr="00CA0D24">
              <w:rPr>
                <w:rFonts w:asciiTheme="minorHAnsi" w:hAnsiTheme="minorHAnsi" w:cs="Arial"/>
                <w:color w:val="FFFFFF" w:themeColor="background1"/>
                <w:u w:color="FFFFFF" w:themeColor="background1"/>
                <w:lang w:val="en-AU"/>
              </w:rPr>
              <w:t>Gas Injection (</w:t>
            </w:r>
            <w:proofErr w:type="spellStart"/>
            <w:r w:rsidRPr="00CA0D24">
              <w:rPr>
                <w:rFonts w:asciiTheme="minorHAnsi" w:hAnsiTheme="minorHAnsi" w:cs="Arial"/>
                <w:color w:val="FFFFFF" w:themeColor="background1"/>
                <w:u w:color="FFFFFF" w:themeColor="background1"/>
                <w:lang w:val="en-AU"/>
              </w:rPr>
              <w:t>MMscf</w:t>
            </w:r>
            <w:proofErr w:type="spellEnd"/>
            <w:r w:rsidRPr="00CA0D24">
              <w:rPr>
                <w:rFonts w:asciiTheme="minorHAnsi" w:hAnsiTheme="minorHAnsi" w:cs="Arial"/>
                <w:color w:val="FFFFFF" w:themeColor="background1"/>
                <w:u w:color="FFFFFF" w:themeColor="background1"/>
                <w:lang w:val="en-AU"/>
              </w:rPr>
              <w:t>)</w:t>
            </w:r>
          </w:p>
        </w:tc>
        <w:tc>
          <w:tcPr>
            <w:cnfStyle w:val="000100000000" w:firstRow="0" w:lastRow="0" w:firstColumn="0" w:lastColumn="1" w:oddVBand="0" w:evenVBand="0" w:oddHBand="0" w:evenHBand="0" w:firstRowFirstColumn="0" w:firstRowLastColumn="0" w:lastRowFirstColumn="0" w:lastRowLastColumn="0"/>
            <w:tcW w:w="838" w:type="pct"/>
            <w:vAlign w:val="center"/>
          </w:tcPr>
          <w:p w14:paraId="4D9CD356" w14:textId="77777777" w:rsidR="004D03B3" w:rsidRPr="00CA0D24" w:rsidRDefault="004D03B3" w:rsidP="00FD68B7">
            <w:pPr>
              <w:jc w:val="center"/>
              <w:rPr>
                <w:rFonts w:asciiTheme="minorHAnsi" w:hAnsiTheme="minorHAnsi" w:cs="Arial"/>
                <w:color w:val="FFFFFF" w:themeColor="background1"/>
                <w:u w:color="FFFFFF" w:themeColor="background1"/>
                <w:lang w:val="en-AU"/>
              </w:rPr>
            </w:pPr>
            <w:r w:rsidRPr="00CA0D24">
              <w:rPr>
                <w:rFonts w:asciiTheme="minorHAnsi" w:hAnsiTheme="minorHAnsi" w:cs="Arial"/>
                <w:color w:val="FFFFFF" w:themeColor="background1"/>
                <w:u w:color="FFFFFF" w:themeColor="background1"/>
                <w:lang w:val="en-AU"/>
              </w:rPr>
              <w:t>Comments</w:t>
            </w:r>
          </w:p>
        </w:tc>
      </w:tr>
      <w:tr w:rsidR="004D03B3" w:rsidRPr="00CA0D24" w14:paraId="37396838" w14:textId="77777777" w:rsidTr="00FD68B7">
        <w:trPr>
          <w:trHeight w:val="625"/>
        </w:trPr>
        <w:tc>
          <w:tcPr>
            <w:cnfStyle w:val="001000000000" w:firstRow="0" w:lastRow="0" w:firstColumn="1" w:lastColumn="0" w:oddVBand="0" w:evenVBand="0" w:oddHBand="0" w:evenHBand="0" w:firstRowFirstColumn="0" w:firstRowLastColumn="0" w:lastRowFirstColumn="0" w:lastRowLastColumn="0"/>
            <w:tcW w:w="884" w:type="pct"/>
            <w:vAlign w:val="center"/>
          </w:tcPr>
          <w:p w14:paraId="692424FD" w14:textId="7529E2C2" w:rsidR="004D03B3" w:rsidRPr="00246F12" w:rsidRDefault="000823D4" w:rsidP="00FD68B7">
            <w:pPr>
              <w:jc w:val="center"/>
              <w:rPr>
                <w:rFonts w:asciiTheme="minorHAnsi" w:hAnsiTheme="minorHAnsi" w:cs="Arial"/>
                <w:b w:val="0"/>
                <w:color w:val="auto"/>
                <w:u w:color="FFFFFF" w:themeColor="background1"/>
                <w:lang w:val="en-AU"/>
              </w:rPr>
            </w:pPr>
            <w:r>
              <w:rPr>
                <w:rFonts w:asciiTheme="minorHAnsi" w:hAnsiTheme="minorHAnsi" w:cs="Arial"/>
                <w:color w:val="auto"/>
                <w:u w:color="FFFFFF" w:themeColor="background1"/>
                <w:lang w:val="en-AU"/>
              </w:rPr>
              <w:t>134178</w:t>
            </w:r>
          </w:p>
        </w:tc>
        <w:tc>
          <w:tcPr>
            <w:tcW w:w="850" w:type="pct"/>
            <w:vAlign w:val="center"/>
          </w:tcPr>
          <w:p w14:paraId="2AABEE9B" w14:textId="1F79BE02" w:rsidR="004D03B3" w:rsidRPr="00CA0D24" w:rsidRDefault="004D03B3" w:rsidP="00FD68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u w:color="FFFFFF" w:themeColor="background1"/>
                <w:lang w:val="en-AU"/>
              </w:rPr>
            </w:pPr>
            <w:r>
              <w:rPr>
                <w:rFonts w:asciiTheme="minorHAnsi" w:hAnsiTheme="minorHAnsi" w:cs="Arial"/>
                <w:color w:val="auto"/>
                <w:u w:color="FFFFFF" w:themeColor="background1"/>
                <w:lang w:val="en-AU"/>
              </w:rPr>
              <w:t>1</w:t>
            </w:r>
            <w:r w:rsidR="00813FAC">
              <w:rPr>
                <w:rFonts w:asciiTheme="minorHAnsi" w:hAnsiTheme="minorHAnsi" w:cs="Arial"/>
                <w:color w:val="auto"/>
                <w:u w:color="FFFFFF" w:themeColor="background1"/>
                <w:lang w:val="en-AU"/>
              </w:rPr>
              <w:t>3,118</w:t>
            </w:r>
          </w:p>
        </w:tc>
        <w:tc>
          <w:tcPr>
            <w:tcW w:w="941" w:type="pct"/>
            <w:vAlign w:val="center"/>
          </w:tcPr>
          <w:p w14:paraId="20ED6AFB" w14:textId="61B85A59" w:rsidR="004D03B3" w:rsidRPr="00CA0D24" w:rsidRDefault="004D03B3" w:rsidP="00FD68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u w:color="FFFFFF" w:themeColor="background1"/>
                <w:lang w:val="en-AU"/>
              </w:rPr>
            </w:pPr>
            <w:r>
              <w:rPr>
                <w:rFonts w:asciiTheme="minorHAnsi" w:hAnsiTheme="minorHAnsi" w:cs="Arial"/>
                <w:color w:val="auto"/>
                <w:u w:color="FFFFFF" w:themeColor="background1"/>
                <w:lang w:val="en-AU"/>
              </w:rPr>
              <w:t>1</w:t>
            </w:r>
            <w:r w:rsidR="00813FAC">
              <w:rPr>
                <w:rFonts w:asciiTheme="minorHAnsi" w:hAnsiTheme="minorHAnsi" w:cs="Arial"/>
                <w:color w:val="auto"/>
                <w:u w:color="FFFFFF" w:themeColor="background1"/>
                <w:lang w:val="en-AU"/>
              </w:rPr>
              <w:t>3.91</w:t>
            </w:r>
          </w:p>
        </w:tc>
        <w:tc>
          <w:tcPr>
            <w:tcW w:w="735" w:type="pct"/>
            <w:vAlign w:val="center"/>
          </w:tcPr>
          <w:p w14:paraId="4F2DDB47" w14:textId="27305AF5" w:rsidR="004D03B3" w:rsidRPr="00CA0D24" w:rsidRDefault="004D03B3" w:rsidP="00FD68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u w:color="FFFFFF" w:themeColor="background1"/>
                <w:lang w:val="en-AU"/>
              </w:rPr>
            </w:pPr>
            <w:r>
              <w:rPr>
                <w:rFonts w:asciiTheme="minorHAnsi" w:hAnsiTheme="minorHAnsi" w:cs="Arial"/>
                <w:color w:val="auto"/>
                <w:u w:color="FFFFFF" w:themeColor="background1"/>
                <w:lang w:val="en-AU"/>
              </w:rPr>
              <w:t>3</w:t>
            </w:r>
            <w:r w:rsidR="00813FAC">
              <w:rPr>
                <w:rFonts w:asciiTheme="minorHAnsi" w:hAnsiTheme="minorHAnsi" w:cs="Arial"/>
                <w:color w:val="auto"/>
                <w:u w:color="FFFFFF" w:themeColor="background1"/>
                <w:lang w:val="en-AU"/>
              </w:rPr>
              <w:t>3,643</w:t>
            </w:r>
          </w:p>
        </w:tc>
        <w:tc>
          <w:tcPr>
            <w:tcW w:w="752" w:type="pct"/>
            <w:vAlign w:val="center"/>
          </w:tcPr>
          <w:p w14:paraId="2D420032" w14:textId="77777777" w:rsidR="004D03B3" w:rsidRPr="00CA0D24" w:rsidRDefault="004D03B3" w:rsidP="00FD68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u w:color="FFFFFF" w:themeColor="background1"/>
                <w:lang w:val="en-AU"/>
              </w:rPr>
            </w:pPr>
            <w:r w:rsidRPr="00CA0D24">
              <w:rPr>
                <w:rFonts w:asciiTheme="minorHAnsi" w:hAnsiTheme="minorHAnsi" w:cs="Arial"/>
                <w:color w:val="auto"/>
                <w:u w:color="FFFFFF" w:themeColor="background1"/>
                <w:lang w:val="en-AU"/>
              </w:rPr>
              <w:t>-</w:t>
            </w:r>
          </w:p>
        </w:tc>
        <w:tc>
          <w:tcPr>
            <w:cnfStyle w:val="000100000000" w:firstRow="0" w:lastRow="0" w:firstColumn="0" w:lastColumn="1" w:oddVBand="0" w:evenVBand="0" w:oddHBand="0" w:evenHBand="0" w:firstRowFirstColumn="0" w:firstRowLastColumn="0" w:lastRowFirstColumn="0" w:lastRowLastColumn="0"/>
            <w:tcW w:w="838" w:type="pct"/>
            <w:vAlign w:val="center"/>
          </w:tcPr>
          <w:p w14:paraId="580E49FE" w14:textId="77777777" w:rsidR="004D03B3" w:rsidRPr="00CA0D24" w:rsidRDefault="004D03B3" w:rsidP="00FD68B7">
            <w:pPr>
              <w:jc w:val="center"/>
              <w:rPr>
                <w:rFonts w:asciiTheme="minorHAnsi" w:hAnsiTheme="minorHAnsi" w:cs="Arial"/>
                <w:b w:val="0"/>
                <w:color w:val="auto"/>
                <w:u w:color="FFFFFF" w:themeColor="background1"/>
                <w:lang w:val="en-AU"/>
              </w:rPr>
            </w:pPr>
            <w:r w:rsidRPr="00CA0D24">
              <w:rPr>
                <w:rFonts w:asciiTheme="minorHAnsi" w:hAnsiTheme="minorHAnsi" w:cs="Arial"/>
                <w:b w:val="0"/>
                <w:color w:val="auto"/>
                <w:u w:color="FFFFFF" w:themeColor="background1"/>
                <w:lang w:val="en-AU"/>
              </w:rPr>
              <w:t>Ex wellhead figures</w:t>
            </w:r>
          </w:p>
        </w:tc>
      </w:tr>
    </w:tbl>
    <w:p w14:paraId="634234CC" w14:textId="77777777" w:rsidR="00F657F1" w:rsidRDefault="00F657F1" w:rsidP="00F657F1">
      <w:pPr>
        <w:spacing w:after="0"/>
        <w:jc w:val="both"/>
        <w:rPr>
          <w:rFonts w:cs="Arial"/>
          <w:color w:val="auto"/>
          <w:sz w:val="16"/>
          <w:u w:color="FFFFFF" w:themeColor="background1"/>
          <w:lang w:val="en-AU"/>
        </w:rPr>
      </w:pPr>
      <w:r w:rsidRPr="00A11CC5">
        <w:rPr>
          <w:rFonts w:cs="Arial"/>
          <w:color w:val="auto"/>
          <w:sz w:val="16"/>
          <w:u w:color="FFFFFF" w:themeColor="background1"/>
          <w:lang w:val="en-AU"/>
        </w:rPr>
        <w:t>*</w:t>
      </w:r>
      <w:proofErr w:type="spellStart"/>
      <w:r w:rsidRPr="00A11CC5">
        <w:rPr>
          <w:rFonts w:cs="Arial"/>
          <w:color w:val="auto"/>
          <w:sz w:val="16"/>
          <w:u w:color="FFFFFF" w:themeColor="background1"/>
          <w:lang w:val="en-AU"/>
        </w:rPr>
        <w:t>bbl</w:t>
      </w:r>
      <w:proofErr w:type="spellEnd"/>
      <w:r w:rsidRPr="00A11CC5">
        <w:rPr>
          <w:rFonts w:cs="Arial"/>
          <w:color w:val="auto"/>
          <w:sz w:val="16"/>
          <w:u w:color="FFFFFF" w:themeColor="background1"/>
          <w:lang w:val="en-AU"/>
        </w:rPr>
        <w:t xml:space="preserve"> = barrels **</w:t>
      </w:r>
      <w:proofErr w:type="spellStart"/>
      <w:r w:rsidRPr="00A11CC5">
        <w:rPr>
          <w:rFonts w:cs="Arial"/>
          <w:color w:val="auto"/>
          <w:sz w:val="16"/>
          <w:u w:color="FFFFFF" w:themeColor="background1"/>
          <w:lang w:val="en-AU"/>
        </w:rPr>
        <w:t>MMscf</w:t>
      </w:r>
      <w:proofErr w:type="spellEnd"/>
      <w:r w:rsidRPr="00A11CC5">
        <w:rPr>
          <w:rFonts w:cs="Arial"/>
          <w:color w:val="auto"/>
          <w:sz w:val="16"/>
          <w:u w:color="FFFFFF" w:themeColor="background1"/>
          <w:lang w:val="en-AU"/>
        </w:rPr>
        <w:t xml:space="preserve"> = million standard cubic feet </w:t>
      </w:r>
    </w:p>
    <w:p w14:paraId="7DF04EAC" w14:textId="77777777" w:rsidR="00F657F1" w:rsidRDefault="00F657F1" w:rsidP="00F657F1">
      <w:pPr>
        <w:spacing w:after="0"/>
        <w:jc w:val="both"/>
        <w:rPr>
          <w:rFonts w:cs="Arial"/>
          <w:color w:val="auto"/>
          <w:sz w:val="16"/>
          <w:u w:color="FFFFFF" w:themeColor="background1"/>
          <w:lang w:val="en-AU"/>
        </w:rPr>
      </w:pPr>
      <w:r w:rsidRPr="00B35E8C">
        <w:rPr>
          <w:rFonts w:cs="Arial"/>
          <w:color w:val="auto"/>
          <w:sz w:val="16"/>
          <w:u w:color="FFFFFF" w:themeColor="background1"/>
          <w:lang w:val="en-AU"/>
        </w:rPr>
        <w:t xml:space="preserve">(Unit Conversion: 1 Sm3 of oil = 6.29 </w:t>
      </w:r>
      <w:proofErr w:type="spellStart"/>
      <w:r w:rsidRPr="00B35E8C">
        <w:rPr>
          <w:rFonts w:cs="Arial"/>
          <w:color w:val="auto"/>
          <w:sz w:val="16"/>
          <w:u w:color="FFFFFF" w:themeColor="background1"/>
          <w:lang w:val="en-AU"/>
        </w:rPr>
        <w:t>bbl</w:t>
      </w:r>
      <w:proofErr w:type="spellEnd"/>
      <w:r w:rsidRPr="00B35E8C">
        <w:rPr>
          <w:rFonts w:cs="Arial"/>
          <w:color w:val="auto"/>
          <w:sz w:val="16"/>
          <w:u w:color="FFFFFF" w:themeColor="background1"/>
          <w:lang w:val="en-AU"/>
        </w:rPr>
        <w:t xml:space="preserve"> and 1 Sm3 of gas = 35.3 </w:t>
      </w:r>
      <w:proofErr w:type="spellStart"/>
      <w:r w:rsidRPr="00B35E8C">
        <w:rPr>
          <w:rFonts w:cs="Arial"/>
          <w:color w:val="auto"/>
          <w:sz w:val="16"/>
          <w:u w:color="FFFFFF" w:themeColor="background1"/>
          <w:lang w:val="en-AU"/>
        </w:rPr>
        <w:t>Scf</w:t>
      </w:r>
      <w:proofErr w:type="spellEnd"/>
      <w:r w:rsidRPr="00B35E8C">
        <w:rPr>
          <w:rFonts w:cs="Arial"/>
          <w:color w:val="auto"/>
          <w:sz w:val="16"/>
          <w:u w:color="FFFFFF" w:themeColor="background1"/>
          <w:lang w:val="en-AU"/>
        </w:rPr>
        <w:t>)</w:t>
      </w:r>
    </w:p>
    <w:p w14:paraId="07071127" w14:textId="180C0260" w:rsidR="00F657F1" w:rsidRPr="00B35E8C" w:rsidRDefault="00F657F1" w:rsidP="00F657F1">
      <w:pPr>
        <w:spacing w:after="0"/>
        <w:jc w:val="both"/>
        <w:rPr>
          <w:rFonts w:cs="Arial"/>
          <w:color w:val="auto"/>
          <w:sz w:val="16"/>
          <w:u w:color="FFFFFF" w:themeColor="background1"/>
          <w:lang w:val="en-AU"/>
        </w:rPr>
      </w:pPr>
    </w:p>
    <w:p w14:paraId="3529B19A" w14:textId="77777777" w:rsidR="00F657F1" w:rsidRDefault="00F657F1" w:rsidP="00F657F1">
      <w:pPr>
        <w:rPr>
          <w:rFonts w:cs="Arial"/>
          <w:b/>
          <w:bCs/>
          <w:color w:val="auto"/>
        </w:rPr>
      </w:pPr>
    </w:p>
    <w:p w14:paraId="1B8F2FC6" w14:textId="77777777" w:rsidR="00F657F1" w:rsidRDefault="00F657F1" w:rsidP="00F657F1">
      <w:pPr>
        <w:rPr>
          <w:rFonts w:cs="Arial"/>
          <w:b/>
          <w:bCs/>
          <w:color w:val="auto"/>
        </w:rPr>
      </w:pPr>
    </w:p>
    <w:p w14:paraId="5F2875B3" w14:textId="2AB08B6E" w:rsidR="00F657F1" w:rsidRPr="00B35E8C" w:rsidRDefault="00F21245" w:rsidP="00F657F1">
      <w:pPr>
        <w:rPr>
          <w:rFonts w:cs="Arial"/>
          <w:b/>
          <w:bCs/>
          <w:color w:val="auto"/>
        </w:rPr>
      </w:pPr>
      <w:r>
        <w:rPr>
          <w:rFonts w:cs="Arial"/>
          <w:b/>
          <w:bCs/>
          <w:color w:val="auto"/>
        </w:rPr>
        <w:t>Table 6</w:t>
      </w:r>
      <w:r w:rsidR="00F657F1" w:rsidRPr="00B35E8C">
        <w:rPr>
          <w:rFonts w:cs="Arial"/>
          <w:b/>
          <w:bCs/>
          <w:color w:val="auto"/>
        </w:rPr>
        <w:t xml:space="preserve">.10: </w:t>
      </w:r>
      <w:r w:rsidR="004A30B5">
        <w:rPr>
          <w:rFonts w:cs="Arial"/>
          <w:b/>
          <w:bCs/>
          <w:color w:val="auto"/>
        </w:rPr>
        <w:t>Underground</w:t>
      </w:r>
      <w:r w:rsidR="00F657F1">
        <w:rPr>
          <w:rFonts w:cs="Arial"/>
          <w:b/>
          <w:bCs/>
          <w:color w:val="auto"/>
        </w:rPr>
        <w:t xml:space="preserve"> gas s</w:t>
      </w:r>
      <w:r w:rsidR="00F657F1" w:rsidRPr="00B35E8C">
        <w:rPr>
          <w:rFonts w:cs="Arial"/>
          <w:b/>
          <w:bCs/>
          <w:color w:val="auto"/>
        </w:rPr>
        <w:t>torage 2017-18</w:t>
      </w:r>
    </w:p>
    <w:tbl>
      <w:tblPr>
        <w:tblStyle w:val="GridTable4-Accent1"/>
        <w:tblW w:w="4974" w:type="pct"/>
        <w:tblLook w:val="05A0" w:firstRow="1" w:lastRow="0" w:firstColumn="1" w:lastColumn="1" w:noHBand="0" w:noVBand="1"/>
        <w:tblCaption w:val="Anual Otway production and injection"/>
        <w:tblDescription w:val="Location against condensate, production and injection."/>
      </w:tblPr>
      <w:tblGrid>
        <w:gridCol w:w="1569"/>
        <w:gridCol w:w="1863"/>
        <w:gridCol w:w="1721"/>
        <w:gridCol w:w="1721"/>
        <w:gridCol w:w="1625"/>
        <w:gridCol w:w="1519"/>
      </w:tblGrid>
      <w:tr w:rsidR="004A30B5" w:rsidRPr="00A11CC5" w14:paraId="51AECAB7" w14:textId="77777777" w:rsidTr="004A30B5">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83" w:type="pct"/>
            <w:vAlign w:val="center"/>
          </w:tcPr>
          <w:p w14:paraId="40BF5BB8" w14:textId="77777777" w:rsidR="004A30B5" w:rsidRPr="004A30B5" w:rsidRDefault="004A30B5" w:rsidP="006559CC">
            <w:pPr>
              <w:jc w:val="center"/>
              <w:rPr>
                <w:rFonts w:asciiTheme="minorHAnsi" w:hAnsiTheme="minorHAnsi" w:cstheme="minorHAnsi"/>
                <w:color w:val="FFFFFF" w:themeColor="background1"/>
                <w:u w:color="FFFFFF" w:themeColor="background1"/>
                <w:lang w:val="en-AU"/>
              </w:rPr>
            </w:pPr>
            <w:r w:rsidRPr="004A30B5">
              <w:rPr>
                <w:rFonts w:asciiTheme="minorHAnsi" w:hAnsiTheme="minorHAnsi" w:cstheme="minorHAnsi"/>
                <w:color w:val="FFFFFF" w:themeColor="background1"/>
                <w:u w:color="FFFFFF" w:themeColor="background1"/>
                <w:lang w:val="en-AU"/>
              </w:rPr>
              <w:t>Condensate (</w:t>
            </w:r>
            <w:proofErr w:type="spellStart"/>
            <w:r w:rsidRPr="004A30B5">
              <w:rPr>
                <w:rFonts w:asciiTheme="minorHAnsi" w:hAnsiTheme="minorHAnsi" w:cstheme="minorHAnsi"/>
                <w:color w:val="FFFFFF" w:themeColor="background1"/>
                <w:u w:color="FFFFFF" w:themeColor="background1"/>
                <w:lang w:val="en-AU"/>
              </w:rPr>
              <w:t>bbl</w:t>
            </w:r>
            <w:proofErr w:type="spellEnd"/>
            <w:r w:rsidRPr="004A30B5">
              <w:rPr>
                <w:rFonts w:asciiTheme="minorHAnsi" w:hAnsiTheme="minorHAnsi" w:cstheme="minorHAnsi"/>
                <w:color w:val="FFFFFF" w:themeColor="background1"/>
                <w:u w:color="FFFFFF" w:themeColor="background1"/>
                <w:lang w:val="en-AU"/>
              </w:rPr>
              <w:t>*)</w:t>
            </w:r>
          </w:p>
        </w:tc>
        <w:tc>
          <w:tcPr>
            <w:tcW w:w="930" w:type="pct"/>
            <w:vAlign w:val="center"/>
          </w:tcPr>
          <w:p w14:paraId="082E808F" w14:textId="77777777" w:rsidR="004A30B5" w:rsidRPr="004A30B5" w:rsidRDefault="004A30B5" w:rsidP="006559C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u w:color="FFFFFF" w:themeColor="background1"/>
                <w:lang w:val="en-AU"/>
              </w:rPr>
            </w:pPr>
            <w:r w:rsidRPr="004A30B5">
              <w:rPr>
                <w:rFonts w:asciiTheme="minorHAnsi" w:hAnsiTheme="minorHAnsi" w:cstheme="minorHAnsi"/>
                <w:color w:val="FFFFFF" w:themeColor="background1"/>
                <w:u w:color="FFFFFF" w:themeColor="background1"/>
                <w:lang w:val="en-AU"/>
              </w:rPr>
              <w:t>Gas Storage (</w:t>
            </w:r>
            <w:proofErr w:type="spellStart"/>
            <w:r w:rsidRPr="004A30B5">
              <w:rPr>
                <w:rFonts w:asciiTheme="minorHAnsi" w:hAnsiTheme="minorHAnsi" w:cstheme="minorHAnsi"/>
                <w:color w:val="FFFFFF" w:themeColor="background1"/>
                <w:u w:color="FFFFFF" w:themeColor="background1"/>
                <w:lang w:val="en-AU"/>
              </w:rPr>
              <w:t>MMscf</w:t>
            </w:r>
            <w:proofErr w:type="spellEnd"/>
            <w:r w:rsidRPr="004A30B5">
              <w:rPr>
                <w:rFonts w:asciiTheme="minorHAnsi" w:hAnsiTheme="minorHAnsi" w:cstheme="minorHAnsi"/>
                <w:color w:val="FFFFFF" w:themeColor="background1"/>
                <w:u w:color="FFFFFF" w:themeColor="background1"/>
                <w:lang w:val="en-AU"/>
              </w:rPr>
              <w:t>**)</w:t>
            </w:r>
          </w:p>
        </w:tc>
        <w:tc>
          <w:tcPr>
            <w:tcW w:w="859" w:type="pct"/>
          </w:tcPr>
          <w:p w14:paraId="7B0691D6" w14:textId="77777777" w:rsidR="004A30B5" w:rsidRPr="004A30B5" w:rsidRDefault="004A30B5" w:rsidP="006559C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u w:color="FFFFFF" w:themeColor="background1"/>
                <w:lang w:val="en-AU"/>
              </w:rPr>
            </w:pPr>
            <w:r w:rsidRPr="004A30B5">
              <w:rPr>
                <w:rFonts w:asciiTheme="minorHAnsi" w:hAnsiTheme="minorHAnsi" w:cstheme="minorHAnsi"/>
                <w:color w:val="FFFFFF" w:themeColor="background1"/>
                <w:u w:color="FFFFFF" w:themeColor="background1"/>
                <w:lang w:val="en-AU"/>
              </w:rPr>
              <w:t>Gas Storage (Petajoules^)</w:t>
            </w:r>
          </w:p>
        </w:tc>
        <w:tc>
          <w:tcPr>
            <w:tcW w:w="859" w:type="pct"/>
            <w:vAlign w:val="center"/>
          </w:tcPr>
          <w:p w14:paraId="4615BF2B" w14:textId="77777777" w:rsidR="004A30B5" w:rsidRPr="004A30B5" w:rsidRDefault="004A30B5" w:rsidP="006559C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u w:color="FFFFFF" w:themeColor="background1"/>
                <w:lang w:val="en-AU"/>
              </w:rPr>
            </w:pPr>
            <w:r w:rsidRPr="004A30B5">
              <w:rPr>
                <w:rFonts w:asciiTheme="minorHAnsi" w:hAnsiTheme="minorHAnsi" w:cstheme="minorHAnsi"/>
                <w:color w:val="FFFFFF" w:themeColor="background1"/>
                <w:u w:color="FFFFFF" w:themeColor="background1"/>
                <w:lang w:val="en-AU"/>
              </w:rPr>
              <w:t>CO2 Prod. (tonnes)</w:t>
            </w:r>
          </w:p>
        </w:tc>
        <w:tc>
          <w:tcPr>
            <w:tcW w:w="811" w:type="pct"/>
            <w:vAlign w:val="center"/>
          </w:tcPr>
          <w:p w14:paraId="4B53BB59" w14:textId="77777777" w:rsidR="004A30B5" w:rsidRPr="004A30B5" w:rsidRDefault="004A30B5" w:rsidP="006559C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u w:color="FFFFFF" w:themeColor="background1"/>
                <w:lang w:val="en-AU"/>
              </w:rPr>
            </w:pPr>
            <w:r w:rsidRPr="004A30B5">
              <w:rPr>
                <w:rFonts w:asciiTheme="minorHAnsi" w:hAnsiTheme="minorHAnsi" w:cstheme="minorHAnsi"/>
                <w:color w:val="FFFFFF" w:themeColor="background1"/>
                <w:u w:color="FFFFFF" w:themeColor="background1"/>
                <w:lang w:val="en-AU"/>
              </w:rPr>
              <w:t>Gas Injection (</w:t>
            </w:r>
            <w:proofErr w:type="spellStart"/>
            <w:r w:rsidRPr="004A30B5">
              <w:rPr>
                <w:rFonts w:asciiTheme="minorHAnsi" w:hAnsiTheme="minorHAnsi" w:cstheme="minorHAnsi"/>
                <w:color w:val="FFFFFF" w:themeColor="background1"/>
                <w:u w:color="FFFFFF" w:themeColor="background1"/>
                <w:lang w:val="en-AU"/>
              </w:rPr>
              <w:t>MMscf</w:t>
            </w:r>
            <w:proofErr w:type="spellEnd"/>
            <w:r w:rsidRPr="004A30B5">
              <w:rPr>
                <w:rFonts w:asciiTheme="minorHAnsi" w:hAnsiTheme="minorHAnsi" w:cstheme="minorHAnsi"/>
                <w:color w:val="FFFFFF" w:themeColor="background1"/>
                <w:u w:color="FFFFFF" w:themeColor="background1"/>
                <w:lang w:val="en-AU"/>
              </w:rPr>
              <w:t>)</w:t>
            </w:r>
          </w:p>
        </w:tc>
        <w:tc>
          <w:tcPr>
            <w:cnfStyle w:val="000100000000" w:firstRow="0" w:lastRow="0" w:firstColumn="0" w:lastColumn="1" w:oddVBand="0" w:evenVBand="0" w:oddHBand="0" w:evenHBand="0" w:firstRowFirstColumn="0" w:firstRowLastColumn="0" w:lastRowFirstColumn="0" w:lastRowLastColumn="0"/>
            <w:tcW w:w="758" w:type="pct"/>
            <w:vAlign w:val="center"/>
          </w:tcPr>
          <w:p w14:paraId="6647204B" w14:textId="77777777" w:rsidR="004A30B5" w:rsidRPr="004A30B5" w:rsidRDefault="004A30B5" w:rsidP="006559CC">
            <w:pPr>
              <w:jc w:val="center"/>
              <w:rPr>
                <w:rFonts w:asciiTheme="minorHAnsi" w:hAnsiTheme="minorHAnsi" w:cstheme="minorHAnsi"/>
                <w:color w:val="FFFFFF" w:themeColor="background1"/>
                <w:u w:color="FFFFFF" w:themeColor="background1"/>
                <w:lang w:val="en-AU"/>
              </w:rPr>
            </w:pPr>
            <w:r w:rsidRPr="004A30B5">
              <w:rPr>
                <w:rFonts w:asciiTheme="minorHAnsi" w:hAnsiTheme="minorHAnsi" w:cstheme="minorHAnsi"/>
                <w:color w:val="FFFFFF" w:themeColor="background1"/>
                <w:u w:color="FFFFFF" w:themeColor="background1"/>
                <w:lang w:val="en-AU"/>
              </w:rPr>
              <w:t>Comments</w:t>
            </w:r>
          </w:p>
        </w:tc>
      </w:tr>
      <w:tr w:rsidR="004A30B5" w:rsidRPr="00A11CC5" w14:paraId="771FA84A" w14:textId="77777777" w:rsidTr="004A30B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83" w:type="pct"/>
            <w:vAlign w:val="center"/>
          </w:tcPr>
          <w:p w14:paraId="58A7EA80" w14:textId="77777777" w:rsidR="004A30B5" w:rsidRPr="004A30B5" w:rsidRDefault="004A30B5" w:rsidP="006559CC">
            <w:pPr>
              <w:jc w:val="center"/>
              <w:rPr>
                <w:rFonts w:asciiTheme="minorHAnsi" w:hAnsiTheme="minorHAnsi" w:cstheme="minorHAnsi"/>
                <w:color w:val="auto"/>
                <w:u w:color="FFFFFF" w:themeColor="background1"/>
                <w:lang w:val="en-AU"/>
              </w:rPr>
            </w:pPr>
            <w:r w:rsidRPr="004A30B5">
              <w:rPr>
                <w:rFonts w:asciiTheme="minorHAnsi" w:hAnsiTheme="minorHAnsi" w:cstheme="minorHAnsi"/>
                <w:color w:val="auto"/>
                <w:u w:color="FFFFFF" w:themeColor="background1"/>
                <w:lang w:val="en-AU"/>
              </w:rPr>
              <w:t>465</w:t>
            </w:r>
          </w:p>
        </w:tc>
        <w:tc>
          <w:tcPr>
            <w:tcW w:w="930" w:type="pct"/>
            <w:vAlign w:val="center"/>
          </w:tcPr>
          <w:p w14:paraId="3CDC1428" w14:textId="77777777" w:rsidR="004A30B5" w:rsidRPr="004A30B5" w:rsidRDefault="004A30B5" w:rsidP="006559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u w:color="FFFFFF" w:themeColor="background1"/>
                <w:lang w:val="en-AU"/>
              </w:rPr>
            </w:pPr>
            <w:r w:rsidRPr="004A30B5">
              <w:rPr>
                <w:rFonts w:asciiTheme="minorHAnsi" w:hAnsiTheme="minorHAnsi" w:cstheme="minorHAnsi"/>
                <w:color w:val="auto"/>
                <w:u w:color="FFFFFF" w:themeColor="background1"/>
                <w:lang w:val="en-AU"/>
              </w:rPr>
              <w:t>11,670</w:t>
            </w:r>
          </w:p>
        </w:tc>
        <w:tc>
          <w:tcPr>
            <w:tcW w:w="859" w:type="pct"/>
            <w:vAlign w:val="center"/>
          </w:tcPr>
          <w:p w14:paraId="61FE0C55" w14:textId="77777777" w:rsidR="004A30B5" w:rsidRPr="004A30B5" w:rsidRDefault="004A30B5" w:rsidP="006559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u w:color="FFFFFF" w:themeColor="background1"/>
                <w:lang w:val="en-AU"/>
              </w:rPr>
            </w:pPr>
            <w:r w:rsidRPr="004A30B5">
              <w:rPr>
                <w:rFonts w:asciiTheme="minorHAnsi" w:hAnsiTheme="minorHAnsi" w:cstheme="minorHAnsi"/>
                <w:color w:val="auto"/>
                <w:u w:color="FFFFFF" w:themeColor="background1"/>
                <w:lang w:val="en-AU"/>
              </w:rPr>
              <w:t>12.38</w:t>
            </w:r>
          </w:p>
        </w:tc>
        <w:tc>
          <w:tcPr>
            <w:tcW w:w="859" w:type="pct"/>
            <w:vAlign w:val="center"/>
          </w:tcPr>
          <w:p w14:paraId="6A2C15DB" w14:textId="77777777" w:rsidR="004A30B5" w:rsidRPr="004A30B5" w:rsidRDefault="004A30B5" w:rsidP="006559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u w:color="FFFFFF" w:themeColor="background1"/>
                <w:lang w:val="en-AU"/>
              </w:rPr>
            </w:pPr>
            <w:r w:rsidRPr="004A30B5">
              <w:rPr>
                <w:rFonts w:asciiTheme="minorHAnsi" w:hAnsiTheme="minorHAnsi" w:cstheme="minorHAnsi"/>
                <w:color w:val="auto"/>
                <w:u w:color="FFFFFF" w:themeColor="background1"/>
                <w:lang w:val="en-AU"/>
              </w:rPr>
              <w:t>-</w:t>
            </w:r>
          </w:p>
        </w:tc>
        <w:tc>
          <w:tcPr>
            <w:tcW w:w="811" w:type="pct"/>
            <w:vAlign w:val="center"/>
          </w:tcPr>
          <w:p w14:paraId="384F71DD" w14:textId="77777777" w:rsidR="004A30B5" w:rsidRPr="004A30B5" w:rsidRDefault="004A30B5" w:rsidP="006559C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u w:color="FFFFFF" w:themeColor="background1"/>
                <w:lang w:val="en-AU"/>
              </w:rPr>
            </w:pPr>
            <w:r w:rsidRPr="004A30B5">
              <w:rPr>
                <w:rFonts w:asciiTheme="minorHAnsi" w:hAnsiTheme="minorHAnsi" w:cstheme="minorHAnsi"/>
                <w:color w:val="auto"/>
                <w:u w:color="FFFFFF" w:themeColor="background1"/>
                <w:lang w:val="en-AU"/>
              </w:rPr>
              <w:t>13,745</w:t>
            </w:r>
          </w:p>
        </w:tc>
        <w:tc>
          <w:tcPr>
            <w:cnfStyle w:val="000100000000" w:firstRow="0" w:lastRow="0" w:firstColumn="0" w:lastColumn="1" w:oddVBand="0" w:evenVBand="0" w:oddHBand="0" w:evenHBand="0" w:firstRowFirstColumn="0" w:firstRowLastColumn="0" w:lastRowFirstColumn="0" w:lastRowLastColumn="0"/>
            <w:tcW w:w="758" w:type="pct"/>
            <w:vAlign w:val="center"/>
          </w:tcPr>
          <w:p w14:paraId="5ACFF610" w14:textId="77777777" w:rsidR="004A30B5" w:rsidRPr="004A30B5" w:rsidRDefault="004A30B5" w:rsidP="006559CC">
            <w:pPr>
              <w:jc w:val="center"/>
              <w:rPr>
                <w:rFonts w:asciiTheme="minorHAnsi" w:hAnsiTheme="minorHAnsi" w:cstheme="minorHAnsi"/>
                <w:b w:val="0"/>
                <w:color w:val="auto"/>
                <w:u w:color="FFFFFF" w:themeColor="background1"/>
                <w:lang w:val="en-AU"/>
              </w:rPr>
            </w:pPr>
            <w:r w:rsidRPr="004A30B5">
              <w:rPr>
                <w:rFonts w:asciiTheme="minorHAnsi" w:hAnsiTheme="minorHAnsi" w:cstheme="minorHAnsi"/>
                <w:b w:val="0"/>
                <w:color w:val="auto"/>
                <w:u w:color="FFFFFF" w:themeColor="background1"/>
                <w:lang w:val="en-AU"/>
              </w:rPr>
              <w:t>Storage</w:t>
            </w:r>
          </w:p>
        </w:tc>
      </w:tr>
    </w:tbl>
    <w:p w14:paraId="14880EFA" w14:textId="77777777" w:rsidR="00F657F1" w:rsidRPr="00A11CC5" w:rsidRDefault="00F657F1" w:rsidP="00F657F1">
      <w:pPr>
        <w:spacing w:after="0"/>
        <w:jc w:val="both"/>
        <w:rPr>
          <w:rFonts w:cs="Arial"/>
          <w:color w:val="auto"/>
          <w:sz w:val="16"/>
          <w:u w:color="FFFFFF" w:themeColor="background1"/>
          <w:lang w:val="en-AU"/>
        </w:rPr>
      </w:pPr>
    </w:p>
    <w:p w14:paraId="42B35C78" w14:textId="77777777" w:rsidR="00F657F1" w:rsidRDefault="00F657F1" w:rsidP="00F657F1">
      <w:pPr>
        <w:spacing w:after="0"/>
        <w:jc w:val="both"/>
        <w:rPr>
          <w:rFonts w:cs="Arial"/>
          <w:color w:val="auto"/>
          <w:sz w:val="16"/>
          <w:u w:color="FFFFFF" w:themeColor="background1"/>
          <w:lang w:val="en-AU"/>
        </w:rPr>
      </w:pPr>
      <w:r w:rsidRPr="00A11CC5">
        <w:rPr>
          <w:rFonts w:cs="Arial"/>
          <w:color w:val="auto"/>
          <w:sz w:val="16"/>
          <w:u w:color="FFFFFF" w:themeColor="background1"/>
          <w:lang w:val="en-AU"/>
        </w:rPr>
        <w:t>*</w:t>
      </w:r>
      <w:proofErr w:type="spellStart"/>
      <w:r w:rsidRPr="00A11CC5">
        <w:rPr>
          <w:rFonts w:cs="Arial"/>
          <w:color w:val="auto"/>
          <w:sz w:val="16"/>
          <w:u w:color="FFFFFF" w:themeColor="background1"/>
          <w:lang w:val="en-AU"/>
        </w:rPr>
        <w:t>bbl</w:t>
      </w:r>
      <w:proofErr w:type="spellEnd"/>
      <w:r w:rsidRPr="00A11CC5">
        <w:rPr>
          <w:rFonts w:cs="Arial"/>
          <w:color w:val="auto"/>
          <w:sz w:val="16"/>
          <w:u w:color="FFFFFF" w:themeColor="background1"/>
          <w:lang w:val="en-AU"/>
        </w:rPr>
        <w:t xml:space="preserve"> = barrels **</w:t>
      </w:r>
      <w:proofErr w:type="spellStart"/>
      <w:r w:rsidRPr="00A11CC5">
        <w:rPr>
          <w:rFonts w:cs="Arial"/>
          <w:color w:val="auto"/>
          <w:sz w:val="16"/>
          <w:u w:color="FFFFFF" w:themeColor="background1"/>
          <w:lang w:val="en-AU"/>
        </w:rPr>
        <w:t>MMscf</w:t>
      </w:r>
      <w:proofErr w:type="spellEnd"/>
      <w:r w:rsidRPr="00A11CC5">
        <w:rPr>
          <w:rFonts w:cs="Arial"/>
          <w:color w:val="auto"/>
          <w:sz w:val="16"/>
          <w:u w:color="FFFFFF" w:themeColor="background1"/>
          <w:lang w:val="en-AU"/>
        </w:rPr>
        <w:t xml:space="preserve"> = million standard cubic feet </w:t>
      </w:r>
    </w:p>
    <w:p w14:paraId="75EF44A7" w14:textId="77777777" w:rsidR="00F657F1" w:rsidRDefault="00F657F1" w:rsidP="00F657F1">
      <w:pPr>
        <w:spacing w:after="0"/>
        <w:jc w:val="both"/>
        <w:rPr>
          <w:rFonts w:cs="Arial"/>
          <w:color w:val="auto"/>
          <w:sz w:val="16"/>
          <w:u w:color="FFFFFF" w:themeColor="background1"/>
          <w:lang w:val="en-AU"/>
        </w:rPr>
      </w:pPr>
      <w:r w:rsidRPr="00B35E8C">
        <w:rPr>
          <w:rFonts w:cs="Arial"/>
          <w:color w:val="auto"/>
          <w:sz w:val="16"/>
          <w:u w:color="FFFFFF" w:themeColor="background1"/>
          <w:lang w:val="en-AU"/>
        </w:rPr>
        <w:t xml:space="preserve">(Unit Conversion: 1 Sm3 of oil = 6.29 </w:t>
      </w:r>
      <w:proofErr w:type="spellStart"/>
      <w:r w:rsidRPr="00B35E8C">
        <w:rPr>
          <w:rFonts w:cs="Arial"/>
          <w:color w:val="auto"/>
          <w:sz w:val="16"/>
          <w:u w:color="FFFFFF" w:themeColor="background1"/>
          <w:lang w:val="en-AU"/>
        </w:rPr>
        <w:t>bbl</w:t>
      </w:r>
      <w:proofErr w:type="spellEnd"/>
      <w:r w:rsidRPr="00B35E8C">
        <w:rPr>
          <w:rFonts w:cs="Arial"/>
          <w:color w:val="auto"/>
          <w:sz w:val="16"/>
          <w:u w:color="FFFFFF" w:themeColor="background1"/>
          <w:lang w:val="en-AU"/>
        </w:rPr>
        <w:t xml:space="preserve"> and 1 Sm3 of gas = 35.3 </w:t>
      </w:r>
      <w:proofErr w:type="spellStart"/>
      <w:r w:rsidRPr="00B35E8C">
        <w:rPr>
          <w:rFonts w:cs="Arial"/>
          <w:color w:val="auto"/>
          <w:sz w:val="16"/>
          <w:u w:color="FFFFFF" w:themeColor="background1"/>
          <w:lang w:val="en-AU"/>
        </w:rPr>
        <w:t>Scf</w:t>
      </w:r>
      <w:proofErr w:type="spellEnd"/>
      <w:r w:rsidRPr="00B35E8C">
        <w:rPr>
          <w:rFonts w:cs="Arial"/>
          <w:color w:val="auto"/>
          <w:sz w:val="16"/>
          <w:u w:color="FFFFFF" w:themeColor="background1"/>
          <w:lang w:val="en-AU"/>
        </w:rPr>
        <w:t>)</w:t>
      </w:r>
    </w:p>
    <w:p w14:paraId="7729AB6F" w14:textId="77777777" w:rsidR="00F657F1" w:rsidRPr="00B35E8C" w:rsidRDefault="00F657F1" w:rsidP="00F657F1">
      <w:pPr>
        <w:spacing w:after="0"/>
        <w:jc w:val="both"/>
        <w:rPr>
          <w:rFonts w:cs="Arial"/>
          <w:color w:val="auto"/>
          <w:sz w:val="16"/>
          <w:u w:color="FFFFFF" w:themeColor="background1"/>
          <w:lang w:val="en-AU"/>
        </w:rPr>
      </w:pPr>
      <w:r>
        <w:rPr>
          <w:rFonts w:cs="Arial"/>
          <w:color w:val="auto"/>
          <w:sz w:val="16"/>
          <w:u w:color="FFFFFF" w:themeColor="background1"/>
          <w:lang w:val="en-AU"/>
        </w:rPr>
        <w:t xml:space="preserve">^ Convert Gas </w:t>
      </w:r>
      <w:proofErr w:type="spellStart"/>
      <w:r>
        <w:rPr>
          <w:rFonts w:cs="Arial"/>
          <w:color w:val="auto"/>
          <w:sz w:val="16"/>
          <w:u w:color="FFFFFF" w:themeColor="background1"/>
          <w:lang w:val="en-AU"/>
        </w:rPr>
        <w:t>mmscf</w:t>
      </w:r>
      <w:proofErr w:type="spellEnd"/>
      <w:r>
        <w:rPr>
          <w:rFonts w:cs="Arial"/>
          <w:color w:val="auto"/>
          <w:sz w:val="16"/>
          <w:u w:color="FFFFFF" w:themeColor="background1"/>
          <w:lang w:val="en-AU"/>
        </w:rPr>
        <w:t xml:space="preserve"> to petajoules using online converter : </w:t>
      </w:r>
      <w:r w:rsidRPr="00A94234">
        <w:rPr>
          <w:rFonts w:cs="Arial"/>
          <w:color w:val="auto"/>
          <w:sz w:val="16"/>
          <w:u w:color="FFFFFF" w:themeColor="background1"/>
          <w:lang w:val="en-AU"/>
        </w:rPr>
        <w:t>https://www.santos.com/conversion-calculator/</w:t>
      </w:r>
    </w:p>
    <w:p w14:paraId="14A2A967" w14:textId="77777777" w:rsidR="00F657F1" w:rsidRDefault="00F657F1" w:rsidP="00F657F1">
      <w:pPr>
        <w:spacing w:after="0"/>
        <w:jc w:val="both"/>
        <w:rPr>
          <w:rFonts w:cs="Arial"/>
          <w:color w:val="auto"/>
          <w:sz w:val="16"/>
          <w:u w:color="FFFFFF" w:themeColor="background1"/>
          <w:lang w:val="en-AU"/>
        </w:rPr>
      </w:pPr>
    </w:p>
    <w:p w14:paraId="3F49936F" w14:textId="77777777" w:rsidR="00F657F1" w:rsidRDefault="00F657F1" w:rsidP="00F657F1">
      <w:pPr>
        <w:widowControl/>
        <w:suppressAutoHyphens w:val="0"/>
        <w:autoSpaceDE/>
        <w:autoSpaceDN/>
        <w:adjustRightInd/>
        <w:spacing w:before="200" w:after="200" w:line="276" w:lineRule="auto"/>
        <w:textAlignment w:val="auto"/>
        <w:rPr>
          <w:rFonts w:cs="Arial"/>
          <w:color w:val="auto"/>
          <w:sz w:val="16"/>
          <w:u w:color="FFFFFF" w:themeColor="background1"/>
          <w:lang w:val="en-AU"/>
        </w:rPr>
      </w:pPr>
      <w:r>
        <w:rPr>
          <w:rFonts w:cs="Arial"/>
          <w:color w:val="auto"/>
          <w:sz w:val="16"/>
          <w:u w:color="FFFFFF" w:themeColor="background1"/>
          <w:lang w:val="en-AU"/>
        </w:rPr>
        <w:br w:type="page"/>
      </w:r>
    </w:p>
    <w:p w14:paraId="04A9D9F3" w14:textId="5A7E2822" w:rsidR="00F657F1" w:rsidRPr="00A11CC5" w:rsidRDefault="00F657F1" w:rsidP="00F657F1">
      <w:pPr>
        <w:pStyle w:val="Heading3"/>
        <w:spacing w:before="600"/>
        <w:rPr>
          <w:rFonts w:cs="Arial"/>
          <w:color w:val="auto"/>
          <w:u w:color="FFFFFF" w:themeColor="background1"/>
          <w:lang w:val="en-AU"/>
        </w:rPr>
      </w:pPr>
      <w:bookmarkStart w:id="24" w:name="_Toc533149020"/>
      <w:r w:rsidRPr="00A11CC5">
        <w:rPr>
          <w:rFonts w:cs="Arial"/>
          <w:color w:val="auto"/>
          <w:u w:color="FFFFFF" w:themeColor="background1"/>
          <w:lang w:val="en-AU"/>
        </w:rPr>
        <w:lastRenderedPageBreak/>
        <w:t xml:space="preserve">Geothermal </w:t>
      </w:r>
      <w:r>
        <w:rPr>
          <w:rFonts w:cs="Arial"/>
          <w:color w:val="auto"/>
          <w:u w:color="FFFFFF" w:themeColor="background1"/>
          <w:lang w:val="en-AU"/>
        </w:rPr>
        <w:t>E</w:t>
      </w:r>
      <w:r w:rsidRPr="00A11CC5">
        <w:rPr>
          <w:rFonts w:cs="Arial"/>
          <w:color w:val="auto"/>
          <w:u w:color="FFFFFF" w:themeColor="background1"/>
          <w:lang w:val="en-AU"/>
        </w:rPr>
        <w:t>nergy</w:t>
      </w:r>
      <w:bookmarkEnd w:id="24"/>
    </w:p>
    <w:p w14:paraId="031B03D7" w14:textId="77777777" w:rsidR="00F657F1" w:rsidRPr="00A11CC5" w:rsidRDefault="00F657F1" w:rsidP="00F657F1">
      <w:pPr>
        <w:pStyle w:val="bodycopy"/>
        <w:spacing w:before="240"/>
        <w:rPr>
          <w:color w:val="auto"/>
          <w:u w:color="FFFFFF" w:themeColor="background1"/>
          <w:lang w:val="en-AU"/>
        </w:rPr>
      </w:pPr>
      <w:r w:rsidRPr="00A11CC5">
        <w:rPr>
          <w:color w:val="auto"/>
          <w:u w:color="FFFFFF" w:themeColor="background1"/>
          <w:lang w:val="en-AU"/>
        </w:rPr>
        <w:t>As at 30 June 201</w:t>
      </w:r>
      <w:r>
        <w:rPr>
          <w:color w:val="auto"/>
          <w:u w:color="FFFFFF" w:themeColor="background1"/>
          <w:lang w:val="en-AU"/>
        </w:rPr>
        <w:t>8</w:t>
      </w:r>
      <w:r w:rsidRPr="00A11CC5">
        <w:rPr>
          <w:color w:val="auto"/>
          <w:u w:color="FFFFFF" w:themeColor="background1"/>
          <w:lang w:val="en-AU"/>
        </w:rPr>
        <w:t xml:space="preserve">, there were </w:t>
      </w:r>
      <w:r>
        <w:rPr>
          <w:color w:val="auto"/>
          <w:u w:color="FFFFFF" w:themeColor="background1"/>
          <w:lang w:val="en-AU"/>
        </w:rPr>
        <w:t>five</w:t>
      </w:r>
      <w:r w:rsidRPr="00A11CC5">
        <w:rPr>
          <w:color w:val="auto"/>
          <w:u w:color="FFFFFF" w:themeColor="background1"/>
          <w:lang w:val="en-AU"/>
        </w:rPr>
        <w:t xml:space="preserve"> current geothermal energy exploration permits</w:t>
      </w:r>
      <w:r w:rsidRPr="00A11CC5">
        <w:rPr>
          <w:color w:val="auto"/>
          <w:u w:val="single" w:color="FFFFFF" w:themeColor="background1"/>
          <w:lang w:val="en-AU"/>
        </w:rPr>
        <w:t>.</w:t>
      </w:r>
      <w:r w:rsidRPr="00A11CC5">
        <w:rPr>
          <w:color w:val="auto"/>
          <w:u w:color="FFFFFF" w:themeColor="background1"/>
          <w:lang w:val="en-AU"/>
        </w:rPr>
        <w:t xml:space="preserve"> No geothermal energy retention leases or production licences were granted in 201</w:t>
      </w:r>
      <w:r>
        <w:rPr>
          <w:color w:val="auto"/>
          <w:u w:color="FFFFFF" w:themeColor="background1"/>
          <w:lang w:val="en-AU"/>
        </w:rPr>
        <w:t>7</w:t>
      </w:r>
      <w:r w:rsidRPr="00A11CC5">
        <w:rPr>
          <w:color w:val="auto"/>
          <w:u w:color="FFFFFF" w:themeColor="background1"/>
          <w:lang w:val="en-AU"/>
        </w:rPr>
        <w:t>-1</w:t>
      </w:r>
      <w:r>
        <w:rPr>
          <w:color w:val="auto"/>
          <w:u w:color="FFFFFF" w:themeColor="background1"/>
          <w:lang w:val="en-AU"/>
        </w:rPr>
        <w:t>8</w:t>
      </w:r>
      <w:r w:rsidRPr="00A11CC5">
        <w:rPr>
          <w:color w:val="auto"/>
          <w:u w:color="FFFFFF" w:themeColor="background1"/>
          <w:lang w:val="en-AU"/>
        </w:rPr>
        <w:t xml:space="preserve">. Geothermal energy activities in Victoria remain limited to exploration. </w:t>
      </w:r>
    </w:p>
    <w:p w14:paraId="3E6F0A4D" w14:textId="01F95688" w:rsidR="00F657F1" w:rsidRPr="00A11CC5" w:rsidRDefault="00F657F1" w:rsidP="00F657F1">
      <w:pPr>
        <w:pStyle w:val="Heading3"/>
        <w:spacing w:before="600"/>
        <w:rPr>
          <w:rFonts w:cs="Arial"/>
          <w:color w:val="auto"/>
          <w:u w:color="FFFFFF" w:themeColor="background1"/>
          <w:lang w:val="en-AU"/>
        </w:rPr>
      </w:pPr>
      <w:bookmarkStart w:id="25" w:name="_Toc533149021"/>
      <w:r w:rsidRPr="00A11CC5">
        <w:rPr>
          <w:rFonts w:cs="Arial"/>
          <w:color w:val="auto"/>
          <w:u w:color="FFFFFF" w:themeColor="background1"/>
          <w:lang w:val="en-AU"/>
        </w:rPr>
        <w:t>Geothermal energy tenements</w:t>
      </w:r>
      <w:bookmarkEnd w:id="25"/>
    </w:p>
    <w:p w14:paraId="44EAF27C" w14:textId="77777777" w:rsidR="00F657F1" w:rsidRPr="00A11CC5" w:rsidRDefault="00F657F1" w:rsidP="00F657F1">
      <w:pPr>
        <w:spacing w:before="240"/>
        <w:jc w:val="both"/>
        <w:rPr>
          <w:rFonts w:cs="Arial"/>
          <w:color w:val="auto"/>
          <w:u w:color="FFFFFF" w:themeColor="background1"/>
          <w:lang w:val="en-AU"/>
        </w:rPr>
      </w:pPr>
      <w:r>
        <w:rPr>
          <w:rFonts w:cs="Arial"/>
          <w:color w:val="auto"/>
          <w:u w:color="FFFFFF" w:themeColor="background1"/>
          <w:lang w:val="en-AU"/>
        </w:rPr>
        <w:t>No geothermal energy tenement</w:t>
      </w:r>
      <w:r w:rsidRPr="00A11CC5">
        <w:rPr>
          <w:rFonts w:cs="Arial"/>
          <w:color w:val="auto"/>
          <w:u w:color="FFFFFF" w:themeColor="background1"/>
          <w:lang w:val="en-AU"/>
        </w:rPr>
        <w:t xml:space="preserve"> </w:t>
      </w:r>
      <w:r>
        <w:rPr>
          <w:rFonts w:cs="Arial"/>
          <w:color w:val="auto"/>
          <w:u w:color="FFFFFF" w:themeColor="background1"/>
          <w:lang w:val="en-AU"/>
        </w:rPr>
        <w:t xml:space="preserve">applications were received or granted </w:t>
      </w:r>
      <w:r w:rsidRPr="00A11CC5">
        <w:rPr>
          <w:rFonts w:cs="Arial"/>
          <w:color w:val="auto"/>
          <w:u w:color="FFFFFF" w:themeColor="background1"/>
          <w:lang w:val="en-AU"/>
        </w:rPr>
        <w:t>in 201</w:t>
      </w:r>
      <w:r>
        <w:rPr>
          <w:rFonts w:cs="Arial"/>
          <w:color w:val="auto"/>
          <w:u w:color="FFFFFF" w:themeColor="background1"/>
          <w:lang w:val="en-AU"/>
        </w:rPr>
        <w:t>7</w:t>
      </w:r>
      <w:r w:rsidRPr="00A11CC5">
        <w:rPr>
          <w:rFonts w:cs="Arial"/>
          <w:color w:val="auto"/>
          <w:u w:color="FFFFFF" w:themeColor="background1"/>
          <w:lang w:val="en-AU"/>
        </w:rPr>
        <w:t>-1</w:t>
      </w:r>
      <w:r>
        <w:rPr>
          <w:rFonts w:cs="Arial"/>
          <w:color w:val="auto"/>
          <w:u w:color="FFFFFF" w:themeColor="background1"/>
          <w:lang w:val="en-AU"/>
        </w:rPr>
        <w:t>8</w:t>
      </w:r>
      <w:r w:rsidRPr="00A11CC5">
        <w:rPr>
          <w:rFonts w:cs="Arial"/>
          <w:color w:val="auto"/>
          <w:u w:color="FFFFFF" w:themeColor="background1"/>
          <w:lang w:val="en-AU"/>
        </w:rPr>
        <w:t>.</w:t>
      </w:r>
    </w:p>
    <w:p w14:paraId="0465469B" w14:textId="6BDD2850" w:rsidR="00F657F1" w:rsidRPr="00A11CC5" w:rsidRDefault="00F657F1" w:rsidP="00F657F1">
      <w:pPr>
        <w:spacing w:before="240" w:after="0"/>
        <w:jc w:val="both"/>
        <w:rPr>
          <w:rFonts w:cs="Arial"/>
          <w:b/>
          <w:color w:val="auto"/>
          <w:u w:color="FFFFFF" w:themeColor="background1"/>
          <w:lang w:val="en-AU"/>
        </w:rPr>
      </w:pPr>
      <w:r w:rsidRPr="00A11CC5">
        <w:rPr>
          <w:rFonts w:cs="Arial"/>
          <w:b/>
          <w:color w:val="auto"/>
          <w:u w:color="FFFFFF" w:themeColor="background1"/>
          <w:lang w:val="en-AU"/>
        </w:rPr>
        <w:t xml:space="preserve">Table </w:t>
      </w:r>
      <w:r w:rsidR="00F21245">
        <w:rPr>
          <w:rFonts w:cs="Arial"/>
          <w:b/>
          <w:color w:val="auto"/>
          <w:u w:color="FFFFFF" w:themeColor="background1"/>
          <w:lang w:val="en-AU"/>
        </w:rPr>
        <w:t>6</w:t>
      </w:r>
      <w:r w:rsidRPr="00A11CC5">
        <w:rPr>
          <w:rFonts w:cs="Arial"/>
          <w:b/>
          <w:color w:val="auto"/>
          <w:u w:color="FFFFFF" w:themeColor="background1"/>
          <w:lang w:val="en-AU"/>
        </w:rPr>
        <w:t>.</w:t>
      </w:r>
      <w:r>
        <w:rPr>
          <w:rFonts w:cs="Arial"/>
          <w:b/>
          <w:color w:val="auto"/>
          <w:u w:color="FFFFFF" w:themeColor="background1"/>
          <w:lang w:val="en-AU"/>
        </w:rPr>
        <w:t>11</w:t>
      </w:r>
      <w:r w:rsidRPr="00A11CC5">
        <w:rPr>
          <w:rFonts w:cs="Arial"/>
          <w:b/>
          <w:color w:val="auto"/>
          <w:u w:color="FFFFFF" w:themeColor="background1"/>
          <w:lang w:val="en-AU"/>
        </w:rPr>
        <w:t xml:space="preserve"> Overview of geothermal exploration permits</w:t>
      </w:r>
      <w:r>
        <w:rPr>
          <w:rFonts w:cs="Arial"/>
          <w:b/>
          <w:color w:val="auto"/>
          <w:u w:color="FFFFFF" w:themeColor="background1"/>
          <w:lang w:val="en-AU"/>
        </w:rPr>
        <w:t xml:space="preserve"> by year</w:t>
      </w:r>
    </w:p>
    <w:tbl>
      <w:tblPr>
        <w:tblStyle w:val="GridTable4-Accent1"/>
        <w:tblW w:w="5065" w:type="pct"/>
        <w:tblLook w:val="04E0" w:firstRow="1" w:lastRow="1" w:firstColumn="1" w:lastColumn="0" w:noHBand="0" w:noVBand="1"/>
        <w:tblCaption w:val="Geothermal exploration permits"/>
        <w:tblDescription w:val="applications received and granted between 2011-16"/>
      </w:tblPr>
      <w:tblGrid>
        <w:gridCol w:w="1378"/>
        <w:gridCol w:w="1261"/>
        <w:gridCol w:w="1261"/>
        <w:gridCol w:w="1261"/>
        <w:gridCol w:w="1261"/>
        <w:gridCol w:w="1261"/>
        <w:gridCol w:w="1261"/>
        <w:gridCol w:w="1257"/>
      </w:tblGrid>
      <w:tr w:rsidR="004D5D94" w:rsidRPr="00A11CC5" w14:paraId="18549BF4" w14:textId="77777777" w:rsidTr="004D5D94">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75" w:type="pct"/>
            <w:vAlign w:val="center"/>
          </w:tcPr>
          <w:p w14:paraId="3C526DB1" w14:textId="77777777" w:rsidR="00F657F1" w:rsidRPr="00DF0EC0" w:rsidRDefault="00F657F1" w:rsidP="004D5D94">
            <w:pPr>
              <w:spacing w:before="240"/>
              <w:jc w:val="center"/>
              <w:rPr>
                <w:rFonts w:cs="Arial"/>
                <w:color w:val="FFFFFF" w:themeColor="background1"/>
                <w:u w:color="FFFFFF" w:themeColor="background1"/>
                <w:lang w:val="en-AU"/>
              </w:rPr>
            </w:pPr>
            <w:r w:rsidRPr="00DF0EC0">
              <w:rPr>
                <w:rFonts w:cs="Arial"/>
                <w:color w:val="FFFFFF" w:themeColor="background1"/>
                <w:u w:color="FFFFFF" w:themeColor="background1"/>
                <w:lang w:val="en-AU"/>
              </w:rPr>
              <w:t>Description</w:t>
            </w:r>
          </w:p>
        </w:tc>
        <w:tc>
          <w:tcPr>
            <w:tcW w:w="618" w:type="pct"/>
            <w:vAlign w:val="center"/>
          </w:tcPr>
          <w:p w14:paraId="414700C8" w14:textId="77777777" w:rsidR="00F657F1" w:rsidRPr="00DF0EC0" w:rsidRDefault="00F657F1" w:rsidP="004D5D94">
            <w:pPr>
              <w:spacing w:before="24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sidRPr="00DF0EC0">
              <w:rPr>
                <w:rFonts w:cs="Arial"/>
                <w:color w:val="FFFFFF" w:themeColor="background1"/>
                <w:u w:color="FFFFFF" w:themeColor="background1"/>
                <w:lang w:val="en-AU"/>
              </w:rPr>
              <w:t>2011-12</w:t>
            </w:r>
          </w:p>
        </w:tc>
        <w:tc>
          <w:tcPr>
            <w:tcW w:w="618" w:type="pct"/>
            <w:vAlign w:val="center"/>
          </w:tcPr>
          <w:p w14:paraId="5BF5DE8F" w14:textId="77777777" w:rsidR="00F657F1" w:rsidRPr="00DF0EC0" w:rsidRDefault="00F657F1" w:rsidP="004D5D94">
            <w:pPr>
              <w:spacing w:before="24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sidRPr="00DF0EC0">
              <w:rPr>
                <w:rFonts w:cs="Arial"/>
                <w:color w:val="FFFFFF" w:themeColor="background1"/>
                <w:u w:color="FFFFFF" w:themeColor="background1"/>
                <w:lang w:val="en-AU"/>
              </w:rPr>
              <w:t>2012-13</w:t>
            </w:r>
          </w:p>
        </w:tc>
        <w:tc>
          <w:tcPr>
            <w:tcW w:w="618" w:type="pct"/>
            <w:vAlign w:val="center"/>
          </w:tcPr>
          <w:p w14:paraId="0267EEFE" w14:textId="77777777" w:rsidR="00F657F1" w:rsidRPr="00DF0EC0" w:rsidRDefault="00F657F1" w:rsidP="004D5D94">
            <w:pPr>
              <w:spacing w:before="24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sidRPr="00DF0EC0">
              <w:rPr>
                <w:rFonts w:cs="Arial"/>
                <w:color w:val="FFFFFF" w:themeColor="background1"/>
                <w:u w:color="FFFFFF" w:themeColor="background1"/>
                <w:lang w:val="en-AU"/>
              </w:rPr>
              <w:t>2013-14</w:t>
            </w:r>
          </w:p>
        </w:tc>
        <w:tc>
          <w:tcPr>
            <w:tcW w:w="618" w:type="pct"/>
            <w:vAlign w:val="center"/>
          </w:tcPr>
          <w:p w14:paraId="68482DFC" w14:textId="77777777" w:rsidR="00F657F1" w:rsidRPr="00DF0EC0" w:rsidRDefault="00F657F1" w:rsidP="004D5D94">
            <w:pPr>
              <w:spacing w:before="24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sidRPr="00DF0EC0">
              <w:rPr>
                <w:rFonts w:cs="Arial"/>
                <w:color w:val="FFFFFF" w:themeColor="background1"/>
                <w:u w:color="FFFFFF" w:themeColor="background1"/>
                <w:lang w:val="en-AU"/>
              </w:rPr>
              <w:t>2014-15</w:t>
            </w:r>
          </w:p>
        </w:tc>
        <w:tc>
          <w:tcPr>
            <w:tcW w:w="618" w:type="pct"/>
            <w:vAlign w:val="center"/>
          </w:tcPr>
          <w:p w14:paraId="341900BB" w14:textId="77777777" w:rsidR="00F657F1" w:rsidRPr="00DF0EC0" w:rsidRDefault="00F657F1" w:rsidP="004D5D94">
            <w:pPr>
              <w:spacing w:before="24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sidRPr="00DF0EC0">
              <w:rPr>
                <w:rFonts w:cs="Arial"/>
                <w:color w:val="FFFFFF" w:themeColor="background1"/>
                <w:u w:color="FFFFFF" w:themeColor="background1"/>
                <w:lang w:val="en-AU"/>
              </w:rPr>
              <w:t>2015-16</w:t>
            </w:r>
          </w:p>
        </w:tc>
        <w:tc>
          <w:tcPr>
            <w:tcW w:w="618" w:type="pct"/>
            <w:vAlign w:val="center"/>
          </w:tcPr>
          <w:p w14:paraId="3E3DCACB" w14:textId="77777777" w:rsidR="00F657F1" w:rsidRPr="00DF0EC0" w:rsidRDefault="00F657F1" w:rsidP="004D5D94">
            <w:pPr>
              <w:spacing w:before="24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sidRPr="00DF0EC0">
              <w:rPr>
                <w:rFonts w:cs="Arial"/>
                <w:color w:val="FFFFFF" w:themeColor="background1"/>
                <w:u w:color="FFFFFF" w:themeColor="background1"/>
                <w:lang w:val="en-AU"/>
              </w:rPr>
              <w:t>2016-17</w:t>
            </w:r>
          </w:p>
        </w:tc>
        <w:tc>
          <w:tcPr>
            <w:tcW w:w="616" w:type="pct"/>
            <w:vAlign w:val="center"/>
          </w:tcPr>
          <w:p w14:paraId="6399A4D0" w14:textId="77777777" w:rsidR="00F657F1" w:rsidRPr="00DF0EC0" w:rsidRDefault="00F657F1" w:rsidP="004D5D94">
            <w:pPr>
              <w:spacing w:before="24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u w:color="FFFFFF" w:themeColor="background1"/>
                <w:lang w:val="en-AU"/>
              </w:rPr>
            </w:pPr>
            <w:r w:rsidRPr="00DF0EC0">
              <w:rPr>
                <w:rFonts w:cs="Arial"/>
                <w:color w:val="FFFFFF" w:themeColor="background1"/>
                <w:u w:color="FFFFFF" w:themeColor="background1"/>
                <w:lang w:val="en-AU"/>
              </w:rPr>
              <w:t>2017-18</w:t>
            </w:r>
          </w:p>
        </w:tc>
      </w:tr>
      <w:tr w:rsidR="00F657F1" w:rsidRPr="00A11CC5" w14:paraId="5CC1DC4B" w14:textId="77777777" w:rsidTr="004D5D94">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675" w:type="pct"/>
            <w:vAlign w:val="center"/>
          </w:tcPr>
          <w:p w14:paraId="00EF91B2" w14:textId="77777777" w:rsidR="00F657F1" w:rsidRPr="00A11CC5" w:rsidRDefault="00F657F1" w:rsidP="004D5D94">
            <w:pPr>
              <w:spacing w:before="240"/>
              <w:jc w:val="center"/>
              <w:rPr>
                <w:rFonts w:cs="Arial"/>
                <w:color w:val="auto"/>
                <w:u w:color="FFFFFF" w:themeColor="background1"/>
                <w:lang w:val="en-AU"/>
              </w:rPr>
            </w:pPr>
            <w:r w:rsidRPr="00A11CC5">
              <w:rPr>
                <w:rFonts w:cs="Arial"/>
                <w:color w:val="auto"/>
                <w:u w:color="FFFFFF" w:themeColor="background1"/>
                <w:lang w:val="en-AU"/>
              </w:rPr>
              <w:t>Application Received</w:t>
            </w:r>
          </w:p>
        </w:tc>
        <w:tc>
          <w:tcPr>
            <w:tcW w:w="618" w:type="pct"/>
            <w:vAlign w:val="center"/>
          </w:tcPr>
          <w:p w14:paraId="01B51A08" w14:textId="77777777" w:rsidR="00F657F1" w:rsidRPr="00A11CC5" w:rsidRDefault="00F657F1" w:rsidP="004D5D94">
            <w:pPr>
              <w:spacing w:before="24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w:t>
            </w:r>
          </w:p>
        </w:tc>
        <w:tc>
          <w:tcPr>
            <w:tcW w:w="618" w:type="pct"/>
            <w:vAlign w:val="center"/>
          </w:tcPr>
          <w:p w14:paraId="1BB45982" w14:textId="77777777" w:rsidR="00F657F1" w:rsidRPr="00A11CC5" w:rsidRDefault="00F657F1" w:rsidP="004D5D94">
            <w:pPr>
              <w:spacing w:before="24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w:t>
            </w:r>
          </w:p>
        </w:tc>
        <w:tc>
          <w:tcPr>
            <w:tcW w:w="618" w:type="pct"/>
            <w:vAlign w:val="center"/>
          </w:tcPr>
          <w:p w14:paraId="70DAA2D4" w14:textId="77777777" w:rsidR="00F657F1" w:rsidRPr="00A11CC5" w:rsidRDefault="00F657F1" w:rsidP="004D5D94">
            <w:pPr>
              <w:spacing w:before="24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w:t>
            </w:r>
          </w:p>
        </w:tc>
        <w:tc>
          <w:tcPr>
            <w:tcW w:w="618" w:type="pct"/>
            <w:vAlign w:val="center"/>
          </w:tcPr>
          <w:p w14:paraId="0EA5A554" w14:textId="77777777" w:rsidR="00F657F1" w:rsidRPr="00A11CC5" w:rsidRDefault="00F657F1" w:rsidP="004D5D94">
            <w:pPr>
              <w:spacing w:before="24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w:t>
            </w:r>
          </w:p>
        </w:tc>
        <w:tc>
          <w:tcPr>
            <w:tcW w:w="618" w:type="pct"/>
            <w:vAlign w:val="center"/>
          </w:tcPr>
          <w:p w14:paraId="03C43E98" w14:textId="77777777" w:rsidR="00F657F1" w:rsidRPr="00A11CC5" w:rsidRDefault="00F657F1" w:rsidP="004D5D94">
            <w:pPr>
              <w:spacing w:before="24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w:t>
            </w:r>
          </w:p>
        </w:tc>
        <w:tc>
          <w:tcPr>
            <w:tcW w:w="618" w:type="pct"/>
            <w:vAlign w:val="center"/>
          </w:tcPr>
          <w:p w14:paraId="1AA1EDBE" w14:textId="77777777" w:rsidR="00F657F1" w:rsidRPr="00A11CC5" w:rsidRDefault="00F657F1" w:rsidP="004D5D94">
            <w:pPr>
              <w:spacing w:before="24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w:t>
            </w:r>
          </w:p>
        </w:tc>
        <w:tc>
          <w:tcPr>
            <w:tcW w:w="616" w:type="pct"/>
            <w:vAlign w:val="center"/>
          </w:tcPr>
          <w:p w14:paraId="512A3F0E" w14:textId="77777777" w:rsidR="00F657F1" w:rsidRPr="00A11CC5" w:rsidRDefault="00F657F1" w:rsidP="004D5D94">
            <w:pPr>
              <w:spacing w:before="24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0</w:t>
            </w:r>
          </w:p>
        </w:tc>
      </w:tr>
      <w:tr w:rsidR="00F657F1" w:rsidRPr="00A11CC5" w14:paraId="62FEB602" w14:textId="77777777" w:rsidTr="004D5D94">
        <w:trPr>
          <w:trHeight w:val="514"/>
        </w:trPr>
        <w:tc>
          <w:tcPr>
            <w:cnfStyle w:val="001000000000" w:firstRow="0" w:lastRow="0" w:firstColumn="1" w:lastColumn="0" w:oddVBand="0" w:evenVBand="0" w:oddHBand="0" w:evenHBand="0" w:firstRowFirstColumn="0" w:firstRowLastColumn="0" w:lastRowFirstColumn="0" w:lastRowLastColumn="0"/>
            <w:tcW w:w="675" w:type="pct"/>
            <w:vAlign w:val="center"/>
          </w:tcPr>
          <w:p w14:paraId="142D0BC8" w14:textId="77777777" w:rsidR="00F657F1" w:rsidRPr="00A11CC5" w:rsidRDefault="00F657F1" w:rsidP="004D5D94">
            <w:pPr>
              <w:spacing w:before="240"/>
              <w:jc w:val="center"/>
              <w:rPr>
                <w:rFonts w:cs="Arial"/>
                <w:color w:val="auto"/>
                <w:u w:color="FFFFFF" w:themeColor="background1"/>
                <w:lang w:val="en-AU"/>
              </w:rPr>
            </w:pPr>
            <w:r w:rsidRPr="00A11CC5">
              <w:rPr>
                <w:rFonts w:cs="Arial"/>
                <w:color w:val="auto"/>
                <w:u w:color="FFFFFF" w:themeColor="background1"/>
                <w:lang w:val="en-AU"/>
              </w:rPr>
              <w:t>Granted</w:t>
            </w:r>
          </w:p>
        </w:tc>
        <w:tc>
          <w:tcPr>
            <w:tcW w:w="618" w:type="pct"/>
            <w:vAlign w:val="center"/>
          </w:tcPr>
          <w:p w14:paraId="1F29A5AA" w14:textId="77777777" w:rsidR="00F657F1" w:rsidRPr="00A11CC5" w:rsidRDefault="00F657F1" w:rsidP="004D5D94">
            <w:pPr>
              <w:spacing w:before="24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w:t>
            </w:r>
          </w:p>
        </w:tc>
        <w:tc>
          <w:tcPr>
            <w:tcW w:w="618" w:type="pct"/>
            <w:vAlign w:val="center"/>
          </w:tcPr>
          <w:p w14:paraId="1BC53277" w14:textId="77777777" w:rsidR="00F657F1" w:rsidRPr="00A11CC5" w:rsidRDefault="00F657F1" w:rsidP="004D5D94">
            <w:pPr>
              <w:spacing w:before="24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w:t>
            </w:r>
          </w:p>
        </w:tc>
        <w:tc>
          <w:tcPr>
            <w:tcW w:w="618" w:type="pct"/>
            <w:vAlign w:val="center"/>
          </w:tcPr>
          <w:p w14:paraId="772DD28C" w14:textId="77777777" w:rsidR="00F657F1" w:rsidRPr="00A11CC5" w:rsidRDefault="00F657F1" w:rsidP="004D5D94">
            <w:pPr>
              <w:spacing w:before="24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w:t>
            </w:r>
          </w:p>
        </w:tc>
        <w:tc>
          <w:tcPr>
            <w:tcW w:w="618" w:type="pct"/>
            <w:vAlign w:val="center"/>
          </w:tcPr>
          <w:p w14:paraId="33F34477" w14:textId="77777777" w:rsidR="00F657F1" w:rsidRPr="00A11CC5" w:rsidRDefault="00F657F1" w:rsidP="004D5D94">
            <w:pPr>
              <w:spacing w:before="24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w:t>
            </w:r>
          </w:p>
        </w:tc>
        <w:tc>
          <w:tcPr>
            <w:tcW w:w="618" w:type="pct"/>
            <w:vAlign w:val="center"/>
          </w:tcPr>
          <w:p w14:paraId="16964999" w14:textId="77777777" w:rsidR="00F657F1" w:rsidRPr="00A11CC5" w:rsidRDefault="00F657F1" w:rsidP="004D5D94">
            <w:pPr>
              <w:spacing w:before="24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w:t>
            </w:r>
          </w:p>
        </w:tc>
        <w:tc>
          <w:tcPr>
            <w:tcW w:w="618" w:type="pct"/>
            <w:vAlign w:val="center"/>
          </w:tcPr>
          <w:p w14:paraId="1E92272F" w14:textId="77777777" w:rsidR="00F657F1" w:rsidRPr="00A11CC5" w:rsidRDefault="00F657F1" w:rsidP="004D5D94">
            <w:pPr>
              <w:spacing w:before="24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sidRPr="00A11CC5">
              <w:rPr>
                <w:rFonts w:cs="Arial"/>
                <w:color w:val="auto"/>
                <w:u w:color="FFFFFF" w:themeColor="background1"/>
                <w:lang w:val="en-AU"/>
              </w:rPr>
              <w:t>0</w:t>
            </w:r>
          </w:p>
        </w:tc>
        <w:tc>
          <w:tcPr>
            <w:tcW w:w="616" w:type="pct"/>
            <w:vAlign w:val="center"/>
          </w:tcPr>
          <w:p w14:paraId="67F5FD2E" w14:textId="77777777" w:rsidR="00F657F1" w:rsidRPr="00A11CC5" w:rsidRDefault="00F657F1" w:rsidP="004D5D94">
            <w:pPr>
              <w:spacing w:before="240"/>
              <w:jc w:val="center"/>
              <w:cnfStyle w:val="000000000000" w:firstRow="0" w:lastRow="0" w:firstColumn="0" w:lastColumn="0" w:oddVBand="0" w:evenVBand="0" w:oddHBand="0"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0</w:t>
            </w:r>
          </w:p>
        </w:tc>
      </w:tr>
      <w:tr w:rsidR="004D5D94" w:rsidRPr="00A11CC5" w14:paraId="4ADC472F" w14:textId="77777777" w:rsidTr="004D5D94">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675" w:type="pct"/>
            <w:vAlign w:val="center"/>
          </w:tcPr>
          <w:p w14:paraId="609964EF" w14:textId="77777777" w:rsidR="00F657F1" w:rsidRPr="00A11CC5" w:rsidRDefault="00F657F1" w:rsidP="004D5D94">
            <w:pPr>
              <w:spacing w:before="240"/>
              <w:jc w:val="center"/>
              <w:rPr>
                <w:rFonts w:cs="Arial"/>
                <w:color w:val="auto"/>
                <w:u w:color="FFFFFF" w:themeColor="background1"/>
                <w:lang w:val="en-AU"/>
              </w:rPr>
            </w:pPr>
            <w:r>
              <w:rPr>
                <w:rFonts w:cs="Arial"/>
                <w:color w:val="auto"/>
                <w:u w:color="FFFFFF" w:themeColor="background1"/>
                <w:lang w:val="en-AU"/>
              </w:rPr>
              <w:t>Licence Relinquished</w:t>
            </w:r>
          </w:p>
        </w:tc>
        <w:tc>
          <w:tcPr>
            <w:tcW w:w="618" w:type="pct"/>
            <w:vAlign w:val="center"/>
          </w:tcPr>
          <w:p w14:paraId="77C2087A" w14:textId="77777777" w:rsidR="00F657F1" w:rsidRPr="00A11CC5" w:rsidRDefault="00F657F1" w:rsidP="004D5D94">
            <w:pPr>
              <w:spacing w:before="24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0</w:t>
            </w:r>
          </w:p>
        </w:tc>
        <w:tc>
          <w:tcPr>
            <w:tcW w:w="618" w:type="pct"/>
            <w:vAlign w:val="center"/>
          </w:tcPr>
          <w:p w14:paraId="69CC207C" w14:textId="77777777" w:rsidR="00F657F1" w:rsidRPr="00A11CC5" w:rsidRDefault="00F657F1" w:rsidP="004D5D94">
            <w:pPr>
              <w:spacing w:before="24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2</w:t>
            </w:r>
          </w:p>
        </w:tc>
        <w:tc>
          <w:tcPr>
            <w:tcW w:w="618" w:type="pct"/>
            <w:vAlign w:val="center"/>
          </w:tcPr>
          <w:p w14:paraId="5707321A" w14:textId="77777777" w:rsidR="00F657F1" w:rsidRPr="00A11CC5" w:rsidRDefault="00F657F1" w:rsidP="004D5D94">
            <w:pPr>
              <w:spacing w:before="24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7</w:t>
            </w:r>
          </w:p>
        </w:tc>
        <w:tc>
          <w:tcPr>
            <w:tcW w:w="618" w:type="pct"/>
            <w:vAlign w:val="center"/>
          </w:tcPr>
          <w:p w14:paraId="4A19EF5A" w14:textId="77777777" w:rsidR="00F657F1" w:rsidRPr="00A11CC5" w:rsidRDefault="00F657F1" w:rsidP="004D5D94">
            <w:pPr>
              <w:spacing w:before="24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0</w:t>
            </w:r>
          </w:p>
        </w:tc>
        <w:tc>
          <w:tcPr>
            <w:tcW w:w="618" w:type="pct"/>
            <w:vAlign w:val="center"/>
          </w:tcPr>
          <w:p w14:paraId="60003CB7" w14:textId="77777777" w:rsidR="00F657F1" w:rsidRPr="00A11CC5" w:rsidRDefault="00F657F1" w:rsidP="004D5D94">
            <w:pPr>
              <w:spacing w:before="24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0</w:t>
            </w:r>
          </w:p>
        </w:tc>
        <w:tc>
          <w:tcPr>
            <w:tcW w:w="618" w:type="pct"/>
            <w:vAlign w:val="center"/>
          </w:tcPr>
          <w:p w14:paraId="04261D57" w14:textId="77777777" w:rsidR="00F657F1" w:rsidRPr="00A11CC5" w:rsidRDefault="00F657F1" w:rsidP="004D5D94">
            <w:pPr>
              <w:spacing w:before="24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0</w:t>
            </w:r>
          </w:p>
        </w:tc>
        <w:tc>
          <w:tcPr>
            <w:tcW w:w="616" w:type="pct"/>
            <w:vAlign w:val="center"/>
          </w:tcPr>
          <w:p w14:paraId="45403273" w14:textId="77777777" w:rsidR="00F657F1" w:rsidRDefault="00F657F1" w:rsidP="004D5D94">
            <w:pPr>
              <w:spacing w:before="240"/>
              <w:jc w:val="center"/>
              <w:cnfStyle w:val="000000100000" w:firstRow="0" w:lastRow="0" w:firstColumn="0" w:lastColumn="0" w:oddVBand="0" w:evenVBand="0" w:oddHBand="1" w:evenHBand="0" w:firstRowFirstColumn="0" w:firstRowLastColumn="0" w:lastRowFirstColumn="0" w:lastRowLastColumn="0"/>
              <w:rPr>
                <w:rFonts w:cs="Arial"/>
                <w:color w:val="auto"/>
                <w:u w:color="FFFFFF" w:themeColor="background1"/>
                <w:lang w:val="en-AU"/>
              </w:rPr>
            </w:pPr>
            <w:r>
              <w:rPr>
                <w:rFonts w:cs="Arial"/>
                <w:color w:val="auto"/>
                <w:u w:color="FFFFFF" w:themeColor="background1"/>
                <w:lang w:val="en-AU"/>
              </w:rPr>
              <w:t>1</w:t>
            </w:r>
          </w:p>
        </w:tc>
      </w:tr>
      <w:tr w:rsidR="00F657F1" w:rsidRPr="00A11CC5" w14:paraId="6F82226A" w14:textId="77777777" w:rsidTr="004D5D94">
        <w:trPr>
          <w:cnfStyle w:val="010000000000" w:firstRow="0" w:lastRow="1"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675" w:type="pct"/>
            <w:vAlign w:val="center"/>
          </w:tcPr>
          <w:p w14:paraId="7FA3B501" w14:textId="77777777" w:rsidR="00F657F1" w:rsidRPr="007875C7" w:rsidRDefault="00F657F1" w:rsidP="004D5D94">
            <w:pPr>
              <w:spacing w:before="240"/>
              <w:jc w:val="center"/>
              <w:rPr>
                <w:rFonts w:cs="Arial"/>
                <w:color w:val="auto"/>
                <w:u w:color="FFFFFF" w:themeColor="background1"/>
                <w:lang w:val="en-AU"/>
              </w:rPr>
            </w:pPr>
            <w:r w:rsidRPr="007875C7">
              <w:rPr>
                <w:rFonts w:cs="Arial"/>
                <w:color w:val="auto"/>
                <w:u w:color="FFFFFF" w:themeColor="background1"/>
                <w:lang w:val="en-AU"/>
              </w:rPr>
              <w:t>Current Licence</w:t>
            </w:r>
            <w:r>
              <w:rPr>
                <w:rFonts w:cs="Arial"/>
                <w:color w:val="auto"/>
                <w:u w:color="FFFFFF" w:themeColor="background1"/>
                <w:lang w:val="en-AU"/>
              </w:rPr>
              <w:t>s</w:t>
            </w:r>
          </w:p>
        </w:tc>
        <w:tc>
          <w:tcPr>
            <w:tcW w:w="618" w:type="pct"/>
            <w:vAlign w:val="center"/>
          </w:tcPr>
          <w:p w14:paraId="4663ECE3" w14:textId="77777777" w:rsidR="00F657F1" w:rsidRPr="007875C7" w:rsidRDefault="00F657F1" w:rsidP="004D5D94">
            <w:pPr>
              <w:spacing w:before="240"/>
              <w:jc w:val="center"/>
              <w:cnfStyle w:val="010000000000" w:firstRow="0" w:lastRow="1" w:firstColumn="0" w:lastColumn="0" w:oddVBand="0" w:evenVBand="0" w:oddHBand="0" w:evenHBand="0" w:firstRowFirstColumn="0" w:firstRowLastColumn="0" w:lastRowFirstColumn="0" w:lastRowLastColumn="0"/>
              <w:rPr>
                <w:rFonts w:cs="Arial"/>
                <w:color w:val="auto"/>
                <w:u w:color="FFFFFF" w:themeColor="background1"/>
                <w:lang w:val="en-AU"/>
              </w:rPr>
            </w:pPr>
            <w:r w:rsidRPr="007875C7">
              <w:rPr>
                <w:rFonts w:cs="Arial"/>
                <w:color w:val="auto"/>
                <w:u w:color="FFFFFF" w:themeColor="background1"/>
                <w:lang w:val="en-AU"/>
              </w:rPr>
              <w:t>15</w:t>
            </w:r>
          </w:p>
        </w:tc>
        <w:tc>
          <w:tcPr>
            <w:tcW w:w="618" w:type="pct"/>
            <w:vAlign w:val="center"/>
          </w:tcPr>
          <w:p w14:paraId="02838E52" w14:textId="77777777" w:rsidR="00F657F1" w:rsidRPr="007875C7" w:rsidRDefault="00F657F1" w:rsidP="004D5D94">
            <w:pPr>
              <w:spacing w:before="240"/>
              <w:jc w:val="center"/>
              <w:cnfStyle w:val="010000000000" w:firstRow="0" w:lastRow="1" w:firstColumn="0" w:lastColumn="0" w:oddVBand="0" w:evenVBand="0" w:oddHBand="0" w:evenHBand="0" w:firstRowFirstColumn="0" w:firstRowLastColumn="0" w:lastRowFirstColumn="0" w:lastRowLastColumn="0"/>
              <w:rPr>
                <w:rFonts w:cs="Arial"/>
                <w:color w:val="auto"/>
                <w:u w:color="FFFFFF" w:themeColor="background1"/>
                <w:lang w:val="en-AU"/>
              </w:rPr>
            </w:pPr>
            <w:r w:rsidRPr="007875C7">
              <w:rPr>
                <w:rFonts w:cs="Arial"/>
                <w:color w:val="auto"/>
                <w:u w:color="FFFFFF" w:themeColor="background1"/>
                <w:lang w:val="en-AU"/>
              </w:rPr>
              <w:t>13</w:t>
            </w:r>
          </w:p>
        </w:tc>
        <w:tc>
          <w:tcPr>
            <w:tcW w:w="618" w:type="pct"/>
            <w:vAlign w:val="center"/>
          </w:tcPr>
          <w:p w14:paraId="0BF788B4" w14:textId="77777777" w:rsidR="00F657F1" w:rsidRPr="007875C7" w:rsidRDefault="00F657F1" w:rsidP="004D5D94">
            <w:pPr>
              <w:spacing w:before="240"/>
              <w:jc w:val="center"/>
              <w:cnfStyle w:val="010000000000" w:firstRow="0" w:lastRow="1" w:firstColumn="0" w:lastColumn="0" w:oddVBand="0" w:evenVBand="0" w:oddHBand="0" w:evenHBand="0" w:firstRowFirstColumn="0" w:firstRowLastColumn="0" w:lastRowFirstColumn="0" w:lastRowLastColumn="0"/>
              <w:rPr>
                <w:rFonts w:cs="Arial"/>
                <w:color w:val="auto"/>
                <w:u w:color="FFFFFF" w:themeColor="background1"/>
                <w:lang w:val="en-AU"/>
              </w:rPr>
            </w:pPr>
            <w:r w:rsidRPr="007875C7">
              <w:rPr>
                <w:rFonts w:cs="Arial"/>
                <w:color w:val="auto"/>
                <w:u w:color="FFFFFF" w:themeColor="background1"/>
                <w:lang w:val="en-AU"/>
              </w:rPr>
              <w:t>6</w:t>
            </w:r>
          </w:p>
        </w:tc>
        <w:tc>
          <w:tcPr>
            <w:tcW w:w="618" w:type="pct"/>
            <w:vAlign w:val="center"/>
          </w:tcPr>
          <w:p w14:paraId="32441B9D" w14:textId="77777777" w:rsidR="00F657F1" w:rsidRPr="007875C7" w:rsidRDefault="00F657F1" w:rsidP="004D5D94">
            <w:pPr>
              <w:spacing w:before="240"/>
              <w:jc w:val="center"/>
              <w:cnfStyle w:val="010000000000" w:firstRow="0" w:lastRow="1" w:firstColumn="0" w:lastColumn="0" w:oddVBand="0" w:evenVBand="0" w:oddHBand="0" w:evenHBand="0" w:firstRowFirstColumn="0" w:firstRowLastColumn="0" w:lastRowFirstColumn="0" w:lastRowLastColumn="0"/>
              <w:rPr>
                <w:rFonts w:cs="Arial"/>
                <w:color w:val="auto"/>
                <w:u w:color="FFFFFF" w:themeColor="background1"/>
                <w:lang w:val="en-AU"/>
              </w:rPr>
            </w:pPr>
            <w:r w:rsidRPr="007875C7">
              <w:rPr>
                <w:rFonts w:cs="Arial"/>
                <w:color w:val="auto"/>
                <w:u w:color="FFFFFF" w:themeColor="background1"/>
                <w:lang w:val="en-AU"/>
              </w:rPr>
              <w:t>6</w:t>
            </w:r>
          </w:p>
        </w:tc>
        <w:tc>
          <w:tcPr>
            <w:tcW w:w="618" w:type="pct"/>
            <w:vAlign w:val="center"/>
          </w:tcPr>
          <w:p w14:paraId="79E425AC" w14:textId="77777777" w:rsidR="00F657F1" w:rsidRPr="007875C7" w:rsidRDefault="00F657F1" w:rsidP="004D5D94">
            <w:pPr>
              <w:spacing w:before="240"/>
              <w:jc w:val="center"/>
              <w:cnfStyle w:val="010000000000" w:firstRow="0" w:lastRow="1" w:firstColumn="0" w:lastColumn="0" w:oddVBand="0" w:evenVBand="0" w:oddHBand="0" w:evenHBand="0" w:firstRowFirstColumn="0" w:firstRowLastColumn="0" w:lastRowFirstColumn="0" w:lastRowLastColumn="0"/>
              <w:rPr>
                <w:rFonts w:cs="Arial"/>
                <w:color w:val="auto"/>
                <w:u w:color="FFFFFF" w:themeColor="background1"/>
                <w:lang w:val="en-AU"/>
              </w:rPr>
            </w:pPr>
            <w:r w:rsidRPr="007875C7">
              <w:rPr>
                <w:rFonts w:cs="Arial"/>
                <w:color w:val="auto"/>
                <w:u w:color="FFFFFF" w:themeColor="background1"/>
                <w:lang w:val="en-AU"/>
              </w:rPr>
              <w:t>6</w:t>
            </w:r>
          </w:p>
        </w:tc>
        <w:tc>
          <w:tcPr>
            <w:tcW w:w="618" w:type="pct"/>
            <w:vAlign w:val="center"/>
          </w:tcPr>
          <w:p w14:paraId="40862BA9" w14:textId="77777777" w:rsidR="00F657F1" w:rsidRPr="007875C7" w:rsidRDefault="00F657F1" w:rsidP="004D5D94">
            <w:pPr>
              <w:spacing w:before="240"/>
              <w:jc w:val="center"/>
              <w:cnfStyle w:val="010000000000" w:firstRow="0" w:lastRow="1" w:firstColumn="0" w:lastColumn="0" w:oddVBand="0" w:evenVBand="0" w:oddHBand="0" w:evenHBand="0" w:firstRowFirstColumn="0" w:firstRowLastColumn="0" w:lastRowFirstColumn="0" w:lastRowLastColumn="0"/>
              <w:rPr>
                <w:rFonts w:cs="Arial"/>
                <w:color w:val="auto"/>
                <w:u w:color="FFFFFF" w:themeColor="background1"/>
                <w:lang w:val="en-AU"/>
              </w:rPr>
            </w:pPr>
            <w:r w:rsidRPr="007875C7">
              <w:rPr>
                <w:rFonts w:cs="Arial"/>
                <w:color w:val="auto"/>
                <w:u w:color="FFFFFF" w:themeColor="background1"/>
                <w:lang w:val="en-AU"/>
              </w:rPr>
              <w:t>6</w:t>
            </w:r>
          </w:p>
        </w:tc>
        <w:tc>
          <w:tcPr>
            <w:tcW w:w="616" w:type="pct"/>
            <w:vAlign w:val="center"/>
          </w:tcPr>
          <w:p w14:paraId="7645D17A" w14:textId="77777777" w:rsidR="00F657F1" w:rsidRPr="007875C7" w:rsidRDefault="00F657F1" w:rsidP="004D5D94">
            <w:pPr>
              <w:spacing w:before="240"/>
              <w:jc w:val="center"/>
              <w:cnfStyle w:val="010000000000" w:firstRow="0" w:lastRow="1" w:firstColumn="0" w:lastColumn="0" w:oddVBand="0" w:evenVBand="0" w:oddHBand="0" w:evenHBand="0" w:firstRowFirstColumn="0" w:firstRowLastColumn="0" w:lastRowFirstColumn="0" w:lastRowLastColumn="0"/>
              <w:rPr>
                <w:rFonts w:cs="Arial"/>
                <w:color w:val="auto"/>
                <w:u w:color="FFFFFF" w:themeColor="background1"/>
                <w:lang w:val="en-AU"/>
              </w:rPr>
            </w:pPr>
            <w:r w:rsidRPr="007875C7">
              <w:rPr>
                <w:rFonts w:cs="Arial"/>
                <w:color w:val="auto"/>
                <w:u w:color="FFFFFF" w:themeColor="background1"/>
                <w:lang w:val="en-AU"/>
              </w:rPr>
              <w:t>5</w:t>
            </w:r>
          </w:p>
        </w:tc>
      </w:tr>
    </w:tbl>
    <w:p w14:paraId="6E6F2854" w14:textId="77777777" w:rsidR="00F657F1" w:rsidRDefault="00F657F1" w:rsidP="00F657F1">
      <w:pPr>
        <w:pStyle w:val="BodyText"/>
        <w:spacing w:before="0" w:after="0"/>
        <w:rPr>
          <w:rFonts w:cs="Arial"/>
          <w:u w:color="FFFFFF" w:themeColor="background1"/>
          <w:lang w:val="en-AU"/>
        </w:rPr>
      </w:pPr>
      <w:r w:rsidRPr="00A11CC5">
        <w:rPr>
          <w:rFonts w:cs="Arial"/>
          <w:u w:color="FFFFFF" w:themeColor="background1"/>
          <w:lang w:val="en-AU"/>
        </w:rPr>
        <w:t xml:space="preserve">Source: </w:t>
      </w:r>
      <w:r>
        <w:rPr>
          <w:rFonts w:cs="Arial"/>
          <w:u w:color="FFFFFF" w:themeColor="background1"/>
          <w:lang w:val="en-AU"/>
        </w:rPr>
        <w:t>DJPR</w:t>
      </w:r>
    </w:p>
    <w:p w14:paraId="396B070B" w14:textId="77777777" w:rsidR="00F657F1" w:rsidRDefault="00F657F1" w:rsidP="00F657F1">
      <w:pPr>
        <w:rPr>
          <w:lang w:val="en-AU"/>
        </w:rPr>
      </w:pPr>
    </w:p>
    <w:p w14:paraId="59F9F375" w14:textId="77777777" w:rsidR="00F657F1" w:rsidRPr="00944202" w:rsidRDefault="00F657F1" w:rsidP="00F657F1">
      <w:pPr>
        <w:rPr>
          <w:lang w:val="en-AU"/>
        </w:rPr>
      </w:pPr>
    </w:p>
    <w:p w14:paraId="64FDADC3" w14:textId="77777777" w:rsidR="00F657F1" w:rsidRPr="00A11CC5" w:rsidRDefault="00F657F1" w:rsidP="00F657F1">
      <w:pPr>
        <w:pStyle w:val="Heading2"/>
        <w:rPr>
          <w:color w:val="auto"/>
          <w:lang w:val="en-AU"/>
        </w:rPr>
      </w:pPr>
      <w:bookmarkStart w:id="26" w:name="_Toc533149022"/>
      <w:r>
        <w:rPr>
          <w:color w:val="auto"/>
          <w:lang w:val="en-AU"/>
        </w:rPr>
        <w:t xml:space="preserve">Offshore </w:t>
      </w:r>
      <w:r w:rsidRPr="00A11CC5">
        <w:rPr>
          <w:color w:val="auto"/>
          <w:lang w:val="en-AU"/>
        </w:rPr>
        <w:t>Pipelines</w:t>
      </w:r>
      <w:bookmarkEnd w:id="26"/>
    </w:p>
    <w:p w14:paraId="72FFFF02" w14:textId="77777777" w:rsidR="00F657F1" w:rsidRPr="00A11CC5" w:rsidRDefault="00F657F1" w:rsidP="00F657F1">
      <w:pPr>
        <w:spacing w:before="240" w:after="0" w:line="240" w:lineRule="auto"/>
        <w:jc w:val="both"/>
        <w:rPr>
          <w:rFonts w:cs="Arial"/>
          <w:b/>
          <w:color w:val="auto"/>
          <w:u w:color="FFFFFF" w:themeColor="background1"/>
          <w:lang w:val="en-AU"/>
        </w:rPr>
      </w:pPr>
    </w:p>
    <w:p w14:paraId="61E6E284" w14:textId="519A0066" w:rsidR="00F657F1" w:rsidRPr="00A11CC5" w:rsidRDefault="00F657F1" w:rsidP="00F657F1">
      <w:pPr>
        <w:spacing w:before="240" w:after="0" w:line="240" w:lineRule="auto"/>
        <w:jc w:val="both"/>
        <w:rPr>
          <w:rFonts w:cs="Arial"/>
          <w:b/>
          <w:color w:val="auto"/>
          <w:u w:color="FFFFFF" w:themeColor="background1"/>
          <w:lang w:val="en-AU"/>
        </w:rPr>
      </w:pPr>
      <w:r w:rsidRPr="00A11CC5">
        <w:rPr>
          <w:rFonts w:cs="Arial"/>
          <w:b/>
          <w:color w:val="auto"/>
          <w:u w:color="FFFFFF" w:themeColor="background1"/>
          <w:lang w:val="en-AU"/>
        </w:rPr>
        <w:t xml:space="preserve">Table </w:t>
      </w:r>
      <w:r w:rsidR="00F21245">
        <w:rPr>
          <w:rFonts w:cs="Arial"/>
          <w:b/>
          <w:color w:val="auto"/>
          <w:u w:color="FFFFFF" w:themeColor="background1"/>
          <w:lang w:val="en-AU"/>
        </w:rPr>
        <w:t>6</w:t>
      </w:r>
      <w:r w:rsidRPr="00A11CC5">
        <w:rPr>
          <w:rFonts w:cs="Arial"/>
          <w:b/>
          <w:color w:val="auto"/>
          <w:u w:color="FFFFFF" w:themeColor="background1"/>
          <w:lang w:val="en-AU"/>
        </w:rPr>
        <w:t>.1</w:t>
      </w:r>
      <w:r>
        <w:rPr>
          <w:rFonts w:cs="Arial"/>
          <w:b/>
          <w:color w:val="auto"/>
          <w:u w:color="FFFFFF" w:themeColor="background1"/>
          <w:lang w:val="en-AU"/>
        </w:rPr>
        <w:t>2</w:t>
      </w:r>
      <w:r w:rsidRPr="00A11CC5">
        <w:rPr>
          <w:rFonts w:cs="Arial"/>
          <w:b/>
          <w:color w:val="auto"/>
          <w:u w:color="FFFFFF" w:themeColor="background1"/>
          <w:lang w:val="en-AU"/>
        </w:rPr>
        <w:t xml:space="preserve"> Offshore pipeline licences applications received and granted (Victorian waters)</w:t>
      </w:r>
    </w:p>
    <w:tbl>
      <w:tblPr>
        <w:tblStyle w:val="GridTable4-Accent1"/>
        <w:tblpPr w:leftFromText="180" w:rightFromText="180" w:vertAnchor="text" w:horzAnchor="margin" w:tblpX="108" w:tblpY="5"/>
        <w:tblW w:w="4622" w:type="pct"/>
        <w:tblLook w:val="0420" w:firstRow="1" w:lastRow="0" w:firstColumn="0" w:lastColumn="0" w:noHBand="0" w:noVBand="1"/>
        <w:tblCaption w:val="Offshore pipleline licences in Victorian waters"/>
        <w:tblDescription w:val="Applications received or granted between 2011-16."/>
      </w:tblPr>
      <w:tblGrid>
        <w:gridCol w:w="1196"/>
        <w:gridCol w:w="1159"/>
        <w:gridCol w:w="1159"/>
        <w:gridCol w:w="1159"/>
        <w:gridCol w:w="1159"/>
        <w:gridCol w:w="1159"/>
        <w:gridCol w:w="1159"/>
        <w:gridCol w:w="1159"/>
      </w:tblGrid>
      <w:tr w:rsidR="00F657F1" w:rsidRPr="00A11CC5" w14:paraId="3D8A5319" w14:textId="77777777" w:rsidTr="006559CC">
        <w:trPr>
          <w:cnfStyle w:val="100000000000" w:firstRow="1" w:lastRow="0" w:firstColumn="0" w:lastColumn="0" w:oddVBand="0" w:evenVBand="0" w:oddHBand="0" w:evenHBand="0" w:firstRowFirstColumn="0" w:firstRowLastColumn="0" w:lastRowFirstColumn="0" w:lastRowLastColumn="0"/>
          <w:trHeight w:val="328"/>
        </w:trPr>
        <w:tc>
          <w:tcPr>
            <w:tcW w:w="625" w:type="pct"/>
            <w:noWrap/>
          </w:tcPr>
          <w:p w14:paraId="718CC648" w14:textId="77777777" w:rsidR="00F657F1" w:rsidRPr="00A11CC5" w:rsidRDefault="00F657F1" w:rsidP="006559CC">
            <w:pPr>
              <w:spacing w:after="120"/>
              <w:jc w:val="both"/>
              <w:rPr>
                <w:rFonts w:cs="Arial"/>
                <w:color w:val="auto"/>
                <w:u w:color="FFFFFF" w:themeColor="background1"/>
                <w:lang w:val="en-AU"/>
              </w:rPr>
            </w:pPr>
          </w:p>
        </w:tc>
        <w:tc>
          <w:tcPr>
            <w:tcW w:w="625" w:type="pct"/>
          </w:tcPr>
          <w:p w14:paraId="409F9A50" w14:textId="77777777" w:rsidR="00F657F1" w:rsidRPr="00FB416E" w:rsidRDefault="00F657F1" w:rsidP="006559CC">
            <w:pPr>
              <w:spacing w:after="120"/>
              <w:jc w:val="center"/>
              <w:rPr>
                <w:rFonts w:cs="Arial"/>
                <w:color w:val="FFFFFF" w:themeColor="background1"/>
                <w:u w:color="FFFFFF" w:themeColor="background1"/>
                <w:lang w:val="en-AU"/>
              </w:rPr>
            </w:pPr>
            <w:r w:rsidRPr="00FB416E">
              <w:rPr>
                <w:rFonts w:cs="Arial"/>
                <w:color w:val="FFFFFF" w:themeColor="background1"/>
                <w:u w:color="FFFFFF" w:themeColor="background1"/>
                <w:lang w:val="en-AU"/>
              </w:rPr>
              <w:t>2011-12</w:t>
            </w:r>
          </w:p>
        </w:tc>
        <w:tc>
          <w:tcPr>
            <w:tcW w:w="625" w:type="pct"/>
          </w:tcPr>
          <w:p w14:paraId="45EFC71A" w14:textId="77777777" w:rsidR="00F657F1" w:rsidRPr="00FB416E" w:rsidRDefault="00F657F1" w:rsidP="006559CC">
            <w:pPr>
              <w:spacing w:after="120"/>
              <w:jc w:val="center"/>
              <w:rPr>
                <w:rFonts w:cs="Arial"/>
                <w:color w:val="FFFFFF" w:themeColor="background1"/>
                <w:u w:color="FFFFFF" w:themeColor="background1"/>
                <w:lang w:val="en-AU"/>
              </w:rPr>
            </w:pPr>
            <w:r w:rsidRPr="00FB416E">
              <w:rPr>
                <w:rFonts w:cs="Arial"/>
                <w:color w:val="FFFFFF" w:themeColor="background1"/>
                <w:u w:color="FFFFFF" w:themeColor="background1"/>
                <w:lang w:val="en-AU"/>
              </w:rPr>
              <w:t>2012-13</w:t>
            </w:r>
          </w:p>
        </w:tc>
        <w:tc>
          <w:tcPr>
            <w:tcW w:w="625" w:type="pct"/>
          </w:tcPr>
          <w:p w14:paraId="1AB61AB2" w14:textId="77777777" w:rsidR="00F657F1" w:rsidRPr="00FB416E" w:rsidRDefault="00F657F1" w:rsidP="006559CC">
            <w:pPr>
              <w:spacing w:after="120"/>
              <w:jc w:val="center"/>
              <w:rPr>
                <w:rFonts w:cs="Arial"/>
                <w:color w:val="FFFFFF" w:themeColor="background1"/>
                <w:u w:color="FFFFFF" w:themeColor="background1"/>
                <w:lang w:val="en-AU"/>
              </w:rPr>
            </w:pPr>
            <w:r w:rsidRPr="00FB416E">
              <w:rPr>
                <w:rFonts w:cs="Arial"/>
                <w:color w:val="FFFFFF" w:themeColor="background1"/>
                <w:u w:color="FFFFFF" w:themeColor="background1"/>
                <w:lang w:val="en-AU"/>
              </w:rPr>
              <w:t>2013-14</w:t>
            </w:r>
          </w:p>
        </w:tc>
        <w:tc>
          <w:tcPr>
            <w:tcW w:w="625" w:type="pct"/>
          </w:tcPr>
          <w:p w14:paraId="572AE7DE" w14:textId="77777777" w:rsidR="00F657F1" w:rsidRPr="00FB416E" w:rsidRDefault="00F657F1" w:rsidP="006559CC">
            <w:pPr>
              <w:spacing w:after="120"/>
              <w:jc w:val="center"/>
              <w:rPr>
                <w:rFonts w:cs="Arial"/>
                <w:color w:val="FFFFFF" w:themeColor="background1"/>
                <w:u w:color="FFFFFF" w:themeColor="background1"/>
                <w:lang w:val="en-AU"/>
              </w:rPr>
            </w:pPr>
            <w:r w:rsidRPr="00FB416E">
              <w:rPr>
                <w:rFonts w:cs="Arial"/>
                <w:color w:val="FFFFFF" w:themeColor="background1"/>
                <w:u w:color="FFFFFF" w:themeColor="background1"/>
                <w:lang w:val="en-AU"/>
              </w:rPr>
              <w:t>2014-15</w:t>
            </w:r>
          </w:p>
        </w:tc>
        <w:tc>
          <w:tcPr>
            <w:tcW w:w="625" w:type="pct"/>
          </w:tcPr>
          <w:p w14:paraId="240E1B3F" w14:textId="77777777" w:rsidR="00F657F1" w:rsidRPr="00FB416E" w:rsidRDefault="00F657F1" w:rsidP="006559CC">
            <w:pPr>
              <w:spacing w:after="120"/>
              <w:jc w:val="center"/>
              <w:rPr>
                <w:rFonts w:cs="Arial"/>
                <w:color w:val="FFFFFF" w:themeColor="background1"/>
                <w:u w:color="FFFFFF" w:themeColor="background1"/>
                <w:lang w:val="en-AU"/>
              </w:rPr>
            </w:pPr>
            <w:r w:rsidRPr="00FB416E">
              <w:rPr>
                <w:rFonts w:cs="Arial"/>
                <w:color w:val="FFFFFF" w:themeColor="background1"/>
                <w:u w:color="FFFFFF" w:themeColor="background1"/>
                <w:lang w:val="en-AU"/>
              </w:rPr>
              <w:t>2015-16</w:t>
            </w:r>
          </w:p>
        </w:tc>
        <w:tc>
          <w:tcPr>
            <w:tcW w:w="625" w:type="pct"/>
          </w:tcPr>
          <w:p w14:paraId="4C38136E" w14:textId="77777777" w:rsidR="00F657F1" w:rsidRPr="00FB416E" w:rsidRDefault="00F657F1" w:rsidP="006559CC">
            <w:pPr>
              <w:spacing w:after="120"/>
              <w:jc w:val="center"/>
              <w:rPr>
                <w:rFonts w:cs="Arial"/>
                <w:color w:val="FFFFFF" w:themeColor="background1"/>
                <w:u w:color="FFFFFF" w:themeColor="background1"/>
                <w:lang w:val="en-AU"/>
              </w:rPr>
            </w:pPr>
            <w:r w:rsidRPr="00FB416E">
              <w:rPr>
                <w:rFonts w:cs="Arial"/>
                <w:color w:val="FFFFFF" w:themeColor="background1"/>
                <w:u w:color="FFFFFF" w:themeColor="background1"/>
                <w:lang w:val="en-AU"/>
              </w:rPr>
              <w:t>2016-17</w:t>
            </w:r>
          </w:p>
        </w:tc>
        <w:tc>
          <w:tcPr>
            <w:tcW w:w="625" w:type="pct"/>
          </w:tcPr>
          <w:p w14:paraId="1E4E511C" w14:textId="77777777" w:rsidR="00F657F1" w:rsidRPr="00FB416E" w:rsidRDefault="00F657F1" w:rsidP="006559CC">
            <w:pPr>
              <w:spacing w:after="120"/>
              <w:jc w:val="center"/>
              <w:rPr>
                <w:rFonts w:cs="Arial"/>
                <w:color w:val="FFFFFF" w:themeColor="background1"/>
                <w:u w:color="FFFFFF" w:themeColor="background1"/>
                <w:lang w:val="en-AU"/>
              </w:rPr>
            </w:pPr>
            <w:r w:rsidRPr="00FB416E">
              <w:rPr>
                <w:rFonts w:cs="Arial"/>
                <w:color w:val="FFFFFF" w:themeColor="background1"/>
                <w:u w:color="FFFFFF" w:themeColor="background1"/>
                <w:lang w:val="en-AU"/>
              </w:rPr>
              <w:t>2017-18</w:t>
            </w:r>
          </w:p>
        </w:tc>
      </w:tr>
      <w:tr w:rsidR="00F657F1" w:rsidRPr="00A11CC5" w14:paraId="2D98CABD" w14:textId="77777777" w:rsidTr="004D5D94">
        <w:trPr>
          <w:cnfStyle w:val="000000100000" w:firstRow="0" w:lastRow="0" w:firstColumn="0" w:lastColumn="0" w:oddVBand="0" w:evenVBand="0" w:oddHBand="1" w:evenHBand="0" w:firstRowFirstColumn="0" w:firstRowLastColumn="0" w:lastRowFirstColumn="0" w:lastRowLastColumn="0"/>
          <w:trHeight w:val="310"/>
        </w:trPr>
        <w:tc>
          <w:tcPr>
            <w:tcW w:w="625" w:type="pct"/>
            <w:vAlign w:val="center"/>
          </w:tcPr>
          <w:p w14:paraId="7EA2BB32" w14:textId="77777777" w:rsidR="00F657F1" w:rsidRPr="001762FC" w:rsidRDefault="00F657F1" w:rsidP="004D5D94">
            <w:pPr>
              <w:spacing w:after="120"/>
              <w:jc w:val="center"/>
              <w:rPr>
                <w:rFonts w:cs="Arial"/>
                <w:b/>
                <w:color w:val="auto"/>
                <w:u w:color="FFFFFF" w:themeColor="background1"/>
                <w:lang w:val="en-AU"/>
              </w:rPr>
            </w:pPr>
            <w:r w:rsidRPr="001762FC">
              <w:rPr>
                <w:rFonts w:cs="Arial"/>
                <w:b/>
                <w:color w:val="auto"/>
                <w:u w:color="FFFFFF" w:themeColor="background1"/>
                <w:lang w:val="en-AU"/>
              </w:rPr>
              <w:t>Application Received</w:t>
            </w:r>
          </w:p>
        </w:tc>
        <w:tc>
          <w:tcPr>
            <w:tcW w:w="625" w:type="pct"/>
            <w:vAlign w:val="center"/>
          </w:tcPr>
          <w:p w14:paraId="43F47A8E" w14:textId="77777777" w:rsidR="00F657F1" w:rsidRPr="00A11CC5" w:rsidRDefault="00F657F1" w:rsidP="004D5D94">
            <w:pPr>
              <w:spacing w:after="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150E6A23" w14:textId="77777777" w:rsidR="00F657F1" w:rsidRPr="00A11CC5" w:rsidRDefault="00F657F1" w:rsidP="004D5D94">
            <w:pPr>
              <w:spacing w:after="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650A7E4E" w14:textId="77777777" w:rsidR="00F657F1" w:rsidRPr="00A11CC5" w:rsidRDefault="00F657F1" w:rsidP="004D5D94">
            <w:pPr>
              <w:spacing w:after="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5E9C5C03" w14:textId="77777777" w:rsidR="00F657F1" w:rsidRPr="00A11CC5" w:rsidRDefault="00F657F1" w:rsidP="004D5D94">
            <w:pPr>
              <w:spacing w:after="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2F82CB96" w14:textId="77777777" w:rsidR="00F657F1" w:rsidRPr="00A11CC5" w:rsidRDefault="00F657F1" w:rsidP="004D5D94">
            <w:pPr>
              <w:spacing w:after="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47C913EE" w14:textId="77777777" w:rsidR="00F657F1" w:rsidRPr="00A11CC5" w:rsidRDefault="00F657F1" w:rsidP="004D5D94">
            <w:pPr>
              <w:spacing w:after="120"/>
              <w:jc w:val="center"/>
              <w:rPr>
                <w:rFonts w:cs="Arial"/>
                <w:color w:val="auto"/>
                <w:u w:color="FFFFFF" w:themeColor="background1"/>
                <w:lang w:val="en-AU"/>
              </w:rPr>
            </w:pPr>
            <w:r w:rsidRPr="00A11CC5">
              <w:rPr>
                <w:rFonts w:cs="Arial"/>
                <w:color w:val="auto"/>
                <w:u w:color="FFFFFF" w:themeColor="background1"/>
                <w:lang w:val="en-AU"/>
              </w:rPr>
              <w:t>1</w:t>
            </w:r>
          </w:p>
        </w:tc>
        <w:tc>
          <w:tcPr>
            <w:tcW w:w="625" w:type="pct"/>
            <w:vAlign w:val="center"/>
          </w:tcPr>
          <w:p w14:paraId="080E7485" w14:textId="77777777" w:rsidR="00F657F1" w:rsidRPr="00A11CC5" w:rsidRDefault="00F657F1" w:rsidP="004D5D94">
            <w:pPr>
              <w:spacing w:after="120"/>
              <w:jc w:val="center"/>
              <w:rPr>
                <w:rFonts w:cs="Arial"/>
                <w:color w:val="auto"/>
                <w:u w:color="FFFFFF" w:themeColor="background1"/>
                <w:lang w:val="en-AU"/>
              </w:rPr>
            </w:pPr>
            <w:r>
              <w:rPr>
                <w:rFonts w:cs="Arial"/>
                <w:color w:val="auto"/>
                <w:u w:color="FFFFFF" w:themeColor="background1"/>
                <w:lang w:val="en-AU"/>
              </w:rPr>
              <w:t>0</w:t>
            </w:r>
          </w:p>
        </w:tc>
      </w:tr>
      <w:tr w:rsidR="00F657F1" w:rsidRPr="00A11CC5" w14:paraId="776C169E" w14:textId="77777777" w:rsidTr="004D5D94">
        <w:trPr>
          <w:trHeight w:val="328"/>
        </w:trPr>
        <w:tc>
          <w:tcPr>
            <w:tcW w:w="625" w:type="pct"/>
            <w:vAlign w:val="center"/>
          </w:tcPr>
          <w:p w14:paraId="59A685E2" w14:textId="77777777" w:rsidR="00F657F1" w:rsidRPr="001762FC" w:rsidRDefault="00F657F1" w:rsidP="004D5D94">
            <w:pPr>
              <w:spacing w:after="120"/>
              <w:jc w:val="center"/>
              <w:rPr>
                <w:rFonts w:cs="Arial"/>
                <w:b/>
                <w:color w:val="auto"/>
                <w:u w:color="FFFFFF" w:themeColor="background1"/>
                <w:lang w:val="en-AU"/>
              </w:rPr>
            </w:pPr>
            <w:r w:rsidRPr="001762FC">
              <w:rPr>
                <w:rFonts w:cs="Arial"/>
                <w:b/>
                <w:color w:val="auto"/>
                <w:u w:color="FFFFFF" w:themeColor="background1"/>
                <w:lang w:val="en-AU"/>
              </w:rPr>
              <w:t>Granted</w:t>
            </w:r>
          </w:p>
        </w:tc>
        <w:tc>
          <w:tcPr>
            <w:tcW w:w="625" w:type="pct"/>
            <w:vAlign w:val="center"/>
          </w:tcPr>
          <w:p w14:paraId="646B050B" w14:textId="77777777" w:rsidR="00F657F1" w:rsidRPr="00A11CC5" w:rsidRDefault="00F657F1" w:rsidP="004D5D94">
            <w:pPr>
              <w:spacing w:after="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78AD5DF2" w14:textId="77777777" w:rsidR="00F657F1" w:rsidRPr="00A11CC5" w:rsidRDefault="00F657F1" w:rsidP="004D5D94">
            <w:pPr>
              <w:spacing w:after="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2DF9FCC9" w14:textId="77777777" w:rsidR="00F657F1" w:rsidRPr="00A11CC5" w:rsidRDefault="00F657F1" w:rsidP="004D5D94">
            <w:pPr>
              <w:spacing w:after="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6A6365D6" w14:textId="77777777" w:rsidR="00F657F1" w:rsidRPr="00A11CC5" w:rsidRDefault="00F657F1" w:rsidP="004D5D94">
            <w:pPr>
              <w:spacing w:after="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0246B324" w14:textId="77777777" w:rsidR="00F657F1" w:rsidRPr="00A11CC5" w:rsidRDefault="00F657F1" w:rsidP="004D5D94">
            <w:pPr>
              <w:spacing w:after="120"/>
              <w:jc w:val="center"/>
              <w:rPr>
                <w:rFonts w:cs="Arial"/>
                <w:color w:val="auto"/>
                <w:u w:color="FFFFFF" w:themeColor="background1"/>
                <w:lang w:val="en-AU"/>
              </w:rPr>
            </w:pPr>
            <w:r w:rsidRPr="00A11CC5">
              <w:rPr>
                <w:rFonts w:cs="Arial"/>
                <w:color w:val="auto"/>
                <w:u w:color="FFFFFF" w:themeColor="background1"/>
                <w:lang w:val="en-AU"/>
              </w:rPr>
              <w:t>0</w:t>
            </w:r>
          </w:p>
        </w:tc>
        <w:tc>
          <w:tcPr>
            <w:tcW w:w="625" w:type="pct"/>
            <w:vAlign w:val="center"/>
          </w:tcPr>
          <w:p w14:paraId="6D530ADF" w14:textId="77777777" w:rsidR="00F657F1" w:rsidRPr="00A11CC5" w:rsidRDefault="00F657F1" w:rsidP="004D5D94">
            <w:pPr>
              <w:spacing w:after="120"/>
              <w:jc w:val="center"/>
              <w:rPr>
                <w:rFonts w:cs="Arial"/>
                <w:color w:val="auto"/>
                <w:u w:color="FFFFFF" w:themeColor="background1"/>
                <w:lang w:val="en-AU"/>
              </w:rPr>
            </w:pPr>
            <w:r w:rsidRPr="00A11CC5">
              <w:rPr>
                <w:rFonts w:cs="Arial"/>
                <w:color w:val="auto"/>
                <w:u w:color="FFFFFF" w:themeColor="background1"/>
                <w:lang w:val="en-AU"/>
              </w:rPr>
              <w:t>1</w:t>
            </w:r>
          </w:p>
        </w:tc>
        <w:tc>
          <w:tcPr>
            <w:tcW w:w="625" w:type="pct"/>
            <w:vAlign w:val="center"/>
          </w:tcPr>
          <w:p w14:paraId="25D4FFF5" w14:textId="77777777" w:rsidR="00F657F1" w:rsidRPr="00A11CC5" w:rsidRDefault="00F657F1" w:rsidP="004D5D94">
            <w:pPr>
              <w:spacing w:after="120"/>
              <w:jc w:val="center"/>
              <w:rPr>
                <w:rFonts w:cs="Arial"/>
                <w:color w:val="auto"/>
                <w:u w:color="FFFFFF" w:themeColor="background1"/>
                <w:lang w:val="en-AU"/>
              </w:rPr>
            </w:pPr>
            <w:r>
              <w:rPr>
                <w:rFonts w:cs="Arial"/>
                <w:color w:val="auto"/>
                <w:u w:color="FFFFFF" w:themeColor="background1"/>
                <w:lang w:val="en-AU"/>
              </w:rPr>
              <w:t>0</w:t>
            </w:r>
          </w:p>
        </w:tc>
      </w:tr>
    </w:tbl>
    <w:p w14:paraId="08ACA995" w14:textId="77777777" w:rsidR="00F657F1" w:rsidRPr="00A11CC5" w:rsidRDefault="00F657F1" w:rsidP="00F657F1">
      <w:pPr>
        <w:spacing w:after="120"/>
        <w:jc w:val="both"/>
        <w:rPr>
          <w:rFonts w:cs="Arial"/>
          <w:color w:val="auto"/>
          <w:sz w:val="16"/>
          <w:u w:color="FFFFFF" w:themeColor="background1"/>
          <w:lang w:val="en-AU"/>
        </w:rPr>
      </w:pPr>
      <w:r w:rsidRPr="00A11CC5">
        <w:rPr>
          <w:rFonts w:cs="Arial"/>
          <w:color w:val="auto"/>
          <w:sz w:val="16"/>
          <w:u w:color="FFFFFF" w:themeColor="background1"/>
          <w:lang w:val="en-AU"/>
        </w:rPr>
        <w:t xml:space="preserve"> </w:t>
      </w:r>
    </w:p>
    <w:p w14:paraId="62F2681B" w14:textId="77777777" w:rsidR="00F657F1" w:rsidRPr="00A11CC5" w:rsidRDefault="00F657F1" w:rsidP="00F657F1">
      <w:pPr>
        <w:spacing w:after="120"/>
        <w:jc w:val="both"/>
        <w:rPr>
          <w:rFonts w:cs="Arial"/>
          <w:b/>
          <w:color w:val="auto"/>
          <w:u w:color="FFFFFF" w:themeColor="background1"/>
          <w:lang w:val="en-AU"/>
        </w:rPr>
      </w:pPr>
    </w:p>
    <w:p w14:paraId="0890CFBE" w14:textId="77777777" w:rsidR="00F657F1" w:rsidRPr="00A11CC5" w:rsidRDefault="00F657F1" w:rsidP="00F657F1">
      <w:pPr>
        <w:spacing w:after="120"/>
        <w:jc w:val="both"/>
        <w:rPr>
          <w:rFonts w:cs="Arial"/>
          <w:b/>
          <w:color w:val="auto"/>
          <w:u w:color="FFFFFF" w:themeColor="background1"/>
          <w:lang w:val="en-AU"/>
        </w:rPr>
      </w:pPr>
    </w:p>
    <w:p w14:paraId="367E7022" w14:textId="77777777" w:rsidR="00F657F1" w:rsidRPr="00A11CC5" w:rsidRDefault="00F657F1" w:rsidP="00F657F1">
      <w:pPr>
        <w:spacing w:after="120"/>
        <w:jc w:val="both"/>
        <w:rPr>
          <w:rFonts w:cs="Arial"/>
          <w:b/>
          <w:color w:val="auto"/>
          <w:u w:color="FFFFFF" w:themeColor="background1"/>
          <w:lang w:val="en-AU"/>
        </w:rPr>
      </w:pPr>
    </w:p>
    <w:p w14:paraId="2BA0A677" w14:textId="77777777" w:rsidR="00F657F1" w:rsidRPr="00A11CC5" w:rsidRDefault="00F657F1" w:rsidP="00F657F1">
      <w:pPr>
        <w:pStyle w:val="BodyText"/>
        <w:spacing w:before="0" w:after="0"/>
        <w:rPr>
          <w:rFonts w:cs="Arial"/>
          <w:u w:color="FFFFFF" w:themeColor="background1"/>
          <w:lang w:val="en-AU"/>
        </w:rPr>
      </w:pPr>
      <w:r w:rsidRPr="00A11CC5">
        <w:rPr>
          <w:rFonts w:cs="Arial"/>
          <w:u w:color="FFFFFF" w:themeColor="background1"/>
          <w:lang w:val="en-AU"/>
        </w:rPr>
        <w:t xml:space="preserve">Source: </w:t>
      </w:r>
      <w:r>
        <w:rPr>
          <w:rFonts w:cs="Arial"/>
          <w:u w:color="FFFFFF" w:themeColor="background1"/>
          <w:lang w:val="en-AU"/>
        </w:rPr>
        <w:t>DJPR</w:t>
      </w:r>
    </w:p>
    <w:p w14:paraId="4D1EDC1A" w14:textId="77777777" w:rsidR="00F657F1" w:rsidRPr="00A11CC5" w:rsidRDefault="00F657F1" w:rsidP="00F657F1">
      <w:pPr>
        <w:spacing w:before="240" w:after="120"/>
        <w:jc w:val="both"/>
        <w:rPr>
          <w:rFonts w:cs="Arial"/>
          <w:b/>
          <w:color w:val="auto"/>
          <w:u w:color="FFFFFF" w:themeColor="background1"/>
          <w:lang w:val="en-AU"/>
        </w:rPr>
      </w:pPr>
    </w:p>
    <w:p w14:paraId="33EEA61E" w14:textId="731F6361" w:rsidR="00F657F1" w:rsidRPr="00A11CC5" w:rsidRDefault="00F657F1" w:rsidP="00F657F1">
      <w:pPr>
        <w:spacing w:before="240" w:after="120"/>
        <w:jc w:val="both"/>
        <w:rPr>
          <w:rFonts w:cs="Arial"/>
          <w:b/>
          <w:color w:val="auto"/>
          <w:u w:color="FFFFFF" w:themeColor="background1"/>
          <w:lang w:val="en-AU"/>
        </w:rPr>
      </w:pPr>
      <w:r w:rsidRPr="00A11CC5">
        <w:rPr>
          <w:rFonts w:cs="Arial"/>
          <w:b/>
          <w:color w:val="auto"/>
          <w:u w:color="FFFFFF" w:themeColor="background1"/>
          <w:lang w:val="en-AU"/>
        </w:rPr>
        <w:t xml:space="preserve">Table </w:t>
      </w:r>
      <w:r w:rsidR="00F21245">
        <w:rPr>
          <w:rFonts w:cs="Arial"/>
          <w:b/>
          <w:color w:val="auto"/>
          <w:u w:color="FFFFFF" w:themeColor="background1"/>
          <w:lang w:val="en-AU"/>
        </w:rPr>
        <w:t>6</w:t>
      </w:r>
      <w:r w:rsidRPr="00A11CC5">
        <w:rPr>
          <w:rFonts w:cs="Arial"/>
          <w:b/>
          <w:color w:val="auto"/>
          <w:u w:color="FFFFFF" w:themeColor="background1"/>
          <w:lang w:val="en-AU"/>
        </w:rPr>
        <w:t>.1</w:t>
      </w:r>
      <w:r w:rsidR="00F21245">
        <w:rPr>
          <w:rFonts w:cs="Arial"/>
          <w:b/>
          <w:color w:val="auto"/>
          <w:u w:color="FFFFFF" w:themeColor="background1"/>
          <w:lang w:val="en-AU"/>
        </w:rPr>
        <w:t>3</w:t>
      </w:r>
      <w:r>
        <w:rPr>
          <w:rFonts w:cs="Arial"/>
          <w:b/>
          <w:color w:val="auto"/>
          <w:u w:color="FFFFFF" w:themeColor="background1"/>
          <w:lang w:val="en-AU"/>
        </w:rPr>
        <w:t xml:space="preserve"> Offshore</w:t>
      </w:r>
      <w:r w:rsidRPr="00A11CC5">
        <w:rPr>
          <w:rFonts w:cs="Arial"/>
          <w:b/>
          <w:color w:val="auto"/>
          <w:u w:color="FFFFFF" w:themeColor="background1"/>
          <w:lang w:val="en-AU"/>
        </w:rPr>
        <w:t xml:space="preserve"> Pipeline licences current as at 30 June 201</w:t>
      </w:r>
      <w:r>
        <w:rPr>
          <w:rFonts w:cs="Arial"/>
          <w:b/>
          <w:color w:val="auto"/>
          <w:u w:color="FFFFFF" w:themeColor="background1"/>
          <w:lang w:val="en-AU"/>
        </w:rPr>
        <w:t>8</w:t>
      </w:r>
    </w:p>
    <w:tbl>
      <w:tblPr>
        <w:tblStyle w:val="GridTable4-Accent1"/>
        <w:tblW w:w="4069" w:type="pct"/>
        <w:tblLook w:val="0420" w:firstRow="1" w:lastRow="0" w:firstColumn="0" w:lastColumn="0" w:noHBand="0" w:noVBand="1"/>
        <w:tblCaption w:val="Pipline licences at 30 June 2016"/>
        <w:tblDescription w:val="Offshore and offshore in Victorian waters"/>
      </w:tblPr>
      <w:tblGrid>
        <w:gridCol w:w="4097"/>
        <w:gridCol w:w="4098"/>
      </w:tblGrid>
      <w:tr w:rsidR="00F657F1" w:rsidRPr="00A11CC5" w14:paraId="0540FE0A" w14:textId="77777777" w:rsidTr="006559CC">
        <w:trPr>
          <w:cnfStyle w:val="100000000000" w:firstRow="1" w:lastRow="0" w:firstColumn="0" w:lastColumn="0" w:oddVBand="0" w:evenVBand="0" w:oddHBand="0" w:evenHBand="0" w:firstRowFirstColumn="0" w:firstRowLastColumn="0" w:lastRowFirstColumn="0" w:lastRowLastColumn="0"/>
          <w:trHeight w:val="247"/>
        </w:trPr>
        <w:tc>
          <w:tcPr>
            <w:tcW w:w="2500" w:type="pct"/>
            <w:noWrap/>
          </w:tcPr>
          <w:p w14:paraId="65678A1D" w14:textId="77777777" w:rsidR="00F657F1" w:rsidRPr="00DF0EC0" w:rsidRDefault="00F657F1" w:rsidP="006559CC">
            <w:pPr>
              <w:spacing w:after="120"/>
              <w:rPr>
                <w:rFonts w:cs="Arial"/>
                <w:color w:val="FFFFFF" w:themeColor="background1"/>
                <w:u w:color="FFFFFF" w:themeColor="background1"/>
                <w:lang w:val="en-AU"/>
              </w:rPr>
            </w:pPr>
            <w:r w:rsidRPr="00DF0EC0">
              <w:rPr>
                <w:rFonts w:cs="Arial"/>
                <w:color w:val="FFFFFF" w:themeColor="background1"/>
                <w:u w:color="FFFFFF" w:themeColor="background1"/>
                <w:lang w:val="en-AU"/>
              </w:rPr>
              <w:t>Tenement</w:t>
            </w:r>
          </w:p>
        </w:tc>
        <w:tc>
          <w:tcPr>
            <w:tcW w:w="2500" w:type="pct"/>
            <w:noWrap/>
          </w:tcPr>
          <w:p w14:paraId="502A63BC" w14:textId="77777777" w:rsidR="00F657F1" w:rsidRPr="00DF0EC0" w:rsidRDefault="00F657F1" w:rsidP="006559CC">
            <w:pPr>
              <w:spacing w:after="120"/>
              <w:jc w:val="center"/>
              <w:rPr>
                <w:rFonts w:cs="Arial"/>
                <w:color w:val="FFFFFF" w:themeColor="background1"/>
                <w:u w:color="FFFFFF" w:themeColor="background1"/>
                <w:lang w:val="en-AU"/>
              </w:rPr>
            </w:pPr>
            <w:r w:rsidRPr="00DF0EC0">
              <w:rPr>
                <w:rFonts w:cs="Arial"/>
                <w:color w:val="FFFFFF" w:themeColor="background1"/>
                <w:u w:color="FFFFFF" w:themeColor="background1"/>
                <w:lang w:val="en-AU"/>
              </w:rPr>
              <w:t>Number of licences</w:t>
            </w:r>
          </w:p>
        </w:tc>
      </w:tr>
      <w:tr w:rsidR="00F657F1" w:rsidRPr="00A11CC5" w14:paraId="25A247B8" w14:textId="77777777" w:rsidTr="006559CC">
        <w:trPr>
          <w:cnfStyle w:val="000000100000" w:firstRow="0" w:lastRow="0" w:firstColumn="0" w:lastColumn="0" w:oddVBand="0" w:evenVBand="0" w:oddHBand="1" w:evenHBand="0" w:firstRowFirstColumn="0" w:firstRowLastColumn="0" w:lastRowFirstColumn="0" w:lastRowLastColumn="0"/>
          <w:trHeight w:val="247"/>
        </w:trPr>
        <w:tc>
          <w:tcPr>
            <w:tcW w:w="2500" w:type="pct"/>
          </w:tcPr>
          <w:p w14:paraId="295E77D6" w14:textId="77777777" w:rsidR="00F657F1" w:rsidRPr="001762FC" w:rsidRDefault="00F657F1" w:rsidP="006559CC">
            <w:pPr>
              <w:spacing w:after="120"/>
              <w:rPr>
                <w:rFonts w:cs="Arial"/>
                <w:b/>
                <w:color w:val="auto"/>
                <w:u w:color="FFFFFF" w:themeColor="background1"/>
                <w:lang w:val="en-AU"/>
              </w:rPr>
            </w:pPr>
            <w:r w:rsidRPr="001762FC">
              <w:rPr>
                <w:rFonts w:cs="Arial"/>
                <w:b/>
                <w:color w:val="auto"/>
                <w:u w:color="FFFFFF" w:themeColor="background1"/>
                <w:lang w:val="en-AU"/>
              </w:rPr>
              <w:t>Offshore (Vic)</w:t>
            </w:r>
          </w:p>
        </w:tc>
        <w:tc>
          <w:tcPr>
            <w:tcW w:w="2500" w:type="pct"/>
            <w:noWrap/>
          </w:tcPr>
          <w:p w14:paraId="28281B0B" w14:textId="77777777" w:rsidR="00F657F1" w:rsidRPr="00A11CC5" w:rsidRDefault="00F657F1" w:rsidP="006559CC">
            <w:pPr>
              <w:spacing w:after="120"/>
              <w:jc w:val="center"/>
              <w:rPr>
                <w:rFonts w:cs="Arial"/>
                <w:color w:val="auto"/>
                <w:u w:color="FFFFFF" w:themeColor="background1"/>
                <w:lang w:val="en-AU"/>
              </w:rPr>
            </w:pPr>
            <w:r w:rsidRPr="00A11CC5">
              <w:rPr>
                <w:rFonts w:cs="Arial"/>
                <w:color w:val="auto"/>
                <w:u w:color="FFFFFF" w:themeColor="background1"/>
                <w:lang w:val="en-AU"/>
              </w:rPr>
              <w:t>14</w:t>
            </w:r>
          </w:p>
        </w:tc>
      </w:tr>
    </w:tbl>
    <w:p w14:paraId="5DA625B3" w14:textId="77777777" w:rsidR="00F657F1" w:rsidRPr="00A11CC5" w:rsidRDefault="00F657F1" w:rsidP="00F657F1">
      <w:pPr>
        <w:pStyle w:val="BodyText"/>
        <w:spacing w:before="0" w:after="0"/>
        <w:rPr>
          <w:rFonts w:cs="Arial"/>
          <w:u w:color="FFFFFF" w:themeColor="background1"/>
          <w:lang w:val="en-AU"/>
        </w:rPr>
      </w:pPr>
      <w:r w:rsidRPr="00A11CC5">
        <w:rPr>
          <w:rFonts w:cs="Arial"/>
          <w:u w:color="FFFFFF" w:themeColor="background1"/>
          <w:lang w:val="en-AU"/>
        </w:rPr>
        <w:t xml:space="preserve">Source: </w:t>
      </w:r>
      <w:r>
        <w:rPr>
          <w:rFonts w:cs="Arial"/>
          <w:u w:color="FFFFFF" w:themeColor="background1"/>
          <w:lang w:val="en-AU"/>
        </w:rPr>
        <w:t>DJPR</w:t>
      </w:r>
    </w:p>
    <w:p w14:paraId="4A012549" w14:textId="77777777" w:rsidR="00F657F1" w:rsidRPr="00A11CC5" w:rsidRDefault="00F657F1" w:rsidP="00F657F1">
      <w:pPr>
        <w:spacing w:before="240" w:after="120"/>
        <w:jc w:val="both"/>
        <w:rPr>
          <w:rFonts w:cs="Arial"/>
          <w:b/>
          <w:color w:val="auto"/>
          <w:u w:color="FFFFFF" w:themeColor="background1"/>
          <w:lang w:val="en-AU"/>
        </w:rPr>
      </w:pPr>
    </w:p>
    <w:p w14:paraId="29003285" w14:textId="16EE270A" w:rsidR="00F657F1" w:rsidRDefault="00D366C7" w:rsidP="00F657F1">
      <w:pPr>
        <w:spacing w:after="120"/>
        <w:jc w:val="both"/>
        <w:rPr>
          <w:rFonts w:cs="Arial"/>
          <w:b/>
          <w:color w:val="auto"/>
          <w:sz w:val="22"/>
          <w:szCs w:val="22"/>
          <w:u w:color="FFFFFF" w:themeColor="background1"/>
          <w:lang w:val="en-AU"/>
        </w:rPr>
      </w:pPr>
      <w:r w:rsidRPr="00D366C7">
        <w:rPr>
          <w:rFonts w:cs="Arial"/>
          <w:b/>
          <w:color w:val="auto"/>
          <w:sz w:val="22"/>
          <w:szCs w:val="22"/>
          <w:u w:color="FFFFFF" w:themeColor="background1"/>
          <w:lang w:val="en-AU"/>
        </w:rPr>
        <w:t>Onshore Pipelines</w:t>
      </w:r>
    </w:p>
    <w:p w14:paraId="495C79C2" w14:textId="68B5CBCC" w:rsidR="00D366C7" w:rsidRPr="00D366C7" w:rsidRDefault="00D366C7" w:rsidP="00F657F1">
      <w:pPr>
        <w:spacing w:after="120"/>
        <w:jc w:val="both"/>
        <w:rPr>
          <w:rFonts w:cs="Arial"/>
          <w:color w:val="auto"/>
          <w:u w:color="FFFFFF" w:themeColor="background1"/>
          <w:lang w:val="en-AU"/>
        </w:rPr>
      </w:pPr>
      <w:r w:rsidRPr="00D366C7">
        <w:rPr>
          <w:rFonts w:cs="Arial"/>
          <w:color w:val="auto"/>
          <w:u w:color="FFFFFF" w:themeColor="background1"/>
          <w:lang w:val="en-AU"/>
        </w:rPr>
        <w:t xml:space="preserve">Onshore pipelines are administered by the Department of Environment, Land, Water and Planning (DELWP). For more information on onshore pipelines, visit the DELWP website </w:t>
      </w:r>
      <w:r>
        <w:rPr>
          <w:rFonts w:cs="Arial"/>
          <w:color w:val="auto"/>
          <w:u w:color="FFFFFF" w:themeColor="background1"/>
          <w:lang w:val="en-AU"/>
        </w:rPr>
        <w:t xml:space="preserve"> </w:t>
      </w:r>
      <w:hyperlink r:id="rId36" w:history="1">
        <w:r w:rsidRPr="00A55887">
          <w:rPr>
            <w:rStyle w:val="Hyperlink"/>
            <w:rFonts w:cs="Arial"/>
            <w:u w:color="FFFFFF" w:themeColor="background1"/>
            <w:lang w:val="en-AU"/>
          </w:rPr>
          <w:t>https://www.energy.vic.gov.au/pipelines</w:t>
        </w:r>
      </w:hyperlink>
      <w:r>
        <w:rPr>
          <w:rFonts w:cs="Arial"/>
          <w:color w:val="auto"/>
          <w:u w:color="FFFFFF" w:themeColor="background1"/>
          <w:lang w:val="en-AU"/>
        </w:rPr>
        <w:t xml:space="preserve"> </w:t>
      </w:r>
    </w:p>
    <w:p w14:paraId="079ED95C" w14:textId="77777777" w:rsidR="00F657F1" w:rsidRPr="00A11CC5" w:rsidRDefault="00F657F1" w:rsidP="00F657F1">
      <w:pPr>
        <w:rPr>
          <w:rFonts w:cs="Arial"/>
          <w:b/>
          <w:bCs/>
          <w:caps/>
          <w:color w:val="auto"/>
          <w:spacing w:val="15"/>
          <w:sz w:val="22"/>
          <w:szCs w:val="22"/>
          <w:u w:color="FFFFFF" w:themeColor="background1"/>
          <w:lang w:val="en-AU"/>
        </w:rPr>
      </w:pPr>
      <w:r w:rsidRPr="00A11CC5">
        <w:rPr>
          <w:rFonts w:cs="Arial"/>
          <w:color w:val="auto"/>
          <w:u w:color="FFFFFF" w:themeColor="background1"/>
          <w:lang w:val="en-AU"/>
        </w:rPr>
        <w:br w:type="page"/>
      </w:r>
    </w:p>
    <w:p w14:paraId="39F51FB0" w14:textId="502B31D8" w:rsidR="006F6559" w:rsidRPr="00A11CC5" w:rsidRDefault="006F6559" w:rsidP="006F6559">
      <w:pPr>
        <w:pStyle w:val="bodycopy"/>
        <w:rPr>
          <w:color w:val="auto"/>
          <w:u w:color="FFFFFF" w:themeColor="background1"/>
          <w:lang w:val="en-AU"/>
        </w:rPr>
      </w:pPr>
      <w:r w:rsidRPr="00A11CC5">
        <w:rPr>
          <w:color w:val="auto"/>
          <w:u w:color="FFFFFF" w:themeColor="background1"/>
          <w:lang w:val="en-AU"/>
        </w:rPr>
        <w:lastRenderedPageBreak/>
        <w:t xml:space="preserve">Department of </w:t>
      </w:r>
      <w:r w:rsidR="00963A4F">
        <w:rPr>
          <w:color w:val="auto"/>
          <w:u w:color="FFFFFF" w:themeColor="background1"/>
          <w:lang w:val="en-AU"/>
        </w:rPr>
        <w:t>Jobs, Precincts and Regions</w:t>
      </w:r>
    </w:p>
    <w:p w14:paraId="0BCD8386" w14:textId="77777777" w:rsidR="006F6559" w:rsidRPr="00A11CC5" w:rsidRDefault="006F6559" w:rsidP="006F6559">
      <w:pPr>
        <w:pStyle w:val="bodycopy"/>
        <w:rPr>
          <w:color w:val="auto"/>
          <w:u w:color="FFFFFF" w:themeColor="background1"/>
          <w:lang w:val="en-AU"/>
        </w:rPr>
      </w:pPr>
      <w:r w:rsidRPr="00A11CC5">
        <w:rPr>
          <w:color w:val="auto"/>
          <w:u w:color="FFFFFF" w:themeColor="background1"/>
          <w:lang w:val="en-AU"/>
        </w:rPr>
        <w:t>1 Spring Street Melbourne Victoria 3000</w:t>
      </w:r>
    </w:p>
    <w:p w14:paraId="663B6453" w14:textId="77777777" w:rsidR="006F6559" w:rsidRPr="00A11CC5" w:rsidRDefault="006F6559" w:rsidP="006F6559">
      <w:pPr>
        <w:pStyle w:val="bodycopy"/>
        <w:rPr>
          <w:color w:val="auto"/>
          <w:u w:color="FFFFFF" w:themeColor="background1"/>
          <w:lang w:val="en-AU"/>
        </w:rPr>
      </w:pPr>
      <w:r w:rsidRPr="00A11CC5">
        <w:rPr>
          <w:color w:val="auto"/>
          <w:u w:color="FFFFFF" w:themeColor="background1"/>
          <w:lang w:val="en-AU"/>
        </w:rPr>
        <w:t>Telephone 1300 366 356</w:t>
      </w:r>
    </w:p>
    <w:p w14:paraId="0F84AA48" w14:textId="21C366B2" w:rsidR="006F6559" w:rsidRPr="00A11CC5" w:rsidRDefault="006F6559" w:rsidP="006F6559">
      <w:pPr>
        <w:pStyle w:val="bodycopy"/>
        <w:rPr>
          <w:color w:val="auto"/>
          <w:u w:color="FFFFFF" w:themeColor="background1"/>
          <w:lang w:val="en-AU"/>
        </w:rPr>
      </w:pPr>
      <w:r w:rsidRPr="00A11CC5">
        <w:rPr>
          <w:color w:val="auto"/>
          <w:u w:color="FFFFFF" w:themeColor="background1"/>
          <w:lang w:val="en-AU"/>
        </w:rPr>
        <w:t xml:space="preserve">© Copyright State of Victoria, </w:t>
      </w:r>
      <w:r w:rsidR="00963A4F" w:rsidRPr="00A11CC5">
        <w:rPr>
          <w:color w:val="auto"/>
          <w:u w:color="FFFFFF" w:themeColor="background1"/>
          <w:lang w:val="en-AU"/>
        </w:rPr>
        <w:t xml:space="preserve">Department of </w:t>
      </w:r>
      <w:r w:rsidR="00963A4F">
        <w:rPr>
          <w:color w:val="auto"/>
          <w:u w:color="FFFFFF" w:themeColor="background1"/>
          <w:lang w:val="en-AU"/>
        </w:rPr>
        <w:t xml:space="preserve">Jobs, Precincts and Regions </w:t>
      </w:r>
      <w:r w:rsidRPr="00A11CC5">
        <w:rPr>
          <w:color w:val="auto"/>
          <w:u w:color="FFFFFF" w:themeColor="background1"/>
          <w:lang w:val="en-AU"/>
        </w:rPr>
        <w:t>2018</w:t>
      </w:r>
    </w:p>
    <w:p w14:paraId="6F8555BC" w14:textId="77777777" w:rsidR="006F6559" w:rsidRPr="00A11CC5" w:rsidRDefault="006F6559" w:rsidP="006F6559">
      <w:pPr>
        <w:pStyle w:val="bodycopy"/>
        <w:rPr>
          <w:color w:val="auto"/>
          <w:u w:color="FFFFFF" w:themeColor="background1"/>
          <w:lang w:val="en-AU"/>
        </w:rPr>
      </w:pPr>
      <w:r w:rsidRPr="00A11CC5">
        <w:rPr>
          <w:color w:val="auto"/>
          <w:u w:color="FFFFFF" w:themeColor="background1"/>
          <w:lang w:val="en-AU"/>
        </w:rPr>
        <w:t>Except for any logos, emblems, trademarks, artwork and photography, this document is made available under the terms of the Creative Commons Attribution 3.0 Australia licence.</w:t>
      </w:r>
    </w:p>
    <w:p w14:paraId="6936F55F" w14:textId="77777777" w:rsidR="006F6559" w:rsidRPr="000953F4" w:rsidRDefault="006F6559" w:rsidP="006F6559">
      <w:pPr>
        <w:pStyle w:val="bodycopy"/>
        <w:rPr>
          <w:color w:val="auto"/>
          <w:u w:color="FFFFFF" w:themeColor="background1"/>
          <w:lang w:val="en-AU"/>
        </w:rPr>
      </w:pPr>
      <w:r w:rsidRPr="000953F4">
        <w:rPr>
          <w:color w:val="auto"/>
          <w:u w:color="FFFFFF" w:themeColor="background1"/>
          <w:lang w:val="en-AU"/>
        </w:rPr>
        <w:t xml:space="preserve">This document is also available in an accessible format at </w:t>
      </w:r>
    </w:p>
    <w:p w14:paraId="7C7022E3" w14:textId="77777777" w:rsidR="006F6559" w:rsidRDefault="00601E77" w:rsidP="006F6559">
      <w:pPr>
        <w:rPr>
          <w:rFonts w:ascii="Calibri" w:hAnsi="Calibri" w:cs="Calibri"/>
          <w:color w:val="auto"/>
          <w:sz w:val="22"/>
          <w:szCs w:val="22"/>
          <w:lang w:val="en-AU"/>
        </w:rPr>
      </w:pPr>
      <w:hyperlink r:id="rId37" w:history="1">
        <w:r w:rsidR="006F6559">
          <w:rPr>
            <w:rStyle w:val="Hyperlink"/>
          </w:rPr>
          <w:t>http://earthresources.vic.gov.au/earth-resources-regulation/about-us/regulator-and-industry-reporting/earth-resources-regulation-annual-statistical-report/</w:t>
        </w:r>
      </w:hyperlink>
    </w:p>
    <w:p w14:paraId="70181A0E" w14:textId="77777777" w:rsidR="00F657F1" w:rsidRDefault="00F657F1">
      <w:pPr>
        <w:widowControl/>
        <w:suppressAutoHyphens w:val="0"/>
        <w:autoSpaceDE/>
        <w:autoSpaceDN/>
        <w:adjustRightInd/>
        <w:spacing w:before="200" w:after="200" w:line="276" w:lineRule="auto"/>
        <w:textAlignment w:val="auto"/>
        <w:rPr>
          <w:rFonts w:asciiTheme="minorHAnsi" w:eastAsiaTheme="minorEastAsia" w:hAnsiTheme="minorHAnsi" w:cstheme="minorBidi"/>
          <w:color w:val="auto"/>
          <w:sz w:val="22"/>
          <w:szCs w:val="22"/>
          <w:lang w:val="en-AU" w:eastAsia="en-AU"/>
        </w:rPr>
      </w:pPr>
    </w:p>
    <w:sectPr w:rsidR="00F657F1" w:rsidSect="00AA184D">
      <w:headerReference w:type="default" r:id="rId38"/>
      <w:footerReference w:type="default" r:id="rId39"/>
      <w:headerReference w:type="first" r:id="rId40"/>
      <w:footerReference w:type="first" r:id="rId41"/>
      <w:pgSz w:w="11906" w:h="16838" w:code="9"/>
      <w:pgMar w:top="1355" w:right="1106" w:bottom="720" w:left="720"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uthor" w:initials="A">
    <w:p w14:paraId="50CB77C0" w14:textId="77777777" w:rsidR="00FA7668" w:rsidRDefault="00FA7668">
      <w:pPr>
        <w:pStyle w:val="CommentText"/>
      </w:pPr>
      <w:r>
        <w:rPr>
          <w:rStyle w:val="CommentReference"/>
        </w:rPr>
        <w:annotationRef/>
      </w:r>
      <w:r>
        <w:t>Year on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CB77C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CB77C0" w16cid:durableId="1F9D63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505D5" w14:textId="77777777" w:rsidR="00601E77" w:rsidRDefault="00601E77" w:rsidP="00D21116">
      <w:r>
        <w:separator/>
      </w:r>
    </w:p>
  </w:endnote>
  <w:endnote w:type="continuationSeparator" w:id="0">
    <w:p w14:paraId="3F3940F3" w14:textId="77777777" w:rsidR="00601E77" w:rsidRDefault="00601E77" w:rsidP="00D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variable"/>
    <w:sig w:usb0="00000000" w:usb1="C0007843" w:usb2="00000009" w:usb3="00000000" w:csb0="000001FF" w:csb1="00000000"/>
  </w:font>
  <w:font w:name="Arial-BoldMT">
    <w:altName w:val="Times New Roman"/>
    <w:charset w:val="00"/>
    <w:family w:val="auto"/>
    <w:pitch w:val="variable"/>
    <w:sig w:usb0="00000000" w:usb1="C0007843" w:usb2="00000009" w:usb3="00000000" w:csb0="000001FF"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007278"/>
      <w:docPartObj>
        <w:docPartGallery w:val="Page Numbers (Bottom of Page)"/>
        <w:docPartUnique/>
      </w:docPartObj>
    </w:sdtPr>
    <w:sdtEndPr/>
    <w:sdtContent>
      <w:sdt>
        <w:sdtPr>
          <w:id w:val="346296708"/>
          <w:docPartObj>
            <w:docPartGallery w:val="Page Numbers (Top of Page)"/>
            <w:docPartUnique/>
          </w:docPartObj>
        </w:sdtPr>
        <w:sdtEndPr/>
        <w:sdtContent>
          <w:p w14:paraId="6E1626B6" w14:textId="278E662E" w:rsidR="00FA7668" w:rsidRPr="00F62A4A" w:rsidRDefault="00FA7668" w:rsidP="0066447E">
            <w:pPr>
              <w:pStyle w:val="Footer"/>
              <w:tabs>
                <w:tab w:val="clear" w:pos="9026"/>
                <w:tab w:val="right" w:pos="9072"/>
              </w:tabs>
              <w:jc w:val="right"/>
            </w:pPr>
            <w:r w:rsidRPr="00471ACF">
              <w:rPr>
                <w:color w:val="auto"/>
              </w:rPr>
              <w:t>Earth Resources Regulation 2017-18 Statistical Report</w:t>
            </w:r>
            <w:r>
              <w:rPr>
                <w:color w:val="auto"/>
              </w:rPr>
              <w:t xml:space="preserve">   </w:t>
            </w:r>
            <w:r>
              <w:rPr>
                <w:color w:val="auto"/>
              </w:rPr>
              <w:tab/>
              <w:t xml:space="preserve">                                                                                         </w:t>
            </w:r>
            <w:r w:rsidRPr="0066447E">
              <w:rPr>
                <w:color w:val="7F7F7F" w:themeColor="text1" w:themeTint="80"/>
              </w:rPr>
              <w:t xml:space="preserve">page </w:t>
            </w:r>
            <w:r w:rsidRPr="0066447E">
              <w:rPr>
                <w:b/>
                <w:bCs/>
                <w:color w:val="7F7F7F" w:themeColor="text1" w:themeTint="80"/>
              </w:rPr>
              <w:fldChar w:fldCharType="begin"/>
            </w:r>
            <w:r w:rsidRPr="0066447E">
              <w:rPr>
                <w:b/>
                <w:bCs/>
                <w:color w:val="7F7F7F" w:themeColor="text1" w:themeTint="80"/>
              </w:rPr>
              <w:instrText xml:space="preserve"> PAGE </w:instrText>
            </w:r>
            <w:r w:rsidRPr="0066447E">
              <w:rPr>
                <w:b/>
                <w:bCs/>
                <w:color w:val="7F7F7F" w:themeColor="text1" w:themeTint="80"/>
              </w:rPr>
              <w:fldChar w:fldCharType="separate"/>
            </w:r>
            <w:r w:rsidRPr="0066447E">
              <w:rPr>
                <w:b/>
                <w:bCs/>
                <w:noProof/>
                <w:color w:val="7F7F7F" w:themeColor="text1" w:themeTint="80"/>
              </w:rPr>
              <w:t>21</w:t>
            </w:r>
            <w:r w:rsidRPr="0066447E">
              <w:rPr>
                <w:b/>
                <w:bCs/>
                <w:color w:val="7F7F7F" w:themeColor="text1" w:themeTint="80"/>
              </w:rPr>
              <w:fldChar w:fldCharType="end"/>
            </w:r>
            <w:r w:rsidRPr="0066447E">
              <w:rPr>
                <w:color w:val="7F7F7F" w:themeColor="text1" w:themeTint="80"/>
              </w:rPr>
              <w:t xml:space="preserve"> of </w:t>
            </w:r>
            <w:r w:rsidRPr="0066447E">
              <w:rPr>
                <w:b/>
                <w:bCs/>
                <w:color w:val="7F7F7F" w:themeColor="text1" w:themeTint="80"/>
              </w:rPr>
              <w:fldChar w:fldCharType="begin"/>
            </w:r>
            <w:r w:rsidRPr="0066447E">
              <w:rPr>
                <w:b/>
                <w:bCs/>
                <w:color w:val="7F7F7F" w:themeColor="text1" w:themeTint="80"/>
              </w:rPr>
              <w:instrText xml:space="preserve"> NUMPAGES  </w:instrText>
            </w:r>
            <w:r w:rsidRPr="0066447E">
              <w:rPr>
                <w:b/>
                <w:bCs/>
                <w:color w:val="7F7F7F" w:themeColor="text1" w:themeTint="80"/>
              </w:rPr>
              <w:fldChar w:fldCharType="separate"/>
            </w:r>
            <w:r w:rsidRPr="0066447E">
              <w:rPr>
                <w:b/>
                <w:bCs/>
                <w:noProof/>
                <w:color w:val="7F7F7F" w:themeColor="text1" w:themeTint="80"/>
              </w:rPr>
              <w:t>26</w:t>
            </w:r>
            <w:r w:rsidRPr="0066447E">
              <w:rPr>
                <w:b/>
                <w:bCs/>
                <w:color w:val="7F7F7F" w:themeColor="text1" w:themeTint="8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E845" w14:textId="77777777" w:rsidR="00FA7668" w:rsidRDefault="00FA7668" w:rsidP="00745D4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4D92B" w14:textId="77777777" w:rsidR="00601E77" w:rsidRDefault="00601E77" w:rsidP="00D21116">
      <w:r>
        <w:separator/>
      </w:r>
    </w:p>
  </w:footnote>
  <w:footnote w:type="continuationSeparator" w:id="0">
    <w:p w14:paraId="2C095148" w14:textId="77777777" w:rsidR="00601E77" w:rsidRDefault="00601E77" w:rsidP="00D2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64287" w14:textId="321FF395" w:rsidR="00FA7668" w:rsidRDefault="00FA7668">
    <w:pPr>
      <w:pStyle w:val="Header"/>
    </w:pPr>
    <w:r>
      <w:rPr>
        <w:rFonts w:cs="Arial"/>
        <w:noProof/>
        <w:color w:val="FFFFFF" w:themeColor="background1"/>
        <w:sz w:val="20"/>
        <w:szCs w:val="20"/>
      </w:rPr>
      <w:drawing>
        <wp:anchor distT="0" distB="0" distL="114300" distR="114300" simplePos="0" relativeHeight="251660288" behindDoc="1" locked="0" layoutInCell="1" allowOverlap="1" wp14:anchorId="54B0984F" wp14:editId="12B50C65">
          <wp:simplePos x="0" y="0"/>
          <wp:positionH relativeFrom="page">
            <wp:align>center</wp:align>
          </wp:positionH>
          <wp:positionV relativeFrom="paragraph">
            <wp:posOffset>74295</wp:posOffset>
          </wp:positionV>
          <wp:extent cx="6981825" cy="2667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JPR Banner.png"/>
                  <pic:cNvPicPr/>
                </pic:nvPicPr>
                <pic:blipFill>
                  <a:blip r:embed="rId1">
                    <a:extLst>
                      <a:ext uri="{28A0092B-C50C-407E-A947-70E740481C1C}">
                        <a14:useLocalDpi xmlns:a14="http://schemas.microsoft.com/office/drawing/2010/main" val="0"/>
                      </a:ext>
                    </a:extLst>
                  </a:blip>
                  <a:stretch>
                    <a:fillRect/>
                  </a:stretch>
                </pic:blipFill>
                <pic:spPr>
                  <a:xfrm>
                    <a:off x="0" y="0"/>
                    <a:ext cx="6981825" cy="2667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26F28" w14:textId="364E62C9" w:rsidR="00FA7668" w:rsidRDefault="00FA7668" w:rsidP="00926DB5">
    <w:pPr>
      <w:pStyle w:val="infosheettitle"/>
      <w:spacing w:after="0" w:line="240" w:lineRule="auto"/>
      <w:ind w:right="0"/>
      <w:jc w:val="center"/>
      <w:rPr>
        <w:rFonts w:ascii="Arial" w:hAnsi="Arial" w:cs="Arial"/>
        <w:color w:val="FFFFFF" w:themeColor="background1"/>
        <w:sz w:val="20"/>
        <w:szCs w:val="20"/>
      </w:rPr>
    </w:pPr>
    <w:r>
      <w:rPr>
        <w:rFonts w:ascii="Arial" w:hAnsi="Arial" w:cs="Arial"/>
        <w:noProof/>
        <w:color w:val="FFFFFF" w:themeColor="background1"/>
        <w:sz w:val="20"/>
        <w:szCs w:val="20"/>
      </w:rPr>
      <w:drawing>
        <wp:anchor distT="0" distB="0" distL="114300" distR="114300" simplePos="0" relativeHeight="251658240" behindDoc="1" locked="0" layoutInCell="1" allowOverlap="1" wp14:anchorId="348CD149" wp14:editId="02479835">
          <wp:simplePos x="0" y="0"/>
          <wp:positionH relativeFrom="page">
            <wp:align>right</wp:align>
          </wp:positionH>
          <wp:positionV relativeFrom="paragraph">
            <wp:posOffset>1905</wp:posOffset>
          </wp:positionV>
          <wp:extent cx="7562215" cy="2466975"/>
          <wp:effectExtent l="0" t="0" r="63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JPR Banner.png"/>
                  <pic:cNvPicPr/>
                </pic:nvPicPr>
                <pic:blipFill>
                  <a:blip r:embed="rId1">
                    <a:extLst>
                      <a:ext uri="{28A0092B-C50C-407E-A947-70E740481C1C}">
                        <a14:useLocalDpi xmlns:a14="http://schemas.microsoft.com/office/drawing/2010/main" val="0"/>
                      </a:ext>
                    </a:extLst>
                  </a:blip>
                  <a:stretch>
                    <a:fillRect/>
                  </a:stretch>
                </pic:blipFill>
                <pic:spPr>
                  <a:xfrm>
                    <a:off x="0" y="0"/>
                    <a:ext cx="7562215" cy="2466975"/>
                  </a:xfrm>
                  <a:prstGeom prst="rect">
                    <a:avLst/>
                  </a:prstGeom>
                </pic:spPr>
              </pic:pic>
            </a:graphicData>
          </a:graphic>
          <wp14:sizeRelH relativeFrom="page">
            <wp14:pctWidth>0</wp14:pctWidth>
          </wp14:sizeRelH>
          <wp14:sizeRelV relativeFrom="page">
            <wp14:pctHeight>0</wp14:pctHeight>
          </wp14:sizeRelV>
        </wp:anchor>
      </w:drawing>
    </w:r>
  </w:p>
  <w:p w14:paraId="11013181" w14:textId="65A48488" w:rsidR="00FA7668" w:rsidRDefault="00FA7668" w:rsidP="00926DB5">
    <w:pPr>
      <w:pStyle w:val="infosheettitle"/>
      <w:spacing w:after="0" w:line="240" w:lineRule="auto"/>
      <w:ind w:right="0"/>
      <w:jc w:val="center"/>
      <w:rPr>
        <w:rFonts w:ascii="Arial" w:hAnsi="Arial" w:cs="Arial"/>
        <w:color w:val="FFFFFF" w:themeColor="background1"/>
        <w:sz w:val="20"/>
        <w:szCs w:val="20"/>
      </w:rPr>
    </w:pPr>
  </w:p>
  <w:p w14:paraId="737D4725" w14:textId="281F4C4E" w:rsidR="00FA7668" w:rsidRDefault="00FA7668" w:rsidP="00926DB5">
    <w:pPr>
      <w:pStyle w:val="infosheettitle"/>
      <w:spacing w:after="0" w:line="240" w:lineRule="auto"/>
      <w:ind w:right="0"/>
      <w:jc w:val="center"/>
      <w:rPr>
        <w:rFonts w:ascii="Arial" w:hAnsi="Arial" w:cs="Arial"/>
        <w:color w:val="FFFFFF" w:themeColor="background1"/>
        <w:sz w:val="20"/>
        <w:szCs w:val="20"/>
      </w:rPr>
    </w:pPr>
  </w:p>
  <w:p w14:paraId="53BF1B89" w14:textId="68CC7380" w:rsidR="00FA7668" w:rsidRDefault="00FA7668" w:rsidP="00926DB5">
    <w:pPr>
      <w:pStyle w:val="infosheettitle"/>
      <w:spacing w:after="0" w:line="240" w:lineRule="auto"/>
      <w:ind w:right="0"/>
      <w:jc w:val="center"/>
      <w:rPr>
        <w:rFonts w:ascii="Arial" w:hAnsi="Arial" w:cs="Arial"/>
        <w:color w:val="FFFFFF" w:themeColor="background1"/>
        <w:sz w:val="20"/>
        <w:szCs w:val="20"/>
      </w:rPr>
    </w:pPr>
  </w:p>
  <w:p w14:paraId="679D02BB" w14:textId="0677E3F3" w:rsidR="00FA7668" w:rsidRDefault="00FA7668" w:rsidP="00926DB5">
    <w:pPr>
      <w:pStyle w:val="infosheettitle"/>
      <w:spacing w:after="0" w:line="240" w:lineRule="auto"/>
      <w:ind w:right="0"/>
      <w:jc w:val="center"/>
      <w:rPr>
        <w:rFonts w:ascii="Arial" w:hAnsi="Arial" w:cs="Arial"/>
        <w:color w:val="FFFFFF" w:themeColor="background1"/>
        <w:sz w:val="20"/>
        <w:szCs w:val="20"/>
      </w:rPr>
    </w:pPr>
    <w:r>
      <w:rPr>
        <w:rFonts w:ascii="Arial" w:hAnsi="Arial" w:cs="Arial"/>
        <w:noProof/>
        <w:color w:val="FFFFFF" w:themeColor="background1"/>
        <w:sz w:val="20"/>
        <w:szCs w:val="20"/>
      </w:rPr>
      <mc:AlternateContent>
        <mc:Choice Requires="wps">
          <w:drawing>
            <wp:anchor distT="0" distB="0" distL="114300" distR="114300" simplePos="0" relativeHeight="251661312" behindDoc="0" locked="0" layoutInCell="1" allowOverlap="1" wp14:anchorId="1B87C782" wp14:editId="650F7C46">
              <wp:simplePos x="0" y="0"/>
              <wp:positionH relativeFrom="column">
                <wp:posOffset>-180975</wp:posOffset>
              </wp:positionH>
              <wp:positionV relativeFrom="paragraph">
                <wp:posOffset>93980</wp:posOffset>
              </wp:positionV>
              <wp:extent cx="4543425" cy="1409700"/>
              <wp:effectExtent l="0" t="0" r="0" b="0"/>
              <wp:wrapNone/>
              <wp:docPr id="24" name="Text Box 24"/>
              <wp:cNvGraphicFramePr/>
              <a:graphic xmlns:a="http://schemas.openxmlformats.org/drawingml/2006/main">
                <a:graphicData uri="http://schemas.microsoft.com/office/word/2010/wordprocessingShape">
                  <wps:wsp>
                    <wps:cNvSpPr txBox="1"/>
                    <wps:spPr bwMode="auto">
                      <a:xfrm>
                        <a:off x="0" y="0"/>
                        <a:ext cx="4543425" cy="1409700"/>
                      </a:xfrm>
                      <a:prstGeom prst="rect">
                        <a:avLst/>
                      </a:prstGeom>
                      <a:noFill/>
                      <a:ln w="9525">
                        <a:noFill/>
                        <a:miter lim="800000"/>
                        <a:headEnd/>
                        <a:tailEnd/>
                      </a:ln>
                    </wps:spPr>
                    <wps:txbx>
                      <w:txbxContent>
                        <w:p w14:paraId="736A4C56" w14:textId="68C7B22B" w:rsidR="00FA7668" w:rsidRPr="0066447E" w:rsidRDefault="00FA7668">
                          <w:pPr>
                            <w:rPr>
                              <w:color w:val="FFFFFF" w:themeColor="background1"/>
                              <w:sz w:val="52"/>
                              <w:szCs w:val="52"/>
                            </w:rPr>
                          </w:pPr>
                          <w:r w:rsidRPr="0066447E">
                            <w:rPr>
                              <w:color w:val="FFFFFF" w:themeColor="background1"/>
                              <w:sz w:val="52"/>
                              <w:szCs w:val="52"/>
                            </w:rPr>
                            <w:t>Earth Resources Regulation</w:t>
                          </w:r>
                        </w:p>
                        <w:p w14:paraId="668A2972" w14:textId="77777777" w:rsidR="00FA7668" w:rsidRPr="0066447E" w:rsidRDefault="00FA7668">
                          <w:pPr>
                            <w:rPr>
                              <w:color w:val="FFFFFF" w:themeColor="background1"/>
                              <w:sz w:val="14"/>
                              <w:szCs w:val="14"/>
                            </w:rPr>
                          </w:pPr>
                        </w:p>
                        <w:p w14:paraId="500B1202" w14:textId="33E15517" w:rsidR="00FA7668" w:rsidRPr="00926DB5" w:rsidRDefault="00FA7668">
                          <w:pPr>
                            <w:rPr>
                              <w:color w:val="FFFFFF" w:themeColor="background1"/>
                              <w:sz w:val="40"/>
                              <w:szCs w:val="40"/>
                            </w:rPr>
                          </w:pPr>
                          <w:r w:rsidRPr="00926DB5">
                            <w:rPr>
                              <w:color w:val="FFFFFF" w:themeColor="background1"/>
                              <w:sz w:val="40"/>
                              <w:szCs w:val="40"/>
                            </w:rPr>
                            <w:t>2017-18 Statistical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87C782" id="_x0000_t202" coordsize="21600,21600" o:spt="202" path="m,l,21600r21600,l21600,xe">
              <v:stroke joinstyle="miter"/>
              <v:path gradientshapeok="t" o:connecttype="rect"/>
            </v:shapetype>
            <v:shape id="Text Box 24" o:spid="_x0000_s1026" type="#_x0000_t202" style="position:absolute;left:0;text-align:left;margin-left:-14.25pt;margin-top:7.4pt;width:357.75pt;height:11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EpUwIAAJEEAAAOAAAAZHJzL2Uyb0RvYy54bWysVN9P2zAQfp+0/8Hy+0japQMiUtTBOk1i&#10;gAQTz1fHIZZsn2e7JOyv5+y0HWJ7mpYH63x3vh/fd5ez89Fo9iR9UGgbPjsqOZNWYKvsY8N/3K8/&#10;nHAWItgWNFrZ8GcZ+Pny/buzwdVyjj3qVnpGQWyoB9fwPkZXF0UQvTQQjtBJS8YOvYFIV/9YtB4G&#10;im50MS/LT8WAvnUehQyBtJeTkS9z/K6TIt50XZCR6YZTbTGfPp+bdBbLM6gfPbheiV0Z8A9VGFCW&#10;kh5CXUIEtvXqj1BGCY8Bu3gk0BTYdUrI3AN1MyvfdHPXg5O5FwInuANM4f+FFddPt56ptuHzijML&#10;hji6l2Nkn3FkpCJ8Bhdqcrtz5BhH0hPPe31Iys3wHVt6B9uIGYSx8yaBQe0x8ibcnw9Yp9iClNWi&#10;+ljNF5wJss2q8vS4zGwUUO+fOx/iV4mGJaHhnsjM4eHpKkQqjFz3LimbxbXSOhOqLRsafrqg+G8s&#10;RkWaN61Mw0/K9E0T0Etov9g2P46g9CRTAm0pT0IgdTphEcfNuINlg+0zAeBxmqvgxFpRrVcQ4i14&#10;GiRqnZYj3tDRaaSacCdx1qP/9Td98id+ycrZQIPZ8PBzC15ypr9ZYv50VlVpkvOlWhzP6eJfWzav&#10;LXZrLpBmf0Zr6EQWk3/Ue7HzaB5oh1YpK5nACsrd8LgXL+K0LrSDQq5W2Ylm10G8sndOpNAJ48TE&#10;/fgA3u3oisT0Ne5HGOo3rE2+6WVwKxqctcqUJqgnVHe409xnpnc7mhbr9T17/f6TLF8AAAD//wMA&#10;UEsDBBQABgAIAAAAIQBoQqfP3gAAAAoBAAAPAAAAZHJzL2Rvd25yZXYueG1sTI/LTsMwEEX3SPyD&#10;NUjsWqeBhiiNU1U8JBZsKGE/jd04Ih5Hsdukf8+wosvRvbpzTrmdXS/OZgydJwWrZQLCUON1R62C&#10;+uttkYMIEUlj78kouJgA2+r2psRC+4k+zXkfW8EjFApUYGMcCilDY43DsPSDIc6OfnQY+RxbqUec&#10;eNz1Mk2STDrsiD9YHMyzNc3P/uQUxKh3q0v96sL79/zxMtmkWWOt1P3dvNuAiGaO/2X4w2d0qJjp&#10;4E+kg+gVLNJ8zVUOHlmBC1n+xHIHBelDloOsSnmtUP0CAAD//wMAUEsBAi0AFAAGAAgAAAAhALaD&#10;OJL+AAAA4QEAABMAAAAAAAAAAAAAAAAAAAAAAFtDb250ZW50X1R5cGVzXS54bWxQSwECLQAUAAYA&#10;CAAAACEAOP0h/9YAAACUAQAACwAAAAAAAAAAAAAAAAAvAQAAX3JlbHMvLnJlbHNQSwECLQAUAAYA&#10;CAAAACEAgMWhKVMCAACRBAAADgAAAAAAAAAAAAAAAAAuAgAAZHJzL2Uyb0RvYy54bWxQSwECLQAU&#10;AAYACAAAACEAaEKnz94AAAAKAQAADwAAAAAAAAAAAAAAAACtBAAAZHJzL2Rvd25yZXYueG1sUEsF&#10;BgAAAAAEAAQA8wAAALgFAAAAAA==&#10;" filled="f" stroked="f">
              <v:textbox style="mso-fit-shape-to-text:t">
                <w:txbxContent>
                  <w:p w14:paraId="736A4C56" w14:textId="68C7B22B" w:rsidR="00FA7668" w:rsidRPr="0066447E" w:rsidRDefault="00FA7668">
                    <w:pPr>
                      <w:rPr>
                        <w:color w:val="FFFFFF" w:themeColor="background1"/>
                        <w:sz w:val="52"/>
                        <w:szCs w:val="52"/>
                      </w:rPr>
                    </w:pPr>
                    <w:r w:rsidRPr="0066447E">
                      <w:rPr>
                        <w:color w:val="FFFFFF" w:themeColor="background1"/>
                        <w:sz w:val="52"/>
                        <w:szCs w:val="52"/>
                      </w:rPr>
                      <w:t>Earth Resources Regulation</w:t>
                    </w:r>
                  </w:p>
                  <w:p w14:paraId="668A2972" w14:textId="77777777" w:rsidR="00FA7668" w:rsidRPr="0066447E" w:rsidRDefault="00FA7668">
                    <w:pPr>
                      <w:rPr>
                        <w:color w:val="FFFFFF" w:themeColor="background1"/>
                        <w:sz w:val="14"/>
                        <w:szCs w:val="14"/>
                      </w:rPr>
                    </w:pPr>
                  </w:p>
                  <w:p w14:paraId="500B1202" w14:textId="33E15517" w:rsidR="00FA7668" w:rsidRPr="00926DB5" w:rsidRDefault="00FA7668">
                    <w:pPr>
                      <w:rPr>
                        <w:color w:val="FFFFFF" w:themeColor="background1"/>
                        <w:sz w:val="40"/>
                        <w:szCs w:val="40"/>
                      </w:rPr>
                    </w:pPr>
                    <w:r w:rsidRPr="00926DB5">
                      <w:rPr>
                        <w:color w:val="FFFFFF" w:themeColor="background1"/>
                        <w:sz w:val="40"/>
                        <w:szCs w:val="40"/>
                      </w:rPr>
                      <w:t>2017-18 Statistical Report</w:t>
                    </w:r>
                  </w:p>
                </w:txbxContent>
              </v:textbox>
            </v:shape>
          </w:pict>
        </mc:Fallback>
      </mc:AlternateContent>
    </w:r>
  </w:p>
  <w:p w14:paraId="4EA71E0A" w14:textId="7C383BF2" w:rsidR="00FA7668" w:rsidRDefault="00FA7668" w:rsidP="00926DB5">
    <w:pPr>
      <w:pStyle w:val="infosheettitle"/>
      <w:spacing w:after="0" w:line="240" w:lineRule="auto"/>
      <w:ind w:right="0"/>
      <w:jc w:val="center"/>
      <w:rPr>
        <w:rFonts w:ascii="Arial" w:hAnsi="Arial" w:cs="Arial"/>
        <w:color w:val="FFFFFF" w:themeColor="background1"/>
        <w:sz w:val="20"/>
        <w:szCs w:val="20"/>
      </w:rPr>
    </w:pPr>
  </w:p>
  <w:p w14:paraId="1460BCB6" w14:textId="5E344717" w:rsidR="00FA7668" w:rsidRDefault="00FA7668" w:rsidP="00926DB5">
    <w:pPr>
      <w:pStyle w:val="infosheettitle"/>
      <w:spacing w:after="0" w:line="240" w:lineRule="auto"/>
      <w:ind w:right="0"/>
      <w:jc w:val="center"/>
      <w:rPr>
        <w:rFonts w:ascii="Arial" w:hAnsi="Arial" w:cs="Arial"/>
        <w:color w:val="FFFFFF" w:themeColor="background1"/>
        <w:sz w:val="20"/>
        <w:szCs w:val="20"/>
      </w:rPr>
    </w:pPr>
  </w:p>
  <w:p w14:paraId="1698274F" w14:textId="6628AF07" w:rsidR="00FA7668" w:rsidRDefault="00FA7668" w:rsidP="00926DB5">
    <w:pPr>
      <w:pStyle w:val="infosheettitle"/>
      <w:spacing w:after="0" w:line="240" w:lineRule="auto"/>
      <w:ind w:right="0"/>
      <w:jc w:val="center"/>
      <w:rPr>
        <w:rFonts w:ascii="Arial" w:hAnsi="Arial" w:cs="Arial"/>
        <w:color w:val="FFFFFF" w:themeColor="background1"/>
        <w:sz w:val="20"/>
        <w:szCs w:val="20"/>
      </w:rPr>
    </w:pPr>
  </w:p>
  <w:p w14:paraId="41CF9BA0" w14:textId="54921B2C" w:rsidR="00FA7668" w:rsidRDefault="00FA7668" w:rsidP="00926DB5">
    <w:pPr>
      <w:pStyle w:val="infosheettitle"/>
      <w:spacing w:after="0" w:line="240" w:lineRule="auto"/>
      <w:ind w:right="0"/>
      <w:jc w:val="center"/>
      <w:rPr>
        <w:rFonts w:ascii="Arial" w:hAnsi="Arial" w:cs="Arial"/>
        <w:color w:val="FFFFFF" w:themeColor="background1"/>
        <w:sz w:val="20"/>
        <w:szCs w:val="20"/>
      </w:rPr>
    </w:pPr>
  </w:p>
  <w:p w14:paraId="04293CDB" w14:textId="3D10572E" w:rsidR="00FA7668" w:rsidRDefault="00FA7668" w:rsidP="00926DB5">
    <w:pPr>
      <w:pStyle w:val="infosheettitle"/>
      <w:spacing w:after="0" w:line="240" w:lineRule="auto"/>
      <w:ind w:right="0"/>
      <w:jc w:val="center"/>
      <w:rPr>
        <w:rFonts w:ascii="Arial" w:hAnsi="Arial" w:cs="Arial"/>
        <w:color w:val="FFFFFF" w:themeColor="background1"/>
        <w:sz w:val="20"/>
        <w:szCs w:val="20"/>
      </w:rPr>
    </w:pPr>
  </w:p>
  <w:p w14:paraId="36ED4D56" w14:textId="48BCBCF9" w:rsidR="00FA7668" w:rsidRDefault="00FA7668" w:rsidP="00926DB5">
    <w:pPr>
      <w:pStyle w:val="infosheettitle"/>
      <w:spacing w:after="0" w:line="240" w:lineRule="auto"/>
      <w:ind w:right="0"/>
      <w:jc w:val="center"/>
      <w:rPr>
        <w:rFonts w:ascii="Arial" w:hAnsi="Arial" w:cs="Arial"/>
        <w:color w:val="FFFFFF" w:themeColor="background1"/>
        <w:sz w:val="20"/>
        <w:szCs w:val="20"/>
      </w:rPr>
    </w:pPr>
  </w:p>
  <w:p w14:paraId="0BAA8968" w14:textId="2866124E" w:rsidR="00FA7668" w:rsidRDefault="00FA7668" w:rsidP="00926DB5">
    <w:pPr>
      <w:pStyle w:val="infosheettitle"/>
      <w:spacing w:after="0" w:line="240" w:lineRule="auto"/>
      <w:ind w:right="0"/>
      <w:jc w:val="center"/>
      <w:rPr>
        <w:rFonts w:ascii="Arial" w:hAnsi="Arial" w:cs="Arial"/>
        <w:color w:val="FFFFFF" w:themeColor="background1"/>
        <w:sz w:val="20"/>
        <w:szCs w:val="20"/>
      </w:rPr>
    </w:pPr>
  </w:p>
  <w:p w14:paraId="6ED904AA" w14:textId="1694CECB" w:rsidR="00FA7668" w:rsidRDefault="00FA7668" w:rsidP="00926DB5">
    <w:pPr>
      <w:pStyle w:val="infosheettitle"/>
      <w:spacing w:after="0" w:line="240" w:lineRule="auto"/>
      <w:ind w:right="0"/>
      <w:jc w:val="center"/>
      <w:rPr>
        <w:rFonts w:ascii="Arial" w:hAnsi="Arial" w:cs="Arial"/>
        <w:color w:val="FFFFFF" w:themeColor="background1"/>
        <w:sz w:val="20"/>
        <w:szCs w:val="20"/>
      </w:rPr>
    </w:pPr>
  </w:p>
  <w:p w14:paraId="65CDFDE9" w14:textId="2A92CE61" w:rsidR="00FA7668" w:rsidRDefault="00FA7668" w:rsidP="00926DB5">
    <w:pPr>
      <w:pStyle w:val="infosheettitle"/>
      <w:spacing w:after="0" w:line="240" w:lineRule="auto"/>
      <w:ind w:right="0"/>
      <w:jc w:val="center"/>
      <w:rPr>
        <w:rFonts w:ascii="Arial" w:hAnsi="Arial" w:cs="Arial"/>
        <w:color w:val="FFFFFF" w:themeColor="background1"/>
        <w:sz w:val="20"/>
        <w:szCs w:val="20"/>
      </w:rPr>
    </w:pPr>
  </w:p>
  <w:p w14:paraId="5D0426F1" w14:textId="77777777" w:rsidR="00FA7668" w:rsidRPr="003200BC" w:rsidRDefault="00FA7668" w:rsidP="00926DB5">
    <w:pPr>
      <w:pStyle w:val="infosheettitle"/>
      <w:spacing w:after="0" w:line="240" w:lineRule="auto"/>
      <w:ind w:right="0"/>
      <w:jc w:val="center"/>
      <w:rPr>
        <w:rFonts w:ascii="Arial" w:hAnsi="Arial" w:cs="Arial"/>
        <w:color w:val="FFFFFF" w:themeColor="background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7CB8"/>
    <w:multiLevelType w:val="hybridMultilevel"/>
    <w:tmpl w:val="C30E8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C6A48"/>
    <w:multiLevelType w:val="hybridMultilevel"/>
    <w:tmpl w:val="2660A658"/>
    <w:lvl w:ilvl="0" w:tplc="0DBA0682">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 w15:restartNumberingAfterBreak="0">
    <w:nsid w:val="16B66EDC"/>
    <w:multiLevelType w:val="multilevel"/>
    <w:tmpl w:val="3EC0C9EE"/>
    <w:lvl w:ilvl="0">
      <w:start w:val="1"/>
      <w:numFmt w:val="none"/>
      <w:suff w:val="nothing"/>
      <w:lvlText w:val="%1"/>
      <w:lvlJc w:val="left"/>
      <w:pPr>
        <w:ind w:left="0" w:firstLine="0"/>
      </w:pPr>
      <w:rPr>
        <w:rFonts w:ascii="Arial" w:hAnsi="Arial" w:hint="default"/>
        <w:b w:val="0"/>
        <w:i w:val="0"/>
        <w:sz w:val="18"/>
      </w:rPr>
    </w:lvl>
    <w:lvl w:ilvl="1">
      <w:start w:val="1"/>
      <w:numFmt w:val="decimal"/>
      <w:lvlText w:val="%2."/>
      <w:lvlJc w:val="left"/>
      <w:pPr>
        <w:tabs>
          <w:tab w:val="num" w:pos="284"/>
        </w:tabs>
        <w:ind w:left="284" w:hanging="284"/>
      </w:pPr>
      <w:rPr>
        <w:rFonts w:ascii="Arial" w:hAnsi="Arial" w:hint="default"/>
        <w:b w:val="0"/>
        <w:i w:val="0"/>
        <w:caps w:val="0"/>
        <w:strike w:val="0"/>
        <w:dstrike w:val="0"/>
        <w:vanish w:val="0"/>
        <w:color w:val="auto"/>
        <w:spacing w:val="0"/>
        <w:w w:val="100"/>
        <w:kern w:val="0"/>
        <w:position w:val="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454"/>
        </w:tabs>
        <w:ind w:left="454" w:hanging="170"/>
      </w:pPr>
      <w:rPr>
        <w:rFonts w:ascii="Symbol" w:hAnsi="Symbol" w:hint="default"/>
        <w:position w:val="2"/>
        <w:sz w:val="16"/>
      </w:rPr>
    </w:lvl>
    <w:lvl w:ilvl="3">
      <w:start w:val="1"/>
      <w:numFmt w:val="bullet"/>
      <w:lvlText w:val=""/>
      <w:lvlJc w:val="left"/>
      <w:pPr>
        <w:tabs>
          <w:tab w:val="num" w:pos="624"/>
        </w:tabs>
        <w:ind w:left="624" w:hanging="170"/>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C6879C9"/>
    <w:multiLevelType w:val="multilevel"/>
    <w:tmpl w:val="35BA70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AAC2793"/>
    <w:multiLevelType w:val="hybridMultilevel"/>
    <w:tmpl w:val="EF2C1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D370F1"/>
    <w:multiLevelType w:val="hybridMultilevel"/>
    <w:tmpl w:val="828CB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7B704A4"/>
    <w:multiLevelType w:val="multilevel"/>
    <w:tmpl w:val="682E30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B320435"/>
    <w:multiLevelType w:val="hybridMultilevel"/>
    <w:tmpl w:val="2ADCA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4D67C2"/>
    <w:multiLevelType w:val="hybridMultilevel"/>
    <w:tmpl w:val="A136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9F3B60"/>
    <w:multiLevelType w:val="hybridMultilevel"/>
    <w:tmpl w:val="37A6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B54B44"/>
    <w:multiLevelType w:val="hybridMultilevel"/>
    <w:tmpl w:val="43AEF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7445F0"/>
    <w:multiLevelType w:val="hybridMultilevel"/>
    <w:tmpl w:val="9BC0C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A9499F"/>
    <w:multiLevelType w:val="hybridMultilevel"/>
    <w:tmpl w:val="3E42C1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7248A3"/>
    <w:multiLevelType w:val="multilevel"/>
    <w:tmpl w:val="CF849A80"/>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A722B64"/>
    <w:multiLevelType w:val="hybridMultilevel"/>
    <w:tmpl w:val="C4AA3AC0"/>
    <w:lvl w:ilvl="0" w:tplc="836C6188">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15"/>
  </w:num>
  <w:num w:numId="2">
    <w:abstractNumId w:val="5"/>
  </w:num>
  <w:num w:numId="3">
    <w:abstractNumId w:val="10"/>
  </w:num>
  <w:num w:numId="4">
    <w:abstractNumId w:val="12"/>
  </w:num>
  <w:num w:numId="5">
    <w:abstractNumId w:val="2"/>
  </w:num>
  <w:num w:numId="6">
    <w:abstractNumId w:val="14"/>
  </w:num>
  <w:num w:numId="7">
    <w:abstractNumId w:val="7"/>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1"/>
  </w:num>
  <w:num w:numId="20">
    <w:abstractNumId w:val="8"/>
  </w:num>
  <w:num w:numId="21">
    <w:abstractNumId w:val="4"/>
  </w:num>
  <w:num w:numId="22">
    <w:abstractNumId w:val="3"/>
  </w:num>
  <w:num w:numId="23">
    <w:abstractNumId w:val="13"/>
  </w:num>
  <w:num w:numId="24">
    <w:abstractNumId w:val="9"/>
  </w:num>
  <w:num w:numId="25">
    <w:abstractNumId w:val="6"/>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defaultTableStyle w:val="LightShading-Accent1"/>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3F"/>
    <w:rsid w:val="000001E9"/>
    <w:rsid w:val="00006DE9"/>
    <w:rsid w:val="00011322"/>
    <w:rsid w:val="0001383B"/>
    <w:rsid w:val="000138E9"/>
    <w:rsid w:val="00014601"/>
    <w:rsid w:val="000149DB"/>
    <w:rsid w:val="00014A5B"/>
    <w:rsid w:val="00017CFA"/>
    <w:rsid w:val="000224A5"/>
    <w:rsid w:val="00023988"/>
    <w:rsid w:val="0002459E"/>
    <w:rsid w:val="00024930"/>
    <w:rsid w:val="000268B4"/>
    <w:rsid w:val="00034ED5"/>
    <w:rsid w:val="00035170"/>
    <w:rsid w:val="00035C6F"/>
    <w:rsid w:val="00036014"/>
    <w:rsid w:val="00040FFB"/>
    <w:rsid w:val="00042163"/>
    <w:rsid w:val="000430D9"/>
    <w:rsid w:val="000430FF"/>
    <w:rsid w:val="00043112"/>
    <w:rsid w:val="00044F14"/>
    <w:rsid w:val="00044F2D"/>
    <w:rsid w:val="00045289"/>
    <w:rsid w:val="00045703"/>
    <w:rsid w:val="00046093"/>
    <w:rsid w:val="00050305"/>
    <w:rsid w:val="00053387"/>
    <w:rsid w:val="00054D90"/>
    <w:rsid w:val="000552B9"/>
    <w:rsid w:val="00055849"/>
    <w:rsid w:val="000604FF"/>
    <w:rsid w:val="0006282D"/>
    <w:rsid w:val="000629AE"/>
    <w:rsid w:val="000633AC"/>
    <w:rsid w:val="00063443"/>
    <w:rsid w:val="00064E84"/>
    <w:rsid w:val="00064EB0"/>
    <w:rsid w:val="0006714F"/>
    <w:rsid w:val="000711C9"/>
    <w:rsid w:val="00072B75"/>
    <w:rsid w:val="000742D3"/>
    <w:rsid w:val="00081FAD"/>
    <w:rsid w:val="000823D4"/>
    <w:rsid w:val="00083898"/>
    <w:rsid w:val="00083BDE"/>
    <w:rsid w:val="000953F4"/>
    <w:rsid w:val="00095FFA"/>
    <w:rsid w:val="00097113"/>
    <w:rsid w:val="00097490"/>
    <w:rsid w:val="000A02CA"/>
    <w:rsid w:val="000A2DB2"/>
    <w:rsid w:val="000A319A"/>
    <w:rsid w:val="000A4542"/>
    <w:rsid w:val="000A4681"/>
    <w:rsid w:val="000A593A"/>
    <w:rsid w:val="000A61FD"/>
    <w:rsid w:val="000A7016"/>
    <w:rsid w:val="000B5652"/>
    <w:rsid w:val="000B5F10"/>
    <w:rsid w:val="000B6A92"/>
    <w:rsid w:val="000C1E84"/>
    <w:rsid w:val="000C1FE7"/>
    <w:rsid w:val="000C48BE"/>
    <w:rsid w:val="000C4C73"/>
    <w:rsid w:val="000C4E2D"/>
    <w:rsid w:val="000C616B"/>
    <w:rsid w:val="000C6715"/>
    <w:rsid w:val="000D009C"/>
    <w:rsid w:val="000D0947"/>
    <w:rsid w:val="000D1271"/>
    <w:rsid w:val="000E053D"/>
    <w:rsid w:val="000E1E7F"/>
    <w:rsid w:val="000E33EA"/>
    <w:rsid w:val="000E35FB"/>
    <w:rsid w:val="000E6A9F"/>
    <w:rsid w:val="000E779E"/>
    <w:rsid w:val="000E7FBA"/>
    <w:rsid w:val="000F18E0"/>
    <w:rsid w:val="000F1CC3"/>
    <w:rsid w:val="000F1F4F"/>
    <w:rsid w:val="000F4FE9"/>
    <w:rsid w:val="000F56BD"/>
    <w:rsid w:val="000F5850"/>
    <w:rsid w:val="00102998"/>
    <w:rsid w:val="00103B79"/>
    <w:rsid w:val="00103F16"/>
    <w:rsid w:val="00105176"/>
    <w:rsid w:val="00106477"/>
    <w:rsid w:val="001079DF"/>
    <w:rsid w:val="00114606"/>
    <w:rsid w:val="001168D1"/>
    <w:rsid w:val="00117C01"/>
    <w:rsid w:val="00122B67"/>
    <w:rsid w:val="00124758"/>
    <w:rsid w:val="0012651D"/>
    <w:rsid w:val="00127264"/>
    <w:rsid w:val="001321D5"/>
    <w:rsid w:val="00133317"/>
    <w:rsid w:val="00133388"/>
    <w:rsid w:val="00136888"/>
    <w:rsid w:val="00140174"/>
    <w:rsid w:val="00141095"/>
    <w:rsid w:val="00142A2F"/>
    <w:rsid w:val="00142A72"/>
    <w:rsid w:val="001434B4"/>
    <w:rsid w:val="001504E0"/>
    <w:rsid w:val="00151FF0"/>
    <w:rsid w:val="0015527C"/>
    <w:rsid w:val="001576FE"/>
    <w:rsid w:val="00164E15"/>
    <w:rsid w:val="0016741A"/>
    <w:rsid w:val="001737F9"/>
    <w:rsid w:val="00174084"/>
    <w:rsid w:val="0017424A"/>
    <w:rsid w:val="00175FF1"/>
    <w:rsid w:val="001762FC"/>
    <w:rsid w:val="0017653B"/>
    <w:rsid w:val="00176ABA"/>
    <w:rsid w:val="001815B9"/>
    <w:rsid w:val="00181F70"/>
    <w:rsid w:val="00182410"/>
    <w:rsid w:val="00184C85"/>
    <w:rsid w:val="001854C6"/>
    <w:rsid w:val="001872F9"/>
    <w:rsid w:val="00187826"/>
    <w:rsid w:val="00187EF6"/>
    <w:rsid w:val="00190C79"/>
    <w:rsid w:val="00194B40"/>
    <w:rsid w:val="00196CE7"/>
    <w:rsid w:val="0019724D"/>
    <w:rsid w:val="001A1C77"/>
    <w:rsid w:val="001A6D63"/>
    <w:rsid w:val="001A6F19"/>
    <w:rsid w:val="001B1777"/>
    <w:rsid w:val="001B74B1"/>
    <w:rsid w:val="001B75E1"/>
    <w:rsid w:val="001C1A01"/>
    <w:rsid w:val="001C3026"/>
    <w:rsid w:val="001C55B1"/>
    <w:rsid w:val="001C5DC0"/>
    <w:rsid w:val="001C603E"/>
    <w:rsid w:val="001C6CD1"/>
    <w:rsid w:val="001D266D"/>
    <w:rsid w:val="001D26CA"/>
    <w:rsid w:val="001D78C9"/>
    <w:rsid w:val="001E0079"/>
    <w:rsid w:val="001E51BA"/>
    <w:rsid w:val="001F089C"/>
    <w:rsid w:val="001F26A8"/>
    <w:rsid w:val="001F68AE"/>
    <w:rsid w:val="00204256"/>
    <w:rsid w:val="00206D3F"/>
    <w:rsid w:val="00207248"/>
    <w:rsid w:val="00207393"/>
    <w:rsid w:val="00213DA0"/>
    <w:rsid w:val="002144E4"/>
    <w:rsid w:val="002167F2"/>
    <w:rsid w:val="00217B81"/>
    <w:rsid w:val="00217D37"/>
    <w:rsid w:val="00220862"/>
    <w:rsid w:val="00222EE7"/>
    <w:rsid w:val="00223194"/>
    <w:rsid w:val="0023023A"/>
    <w:rsid w:val="00230DF0"/>
    <w:rsid w:val="002346CF"/>
    <w:rsid w:val="0023626A"/>
    <w:rsid w:val="002369A4"/>
    <w:rsid w:val="00236BAA"/>
    <w:rsid w:val="00240DB9"/>
    <w:rsid w:val="0024397A"/>
    <w:rsid w:val="00243B94"/>
    <w:rsid w:val="00244319"/>
    <w:rsid w:val="00245952"/>
    <w:rsid w:val="0024608C"/>
    <w:rsid w:val="00246D77"/>
    <w:rsid w:val="0025461B"/>
    <w:rsid w:val="002558FF"/>
    <w:rsid w:val="00255D4D"/>
    <w:rsid w:val="00260D01"/>
    <w:rsid w:val="0026126A"/>
    <w:rsid w:val="002619C4"/>
    <w:rsid w:val="00261EA4"/>
    <w:rsid w:val="00262042"/>
    <w:rsid w:val="0026215C"/>
    <w:rsid w:val="00262B80"/>
    <w:rsid w:val="00262EBA"/>
    <w:rsid w:val="002642A5"/>
    <w:rsid w:val="00267FCA"/>
    <w:rsid w:val="00271515"/>
    <w:rsid w:val="00275B85"/>
    <w:rsid w:val="00276144"/>
    <w:rsid w:val="002774E7"/>
    <w:rsid w:val="00277ECC"/>
    <w:rsid w:val="00281810"/>
    <w:rsid w:val="00281A37"/>
    <w:rsid w:val="0028637D"/>
    <w:rsid w:val="0029262F"/>
    <w:rsid w:val="00294F93"/>
    <w:rsid w:val="00296E06"/>
    <w:rsid w:val="00297AA5"/>
    <w:rsid w:val="00297EB5"/>
    <w:rsid w:val="002A1675"/>
    <w:rsid w:val="002A4A6C"/>
    <w:rsid w:val="002B06C9"/>
    <w:rsid w:val="002B2AA6"/>
    <w:rsid w:val="002B419B"/>
    <w:rsid w:val="002B57D3"/>
    <w:rsid w:val="002B7F82"/>
    <w:rsid w:val="002C0A88"/>
    <w:rsid w:val="002C0E42"/>
    <w:rsid w:val="002C2DBF"/>
    <w:rsid w:val="002C2EA2"/>
    <w:rsid w:val="002C33C4"/>
    <w:rsid w:val="002C6591"/>
    <w:rsid w:val="002C673F"/>
    <w:rsid w:val="002D1803"/>
    <w:rsid w:val="002D6B24"/>
    <w:rsid w:val="002E03A7"/>
    <w:rsid w:val="002E2948"/>
    <w:rsid w:val="002E3FC1"/>
    <w:rsid w:val="002E4323"/>
    <w:rsid w:val="002E6E19"/>
    <w:rsid w:val="002F1970"/>
    <w:rsid w:val="002F2059"/>
    <w:rsid w:val="002F3570"/>
    <w:rsid w:val="002F5585"/>
    <w:rsid w:val="002F5764"/>
    <w:rsid w:val="002F623A"/>
    <w:rsid w:val="002F6FA9"/>
    <w:rsid w:val="003031CA"/>
    <w:rsid w:val="00303799"/>
    <w:rsid w:val="00303F5F"/>
    <w:rsid w:val="00304B3B"/>
    <w:rsid w:val="0030594E"/>
    <w:rsid w:val="00305A39"/>
    <w:rsid w:val="003078F6"/>
    <w:rsid w:val="00310755"/>
    <w:rsid w:val="003115B5"/>
    <w:rsid w:val="00314049"/>
    <w:rsid w:val="00315102"/>
    <w:rsid w:val="0031573F"/>
    <w:rsid w:val="0031694B"/>
    <w:rsid w:val="00317033"/>
    <w:rsid w:val="0031765D"/>
    <w:rsid w:val="003200BC"/>
    <w:rsid w:val="00320910"/>
    <w:rsid w:val="003218B5"/>
    <w:rsid w:val="00323FBB"/>
    <w:rsid w:val="00324456"/>
    <w:rsid w:val="003314DD"/>
    <w:rsid w:val="0033283A"/>
    <w:rsid w:val="00335CD7"/>
    <w:rsid w:val="00337FFC"/>
    <w:rsid w:val="00343BC9"/>
    <w:rsid w:val="00344CFD"/>
    <w:rsid w:val="00346BF5"/>
    <w:rsid w:val="00347C8D"/>
    <w:rsid w:val="0035349A"/>
    <w:rsid w:val="00354BCB"/>
    <w:rsid w:val="00362482"/>
    <w:rsid w:val="003640AC"/>
    <w:rsid w:val="00365FFD"/>
    <w:rsid w:val="003667D1"/>
    <w:rsid w:val="00367EBB"/>
    <w:rsid w:val="003723EB"/>
    <w:rsid w:val="003743A1"/>
    <w:rsid w:val="0037457A"/>
    <w:rsid w:val="00374ECE"/>
    <w:rsid w:val="003763D6"/>
    <w:rsid w:val="003766EF"/>
    <w:rsid w:val="00377576"/>
    <w:rsid w:val="00377E87"/>
    <w:rsid w:val="003810DF"/>
    <w:rsid w:val="00381B41"/>
    <w:rsid w:val="00383857"/>
    <w:rsid w:val="003844AC"/>
    <w:rsid w:val="003846C3"/>
    <w:rsid w:val="00386011"/>
    <w:rsid w:val="00393978"/>
    <w:rsid w:val="00393D14"/>
    <w:rsid w:val="00395A8E"/>
    <w:rsid w:val="003A1419"/>
    <w:rsid w:val="003A35D4"/>
    <w:rsid w:val="003A46B4"/>
    <w:rsid w:val="003A710F"/>
    <w:rsid w:val="003B14D0"/>
    <w:rsid w:val="003B5507"/>
    <w:rsid w:val="003B66ED"/>
    <w:rsid w:val="003C1606"/>
    <w:rsid w:val="003C1B31"/>
    <w:rsid w:val="003C1BE3"/>
    <w:rsid w:val="003C3CC3"/>
    <w:rsid w:val="003C4A85"/>
    <w:rsid w:val="003C6346"/>
    <w:rsid w:val="003D0D32"/>
    <w:rsid w:val="003D1136"/>
    <w:rsid w:val="003D2561"/>
    <w:rsid w:val="003D69D3"/>
    <w:rsid w:val="003D70CA"/>
    <w:rsid w:val="003D7847"/>
    <w:rsid w:val="003E2F48"/>
    <w:rsid w:val="003E3AE2"/>
    <w:rsid w:val="003E3DCE"/>
    <w:rsid w:val="003E48F7"/>
    <w:rsid w:val="003E4FDE"/>
    <w:rsid w:val="003F216E"/>
    <w:rsid w:val="003F23C6"/>
    <w:rsid w:val="003F38A4"/>
    <w:rsid w:val="003F558F"/>
    <w:rsid w:val="003F7F55"/>
    <w:rsid w:val="00400B16"/>
    <w:rsid w:val="00401B9A"/>
    <w:rsid w:val="00403BB9"/>
    <w:rsid w:val="00403DC4"/>
    <w:rsid w:val="00412C52"/>
    <w:rsid w:val="0041354B"/>
    <w:rsid w:val="004144EE"/>
    <w:rsid w:val="004151EB"/>
    <w:rsid w:val="00415F71"/>
    <w:rsid w:val="00416856"/>
    <w:rsid w:val="00420E29"/>
    <w:rsid w:val="004212A0"/>
    <w:rsid w:val="00421666"/>
    <w:rsid w:val="00421BD4"/>
    <w:rsid w:val="00422CB3"/>
    <w:rsid w:val="004250A2"/>
    <w:rsid w:val="00425990"/>
    <w:rsid w:val="004263FB"/>
    <w:rsid w:val="004338D4"/>
    <w:rsid w:val="00433B98"/>
    <w:rsid w:val="0043459C"/>
    <w:rsid w:val="004403A3"/>
    <w:rsid w:val="00440C77"/>
    <w:rsid w:val="00441AB0"/>
    <w:rsid w:val="00441C25"/>
    <w:rsid w:val="00443DF3"/>
    <w:rsid w:val="00447C16"/>
    <w:rsid w:val="0045092C"/>
    <w:rsid w:val="00451340"/>
    <w:rsid w:val="00452284"/>
    <w:rsid w:val="00453CA0"/>
    <w:rsid w:val="00455ED7"/>
    <w:rsid w:val="00456F4B"/>
    <w:rsid w:val="0046255F"/>
    <w:rsid w:val="004641FC"/>
    <w:rsid w:val="0046421E"/>
    <w:rsid w:val="004653A5"/>
    <w:rsid w:val="00470084"/>
    <w:rsid w:val="00471ACF"/>
    <w:rsid w:val="00471C87"/>
    <w:rsid w:val="00475A42"/>
    <w:rsid w:val="00477D17"/>
    <w:rsid w:val="00484EE0"/>
    <w:rsid w:val="00485BEB"/>
    <w:rsid w:val="00486C45"/>
    <w:rsid w:val="00487AD6"/>
    <w:rsid w:val="004A199E"/>
    <w:rsid w:val="004A30B5"/>
    <w:rsid w:val="004A4D39"/>
    <w:rsid w:val="004A5649"/>
    <w:rsid w:val="004A5B89"/>
    <w:rsid w:val="004B0AE3"/>
    <w:rsid w:val="004B1BA1"/>
    <w:rsid w:val="004B556D"/>
    <w:rsid w:val="004C3954"/>
    <w:rsid w:val="004C3F48"/>
    <w:rsid w:val="004C50A3"/>
    <w:rsid w:val="004C51C1"/>
    <w:rsid w:val="004C6A65"/>
    <w:rsid w:val="004C6F05"/>
    <w:rsid w:val="004C721F"/>
    <w:rsid w:val="004D03B3"/>
    <w:rsid w:val="004D05D3"/>
    <w:rsid w:val="004D0AF1"/>
    <w:rsid w:val="004D497D"/>
    <w:rsid w:val="004D51E7"/>
    <w:rsid w:val="004D5D94"/>
    <w:rsid w:val="004D5E57"/>
    <w:rsid w:val="004E1667"/>
    <w:rsid w:val="004E4288"/>
    <w:rsid w:val="004E64CF"/>
    <w:rsid w:val="004E7E7B"/>
    <w:rsid w:val="004F3B6C"/>
    <w:rsid w:val="004F408C"/>
    <w:rsid w:val="004F4795"/>
    <w:rsid w:val="004F5F1A"/>
    <w:rsid w:val="004F6355"/>
    <w:rsid w:val="00503FC5"/>
    <w:rsid w:val="005055B7"/>
    <w:rsid w:val="005066E7"/>
    <w:rsid w:val="00506758"/>
    <w:rsid w:val="00507CD0"/>
    <w:rsid w:val="00510627"/>
    <w:rsid w:val="00512952"/>
    <w:rsid w:val="005140B0"/>
    <w:rsid w:val="00522ECE"/>
    <w:rsid w:val="005240D8"/>
    <w:rsid w:val="00525FE3"/>
    <w:rsid w:val="00527C5F"/>
    <w:rsid w:val="00530A1D"/>
    <w:rsid w:val="00532235"/>
    <w:rsid w:val="00533B15"/>
    <w:rsid w:val="00534791"/>
    <w:rsid w:val="00534995"/>
    <w:rsid w:val="00536A60"/>
    <w:rsid w:val="00542007"/>
    <w:rsid w:val="005449C7"/>
    <w:rsid w:val="00544E7A"/>
    <w:rsid w:val="00551DD5"/>
    <w:rsid w:val="00552324"/>
    <w:rsid w:val="00553748"/>
    <w:rsid w:val="00554AE1"/>
    <w:rsid w:val="0056093C"/>
    <w:rsid w:val="00561370"/>
    <w:rsid w:val="00561B88"/>
    <w:rsid w:val="00566694"/>
    <w:rsid w:val="005667DA"/>
    <w:rsid w:val="00574167"/>
    <w:rsid w:val="005742BE"/>
    <w:rsid w:val="00574DCD"/>
    <w:rsid w:val="005769B7"/>
    <w:rsid w:val="005776BE"/>
    <w:rsid w:val="00577C0D"/>
    <w:rsid w:val="00581085"/>
    <w:rsid w:val="00581CE0"/>
    <w:rsid w:val="005833D1"/>
    <w:rsid w:val="00590059"/>
    <w:rsid w:val="00590939"/>
    <w:rsid w:val="00590E6D"/>
    <w:rsid w:val="00591370"/>
    <w:rsid w:val="00591ABC"/>
    <w:rsid w:val="00591F30"/>
    <w:rsid w:val="005950EC"/>
    <w:rsid w:val="00595E10"/>
    <w:rsid w:val="00597B8D"/>
    <w:rsid w:val="005A019B"/>
    <w:rsid w:val="005A0201"/>
    <w:rsid w:val="005A0C45"/>
    <w:rsid w:val="005A4D7B"/>
    <w:rsid w:val="005A6B4C"/>
    <w:rsid w:val="005A6EB4"/>
    <w:rsid w:val="005A7741"/>
    <w:rsid w:val="005A7B69"/>
    <w:rsid w:val="005A7FAD"/>
    <w:rsid w:val="005B053A"/>
    <w:rsid w:val="005B7D83"/>
    <w:rsid w:val="005C3537"/>
    <w:rsid w:val="005C3ED3"/>
    <w:rsid w:val="005C619D"/>
    <w:rsid w:val="005C6320"/>
    <w:rsid w:val="005C71F3"/>
    <w:rsid w:val="005C76D5"/>
    <w:rsid w:val="005C7D84"/>
    <w:rsid w:val="005D1B43"/>
    <w:rsid w:val="005D1D43"/>
    <w:rsid w:val="005D2362"/>
    <w:rsid w:val="005D7D92"/>
    <w:rsid w:val="005E09CF"/>
    <w:rsid w:val="005E321D"/>
    <w:rsid w:val="005E3E56"/>
    <w:rsid w:val="005E43D3"/>
    <w:rsid w:val="005E5094"/>
    <w:rsid w:val="005E5D3C"/>
    <w:rsid w:val="005E60DF"/>
    <w:rsid w:val="005E6EB6"/>
    <w:rsid w:val="005F11CF"/>
    <w:rsid w:val="005F1D82"/>
    <w:rsid w:val="005F3A1E"/>
    <w:rsid w:val="005F4C25"/>
    <w:rsid w:val="005F4F91"/>
    <w:rsid w:val="005F62B7"/>
    <w:rsid w:val="005F6A2C"/>
    <w:rsid w:val="005F78BC"/>
    <w:rsid w:val="0060123D"/>
    <w:rsid w:val="00601E77"/>
    <w:rsid w:val="00603038"/>
    <w:rsid w:val="00603423"/>
    <w:rsid w:val="0060389D"/>
    <w:rsid w:val="00605DE6"/>
    <w:rsid w:val="00610BF8"/>
    <w:rsid w:val="00610C02"/>
    <w:rsid w:val="00611967"/>
    <w:rsid w:val="00613690"/>
    <w:rsid w:val="00615952"/>
    <w:rsid w:val="006230AF"/>
    <w:rsid w:val="00625FD4"/>
    <w:rsid w:val="0062696B"/>
    <w:rsid w:val="00627D05"/>
    <w:rsid w:val="006310E6"/>
    <w:rsid w:val="006336BA"/>
    <w:rsid w:val="00634A58"/>
    <w:rsid w:val="0063587C"/>
    <w:rsid w:val="00636756"/>
    <w:rsid w:val="0063704E"/>
    <w:rsid w:val="0063711B"/>
    <w:rsid w:val="006411EB"/>
    <w:rsid w:val="006418B3"/>
    <w:rsid w:val="006452C6"/>
    <w:rsid w:val="0064645E"/>
    <w:rsid w:val="00647F38"/>
    <w:rsid w:val="0065043D"/>
    <w:rsid w:val="006517F7"/>
    <w:rsid w:val="00653C58"/>
    <w:rsid w:val="006559CC"/>
    <w:rsid w:val="00655EA6"/>
    <w:rsid w:val="006561D4"/>
    <w:rsid w:val="0066447E"/>
    <w:rsid w:val="00673A9C"/>
    <w:rsid w:val="006742CB"/>
    <w:rsid w:val="0067465F"/>
    <w:rsid w:val="00674B7E"/>
    <w:rsid w:val="0067659F"/>
    <w:rsid w:val="0067681A"/>
    <w:rsid w:val="006774AA"/>
    <w:rsid w:val="00677514"/>
    <w:rsid w:val="00677D6A"/>
    <w:rsid w:val="00677E68"/>
    <w:rsid w:val="00681C39"/>
    <w:rsid w:val="00684C16"/>
    <w:rsid w:val="00685116"/>
    <w:rsid w:val="006911FC"/>
    <w:rsid w:val="0069451D"/>
    <w:rsid w:val="00694F68"/>
    <w:rsid w:val="0069604C"/>
    <w:rsid w:val="006A0BAC"/>
    <w:rsid w:val="006A16C5"/>
    <w:rsid w:val="006A17FF"/>
    <w:rsid w:val="006A40DF"/>
    <w:rsid w:val="006A5748"/>
    <w:rsid w:val="006A5CB6"/>
    <w:rsid w:val="006B40FF"/>
    <w:rsid w:val="006B4C32"/>
    <w:rsid w:val="006B5661"/>
    <w:rsid w:val="006B7D94"/>
    <w:rsid w:val="006C0417"/>
    <w:rsid w:val="006C6A8A"/>
    <w:rsid w:val="006D0EF5"/>
    <w:rsid w:val="006D1E82"/>
    <w:rsid w:val="006D2133"/>
    <w:rsid w:val="006D2F5C"/>
    <w:rsid w:val="006D742D"/>
    <w:rsid w:val="006E0C43"/>
    <w:rsid w:val="006E186E"/>
    <w:rsid w:val="006E1B3A"/>
    <w:rsid w:val="006E5C7B"/>
    <w:rsid w:val="006E78CA"/>
    <w:rsid w:val="006F04AC"/>
    <w:rsid w:val="006F0F33"/>
    <w:rsid w:val="006F284C"/>
    <w:rsid w:val="006F3B79"/>
    <w:rsid w:val="006F5644"/>
    <w:rsid w:val="006F5802"/>
    <w:rsid w:val="006F6559"/>
    <w:rsid w:val="006F71DC"/>
    <w:rsid w:val="007020F3"/>
    <w:rsid w:val="00706711"/>
    <w:rsid w:val="007068FA"/>
    <w:rsid w:val="00713461"/>
    <w:rsid w:val="007162AF"/>
    <w:rsid w:val="00716903"/>
    <w:rsid w:val="007178D5"/>
    <w:rsid w:val="00727996"/>
    <w:rsid w:val="00727AC4"/>
    <w:rsid w:val="007335B1"/>
    <w:rsid w:val="00733719"/>
    <w:rsid w:val="007338D6"/>
    <w:rsid w:val="00734CEF"/>
    <w:rsid w:val="00737CC4"/>
    <w:rsid w:val="00743D92"/>
    <w:rsid w:val="00745D4D"/>
    <w:rsid w:val="00746274"/>
    <w:rsid w:val="007530DC"/>
    <w:rsid w:val="0075325B"/>
    <w:rsid w:val="007550C6"/>
    <w:rsid w:val="00755DD1"/>
    <w:rsid w:val="007619B6"/>
    <w:rsid w:val="007634FB"/>
    <w:rsid w:val="00763FEA"/>
    <w:rsid w:val="00765634"/>
    <w:rsid w:val="007660AD"/>
    <w:rsid w:val="007713CA"/>
    <w:rsid w:val="00771834"/>
    <w:rsid w:val="0077389C"/>
    <w:rsid w:val="00773A7E"/>
    <w:rsid w:val="00774490"/>
    <w:rsid w:val="00775B32"/>
    <w:rsid w:val="00776694"/>
    <w:rsid w:val="00780160"/>
    <w:rsid w:val="00782947"/>
    <w:rsid w:val="007845CB"/>
    <w:rsid w:val="007868FF"/>
    <w:rsid w:val="007875C7"/>
    <w:rsid w:val="00787E00"/>
    <w:rsid w:val="00793FE1"/>
    <w:rsid w:val="007940D7"/>
    <w:rsid w:val="00796C38"/>
    <w:rsid w:val="00796D36"/>
    <w:rsid w:val="00797342"/>
    <w:rsid w:val="007A212C"/>
    <w:rsid w:val="007A35FB"/>
    <w:rsid w:val="007A7F9D"/>
    <w:rsid w:val="007B0307"/>
    <w:rsid w:val="007B0AC1"/>
    <w:rsid w:val="007B1F4F"/>
    <w:rsid w:val="007B2ADA"/>
    <w:rsid w:val="007B3092"/>
    <w:rsid w:val="007B40E1"/>
    <w:rsid w:val="007B5B14"/>
    <w:rsid w:val="007B5BC4"/>
    <w:rsid w:val="007C001E"/>
    <w:rsid w:val="007C0B90"/>
    <w:rsid w:val="007C2B57"/>
    <w:rsid w:val="007C3A8F"/>
    <w:rsid w:val="007C45D9"/>
    <w:rsid w:val="007C66D1"/>
    <w:rsid w:val="007D0F94"/>
    <w:rsid w:val="007D19C5"/>
    <w:rsid w:val="007D6058"/>
    <w:rsid w:val="007E6979"/>
    <w:rsid w:val="007E7143"/>
    <w:rsid w:val="007F08A9"/>
    <w:rsid w:val="007F1719"/>
    <w:rsid w:val="007F2E3C"/>
    <w:rsid w:val="007F7C96"/>
    <w:rsid w:val="008014DD"/>
    <w:rsid w:val="008016A4"/>
    <w:rsid w:val="00802CE5"/>
    <w:rsid w:val="00805DDF"/>
    <w:rsid w:val="00806152"/>
    <w:rsid w:val="00811502"/>
    <w:rsid w:val="00811ABF"/>
    <w:rsid w:val="00812089"/>
    <w:rsid w:val="00813FAC"/>
    <w:rsid w:val="008172BD"/>
    <w:rsid w:val="00820815"/>
    <w:rsid w:val="00821B81"/>
    <w:rsid w:val="008223FB"/>
    <w:rsid w:val="008227AA"/>
    <w:rsid w:val="00824393"/>
    <w:rsid w:val="00826407"/>
    <w:rsid w:val="00835E0A"/>
    <w:rsid w:val="00836154"/>
    <w:rsid w:val="00836E59"/>
    <w:rsid w:val="00837CC7"/>
    <w:rsid w:val="00840451"/>
    <w:rsid w:val="008429E1"/>
    <w:rsid w:val="008475A8"/>
    <w:rsid w:val="00851558"/>
    <w:rsid w:val="00851C11"/>
    <w:rsid w:val="00852E18"/>
    <w:rsid w:val="00853EC7"/>
    <w:rsid w:val="00854FF2"/>
    <w:rsid w:val="008568B7"/>
    <w:rsid w:val="00857EEE"/>
    <w:rsid w:val="00865466"/>
    <w:rsid w:val="00872DF8"/>
    <w:rsid w:val="00872FC2"/>
    <w:rsid w:val="00874254"/>
    <w:rsid w:val="00874A7F"/>
    <w:rsid w:val="00874F14"/>
    <w:rsid w:val="0087531F"/>
    <w:rsid w:val="00875522"/>
    <w:rsid w:val="00884460"/>
    <w:rsid w:val="00884B69"/>
    <w:rsid w:val="008857BC"/>
    <w:rsid w:val="008861E9"/>
    <w:rsid w:val="008902D4"/>
    <w:rsid w:val="008918D6"/>
    <w:rsid w:val="00895082"/>
    <w:rsid w:val="008A0F84"/>
    <w:rsid w:val="008A0FF4"/>
    <w:rsid w:val="008A1246"/>
    <w:rsid w:val="008A15B7"/>
    <w:rsid w:val="008A267C"/>
    <w:rsid w:val="008A37AF"/>
    <w:rsid w:val="008A4344"/>
    <w:rsid w:val="008A56F5"/>
    <w:rsid w:val="008B1384"/>
    <w:rsid w:val="008B2C84"/>
    <w:rsid w:val="008B7751"/>
    <w:rsid w:val="008B7B80"/>
    <w:rsid w:val="008C2E3B"/>
    <w:rsid w:val="008C467A"/>
    <w:rsid w:val="008C56CB"/>
    <w:rsid w:val="008C7EC3"/>
    <w:rsid w:val="008D0429"/>
    <w:rsid w:val="008D52C3"/>
    <w:rsid w:val="008D5436"/>
    <w:rsid w:val="008D7B9A"/>
    <w:rsid w:val="008E226A"/>
    <w:rsid w:val="008E46F5"/>
    <w:rsid w:val="008E53D3"/>
    <w:rsid w:val="008E6D1C"/>
    <w:rsid w:val="008F09FC"/>
    <w:rsid w:val="008F193C"/>
    <w:rsid w:val="008F2BF9"/>
    <w:rsid w:val="008F389C"/>
    <w:rsid w:val="008F3C47"/>
    <w:rsid w:val="008F3E59"/>
    <w:rsid w:val="008F44C1"/>
    <w:rsid w:val="008F4935"/>
    <w:rsid w:val="008F511C"/>
    <w:rsid w:val="00904AF3"/>
    <w:rsid w:val="0090743E"/>
    <w:rsid w:val="009113F3"/>
    <w:rsid w:val="009218FA"/>
    <w:rsid w:val="0092326D"/>
    <w:rsid w:val="00923CE8"/>
    <w:rsid w:val="00924893"/>
    <w:rsid w:val="009268D2"/>
    <w:rsid w:val="00926DB5"/>
    <w:rsid w:val="009371FE"/>
    <w:rsid w:val="0093753E"/>
    <w:rsid w:val="0094126C"/>
    <w:rsid w:val="00944202"/>
    <w:rsid w:val="0094518B"/>
    <w:rsid w:val="009458ED"/>
    <w:rsid w:val="00947B88"/>
    <w:rsid w:val="00947E5B"/>
    <w:rsid w:val="0095092A"/>
    <w:rsid w:val="00950A1E"/>
    <w:rsid w:val="009526B3"/>
    <w:rsid w:val="009540BA"/>
    <w:rsid w:val="009549F1"/>
    <w:rsid w:val="00955F77"/>
    <w:rsid w:val="00956645"/>
    <w:rsid w:val="00957A71"/>
    <w:rsid w:val="009604AB"/>
    <w:rsid w:val="00961E1E"/>
    <w:rsid w:val="00963A4F"/>
    <w:rsid w:val="009641BD"/>
    <w:rsid w:val="009655E7"/>
    <w:rsid w:val="00970D78"/>
    <w:rsid w:val="00971C45"/>
    <w:rsid w:val="00972328"/>
    <w:rsid w:val="00973B5A"/>
    <w:rsid w:val="00975A82"/>
    <w:rsid w:val="0097625E"/>
    <w:rsid w:val="0097659E"/>
    <w:rsid w:val="009771C4"/>
    <w:rsid w:val="009775E5"/>
    <w:rsid w:val="00977936"/>
    <w:rsid w:val="009801F1"/>
    <w:rsid w:val="00981BCB"/>
    <w:rsid w:val="0098224D"/>
    <w:rsid w:val="00982FB8"/>
    <w:rsid w:val="009832C9"/>
    <w:rsid w:val="009850E3"/>
    <w:rsid w:val="009879A3"/>
    <w:rsid w:val="009903E3"/>
    <w:rsid w:val="009908C3"/>
    <w:rsid w:val="009908DD"/>
    <w:rsid w:val="00994B34"/>
    <w:rsid w:val="00996D14"/>
    <w:rsid w:val="00997E59"/>
    <w:rsid w:val="009A41EF"/>
    <w:rsid w:val="009B0EB7"/>
    <w:rsid w:val="009B1B6E"/>
    <w:rsid w:val="009B3BAF"/>
    <w:rsid w:val="009C56B0"/>
    <w:rsid w:val="009C6F1A"/>
    <w:rsid w:val="009C72DB"/>
    <w:rsid w:val="009C7B37"/>
    <w:rsid w:val="009D1AD9"/>
    <w:rsid w:val="009D3195"/>
    <w:rsid w:val="009D4205"/>
    <w:rsid w:val="009D4B6A"/>
    <w:rsid w:val="009D4F5C"/>
    <w:rsid w:val="009D54B3"/>
    <w:rsid w:val="009D65C2"/>
    <w:rsid w:val="009D6F40"/>
    <w:rsid w:val="009E3088"/>
    <w:rsid w:val="009E3451"/>
    <w:rsid w:val="009E3C20"/>
    <w:rsid w:val="009E508F"/>
    <w:rsid w:val="009E6C35"/>
    <w:rsid w:val="009F070E"/>
    <w:rsid w:val="009F20C7"/>
    <w:rsid w:val="009F3192"/>
    <w:rsid w:val="009F48F6"/>
    <w:rsid w:val="009F5D06"/>
    <w:rsid w:val="009F7598"/>
    <w:rsid w:val="00A012D2"/>
    <w:rsid w:val="00A03BAD"/>
    <w:rsid w:val="00A03CA0"/>
    <w:rsid w:val="00A06DFE"/>
    <w:rsid w:val="00A11CC5"/>
    <w:rsid w:val="00A14D3C"/>
    <w:rsid w:val="00A15297"/>
    <w:rsid w:val="00A23DBD"/>
    <w:rsid w:val="00A251AF"/>
    <w:rsid w:val="00A25CC5"/>
    <w:rsid w:val="00A2753E"/>
    <w:rsid w:val="00A27918"/>
    <w:rsid w:val="00A30DF1"/>
    <w:rsid w:val="00A32D4C"/>
    <w:rsid w:val="00A34342"/>
    <w:rsid w:val="00A35196"/>
    <w:rsid w:val="00A42922"/>
    <w:rsid w:val="00A4488E"/>
    <w:rsid w:val="00A51F39"/>
    <w:rsid w:val="00A52064"/>
    <w:rsid w:val="00A54593"/>
    <w:rsid w:val="00A562A7"/>
    <w:rsid w:val="00A56E36"/>
    <w:rsid w:val="00A64F3A"/>
    <w:rsid w:val="00A676B6"/>
    <w:rsid w:val="00A72627"/>
    <w:rsid w:val="00A72A91"/>
    <w:rsid w:val="00A746E7"/>
    <w:rsid w:val="00A749B8"/>
    <w:rsid w:val="00A75B64"/>
    <w:rsid w:val="00A77A6A"/>
    <w:rsid w:val="00A846CF"/>
    <w:rsid w:val="00A94234"/>
    <w:rsid w:val="00A94C6C"/>
    <w:rsid w:val="00A97C52"/>
    <w:rsid w:val="00AA184D"/>
    <w:rsid w:val="00AA1BAC"/>
    <w:rsid w:val="00AA250D"/>
    <w:rsid w:val="00AA2809"/>
    <w:rsid w:val="00AA2CBC"/>
    <w:rsid w:val="00AB62D5"/>
    <w:rsid w:val="00AB78C0"/>
    <w:rsid w:val="00AB7CDA"/>
    <w:rsid w:val="00AC0242"/>
    <w:rsid w:val="00AC099D"/>
    <w:rsid w:val="00AC15DD"/>
    <w:rsid w:val="00AC3257"/>
    <w:rsid w:val="00AC49B3"/>
    <w:rsid w:val="00AC55D5"/>
    <w:rsid w:val="00AC7138"/>
    <w:rsid w:val="00AD1EAE"/>
    <w:rsid w:val="00AD44E5"/>
    <w:rsid w:val="00AD7979"/>
    <w:rsid w:val="00AE21F7"/>
    <w:rsid w:val="00AE56F4"/>
    <w:rsid w:val="00AE6754"/>
    <w:rsid w:val="00AF0350"/>
    <w:rsid w:val="00AF0A57"/>
    <w:rsid w:val="00AF426D"/>
    <w:rsid w:val="00AF51FA"/>
    <w:rsid w:val="00AF534B"/>
    <w:rsid w:val="00AF753D"/>
    <w:rsid w:val="00AF7EBC"/>
    <w:rsid w:val="00B00FA2"/>
    <w:rsid w:val="00B02037"/>
    <w:rsid w:val="00B02788"/>
    <w:rsid w:val="00B11372"/>
    <w:rsid w:val="00B119D5"/>
    <w:rsid w:val="00B126ED"/>
    <w:rsid w:val="00B16FB0"/>
    <w:rsid w:val="00B17942"/>
    <w:rsid w:val="00B26565"/>
    <w:rsid w:val="00B26729"/>
    <w:rsid w:val="00B26C7C"/>
    <w:rsid w:val="00B27532"/>
    <w:rsid w:val="00B27B13"/>
    <w:rsid w:val="00B3022B"/>
    <w:rsid w:val="00B30FD2"/>
    <w:rsid w:val="00B31770"/>
    <w:rsid w:val="00B32AB5"/>
    <w:rsid w:val="00B34BA7"/>
    <w:rsid w:val="00B35E8C"/>
    <w:rsid w:val="00B41D47"/>
    <w:rsid w:val="00B42EDF"/>
    <w:rsid w:val="00B4309B"/>
    <w:rsid w:val="00B457DF"/>
    <w:rsid w:val="00B46E21"/>
    <w:rsid w:val="00B47049"/>
    <w:rsid w:val="00B533F5"/>
    <w:rsid w:val="00B5645E"/>
    <w:rsid w:val="00B60A87"/>
    <w:rsid w:val="00B629EA"/>
    <w:rsid w:val="00B63532"/>
    <w:rsid w:val="00B65DA8"/>
    <w:rsid w:val="00B669BF"/>
    <w:rsid w:val="00B70A7A"/>
    <w:rsid w:val="00B75957"/>
    <w:rsid w:val="00B76F98"/>
    <w:rsid w:val="00B831EA"/>
    <w:rsid w:val="00B870D7"/>
    <w:rsid w:val="00B904CF"/>
    <w:rsid w:val="00B9069F"/>
    <w:rsid w:val="00B91B0E"/>
    <w:rsid w:val="00B93971"/>
    <w:rsid w:val="00B95C53"/>
    <w:rsid w:val="00B9665F"/>
    <w:rsid w:val="00B97607"/>
    <w:rsid w:val="00BA0E28"/>
    <w:rsid w:val="00BA3079"/>
    <w:rsid w:val="00BA30E3"/>
    <w:rsid w:val="00BA338C"/>
    <w:rsid w:val="00BA35C1"/>
    <w:rsid w:val="00BA4252"/>
    <w:rsid w:val="00BA56B9"/>
    <w:rsid w:val="00BA5FDB"/>
    <w:rsid w:val="00BA726A"/>
    <w:rsid w:val="00BB09DD"/>
    <w:rsid w:val="00BB1502"/>
    <w:rsid w:val="00BB197F"/>
    <w:rsid w:val="00BB1AB4"/>
    <w:rsid w:val="00BB3CFE"/>
    <w:rsid w:val="00BB4E3D"/>
    <w:rsid w:val="00BB52BA"/>
    <w:rsid w:val="00BB6F8A"/>
    <w:rsid w:val="00BC2064"/>
    <w:rsid w:val="00BC2AAF"/>
    <w:rsid w:val="00BC426B"/>
    <w:rsid w:val="00BC4791"/>
    <w:rsid w:val="00BC5F2C"/>
    <w:rsid w:val="00BC632D"/>
    <w:rsid w:val="00BD3AEE"/>
    <w:rsid w:val="00BD3F3F"/>
    <w:rsid w:val="00BD56A1"/>
    <w:rsid w:val="00BD6E87"/>
    <w:rsid w:val="00BD7411"/>
    <w:rsid w:val="00BE0EA9"/>
    <w:rsid w:val="00BE2E66"/>
    <w:rsid w:val="00BE6096"/>
    <w:rsid w:val="00BF0123"/>
    <w:rsid w:val="00BF3C9D"/>
    <w:rsid w:val="00BF4EED"/>
    <w:rsid w:val="00BF5AF2"/>
    <w:rsid w:val="00C011A9"/>
    <w:rsid w:val="00C04E95"/>
    <w:rsid w:val="00C0661A"/>
    <w:rsid w:val="00C10AD1"/>
    <w:rsid w:val="00C1194F"/>
    <w:rsid w:val="00C12064"/>
    <w:rsid w:val="00C12B3C"/>
    <w:rsid w:val="00C16E0C"/>
    <w:rsid w:val="00C1739B"/>
    <w:rsid w:val="00C174DA"/>
    <w:rsid w:val="00C20997"/>
    <w:rsid w:val="00C22911"/>
    <w:rsid w:val="00C22C7C"/>
    <w:rsid w:val="00C263A8"/>
    <w:rsid w:val="00C26CD7"/>
    <w:rsid w:val="00C412F6"/>
    <w:rsid w:val="00C433E5"/>
    <w:rsid w:val="00C45169"/>
    <w:rsid w:val="00C46869"/>
    <w:rsid w:val="00C47555"/>
    <w:rsid w:val="00C50294"/>
    <w:rsid w:val="00C520E0"/>
    <w:rsid w:val="00C5355B"/>
    <w:rsid w:val="00C55182"/>
    <w:rsid w:val="00C56F77"/>
    <w:rsid w:val="00C5739E"/>
    <w:rsid w:val="00C60EA9"/>
    <w:rsid w:val="00C61199"/>
    <w:rsid w:val="00C611E4"/>
    <w:rsid w:val="00C6149F"/>
    <w:rsid w:val="00C62DDE"/>
    <w:rsid w:val="00C63073"/>
    <w:rsid w:val="00C663E5"/>
    <w:rsid w:val="00C721F7"/>
    <w:rsid w:val="00C7302A"/>
    <w:rsid w:val="00C73B53"/>
    <w:rsid w:val="00C73E58"/>
    <w:rsid w:val="00C814D2"/>
    <w:rsid w:val="00C81DE3"/>
    <w:rsid w:val="00C82F66"/>
    <w:rsid w:val="00C84DE9"/>
    <w:rsid w:val="00C873E7"/>
    <w:rsid w:val="00C879A3"/>
    <w:rsid w:val="00C9411F"/>
    <w:rsid w:val="00C96275"/>
    <w:rsid w:val="00CA2E36"/>
    <w:rsid w:val="00CA6FF5"/>
    <w:rsid w:val="00CB0692"/>
    <w:rsid w:val="00CB1BFD"/>
    <w:rsid w:val="00CB53E6"/>
    <w:rsid w:val="00CB72BA"/>
    <w:rsid w:val="00CC1718"/>
    <w:rsid w:val="00CC210E"/>
    <w:rsid w:val="00CC35CB"/>
    <w:rsid w:val="00CC4962"/>
    <w:rsid w:val="00CC5BA3"/>
    <w:rsid w:val="00CD0418"/>
    <w:rsid w:val="00CD09A5"/>
    <w:rsid w:val="00CD26FA"/>
    <w:rsid w:val="00CD2BD8"/>
    <w:rsid w:val="00CD2E12"/>
    <w:rsid w:val="00CD3379"/>
    <w:rsid w:val="00CD3FE0"/>
    <w:rsid w:val="00CD4E9D"/>
    <w:rsid w:val="00CD61D4"/>
    <w:rsid w:val="00CE310B"/>
    <w:rsid w:val="00CE48ED"/>
    <w:rsid w:val="00CF0BA7"/>
    <w:rsid w:val="00CF1A62"/>
    <w:rsid w:val="00D00EDE"/>
    <w:rsid w:val="00D02432"/>
    <w:rsid w:val="00D02C05"/>
    <w:rsid w:val="00D032D0"/>
    <w:rsid w:val="00D07E02"/>
    <w:rsid w:val="00D13547"/>
    <w:rsid w:val="00D14A60"/>
    <w:rsid w:val="00D15E5B"/>
    <w:rsid w:val="00D21116"/>
    <w:rsid w:val="00D214E4"/>
    <w:rsid w:val="00D2205C"/>
    <w:rsid w:val="00D227D2"/>
    <w:rsid w:val="00D227EC"/>
    <w:rsid w:val="00D30A04"/>
    <w:rsid w:val="00D34E1A"/>
    <w:rsid w:val="00D366C7"/>
    <w:rsid w:val="00D378DA"/>
    <w:rsid w:val="00D37AC0"/>
    <w:rsid w:val="00D37E9A"/>
    <w:rsid w:val="00D410B5"/>
    <w:rsid w:val="00D4173E"/>
    <w:rsid w:val="00D424AB"/>
    <w:rsid w:val="00D45E66"/>
    <w:rsid w:val="00D47FB5"/>
    <w:rsid w:val="00D52624"/>
    <w:rsid w:val="00D555D0"/>
    <w:rsid w:val="00D60B74"/>
    <w:rsid w:val="00D6147D"/>
    <w:rsid w:val="00D6410C"/>
    <w:rsid w:val="00D65CC8"/>
    <w:rsid w:val="00D6671B"/>
    <w:rsid w:val="00D7115E"/>
    <w:rsid w:val="00D7667F"/>
    <w:rsid w:val="00D76D24"/>
    <w:rsid w:val="00D82422"/>
    <w:rsid w:val="00D826F9"/>
    <w:rsid w:val="00D82FD5"/>
    <w:rsid w:val="00D83BFE"/>
    <w:rsid w:val="00D853B1"/>
    <w:rsid w:val="00D87E96"/>
    <w:rsid w:val="00D91DF0"/>
    <w:rsid w:val="00D92F84"/>
    <w:rsid w:val="00D94CE0"/>
    <w:rsid w:val="00D96677"/>
    <w:rsid w:val="00D9791D"/>
    <w:rsid w:val="00D97B94"/>
    <w:rsid w:val="00DA02F0"/>
    <w:rsid w:val="00DA0EAC"/>
    <w:rsid w:val="00DA3157"/>
    <w:rsid w:val="00DA5437"/>
    <w:rsid w:val="00DA5B3D"/>
    <w:rsid w:val="00DA7BAD"/>
    <w:rsid w:val="00DB0772"/>
    <w:rsid w:val="00DB1BA6"/>
    <w:rsid w:val="00DB377B"/>
    <w:rsid w:val="00DB3CD5"/>
    <w:rsid w:val="00DB4200"/>
    <w:rsid w:val="00DB45BC"/>
    <w:rsid w:val="00DB4BAB"/>
    <w:rsid w:val="00DB6C71"/>
    <w:rsid w:val="00DB7918"/>
    <w:rsid w:val="00DB7DC9"/>
    <w:rsid w:val="00DC0E0F"/>
    <w:rsid w:val="00DC544C"/>
    <w:rsid w:val="00DC752F"/>
    <w:rsid w:val="00DD449E"/>
    <w:rsid w:val="00DE1938"/>
    <w:rsid w:val="00DE47BF"/>
    <w:rsid w:val="00DE72EE"/>
    <w:rsid w:val="00DE7D75"/>
    <w:rsid w:val="00DF0147"/>
    <w:rsid w:val="00DF034A"/>
    <w:rsid w:val="00DF03BA"/>
    <w:rsid w:val="00DF0EC0"/>
    <w:rsid w:val="00DF28AF"/>
    <w:rsid w:val="00DF3569"/>
    <w:rsid w:val="00DF4915"/>
    <w:rsid w:val="00DF604B"/>
    <w:rsid w:val="00DF7AC1"/>
    <w:rsid w:val="00E001D5"/>
    <w:rsid w:val="00E00784"/>
    <w:rsid w:val="00E00ACF"/>
    <w:rsid w:val="00E05450"/>
    <w:rsid w:val="00E10C8E"/>
    <w:rsid w:val="00E119C7"/>
    <w:rsid w:val="00E12641"/>
    <w:rsid w:val="00E12C22"/>
    <w:rsid w:val="00E131D0"/>
    <w:rsid w:val="00E178D6"/>
    <w:rsid w:val="00E21897"/>
    <w:rsid w:val="00E24EFD"/>
    <w:rsid w:val="00E2632D"/>
    <w:rsid w:val="00E41889"/>
    <w:rsid w:val="00E4190F"/>
    <w:rsid w:val="00E4412F"/>
    <w:rsid w:val="00E4488C"/>
    <w:rsid w:val="00E4783A"/>
    <w:rsid w:val="00E53F2E"/>
    <w:rsid w:val="00E5604C"/>
    <w:rsid w:val="00E56A51"/>
    <w:rsid w:val="00E57F5D"/>
    <w:rsid w:val="00E61037"/>
    <w:rsid w:val="00E62834"/>
    <w:rsid w:val="00E750A6"/>
    <w:rsid w:val="00E758DF"/>
    <w:rsid w:val="00E7601A"/>
    <w:rsid w:val="00E77027"/>
    <w:rsid w:val="00E8221D"/>
    <w:rsid w:val="00E82EEA"/>
    <w:rsid w:val="00E8304B"/>
    <w:rsid w:val="00E8392D"/>
    <w:rsid w:val="00E83C0A"/>
    <w:rsid w:val="00E84C01"/>
    <w:rsid w:val="00E8670E"/>
    <w:rsid w:val="00E86999"/>
    <w:rsid w:val="00E869FB"/>
    <w:rsid w:val="00E903C4"/>
    <w:rsid w:val="00E93222"/>
    <w:rsid w:val="00E93977"/>
    <w:rsid w:val="00E94434"/>
    <w:rsid w:val="00E95E5A"/>
    <w:rsid w:val="00EA21CC"/>
    <w:rsid w:val="00EA3441"/>
    <w:rsid w:val="00EA4FAA"/>
    <w:rsid w:val="00EA6D24"/>
    <w:rsid w:val="00EA6DEA"/>
    <w:rsid w:val="00EB0C83"/>
    <w:rsid w:val="00EB203C"/>
    <w:rsid w:val="00EB4F32"/>
    <w:rsid w:val="00EB76F3"/>
    <w:rsid w:val="00EB78C1"/>
    <w:rsid w:val="00EC247B"/>
    <w:rsid w:val="00EC3EDE"/>
    <w:rsid w:val="00EC5096"/>
    <w:rsid w:val="00EC5346"/>
    <w:rsid w:val="00ED0BE5"/>
    <w:rsid w:val="00ED10D6"/>
    <w:rsid w:val="00ED28D5"/>
    <w:rsid w:val="00ED2958"/>
    <w:rsid w:val="00ED35D1"/>
    <w:rsid w:val="00ED56EF"/>
    <w:rsid w:val="00ED6A9D"/>
    <w:rsid w:val="00EE297A"/>
    <w:rsid w:val="00EE2AAD"/>
    <w:rsid w:val="00EE387B"/>
    <w:rsid w:val="00EE3B87"/>
    <w:rsid w:val="00EE45C1"/>
    <w:rsid w:val="00EE51C3"/>
    <w:rsid w:val="00EF6837"/>
    <w:rsid w:val="00EF73FB"/>
    <w:rsid w:val="00F03A0A"/>
    <w:rsid w:val="00F03FF2"/>
    <w:rsid w:val="00F07EFE"/>
    <w:rsid w:val="00F100F6"/>
    <w:rsid w:val="00F1375A"/>
    <w:rsid w:val="00F15DA3"/>
    <w:rsid w:val="00F177F6"/>
    <w:rsid w:val="00F21245"/>
    <w:rsid w:val="00F2356C"/>
    <w:rsid w:val="00F25E97"/>
    <w:rsid w:val="00F33581"/>
    <w:rsid w:val="00F33682"/>
    <w:rsid w:val="00F35885"/>
    <w:rsid w:val="00F36EDB"/>
    <w:rsid w:val="00F42313"/>
    <w:rsid w:val="00F5142D"/>
    <w:rsid w:val="00F51D9C"/>
    <w:rsid w:val="00F5346E"/>
    <w:rsid w:val="00F54739"/>
    <w:rsid w:val="00F608A7"/>
    <w:rsid w:val="00F609CB"/>
    <w:rsid w:val="00F6183F"/>
    <w:rsid w:val="00F61D5C"/>
    <w:rsid w:val="00F62A4A"/>
    <w:rsid w:val="00F638A9"/>
    <w:rsid w:val="00F63C87"/>
    <w:rsid w:val="00F64309"/>
    <w:rsid w:val="00F657F1"/>
    <w:rsid w:val="00F7121D"/>
    <w:rsid w:val="00F7283D"/>
    <w:rsid w:val="00F74A96"/>
    <w:rsid w:val="00F751E2"/>
    <w:rsid w:val="00F80009"/>
    <w:rsid w:val="00F85B83"/>
    <w:rsid w:val="00F85FB0"/>
    <w:rsid w:val="00F8629D"/>
    <w:rsid w:val="00F9314D"/>
    <w:rsid w:val="00F96C15"/>
    <w:rsid w:val="00F97074"/>
    <w:rsid w:val="00FA7668"/>
    <w:rsid w:val="00FB2510"/>
    <w:rsid w:val="00FB3AD8"/>
    <w:rsid w:val="00FB416E"/>
    <w:rsid w:val="00FB4296"/>
    <w:rsid w:val="00FB4401"/>
    <w:rsid w:val="00FB7B7E"/>
    <w:rsid w:val="00FC0C9B"/>
    <w:rsid w:val="00FC203E"/>
    <w:rsid w:val="00FC2913"/>
    <w:rsid w:val="00FC2C8C"/>
    <w:rsid w:val="00FC3658"/>
    <w:rsid w:val="00FC3FAD"/>
    <w:rsid w:val="00FC5FFC"/>
    <w:rsid w:val="00FD16AC"/>
    <w:rsid w:val="00FD1F61"/>
    <w:rsid w:val="00FD4DDA"/>
    <w:rsid w:val="00FD55DC"/>
    <w:rsid w:val="00FE1C3E"/>
    <w:rsid w:val="00FE7F2A"/>
    <w:rsid w:val="00FF07FC"/>
    <w:rsid w:val="00FF32D2"/>
    <w:rsid w:val="00FF342A"/>
    <w:rsid w:val="00FF4B8D"/>
    <w:rsid w:val="00FF66E3"/>
    <w:rsid w:val="00FF6802"/>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0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before="2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2133"/>
    <w:pPr>
      <w:widowControl w:val="0"/>
      <w:suppressAutoHyphens/>
      <w:autoSpaceDE w:val="0"/>
      <w:autoSpaceDN w:val="0"/>
      <w:adjustRightInd w:val="0"/>
      <w:spacing w:before="0" w:after="113" w:line="220" w:lineRule="atLeast"/>
      <w:textAlignment w:val="center"/>
    </w:pPr>
    <w:rPr>
      <w:rFonts w:ascii="Arial" w:eastAsiaTheme="minorHAnsi" w:hAnsi="Arial" w:cs="ArialMT"/>
      <w:color w:val="595959" w:themeColor="text1" w:themeTint="A6"/>
      <w:sz w:val="18"/>
      <w:szCs w:val="18"/>
      <w:lang w:val="en-US" w:eastAsia="en-US"/>
    </w:rPr>
  </w:style>
  <w:style w:type="paragraph" w:styleId="Heading1">
    <w:name w:val="heading 1"/>
    <w:basedOn w:val="Normal"/>
    <w:next w:val="Normal"/>
    <w:link w:val="Heading1Char"/>
    <w:uiPriority w:val="9"/>
    <w:qFormat/>
    <w:rsid w:val="006D2133"/>
    <w:pPr>
      <w:keepNext/>
      <w:keepLines/>
      <w:widowControl/>
      <w:numPr>
        <w:numId w:val="16"/>
      </w:numPr>
      <w:tabs>
        <w:tab w:val="left" w:pos="851"/>
      </w:tabs>
      <w:suppressAutoHyphens w:val="0"/>
      <w:autoSpaceDE/>
      <w:autoSpaceDN/>
      <w:adjustRightInd/>
      <w:spacing w:before="480" w:after="120" w:line="240" w:lineRule="auto"/>
      <w:textAlignment w:val="auto"/>
      <w:outlineLvl w:val="0"/>
    </w:pPr>
    <w:rPr>
      <w:rFonts w:cs="Arial-BoldMT"/>
      <w:b/>
      <w:bCs/>
      <w:color w:val="064EA8"/>
      <w:sz w:val="32"/>
      <w:szCs w:val="44"/>
    </w:rPr>
  </w:style>
  <w:style w:type="paragraph" w:styleId="Heading2">
    <w:name w:val="heading 2"/>
    <w:basedOn w:val="Normal"/>
    <w:next w:val="Normal"/>
    <w:link w:val="Heading2Char"/>
    <w:uiPriority w:val="9"/>
    <w:unhideWhenUsed/>
    <w:qFormat/>
    <w:rsid w:val="00BB6F8A"/>
    <w:pPr>
      <w:keepNext/>
      <w:keepLines/>
      <w:widowControl/>
      <w:numPr>
        <w:ilvl w:val="1"/>
        <w:numId w:val="16"/>
      </w:numPr>
      <w:spacing w:before="240" w:after="120" w:line="240" w:lineRule="auto"/>
      <w:outlineLvl w:val="1"/>
    </w:pPr>
    <w:rPr>
      <w:rFonts w:cs="Arial"/>
      <w:bCs/>
      <w:color w:val="000000" w:themeColor="text1"/>
      <w:sz w:val="28"/>
      <w:szCs w:val="32"/>
      <w:u w:color="FFFFFF" w:themeColor="background1"/>
    </w:rPr>
  </w:style>
  <w:style w:type="paragraph" w:styleId="Heading3">
    <w:name w:val="heading 3"/>
    <w:basedOn w:val="Normal"/>
    <w:next w:val="Normal"/>
    <w:link w:val="Heading3Char"/>
    <w:unhideWhenUsed/>
    <w:qFormat/>
    <w:rsid w:val="006D2133"/>
    <w:pPr>
      <w:keepNext/>
      <w:widowControl/>
      <w:numPr>
        <w:ilvl w:val="2"/>
        <w:numId w:val="16"/>
      </w:numPr>
      <w:spacing w:before="240" w:after="120" w:line="240" w:lineRule="auto"/>
      <w:outlineLvl w:val="2"/>
    </w:pPr>
    <w:rPr>
      <w:color w:val="064EA8"/>
      <w:sz w:val="24"/>
      <w:szCs w:val="24"/>
    </w:rPr>
  </w:style>
  <w:style w:type="paragraph" w:styleId="Heading4">
    <w:name w:val="heading 4"/>
    <w:basedOn w:val="Normal"/>
    <w:next w:val="Normal"/>
    <w:link w:val="Heading4Char"/>
    <w:uiPriority w:val="9"/>
    <w:unhideWhenUsed/>
    <w:qFormat/>
    <w:rsid w:val="00BB6F8A"/>
    <w:pPr>
      <w:numPr>
        <w:ilvl w:val="3"/>
        <w:numId w:val="16"/>
      </w:numPr>
      <w:spacing w:before="120" w:after="240"/>
      <w:outlineLvl w:val="3"/>
    </w:pPr>
    <w:rPr>
      <w:rFonts w:cs="Arial"/>
      <w:b/>
      <w:bCs/>
      <w:color w:val="000000" w:themeColor="text1"/>
      <w:sz w:val="24"/>
      <w:szCs w:val="24"/>
      <w:u w:color="FFFFFF" w:themeColor="background1"/>
    </w:rPr>
  </w:style>
  <w:style w:type="paragraph" w:styleId="Heading5">
    <w:name w:val="heading 5"/>
    <w:basedOn w:val="Normal"/>
    <w:next w:val="Normal"/>
    <w:link w:val="Heading5Char"/>
    <w:uiPriority w:val="9"/>
    <w:semiHidden/>
    <w:unhideWhenUsed/>
    <w:qFormat/>
    <w:rsid w:val="006D2133"/>
    <w:pPr>
      <w:keepNext/>
      <w:keepLines/>
      <w:numPr>
        <w:ilvl w:val="4"/>
        <w:numId w:val="16"/>
      </w:numPr>
      <w:spacing w:before="40" w:after="0"/>
      <w:outlineLvl w:val="4"/>
    </w:pPr>
    <w:rPr>
      <w:rFonts w:eastAsiaTheme="majorEastAsia" w:cstheme="majorBidi"/>
      <w:color w:val="004EA8"/>
    </w:rPr>
  </w:style>
  <w:style w:type="paragraph" w:styleId="Heading6">
    <w:name w:val="heading 6"/>
    <w:basedOn w:val="Normal"/>
    <w:next w:val="Normal"/>
    <w:link w:val="Heading6Char"/>
    <w:uiPriority w:val="9"/>
    <w:semiHidden/>
    <w:unhideWhenUsed/>
    <w:qFormat/>
    <w:rsid w:val="006D2133"/>
    <w:pPr>
      <w:keepNext/>
      <w:keepLines/>
      <w:numPr>
        <w:ilvl w:val="5"/>
        <w:numId w:val="16"/>
      </w:numPr>
      <w:spacing w:before="40" w:after="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6D2133"/>
    <w:pPr>
      <w:keepNext/>
      <w:keepLines/>
      <w:numPr>
        <w:ilvl w:val="6"/>
        <w:numId w:val="16"/>
      </w:numPr>
      <w:spacing w:before="40" w:after="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6D2133"/>
    <w:pPr>
      <w:keepNext/>
      <w:keepLines/>
      <w:numPr>
        <w:ilvl w:val="7"/>
        <w:numId w:val="16"/>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2133"/>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133"/>
    <w:pPr>
      <w:tabs>
        <w:tab w:val="center" w:pos="4513"/>
        <w:tab w:val="right" w:pos="9026"/>
      </w:tabs>
    </w:pPr>
  </w:style>
  <w:style w:type="character" w:customStyle="1" w:styleId="HeaderChar">
    <w:name w:val="Header Char"/>
    <w:basedOn w:val="DefaultParagraphFont"/>
    <w:link w:val="Header"/>
    <w:uiPriority w:val="99"/>
    <w:rsid w:val="006D2133"/>
    <w:rPr>
      <w:rFonts w:ascii="Arial" w:eastAsiaTheme="minorHAnsi" w:hAnsi="Arial" w:cs="ArialMT"/>
      <w:color w:val="595959" w:themeColor="text1" w:themeTint="A6"/>
      <w:sz w:val="18"/>
      <w:szCs w:val="18"/>
      <w:lang w:val="en-US" w:eastAsia="en-US"/>
    </w:rPr>
  </w:style>
  <w:style w:type="paragraph" w:styleId="Footer">
    <w:name w:val="footer"/>
    <w:basedOn w:val="Normal"/>
    <w:link w:val="FooterChar"/>
    <w:uiPriority w:val="99"/>
    <w:unhideWhenUsed/>
    <w:rsid w:val="006D2133"/>
    <w:pPr>
      <w:tabs>
        <w:tab w:val="center" w:pos="4513"/>
        <w:tab w:val="right" w:pos="9026"/>
      </w:tabs>
    </w:pPr>
  </w:style>
  <w:style w:type="character" w:customStyle="1" w:styleId="FooterChar">
    <w:name w:val="Footer Char"/>
    <w:basedOn w:val="DefaultParagraphFont"/>
    <w:link w:val="Footer"/>
    <w:uiPriority w:val="99"/>
    <w:rsid w:val="006D2133"/>
    <w:rPr>
      <w:rFonts w:ascii="Arial" w:eastAsiaTheme="minorHAnsi" w:hAnsi="Arial" w:cs="ArialMT"/>
      <w:color w:val="595959" w:themeColor="text1" w:themeTint="A6"/>
      <w:sz w:val="18"/>
      <w:szCs w:val="18"/>
      <w:lang w:val="en-US" w:eastAsia="en-US"/>
    </w:rPr>
  </w:style>
  <w:style w:type="paragraph" w:styleId="BalloonText">
    <w:name w:val="Balloon Text"/>
    <w:basedOn w:val="Normal"/>
    <w:link w:val="BalloonTextChar"/>
    <w:uiPriority w:val="99"/>
    <w:semiHidden/>
    <w:unhideWhenUsed/>
    <w:rsid w:val="006D2133"/>
    <w:pPr>
      <w:spacing w:after="0" w:line="240" w:lineRule="auto"/>
    </w:pPr>
    <w:rPr>
      <w:rFonts w:cs="Times New Roman"/>
    </w:rPr>
  </w:style>
  <w:style w:type="character" w:customStyle="1" w:styleId="BalloonTextChar">
    <w:name w:val="Balloon Text Char"/>
    <w:basedOn w:val="DefaultParagraphFont"/>
    <w:link w:val="BalloonText"/>
    <w:uiPriority w:val="99"/>
    <w:semiHidden/>
    <w:rsid w:val="006D2133"/>
    <w:rPr>
      <w:rFonts w:ascii="Arial" w:eastAsiaTheme="minorHAnsi" w:hAnsi="Arial" w:cs="Times New Roman"/>
      <w:color w:val="595959" w:themeColor="text1" w:themeTint="A6"/>
      <w:sz w:val="18"/>
      <w:szCs w:val="18"/>
      <w:lang w:val="en-US" w:eastAsia="en-US"/>
    </w:rPr>
  </w:style>
  <w:style w:type="paragraph" w:customStyle="1" w:styleId="infosheettitle">
    <w:name w:val="# infosheet title"/>
    <w:basedOn w:val="Normal"/>
    <w:link w:val="infosheettitleChar"/>
    <w:qFormat/>
    <w:rsid w:val="00DE7D75"/>
    <w:pPr>
      <w:spacing w:line="420" w:lineRule="exact"/>
      <w:ind w:right="3357"/>
    </w:pPr>
    <w:rPr>
      <w:rFonts w:ascii="Arial Bold" w:hAnsi="Arial Bold"/>
      <w:b/>
      <w:color w:val="FFFFFF"/>
      <w:sz w:val="44"/>
      <w:szCs w:val="40"/>
    </w:rPr>
  </w:style>
  <w:style w:type="character" w:customStyle="1" w:styleId="infosheettitleChar">
    <w:name w:val="# infosheet title Char"/>
    <w:basedOn w:val="DefaultParagraphFont"/>
    <w:link w:val="infosheettitle"/>
    <w:rsid w:val="00DE7D75"/>
    <w:rPr>
      <w:rFonts w:ascii="Arial Bold" w:hAnsi="Arial Bold"/>
      <w:b/>
      <w:color w:val="FFFFFF"/>
      <w:sz w:val="44"/>
      <w:szCs w:val="40"/>
    </w:rPr>
  </w:style>
  <w:style w:type="paragraph" w:customStyle="1" w:styleId="infosheetsubtitle">
    <w:name w:val="# infosheet subtitle"/>
    <w:basedOn w:val="Normal"/>
    <w:link w:val="infosheetsubtitleChar"/>
    <w:qFormat/>
    <w:rsid w:val="00DE7D75"/>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DE7D75"/>
    <w:rPr>
      <w:rFonts w:ascii="Arial" w:hAnsi="Arial"/>
      <w:color w:val="FFFFFF"/>
      <w:sz w:val="32"/>
      <w:szCs w:val="24"/>
    </w:rPr>
  </w:style>
  <w:style w:type="paragraph" w:customStyle="1" w:styleId="introtext">
    <w:name w:val="# intro text"/>
    <w:basedOn w:val="Normal"/>
    <w:next w:val="bodycopy"/>
    <w:rsid w:val="001D78C9"/>
    <w:pPr>
      <w:spacing w:before="300" w:after="360" w:line="320" w:lineRule="atLeast"/>
    </w:pPr>
    <w:rPr>
      <w:rFonts w:cs="Arial"/>
      <w:color w:val="064EA8"/>
      <w:spacing w:val="-10"/>
      <w:sz w:val="28"/>
    </w:rPr>
  </w:style>
  <w:style w:type="paragraph" w:customStyle="1" w:styleId="bodycopy">
    <w:name w:val="# body copy"/>
    <w:basedOn w:val="Normal"/>
    <w:qFormat/>
    <w:rsid w:val="00DB0772"/>
    <w:pPr>
      <w:spacing w:after="120"/>
    </w:pPr>
    <w:rPr>
      <w:rFonts w:cs="Arial"/>
    </w:rPr>
  </w:style>
  <w:style w:type="paragraph" w:customStyle="1" w:styleId="dotpoints">
    <w:name w:val="# dot points"/>
    <w:basedOn w:val="Normal"/>
    <w:link w:val="dotpointsChar"/>
    <w:rsid w:val="00055849"/>
    <w:pPr>
      <w:keepLines/>
      <w:numPr>
        <w:numId w:val="1"/>
      </w:numPr>
      <w:spacing w:before="180" w:after="180" w:line="300" w:lineRule="auto"/>
      <w:ind w:left="357" w:hanging="357"/>
      <w:contextualSpacing/>
    </w:pPr>
    <w:rPr>
      <w:rFonts w:cs="Arial"/>
    </w:rPr>
  </w:style>
  <w:style w:type="character" w:customStyle="1" w:styleId="dotpointsChar">
    <w:name w:val="# dot points Char"/>
    <w:basedOn w:val="DefaultParagraphFont"/>
    <w:link w:val="dotpoints"/>
    <w:rsid w:val="00055849"/>
    <w:rPr>
      <w:rFonts w:ascii="Tahoma" w:hAnsi="Tahoma" w:cs="Arial"/>
      <w:color w:val="000000" w:themeColor="text1"/>
    </w:rPr>
  </w:style>
  <w:style w:type="paragraph" w:customStyle="1" w:styleId="heading1blue">
    <w:name w:val="# heading 1 blue"/>
    <w:basedOn w:val="Normal"/>
    <w:next w:val="bodycopy"/>
    <w:qFormat/>
    <w:rsid w:val="00CD26FA"/>
    <w:pPr>
      <w:keepNext/>
      <w:spacing w:before="240" w:after="120"/>
    </w:pPr>
    <w:rPr>
      <w:rFonts w:cs="Arial"/>
      <w:color w:val="064EA8"/>
      <w:sz w:val="24"/>
    </w:rPr>
  </w:style>
  <w:style w:type="paragraph" w:customStyle="1" w:styleId="heading2black">
    <w:name w:val="# heading 2 black"/>
    <w:basedOn w:val="heading1blue"/>
    <w:next w:val="bodycopy"/>
    <w:rsid w:val="00CD26FA"/>
    <w:rPr>
      <w:b/>
      <w:color w:val="auto"/>
      <w:sz w:val="20"/>
    </w:rPr>
  </w:style>
  <w:style w:type="paragraph" w:customStyle="1" w:styleId="instructions">
    <w:name w:val="instructions"/>
    <w:basedOn w:val="Normal"/>
    <w:link w:val="instructionsChar"/>
    <w:rsid w:val="003743A1"/>
    <w:pPr>
      <w:spacing w:before="60" w:after="120"/>
    </w:pPr>
    <w:rPr>
      <w:color w:val="C0504D" w:themeColor="accent2"/>
    </w:rPr>
  </w:style>
  <w:style w:type="character" w:customStyle="1" w:styleId="instructionsChar">
    <w:name w:val="instructions Char"/>
    <w:basedOn w:val="DefaultParagraphFont"/>
    <w:link w:val="instructions"/>
    <w:rsid w:val="003743A1"/>
    <w:rPr>
      <w:rFonts w:ascii="Arial" w:hAnsi="Arial"/>
      <w:color w:val="C0504D" w:themeColor="accent2"/>
      <w:sz w:val="18"/>
      <w:lang w:eastAsia="en-US"/>
    </w:rPr>
  </w:style>
  <w:style w:type="paragraph" w:customStyle="1" w:styleId="tablename">
    <w:name w:val="# table name"/>
    <w:basedOn w:val="Normal"/>
    <w:rsid w:val="001D78C9"/>
    <w:pPr>
      <w:keepNext/>
      <w:spacing w:before="240" w:after="120"/>
    </w:pPr>
    <w:rPr>
      <w:rFonts w:cs="Arial"/>
      <w:b/>
      <w:color w:val="064EA8"/>
    </w:rPr>
  </w:style>
  <w:style w:type="table" w:styleId="TableGrid">
    <w:name w:val="Table Grid"/>
    <w:basedOn w:val="TableNormal"/>
    <w:uiPriority w:val="59"/>
    <w:rsid w:val="006D2133"/>
    <w:pPr>
      <w:spacing w:before="0"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rsid w:val="001D78C9"/>
    <w:pPr>
      <w:spacing w:before="60" w:after="60"/>
    </w:pPr>
    <w:rPr>
      <w:rFonts w:cs="Arial"/>
      <w:b/>
      <w:color w:val="FFFFFF"/>
    </w:rPr>
  </w:style>
  <w:style w:type="paragraph" w:customStyle="1" w:styleId="tabletext">
    <w:name w:val="# table text"/>
    <w:basedOn w:val="Normal"/>
    <w:rsid w:val="001D78C9"/>
    <w:pPr>
      <w:spacing w:before="60" w:after="60"/>
    </w:pPr>
    <w:rPr>
      <w:rFonts w:cs="Arial"/>
    </w:rPr>
  </w:style>
  <w:style w:type="paragraph" w:styleId="ListParagraph">
    <w:name w:val="List Paragraph"/>
    <w:basedOn w:val="Normal"/>
    <w:uiPriority w:val="72"/>
    <w:qFormat/>
    <w:rsid w:val="006D2133"/>
    <w:pPr>
      <w:ind w:left="720"/>
      <w:contextualSpacing/>
    </w:pPr>
  </w:style>
  <w:style w:type="paragraph" w:styleId="BodyText">
    <w:name w:val="Body Text"/>
    <w:basedOn w:val="Normal"/>
    <w:next w:val="Normal"/>
    <w:link w:val="BodyTextChar"/>
    <w:uiPriority w:val="99"/>
    <w:unhideWhenUsed/>
    <w:rsid w:val="006D2133"/>
    <w:pPr>
      <w:widowControl/>
      <w:suppressAutoHyphens w:val="0"/>
      <w:autoSpaceDE/>
      <w:autoSpaceDN/>
      <w:adjustRightInd/>
      <w:spacing w:before="60" w:after="120" w:line="240" w:lineRule="exact"/>
      <w:textAlignment w:val="auto"/>
    </w:pPr>
    <w:rPr>
      <w:rFonts w:eastAsia="Cambria" w:cs="Times New Roman"/>
      <w:color w:val="auto"/>
      <w:sz w:val="20"/>
      <w:szCs w:val="24"/>
    </w:rPr>
  </w:style>
  <w:style w:type="character" w:customStyle="1" w:styleId="BodyTextChar">
    <w:name w:val="Body Text Char"/>
    <w:basedOn w:val="DefaultParagraphFont"/>
    <w:link w:val="BodyText"/>
    <w:uiPriority w:val="99"/>
    <w:rsid w:val="006D2133"/>
    <w:rPr>
      <w:rFonts w:ascii="Arial" w:eastAsia="Cambria" w:hAnsi="Arial" w:cs="Times New Roman"/>
      <w:sz w:val="20"/>
      <w:szCs w:val="24"/>
      <w:lang w:val="en-US" w:eastAsia="en-US"/>
    </w:rPr>
  </w:style>
  <w:style w:type="paragraph" w:styleId="ListNumber">
    <w:name w:val="List Number"/>
    <w:basedOn w:val="BodyText"/>
    <w:rsid w:val="002167F2"/>
    <w:pPr>
      <w:numPr>
        <w:ilvl w:val="1"/>
      </w:numPr>
    </w:pPr>
  </w:style>
  <w:style w:type="paragraph" w:styleId="ListNumber3">
    <w:name w:val="List Number 3"/>
    <w:basedOn w:val="ListNumber"/>
    <w:rsid w:val="002167F2"/>
    <w:pPr>
      <w:numPr>
        <w:ilvl w:val="3"/>
      </w:numPr>
    </w:pPr>
  </w:style>
  <w:style w:type="paragraph" w:styleId="ListNumber2">
    <w:name w:val="List Number 2"/>
    <w:basedOn w:val="ListNumber"/>
    <w:rsid w:val="002167F2"/>
    <w:pPr>
      <w:numPr>
        <w:ilvl w:val="2"/>
      </w:numPr>
    </w:pPr>
  </w:style>
  <w:style w:type="character" w:customStyle="1" w:styleId="Heading1Char">
    <w:name w:val="Heading 1 Char"/>
    <w:basedOn w:val="DefaultParagraphFont"/>
    <w:link w:val="Heading1"/>
    <w:uiPriority w:val="9"/>
    <w:rsid w:val="006D2133"/>
    <w:rPr>
      <w:rFonts w:ascii="Arial" w:eastAsiaTheme="minorHAnsi" w:hAnsi="Arial" w:cs="Arial-BoldMT"/>
      <w:b/>
      <w:bCs/>
      <w:color w:val="064EA8"/>
      <w:sz w:val="32"/>
      <w:szCs w:val="44"/>
      <w:lang w:val="en-US" w:eastAsia="en-US"/>
    </w:rPr>
  </w:style>
  <w:style w:type="paragraph" w:styleId="TOCHeading">
    <w:name w:val="TOC Heading"/>
    <w:basedOn w:val="Heading1"/>
    <w:next w:val="Normal"/>
    <w:uiPriority w:val="39"/>
    <w:unhideWhenUsed/>
    <w:qFormat/>
    <w:rsid w:val="006D2133"/>
    <w:pPr>
      <w:numPr>
        <w:numId w:val="0"/>
      </w:numPr>
      <w:spacing w:before="240" w:after="0" w:line="220" w:lineRule="atLeast"/>
      <w:outlineLvl w:val="9"/>
    </w:pPr>
    <w:rPr>
      <w:rFonts w:eastAsiaTheme="majorEastAsia" w:cstheme="majorBidi"/>
      <w:b w:val="0"/>
      <w:bCs w:val="0"/>
      <w:caps/>
      <w:szCs w:val="32"/>
    </w:rPr>
  </w:style>
  <w:style w:type="paragraph" w:styleId="Title">
    <w:name w:val="Title"/>
    <w:basedOn w:val="CoverHeading1"/>
    <w:next w:val="Normal"/>
    <w:link w:val="TitleChar"/>
    <w:uiPriority w:val="10"/>
    <w:qFormat/>
    <w:rsid w:val="006D2133"/>
    <w:rPr>
      <w:lang w:val="en-AU"/>
    </w:rPr>
  </w:style>
  <w:style w:type="character" w:customStyle="1" w:styleId="TitleChar">
    <w:name w:val="Title Char"/>
    <w:basedOn w:val="DefaultParagraphFont"/>
    <w:link w:val="Title"/>
    <w:uiPriority w:val="10"/>
    <w:rsid w:val="006D2133"/>
    <w:rPr>
      <w:rFonts w:ascii="Arial-BoldMT" w:eastAsiaTheme="minorHAnsi" w:hAnsi="Arial-BoldMT" w:cs="Arial-BoldMT"/>
      <w:b/>
      <w:bCs/>
      <w:caps/>
      <w:color w:val="FFFFFF" w:themeColor="background1"/>
      <w:sz w:val="44"/>
      <w:szCs w:val="44"/>
      <w:lang w:eastAsia="en-US"/>
    </w:rPr>
  </w:style>
  <w:style w:type="paragraph" w:styleId="TOC1">
    <w:name w:val="toc 1"/>
    <w:basedOn w:val="Normal"/>
    <w:next w:val="Normal"/>
    <w:autoRedefine/>
    <w:uiPriority w:val="39"/>
    <w:unhideWhenUsed/>
    <w:rsid w:val="00CF1A62"/>
    <w:pPr>
      <w:tabs>
        <w:tab w:val="right" w:leader="dot" w:pos="9010"/>
        <w:tab w:val="right" w:leader="dot" w:pos="10456"/>
      </w:tabs>
      <w:spacing w:before="60" w:after="0" w:line="240" w:lineRule="auto"/>
      <w:ind w:left="567" w:hanging="567"/>
      <w:jc w:val="center"/>
    </w:pPr>
    <w:rPr>
      <w:b/>
      <w:noProof/>
    </w:rPr>
  </w:style>
  <w:style w:type="character" w:styleId="Hyperlink">
    <w:name w:val="Hyperlink"/>
    <w:basedOn w:val="DefaultParagraphFont"/>
    <w:uiPriority w:val="99"/>
    <w:unhideWhenUsed/>
    <w:rsid w:val="006D2133"/>
    <w:rPr>
      <w:rFonts w:ascii="Arial" w:hAnsi="Arial"/>
      <w:color w:val="0000FF" w:themeColor="hyperlink"/>
      <w:u w:val="single"/>
    </w:rPr>
  </w:style>
  <w:style w:type="character" w:customStyle="1" w:styleId="Heading2Char">
    <w:name w:val="Heading 2 Char"/>
    <w:basedOn w:val="DefaultParagraphFont"/>
    <w:link w:val="Heading2"/>
    <w:uiPriority w:val="9"/>
    <w:rsid w:val="00BB6F8A"/>
    <w:rPr>
      <w:rFonts w:ascii="Arial" w:eastAsiaTheme="minorHAnsi" w:hAnsi="Arial" w:cs="Arial"/>
      <w:bCs/>
      <w:color w:val="000000" w:themeColor="text1"/>
      <w:sz w:val="28"/>
      <w:szCs w:val="32"/>
      <w:u w:color="FFFFFF" w:themeColor="background1"/>
      <w:lang w:val="en-US" w:eastAsia="en-US"/>
    </w:rPr>
  </w:style>
  <w:style w:type="character" w:customStyle="1" w:styleId="Heading3Char">
    <w:name w:val="Heading 3 Char"/>
    <w:basedOn w:val="DefaultParagraphFont"/>
    <w:link w:val="Heading3"/>
    <w:rsid w:val="006D2133"/>
    <w:rPr>
      <w:rFonts w:ascii="Arial" w:eastAsiaTheme="minorHAnsi" w:hAnsi="Arial" w:cs="ArialMT"/>
      <w:color w:val="064EA8"/>
      <w:sz w:val="24"/>
      <w:szCs w:val="24"/>
      <w:lang w:val="en-US" w:eastAsia="en-US"/>
    </w:rPr>
  </w:style>
  <w:style w:type="character" w:customStyle="1" w:styleId="Heading4Char">
    <w:name w:val="Heading 4 Char"/>
    <w:basedOn w:val="DefaultParagraphFont"/>
    <w:link w:val="Heading4"/>
    <w:uiPriority w:val="9"/>
    <w:rsid w:val="00BB6F8A"/>
    <w:rPr>
      <w:rFonts w:ascii="Arial" w:eastAsiaTheme="minorHAnsi" w:hAnsi="Arial" w:cs="Arial"/>
      <w:b/>
      <w:bCs/>
      <w:color w:val="000000" w:themeColor="text1"/>
      <w:sz w:val="24"/>
      <w:szCs w:val="24"/>
      <w:u w:color="FFFFFF" w:themeColor="background1"/>
      <w:lang w:val="en-US" w:eastAsia="en-US"/>
    </w:rPr>
  </w:style>
  <w:style w:type="character" w:customStyle="1" w:styleId="Heading5Char">
    <w:name w:val="Heading 5 Char"/>
    <w:basedOn w:val="DefaultParagraphFont"/>
    <w:link w:val="Heading5"/>
    <w:uiPriority w:val="9"/>
    <w:semiHidden/>
    <w:rsid w:val="006D2133"/>
    <w:rPr>
      <w:rFonts w:ascii="Arial" w:eastAsiaTheme="majorEastAsia" w:hAnsi="Arial" w:cstheme="majorBidi"/>
      <w:color w:val="004EA8"/>
      <w:sz w:val="18"/>
      <w:szCs w:val="18"/>
      <w:lang w:val="en-US" w:eastAsia="en-US"/>
    </w:rPr>
  </w:style>
  <w:style w:type="character" w:customStyle="1" w:styleId="Heading6Char">
    <w:name w:val="Heading 6 Char"/>
    <w:basedOn w:val="DefaultParagraphFont"/>
    <w:link w:val="Heading6"/>
    <w:uiPriority w:val="9"/>
    <w:semiHidden/>
    <w:rsid w:val="006D2133"/>
    <w:rPr>
      <w:rFonts w:ascii="Arial" w:eastAsiaTheme="majorEastAsia" w:hAnsi="Arial" w:cstheme="majorBidi"/>
      <w:color w:val="243F60" w:themeColor="accent1" w:themeShade="7F"/>
      <w:sz w:val="18"/>
      <w:szCs w:val="18"/>
      <w:lang w:val="en-US" w:eastAsia="en-US"/>
    </w:rPr>
  </w:style>
  <w:style w:type="character" w:customStyle="1" w:styleId="Heading7Char">
    <w:name w:val="Heading 7 Char"/>
    <w:basedOn w:val="DefaultParagraphFont"/>
    <w:link w:val="Heading7"/>
    <w:uiPriority w:val="9"/>
    <w:semiHidden/>
    <w:rsid w:val="006D2133"/>
    <w:rPr>
      <w:rFonts w:ascii="Arial" w:eastAsiaTheme="majorEastAsia" w:hAnsi="Arial" w:cstheme="majorBidi"/>
      <w:i/>
      <w:iCs/>
      <w:color w:val="243F60" w:themeColor="accent1" w:themeShade="7F"/>
      <w:sz w:val="18"/>
      <w:szCs w:val="18"/>
      <w:lang w:val="en-US" w:eastAsia="en-US"/>
    </w:rPr>
  </w:style>
  <w:style w:type="character" w:customStyle="1" w:styleId="Heading8Char">
    <w:name w:val="Heading 8 Char"/>
    <w:basedOn w:val="DefaultParagraphFont"/>
    <w:link w:val="Heading8"/>
    <w:uiPriority w:val="9"/>
    <w:semiHidden/>
    <w:rsid w:val="006D2133"/>
    <w:rPr>
      <w:rFonts w:ascii="Arial" w:eastAsiaTheme="majorEastAsia" w:hAnsi="Arial"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6D2133"/>
    <w:rPr>
      <w:rFonts w:ascii="Arial" w:eastAsiaTheme="majorEastAsia" w:hAnsi="Arial" w:cstheme="majorBidi"/>
      <w:i/>
      <w:iCs/>
      <w:color w:val="272727" w:themeColor="text1" w:themeTint="D8"/>
      <w:sz w:val="21"/>
      <w:szCs w:val="21"/>
      <w:lang w:val="en-US" w:eastAsia="en-US"/>
    </w:rPr>
  </w:style>
  <w:style w:type="paragraph" w:styleId="Caption">
    <w:name w:val="caption"/>
    <w:basedOn w:val="Normal"/>
    <w:next w:val="Normal"/>
    <w:uiPriority w:val="35"/>
    <w:semiHidden/>
    <w:unhideWhenUsed/>
    <w:qFormat/>
    <w:rsid w:val="00684C16"/>
    <w:rPr>
      <w:b/>
      <w:bCs/>
      <w:color w:val="365F91" w:themeColor="accent1" w:themeShade="BF"/>
      <w:sz w:val="16"/>
      <w:szCs w:val="16"/>
    </w:rPr>
  </w:style>
  <w:style w:type="paragraph" w:styleId="Subtitle">
    <w:name w:val="Subtitle"/>
    <w:basedOn w:val="CoverHeading2"/>
    <w:next w:val="Normal"/>
    <w:link w:val="SubtitleChar"/>
    <w:uiPriority w:val="11"/>
    <w:qFormat/>
    <w:rsid w:val="006D2133"/>
    <w:rPr>
      <w:rFonts w:ascii="ArialMT" w:hAnsi="ArialMT"/>
      <w:lang w:val="en-AU"/>
    </w:rPr>
  </w:style>
  <w:style w:type="character" w:customStyle="1" w:styleId="SubtitleChar">
    <w:name w:val="Subtitle Char"/>
    <w:basedOn w:val="DefaultParagraphFont"/>
    <w:link w:val="Subtitle"/>
    <w:uiPriority w:val="11"/>
    <w:rsid w:val="006D2133"/>
    <w:rPr>
      <w:rFonts w:ascii="ArialMT" w:eastAsiaTheme="minorHAnsi" w:hAnsi="ArialMT" w:cs="ArialMT"/>
      <w:caps/>
      <w:color w:val="FFFFFF" w:themeColor="background1"/>
      <w:sz w:val="32"/>
      <w:szCs w:val="32"/>
      <w:lang w:eastAsia="en-US"/>
    </w:rPr>
  </w:style>
  <w:style w:type="character" w:styleId="Strong">
    <w:name w:val="Strong"/>
    <w:basedOn w:val="DefaultParagraphFont"/>
    <w:uiPriority w:val="22"/>
    <w:qFormat/>
    <w:rsid w:val="006D2133"/>
    <w:rPr>
      <w:rFonts w:ascii="Arial" w:hAnsi="Arial"/>
      <w:b/>
      <w:bCs/>
    </w:rPr>
  </w:style>
  <w:style w:type="character" w:styleId="Emphasis">
    <w:name w:val="Emphasis"/>
    <w:basedOn w:val="DefaultParagraphFont"/>
    <w:uiPriority w:val="20"/>
    <w:qFormat/>
    <w:rsid w:val="006D2133"/>
    <w:rPr>
      <w:rFonts w:ascii="Arial" w:hAnsi="Arial"/>
      <w:i/>
      <w:iCs/>
    </w:rPr>
  </w:style>
  <w:style w:type="paragraph" w:styleId="NoSpacing">
    <w:name w:val="No Spacing"/>
    <w:basedOn w:val="Normal"/>
    <w:link w:val="NoSpacingChar"/>
    <w:uiPriority w:val="1"/>
    <w:qFormat/>
    <w:rsid w:val="00684C16"/>
    <w:pPr>
      <w:spacing w:after="0" w:line="240" w:lineRule="auto"/>
    </w:pPr>
  </w:style>
  <w:style w:type="character" w:customStyle="1" w:styleId="NoSpacingChar">
    <w:name w:val="No Spacing Char"/>
    <w:basedOn w:val="DefaultParagraphFont"/>
    <w:link w:val="NoSpacing"/>
    <w:uiPriority w:val="1"/>
    <w:rsid w:val="00684C16"/>
    <w:rPr>
      <w:sz w:val="20"/>
      <w:szCs w:val="20"/>
    </w:rPr>
  </w:style>
  <w:style w:type="paragraph" w:styleId="Quote">
    <w:name w:val="Quote"/>
    <w:basedOn w:val="Normal"/>
    <w:next w:val="Normal"/>
    <w:link w:val="QuoteChar"/>
    <w:uiPriority w:val="29"/>
    <w:qFormat/>
    <w:rsid w:val="006D2133"/>
    <w:pPr>
      <w:spacing w:before="200" w:after="160"/>
      <w:ind w:left="864" w:right="864"/>
      <w:jc w:val="center"/>
    </w:pPr>
    <w:rPr>
      <w:i/>
      <w:iCs/>
      <w:color w:val="404040" w:themeColor="text1" w:themeTint="BF"/>
      <w:lang w:val="en-AU"/>
    </w:rPr>
  </w:style>
  <w:style w:type="character" w:customStyle="1" w:styleId="QuoteChar">
    <w:name w:val="Quote Char"/>
    <w:basedOn w:val="DefaultParagraphFont"/>
    <w:link w:val="Quote"/>
    <w:uiPriority w:val="29"/>
    <w:rsid w:val="006D2133"/>
    <w:rPr>
      <w:rFonts w:ascii="Arial" w:eastAsiaTheme="minorHAnsi" w:hAnsi="Arial" w:cs="ArialMT"/>
      <w:i/>
      <w:iCs/>
      <w:color w:val="404040" w:themeColor="text1" w:themeTint="BF"/>
      <w:sz w:val="18"/>
      <w:szCs w:val="18"/>
      <w:lang w:eastAsia="en-US"/>
    </w:rPr>
  </w:style>
  <w:style w:type="paragraph" w:styleId="IntenseQuote">
    <w:name w:val="Intense Quote"/>
    <w:basedOn w:val="Normal"/>
    <w:next w:val="Normal"/>
    <w:link w:val="IntenseQuoteChar"/>
    <w:uiPriority w:val="30"/>
    <w:qFormat/>
    <w:rsid w:val="006D2133"/>
    <w:pPr>
      <w:pBdr>
        <w:top w:val="single" w:sz="4" w:space="10" w:color="4F81BD" w:themeColor="accent1"/>
        <w:bottom w:val="single" w:sz="4" w:space="10" w:color="4F81BD" w:themeColor="accent1"/>
      </w:pBdr>
      <w:spacing w:before="360" w:after="360"/>
      <w:ind w:left="864" w:right="864"/>
      <w:jc w:val="center"/>
    </w:pPr>
    <w:rPr>
      <w:i/>
      <w:iCs/>
      <w:color w:val="004EA8"/>
      <w:lang w:val="en-AU"/>
    </w:rPr>
  </w:style>
  <w:style w:type="character" w:customStyle="1" w:styleId="IntenseQuoteChar">
    <w:name w:val="Intense Quote Char"/>
    <w:basedOn w:val="DefaultParagraphFont"/>
    <w:link w:val="IntenseQuote"/>
    <w:uiPriority w:val="30"/>
    <w:rsid w:val="006D2133"/>
    <w:rPr>
      <w:rFonts w:ascii="Arial" w:eastAsiaTheme="minorHAnsi" w:hAnsi="Arial" w:cs="ArialMT"/>
      <w:i/>
      <w:iCs/>
      <w:color w:val="004EA8"/>
      <w:sz w:val="18"/>
      <w:szCs w:val="18"/>
      <w:lang w:eastAsia="en-US"/>
    </w:rPr>
  </w:style>
  <w:style w:type="character" w:styleId="SubtleEmphasis">
    <w:name w:val="Subtle Emphasis"/>
    <w:basedOn w:val="DefaultParagraphFont"/>
    <w:uiPriority w:val="19"/>
    <w:qFormat/>
    <w:rsid w:val="006D2133"/>
    <w:rPr>
      <w:rFonts w:ascii="Arial" w:hAnsi="Arial"/>
      <w:i/>
      <w:iCs/>
      <w:color w:val="404040" w:themeColor="text1" w:themeTint="BF"/>
    </w:rPr>
  </w:style>
  <w:style w:type="character" w:styleId="IntenseEmphasis">
    <w:name w:val="Intense Emphasis"/>
    <w:basedOn w:val="DefaultParagraphFont"/>
    <w:uiPriority w:val="21"/>
    <w:qFormat/>
    <w:rsid w:val="006D2133"/>
    <w:rPr>
      <w:rFonts w:ascii="Arial" w:hAnsi="Arial"/>
      <w:i/>
      <w:iCs/>
      <w:color w:val="004EA8"/>
    </w:rPr>
  </w:style>
  <w:style w:type="character" w:styleId="SubtleReference">
    <w:name w:val="Subtle Reference"/>
    <w:basedOn w:val="DefaultParagraphFont"/>
    <w:uiPriority w:val="31"/>
    <w:qFormat/>
    <w:rsid w:val="006D2133"/>
    <w:rPr>
      <w:rFonts w:ascii="Arial" w:hAnsi="Arial"/>
      <w:smallCaps/>
      <w:color w:val="5A5A5A" w:themeColor="text1" w:themeTint="A5"/>
    </w:rPr>
  </w:style>
  <w:style w:type="character" w:styleId="IntenseReference">
    <w:name w:val="Intense Reference"/>
    <w:basedOn w:val="DefaultParagraphFont"/>
    <w:uiPriority w:val="32"/>
    <w:qFormat/>
    <w:rsid w:val="006D2133"/>
    <w:rPr>
      <w:rFonts w:ascii="Arial" w:hAnsi="Arial"/>
      <w:b/>
      <w:bCs/>
      <w:smallCaps/>
      <w:color w:val="004EA8"/>
      <w:spacing w:val="5"/>
    </w:rPr>
  </w:style>
  <w:style w:type="character" w:styleId="BookTitle">
    <w:name w:val="Book Title"/>
    <w:basedOn w:val="DefaultParagraphFont"/>
    <w:uiPriority w:val="33"/>
    <w:qFormat/>
    <w:rsid w:val="006D2133"/>
    <w:rPr>
      <w:rFonts w:ascii="Arial" w:hAnsi="Arial"/>
      <w:b/>
      <w:bCs/>
      <w:i/>
      <w:iCs/>
      <w:spacing w:val="5"/>
    </w:rPr>
  </w:style>
  <w:style w:type="paragraph" w:styleId="TOC2">
    <w:name w:val="toc 2"/>
    <w:basedOn w:val="Normal"/>
    <w:next w:val="Normal"/>
    <w:autoRedefine/>
    <w:uiPriority w:val="39"/>
    <w:unhideWhenUsed/>
    <w:rsid w:val="00083898"/>
    <w:pPr>
      <w:tabs>
        <w:tab w:val="right" w:leader="dot" w:pos="9010"/>
      </w:tabs>
      <w:spacing w:after="0" w:line="240" w:lineRule="auto"/>
      <w:ind w:left="216" w:hanging="567"/>
      <w:jc w:val="both"/>
    </w:pPr>
  </w:style>
  <w:style w:type="paragraph" w:styleId="TOC3">
    <w:name w:val="toc 3"/>
    <w:basedOn w:val="Normal"/>
    <w:next w:val="Normal"/>
    <w:autoRedefine/>
    <w:uiPriority w:val="39"/>
    <w:unhideWhenUsed/>
    <w:rsid w:val="006D2133"/>
    <w:pPr>
      <w:tabs>
        <w:tab w:val="right" w:leader="dot" w:pos="9010"/>
      </w:tabs>
      <w:spacing w:after="0" w:line="240" w:lineRule="auto"/>
      <w:ind w:left="1701" w:hanging="567"/>
    </w:pPr>
  </w:style>
  <w:style w:type="paragraph" w:customStyle="1" w:styleId="DisclaimerText4">
    <w:name w:val="Disclaimer Text 4"/>
    <w:basedOn w:val="Normal"/>
    <w:rsid w:val="006A0BAC"/>
    <w:pPr>
      <w:framePr w:hSpace="181" w:wrap="around" w:vAnchor="page" w:hAnchor="margin" w:y="11341"/>
      <w:spacing w:after="0" w:line="240" w:lineRule="auto"/>
      <w:suppressOverlap/>
    </w:pPr>
    <w:rPr>
      <w:rFonts w:eastAsia="Times New Roman" w:cs="Times New Roman"/>
      <w:b/>
      <w:bCs/>
      <w:i/>
      <w:spacing w:val="1"/>
      <w:sz w:val="14"/>
    </w:rPr>
  </w:style>
  <w:style w:type="table" w:styleId="LightShading-Accent1">
    <w:name w:val="Light Shading Accent 1"/>
    <w:basedOn w:val="TableNormal"/>
    <w:uiPriority w:val="60"/>
    <w:rsid w:val="00217B81"/>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CA2E36"/>
    <w:pPr>
      <w:spacing w:before="0" w:after="0" w:line="240" w:lineRule="auto"/>
    </w:pPr>
    <w:rPr>
      <w:sz w:val="20"/>
      <w:szCs w:val="20"/>
    </w:rPr>
  </w:style>
  <w:style w:type="paragraph" w:customStyle="1" w:styleId="NoParagraphStyle">
    <w:name w:val="[No Paragraph Style]"/>
    <w:basedOn w:val="Normal"/>
    <w:rsid w:val="006D2133"/>
  </w:style>
  <w:style w:type="paragraph" w:styleId="BlockText">
    <w:name w:val="Block Text"/>
    <w:basedOn w:val="Normal"/>
    <w:uiPriority w:val="99"/>
    <w:semiHidden/>
    <w:unhideWhenUsed/>
    <w:rsid w:val="006D213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004EA8"/>
    </w:rPr>
  </w:style>
  <w:style w:type="paragraph" w:styleId="BodyText2">
    <w:name w:val="Body Text 2"/>
    <w:basedOn w:val="Normal"/>
    <w:link w:val="BodyText2Char"/>
    <w:uiPriority w:val="99"/>
    <w:semiHidden/>
    <w:unhideWhenUsed/>
    <w:rsid w:val="006D2133"/>
    <w:pPr>
      <w:widowControl/>
      <w:suppressAutoHyphens w:val="0"/>
      <w:autoSpaceDE/>
      <w:autoSpaceDN/>
      <w:adjustRightInd/>
      <w:spacing w:before="60" w:after="120" w:line="480" w:lineRule="auto"/>
      <w:textAlignment w:val="auto"/>
    </w:pPr>
    <w:rPr>
      <w:rFonts w:eastAsia="Cambria" w:cs="Times New Roman"/>
      <w:color w:val="auto"/>
      <w:sz w:val="20"/>
      <w:szCs w:val="24"/>
    </w:rPr>
  </w:style>
  <w:style w:type="character" w:customStyle="1" w:styleId="BodyText2Char">
    <w:name w:val="Body Text 2 Char"/>
    <w:basedOn w:val="DefaultParagraphFont"/>
    <w:link w:val="BodyText2"/>
    <w:uiPriority w:val="99"/>
    <w:semiHidden/>
    <w:rsid w:val="006D2133"/>
    <w:rPr>
      <w:rFonts w:ascii="Arial" w:eastAsia="Cambria" w:hAnsi="Arial" w:cs="Times New Roman"/>
      <w:sz w:val="20"/>
      <w:szCs w:val="24"/>
      <w:lang w:val="en-US" w:eastAsia="en-US"/>
    </w:rPr>
  </w:style>
  <w:style w:type="paragraph" w:customStyle="1" w:styleId="CoverHeading1">
    <w:name w:val="Cover Heading 1"/>
    <w:basedOn w:val="Normal"/>
    <w:qFormat/>
    <w:rsid w:val="006D2133"/>
    <w:pPr>
      <w:spacing w:line="480" w:lineRule="atLeast"/>
      <w:outlineLvl w:val="0"/>
    </w:pPr>
    <w:rPr>
      <w:rFonts w:ascii="Arial-BoldMT" w:hAnsi="Arial-BoldMT" w:cs="Arial-BoldMT"/>
      <w:b/>
      <w:bCs/>
      <w:caps/>
      <w:color w:val="FFFFFF" w:themeColor="background1"/>
      <w:sz w:val="44"/>
      <w:szCs w:val="44"/>
    </w:rPr>
  </w:style>
  <w:style w:type="paragraph" w:customStyle="1" w:styleId="CoverHeading2">
    <w:name w:val="Cover Heading 2"/>
    <w:basedOn w:val="Normal"/>
    <w:qFormat/>
    <w:rsid w:val="006D2133"/>
    <w:pPr>
      <w:spacing w:before="170" w:line="480" w:lineRule="atLeast"/>
      <w:outlineLvl w:val="0"/>
    </w:pPr>
    <w:rPr>
      <w:caps/>
      <w:color w:val="FFFFFF" w:themeColor="background1"/>
      <w:sz w:val="32"/>
      <w:szCs w:val="32"/>
    </w:rPr>
  </w:style>
  <w:style w:type="paragraph" w:styleId="DocumentMap">
    <w:name w:val="Document Map"/>
    <w:basedOn w:val="Normal"/>
    <w:link w:val="DocumentMapChar"/>
    <w:uiPriority w:val="99"/>
    <w:semiHidden/>
    <w:unhideWhenUsed/>
    <w:rsid w:val="006D2133"/>
    <w:pPr>
      <w:spacing w:after="0" w:line="240" w:lineRule="auto"/>
    </w:pPr>
    <w:rPr>
      <w:rFonts w:cs="Times New Roman"/>
      <w:sz w:val="24"/>
      <w:szCs w:val="24"/>
    </w:rPr>
  </w:style>
  <w:style w:type="character" w:customStyle="1" w:styleId="DocumentMapChar">
    <w:name w:val="Document Map Char"/>
    <w:basedOn w:val="DefaultParagraphFont"/>
    <w:link w:val="DocumentMap"/>
    <w:uiPriority w:val="99"/>
    <w:semiHidden/>
    <w:rsid w:val="006D2133"/>
    <w:rPr>
      <w:rFonts w:ascii="Arial" w:eastAsiaTheme="minorHAnsi" w:hAnsi="Arial" w:cs="Times New Roman"/>
      <w:color w:val="595959" w:themeColor="text1" w:themeTint="A6"/>
      <w:sz w:val="24"/>
      <w:szCs w:val="24"/>
      <w:lang w:val="en-US" w:eastAsia="en-US"/>
    </w:rPr>
  </w:style>
  <w:style w:type="paragraph" w:styleId="EnvelopeAddress">
    <w:name w:val="envelope address"/>
    <w:basedOn w:val="Normal"/>
    <w:uiPriority w:val="99"/>
    <w:semiHidden/>
    <w:unhideWhenUsed/>
    <w:rsid w:val="006D2133"/>
    <w:pPr>
      <w:framePr w:w="7920" w:h="1980" w:hRule="exact" w:hSpace="180" w:wrap="auto" w:hAnchor="page" w:xAlign="center" w:yAlign="bottom"/>
      <w:spacing w:after="0" w:line="240" w:lineRule="auto"/>
      <w:ind w:left="2880"/>
    </w:pPr>
    <w:rPr>
      <w:rFonts w:eastAsiaTheme="majorEastAsia" w:cstheme="majorBidi"/>
      <w:sz w:val="24"/>
      <w:szCs w:val="24"/>
    </w:rPr>
  </w:style>
  <w:style w:type="character" w:styleId="HTMLCode">
    <w:name w:val="HTML Code"/>
    <w:basedOn w:val="DefaultParagraphFont"/>
    <w:uiPriority w:val="99"/>
    <w:semiHidden/>
    <w:unhideWhenUsed/>
    <w:rsid w:val="006D2133"/>
    <w:rPr>
      <w:rFonts w:ascii="Arial" w:hAnsi="Arial"/>
      <w:sz w:val="20"/>
      <w:szCs w:val="20"/>
    </w:rPr>
  </w:style>
  <w:style w:type="character" w:styleId="HTMLDefinition">
    <w:name w:val="HTML Definition"/>
    <w:basedOn w:val="DefaultParagraphFont"/>
    <w:uiPriority w:val="99"/>
    <w:semiHidden/>
    <w:unhideWhenUsed/>
    <w:rsid w:val="006D2133"/>
    <w:rPr>
      <w:rFonts w:ascii="Arial" w:hAnsi="Arial"/>
      <w:i/>
      <w:iCs/>
    </w:rPr>
  </w:style>
  <w:style w:type="character" w:styleId="HTMLKeyboard">
    <w:name w:val="HTML Keyboard"/>
    <w:basedOn w:val="DefaultParagraphFont"/>
    <w:uiPriority w:val="99"/>
    <w:semiHidden/>
    <w:unhideWhenUsed/>
    <w:rsid w:val="006D2133"/>
    <w:rPr>
      <w:rFonts w:ascii="Arial" w:hAnsi="Arial"/>
      <w:sz w:val="20"/>
      <w:szCs w:val="20"/>
    </w:rPr>
  </w:style>
  <w:style w:type="paragraph" w:styleId="HTMLPreformatted">
    <w:name w:val="HTML Preformatted"/>
    <w:basedOn w:val="Normal"/>
    <w:link w:val="HTMLPreformattedChar"/>
    <w:uiPriority w:val="99"/>
    <w:semiHidden/>
    <w:unhideWhenUsed/>
    <w:rsid w:val="006D2133"/>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6D2133"/>
    <w:rPr>
      <w:rFonts w:ascii="Arial" w:eastAsiaTheme="minorHAnsi" w:hAnsi="Arial" w:cs="ArialMT"/>
      <w:color w:val="595959" w:themeColor="text1" w:themeTint="A6"/>
      <w:sz w:val="20"/>
      <w:szCs w:val="20"/>
      <w:lang w:val="en-US" w:eastAsia="en-US"/>
    </w:rPr>
  </w:style>
  <w:style w:type="character" w:styleId="HTMLSample">
    <w:name w:val="HTML Sample"/>
    <w:basedOn w:val="DefaultParagraphFont"/>
    <w:uiPriority w:val="99"/>
    <w:semiHidden/>
    <w:unhideWhenUsed/>
    <w:rsid w:val="006D2133"/>
    <w:rPr>
      <w:rFonts w:ascii="Arial" w:hAnsi="Arial"/>
      <w:sz w:val="24"/>
      <w:szCs w:val="24"/>
    </w:rPr>
  </w:style>
  <w:style w:type="character" w:styleId="HTMLTypewriter">
    <w:name w:val="HTML Typewriter"/>
    <w:basedOn w:val="DefaultParagraphFont"/>
    <w:uiPriority w:val="99"/>
    <w:semiHidden/>
    <w:unhideWhenUsed/>
    <w:rsid w:val="006D2133"/>
    <w:rPr>
      <w:rFonts w:ascii="Arial" w:hAnsi="Arial"/>
      <w:sz w:val="20"/>
      <w:szCs w:val="20"/>
    </w:rPr>
  </w:style>
  <w:style w:type="character" w:styleId="HTMLVariable">
    <w:name w:val="HTML Variable"/>
    <w:basedOn w:val="DefaultParagraphFont"/>
    <w:uiPriority w:val="99"/>
    <w:semiHidden/>
    <w:unhideWhenUsed/>
    <w:rsid w:val="006D2133"/>
    <w:rPr>
      <w:rFonts w:ascii="Arial" w:hAnsi="Arial"/>
      <w:i/>
      <w:iCs/>
    </w:rPr>
  </w:style>
  <w:style w:type="paragraph" w:customStyle="1" w:styleId="IntroParagraph">
    <w:name w:val="Intro Paragraph"/>
    <w:basedOn w:val="Normal"/>
    <w:qFormat/>
    <w:rsid w:val="006D2133"/>
    <w:pPr>
      <w:spacing w:before="600" w:after="360" w:line="320" w:lineRule="atLeast"/>
    </w:pPr>
    <w:rPr>
      <w:spacing w:val="-1"/>
      <w:sz w:val="28"/>
      <w:szCs w:val="28"/>
    </w:rPr>
  </w:style>
  <w:style w:type="paragraph" w:styleId="MacroText">
    <w:name w:val="macro"/>
    <w:link w:val="MacroTextChar"/>
    <w:uiPriority w:val="99"/>
    <w:semiHidden/>
    <w:unhideWhenUsed/>
    <w:rsid w:val="006D2133"/>
    <w:pPr>
      <w:widowControl w:val="0"/>
      <w:tabs>
        <w:tab w:val="left" w:pos="576"/>
        <w:tab w:val="left" w:pos="1152"/>
        <w:tab w:val="left" w:pos="1728"/>
        <w:tab w:val="left" w:pos="2304"/>
        <w:tab w:val="left" w:pos="2880"/>
        <w:tab w:val="left" w:pos="3456"/>
        <w:tab w:val="left" w:pos="4032"/>
      </w:tabs>
      <w:suppressAutoHyphens/>
      <w:autoSpaceDE w:val="0"/>
      <w:autoSpaceDN w:val="0"/>
      <w:adjustRightInd w:val="0"/>
      <w:spacing w:before="0" w:after="0" w:line="220" w:lineRule="atLeast"/>
      <w:textAlignment w:val="center"/>
    </w:pPr>
    <w:rPr>
      <w:rFonts w:ascii="Arial" w:eastAsiaTheme="minorHAnsi" w:hAnsi="Arial" w:cs="ArialMT"/>
      <w:color w:val="53565A"/>
      <w:sz w:val="20"/>
      <w:szCs w:val="20"/>
      <w:lang w:val="en-US" w:eastAsia="en-US"/>
    </w:rPr>
  </w:style>
  <w:style w:type="character" w:customStyle="1" w:styleId="MacroTextChar">
    <w:name w:val="Macro Text Char"/>
    <w:basedOn w:val="DefaultParagraphFont"/>
    <w:link w:val="MacroText"/>
    <w:uiPriority w:val="99"/>
    <w:semiHidden/>
    <w:rsid w:val="006D2133"/>
    <w:rPr>
      <w:rFonts w:ascii="Arial" w:eastAsiaTheme="minorHAnsi" w:hAnsi="Arial" w:cs="ArialMT"/>
      <w:color w:val="53565A"/>
      <w:sz w:val="20"/>
      <w:szCs w:val="20"/>
      <w:lang w:val="en-US" w:eastAsia="en-US"/>
    </w:rPr>
  </w:style>
  <w:style w:type="paragraph" w:styleId="MessageHeader">
    <w:name w:val="Message Header"/>
    <w:basedOn w:val="Normal"/>
    <w:link w:val="MessageHeaderChar"/>
    <w:uiPriority w:val="99"/>
    <w:semiHidden/>
    <w:unhideWhenUsed/>
    <w:rsid w:val="006D213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color w:val="004EA8"/>
      <w:sz w:val="24"/>
      <w:szCs w:val="24"/>
    </w:rPr>
  </w:style>
  <w:style w:type="character" w:customStyle="1" w:styleId="MessageHeaderChar">
    <w:name w:val="Message Header Char"/>
    <w:basedOn w:val="DefaultParagraphFont"/>
    <w:link w:val="MessageHeader"/>
    <w:uiPriority w:val="99"/>
    <w:semiHidden/>
    <w:rsid w:val="006D2133"/>
    <w:rPr>
      <w:rFonts w:ascii="Arial" w:eastAsiaTheme="majorEastAsia" w:hAnsi="Arial" w:cstheme="majorBidi"/>
      <w:color w:val="004EA8"/>
      <w:sz w:val="24"/>
      <w:szCs w:val="24"/>
      <w:shd w:val="pct20" w:color="auto" w:fill="auto"/>
      <w:lang w:val="en-US" w:eastAsia="en-US"/>
    </w:rPr>
  </w:style>
  <w:style w:type="paragraph" w:customStyle="1" w:styleId="NonNumberHeading2">
    <w:name w:val="Non Number Heading 2"/>
    <w:basedOn w:val="Normal"/>
    <w:link w:val="NonNumberHeading2Char"/>
    <w:qFormat/>
    <w:rsid w:val="006D2133"/>
    <w:pPr>
      <w:keepNext/>
      <w:widowControl/>
      <w:spacing w:before="240" w:after="120" w:line="240" w:lineRule="auto"/>
    </w:pPr>
    <w:rPr>
      <w:bCs/>
      <w:color w:val="064EA8"/>
      <w:sz w:val="28"/>
      <w:szCs w:val="32"/>
    </w:rPr>
  </w:style>
  <w:style w:type="character" w:customStyle="1" w:styleId="NonNumberHeading2Char">
    <w:name w:val="Non Number Heading 2 Char"/>
    <w:basedOn w:val="Heading2Char"/>
    <w:link w:val="NonNumberHeading2"/>
    <w:rsid w:val="006D2133"/>
    <w:rPr>
      <w:rFonts w:ascii="Arial" w:eastAsiaTheme="minorHAnsi" w:hAnsi="Arial" w:cs="ArialMT"/>
      <w:bCs/>
      <w:color w:val="064EA8"/>
      <w:sz w:val="28"/>
      <w:szCs w:val="32"/>
      <w:u w:color="FFFFFF" w:themeColor="background1"/>
      <w:lang w:val="en-US" w:eastAsia="en-US"/>
    </w:rPr>
  </w:style>
  <w:style w:type="paragraph" w:customStyle="1" w:styleId="Non-numberHeading1">
    <w:name w:val="Non-number Heading 1"/>
    <w:basedOn w:val="Normal"/>
    <w:link w:val="Non-numberHeading1Char"/>
    <w:qFormat/>
    <w:rsid w:val="006D2133"/>
    <w:pPr>
      <w:keepNext/>
      <w:widowControl/>
      <w:spacing w:after="120" w:line="240" w:lineRule="auto"/>
      <w:ind w:left="851" w:hanging="851"/>
    </w:pPr>
    <w:rPr>
      <w:rFonts w:cs="Arial-BoldMT"/>
      <w:b/>
      <w:color w:val="064EA8"/>
      <w:sz w:val="32"/>
      <w:szCs w:val="44"/>
    </w:rPr>
  </w:style>
  <w:style w:type="character" w:customStyle="1" w:styleId="Non-numberHeading1Char">
    <w:name w:val="Non-number Heading 1 Char"/>
    <w:basedOn w:val="Heading1Char"/>
    <w:link w:val="Non-numberHeading1"/>
    <w:rsid w:val="006D2133"/>
    <w:rPr>
      <w:rFonts w:ascii="Arial" w:eastAsiaTheme="minorHAnsi" w:hAnsi="Arial" w:cs="Arial-BoldMT"/>
      <w:b/>
      <w:bCs w:val="0"/>
      <w:color w:val="064EA8"/>
      <w:sz w:val="32"/>
      <w:szCs w:val="44"/>
      <w:lang w:val="en-US" w:eastAsia="en-US"/>
    </w:rPr>
  </w:style>
  <w:style w:type="paragraph" w:styleId="NormalWeb">
    <w:name w:val="Normal (Web)"/>
    <w:basedOn w:val="Normal"/>
    <w:uiPriority w:val="99"/>
    <w:semiHidden/>
    <w:unhideWhenUsed/>
    <w:rsid w:val="006D2133"/>
    <w:rPr>
      <w:rFonts w:cs="Times New Roman"/>
      <w:sz w:val="24"/>
      <w:szCs w:val="24"/>
    </w:rPr>
  </w:style>
  <w:style w:type="character" w:styleId="PageNumber">
    <w:name w:val="page number"/>
    <w:basedOn w:val="DefaultParagraphFont"/>
    <w:uiPriority w:val="99"/>
    <w:semiHidden/>
    <w:unhideWhenUsed/>
    <w:rsid w:val="006D2133"/>
  </w:style>
  <w:style w:type="character" w:styleId="PlaceholderText">
    <w:name w:val="Placeholder Text"/>
    <w:basedOn w:val="DefaultParagraphFont"/>
    <w:uiPriority w:val="99"/>
    <w:semiHidden/>
    <w:rsid w:val="006D2133"/>
    <w:rPr>
      <w:rFonts w:ascii="Arial" w:hAnsi="Arial"/>
      <w:color w:val="808080"/>
    </w:rPr>
  </w:style>
  <w:style w:type="paragraph" w:styleId="PlainText">
    <w:name w:val="Plain Text"/>
    <w:basedOn w:val="Normal"/>
    <w:link w:val="PlainTextChar"/>
    <w:uiPriority w:val="99"/>
    <w:semiHidden/>
    <w:unhideWhenUsed/>
    <w:rsid w:val="006D2133"/>
    <w:pPr>
      <w:spacing w:after="0" w:line="240" w:lineRule="auto"/>
    </w:pPr>
    <w:rPr>
      <w:sz w:val="21"/>
      <w:szCs w:val="21"/>
    </w:rPr>
  </w:style>
  <w:style w:type="character" w:customStyle="1" w:styleId="PlainTextChar">
    <w:name w:val="Plain Text Char"/>
    <w:basedOn w:val="DefaultParagraphFont"/>
    <w:link w:val="PlainText"/>
    <w:uiPriority w:val="99"/>
    <w:semiHidden/>
    <w:rsid w:val="006D2133"/>
    <w:rPr>
      <w:rFonts w:ascii="Arial" w:eastAsiaTheme="minorHAnsi" w:hAnsi="Arial" w:cs="ArialMT"/>
      <w:color w:val="595959" w:themeColor="text1" w:themeTint="A6"/>
      <w:sz w:val="21"/>
      <w:szCs w:val="21"/>
      <w:lang w:val="en-US" w:eastAsia="en-US"/>
    </w:rPr>
  </w:style>
  <w:style w:type="paragraph" w:customStyle="1" w:styleId="TOCHeading1">
    <w:name w:val="TOC Heading 1"/>
    <w:basedOn w:val="Non-numberHeading1"/>
    <w:link w:val="TOCHeading1Char"/>
    <w:qFormat/>
    <w:rsid w:val="006D2133"/>
  </w:style>
  <w:style w:type="character" w:customStyle="1" w:styleId="TOCHeading1Char">
    <w:name w:val="TOC Heading 1 Char"/>
    <w:basedOn w:val="Non-numberHeading1Char"/>
    <w:link w:val="TOCHeading1"/>
    <w:rsid w:val="006D2133"/>
    <w:rPr>
      <w:rFonts w:ascii="Arial" w:eastAsiaTheme="minorHAnsi" w:hAnsi="Arial" w:cs="Arial-BoldMT"/>
      <w:b/>
      <w:bCs w:val="0"/>
      <w:color w:val="064EA8"/>
      <w:sz w:val="32"/>
      <w:szCs w:val="44"/>
      <w:lang w:val="en-US" w:eastAsia="en-US"/>
    </w:rPr>
  </w:style>
  <w:style w:type="character" w:styleId="CommentReference">
    <w:name w:val="annotation reference"/>
    <w:basedOn w:val="DefaultParagraphFont"/>
    <w:uiPriority w:val="99"/>
    <w:semiHidden/>
    <w:unhideWhenUsed/>
    <w:rsid w:val="003115B5"/>
    <w:rPr>
      <w:sz w:val="16"/>
      <w:szCs w:val="16"/>
    </w:rPr>
  </w:style>
  <w:style w:type="paragraph" w:styleId="CommentText">
    <w:name w:val="annotation text"/>
    <w:basedOn w:val="Normal"/>
    <w:link w:val="CommentTextChar"/>
    <w:uiPriority w:val="99"/>
    <w:semiHidden/>
    <w:unhideWhenUsed/>
    <w:rsid w:val="003115B5"/>
    <w:pPr>
      <w:spacing w:line="240" w:lineRule="auto"/>
    </w:pPr>
    <w:rPr>
      <w:sz w:val="20"/>
      <w:szCs w:val="20"/>
    </w:rPr>
  </w:style>
  <w:style w:type="character" w:customStyle="1" w:styleId="CommentTextChar">
    <w:name w:val="Comment Text Char"/>
    <w:basedOn w:val="DefaultParagraphFont"/>
    <w:link w:val="CommentText"/>
    <w:uiPriority w:val="99"/>
    <w:semiHidden/>
    <w:rsid w:val="003115B5"/>
    <w:rPr>
      <w:rFonts w:ascii="Arial" w:eastAsiaTheme="minorHAnsi" w:hAnsi="Arial" w:cs="ArialMT"/>
      <w:color w:val="595959" w:themeColor="text1" w:themeTint="A6"/>
      <w:sz w:val="20"/>
      <w:szCs w:val="20"/>
      <w:lang w:val="en-US" w:eastAsia="en-US"/>
    </w:rPr>
  </w:style>
  <w:style w:type="paragraph" w:styleId="CommentSubject">
    <w:name w:val="annotation subject"/>
    <w:basedOn w:val="CommentText"/>
    <w:next w:val="CommentText"/>
    <w:link w:val="CommentSubjectChar"/>
    <w:uiPriority w:val="99"/>
    <w:semiHidden/>
    <w:unhideWhenUsed/>
    <w:rsid w:val="003115B5"/>
    <w:rPr>
      <w:b/>
      <w:bCs/>
    </w:rPr>
  </w:style>
  <w:style w:type="character" w:customStyle="1" w:styleId="CommentSubjectChar">
    <w:name w:val="Comment Subject Char"/>
    <w:basedOn w:val="CommentTextChar"/>
    <w:link w:val="CommentSubject"/>
    <w:uiPriority w:val="99"/>
    <w:semiHidden/>
    <w:rsid w:val="003115B5"/>
    <w:rPr>
      <w:rFonts w:ascii="Arial" w:eastAsiaTheme="minorHAnsi" w:hAnsi="Arial" w:cs="ArialMT"/>
      <w:b/>
      <w:bCs/>
      <w:color w:val="595959" w:themeColor="text1" w:themeTint="A6"/>
      <w:sz w:val="20"/>
      <w:szCs w:val="20"/>
      <w:lang w:val="en-US" w:eastAsia="en-US"/>
    </w:rPr>
  </w:style>
  <w:style w:type="paragraph" w:styleId="FootnoteText">
    <w:name w:val="footnote text"/>
    <w:basedOn w:val="Normal"/>
    <w:link w:val="FootnoteTextChar"/>
    <w:uiPriority w:val="99"/>
    <w:semiHidden/>
    <w:unhideWhenUsed/>
    <w:rsid w:val="00C47555"/>
    <w:pPr>
      <w:widowControl/>
      <w:suppressAutoHyphens w:val="0"/>
      <w:autoSpaceDE/>
      <w:autoSpaceDN/>
      <w:adjustRightInd/>
      <w:spacing w:after="0" w:line="240" w:lineRule="auto"/>
      <w:textAlignment w:val="auto"/>
    </w:pPr>
    <w:rPr>
      <w:rFonts w:asciiTheme="minorHAnsi" w:eastAsiaTheme="minorEastAsia" w:hAnsiTheme="minorHAnsi" w:cstheme="minorBidi"/>
      <w:color w:val="auto"/>
      <w:sz w:val="20"/>
      <w:szCs w:val="20"/>
      <w:lang w:val="en-AU" w:eastAsia="en-AU"/>
    </w:rPr>
  </w:style>
  <w:style w:type="character" w:customStyle="1" w:styleId="FootnoteTextChar">
    <w:name w:val="Footnote Text Char"/>
    <w:basedOn w:val="DefaultParagraphFont"/>
    <w:link w:val="FootnoteText"/>
    <w:uiPriority w:val="99"/>
    <w:semiHidden/>
    <w:rsid w:val="00C47555"/>
    <w:rPr>
      <w:sz w:val="20"/>
      <w:szCs w:val="20"/>
    </w:rPr>
  </w:style>
  <w:style w:type="character" w:styleId="FootnoteReference">
    <w:name w:val="footnote reference"/>
    <w:basedOn w:val="DefaultParagraphFont"/>
    <w:uiPriority w:val="99"/>
    <w:semiHidden/>
    <w:unhideWhenUsed/>
    <w:rsid w:val="00C47555"/>
    <w:rPr>
      <w:vertAlign w:val="superscript"/>
    </w:rPr>
  </w:style>
  <w:style w:type="character" w:customStyle="1" w:styleId="valuetext1">
    <w:name w:val="valuetext1"/>
    <w:basedOn w:val="DefaultParagraphFont"/>
    <w:rsid w:val="0075325B"/>
    <w:rPr>
      <w:color w:val="0000CD"/>
    </w:rPr>
  </w:style>
  <w:style w:type="character" w:styleId="FollowedHyperlink">
    <w:name w:val="FollowedHyperlink"/>
    <w:basedOn w:val="DefaultParagraphFont"/>
    <w:uiPriority w:val="99"/>
    <w:semiHidden/>
    <w:unhideWhenUsed/>
    <w:rsid w:val="00050305"/>
    <w:rPr>
      <w:color w:val="800080" w:themeColor="followedHyperlink"/>
      <w:u w:val="single"/>
    </w:rPr>
  </w:style>
  <w:style w:type="character" w:styleId="UnresolvedMention">
    <w:name w:val="Unresolved Mention"/>
    <w:basedOn w:val="DefaultParagraphFont"/>
    <w:uiPriority w:val="99"/>
    <w:semiHidden/>
    <w:unhideWhenUsed/>
    <w:rsid w:val="00050305"/>
    <w:rPr>
      <w:color w:val="808080"/>
      <w:shd w:val="clear" w:color="auto" w:fill="E6E6E6"/>
    </w:rPr>
  </w:style>
  <w:style w:type="table" w:styleId="GridTable5Dark-Accent1">
    <w:name w:val="Grid Table 5 Dark Accent 1"/>
    <w:basedOn w:val="TableNormal"/>
    <w:uiPriority w:val="50"/>
    <w:rsid w:val="00BD56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Accent1">
    <w:name w:val="Grid Table 6 Colorful Accent 1"/>
    <w:basedOn w:val="TableNormal"/>
    <w:uiPriority w:val="51"/>
    <w:rsid w:val="00B629E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Accent1">
    <w:name w:val="Grid Table 7 Colorful Accent 1"/>
    <w:basedOn w:val="TableNormal"/>
    <w:uiPriority w:val="52"/>
    <w:rsid w:val="00B629E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GridLight">
    <w:name w:val="Grid Table Light"/>
    <w:basedOn w:val="TableNormal"/>
    <w:uiPriority w:val="40"/>
    <w:rsid w:val="00EE45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1">
    <w:name w:val="Grid Table 2 Accent 1"/>
    <w:basedOn w:val="TableNormal"/>
    <w:uiPriority w:val="47"/>
    <w:rsid w:val="00C263A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C62DD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DF0EC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224948267">
      <w:bodyDiv w:val="1"/>
      <w:marLeft w:val="0"/>
      <w:marRight w:val="0"/>
      <w:marTop w:val="0"/>
      <w:marBottom w:val="0"/>
      <w:divBdr>
        <w:top w:val="none" w:sz="0" w:space="0" w:color="auto"/>
        <w:left w:val="none" w:sz="0" w:space="0" w:color="auto"/>
        <w:bottom w:val="none" w:sz="0" w:space="0" w:color="auto"/>
        <w:right w:val="none" w:sz="0" w:space="0" w:color="auto"/>
      </w:divBdr>
    </w:div>
    <w:div w:id="258174036">
      <w:bodyDiv w:val="1"/>
      <w:marLeft w:val="0"/>
      <w:marRight w:val="0"/>
      <w:marTop w:val="0"/>
      <w:marBottom w:val="0"/>
      <w:divBdr>
        <w:top w:val="none" w:sz="0" w:space="0" w:color="auto"/>
        <w:left w:val="none" w:sz="0" w:space="0" w:color="auto"/>
        <w:bottom w:val="none" w:sz="0" w:space="0" w:color="auto"/>
        <w:right w:val="none" w:sz="0" w:space="0" w:color="auto"/>
      </w:divBdr>
    </w:div>
    <w:div w:id="295574682">
      <w:bodyDiv w:val="1"/>
      <w:marLeft w:val="0"/>
      <w:marRight w:val="0"/>
      <w:marTop w:val="0"/>
      <w:marBottom w:val="0"/>
      <w:divBdr>
        <w:top w:val="none" w:sz="0" w:space="0" w:color="auto"/>
        <w:left w:val="none" w:sz="0" w:space="0" w:color="auto"/>
        <w:bottom w:val="none" w:sz="0" w:space="0" w:color="auto"/>
        <w:right w:val="none" w:sz="0" w:space="0" w:color="auto"/>
      </w:divBdr>
    </w:div>
    <w:div w:id="410665941">
      <w:bodyDiv w:val="1"/>
      <w:marLeft w:val="0"/>
      <w:marRight w:val="0"/>
      <w:marTop w:val="0"/>
      <w:marBottom w:val="0"/>
      <w:divBdr>
        <w:top w:val="none" w:sz="0" w:space="0" w:color="auto"/>
        <w:left w:val="none" w:sz="0" w:space="0" w:color="auto"/>
        <w:bottom w:val="none" w:sz="0" w:space="0" w:color="auto"/>
        <w:right w:val="none" w:sz="0" w:space="0" w:color="auto"/>
      </w:divBdr>
    </w:div>
    <w:div w:id="738603108">
      <w:bodyDiv w:val="1"/>
      <w:marLeft w:val="0"/>
      <w:marRight w:val="0"/>
      <w:marTop w:val="0"/>
      <w:marBottom w:val="0"/>
      <w:divBdr>
        <w:top w:val="none" w:sz="0" w:space="0" w:color="auto"/>
        <w:left w:val="none" w:sz="0" w:space="0" w:color="auto"/>
        <w:bottom w:val="none" w:sz="0" w:space="0" w:color="auto"/>
        <w:right w:val="none" w:sz="0" w:space="0" w:color="auto"/>
      </w:divBdr>
    </w:div>
    <w:div w:id="767892009">
      <w:bodyDiv w:val="1"/>
      <w:marLeft w:val="0"/>
      <w:marRight w:val="0"/>
      <w:marTop w:val="0"/>
      <w:marBottom w:val="0"/>
      <w:divBdr>
        <w:top w:val="none" w:sz="0" w:space="0" w:color="auto"/>
        <w:left w:val="none" w:sz="0" w:space="0" w:color="auto"/>
        <w:bottom w:val="none" w:sz="0" w:space="0" w:color="auto"/>
        <w:right w:val="none" w:sz="0" w:space="0" w:color="auto"/>
      </w:divBdr>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38634920">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214735482">
      <w:bodyDiv w:val="1"/>
      <w:marLeft w:val="0"/>
      <w:marRight w:val="0"/>
      <w:marTop w:val="0"/>
      <w:marBottom w:val="0"/>
      <w:divBdr>
        <w:top w:val="none" w:sz="0" w:space="0" w:color="auto"/>
        <w:left w:val="none" w:sz="0" w:space="0" w:color="auto"/>
        <w:bottom w:val="none" w:sz="0" w:space="0" w:color="auto"/>
        <w:right w:val="none" w:sz="0" w:space="0" w:color="auto"/>
      </w:divBdr>
    </w:div>
    <w:div w:id="1403529728">
      <w:bodyDiv w:val="1"/>
      <w:marLeft w:val="0"/>
      <w:marRight w:val="0"/>
      <w:marTop w:val="0"/>
      <w:marBottom w:val="0"/>
      <w:divBdr>
        <w:top w:val="none" w:sz="0" w:space="0" w:color="auto"/>
        <w:left w:val="none" w:sz="0" w:space="0" w:color="auto"/>
        <w:bottom w:val="none" w:sz="0" w:space="0" w:color="auto"/>
        <w:right w:val="none" w:sz="0" w:space="0" w:color="auto"/>
      </w:divBdr>
    </w:div>
    <w:div w:id="1636522011">
      <w:bodyDiv w:val="1"/>
      <w:marLeft w:val="0"/>
      <w:marRight w:val="0"/>
      <w:marTop w:val="0"/>
      <w:marBottom w:val="0"/>
      <w:divBdr>
        <w:top w:val="none" w:sz="0" w:space="0" w:color="auto"/>
        <w:left w:val="none" w:sz="0" w:space="0" w:color="auto"/>
        <w:bottom w:val="none" w:sz="0" w:space="0" w:color="auto"/>
        <w:right w:val="none" w:sz="0" w:space="0" w:color="auto"/>
      </w:divBdr>
    </w:div>
    <w:div w:id="1734310258">
      <w:bodyDiv w:val="1"/>
      <w:marLeft w:val="0"/>
      <w:marRight w:val="0"/>
      <w:marTop w:val="0"/>
      <w:marBottom w:val="0"/>
      <w:divBdr>
        <w:top w:val="none" w:sz="0" w:space="0" w:color="auto"/>
        <w:left w:val="none" w:sz="0" w:space="0" w:color="auto"/>
        <w:bottom w:val="none" w:sz="0" w:space="0" w:color="auto"/>
        <w:right w:val="none" w:sz="0" w:space="0" w:color="auto"/>
      </w:divBdr>
    </w:div>
    <w:div w:id="1749771643">
      <w:bodyDiv w:val="1"/>
      <w:marLeft w:val="0"/>
      <w:marRight w:val="0"/>
      <w:marTop w:val="0"/>
      <w:marBottom w:val="0"/>
      <w:divBdr>
        <w:top w:val="none" w:sz="0" w:space="0" w:color="auto"/>
        <w:left w:val="none" w:sz="0" w:space="0" w:color="auto"/>
        <w:bottom w:val="none" w:sz="0" w:space="0" w:color="auto"/>
        <w:right w:val="none" w:sz="0" w:space="0" w:color="auto"/>
      </w:divBdr>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 w:id="1817255303">
      <w:bodyDiv w:val="1"/>
      <w:marLeft w:val="0"/>
      <w:marRight w:val="0"/>
      <w:marTop w:val="0"/>
      <w:marBottom w:val="0"/>
      <w:divBdr>
        <w:top w:val="none" w:sz="0" w:space="0" w:color="auto"/>
        <w:left w:val="none" w:sz="0" w:space="0" w:color="auto"/>
        <w:bottom w:val="none" w:sz="0" w:space="0" w:color="auto"/>
        <w:right w:val="none" w:sz="0" w:space="0" w:color="auto"/>
      </w:divBdr>
    </w:div>
    <w:div w:id="1903521832">
      <w:bodyDiv w:val="1"/>
      <w:marLeft w:val="0"/>
      <w:marRight w:val="0"/>
      <w:marTop w:val="0"/>
      <w:marBottom w:val="0"/>
      <w:divBdr>
        <w:top w:val="none" w:sz="0" w:space="0" w:color="auto"/>
        <w:left w:val="none" w:sz="0" w:space="0" w:color="auto"/>
        <w:bottom w:val="none" w:sz="0" w:space="0" w:color="auto"/>
        <w:right w:val="none" w:sz="0" w:space="0" w:color="auto"/>
      </w:divBdr>
    </w:div>
    <w:div w:id="2066026645">
      <w:bodyDiv w:val="1"/>
      <w:marLeft w:val="0"/>
      <w:marRight w:val="0"/>
      <w:marTop w:val="0"/>
      <w:marBottom w:val="0"/>
      <w:divBdr>
        <w:top w:val="none" w:sz="0" w:space="0" w:color="auto"/>
        <w:left w:val="none" w:sz="0" w:space="0" w:color="auto"/>
        <w:bottom w:val="none" w:sz="0" w:space="0" w:color="auto"/>
        <w:right w:val="none" w:sz="0" w:space="0" w:color="auto"/>
      </w:divBdr>
    </w:div>
    <w:div w:id="2096586065">
      <w:bodyDiv w:val="1"/>
      <w:marLeft w:val="0"/>
      <w:marRight w:val="0"/>
      <w:marTop w:val="0"/>
      <w:marBottom w:val="0"/>
      <w:divBdr>
        <w:top w:val="none" w:sz="0" w:space="0" w:color="auto"/>
        <w:left w:val="none" w:sz="0" w:space="0" w:color="auto"/>
        <w:bottom w:val="none" w:sz="0" w:space="0" w:color="auto"/>
        <w:right w:val="none" w:sz="0" w:space="0" w:color="auto"/>
      </w:divBdr>
    </w:div>
    <w:div w:id="211898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arthresources.vic.gov.au/earth-resources-regulation" TargetMode="External"/><Relationship Id="rId18" Type="http://schemas.openxmlformats.org/officeDocument/2006/relationships/chart" Target="charts/chart4.xml"/><Relationship Id="rId26" Type="http://schemas.openxmlformats.org/officeDocument/2006/relationships/chart" Target="charts/chart8.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bs.gov.au/ausstats/abs@.nsf/mf/8412.0" TargetMode="External"/><Relationship Id="rId34" Type="http://schemas.openxmlformats.org/officeDocument/2006/relationships/chart" Target="charts/chart16.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3.xml"/><Relationship Id="rId25" Type="http://schemas.microsoft.com/office/2016/09/relationships/commentsIds" Target="commentsIds.xml"/><Relationship Id="rId33" Type="http://schemas.openxmlformats.org/officeDocument/2006/relationships/chart" Target="charts/chart15.xm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1.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commentsExtended" Target="commentsExtended.xml"/><Relationship Id="rId32" Type="http://schemas.openxmlformats.org/officeDocument/2006/relationships/chart" Target="charts/chart14.xml"/><Relationship Id="rId37" Type="http://schemas.openxmlformats.org/officeDocument/2006/relationships/hyperlink" Target="http://earthresources.vic.gov.au/earth-resources-regulation/about-us/regulator-and-industry-reporting/earth-resources-regulation-annual-statistical-report/"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omments" Target="comments.xml"/><Relationship Id="rId28" Type="http://schemas.openxmlformats.org/officeDocument/2006/relationships/chart" Target="charts/chart10.xml"/><Relationship Id="rId36" Type="http://schemas.openxmlformats.org/officeDocument/2006/relationships/hyperlink" Target="https://www.energy.vic.gov.au/pipelines" TargetMode="Externa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arthresources.vic.gov.au/earth-resources-regulation/about-us/regulator-and-industry-reporting/earth-resources-regulation-annual-statistical-report/" TargetMode="External"/><Relationship Id="rId22" Type="http://schemas.openxmlformats.org/officeDocument/2006/relationships/chart" Target="charts/chart7.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Exploration Licences</c:v>
                </c:pt>
              </c:strCache>
            </c:strRef>
          </c:tx>
          <c:spPr>
            <a:solidFill>
              <a:schemeClr val="accent1"/>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Sheet1!$B$2:$B$8</c:f>
              <c:numCache>
                <c:formatCode>General</c:formatCode>
                <c:ptCount val="7"/>
                <c:pt idx="0">
                  <c:v>326</c:v>
                </c:pt>
                <c:pt idx="1">
                  <c:v>311</c:v>
                </c:pt>
                <c:pt idx="2">
                  <c:v>271</c:v>
                </c:pt>
                <c:pt idx="3">
                  <c:v>247</c:v>
                </c:pt>
                <c:pt idx="4">
                  <c:v>211</c:v>
                </c:pt>
                <c:pt idx="5">
                  <c:v>180</c:v>
                </c:pt>
                <c:pt idx="6">
                  <c:v>200</c:v>
                </c:pt>
              </c:numCache>
            </c:numRef>
          </c:val>
          <c:extLst>
            <c:ext xmlns:c16="http://schemas.microsoft.com/office/drawing/2014/chart" uri="{C3380CC4-5D6E-409C-BE32-E72D297353CC}">
              <c16:uniqueId val="{00000000-DDEA-443D-8541-93BD5131956A}"/>
            </c:ext>
          </c:extLst>
        </c:ser>
        <c:ser>
          <c:idx val="1"/>
          <c:order val="1"/>
          <c:tx>
            <c:strRef>
              <c:f>Sheet1!$C$1</c:f>
              <c:strCache>
                <c:ptCount val="1"/>
                <c:pt idx="0">
                  <c:v>Mining Licences</c:v>
                </c:pt>
              </c:strCache>
            </c:strRef>
          </c:tx>
          <c:spPr>
            <a:solidFill>
              <a:schemeClr val="accent2"/>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Sheet1!$C$2:$C$8</c:f>
              <c:numCache>
                <c:formatCode>General</c:formatCode>
                <c:ptCount val="7"/>
                <c:pt idx="0">
                  <c:v>208</c:v>
                </c:pt>
                <c:pt idx="1">
                  <c:v>212</c:v>
                </c:pt>
                <c:pt idx="2">
                  <c:v>191</c:v>
                </c:pt>
                <c:pt idx="3">
                  <c:v>171</c:v>
                </c:pt>
                <c:pt idx="4">
                  <c:v>170</c:v>
                </c:pt>
                <c:pt idx="5">
                  <c:v>162</c:v>
                </c:pt>
                <c:pt idx="6">
                  <c:v>156</c:v>
                </c:pt>
              </c:numCache>
            </c:numRef>
          </c:val>
          <c:extLst>
            <c:ext xmlns:c16="http://schemas.microsoft.com/office/drawing/2014/chart" uri="{C3380CC4-5D6E-409C-BE32-E72D297353CC}">
              <c16:uniqueId val="{00000001-DDEA-443D-8541-93BD5131956A}"/>
            </c:ext>
          </c:extLst>
        </c:ser>
        <c:ser>
          <c:idx val="2"/>
          <c:order val="2"/>
          <c:tx>
            <c:strRef>
              <c:f>Sheet1!$D$1</c:f>
              <c:strCache>
                <c:ptCount val="1"/>
                <c:pt idx="0">
                  <c:v>Prospecting Licences</c:v>
                </c:pt>
              </c:strCache>
            </c:strRef>
          </c:tx>
          <c:spPr>
            <a:solidFill>
              <a:schemeClr val="accent3"/>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Sheet1!$D$2:$D$8</c:f>
              <c:numCache>
                <c:formatCode>General</c:formatCode>
                <c:ptCount val="7"/>
                <c:pt idx="0">
                  <c:v>1</c:v>
                </c:pt>
                <c:pt idx="1">
                  <c:v>13</c:v>
                </c:pt>
                <c:pt idx="2">
                  <c:v>31</c:v>
                </c:pt>
                <c:pt idx="3">
                  <c:v>41</c:v>
                </c:pt>
                <c:pt idx="4">
                  <c:v>51</c:v>
                </c:pt>
                <c:pt idx="5">
                  <c:v>54</c:v>
                </c:pt>
                <c:pt idx="6">
                  <c:v>59</c:v>
                </c:pt>
              </c:numCache>
            </c:numRef>
          </c:val>
          <c:extLst>
            <c:ext xmlns:c16="http://schemas.microsoft.com/office/drawing/2014/chart" uri="{C3380CC4-5D6E-409C-BE32-E72D297353CC}">
              <c16:uniqueId val="{00000002-DDEA-443D-8541-93BD5131956A}"/>
            </c:ext>
          </c:extLst>
        </c:ser>
        <c:ser>
          <c:idx val="3"/>
          <c:order val="3"/>
          <c:tx>
            <c:strRef>
              <c:f>Sheet1!$E$1</c:f>
              <c:strCache>
                <c:ptCount val="1"/>
                <c:pt idx="0">
                  <c:v>Retention Licences</c:v>
                </c:pt>
              </c:strCache>
            </c:strRef>
          </c:tx>
          <c:spPr>
            <a:solidFill>
              <a:schemeClr val="accent4"/>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Sheet1!$E$2:$E$8</c:f>
              <c:numCache>
                <c:formatCode>General</c:formatCode>
                <c:ptCount val="7"/>
                <c:pt idx="0">
                  <c:v>0</c:v>
                </c:pt>
                <c:pt idx="1">
                  <c:v>1</c:v>
                </c:pt>
                <c:pt idx="2">
                  <c:v>1</c:v>
                </c:pt>
                <c:pt idx="3">
                  <c:v>8</c:v>
                </c:pt>
                <c:pt idx="4">
                  <c:v>11</c:v>
                </c:pt>
                <c:pt idx="5">
                  <c:v>15</c:v>
                </c:pt>
                <c:pt idx="6">
                  <c:v>20</c:v>
                </c:pt>
              </c:numCache>
            </c:numRef>
          </c:val>
          <c:extLst>
            <c:ext xmlns:c16="http://schemas.microsoft.com/office/drawing/2014/chart" uri="{C3380CC4-5D6E-409C-BE32-E72D297353CC}">
              <c16:uniqueId val="{00000003-DDEA-443D-8541-93BD5131956A}"/>
            </c:ext>
          </c:extLst>
        </c:ser>
        <c:dLbls>
          <c:showLegendKey val="0"/>
          <c:showVal val="0"/>
          <c:showCatName val="0"/>
          <c:showSerName val="0"/>
          <c:showPercent val="0"/>
          <c:showBubbleSize val="0"/>
        </c:dLbls>
        <c:gapWidth val="219"/>
        <c:overlap val="-27"/>
        <c:axId val="285824072"/>
        <c:axId val="285827024"/>
      </c:barChart>
      <c:catAx>
        <c:axId val="285824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827024"/>
        <c:crosses val="autoZero"/>
        <c:auto val="1"/>
        <c:lblAlgn val="ctr"/>
        <c:lblOffset val="100"/>
        <c:noMultiLvlLbl val="0"/>
      </c:catAx>
      <c:valAx>
        <c:axId val="285827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Licences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824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Gold</c:v>
                </c:pt>
              </c:strCache>
            </c:strRef>
          </c:tx>
          <c:spPr>
            <a:solidFill>
              <a:schemeClr val="accent1"/>
            </a:solidFill>
            <a:ln>
              <a:noFill/>
            </a:ln>
            <a:effectLst/>
          </c:spPr>
          <c:invertIfNegative val="0"/>
          <c:cat>
            <c:strRef>
              <c:f>Sheet1!$A$2:$A$7</c:f>
              <c:strCache>
                <c:ptCount val="6"/>
                <c:pt idx="0">
                  <c:v>2012-13</c:v>
                </c:pt>
                <c:pt idx="1">
                  <c:v>2013-14</c:v>
                </c:pt>
                <c:pt idx="2">
                  <c:v>2014-15</c:v>
                </c:pt>
                <c:pt idx="3">
                  <c:v>2015-16</c:v>
                </c:pt>
                <c:pt idx="4">
                  <c:v>2016-17</c:v>
                </c:pt>
                <c:pt idx="5">
                  <c:v>2017-18</c:v>
                </c:pt>
              </c:strCache>
            </c:strRef>
          </c:cat>
          <c:val>
            <c:numRef>
              <c:f>Sheet1!$B$2:$B$7</c:f>
              <c:numCache>
                <c:formatCode>General</c:formatCode>
                <c:ptCount val="6"/>
                <c:pt idx="0">
                  <c:v>225776</c:v>
                </c:pt>
                <c:pt idx="1">
                  <c:v>225168</c:v>
                </c:pt>
                <c:pt idx="2">
                  <c:v>198387</c:v>
                </c:pt>
                <c:pt idx="3">
                  <c:v>256653</c:v>
                </c:pt>
                <c:pt idx="4">
                  <c:v>312229</c:v>
                </c:pt>
                <c:pt idx="5">
                  <c:v>364225</c:v>
                </c:pt>
              </c:numCache>
            </c:numRef>
          </c:val>
          <c:extLst>
            <c:ext xmlns:c16="http://schemas.microsoft.com/office/drawing/2014/chart" uri="{C3380CC4-5D6E-409C-BE32-E72D297353CC}">
              <c16:uniqueId val="{00000000-851D-4EFB-A887-2BDA9FA17D3F}"/>
            </c:ext>
          </c:extLst>
        </c:ser>
        <c:dLbls>
          <c:showLegendKey val="0"/>
          <c:showVal val="0"/>
          <c:showCatName val="0"/>
          <c:showSerName val="0"/>
          <c:showPercent val="0"/>
          <c:showBubbleSize val="0"/>
        </c:dLbls>
        <c:gapWidth val="219"/>
        <c:overlap val="-27"/>
        <c:axId val="758629000"/>
        <c:axId val="758634248"/>
      </c:barChart>
      <c:catAx>
        <c:axId val="758629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634248"/>
        <c:crosses val="autoZero"/>
        <c:auto val="1"/>
        <c:lblAlgn val="ctr"/>
        <c:lblOffset val="100"/>
        <c:noMultiLvlLbl val="0"/>
      </c:catAx>
      <c:valAx>
        <c:axId val="758634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629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 of Quarries</c:v>
                </c:pt>
              </c:strCache>
            </c:strRef>
          </c:tx>
          <c:spPr>
            <a:solidFill>
              <a:schemeClr val="accent1"/>
            </a:solidFill>
            <a:ln>
              <a:noFill/>
            </a:ln>
            <a:effectLst/>
          </c:spPr>
          <c:invertIfNegative val="0"/>
          <c:cat>
            <c:strRef>
              <c:f>Sheet1!$A$2:$A$7</c:f>
              <c:strCache>
                <c:ptCount val="6"/>
                <c:pt idx="0">
                  <c:v>2012-13</c:v>
                </c:pt>
                <c:pt idx="1">
                  <c:v>2013-14</c:v>
                </c:pt>
                <c:pt idx="2">
                  <c:v>2014-15</c:v>
                </c:pt>
                <c:pt idx="3">
                  <c:v>2015-16</c:v>
                </c:pt>
                <c:pt idx="4">
                  <c:v>2016-17</c:v>
                </c:pt>
                <c:pt idx="5">
                  <c:v>2017-18</c:v>
                </c:pt>
              </c:strCache>
            </c:strRef>
          </c:cat>
          <c:val>
            <c:numRef>
              <c:f>Sheet1!$B$2:$B$7</c:f>
              <c:numCache>
                <c:formatCode>General</c:formatCode>
                <c:ptCount val="6"/>
                <c:pt idx="0">
                  <c:v>893</c:v>
                </c:pt>
                <c:pt idx="1">
                  <c:v>884</c:v>
                </c:pt>
                <c:pt idx="2">
                  <c:v>884</c:v>
                </c:pt>
                <c:pt idx="3">
                  <c:v>888</c:v>
                </c:pt>
                <c:pt idx="4">
                  <c:v>888</c:v>
                </c:pt>
                <c:pt idx="5">
                  <c:v>881</c:v>
                </c:pt>
              </c:numCache>
            </c:numRef>
          </c:val>
          <c:extLst>
            <c:ext xmlns:c16="http://schemas.microsoft.com/office/drawing/2014/chart" uri="{C3380CC4-5D6E-409C-BE32-E72D297353CC}">
              <c16:uniqueId val="{00000000-C648-4893-A907-147B5E35ACDD}"/>
            </c:ext>
          </c:extLst>
        </c:ser>
        <c:dLbls>
          <c:showLegendKey val="0"/>
          <c:showVal val="0"/>
          <c:showCatName val="0"/>
          <c:showSerName val="0"/>
          <c:showPercent val="0"/>
          <c:showBubbleSize val="0"/>
        </c:dLbls>
        <c:gapWidth val="219"/>
        <c:axId val="614530272"/>
        <c:axId val="614531912"/>
      </c:barChart>
      <c:lineChart>
        <c:grouping val="standard"/>
        <c:varyColors val="0"/>
        <c:ser>
          <c:idx val="1"/>
          <c:order val="1"/>
          <c:tx>
            <c:strRef>
              <c:f>Sheet1!$C$1</c:f>
              <c:strCache>
                <c:ptCount val="1"/>
                <c:pt idx="0">
                  <c:v>Production </c:v>
                </c:pt>
              </c:strCache>
            </c:strRef>
          </c:tx>
          <c:spPr>
            <a:ln w="28575" cap="rnd">
              <a:solidFill>
                <a:schemeClr val="accent2"/>
              </a:solidFill>
              <a:round/>
            </a:ln>
            <a:effectLst/>
          </c:spPr>
          <c:marker>
            <c:symbol val="none"/>
          </c:marker>
          <c:cat>
            <c:strRef>
              <c:f>Sheet1!$A$2:$A$7</c:f>
              <c:strCache>
                <c:ptCount val="6"/>
                <c:pt idx="0">
                  <c:v>2012-13</c:v>
                </c:pt>
                <c:pt idx="1">
                  <c:v>2013-14</c:v>
                </c:pt>
                <c:pt idx="2">
                  <c:v>2014-15</c:v>
                </c:pt>
                <c:pt idx="3">
                  <c:v>2015-16</c:v>
                </c:pt>
                <c:pt idx="4">
                  <c:v>2016-17</c:v>
                </c:pt>
                <c:pt idx="5">
                  <c:v>2017-18</c:v>
                </c:pt>
              </c:strCache>
            </c:strRef>
          </c:cat>
          <c:val>
            <c:numRef>
              <c:f>Sheet1!$C$2:$C$7</c:f>
              <c:numCache>
                <c:formatCode>General</c:formatCode>
                <c:ptCount val="6"/>
                <c:pt idx="0">
                  <c:v>47.4</c:v>
                </c:pt>
                <c:pt idx="1">
                  <c:v>39.6</c:v>
                </c:pt>
                <c:pt idx="2">
                  <c:v>50.3</c:v>
                </c:pt>
                <c:pt idx="3">
                  <c:v>47.3</c:v>
                </c:pt>
                <c:pt idx="4">
                  <c:v>57.4</c:v>
                </c:pt>
                <c:pt idx="5">
                  <c:v>57.9</c:v>
                </c:pt>
              </c:numCache>
            </c:numRef>
          </c:val>
          <c:smooth val="0"/>
          <c:extLst>
            <c:ext xmlns:c16="http://schemas.microsoft.com/office/drawing/2014/chart" uri="{C3380CC4-5D6E-409C-BE32-E72D297353CC}">
              <c16:uniqueId val="{00000001-C648-4893-A907-147B5E35ACDD}"/>
            </c:ext>
          </c:extLst>
        </c:ser>
        <c:dLbls>
          <c:showLegendKey val="0"/>
          <c:showVal val="0"/>
          <c:showCatName val="0"/>
          <c:showSerName val="0"/>
          <c:showPercent val="0"/>
          <c:showBubbleSize val="0"/>
        </c:dLbls>
        <c:marker val="1"/>
        <c:smooth val="0"/>
        <c:axId val="622777536"/>
        <c:axId val="622780160"/>
      </c:lineChart>
      <c:catAx>
        <c:axId val="61453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531912"/>
        <c:crosses val="autoZero"/>
        <c:auto val="1"/>
        <c:lblAlgn val="ctr"/>
        <c:lblOffset val="100"/>
        <c:noMultiLvlLbl val="0"/>
      </c:catAx>
      <c:valAx>
        <c:axId val="61453191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No. of Quarries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530272"/>
        <c:crosses val="autoZero"/>
        <c:crossBetween val="between"/>
      </c:valAx>
      <c:valAx>
        <c:axId val="62278016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Million</a:t>
                </a:r>
                <a:r>
                  <a:rPr lang="en-AU" baseline="0"/>
                  <a:t> Tonnes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777536"/>
        <c:crosses val="max"/>
        <c:crossBetween val="between"/>
      </c:valAx>
      <c:catAx>
        <c:axId val="622777536"/>
        <c:scaling>
          <c:orientation val="minMax"/>
        </c:scaling>
        <c:delete val="1"/>
        <c:axPos val="b"/>
        <c:numFmt formatCode="General" sourceLinked="1"/>
        <c:majorTickMark val="out"/>
        <c:minorTickMark val="none"/>
        <c:tickLblPos val="nextTo"/>
        <c:crossAx val="6227801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Fees and Charges</c:v>
                </c:pt>
              </c:strCache>
            </c:strRef>
          </c:tx>
          <c:spPr>
            <a:solidFill>
              <a:schemeClr val="accent1"/>
            </a:solidFill>
            <a:ln>
              <a:noFill/>
            </a:ln>
            <a:effectLst/>
          </c:spPr>
          <c:invertIfNegative val="0"/>
          <c:cat>
            <c:strRef>
              <c:f>Sheet1!$A$2:$A$4</c:f>
              <c:strCache>
                <c:ptCount val="3"/>
                <c:pt idx="0">
                  <c:v>2015-16</c:v>
                </c:pt>
                <c:pt idx="1">
                  <c:v>2016-17</c:v>
                </c:pt>
                <c:pt idx="2">
                  <c:v>2017-18</c:v>
                </c:pt>
              </c:strCache>
            </c:strRef>
          </c:cat>
          <c:val>
            <c:numRef>
              <c:f>Sheet1!$B$2:$B$4</c:f>
              <c:numCache>
                <c:formatCode>General</c:formatCode>
                <c:ptCount val="3"/>
                <c:pt idx="0">
                  <c:v>0.7</c:v>
                </c:pt>
                <c:pt idx="1">
                  <c:v>0.7</c:v>
                </c:pt>
                <c:pt idx="2">
                  <c:v>0.8</c:v>
                </c:pt>
              </c:numCache>
            </c:numRef>
          </c:val>
          <c:extLst>
            <c:ext xmlns:c16="http://schemas.microsoft.com/office/drawing/2014/chart" uri="{C3380CC4-5D6E-409C-BE32-E72D297353CC}">
              <c16:uniqueId val="{00000000-5F67-400F-8BAD-C40A57784CE3}"/>
            </c:ext>
          </c:extLst>
        </c:ser>
        <c:ser>
          <c:idx val="1"/>
          <c:order val="1"/>
          <c:tx>
            <c:strRef>
              <c:f>Sheet1!$C$1</c:f>
              <c:strCache>
                <c:ptCount val="1"/>
                <c:pt idx="0">
                  <c:v>Rent</c:v>
                </c:pt>
              </c:strCache>
            </c:strRef>
          </c:tx>
          <c:spPr>
            <a:solidFill>
              <a:schemeClr val="accent2"/>
            </a:solidFill>
            <a:ln>
              <a:noFill/>
            </a:ln>
            <a:effectLst/>
          </c:spPr>
          <c:invertIfNegative val="0"/>
          <c:cat>
            <c:strRef>
              <c:f>Sheet1!$A$2:$A$4</c:f>
              <c:strCache>
                <c:ptCount val="3"/>
                <c:pt idx="0">
                  <c:v>2015-16</c:v>
                </c:pt>
                <c:pt idx="1">
                  <c:v>2016-17</c:v>
                </c:pt>
                <c:pt idx="2">
                  <c:v>2017-18</c:v>
                </c:pt>
              </c:strCache>
            </c:strRef>
          </c:cat>
          <c:val>
            <c:numRef>
              <c:f>Sheet1!$C$2:$C$4</c:f>
              <c:numCache>
                <c:formatCode>General</c:formatCode>
                <c:ptCount val="3"/>
                <c:pt idx="0" formatCode="0.0">
                  <c:v>2</c:v>
                </c:pt>
                <c:pt idx="1">
                  <c:v>1.4</c:v>
                </c:pt>
                <c:pt idx="2">
                  <c:v>1.7</c:v>
                </c:pt>
              </c:numCache>
            </c:numRef>
          </c:val>
          <c:extLst>
            <c:ext xmlns:c16="http://schemas.microsoft.com/office/drawing/2014/chart" uri="{C3380CC4-5D6E-409C-BE32-E72D297353CC}">
              <c16:uniqueId val="{00000001-5F67-400F-8BAD-C40A57784CE3}"/>
            </c:ext>
          </c:extLst>
        </c:ser>
        <c:ser>
          <c:idx val="3"/>
          <c:order val="3"/>
          <c:tx>
            <c:strRef>
              <c:f>Sheet1!$E$1</c:f>
              <c:strCache>
                <c:ptCount val="1"/>
                <c:pt idx="0">
                  <c:v>Mine Stability Levy</c:v>
                </c:pt>
              </c:strCache>
            </c:strRef>
          </c:tx>
          <c:spPr>
            <a:solidFill>
              <a:schemeClr val="accent4"/>
            </a:solidFill>
            <a:ln>
              <a:noFill/>
            </a:ln>
            <a:effectLst/>
          </c:spPr>
          <c:invertIfNegative val="0"/>
          <c:cat>
            <c:strRef>
              <c:f>Sheet1!$A$2:$A$4</c:f>
              <c:strCache>
                <c:ptCount val="3"/>
                <c:pt idx="0">
                  <c:v>2015-16</c:v>
                </c:pt>
                <c:pt idx="1">
                  <c:v>2016-17</c:v>
                </c:pt>
                <c:pt idx="2">
                  <c:v>2017-18</c:v>
                </c:pt>
              </c:strCache>
            </c:strRef>
          </c:cat>
          <c:val>
            <c:numRef>
              <c:f>Sheet1!$E$2:$E$4</c:f>
              <c:numCache>
                <c:formatCode>General</c:formatCode>
                <c:ptCount val="3"/>
                <c:pt idx="0">
                  <c:v>1.4</c:v>
                </c:pt>
                <c:pt idx="1">
                  <c:v>1.4</c:v>
                </c:pt>
                <c:pt idx="2">
                  <c:v>1.5</c:v>
                </c:pt>
              </c:numCache>
            </c:numRef>
          </c:val>
          <c:extLst>
            <c:ext xmlns:c16="http://schemas.microsoft.com/office/drawing/2014/chart" uri="{C3380CC4-5D6E-409C-BE32-E72D297353CC}">
              <c16:uniqueId val="{00000003-5F67-400F-8BAD-C40A57784CE3}"/>
            </c:ext>
          </c:extLst>
        </c:ser>
        <c:dLbls>
          <c:showLegendKey val="0"/>
          <c:showVal val="0"/>
          <c:showCatName val="0"/>
          <c:showSerName val="0"/>
          <c:showPercent val="0"/>
          <c:showBubbleSize val="0"/>
        </c:dLbls>
        <c:gapWidth val="219"/>
        <c:axId val="633060872"/>
        <c:axId val="633060544"/>
      </c:barChart>
      <c:lineChart>
        <c:grouping val="standard"/>
        <c:varyColors val="0"/>
        <c:ser>
          <c:idx val="2"/>
          <c:order val="2"/>
          <c:tx>
            <c:strRef>
              <c:f>Sheet1!$D$1</c:f>
              <c:strCache>
                <c:ptCount val="1"/>
                <c:pt idx="0">
                  <c:v>Royalty</c:v>
                </c:pt>
              </c:strCache>
            </c:strRef>
          </c:tx>
          <c:spPr>
            <a:ln w="28575" cap="rnd">
              <a:solidFill>
                <a:schemeClr val="accent3"/>
              </a:solidFill>
              <a:round/>
            </a:ln>
            <a:effectLst/>
          </c:spPr>
          <c:marker>
            <c:symbol val="none"/>
          </c:marker>
          <c:cat>
            <c:strRef>
              <c:f>Sheet1!$A$2:$A$4</c:f>
              <c:strCache>
                <c:ptCount val="3"/>
                <c:pt idx="0">
                  <c:v>2015-16</c:v>
                </c:pt>
                <c:pt idx="1">
                  <c:v>2016-17</c:v>
                </c:pt>
                <c:pt idx="2">
                  <c:v>2017-18</c:v>
                </c:pt>
              </c:strCache>
            </c:strRef>
          </c:cat>
          <c:val>
            <c:numRef>
              <c:f>Sheet1!$D$2:$D$4</c:f>
              <c:numCache>
                <c:formatCode>0.0</c:formatCode>
                <c:ptCount val="3"/>
                <c:pt idx="0">
                  <c:v>47.7</c:v>
                </c:pt>
                <c:pt idx="1">
                  <c:v>83.1</c:v>
                </c:pt>
                <c:pt idx="2">
                  <c:v>99.1</c:v>
                </c:pt>
              </c:numCache>
            </c:numRef>
          </c:val>
          <c:smooth val="0"/>
          <c:extLst>
            <c:ext xmlns:c16="http://schemas.microsoft.com/office/drawing/2014/chart" uri="{C3380CC4-5D6E-409C-BE32-E72D297353CC}">
              <c16:uniqueId val="{00000002-5F67-400F-8BAD-C40A57784CE3}"/>
            </c:ext>
          </c:extLst>
        </c:ser>
        <c:dLbls>
          <c:showLegendKey val="0"/>
          <c:showVal val="0"/>
          <c:showCatName val="0"/>
          <c:showSerName val="0"/>
          <c:showPercent val="0"/>
          <c:showBubbleSize val="0"/>
        </c:dLbls>
        <c:marker val="1"/>
        <c:smooth val="0"/>
        <c:axId val="600034368"/>
        <c:axId val="600030104"/>
      </c:lineChart>
      <c:catAx>
        <c:axId val="633060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060544"/>
        <c:crosses val="autoZero"/>
        <c:auto val="1"/>
        <c:lblAlgn val="ctr"/>
        <c:lblOffset val="100"/>
        <c:noMultiLvlLbl val="0"/>
      </c:catAx>
      <c:valAx>
        <c:axId val="633060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aseline="0"/>
                  <a:t>$A Millions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060872"/>
        <c:crosses val="autoZero"/>
        <c:crossBetween val="between"/>
      </c:valAx>
      <c:valAx>
        <c:axId val="60003010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Royalty</a:t>
                </a:r>
                <a:r>
                  <a:rPr lang="en-AU" baseline="0"/>
                  <a:t>  $A Millions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034368"/>
        <c:crosses val="max"/>
        <c:crossBetween val="between"/>
      </c:valAx>
      <c:catAx>
        <c:axId val="600034368"/>
        <c:scaling>
          <c:orientation val="minMax"/>
        </c:scaling>
        <c:delete val="1"/>
        <c:axPos val="b"/>
        <c:numFmt formatCode="General" sourceLinked="1"/>
        <c:majorTickMark val="out"/>
        <c:minorTickMark val="none"/>
        <c:tickLblPos val="nextTo"/>
        <c:crossAx val="6000301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Sheet1!$C$1</c:f>
              <c:strCache>
                <c:ptCount val="1"/>
                <c:pt idx="0">
                  <c:v>Minerals</c:v>
                </c:pt>
              </c:strCache>
            </c:strRef>
          </c:tx>
          <c:spPr>
            <a:solidFill>
              <a:schemeClr val="accent2"/>
            </a:solidFill>
            <a:ln>
              <a:noFill/>
            </a:ln>
            <a:effectLst/>
          </c:spPr>
          <c:invertIfNegative val="0"/>
          <c:cat>
            <c:strRef>
              <c:f>Sheet1!$A$2:$A$4</c:f>
              <c:strCache>
                <c:ptCount val="3"/>
                <c:pt idx="0">
                  <c:v>2015-16</c:v>
                </c:pt>
                <c:pt idx="1">
                  <c:v>2016-17</c:v>
                </c:pt>
                <c:pt idx="2">
                  <c:v>2017-18</c:v>
                </c:pt>
              </c:strCache>
            </c:strRef>
          </c:cat>
          <c:val>
            <c:numRef>
              <c:f>Sheet1!$C$2:$C$4</c:f>
              <c:numCache>
                <c:formatCode>General</c:formatCode>
                <c:ptCount val="3"/>
                <c:pt idx="0">
                  <c:v>5.7</c:v>
                </c:pt>
                <c:pt idx="1">
                  <c:v>6.1</c:v>
                </c:pt>
                <c:pt idx="2">
                  <c:v>5.6</c:v>
                </c:pt>
              </c:numCache>
            </c:numRef>
          </c:val>
          <c:extLst>
            <c:ext xmlns:c16="http://schemas.microsoft.com/office/drawing/2014/chart" uri="{C3380CC4-5D6E-409C-BE32-E72D297353CC}">
              <c16:uniqueId val="{00000001-A242-4C78-87CA-5D95CBC2037D}"/>
            </c:ext>
          </c:extLst>
        </c:ser>
        <c:ser>
          <c:idx val="2"/>
          <c:order val="2"/>
          <c:tx>
            <c:strRef>
              <c:f>Sheet1!$D$1</c:f>
              <c:strCache>
                <c:ptCount val="1"/>
                <c:pt idx="0">
                  <c:v>Extractive</c:v>
                </c:pt>
              </c:strCache>
            </c:strRef>
          </c:tx>
          <c:spPr>
            <a:solidFill>
              <a:schemeClr val="accent3"/>
            </a:solidFill>
            <a:ln>
              <a:noFill/>
            </a:ln>
            <a:effectLst/>
          </c:spPr>
          <c:invertIfNegative val="0"/>
          <c:cat>
            <c:strRef>
              <c:f>Sheet1!$A$2:$A$4</c:f>
              <c:strCache>
                <c:ptCount val="3"/>
                <c:pt idx="0">
                  <c:v>2015-16</c:v>
                </c:pt>
                <c:pt idx="1">
                  <c:v>2016-17</c:v>
                </c:pt>
                <c:pt idx="2">
                  <c:v>2017-18</c:v>
                </c:pt>
              </c:strCache>
            </c:strRef>
          </c:cat>
          <c:val>
            <c:numRef>
              <c:f>Sheet1!$D$2:$D$4</c:f>
              <c:numCache>
                <c:formatCode>General</c:formatCode>
                <c:ptCount val="3"/>
                <c:pt idx="0" formatCode="0.0">
                  <c:v>6.2</c:v>
                </c:pt>
                <c:pt idx="1">
                  <c:v>5.9</c:v>
                </c:pt>
                <c:pt idx="2">
                  <c:v>6.2</c:v>
                </c:pt>
              </c:numCache>
            </c:numRef>
          </c:val>
          <c:extLst>
            <c:ext xmlns:c16="http://schemas.microsoft.com/office/drawing/2014/chart" uri="{C3380CC4-5D6E-409C-BE32-E72D297353CC}">
              <c16:uniqueId val="{00000002-A242-4C78-87CA-5D95CBC2037D}"/>
            </c:ext>
          </c:extLst>
        </c:ser>
        <c:ser>
          <c:idx val="3"/>
          <c:order val="3"/>
          <c:tx>
            <c:strRef>
              <c:f>Sheet1!$E$1</c:f>
              <c:strCache>
                <c:ptCount val="1"/>
                <c:pt idx="0">
                  <c:v>Petroleum</c:v>
                </c:pt>
              </c:strCache>
            </c:strRef>
          </c:tx>
          <c:spPr>
            <a:solidFill>
              <a:schemeClr val="accent4"/>
            </a:solidFill>
            <a:ln>
              <a:noFill/>
            </a:ln>
            <a:effectLst/>
          </c:spPr>
          <c:invertIfNegative val="0"/>
          <c:cat>
            <c:strRef>
              <c:f>Sheet1!$A$2:$A$4</c:f>
              <c:strCache>
                <c:ptCount val="3"/>
                <c:pt idx="0">
                  <c:v>2015-16</c:v>
                </c:pt>
                <c:pt idx="1">
                  <c:v>2016-17</c:v>
                </c:pt>
                <c:pt idx="2">
                  <c:v>2017-18</c:v>
                </c:pt>
              </c:strCache>
            </c:strRef>
          </c:cat>
          <c:val>
            <c:numRef>
              <c:f>Sheet1!$E$2:$E$4</c:f>
              <c:numCache>
                <c:formatCode>0.0</c:formatCode>
                <c:ptCount val="3"/>
                <c:pt idx="0">
                  <c:v>0.1</c:v>
                </c:pt>
                <c:pt idx="1">
                  <c:v>4.2</c:v>
                </c:pt>
                <c:pt idx="2">
                  <c:v>3.2</c:v>
                </c:pt>
              </c:numCache>
            </c:numRef>
          </c:val>
          <c:extLst>
            <c:ext xmlns:c16="http://schemas.microsoft.com/office/drawing/2014/chart" uri="{C3380CC4-5D6E-409C-BE32-E72D297353CC}">
              <c16:uniqueId val="{00000000-4417-4F1E-9EDC-42881F2B1B76}"/>
            </c:ext>
          </c:extLst>
        </c:ser>
        <c:dLbls>
          <c:showLegendKey val="0"/>
          <c:showVal val="0"/>
          <c:showCatName val="0"/>
          <c:showSerName val="0"/>
          <c:showPercent val="0"/>
          <c:showBubbleSize val="0"/>
        </c:dLbls>
        <c:gapWidth val="150"/>
        <c:axId val="700731408"/>
        <c:axId val="700732064"/>
      </c:barChart>
      <c:lineChart>
        <c:grouping val="standard"/>
        <c:varyColors val="0"/>
        <c:ser>
          <c:idx val="0"/>
          <c:order val="0"/>
          <c:tx>
            <c:strRef>
              <c:f>Sheet1!$B$1</c:f>
              <c:strCache>
                <c:ptCount val="1"/>
                <c:pt idx="0">
                  <c:v>Coal</c:v>
                </c:pt>
              </c:strCache>
            </c:strRef>
          </c:tx>
          <c:spPr>
            <a:ln w="28575" cap="rnd">
              <a:solidFill>
                <a:schemeClr val="accent1"/>
              </a:solidFill>
              <a:round/>
            </a:ln>
            <a:effectLst/>
          </c:spPr>
          <c:marker>
            <c:symbol val="none"/>
          </c:marker>
          <c:cat>
            <c:strRef>
              <c:f>Sheet1!$A$2:$A$4</c:f>
              <c:strCache>
                <c:ptCount val="3"/>
                <c:pt idx="0">
                  <c:v>2015-16</c:v>
                </c:pt>
                <c:pt idx="1">
                  <c:v>2016-17</c:v>
                </c:pt>
                <c:pt idx="2">
                  <c:v>2017-18</c:v>
                </c:pt>
              </c:strCache>
            </c:strRef>
          </c:cat>
          <c:val>
            <c:numRef>
              <c:f>Sheet1!$B$2:$B$4</c:f>
              <c:numCache>
                <c:formatCode>General</c:formatCode>
                <c:ptCount val="3"/>
                <c:pt idx="0">
                  <c:v>36.6</c:v>
                </c:pt>
                <c:pt idx="1">
                  <c:v>66.900000000000006</c:v>
                </c:pt>
                <c:pt idx="2">
                  <c:v>84</c:v>
                </c:pt>
              </c:numCache>
            </c:numRef>
          </c:val>
          <c:smooth val="0"/>
          <c:extLst>
            <c:ext xmlns:c16="http://schemas.microsoft.com/office/drawing/2014/chart" uri="{C3380CC4-5D6E-409C-BE32-E72D297353CC}">
              <c16:uniqueId val="{00000000-A242-4C78-87CA-5D95CBC2037D}"/>
            </c:ext>
          </c:extLst>
        </c:ser>
        <c:dLbls>
          <c:showLegendKey val="0"/>
          <c:showVal val="0"/>
          <c:showCatName val="0"/>
          <c:showSerName val="0"/>
          <c:showPercent val="0"/>
          <c:showBubbleSize val="0"/>
        </c:dLbls>
        <c:marker val="1"/>
        <c:smooth val="0"/>
        <c:axId val="602476976"/>
        <c:axId val="602481240"/>
      </c:lineChart>
      <c:catAx>
        <c:axId val="70073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732064"/>
        <c:crosses val="autoZero"/>
        <c:auto val="1"/>
        <c:lblAlgn val="ctr"/>
        <c:lblOffset val="100"/>
        <c:noMultiLvlLbl val="0"/>
      </c:catAx>
      <c:valAx>
        <c:axId val="700732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a:t>
                </a:r>
                <a:r>
                  <a:rPr lang="en-AU" baseline="0"/>
                  <a:t> Millions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731408"/>
        <c:crosses val="autoZero"/>
        <c:crossBetween val="between"/>
      </c:valAx>
      <c:valAx>
        <c:axId val="60248124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aseline="0"/>
                  <a:t>Coal Royalty $A Millions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476976"/>
        <c:crosses val="max"/>
        <c:crossBetween val="between"/>
      </c:valAx>
      <c:catAx>
        <c:axId val="602476976"/>
        <c:scaling>
          <c:orientation val="minMax"/>
        </c:scaling>
        <c:delete val="1"/>
        <c:axPos val="b"/>
        <c:numFmt formatCode="General" sourceLinked="1"/>
        <c:majorTickMark val="out"/>
        <c:minorTickMark val="none"/>
        <c:tickLblPos val="nextTo"/>
        <c:crossAx val="6024812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Exploration Licence</c:v>
                </c:pt>
              </c:strCache>
            </c:strRef>
          </c:tx>
          <c:spPr>
            <a:solidFill>
              <a:schemeClr val="accent1"/>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Sheet1!$B$2:$B$8</c:f>
              <c:numCache>
                <c:formatCode>General</c:formatCode>
                <c:ptCount val="7"/>
                <c:pt idx="0">
                  <c:v>2.5</c:v>
                </c:pt>
                <c:pt idx="1">
                  <c:v>2.4</c:v>
                </c:pt>
                <c:pt idx="2">
                  <c:v>2.1</c:v>
                </c:pt>
                <c:pt idx="3">
                  <c:v>1.9</c:v>
                </c:pt>
                <c:pt idx="4">
                  <c:v>2</c:v>
                </c:pt>
                <c:pt idx="5">
                  <c:v>2</c:v>
                </c:pt>
                <c:pt idx="6">
                  <c:v>2</c:v>
                </c:pt>
              </c:numCache>
            </c:numRef>
          </c:val>
          <c:extLst>
            <c:ext xmlns:c16="http://schemas.microsoft.com/office/drawing/2014/chart" uri="{C3380CC4-5D6E-409C-BE32-E72D297353CC}">
              <c16:uniqueId val="{00000000-D32B-4A6E-B51C-923333C92B6C}"/>
            </c:ext>
          </c:extLst>
        </c:ser>
        <c:ser>
          <c:idx val="2"/>
          <c:order val="2"/>
          <c:tx>
            <c:strRef>
              <c:f>Sheet1!$D$1</c:f>
              <c:strCache>
                <c:ptCount val="1"/>
                <c:pt idx="0">
                  <c:v>Prospecting Licence</c:v>
                </c:pt>
              </c:strCache>
            </c:strRef>
          </c:tx>
          <c:spPr>
            <a:solidFill>
              <a:schemeClr val="accent3"/>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Sheet1!$D$2:$D$8</c:f>
              <c:numCache>
                <c:formatCode>General</c:formatCode>
                <c:ptCount val="7"/>
                <c:pt idx="0">
                  <c:v>0</c:v>
                </c:pt>
                <c:pt idx="1">
                  <c:v>2.5000000000000001E-2</c:v>
                </c:pt>
                <c:pt idx="2">
                  <c:v>9.0999999999999998E-2</c:v>
                </c:pt>
                <c:pt idx="3">
                  <c:v>0.13800000000000001</c:v>
                </c:pt>
                <c:pt idx="4">
                  <c:v>0.2</c:v>
                </c:pt>
                <c:pt idx="5">
                  <c:v>0.2</c:v>
                </c:pt>
                <c:pt idx="6">
                  <c:v>0.2</c:v>
                </c:pt>
              </c:numCache>
            </c:numRef>
          </c:val>
          <c:extLst>
            <c:ext xmlns:c16="http://schemas.microsoft.com/office/drawing/2014/chart" uri="{C3380CC4-5D6E-409C-BE32-E72D297353CC}">
              <c16:uniqueId val="{00000002-D32B-4A6E-B51C-923333C92B6C}"/>
            </c:ext>
          </c:extLst>
        </c:ser>
        <c:ser>
          <c:idx val="3"/>
          <c:order val="3"/>
          <c:tx>
            <c:strRef>
              <c:f>Sheet1!$E$1</c:f>
              <c:strCache>
                <c:ptCount val="1"/>
                <c:pt idx="0">
                  <c:v>Retention Licence</c:v>
                </c:pt>
              </c:strCache>
            </c:strRef>
          </c:tx>
          <c:spPr>
            <a:solidFill>
              <a:schemeClr val="accent4"/>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Sheet1!$E$2:$E$8</c:f>
              <c:numCache>
                <c:formatCode>General</c:formatCode>
                <c:ptCount val="7"/>
                <c:pt idx="0">
                  <c:v>0</c:v>
                </c:pt>
                <c:pt idx="1">
                  <c:v>0</c:v>
                </c:pt>
                <c:pt idx="2">
                  <c:v>0.01</c:v>
                </c:pt>
                <c:pt idx="3">
                  <c:v>0.05</c:v>
                </c:pt>
                <c:pt idx="4">
                  <c:v>0.1</c:v>
                </c:pt>
                <c:pt idx="5">
                  <c:v>0.1</c:v>
                </c:pt>
                <c:pt idx="6">
                  <c:v>0.1</c:v>
                </c:pt>
              </c:numCache>
            </c:numRef>
          </c:val>
          <c:extLst>
            <c:ext xmlns:c16="http://schemas.microsoft.com/office/drawing/2014/chart" uri="{C3380CC4-5D6E-409C-BE32-E72D297353CC}">
              <c16:uniqueId val="{00000003-D32B-4A6E-B51C-923333C92B6C}"/>
            </c:ext>
          </c:extLst>
        </c:ser>
        <c:dLbls>
          <c:showLegendKey val="0"/>
          <c:showVal val="0"/>
          <c:showCatName val="0"/>
          <c:showSerName val="0"/>
          <c:showPercent val="0"/>
          <c:showBubbleSize val="0"/>
        </c:dLbls>
        <c:gapWidth val="219"/>
        <c:axId val="613127736"/>
        <c:axId val="613132984"/>
      </c:barChart>
      <c:lineChart>
        <c:grouping val="standard"/>
        <c:varyColors val="0"/>
        <c:ser>
          <c:idx val="1"/>
          <c:order val="1"/>
          <c:tx>
            <c:strRef>
              <c:f>Sheet1!$C$1</c:f>
              <c:strCache>
                <c:ptCount val="1"/>
                <c:pt idx="0">
                  <c:v>Mining Licence</c:v>
                </c:pt>
              </c:strCache>
            </c:strRef>
          </c:tx>
          <c:spPr>
            <a:ln w="28575" cap="rnd">
              <a:solidFill>
                <a:schemeClr val="accent2"/>
              </a:solidFill>
              <a:round/>
            </a:ln>
            <a:effectLst/>
          </c:spPr>
          <c:marker>
            <c:symbol val="none"/>
          </c:marker>
          <c:cat>
            <c:strRef>
              <c:f>Sheet1!$A$2:$A$8</c:f>
              <c:strCache>
                <c:ptCount val="7"/>
                <c:pt idx="0">
                  <c:v>2011-12</c:v>
                </c:pt>
                <c:pt idx="1">
                  <c:v>2012-13</c:v>
                </c:pt>
                <c:pt idx="2">
                  <c:v>2013-14</c:v>
                </c:pt>
                <c:pt idx="3">
                  <c:v>2014-15</c:v>
                </c:pt>
                <c:pt idx="4">
                  <c:v>2015-16</c:v>
                </c:pt>
                <c:pt idx="5">
                  <c:v>2016-17</c:v>
                </c:pt>
                <c:pt idx="6">
                  <c:v>2017-18</c:v>
                </c:pt>
              </c:strCache>
            </c:strRef>
          </c:cat>
          <c:val>
            <c:numRef>
              <c:f>Sheet1!$C$2:$C$8</c:f>
              <c:numCache>
                <c:formatCode>General</c:formatCode>
                <c:ptCount val="7"/>
                <c:pt idx="0">
                  <c:v>156.9</c:v>
                </c:pt>
                <c:pt idx="1">
                  <c:v>158.30000000000001</c:v>
                </c:pt>
                <c:pt idx="2">
                  <c:v>183.4</c:v>
                </c:pt>
                <c:pt idx="3">
                  <c:v>153</c:v>
                </c:pt>
                <c:pt idx="4">
                  <c:v>239.6</c:v>
                </c:pt>
                <c:pt idx="5">
                  <c:v>380.5</c:v>
                </c:pt>
                <c:pt idx="6">
                  <c:v>717.7</c:v>
                </c:pt>
              </c:numCache>
            </c:numRef>
          </c:val>
          <c:smooth val="0"/>
          <c:extLst>
            <c:ext xmlns:c16="http://schemas.microsoft.com/office/drawing/2014/chart" uri="{C3380CC4-5D6E-409C-BE32-E72D297353CC}">
              <c16:uniqueId val="{00000001-D32B-4A6E-B51C-923333C92B6C}"/>
            </c:ext>
          </c:extLst>
        </c:ser>
        <c:ser>
          <c:idx val="4"/>
          <c:order val="4"/>
          <c:tx>
            <c:strRef>
              <c:f>Sheet1!$F$1</c:f>
              <c:strCache>
                <c:ptCount val="1"/>
                <c:pt idx="0">
                  <c:v>Work Authority</c:v>
                </c:pt>
              </c:strCache>
            </c:strRef>
          </c:tx>
          <c:spPr>
            <a:ln w="28575" cap="rnd">
              <a:solidFill>
                <a:schemeClr val="accent5"/>
              </a:solidFill>
              <a:round/>
            </a:ln>
            <a:effectLst/>
          </c:spPr>
          <c:marker>
            <c:symbol val="none"/>
          </c:marker>
          <c:cat>
            <c:strRef>
              <c:f>Sheet1!$A$2:$A$8</c:f>
              <c:strCache>
                <c:ptCount val="7"/>
                <c:pt idx="0">
                  <c:v>2011-12</c:v>
                </c:pt>
                <c:pt idx="1">
                  <c:v>2012-13</c:v>
                </c:pt>
                <c:pt idx="2">
                  <c:v>2013-14</c:v>
                </c:pt>
                <c:pt idx="3">
                  <c:v>2014-15</c:v>
                </c:pt>
                <c:pt idx="4">
                  <c:v>2015-16</c:v>
                </c:pt>
                <c:pt idx="5">
                  <c:v>2016-17</c:v>
                </c:pt>
                <c:pt idx="6">
                  <c:v>2017-18</c:v>
                </c:pt>
              </c:strCache>
            </c:strRef>
          </c:cat>
          <c:val>
            <c:numRef>
              <c:f>Sheet1!$F$2:$F$8</c:f>
              <c:numCache>
                <c:formatCode>General</c:formatCode>
                <c:ptCount val="7"/>
                <c:pt idx="0">
                  <c:v>80.900000000000006</c:v>
                </c:pt>
                <c:pt idx="1">
                  <c:v>81</c:v>
                </c:pt>
                <c:pt idx="2">
                  <c:v>90.9</c:v>
                </c:pt>
                <c:pt idx="3">
                  <c:v>85.8</c:v>
                </c:pt>
                <c:pt idx="4">
                  <c:v>88.6</c:v>
                </c:pt>
                <c:pt idx="5">
                  <c:v>91.7</c:v>
                </c:pt>
                <c:pt idx="6">
                  <c:v>92.2</c:v>
                </c:pt>
              </c:numCache>
            </c:numRef>
          </c:val>
          <c:smooth val="0"/>
          <c:extLst>
            <c:ext xmlns:c16="http://schemas.microsoft.com/office/drawing/2014/chart" uri="{C3380CC4-5D6E-409C-BE32-E72D297353CC}">
              <c16:uniqueId val="{00000004-D32B-4A6E-B51C-923333C92B6C}"/>
            </c:ext>
          </c:extLst>
        </c:ser>
        <c:dLbls>
          <c:showLegendKey val="0"/>
          <c:showVal val="0"/>
          <c:showCatName val="0"/>
          <c:showSerName val="0"/>
          <c:showPercent val="0"/>
          <c:showBubbleSize val="0"/>
        </c:dLbls>
        <c:marker val="1"/>
        <c:smooth val="0"/>
        <c:axId val="643208160"/>
        <c:axId val="643201928"/>
      </c:lineChart>
      <c:catAx>
        <c:axId val="613127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132984"/>
        <c:crosses val="autoZero"/>
        <c:auto val="1"/>
        <c:lblAlgn val="ctr"/>
        <c:lblOffset val="100"/>
        <c:noMultiLvlLbl val="0"/>
      </c:catAx>
      <c:valAx>
        <c:axId val="61313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a:t>
                </a:r>
                <a:r>
                  <a:rPr lang="en-AU" baseline="0"/>
                  <a:t> M (Expl, Prosp, Ret Licences)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127736"/>
        <c:crosses val="autoZero"/>
        <c:crossBetween val="between"/>
      </c:valAx>
      <c:valAx>
        <c:axId val="64320192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a:t>
                </a:r>
                <a:r>
                  <a:rPr lang="en-AU" baseline="0"/>
                  <a:t> M (Min and WA Licences)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208160"/>
        <c:crosses val="max"/>
        <c:crossBetween val="between"/>
      </c:valAx>
      <c:catAx>
        <c:axId val="643208160"/>
        <c:scaling>
          <c:orientation val="minMax"/>
        </c:scaling>
        <c:delete val="1"/>
        <c:axPos val="b"/>
        <c:numFmt formatCode="General" sourceLinked="1"/>
        <c:majorTickMark val="out"/>
        <c:minorTickMark val="none"/>
        <c:tickLblPos val="nextTo"/>
        <c:crossAx val="6432019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Increase</c:v>
                </c:pt>
              </c:strCache>
            </c:strRef>
          </c:tx>
          <c:spPr>
            <a:solidFill>
              <a:schemeClr val="accent1"/>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Sheet1!$B$2:$B$8</c:f>
              <c:numCache>
                <c:formatCode>General</c:formatCode>
                <c:ptCount val="7"/>
                <c:pt idx="0">
                  <c:v>19</c:v>
                </c:pt>
                <c:pt idx="1">
                  <c:v>37</c:v>
                </c:pt>
                <c:pt idx="2">
                  <c:v>66</c:v>
                </c:pt>
                <c:pt idx="3">
                  <c:v>54</c:v>
                </c:pt>
                <c:pt idx="4">
                  <c:v>48</c:v>
                </c:pt>
                <c:pt idx="5">
                  <c:v>46</c:v>
                </c:pt>
                <c:pt idx="6">
                  <c:v>49</c:v>
                </c:pt>
              </c:numCache>
            </c:numRef>
          </c:val>
          <c:extLst>
            <c:ext xmlns:c16="http://schemas.microsoft.com/office/drawing/2014/chart" uri="{C3380CC4-5D6E-409C-BE32-E72D297353CC}">
              <c16:uniqueId val="{00000000-6078-4F0E-B205-6C030936D191}"/>
            </c:ext>
          </c:extLst>
        </c:ser>
        <c:ser>
          <c:idx val="1"/>
          <c:order val="1"/>
          <c:tx>
            <c:strRef>
              <c:f>Sheet1!$C$1</c:f>
              <c:strCache>
                <c:ptCount val="1"/>
                <c:pt idx="0">
                  <c:v>No Change</c:v>
                </c:pt>
              </c:strCache>
            </c:strRef>
          </c:tx>
          <c:spPr>
            <a:solidFill>
              <a:schemeClr val="accent2"/>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Sheet1!$C$2:$C$8</c:f>
              <c:numCache>
                <c:formatCode>General</c:formatCode>
                <c:ptCount val="7"/>
                <c:pt idx="0">
                  <c:v>193</c:v>
                </c:pt>
                <c:pt idx="1">
                  <c:v>220</c:v>
                </c:pt>
                <c:pt idx="2">
                  <c:v>139</c:v>
                </c:pt>
                <c:pt idx="3">
                  <c:v>10</c:v>
                </c:pt>
                <c:pt idx="4">
                  <c:v>6</c:v>
                </c:pt>
                <c:pt idx="5">
                  <c:v>12</c:v>
                </c:pt>
                <c:pt idx="6">
                  <c:v>8</c:v>
                </c:pt>
              </c:numCache>
            </c:numRef>
          </c:val>
          <c:extLst>
            <c:ext xmlns:c16="http://schemas.microsoft.com/office/drawing/2014/chart" uri="{C3380CC4-5D6E-409C-BE32-E72D297353CC}">
              <c16:uniqueId val="{00000001-6078-4F0E-B205-6C030936D191}"/>
            </c:ext>
          </c:extLst>
        </c:ser>
        <c:ser>
          <c:idx val="2"/>
          <c:order val="2"/>
          <c:tx>
            <c:strRef>
              <c:f>Sheet1!$D$1</c:f>
              <c:strCache>
                <c:ptCount val="1"/>
                <c:pt idx="0">
                  <c:v>Decrease or Release</c:v>
                </c:pt>
              </c:strCache>
            </c:strRef>
          </c:tx>
          <c:spPr>
            <a:solidFill>
              <a:schemeClr val="accent3"/>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Sheet1!$D$2:$D$8</c:f>
              <c:numCache>
                <c:formatCode>General</c:formatCode>
                <c:ptCount val="7"/>
                <c:pt idx="0">
                  <c:v>4</c:v>
                </c:pt>
                <c:pt idx="1">
                  <c:v>1</c:v>
                </c:pt>
                <c:pt idx="2">
                  <c:v>9</c:v>
                </c:pt>
                <c:pt idx="3">
                  <c:v>42</c:v>
                </c:pt>
                <c:pt idx="4">
                  <c:v>46</c:v>
                </c:pt>
                <c:pt idx="5">
                  <c:v>33</c:v>
                </c:pt>
                <c:pt idx="6">
                  <c:v>57</c:v>
                </c:pt>
              </c:numCache>
            </c:numRef>
          </c:val>
          <c:extLst>
            <c:ext xmlns:c16="http://schemas.microsoft.com/office/drawing/2014/chart" uri="{C3380CC4-5D6E-409C-BE32-E72D297353CC}">
              <c16:uniqueId val="{00000002-6078-4F0E-B205-6C030936D191}"/>
            </c:ext>
          </c:extLst>
        </c:ser>
        <c:dLbls>
          <c:showLegendKey val="0"/>
          <c:showVal val="0"/>
          <c:showCatName val="0"/>
          <c:showSerName val="0"/>
          <c:showPercent val="0"/>
          <c:showBubbleSize val="0"/>
        </c:dLbls>
        <c:gapWidth val="219"/>
        <c:overlap val="-27"/>
        <c:axId val="593712216"/>
        <c:axId val="593715168"/>
      </c:barChart>
      <c:catAx>
        <c:axId val="59371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715168"/>
        <c:crosses val="autoZero"/>
        <c:auto val="1"/>
        <c:lblAlgn val="ctr"/>
        <c:lblOffset val="100"/>
        <c:noMultiLvlLbl val="0"/>
      </c:catAx>
      <c:valAx>
        <c:axId val="593715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No</a:t>
                </a:r>
                <a:r>
                  <a:rPr lang="en-AU" baseline="0"/>
                  <a:t> of Bonds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712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2014-15</c:v>
                </c:pt>
              </c:strCache>
            </c:strRef>
          </c:tx>
          <c:spPr>
            <a:solidFill>
              <a:schemeClr val="accent1"/>
            </a:solidFill>
            <a:ln>
              <a:noFill/>
            </a:ln>
            <a:effectLst/>
          </c:spPr>
          <c:invertIfNegative val="0"/>
          <c:cat>
            <c:strRef>
              <c:f>Sheet1!$A$2:$A$8</c:f>
              <c:strCache>
                <c:ptCount val="7"/>
                <c:pt idx="0">
                  <c:v>Audit</c:v>
                </c:pt>
                <c:pt idx="1">
                  <c:v>Environmental Review Committees</c:v>
                </c:pt>
                <c:pt idx="2">
                  <c:v>Inspections</c:v>
                </c:pt>
                <c:pt idx="3">
                  <c:v>Meetings</c:v>
                </c:pt>
                <c:pt idx="4">
                  <c:v>Site Closures</c:v>
                </c:pt>
                <c:pt idx="5">
                  <c:v>Site Visits</c:v>
                </c:pt>
                <c:pt idx="6">
                  <c:v>Enforements</c:v>
                </c:pt>
              </c:strCache>
            </c:strRef>
          </c:cat>
          <c:val>
            <c:numRef>
              <c:f>Sheet1!$B$2:$B$8</c:f>
              <c:numCache>
                <c:formatCode>General</c:formatCode>
                <c:ptCount val="7"/>
                <c:pt idx="0">
                  <c:v>155</c:v>
                </c:pt>
                <c:pt idx="1">
                  <c:v>35</c:v>
                </c:pt>
                <c:pt idx="2">
                  <c:v>380</c:v>
                </c:pt>
                <c:pt idx="3">
                  <c:v>49</c:v>
                </c:pt>
                <c:pt idx="4">
                  <c:v>28</c:v>
                </c:pt>
                <c:pt idx="5">
                  <c:v>51</c:v>
                </c:pt>
                <c:pt idx="6">
                  <c:v>31</c:v>
                </c:pt>
              </c:numCache>
            </c:numRef>
          </c:val>
          <c:extLst>
            <c:ext xmlns:c16="http://schemas.microsoft.com/office/drawing/2014/chart" uri="{C3380CC4-5D6E-409C-BE32-E72D297353CC}">
              <c16:uniqueId val="{00000000-16E4-4573-A16E-A5BBBFE48F4F}"/>
            </c:ext>
          </c:extLst>
        </c:ser>
        <c:ser>
          <c:idx val="1"/>
          <c:order val="1"/>
          <c:tx>
            <c:strRef>
              <c:f>Sheet1!$C$1</c:f>
              <c:strCache>
                <c:ptCount val="1"/>
                <c:pt idx="0">
                  <c:v>2015-16</c:v>
                </c:pt>
              </c:strCache>
            </c:strRef>
          </c:tx>
          <c:spPr>
            <a:solidFill>
              <a:schemeClr val="accent2"/>
            </a:solidFill>
            <a:ln>
              <a:noFill/>
            </a:ln>
            <a:effectLst/>
          </c:spPr>
          <c:invertIfNegative val="0"/>
          <c:cat>
            <c:strRef>
              <c:f>Sheet1!$A$2:$A$8</c:f>
              <c:strCache>
                <c:ptCount val="7"/>
                <c:pt idx="0">
                  <c:v>Audit</c:v>
                </c:pt>
                <c:pt idx="1">
                  <c:v>Environmental Review Committees</c:v>
                </c:pt>
                <c:pt idx="2">
                  <c:v>Inspections</c:v>
                </c:pt>
                <c:pt idx="3">
                  <c:v>Meetings</c:v>
                </c:pt>
                <c:pt idx="4">
                  <c:v>Site Closures</c:v>
                </c:pt>
                <c:pt idx="5">
                  <c:v>Site Visits</c:v>
                </c:pt>
                <c:pt idx="6">
                  <c:v>Enforements</c:v>
                </c:pt>
              </c:strCache>
            </c:strRef>
          </c:cat>
          <c:val>
            <c:numRef>
              <c:f>Sheet1!$C$2:$C$8</c:f>
              <c:numCache>
                <c:formatCode>General</c:formatCode>
                <c:ptCount val="7"/>
                <c:pt idx="0">
                  <c:v>186</c:v>
                </c:pt>
                <c:pt idx="1">
                  <c:v>76</c:v>
                </c:pt>
                <c:pt idx="2">
                  <c:v>366</c:v>
                </c:pt>
                <c:pt idx="3">
                  <c:v>199</c:v>
                </c:pt>
                <c:pt idx="4">
                  <c:v>32</c:v>
                </c:pt>
                <c:pt idx="5">
                  <c:v>80</c:v>
                </c:pt>
                <c:pt idx="6">
                  <c:v>59</c:v>
                </c:pt>
              </c:numCache>
            </c:numRef>
          </c:val>
          <c:extLst>
            <c:ext xmlns:c16="http://schemas.microsoft.com/office/drawing/2014/chart" uri="{C3380CC4-5D6E-409C-BE32-E72D297353CC}">
              <c16:uniqueId val="{00000001-16E4-4573-A16E-A5BBBFE48F4F}"/>
            </c:ext>
          </c:extLst>
        </c:ser>
        <c:ser>
          <c:idx val="2"/>
          <c:order val="2"/>
          <c:tx>
            <c:strRef>
              <c:f>Sheet1!$D$1</c:f>
              <c:strCache>
                <c:ptCount val="1"/>
                <c:pt idx="0">
                  <c:v>2016-17</c:v>
                </c:pt>
              </c:strCache>
            </c:strRef>
          </c:tx>
          <c:spPr>
            <a:solidFill>
              <a:schemeClr val="accent3"/>
            </a:solidFill>
            <a:ln>
              <a:noFill/>
            </a:ln>
            <a:effectLst/>
          </c:spPr>
          <c:invertIfNegative val="0"/>
          <c:cat>
            <c:strRef>
              <c:f>Sheet1!$A$2:$A$8</c:f>
              <c:strCache>
                <c:ptCount val="7"/>
                <c:pt idx="0">
                  <c:v>Audit</c:v>
                </c:pt>
                <c:pt idx="1">
                  <c:v>Environmental Review Committees</c:v>
                </c:pt>
                <c:pt idx="2">
                  <c:v>Inspections</c:v>
                </c:pt>
                <c:pt idx="3">
                  <c:v>Meetings</c:v>
                </c:pt>
                <c:pt idx="4">
                  <c:v>Site Closures</c:v>
                </c:pt>
                <c:pt idx="5">
                  <c:v>Site Visits</c:v>
                </c:pt>
                <c:pt idx="6">
                  <c:v>Enforements</c:v>
                </c:pt>
              </c:strCache>
            </c:strRef>
          </c:cat>
          <c:val>
            <c:numRef>
              <c:f>Sheet1!$D$2:$D$8</c:f>
              <c:numCache>
                <c:formatCode>General</c:formatCode>
                <c:ptCount val="7"/>
                <c:pt idx="0">
                  <c:v>170</c:v>
                </c:pt>
                <c:pt idx="1">
                  <c:v>96</c:v>
                </c:pt>
                <c:pt idx="2">
                  <c:v>357</c:v>
                </c:pt>
                <c:pt idx="3">
                  <c:v>106</c:v>
                </c:pt>
                <c:pt idx="4">
                  <c:v>25</c:v>
                </c:pt>
                <c:pt idx="5">
                  <c:v>86</c:v>
                </c:pt>
                <c:pt idx="6">
                  <c:v>61</c:v>
                </c:pt>
              </c:numCache>
            </c:numRef>
          </c:val>
          <c:extLst>
            <c:ext xmlns:c16="http://schemas.microsoft.com/office/drawing/2014/chart" uri="{C3380CC4-5D6E-409C-BE32-E72D297353CC}">
              <c16:uniqueId val="{00000002-16E4-4573-A16E-A5BBBFE48F4F}"/>
            </c:ext>
          </c:extLst>
        </c:ser>
        <c:ser>
          <c:idx val="3"/>
          <c:order val="3"/>
          <c:tx>
            <c:strRef>
              <c:f>Sheet1!$E$1</c:f>
              <c:strCache>
                <c:ptCount val="1"/>
                <c:pt idx="0">
                  <c:v>2017-18</c:v>
                </c:pt>
              </c:strCache>
            </c:strRef>
          </c:tx>
          <c:spPr>
            <a:solidFill>
              <a:schemeClr val="accent4"/>
            </a:solidFill>
            <a:ln>
              <a:noFill/>
            </a:ln>
            <a:effectLst/>
          </c:spPr>
          <c:invertIfNegative val="0"/>
          <c:cat>
            <c:strRef>
              <c:f>Sheet1!$A$2:$A$8</c:f>
              <c:strCache>
                <c:ptCount val="7"/>
                <c:pt idx="0">
                  <c:v>Audit</c:v>
                </c:pt>
                <c:pt idx="1">
                  <c:v>Environmental Review Committees</c:v>
                </c:pt>
                <c:pt idx="2">
                  <c:v>Inspections</c:v>
                </c:pt>
                <c:pt idx="3">
                  <c:v>Meetings</c:v>
                </c:pt>
                <c:pt idx="4">
                  <c:v>Site Closures</c:v>
                </c:pt>
                <c:pt idx="5">
                  <c:v>Site Visits</c:v>
                </c:pt>
                <c:pt idx="6">
                  <c:v>Enforements</c:v>
                </c:pt>
              </c:strCache>
            </c:strRef>
          </c:cat>
          <c:val>
            <c:numRef>
              <c:f>Sheet1!$E$2:$E$8</c:f>
              <c:numCache>
                <c:formatCode>General</c:formatCode>
                <c:ptCount val="7"/>
                <c:pt idx="0">
                  <c:v>160</c:v>
                </c:pt>
                <c:pt idx="1">
                  <c:v>90</c:v>
                </c:pt>
                <c:pt idx="2">
                  <c:v>396</c:v>
                </c:pt>
                <c:pt idx="3">
                  <c:v>91</c:v>
                </c:pt>
                <c:pt idx="4">
                  <c:v>56</c:v>
                </c:pt>
                <c:pt idx="5">
                  <c:v>81</c:v>
                </c:pt>
                <c:pt idx="6">
                  <c:v>8</c:v>
                </c:pt>
              </c:numCache>
            </c:numRef>
          </c:val>
          <c:extLst>
            <c:ext xmlns:c16="http://schemas.microsoft.com/office/drawing/2014/chart" uri="{C3380CC4-5D6E-409C-BE32-E72D297353CC}">
              <c16:uniqueId val="{00000003-16E4-4573-A16E-A5BBBFE48F4F}"/>
            </c:ext>
          </c:extLst>
        </c:ser>
        <c:dLbls>
          <c:showLegendKey val="0"/>
          <c:showVal val="0"/>
          <c:showCatName val="0"/>
          <c:showSerName val="0"/>
          <c:showPercent val="0"/>
          <c:showBubbleSize val="0"/>
        </c:dLbls>
        <c:gapWidth val="219"/>
        <c:overlap val="-27"/>
        <c:axId val="694522800"/>
        <c:axId val="694523128"/>
      </c:barChart>
      <c:catAx>
        <c:axId val="69452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523128"/>
        <c:crosses val="autoZero"/>
        <c:auto val="1"/>
        <c:lblAlgn val="ctr"/>
        <c:lblOffset val="100"/>
        <c:noMultiLvlLbl val="0"/>
      </c:catAx>
      <c:valAx>
        <c:axId val="694523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52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Offshore (Vic) Gippsland</c:v>
                </c:pt>
              </c:strCache>
            </c:strRef>
          </c:tx>
          <c:spPr>
            <a:solidFill>
              <a:schemeClr val="accent1"/>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Sheet1!$B$2:$B$8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02FA-4577-B8B4-F787E6FA2F50}"/>
            </c:ext>
          </c:extLst>
        </c:ser>
        <c:ser>
          <c:idx val="1"/>
          <c:order val="1"/>
          <c:tx>
            <c:strRef>
              <c:f>Sheet1!$C$1</c:f>
              <c:strCache>
                <c:ptCount val="1"/>
                <c:pt idx="0">
                  <c:v>Offshore (Vic) Otway</c:v>
                </c:pt>
              </c:strCache>
            </c:strRef>
          </c:tx>
          <c:spPr>
            <a:solidFill>
              <a:schemeClr val="accent2"/>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Sheet1!$C$2:$C$8</c:f>
              <c:numCache>
                <c:formatCode>General</c:formatCode>
                <c:ptCount val="7"/>
                <c:pt idx="0">
                  <c:v>0</c:v>
                </c:pt>
                <c:pt idx="1">
                  <c:v>0</c:v>
                </c:pt>
                <c:pt idx="2">
                  <c:v>0</c:v>
                </c:pt>
                <c:pt idx="3">
                  <c:v>0</c:v>
                </c:pt>
                <c:pt idx="4">
                  <c:v>1</c:v>
                </c:pt>
                <c:pt idx="5">
                  <c:v>0</c:v>
                </c:pt>
                <c:pt idx="6">
                  <c:v>0</c:v>
                </c:pt>
              </c:numCache>
            </c:numRef>
          </c:val>
          <c:extLst>
            <c:ext xmlns:c16="http://schemas.microsoft.com/office/drawing/2014/chart" uri="{C3380CC4-5D6E-409C-BE32-E72D297353CC}">
              <c16:uniqueId val="{00000001-02FA-4577-B8B4-F787E6FA2F50}"/>
            </c:ext>
          </c:extLst>
        </c:ser>
        <c:ser>
          <c:idx val="2"/>
          <c:order val="2"/>
          <c:tx>
            <c:strRef>
              <c:f>Sheet1!$D$1</c:f>
              <c:strCache>
                <c:ptCount val="1"/>
                <c:pt idx="0">
                  <c:v>Onshore Gippsland</c:v>
                </c:pt>
              </c:strCache>
            </c:strRef>
          </c:tx>
          <c:spPr>
            <a:solidFill>
              <a:schemeClr val="accent3"/>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Sheet1!$D$2:$D$8</c:f>
              <c:numCache>
                <c:formatCode>General</c:formatCode>
                <c:ptCount val="7"/>
                <c:pt idx="0">
                  <c:v>1</c:v>
                </c:pt>
                <c:pt idx="1">
                  <c:v>2</c:v>
                </c:pt>
                <c:pt idx="2">
                  <c:v>0</c:v>
                </c:pt>
                <c:pt idx="3">
                  <c:v>0</c:v>
                </c:pt>
                <c:pt idx="4">
                  <c:v>0</c:v>
                </c:pt>
                <c:pt idx="5">
                  <c:v>0</c:v>
                </c:pt>
                <c:pt idx="6">
                  <c:v>0</c:v>
                </c:pt>
              </c:numCache>
            </c:numRef>
          </c:val>
          <c:extLst>
            <c:ext xmlns:c16="http://schemas.microsoft.com/office/drawing/2014/chart" uri="{C3380CC4-5D6E-409C-BE32-E72D297353CC}">
              <c16:uniqueId val="{00000002-02FA-4577-B8B4-F787E6FA2F50}"/>
            </c:ext>
          </c:extLst>
        </c:ser>
        <c:ser>
          <c:idx val="3"/>
          <c:order val="3"/>
          <c:tx>
            <c:strRef>
              <c:f>Sheet1!$E$1</c:f>
              <c:strCache>
                <c:ptCount val="1"/>
                <c:pt idx="0">
                  <c:v>Onshore Otway</c:v>
                </c:pt>
              </c:strCache>
            </c:strRef>
          </c:tx>
          <c:spPr>
            <a:solidFill>
              <a:schemeClr val="accent4"/>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Sheet1!$E$2:$E$8</c:f>
              <c:numCache>
                <c:formatCode>General</c:formatCode>
                <c:ptCount val="7"/>
                <c:pt idx="0">
                  <c:v>1</c:v>
                </c:pt>
                <c:pt idx="1">
                  <c:v>0</c:v>
                </c:pt>
                <c:pt idx="2">
                  <c:v>0</c:v>
                </c:pt>
                <c:pt idx="3">
                  <c:v>0</c:v>
                </c:pt>
                <c:pt idx="4">
                  <c:v>0</c:v>
                </c:pt>
                <c:pt idx="5">
                  <c:v>0</c:v>
                </c:pt>
                <c:pt idx="6">
                  <c:v>0</c:v>
                </c:pt>
              </c:numCache>
            </c:numRef>
          </c:val>
          <c:extLst>
            <c:ext xmlns:c16="http://schemas.microsoft.com/office/drawing/2014/chart" uri="{C3380CC4-5D6E-409C-BE32-E72D297353CC}">
              <c16:uniqueId val="{00000003-02FA-4577-B8B4-F787E6FA2F50}"/>
            </c:ext>
          </c:extLst>
        </c:ser>
        <c:ser>
          <c:idx val="4"/>
          <c:order val="4"/>
          <c:tx>
            <c:strRef>
              <c:f>Sheet1!$F$1</c:f>
              <c:strCache>
                <c:ptCount val="1"/>
                <c:pt idx="0">
                  <c:v>Onshore Murray</c:v>
                </c:pt>
              </c:strCache>
            </c:strRef>
          </c:tx>
          <c:spPr>
            <a:solidFill>
              <a:schemeClr val="accent5"/>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Sheet1!$F$2:$F$8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4-02FA-4577-B8B4-F787E6FA2F50}"/>
            </c:ext>
          </c:extLst>
        </c:ser>
        <c:dLbls>
          <c:showLegendKey val="0"/>
          <c:showVal val="0"/>
          <c:showCatName val="0"/>
          <c:showSerName val="0"/>
          <c:showPercent val="0"/>
          <c:showBubbleSize val="0"/>
        </c:dLbls>
        <c:gapWidth val="150"/>
        <c:overlap val="100"/>
        <c:axId val="278821000"/>
        <c:axId val="278811488"/>
      </c:barChart>
      <c:catAx>
        <c:axId val="278821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811488"/>
        <c:crosses val="autoZero"/>
        <c:auto val="1"/>
        <c:lblAlgn val="ctr"/>
        <c:lblOffset val="100"/>
        <c:noMultiLvlLbl val="0"/>
      </c:catAx>
      <c:valAx>
        <c:axId val="278811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Wells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82100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4.6929288024019022E-2"/>
          <c:y val="3.9372900968024156E-2"/>
          <c:w val="0.93153375651832071"/>
          <c:h val="0.68406175034572292"/>
        </c:manualLayout>
      </c:layout>
      <c:barChart>
        <c:barDir val="col"/>
        <c:grouping val="clustered"/>
        <c:varyColors val="0"/>
        <c:ser>
          <c:idx val="0"/>
          <c:order val="0"/>
          <c:tx>
            <c:strRef>
              <c:f>Sheet1!$B$1</c:f>
              <c:strCache>
                <c:ptCount val="1"/>
                <c:pt idx="0">
                  <c:v>Exploration Licences Granted</c:v>
                </c:pt>
              </c:strCache>
            </c:strRef>
          </c:tx>
          <c:spPr>
            <a:solidFill>
              <a:schemeClr val="accent1">
                <a:shade val="76000"/>
              </a:schemeClr>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Sheet1!$B$2:$B$8</c:f>
              <c:numCache>
                <c:formatCode>General</c:formatCode>
                <c:ptCount val="7"/>
                <c:pt idx="0">
                  <c:v>62</c:v>
                </c:pt>
                <c:pt idx="1">
                  <c:v>41</c:v>
                </c:pt>
                <c:pt idx="2">
                  <c:v>37</c:v>
                </c:pt>
                <c:pt idx="3">
                  <c:v>37</c:v>
                </c:pt>
                <c:pt idx="4">
                  <c:v>17</c:v>
                </c:pt>
                <c:pt idx="5">
                  <c:v>21</c:v>
                </c:pt>
                <c:pt idx="6">
                  <c:v>63</c:v>
                </c:pt>
              </c:numCache>
            </c:numRef>
          </c:val>
          <c:extLst>
            <c:ext xmlns:c16="http://schemas.microsoft.com/office/drawing/2014/chart" uri="{C3380CC4-5D6E-409C-BE32-E72D297353CC}">
              <c16:uniqueId val="{00000000-2FA3-48FE-B8B3-3AF70E5F6AAF}"/>
            </c:ext>
          </c:extLst>
        </c:ser>
        <c:ser>
          <c:idx val="1"/>
          <c:order val="1"/>
          <c:tx>
            <c:strRef>
              <c:f>Sheet1!$C$1</c:f>
              <c:strCache>
                <c:ptCount val="1"/>
                <c:pt idx="0">
                  <c:v>Exploration Licences Renewed</c:v>
                </c:pt>
              </c:strCache>
            </c:strRef>
          </c:tx>
          <c:spPr>
            <a:solidFill>
              <a:schemeClr val="accent1">
                <a:tint val="77000"/>
              </a:schemeClr>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Sheet1!$C$2:$C$8</c:f>
              <c:numCache>
                <c:formatCode>General</c:formatCode>
                <c:ptCount val="7"/>
                <c:pt idx="0">
                  <c:v>74</c:v>
                </c:pt>
                <c:pt idx="1">
                  <c:v>52</c:v>
                </c:pt>
                <c:pt idx="2">
                  <c:v>57</c:v>
                </c:pt>
                <c:pt idx="3">
                  <c:v>19</c:v>
                </c:pt>
                <c:pt idx="4">
                  <c:v>13</c:v>
                </c:pt>
                <c:pt idx="5">
                  <c:v>17</c:v>
                </c:pt>
                <c:pt idx="6">
                  <c:v>29</c:v>
                </c:pt>
              </c:numCache>
            </c:numRef>
          </c:val>
          <c:extLst>
            <c:ext xmlns:c16="http://schemas.microsoft.com/office/drawing/2014/chart" uri="{C3380CC4-5D6E-409C-BE32-E72D297353CC}">
              <c16:uniqueId val="{00000001-2FA3-48FE-B8B3-3AF70E5F6AAF}"/>
            </c:ext>
          </c:extLst>
        </c:ser>
        <c:dLbls>
          <c:showLegendKey val="0"/>
          <c:showVal val="0"/>
          <c:showCatName val="0"/>
          <c:showSerName val="0"/>
          <c:showPercent val="0"/>
          <c:showBubbleSize val="0"/>
        </c:dLbls>
        <c:gapWidth val="219"/>
        <c:overlap val="-27"/>
        <c:axId val="232419784"/>
        <c:axId val="617769904"/>
      </c:barChart>
      <c:catAx>
        <c:axId val="232419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769904"/>
        <c:crosses val="autoZero"/>
        <c:auto val="1"/>
        <c:lblAlgn val="ctr"/>
        <c:lblOffset val="100"/>
        <c:noMultiLvlLbl val="0"/>
      </c:catAx>
      <c:valAx>
        <c:axId val="617769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419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Sheet1!$B$1</c:f>
              <c:strCache>
                <c:ptCount val="1"/>
                <c:pt idx="0">
                  <c:v>Mining Licences Granted</c:v>
                </c:pt>
              </c:strCache>
            </c:strRef>
          </c:tx>
          <c:spPr>
            <a:solidFill>
              <a:schemeClr val="accent2"/>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Sheet1!$B$2:$B$8</c:f>
              <c:numCache>
                <c:formatCode>General</c:formatCode>
                <c:ptCount val="7"/>
                <c:pt idx="0">
                  <c:v>12</c:v>
                </c:pt>
                <c:pt idx="1">
                  <c:v>11</c:v>
                </c:pt>
                <c:pt idx="2">
                  <c:v>9</c:v>
                </c:pt>
                <c:pt idx="3">
                  <c:v>3</c:v>
                </c:pt>
                <c:pt idx="4">
                  <c:v>2</c:v>
                </c:pt>
                <c:pt idx="5">
                  <c:v>0</c:v>
                </c:pt>
                <c:pt idx="6">
                  <c:v>3</c:v>
                </c:pt>
              </c:numCache>
            </c:numRef>
          </c:val>
          <c:extLst>
            <c:ext xmlns:c16="http://schemas.microsoft.com/office/drawing/2014/chart" uri="{C3380CC4-5D6E-409C-BE32-E72D297353CC}">
              <c16:uniqueId val="{00000000-F510-4979-A059-ADA05AACBEE1}"/>
            </c:ext>
          </c:extLst>
        </c:ser>
        <c:ser>
          <c:idx val="1"/>
          <c:order val="1"/>
          <c:tx>
            <c:strRef>
              <c:f>Sheet1!$C$1</c:f>
              <c:strCache>
                <c:ptCount val="1"/>
                <c:pt idx="0">
                  <c:v>Mining Licences Renewed</c:v>
                </c:pt>
              </c:strCache>
            </c:strRef>
          </c:tx>
          <c:spPr>
            <a:solidFill>
              <a:schemeClr val="accent2">
                <a:lumMod val="40000"/>
                <a:lumOff val="60000"/>
              </a:schemeClr>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Sheet1!$C$2:$C$8</c:f>
              <c:numCache>
                <c:formatCode>General</c:formatCode>
                <c:ptCount val="7"/>
                <c:pt idx="0">
                  <c:v>21</c:v>
                </c:pt>
                <c:pt idx="1">
                  <c:v>14</c:v>
                </c:pt>
                <c:pt idx="2">
                  <c:v>28</c:v>
                </c:pt>
                <c:pt idx="3">
                  <c:v>14</c:v>
                </c:pt>
                <c:pt idx="4">
                  <c:v>10</c:v>
                </c:pt>
                <c:pt idx="5">
                  <c:v>15</c:v>
                </c:pt>
                <c:pt idx="6">
                  <c:v>26</c:v>
                </c:pt>
              </c:numCache>
            </c:numRef>
          </c:val>
          <c:extLst>
            <c:ext xmlns:c16="http://schemas.microsoft.com/office/drawing/2014/chart" uri="{C3380CC4-5D6E-409C-BE32-E72D297353CC}">
              <c16:uniqueId val="{00000001-F510-4979-A059-ADA05AACBEE1}"/>
            </c:ext>
          </c:extLst>
        </c:ser>
        <c:dLbls>
          <c:showLegendKey val="0"/>
          <c:showVal val="0"/>
          <c:showCatName val="0"/>
          <c:showSerName val="0"/>
          <c:showPercent val="0"/>
          <c:showBubbleSize val="0"/>
        </c:dLbls>
        <c:gapWidth val="219"/>
        <c:overlap val="-27"/>
        <c:axId val="625888592"/>
        <c:axId val="625885312"/>
      </c:barChart>
      <c:catAx>
        <c:axId val="62588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885312"/>
        <c:crosses val="autoZero"/>
        <c:auto val="1"/>
        <c:lblAlgn val="ctr"/>
        <c:lblOffset val="100"/>
        <c:noMultiLvlLbl val="0"/>
      </c:catAx>
      <c:valAx>
        <c:axId val="625885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88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058413750912715E-2"/>
          <c:y val="5.8138214956632961E-2"/>
          <c:w val="0.92988644840447576"/>
          <c:h val="0.6595717921046671"/>
        </c:manualLayout>
      </c:layout>
      <c:barChart>
        <c:barDir val="col"/>
        <c:grouping val="clustered"/>
        <c:varyColors val="0"/>
        <c:ser>
          <c:idx val="0"/>
          <c:order val="0"/>
          <c:tx>
            <c:strRef>
              <c:f>Sheet1!$B$1</c:f>
              <c:strCache>
                <c:ptCount val="1"/>
                <c:pt idx="0">
                  <c:v>Prospecting Licences Granted</c:v>
                </c:pt>
              </c:strCache>
            </c:strRef>
          </c:tx>
          <c:spPr>
            <a:solidFill>
              <a:schemeClr val="accent3"/>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Sheet1!$B$2:$B$8</c:f>
              <c:numCache>
                <c:formatCode>General</c:formatCode>
                <c:ptCount val="7"/>
                <c:pt idx="0">
                  <c:v>1</c:v>
                </c:pt>
                <c:pt idx="1">
                  <c:v>12</c:v>
                </c:pt>
                <c:pt idx="2">
                  <c:v>18</c:v>
                </c:pt>
                <c:pt idx="3">
                  <c:v>13</c:v>
                </c:pt>
                <c:pt idx="4">
                  <c:v>12</c:v>
                </c:pt>
                <c:pt idx="5">
                  <c:v>11</c:v>
                </c:pt>
                <c:pt idx="6">
                  <c:v>12</c:v>
                </c:pt>
              </c:numCache>
            </c:numRef>
          </c:val>
          <c:extLst>
            <c:ext xmlns:c16="http://schemas.microsoft.com/office/drawing/2014/chart" uri="{C3380CC4-5D6E-409C-BE32-E72D297353CC}">
              <c16:uniqueId val="{00000000-7A64-4E76-B6B1-836C4DFFA71D}"/>
            </c:ext>
          </c:extLst>
        </c:ser>
        <c:dLbls>
          <c:showLegendKey val="0"/>
          <c:showVal val="0"/>
          <c:showCatName val="0"/>
          <c:showSerName val="0"/>
          <c:showPercent val="0"/>
          <c:showBubbleSize val="0"/>
        </c:dLbls>
        <c:gapWidth val="219"/>
        <c:overlap val="-27"/>
        <c:axId val="626599456"/>
        <c:axId val="626600112"/>
      </c:barChart>
      <c:catAx>
        <c:axId val="62659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600112"/>
        <c:crosses val="autoZero"/>
        <c:auto val="1"/>
        <c:lblAlgn val="ctr"/>
        <c:lblOffset val="100"/>
        <c:noMultiLvlLbl val="0"/>
      </c:catAx>
      <c:valAx>
        <c:axId val="626600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59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058413750912715E-2"/>
          <c:y val="0.10551558752997602"/>
          <c:w val="0.92988644840447576"/>
          <c:h val="0.62471548556430445"/>
        </c:manualLayout>
      </c:layout>
      <c:barChart>
        <c:barDir val="col"/>
        <c:grouping val="clustered"/>
        <c:varyColors val="0"/>
        <c:ser>
          <c:idx val="0"/>
          <c:order val="0"/>
          <c:tx>
            <c:strRef>
              <c:f>Sheet1!$B$1</c:f>
              <c:strCache>
                <c:ptCount val="1"/>
                <c:pt idx="0">
                  <c:v>Retention Licences Granted</c:v>
                </c:pt>
              </c:strCache>
            </c:strRef>
          </c:tx>
          <c:spPr>
            <a:solidFill>
              <a:schemeClr val="accent4"/>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Sheet1!$B$2:$B$8</c:f>
              <c:numCache>
                <c:formatCode>General</c:formatCode>
                <c:ptCount val="7"/>
                <c:pt idx="0">
                  <c:v>0</c:v>
                </c:pt>
                <c:pt idx="1">
                  <c:v>0</c:v>
                </c:pt>
                <c:pt idx="2">
                  <c:v>1</c:v>
                </c:pt>
                <c:pt idx="3">
                  <c:v>7</c:v>
                </c:pt>
                <c:pt idx="4">
                  <c:v>3</c:v>
                </c:pt>
                <c:pt idx="5">
                  <c:v>4</c:v>
                </c:pt>
                <c:pt idx="6">
                  <c:v>7</c:v>
                </c:pt>
              </c:numCache>
            </c:numRef>
          </c:val>
          <c:extLst>
            <c:ext xmlns:c16="http://schemas.microsoft.com/office/drawing/2014/chart" uri="{C3380CC4-5D6E-409C-BE32-E72D297353CC}">
              <c16:uniqueId val="{00000000-A61A-4F14-A6CB-FB5CF0F42937}"/>
            </c:ext>
          </c:extLst>
        </c:ser>
        <c:dLbls>
          <c:showLegendKey val="0"/>
          <c:showVal val="0"/>
          <c:showCatName val="0"/>
          <c:showSerName val="0"/>
          <c:showPercent val="0"/>
          <c:showBubbleSize val="0"/>
        </c:dLbls>
        <c:gapWidth val="219"/>
        <c:overlap val="-27"/>
        <c:axId val="626599456"/>
        <c:axId val="626600112"/>
      </c:barChart>
      <c:catAx>
        <c:axId val="62659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600112"/>
        <c:crosses val="autoZero"/>
        <c:auto val="1"/>
        <c:lblAlgn val="ctr"/>
        <c:lblOffset val="100"/>
        <c:noMultiLvlLbl val="0"/>
      </c:catAx>
      <c:valAx>
        <c:axId val="626600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59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Total area (km2)</c:v>
                </c:pt>
              </c:strCache>
            </c:strRef>
          </c:tx>
          <c:spPr>
            <a:solidFill>
              <a:schemeClr val="accent1"/>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Sheet1!$B$2:$B$8</c:f>
              <c:numCache>
                <c:formatCode>General</c:formatCode>
                <c:ptCount val="7"/>
                <c:pt idx="0">
                  <c:v>83900</c:v>
                </c:pt>
                <c:pt idx="1">
                  <c:v>77366</c:v>
                </c:pt>
                <c:pt idx="2">
                  <c:v>67833</c:v>
                </c:pt>
                <c:pt idx="3">
                  <c:v>54698</c:v>
                </c:pt>
                <c:pt idx="4">
                  <c:v>48569</c:v>
                </c:pt>
                <c:pt idx="5">
                  <c:v>51984</c:v>
                </c:pt>
                <c:pt idx="6">
                  <c:v>49353</c:v>
                </c:pt>
              </c:numCache>
            </c:numRef>
          </c:val>
          <c:extLst>
            <c:ext xmlns:c16="http://schemas.microsoft.com/office/drawing/2014/chart" uri="{C3380CC4-5D6E-409C-BE32-E72D297353CC}">
              <c16:uniqueId val="{00000000-7E35-45B9-8D6C-04948DBC968E}"/>
            </c:ext>
          </c:extLst>
        </c:ser>
        <c:dLbls>
          <c:showLegendKey val="0"/>
          <c:showVal val="0"/>
          <c:showCatName val="0"/>
          <c:showSerName val="0"/>
          <c:showPercent val="0"/>
          <c:showBubbleSize val="0"/>
        </c:dLbls>
        <c:gapWidth val="219"/>
        <c:overlap val="-27"/>
        <c:axId val="733203760"/>
        <c:axId val="733195232"/>
      </c:barChart>
      <c:catAx>
        <c:axId val="73320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195232"/>
        <c:crosses val="autoZero"/>
        <c:auto val="1"/>
        <c:lblAlgn val="ctr"/>
        <c:lblOffset val="100"/>
        <c:noMultiLvlLbl val="0"/>
      </c:catAx>
      <c:valAx>
        <c:axId val="733195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a:t>
                </a:r>
                <a:r>
                  <a:rPr lang="en-AU" baseline="0"/>
                  <a:t> Area (km</a:t>
                </a:r>
                <a:r>
                  <a:rPr lang="en-AU" baseline="30000"/>
                  <a:t>2</a:t>
                </a:r>
                <a:r>
                  <a:rPr lang="en-AU" baseline="0"/>
                  <a:t>)</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20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Mineral Exploration (ABS)1</c:v>
                </c:pt>
              </c:strCache>
            </c:strRef>
          </c:tx>
          <c:spPr>
            <a:solidFill>
              <a:schemeClr val="accent1"/>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Sheet1!$B$2:$B$8</c:f>
              <c:numCache>
                <c:formatCode>General</c:formatCode>
                <c:ptCount val="7"/>
                <c:pt idx="0">
                  <c:v>58.5</c:v>
                </c:pt>
                <c:pt idx="1">
                  <c:v>38.6</c:v>
                </c:pt>
                <c:pt idx="2">
                  <c:v>32.6</c:v>
                </c:pt>
                <c:pt idx="3">
                  <c:v>22.9</c:v>
                </c:pt>
                <c:pt idx="4">
                  <c:v>28.9</c:v>
                </c:pt>
                <c:pt idx="5">
                  <c:v>40.700000000000003</c:v>
                </c:pt>
                <c:pt idx="6">
                  <c:v>73.7</c:v>
                </c:pt>
              </c:numCache>
            </c:numRef>
          </c:val>
          <c:extLst>
            <c:ext xmlns:c16="http://schemas.microsoft.com/office/drawing/2014/chart" uri="{C3380CC4-5D6E-409C-BE32-E72D297353CC}">
              <c16:uniqueId val="{00000000-1C54-46D6-A841-8C81B78EC70E}"/>
            </c:ext>
          </c:extLst>
        </c:ser>
        <c:ser>
          <c:idx val="1"/>
          <c:order val="1"/>
          <c:tx>
            <c:strRef>
              <c:f>Sheet1!$C$1</c:f>
              <c:strCache>
                <c:ptCount val="1"/>
                <c:pt idx="0">
                  <c:v>MRSDA Exploration2</c:v>
                </c:pt>
              </c:strCache>
            </c:strRef>
          </c:tx>
          <c:spPr>
            <a:solidFill>
              <a:schemeClr val="accent2"/>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Sheet1!$C$2:$C$8</c:f>
              <c:numCache>
                <c:formatCode>General</c:formatCode>
                <c:ptCount val="7"/>
                <c:pt idx="0">
                  <c:v>37.799999999999997</c:v>
                </c:pt>
                <c:pt idx="1">
                  <c:v>39.700000000000003</c:v>
                </c:pt>
                <c:pt idx="2">
                  <c:v>30.5</c:v>
                </c:pt>
                <c:pt idx="3">
                  <c:v>32.299999999999997</c:v>
                </c:pt>
                <c:pt idx="4">
                  <c:v>38.5</c:v>
                </c:pt>
                <c:pt idx="5">
                  <c:v>44.3</c:v>
                </c:pt>
                <c:pt idx="6">
                  <c:v>67</c:v>
                </c:pt>
              </c:numCache>
            </c:numRef>
          </c:val>
          <c:extLst>
            <c:ext xmlns:c16="http://schemas.microsoft.com/office/drawing/2014/chart" uri="{C3380CC4-5D6E-409C-BE32-E72D297353CC}">
              <c16:uniqueId val="{00000001-1C54-46D6-A841-8C81B78EC70E}"/>
            </c:ext>
          </c:extLst>
        </c:ser>
        <c:ser>
          <c:idx val="2"/>
          <c:order val="2"/>
          <c:tx>
            <c:strRef>
              <c:f>Sheet1!$D$1</c:f>
              <c:strCache>
                <c:ptCount val="1"/>
                <c:pt idx="0">
                  <c:v>MRSDA Mining3</c:v>
                </c:pt>
              </c:strCache>
            </c:strRef>
          </c:tx>
          <c:spPr>
            <a:solidFill>
              <a:schemeClr val="accent3"/>
            </a:solidFill>
            <a:ln>
              <a:noFill/>
            </a:ln>
            <a:effectLst/>
          </c:spPr>
          <c:invertIfNegative val="0"/>
          <c:cat>
            <c:strRef>
              <c:f>Sheet1!$A$2:$A$8</c:f>
              <c:strCache>
                <c:ptCount val="7"/>
                <c:pt idx="0">
                  <c:v>2011-12</c:v>
                </c:pt>
                <c:pt idx="1">
                  <c:v>2012-13</c:v>
                </c:pt>
                <c:pt idx="2">
                  <c:v>2013-14</c:v>
                </c:pt>
                <c:pt idx="3">
                  <c:v>2014-15</c:v>
                </c:pt>
                <c:pt idx="4">
                  <c:v>2015-16</c:v>
                </c:pt>
                <c:pt idx="5">
                  <c:v>2016-17</c:v>
                </c:pt>
                <c:pt idx="6">
                  <c:v>2017-18</c:v>
                </c:pt>
              </c:strCache>
            </c:strRef>
          </c:cat>
          <c:val>
            <c:numRef>
              <c:f>Sheet1!$D$2:$D$8</c:f>
              <c:numCache>
                <c:formatCode>General</c:formatCode>
                <c:ptCount val="7"/>
                <c:pt idx="0">
                  <c:v>813.8</c:v>
                </c:pt>
                <c:pt idx="1">
                  <c:v>701.2</c:v>
                </c:pt>
                <c:pt idx="2">
                  <c:v>650.29999999999995</c:v>
                </c:pt>
                <c:pt idx="3">
                  <c:v>622.29999999999995</c:v>
                </c:pt>
                <c:pt idx="4">
                  <c:v>685.8</c:v>
                </c:pt>
                <c:pt idx="5">
                  <c:v>748.8</c:v>
                </c:pt>
                <c:pt idx="6">
                  <c:v>654.1</c:v>
                </c:pt>
              </c:numCache>
            </c:numRef>
          </c:val>
          <c:extLst>
            <c:ext xmlns:c16="http://schemas.microsoft.com/office/drawing/2014/chart" uri="{C3380CC4-5D6E-409C-BE32-E72D297353CC}">
              <c16:uniqueId val="{00000002-1C54-46D6-A841-8C81B78EC70E}"/>
            </c:ext>
          </c:extLst>
        </c:ser>
        <c:dLbls>
          <c:showLegendKey val="0"/>
          <c:showVal val="0"/>
          <c:showCatName val="0"/>
          <c:showSerName val="0"/>
          <c:showPercent val="0"/>
          <c:showBubbleSize val="0"/>
        </c:dLbls>
        <c:gapWidth val="219"/>
        <c:overlap val="-27"/>
        <c:axId val="602057792"/>
        <c:axId val="602062384"/>
      </c:barChart>
      <c:catAx>
        <c:axId val="60205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062384"/>
        <c:crosses val="autoZero"/>
        <c:auto val="1"/>
        <c:lblAlgn val="ctr"/>
        <c:lblOffset val="100"/>
        <c:noMultiLvlLbl val="0"/>
      </c:catAx>
      <c:valAx>
        <c:axId val="602062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a:t>
                </a:r>
                <a:r>
                  <a:rPr lang="en-AU" baseline="0"/>
                  <a:t> Millions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05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92443082623722"/>
          <c:y val="3.6616797900262468E-2"/>
          <c:w val="0.85495389999327009"/>
          <c:h val="0.69951076115485566"/>
        </c:manualLayout>
      </c:layout>
      <c:barChart>
        <c:barDir val="col"/>
        <c:grouping val="clustered"/>
        <c:varyColors val="0"/>
        <c:ser>
          <c:idx val="0"/>
          <c:order val="0"/>
          <c:tx>
            <c:strRef>
              <c:f>Sheet1!$B$1</c:f>
              <c:strCache>
                <c:ptCount val="1"/>
                <c:pt idx="0">
                  <c:v>2015-16</c:v>
                </c:pt>
              </c:strCache>
            </c:strRef>
          </c:tx>
          <c:spPr>
            <a:solidFill>
              <a:schemeClr val="accent1"/>
            </a:solidFill>
            <a:ln>
              <a:noFill/>
            </a:ln>
            <a:effectLst/>
          </c:spPr>
          <c:invertIfNegative val="0"/>
          <c:cat>
            <c:strRef>
              <c:f>Sheet1!$A$2:$A$5</c:f>
              <c:strCache>
                <c:ptCount val="4"/>
                <c:pt idx="0">
                  <c:v>Coal</c:v>
                </c:pt>
                <c:pt idx="1">
                  <c:v>Gold</c:v>
                </c:pt>
                <c:pt idx="2">
                  <c:v>Mineral Sands</c:v>
                </c:pt>
                <c:pt idx="3">
                  <c:v>Other *</c:v>
                </c:pt>
              </c:strCache>
            </c:strRef>
          </c:cat>
          <c:val>
            <c:numRef>
              <c:f>Sheet1!$B$2:$B$5</c:f>
              <c:numCache>
                <c:formatCode>"$"#0.0,,</c:formatCode>
                <c:ptCount val="4"/>
                <c:pt idx="0" formatCode="&quot;$&quot;#0.00,,">
                  <c:v>369555</c:v>
                </c:pt>
                <c:pt idx="1">
                  <c:v>16364509</c:v>
                </c:pt>
                <c:pt idx="2">
                  <c:v>6510459</c:v>
                </c:pt>
                <c:pt idx="3">
                  <c:v>15270525</c:v>
                </c:pt>
              </c:numCache>
            </c:numRef>
          </c:val>
          <c:extLst>
            <c:ext xmlns:c16="http://schemas.microsoft.com/office/drawing/2014/chart" uri="{C3380CC4-5D6E-409C-BE32-E72D297353CC}">
              <c16:uniqueId val="{00000000-A9B6-4E17-9EE1-BF1F73C6B4D2}"/>
            </c:ext>
          </c:extLst>
        </c:ser>
        <c:ser>
          <c:idx val="1"/>
          <c:order val="1"/>
          <c:tx>
            <c:strRef>
              <c:f>Sheet1!$C$1</c:f>
              <c:strCache>
                <c:ptCount val="1"/>
                <c:pt idx="0">
                  <c:v>2016-17</c:v>
                </c:pt>
              </c:strCache>
            </c:strRef>
          </c:tx>
          <c:spPr>
            <a:solidFill>
              <a:schemeClr val="accent2"/>
            </a:solidFill>
            <a:ln>
              <a:noFill/>
            </a:ln>
            <a:effectLst/>
          </c:spPr>
          <c:invertIfNegative val="0"/>
          <c:cat>
            <c:strRef>
              <c:f>Sheet1!$A$2:$A$5</c:f>
              <c:strCache>
                <c:ptCount val="4"/>
                <c:pt idx="0">
                  <c:v>Coal</c:v>
                </c:pt>
                <c:pt idx="1">
                  <c:v>Gold</c:v>
                </c:pt>
                <c:pt idx="2">
                  <c:v>Mineral Sands</c:v>
                </c:pt>
                <c:pt idx="3">
                  <c:v>Other *</c:v>
                </c:pt>
              </c:strCache>
            </c:strRef>
          </c:cat>
          <c:val>
            <c:numRef>
              <c:f>Sheet1!$C$2:$C$5</c:f>
              <c:numCache>
                <c:formatCode>"$"#0.0,,</c:formatCode>
                <c:ptCount val="4"/>
                <c:pt idx="0">
                  <c:v>463674</c:v>
                </c:pt>
                <c:pt idx="1">
                  <c:v>25938623</c:v>
                </c:pt>
                <c:pt idx="2">
                  <c:v>5142907</c:v>
                </c:pt>
                <c:pt idx="3">
                  <c:v>12662013</c:v>
                </c:pt>
              </c:numCache>
            </c:numRef>
          </c:val>
          <c:extLst>
            <c:ext xmlns:c16="http://schemas.microsoft.com/office/drawing/2014/chart" uri="{C3380CC4-5D6E-409C-BE32-E72D297353CC}">
              <c16:uniqueId val="{00000001-A9B6-4E17-9EE1-BF1F73C6B4D2}"/>
            </c:ext>
          </c:extLst>
        </c:ser>
        <c:ser>
          <c:idx val="2"/>
          <c:order val="2"/>
          <c:tx>
            <c:strRef>
              <c:f>Sheet1!$D$1</c:f>
              <c:strCache>
                <c:ptCount val="1"/>
                <c:pt idx="0">
                  <c:v>2017-18</c:v>
                </c:pt>
              </c:strCache>
            </c:strRef>
          </c:tx>
          <c:spPr>
            <a:solidFill>
              <a:schemeClr val="accent3"/>
            </a:solidFill>
            <a:ln>
              <a:noFill/>
            </a:ln>
            <a:effectLst/>
          </c:spPr>
          <c:invertIfNegative val="0"/>
          <c:cat>
            <c:strRef>
              <c:f>Sheet1!$A$2:$A$5</c:f>
              <c:strCache>
                <c:ptCount val="4"/>
                <c:pt idx="0">
                  <c:v>Coal</c:v>
                </c:pt>
                <c:pt idx="1">
                  <c:v>Gold</c:v>
                </c:pt>
                <c:pt idx="2">
                  <c:v>Mineral Sands</c:v>
                </c:pt>
                <c:pt idx="3">
                  <c:v>Other *</c:v>
                </c:pt>
              </c:strCache>
            </c:strRef>
          </c:cat>
          <c:val>
            <c:numRef>
              <c:f>Sheet1!$D$2:$D$5</c:f>
              <c:numCache>
                <c:formatCode>"$"#0.0,,</c:formatCode>
                <c:ptCount val="4"/>
                <c:pt idx="0">
                  <c:v>467104</c:v>
                </c:pt>
                <c:pt idx="1">
                  <c:v>43804831</c:v>
                </c:pt>
                <c:pt idx="2">
                  <c:v>6892934</c:v>
                </c:pt>
                <c:pt idx="3">
                  <c:v>15816690</c:v>
                </c:pt>
              </c:numCache>
            </c:numRef>
          </c:val>
          <c:extLst>
            <c:ext xmlns:c16="http://schemas.microsoft.com/office/drawing/2014/chart" uri="{C3380CC4-5D6E-409C-BE32-E72D297353CC}">
              <c16:uniqueId val="{00000002-A9B6-4E17-9EE1-BF1F73C6B4D2}"/>
            </c:ext>
          </c:extLst>
        </c:ser>
        <c:dLbls>
          <c:showLegendKey val="0"/>
          <c:showVal val="0"/>
          <c:showCatName val="0"/>
          <c:showSerName val="0"/>
          <c:showPercent val="0"/>
          <c:showBubbleSize val="0"/>
        </c:dLbls>
        <c:gapWidth val="219"/>
        <c:overlap val="-27"/>
        <c:axId val="683200784"/>
        <c:axId val="683201112"/>
      </c:barChart>
      <c:catAx>
        <c:axId val="68320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201112"/>
        <c:crosses val="autoZero"/>
        <c:auto val="1"/>
        <c:lblAlgn val="ctr"/>
        <c:lblOffset val="100"/>
        <c:noMultiLvlLbl val="0"/>
      </c:catAx>
      <c:valAx>
        <c:axId val="683201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a:t>
                </a:r>
                <a:r>
                  <a:rPr lang="en-AU" baseline="0"/>
                  <a:t> Millions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200784"/>
        <c:crosses val="autoZero"/>
        <c:crossBetween val="between"/>
      </c:valAx>
      <c:spPr>
        <a:noFill/>
        <a:ln>
          <a:noFill/>
        </a:ln>
        <a:effectLst/>
      </c:spPr>
    </c:plotArea>
    <c:legend>
      <c:legendPos val="b"/>
      <c:layout>
        <c:manualLayout>
          <c:xMode val="edge"/>
          <c:yMode val="edge"/>
          <c:x val="0.31602221667992864"/>
          <c:y val="0.86759171770195387"/>
          <c:w val="0.367955408288896"/>
          <c:h val="0.125000874890638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9465524954177"/>
          <c:y val="7.405420857046334E-2"/>
          <c:w val="0.85495389999327009"/>
          <c:h val="0.66347911956549988"/>
        </c:manualLayout>
      </c:layout>
      <c:barChart>
        <c:barDir val="col"/>
        <c:grouping val="clustered"/>
        <c:varyColors val="0"/>
        <c:ser>
          <c:idx val="0"/>
          <c:order val="0"/>
          <c:tx>
            <c:strRef>
              <c:f>Sheet1!$B$1</c:f>
              <c:strCache>
                <c:ptCount val="1"/>
                <c:pt idx="0">
                  <c:v>2015-16</c:v>
                </c:pt>
              </c:strCache>
            </c:strRef>
          </c:tx>
          <c:spPr>
            <a:solidFill>
              <a:schemeClr val="accent1"/>
            </a:solidFill>
            <a:ln>
              <a:noFill/>
            </a:ln>
            <a:effectLst/>
          </c:spPr>
          <c:invertIfNegative val="0"/>
          <c:cat>
            <c:strRef>
              <c:f>Sheet1!$A$2:$A$5</c:f>
              <c:strCache>
                <c:ptCount val="4"/>
                <c:pt idx="0">
                  <c:v>Coal</c:v>
                </c:pt>
                <c:pt idx="1">
                  <c:v>Gold</c:v>
                </c:pt>
                <c:pt idx="2">
                  <c:v>Mineral Sands</c:v>
                </c:pt>
                <c:pt idx="3">
                  <c:v>Other *</c:v>
                </c:pt>
              </c:strCache>
            </c:strRef>
          </c:cat>
          <c:val>
            <c:numRef>
              <c:f>Sheet1!$B$2:$B$5</c:f>
              <c:numCache>
                <c:formatCode>"$"#0.0,,</c:formatCode>
                <c:ptCount val="4"/>
                <c:pt idx="0">
                  <c:v>339363981</c:v>
                </c:pt>
                <c:pt idx="1">
                  <c:v>280195973</c:v>
                </c:pt>
                <c:pt idx="2">
                  <c:v>21849412</c:v>
                </c:pt>
                <c:pt idx="3">
                  <c:v>44387806</c:v>
                </c:pt>
              </c:numCache>
            </c:numRef>
          </c:val>
          <c:extLst>
            <c:ext xmlns:c16="http://schemas.microsoft.com/office/drawing/2014/chart" uri="{C3380CC4-5D6E-409C-BE32-E72D297353CC}">
              <c16:uniqueId val="{00000000-BACE-4981-BF79-CB262BD221FB}"/>
            </c:ext>
          </c:extLst>
        </c:ser>
        <c:ser>
          <c:idx val="1"/>
          <c:order val="1"/>
          <c:tx>
            <c:strRef>
              <c:f>Sheet1!$C$1</c:f>
              <c:strCache>
                <c:ptCount val="1"/>
                <c:pt idx="0">
                  <c:v>2016-17</c:v>
                </c:pt>
              </c:strCache>
            </c:strRef>
          </c:tx>
          <c:spPr>
            <a:solidFill>
              <a:schemeClr val="accent2"/>
            </a:solidFill>
            <a:ln>
              <a:noFill/>
            </a:ln>
            <a:effectLst/>
          </c:spPr>
          <c:invertIfNegative val="0"/>
          <c:cat>
            <c:strRef>
              <c:f>Sheet1!$A$2:$A$5</c:f>
              <c:strCache>
                <c:ptCount val="4"/>
                <c:pt idx="0">
                  <c:v>Coal</c:v>
                </c:pt>
                <c:pt idx="1">
                  <c:v>Gold</c:v>
                </c:pt>
                <c:pt idx="2">
                  <c:v>Mineral Sands</c:v>
                </c:pt>
                <c:pt idx="3">
                  <c:v>Other *</c:v>
                </c:pt>
              </c:strCache>
            </c:strRef>
          </c:cat>
          <c:val>
            <c:numRef>
              <c:f>Sheet1!$C$2:$C$5</c:f>
              <c:numCache>
                <c:formatCode>"$"#0.0,,</c:formatCode>
                <c:ptCount val="4"/>
                <c:pt idx="0">
                  <c:v>431205245</c:v>
                </c:pt>
                <c:pt idx="1">
                  <c:v>259939361</c:v>
                </c:pt>
                <c:pt idx="2">
                  <c:v>15177180</c:v>
                </c:pt>
                <c:pt idx="3">
                  <c:v>42502105</c:v>
                </c:pt>
              </c:numCache>
            </c:numRef>
          </c:val>
          <c:extLst>
            <c:ext xmlns:c16="http://schemas.microsoft.com/office/drawing/2014/chart" uri="{C3380CC4-5D6E-409C-BE32-E72D297353CC}">
              <c16:uniqueId val="{00000001-BACE-4981-BF79-CB262BD221FB}"/>
            </c:ext>
          </c:extLst>
        </c:ser>
        <c:ser>
          <c:idx val="2"/>
          <c:order val="2"/>
          <c:tx>
            <c:strRef>
              <c:f>Sheet1!$D$1</c:f>
              <c:strCache>
                <c:ptCount val="1"/>
                <c:pt idx="0">
                  <c:v>2017-18</c:v>
                </c:pt>
              </c:strCache>
            </c:strRef>
          </c:tx>
          <c:spPr>
            <a:solidFill>
              <a:schemeClr val="accent3"/>
            </a:solidFill>
            <a:ln>
              <a:noFill/>
            </a:ln>
            <a:effectLst/>
          </c:spPr>
          <c:invertIfNegative val="0"/>
          <c:cat>
            <c:strRef>
              <c:f>Sheet1!$A$2:$A$5</c:f>
              <c:strCache>
                <c:ptCount val="4"/>
                <c:pt idx="0">
                  <c:v>Coal</c:v>
                </c:pt>
                <c:pt idx="1">
                  <c:v>Gold</c:v>
                </c:pt>
                <c:pt idx="2">
                  <c:v>Mineral Sands</c:v>
                </c:pt>
                <c:pt idx="3">
                  <c:v>Other *</c:v>
                </c:pt>
              </c:strCache>
            </c:strRef>
          </c:cat>
          <c:val>
            <c:numRef>
              <c:f>Sheet1!$D$2:$D$5</c:f>
              <c:numCache>
                <c:formatCode>"$"#0.0,,</c:formatCode>
                <c:ptCount val="4"/>
                <c:pt idx="0">
                  <c:v>359060979</c:v>
                </c:pt>
                <c:pt idx="1">
                  <c:v>237669816</c:v>
                </c:pt>
                <c:pt idx="2">
                  <c:v>12579901</c:v>
                </c:pt>
                <c:pt idx="3">
                  <c:v>44684702</c:v>
                </c:pt>
              </c:numCache>
            </c:numRef>
          </c:val>
          <c:extLst>
            <c:ext xmlns:c16="http://schemas.microsoft.com/office/drawing/2014/chart" uri="{C3380CC4-5D6E-409C-BE32-E72D297353CC}">
              <c16:uniqueId val="{00000002-BACE-4981-BF79-CB262BD221FB}"/>
            </c:ext>
          </c:extLst>
        </c:ser>
        <c:dLbls>
          <c:showLegendKey val="0"/>
          <c:showVal val="0"/>
          <c:showCatName val="0"/>
          <c:showSerName val="0"/>
          <c:showPercent val="0"/>
          <c:showBubbleSize val="0"/>
        </c:dLbls>
        <c:gapWidth val="219"/>
        <c:overlap val="-27"/>
        <c:axId val="683200784"/>
        <c:axId val="683201112"/>
      </c:barChart>
      <c:catAx>
        <c:axId val="68320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201112"/>
        <c:crosses val="autoZero"/>
        <c:auto val="1"/>
        <c:lblAlgn val="ctr"/>
        <c:lblOffset val="100"/>
        <c:noMultiLvlLbl val="0"/>
      </c:catAx>
      <c:valAx>
        <c:axId val="683201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a:t>
                </a:r>
                <a:r>
                  <a:rPr lang="en-AU" baseline="0"/>
                  <a:t> Millions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200784"/>
        <c:crosses val="autoZero"/>
        <c:crossBetween val="between"/>
      </c:valAx>
      <c:spPr>
        <a:noFill/>
        <a:ln>
          <a:noFill/>
        </a:ln>
        <a:effectLst/>
      </c:spPr>
    </c:plotArea>
    <c:legend>
      <c:legendPos val="b"/>
      <c:layout>
        <c:manualLayout>
          <c:xMode val="edge"/>
          <c:yMode val="edge"/>
          <c:x val="0.3120000950107481"/>
          <c:y val="0.88861308178061904"/>
          <c:w val="0.367955408288896"/>
          <c:h val="0.111386918219380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TaxCatchAll xmlns="d95fa365-6051-4755-a57a-b1b515a65ccf"/>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648DBF4B231EC48B14A8BD0F4974AA7" ma:contentTypeVersion="25" ma:contentTypeDescription="DEDJTR Document" ma:contentTypeScope="" ma:versionID="08e6c40068394cd337517edc71a8787c">
  <xsd:schema xmlns:xsd="http://www.w3.org/2001/XMLSchema" xmlns:xs="http://www.w3.org/2001/XMLSchema" xmlns:p="http://schemas.microsoft.com/office/2006/metadata/properties" xmlns:ns2="1970f3ff-c7c3-4b73-8f0c-0bc260d159f3" xmlns:ns3="d95fa365-6051-4755-a57a-b1b515a65ccf" xmlns:ns4="d8656102-7c7b-4021-94e7-299bfa2f7616" targetNamespace="http://schemas.microsoft.com/office/2006/metadata/properties" ma:root="true" ma:fieldsID="60e7bcc9a756fa5496efd90ab6504c69" ns2:_="" ns3:_="" ns4:_="">
    <xsd:import namespace="1970f3ff-c7c3-4b73-8f0c-0bc260d159f3"/>
    <xsd:import namespace="d95fa365-6051-4755-a57a-b1b515a65ccf"/>
    <xsd:import namespace="d8656102-7c7b-4021-94e7-299bfa2f7616"/>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4efb335-bfc8-46fc-b6db-d0eed2a1e544}" ma:internalName="TaxCatchAll" ma:showField="CatchAllData"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efb335-bfc8-46fc-b6db-d0eed2a1e544}" ma:internalName="TaxCatchAllLabel" ma:readOnly="true" ma:showField="CatchAllDataLabel" ma:web="d95fa365-6051-4755-a57a-b1b515a65ccf">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56102-7c7b-4021-94e7-299bfa2f761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A2553-F8EB-442E-AB13-AEC89F46D54A}">
  <ds:schemaRefs>
    <ds:schemaRef ds:uri="http://schemas.microsoft.com/office/2006/metadata/properties"/>
    <ds:schemaRef ds:uri="http://schemas.microsoft.com/office/infopath/2007/PartnerControls"/>
    <ds:schemaRef ds:uri="1970f3ff-c7c3-4b73-8f0c-0bc260d159f3"/>
    <ds:schemaRef ds:uri="d95fa365-6051-4755-a57a-b1b515a65ccf"/>
  </ds:schemaRefs>
</ds:datastoreItem>
</file>

<file path=customXml/itemProps2.xml><?xml version="1.0" encoding="utf-8"?>
<ds:datastoreItem xmlns:ds="http://schemas.openxmlformats.org/officeDocument/2006/customXml" ds:itemID="{84E645AB-D7A9-4033-A753-46310629D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d95fa365-6051-4755-a57a-b1b515a65ccf"/>
    <ds:schemaRef ds:uri="d8656102-7c7b-4021-94e7-299bfa2f7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9FE82-8F2F-429C-8935-617DBCB637C9}">
  <ds:schemaRefs>
    <ds:schemaRef ds:uri="http://schemas.microsoft.com/sharepoint/v3/contenttype/forms"/>
  </ds:schemaRefs>
</ds:datastoreItem>
</file>

<file path=customXml/itemProps4.xml><?xml version="1.0" encoding="utf-8"?>
<ds:datastoreItem xmlns:ds="http://schemas.openxmlformats.org/officeDocument/2006/customXml" ds:itemID="{CDE628F5-605D-4BDD-9D72-5076AD94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4372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2020-02-09T10:11:00Z</dcterms:created>
  <dcterms:modified xsi:type="dcterms:W3CDTF">2020-02-09T23:04:00Z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13c05536-a2fc-4be3-971b-dcab92697668</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Arwinder Gill</vt:lpwstr>
  </property>
  <property fmtid="{D5CDD505-2E9C-101B-9397-08002B2CF9AE}" pid="6" name="ContentTypeId">
    <vt:lpwstr>0x010100611F6414DFB111E7BA88F9DF1743E31700D648DBF4B231EC48B14A8BD0F4974AA7</vt:lpwstr>
  </property>
  <property fmtid="{D5CDD505-2E9C-101B-9397-08002B2CF9AE}" pid="7" name="DEDJTRBranch">
    <vt:lpwstr/>
  </property>
  <property fmtid="{D5CDD505-2E9C-101B-9397-08002B2CF9AE}" pid="8" name="DEDJTRSection">
    <vt:lpwstr/>
  </property>
  <property fmtid="{D5CDD505-2E9C-101B-9397-08002B2CF9AE}" pid="9" name="DEDJTRGroup">
    <vt:lpwstr/>
  </property>
  <property fmtid="{D5CDD505-2E9C-101B-9397-08002B2CF9AE}" pid="10" name="DEDJTRSecurityClassification">
    <vt:lpwstr/>
  </property>
  <property fmtid="{D5CDD505-2E9C-101B-9397-08002B2CF9AE}" pid="11" name="DEDJTRDivision">
    <vt:lpwstr/>
  </property>
</Properties>
</file>