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6FE1" w14:textId="711FF92A" w:rsidR="00D33E8C" w:rsidRPr="00D33E8C" w:rsidRDefault="00D33E8C" w:rsidP="00060EB4">
      <w:pPr>
        <w:pStyle w:val="Heading1"/>
        <w:jc w:val="center"/>
        <w:rPr>
          <w:b/>
        </w:rPr>
      </w:pPr>
      <w:r w:rsidRPr="00D33E8C">
        <w:t xml:space="preserve">Second </w:t>
      </w:r>
      <w:r w:rsidR="005A479A">
        <w:t>six</w:t>
      </w:r>
      <w:r w:rsidRPr="00D33E8C">
        <w:t xml:space="preserve">-monthly review of progress to implement the </w:t>
      </w:r>
      <w:r w:rsidRPr="00D33E8C">
        <w:rPr>
          <w:i/>
        </w:rPr>
        <w:t xml:space="preserve">Getting the </w:t>
      </w:r>
      <w:bookmarkStart w:id="0" w:name="_GoBack"/>
      <w:bookmarkEnd w:id="0"/>
      <w:r w:rsidRPr="00D33E8C">
        <w:rPr>
          <w:i/>
        </w:rPr>
        <w:t xml:space="preserve">Groundwork </w:t>
      </w:r>
      <w:r w:rsidR="005A479A">
        <w:rPr>
          <w:i/>
        </w:rPr>
        <w:t>R</w:t>
      </w:r>
      <w:r w:rsidRPr="00D33E8C">
        <w:rPr>
          <w:i/>
        </w:rPr>
        <w:t>ight</w:t>
      </w:r>
      <w:r w:rsidRPr="00D33E8C">
        <w:t xml:space="preserve"> report</w:t>
      </w:r>
    </w:p>
    <w:p w14:paraId="2133D811" w14:textId="65C11DE9" w:rsidR="005244A9" w:rsidRDefault="005244A9"/>
    <w:p w14:paraId="39C47DDB" w14:textId="421D179F" w:rsidR="00060EB4" w:rsidRDefault="00060EB4" w:rsidP="00060EB4">
      <w:pPr>
        <w:pStyle w:val="Heading1"/>
        <w:jc w:val="center"/>
      </w:pPr>
      <w:r>
        <w:t xml:space="preserve">Anna Cronin </w:t>
      </w:r>
    </w:p>
    <w:p w14:paraId="3CA56AA2" w14:textId="42C279B9" w:rsidR="00060EB4" w:rsidRDefault="00060EB4" w:rsidP="00060EB4">
      <w:pPr>
        <w:pStyle w:val="Heading1"/>
        <w:spacing w:before="0"/>
        <w:jc w:val="center"/>
      </w:pPr>
      <w:r w:rsidRPr="00060EB4">
        <w:t>Commissioner for Better Regulation &amp; Red Tape Commissioner</w:t>
      </w:r>
    </w:p>
    <w:p w14:paraId="2388322D" w14:textId="72A6A841" w:rsidR="00A615FD" w:rsidRDefault="00A615FD" w:rsidP="00A615FD">
      <w:pPr>
        <w:pStyle w:val="Heading2"/>
      </w:pPr>
    </w:p>
    <w:p w14:paraId="7E91CA4F" w14:textId="77777777" w:rsidR="00060EB4" w:rsidRPr="00060EB4" w:rsidRDefault="00060EB4" w:rsidP="00060EB4"/>
    <w:p w14:paraId="3AF9ACFC" w14:textId="77777777" w:rsidR="008F0C72" w:rsidRDefault="00A615FD" w:rsidP="00A615FD">
      <w:pPr>
        <w:pStyle w:val="Heading2"/>
      </w:pPr>
      <w:r>
        <w:t>Background</w:t>
      </w:r>
    </w:p>
    <w:p w14:paraId="176E01B6" w14:textId="2EB1601E" w:rsidR="008F0C72" w:rsidRDefault="00060EB4">
      <w:r>
        <w:t>Y</w:t>
      </w:r>
      <w:r w:rsidR="008F0C72" w:rsidRPr="00CB181A">
        <w:t>ou</w:t>
      </w:r>
      <w:r w:rsidR="008F0C72">
        <w:t xml:space="preserve"> asked me to continue my </w:t>
      </w:r>
      <w:r>
        <w:t>periodic</w:t>
      </w:r>
      <w:r w:rsidR="008F0C72">
        <w:t xml:space="preserve"> review</w:t>
      </w:r>
      <w:r w:rsidR="00E462BC">
        <w:t>s</w:t>
      </w:r>
      <w:r w:rsidR="008F0C72">
        <w:t xml:space="preserve"> of the implementation progress of the </w:t>
      </w:r>
      <w:r w:rsidR="008F0C72" w:rsidRPr="008F0C72">
        <w:rPr>
          <w:i/>
        </w:rPr>
        <w:t xml:space="preserve">Getting the Groundwork </w:t>
      </w:r>
      <w:r w:rsidR="007752C6">
        <w:rPr>
          <w:i/>
        </w:rPr>
        <w:t>R</w:t>
      </w:r>
      <w:r w:rsidR="008F0C72" w:rsidRPr="008F0C72">
        <w:rPr>
          <w:i/>
        </w:rPr>
        <w:t>ight</w:t>
      </w:r>
      <w:r w:rsidR="008F0C72">
        <w:t xml:space="preserve"> report</w:t>
      </w:r>
      <w:r w:rsidR="00DB460E">
        <w:t xml:space="preserve"> (the Report)</w:t>
      </w:r>
      <w:r w:rsidR="008F0C72">
        <w:t>.</w:t>
      </w:r>
    </w:p>
    <w:p w14:paraId="72446580" w14:textId="77777777" w:rsidR="008F0C72" w:rsidRDefault="006E0D64">
      <w:r>
        <w:t xml:space="preserve">This </w:t>
      </w:r>
      <w:r w:rsidR="00F32C53">
        <w:t>review</w:t>
      </w:r>
      <w:r>
        <w:t xml:space="preserve"> </w:t>
      </w:r>
      <w:r w:rsidR="00955326">
        <w:t>focuses</w:t>
      </w:r>
      <w:r w:rsidR="00780419">
        <w:t xml:space="preserve"> </w:t>
      </w:r>
      <w:r>
        <w:t xml:space="preserve">on </w:t>
      </w:r>
      <w:r w:rsidR="0061777C">
        <w:t>implementation</w:t>
      </w:r>
      <w:r w:rsidR="00955326">
        <w:t xml:space="preserve"> since </w:t>
      </w:r>
      <w:r w:rsidR="0061777C">
        <w:t>August</w:t>
      </w:r>
      <w:r w:rsidR="00A615FD">
        <w:t xml:space="preserve"> 2018.</w:t>
      </w:r>
      <w:r>
        <w:t xml:space="preserve"> </w:t>
      </w:r>
      <w:r w:rsidR="008F0C72">
        <w:t xml:space="preserve">To complete this short </w:t>
      </w:r>
      <w:r w:rsidR="00F32C53">
        <w:t>review</w:t>
      </w:r>
      <w:r w:rsidR="008F0C72">
        <w:t xml:space="preserve">, I have consulted with four industry peak bodies and senior </w:t>
      </w:r>
      <w:r w:rsidR="008F0C72" w:rsidRPr="00570256">
        <w:t xml:space="preserve">staff from </w:t>
      </w:r>
      <w:r w:rsidR="00583863" w:rsidRPr="00570256">
        <w:t xml:space="preserve">the </w:t>
      </w:r>
      <w:r w:rsidR="00E95A39" w:rsidRPr="00570256">
        <w:t xml:space="preserve">Resources </w:t>
      </w:r>
      <w:r w:rsidR="00650495" w:rsidRPr="00570256">
        <w:t>Branch</w:t>
      </w:r>
      <w:r w:rsidR="00893164">
        <w:t xml:space="preserve"> within the Department of Jobs, Precincts and Regions</w:t>
      </w:r>
      <w:r w:rsidR="00650495" w:rsidRPr="00570256">
        <w:t>, including Earth Resources Regulation (ERR)</w:t>
      </w:r>
      <w:r w:rsidR="008F0C72" w:rsidRPr="00570256">
        <w:t>.</w:t>
      </w:r>
    </w:p>
    <w:p w14:paraId="44F6DD28" w14:textId="77777777" w:rsidR="008F0C72" w:rsidRDefault="008F0C72"/>
    <w:p w14:paraId="4D8F1289" w14:textId="77777777" w:rsidR="008F0C72" w:rsidRDefault="008F0C72" w:rsidP="008F0C72">
      <w:pPr>
        <w:pStyle w:val="Heading2"/>
      </w:pPr>
      <w:r>
        <w:t>Key points</w:t>
      </w:r>
    </w:p>
    <w:p w14:paraId="04C6E4CB" w14:textId="77777777" w:rsidR="008F0C72" w:rsidRPr="005F4796" w:rsidRDefault="008F0C72">
      <w:pPr>
        <w:rPr>
          <w:rStyle w:val="Heading3Char"/>
        </w:rPr>
      </w:pPr>
      <w:r w:rsidRPr="00EA1EF6">
        <w:rPr>
          <w:rStyle w:val="Heading3Char"/>
        </w:rPr>
        <w:t xml:space="preserve">Good </w:t>
      </w:r>
      <w:r w:rsidRPr="005F4796">
        <w:rPr>
          <w:rStyle w:val="Heading3Char"/>
        </w:rPr>
        <w:t>news</w:t>
      </w:r>
    </w:p>
    <w:p w14:paraId="5D43FD1C" w14:textId="77777777" w:rsidR="00A36D6C" w:rsidRDefault="004671D5" w:rsidP="00D77C3F">
      <w:r>
        <w:t xml:space="preserve">My </w:t>
      </w:r>
      <w:r w:rsidR="0078100C">
        <w:t>consultations</w:t>
      </w:r>
      <w:r>
        <w:t xml:space="preserve"> with i</w:t>
      </w:r>
      <w:r w:rsidR="0002650D">
        <w:t>ndustry</w:t>
      </w:r>
      <w:r w:rsidR="0062332B">
        <w:t xml:space="preserve"> </w:t>
      </w:r>
      <w:r>
        <w:t xml:space="preserve">indicated that they </w:t>
      </w:r>
      <w:r w:rsidR="004D6D09">
        <w:t xml:space="preserve">have seen some </w:t>
      </w:r>
      <w:r w:rsidR="00FF3496">
        <w:t>improvements</w:t>
      </w:r>
      <w:r w:rsidR="0062332B">
        <w:t xml:space="preserve"> </w:t>
      </w:r>
      <w:r w:rsidR="00FF3496">
        <w:t xml:space="preserve">in </w:t>
      </w:r>
      <w:r w:rsidR="002E659A">
        <w:t>ERR’s</w:t>
      </w:r>
      <w:r w:rsidR="00FF3496">
        <w:t xml:space="preserve"> operations</w:t>
      </w:r>
      <w:r w:rsidR="00607657">
        <w:t>.</w:t>
      </w:r>
      <w:r w:rsidR="0084232E">
        <w:t xml:space="preserve"> </w:t>
      </w:r>
      <w:r w:rsidR="00DB460E">
        <w:t>Generally, th</w:t>
      </w:r>
      <w:r w:rsidR="00522BB3">
        <w:t xml:space="preserve">ey </w:t>
      </w:r>
      <w:r w:rsidR="006E0B68" w:rsidRPr="006E0B68">
        <w:t xml:space="preserve">reported a more positive and constructive relationship with ERR </w:t>
      </w:r>
      <w:r w:rsidR="00522BB3">
        <w:t xml:space="preserve">and </w:t>
      </w:r>
      <w:r w:rsidR="00D835A5">
        <w:t>noted</w:t>
      </w:r>
      <w:r w:rsidR="00BB5830">
        <w:t>,</w:t>
      </w:r>
      <w:r w:rsidR="00D835A5">
        <w:t xml:space="preserve"> in particular</w:t>
      </w:r>
      <w:r w:rsidR="00BB5830">
        <w:t>,</w:t>
      </w:r>
      <w:r w:rsidR="00D835A5">
        <w:t xml:space="preserve"> improvement</w:t>
      </w:r>
      <w:r w:rsidR="00F32C53">
        <w:t>s</w:t>
      </w:r>
      <w:r w:rsidR="00D835A5">
        <w:t xml:space="preserve"> in</w:t>
      </w:r>
      <w:r w:rsidR="006E0B68" w:rsidRPr="006E0B68">
        <w:t xml:space="preserve"> </w:t>
      </w:r>
      <w:r w:rsidR="00615DA6">
        <w:t xml:space="preserve">industry </w:t>
      </w:r>
      <w:r w:rsidR="006E0B68" w:rsidRPr="006E0B68">
        <w:t>engagement</w:t>
      </w:r>
      <w:r w:rsidR="00FD5362">
        <w:t>.</w:t>
      </w:r>
      <w:r w:rsidR="00A36D6C">
        <w:t xml:space="preserve"> This point is illustrated by recent feedback I received </w:t>
      </w:r>
      <w:r w:rsidR="004C2D7E">
        <w:t>from</w:t>
      </w:r>
      <w:r w:rsidR="00A36D6C">
        <w:t xml:space="preserve"> </w:t>
      </w:r>
      <w:r w:rsidR="001F235B">
        <w:t xml:space="preserve">a senior executive in the extractives </w:t>
      </w:r>
      <w:r w:rsidR="00A36D6C">
        <w:t>industry:</w:t>
      </w:r>
    </w:p>
    <w:p w14:paraId="14521250" w14:textId="77777777" w:rsidR="006E1B1C" w:rsidRDefault="00A36D6C" w:rsidP="00A36D6C">
      <w:pPr>
        <w:ind w:left="720"/>
      </w:pPr>
      <w:r>
        <w:t>“</w:t>
      </w:r>
      <w:r w:rsidR="00DB1D95" w:rsidRPr="00E04B72">
        <w:t xml:space="preserve">John </w:t>
      </w:r>
      <w:r w:rsidRPr="00E04B72">
        <w:t xml:space="preserve">[Krbaleski] </w:t>
      </w:r>
      <w:r w:rsidR="00DB1D95" w:rsidRPr="00E04B72">
        <w:t>and</w:t>
      </w:r>
      <w:r w:rsidR="00DB1D95" w:rsidRPr="00DB1D95">
        <w:t xml:space="preserve"> his department are focused on ensuring the approvals of Extractive Industry applications are paramount to ensure the State Government’s infrastructure projects are properly and competitively supplied</w:t>
      </w:r>
      <w:r>
        <w:t>”</w:t>
      </w:r>
    </w:p>
    <w:p w14:paraId="2B953332" w14:textId="77777777" w:rsidR="00FF3496" w:rsidRDefault="00607657" w:rsidP="00F43CA8">
      <w:r>
        <w:t xml:space="preserve">Since August 2018, ERR has </w:t>
      </w:r>
      <w:r w:rsidR="00D307B0">
        <w:t>implemented</w:t>
      </w:r>
      <w:r>
        <w:t xml:space="preserve"> the following reforms:</w:t>
      </w:r>
    </w:p>
    <w:p w14:paraId="15D9DE7B" w14:textId="77777777" w:rsidR="006F60A1" w:rsidRPr="00EB2C6D" w:rsidRDefault="00795A6A" w:rsidP="005C2077">
      <w:pPr>
        <w:pStyle w:val="ListParagraph"/>
        <w:numPr>
          <w:ilvl w:val="0"/>
          <w:numId w:val="1"/>
        </w:numPr>
      </w:pPr>
      <w:r>
        <w:rPr>
          <w:b/>
        </w:rPr>
        <w:t xml:space="preserve">The </w:t>
      </w:r>
      <w:r w:rsidR="006F60A1">
        <w:rPr>
          <w:b/>
        </w:rPr>
        <w:t>approvals backlog has been significantly reduced</w:t>
      </w:r>
      <w:r w:rsidR="005C2077">
        <w:rPr>
          <w:b/>
        </w:rPr>
        <w:t xml:space="preserve"> </w:t>
      </w:r>
      <w:r w:rsidR="005C2077" w:rsidRPr="005C2077">
        <w:t>–</w:t>
      </w:r>
      <w:r w:rsidR="005C2077">
        <w:rPr>
          <w:b/>
        </w:rPr>
        <w:t xml:space="preserve"> </w:t>
      </w:r>
      <w:r w:rsidR="006F60A1" w:rsidRPr="00EB2C6D">
        <w:t>100 per cent of</w:t>
      </w:r>
      <w:r w:rsidR="00561CFE">
        <w:t xml:space="preserve"> </w:t>
      </w:r>
      <w:r w:rsidR="006F60A1" w:rsidRPr="00EB2C6D">
        <w:t>work plan</w:t>
      </w:r>
      <w:r w:rsidR="00EB2C6D" w:rsidRPr="00EB2C6D">
        <w:t>s</w:t>
      </w:r>
      <w:r w:rsidR="006F60A1" w:rsidRPr="00EB2C6D">
        <w:t xml:space="preserve"> </w:t>
      </w:r>
      <w:r w:rsidR="0005066A" w:rsidRPr="00EB2C6D">
        <w:t xml:space="preserve">for </w:t>
      </w:r>
      <w:r w:rsidR="00B24698">
        <w:t xml:space="preserve">new </w:t>
      </w:r>
      <w:r w:rsidR="004E5B73" w:rsidRPr="00EB2C6D">
        <w:t>quarries</w:t>
      </w:r>
      <w:r w:rsidR="0005066A" w:rsidRPr="00EB2C6D">
        <w:t xml:space="preserve"> </w:t>
      </w:r>
      <w:r w:rsidR="00EB2C6D" w:rsidRPr="00EB2C6D">
        <w:t xml:space="preserve">and </w:t>
      </w:r>
      <w:r w:rsidR="0005066A" w:rsidRPr="00EB2C6D">
        <w:t>min</w:t>
      </w:r>
      <w:r w:rsidR="00006C07">
        <w:t>es</w:t>
      </w:r>
      <w:r w:rsidR="0005066A" w:rsidRPr="00EB2C6D">
        <w:t xml:space="preserve"> </w:t>
      </w:r>
      <w:r w:rsidR="00B62077">
        <w:t xml:space="preserve">and variations </w:t>
      </w:r>
      <w:r w:rsidR="00EB2C6D" w:rsidRPr="00EB2C6D">
        <w:t xml:space="preserve">were within </w:t>
      </w:r>
      <w:r w:rsidR="00561CFE" w:rsidRPr="00EB2C6D">
        <w:t>statutory timeframes</w:t>
      </w:r>
      <w:r w:rsidR="00EB2C6D">
        <w:t xml:space="preserve"> (as at 31 March 2019)</w:t>
      </w:r>
      <w:r w:rsidR="007B73F7">
        <w:t>.</w:t>
      </w:r>
      <w:r w:rsidR="00802F81">
        <w:t xml:space="preserve"> This is a ‘work in </w:t>
      </w:r>
      <w:r w:rsidR="00A621DA">
        <w:t>progress</w:t>
      </w:r>
      <w:r w:rsidR="00802F81">
        <w:t xml:space="preserve">’ and the </w:t>
      </w:r>
      <w:r w:rsidR="00A621DA">
        <w:t xml:space="preserve">critical importance of making sure that the approvals system is </w:t>
      </w:r>
      <w:r w:rsidR="00A23255">
        <w:t>working effectively and efficiently can</w:t>
      </w:r>
      <w:r w:rsidR="000150C8">
        <w:t>n</w:t>
      </w:r>
      <w:r w:rsidR="00A23255">
        <w:t>ot be overstated</w:t>
      </w:r>
      <w:r w:rsidR="000150C8">
        <w:t>.</w:t>
      </w:r>
    </w:p>
    <w:p w14:paraId="6238DBF0" w14:textId="77777777" w:rsidR="00F56D0C" w:rsidRDefault="007A5F6B" w:rsidP="00F43CA8">
      <w:pPr>
        <w:pStyle w:val="ListParagraph"/>
        <w:numPr>
          <w:ilvl w:val="0"/>
          <w:numId w:val="1"/>
        </w:numPr>
      </w:pPr>
      <w:r>
        <w:rPr>
          <w:b/>
        </w:rPr>
        <w:t>New</w:t>
      </w:r>
      <w:r w:rsidR="00F56D0C" w:rsidRPr="00C70E7B">
        <w:rPr>
          <w:b/>
        </w:rPr>
        <w:t xml:space="preserve"> guidelines </w:t>
      </w:r>
      <w:r w:rsidR="00C70E7B" w:rsidRPr="00C70E7B">
        <w:rPr>
          <w:b/>
        </w:rPr>
        <w:t>for the p</w:t>
      </w:r>
      <w:r w:rsidR="00F56D0C" w:rsidRPr="00C70E7B">
        <w:rPr>
          <w:b/>
        </w:rPr>
        <w:t xml:space="preserve">reparation of </w:t>
      </w:r>
      <w:r w:rsidR="00C70E7B" w:rsidRPr="00C70E7B">
        <w:rPr>
          <w:b/>
        </w:rPr>
        <w:t>w</w:t>
      </w:r>
      <w:r w:rsidR="00F56D0C" w:rsidRPr="00C70E7B">
        <w:rPr>
          <w:b/>
        </w:rPr>
        <w:t xml:space="preserve">ork </w:t>
      </w:r>
      <w:r w:rsidR="00C70E7B" w:rsidRPr="00C70E7B">
        <w:rPr>
          <w:b/>
        </w:rPr>
        <w:t>p</w:t>
      </w:r>
      <w:r w:rsidR="00F56D0C" w:rsidRPr="00C70E7B">
        <w:rPr>
          <w:b/>
        </w:rPr>
        <w:t>lans a</w:t>
      </w:r>
      <w:r w:rsidR="00C70E7B" w:rsidRPr="00C70E7B">
        <w:rPr>
          <w:b/>
        </w:rPr>
        <w:t>nd v</w:t>
      </w:r>
      <w:r w:rsidR="00F56D0C" w:rsidRPr="00C70E7B">
        <w:rPr>
          <w:b/>
        </w:rPr>
        <w:t>ariations</w:t>
      </w:r>
      <w:r w:rsidR="00C70E7B" w:rsidRPr="00C70E7B">
        <w:rPr>
          <w:b/>
        </w:rPr>
        <w:t xml:space="preserve"> for the exploration, mining and extractives sectors</w:t>
      </w:r>
      <w:r w:rsidR="00C70E7B">
        <w:t xml:space="preserve"> </w:t>
      </w:r>
      <w:r w:rsidR="003C7369" w:rsidRPr="003C7369">
        <w:rPr>
          <w:b/>
        </w:rPr>
        <w:t>were released</w:t>
      </w:r>
      <w:r w:rsidR="003C7369">
        <w:t xml:space="preserve"> </w:t>
      </w:r>
      <w:r w:rsidR="00C70E7B">
        <w:t xml:space="preserve">– the </w:t>
      </w:r>
      <w:r w:rsidR="00FA587A">
        <w:t xml:space="preserve">guidelines </w:t>
      </w:r>
      <w:r w:rsidR="00F56D0C" w:rsidRPr="00F56D0C">
        <w:t>provide clear</w:t>
      </w:r>
      <w:r w:rsidR="00D835A5">
        <w:t>er</w:t>
      </w:r>
      <w:r w:rsidR="00F56D0C" w:rsidRPr="00F56D0C">
        <w:t xml:space="preserve"> </w:t>
      </w:r>
      <w:r w:rsidR="00ED2C11">
        <w:t>information</w:t>
      </w:r>
      <w:r w:rsidR="00F56D0C" w:rsidRPr="00F56D0C">
        <w:t xml:space="preserve"> to industry on </w:t>
      </w:r>
      <w:r w:rsidR="004C3051">
        <w:t xml:space="preserve">how to prepare </w:t>
      </w:r>
      <w:r w:rsidR="00F56D0C" w:rsidRPr="00F56D0C">
        <w:t>work plans</w:t>
      </w:r>
      <w:r w:rsidR="004C3051">
        <w:t xml:space="preserve"> and</w:t>
      </w:r>
      <w:r w:rsidR="00F56D0C" w:rsidRPr="00F56D0C">
        <w:t xml:space="preserve"> variations</w:t>
      </w:r>
      <w:r w:rsidR="00CD3FA0">
        <w:t xml:space="preserve"> and set </w:t>
      </w:r>
      <w:r w:rsidR="004C3051">
        <w:t xml:space="preserve">out the </w:t>
      </w:r>
      <w:r w:rsidR="00CD3FA0">
        <w:t xml:space="preserve">new </w:t>
      </w:r>
      <w:r w:rsidR="004C3051">
        <w:t>notification pathway</w:t>
      </w:r>
      <w:r w:rsidR="00F56D0C" w:rsidRPr="00F56D0C">
        <w:t xml:space="preserve">. These guidelines provide clarity </w:t>
      </w:r>
      <w:r w:rsidR="0039667C">
        <w:t>on</w:t>
      </w:r>
      <w:r w:rsidR="00F56D0C" w:rsidRPr="00F56D0C">
        <w:t xml:space="preserve"> the </w:t>
      </w:r>
      <w:r w:rsidR="00C10EF3">
        <w:t xml:space="preserve">regulator’s </w:t>
      </w:r>
      <w:r w:rsidR="00F56D0C" w:rsidRPr="00F56D0C">
        <w:t>expectations and help achiev</w:t>
      </w:r>
      <w:r w:rsidR="00C10EF3">
        <w:t>e</w:t>
      </w:r>
      <w:r w:rsidR="00F56D0C" w:rsidRPr="00F56D0C">
        <w:t xml:space="preserve"> consistency and transparency in the assessment and approval of work</w:t>
      </w:r>
      <w:r w:rsidR="00C10EF3">
        <w:t xml:space="preserve"> </w:t>
      </w:r>
      <w:r w:rsidR="00F56D0C" w:rsidRPr="00F56D0C">
        <w:t>plans.</w:t>
      </w:r>
    </w:p>
    <w:p w14:paraId="3A5A7C6D" w14:textId="77777777" w:rsidR="0062332B" w:rsidRDefault="007A5F6B" w:rsidP="00F43CA8">
      <w:pPr>
        <w:pStyle w:val="ListParagraph"/>
        <w:numPr>
          <w:ilvl w:val="0"/>
          <w:numId w:val="1"/>
        </w:numPr>
      </w:pPr>
      <w:r>
        <w:rPr>
          <w:b/>
        </w:rPr>
        <w:t>A</w:t>
      </w:r>
      <w:r w:rsidR="00FA23B6">
        <w:rPr>
          <w:b/>
        </w:rPr>
        <w:t xml:space="preserve"> new </w:t>
      </w:r>
      <w:r w:rsidR="00AD5F86" w:rsidRPr="00116105">
        <w:rPr>
          <w:b/>
        </w:rPr>
        <w:t xml:space="preserve">notification approvals </w:t>
      </w:r>
      <w:r w:rsidR="00E3603B" w:rsidRPr="00116105">
        <w:rPr>
          <w:b/>
        </w:rPr>
        <w:t>pathway</w:t>
      </w:r>
      <w:r w:rsidR="006438CD">
        <w:rPr>
          <w:b/>
        </w:rPr>
        <w:t xml:space="preserve"> </w:t>
      </w:r>
      <w:r w:rsidR="00024A70">
        <w:rPr>
          <w:b/>
        </w:rPr>
        <w:t xml:space="preserve">was introduced </w:t>
      </w:r>
      <w:r w:rsidR="00E43F97">
        <w:t xml:space="preserve">– a quicker and </w:t>
      </w:r>
      <w:r w:rsidR="00116105">
        <w:t>cheaper</w:t>
      </w:r>
      <w:r w:rsidR="00E43F97">
        <w:t xml:space="preserve"> approvals pathway </w:t>
      </w:r>
      <w:r w:rsidR="00844017">
        <w:t>has</w:t>
      </w:r>
      <w:r w:rsidR="00E43F97">
        <w:t xml:space="preserve"> been introduced to </w:t>
      </w:r>
      <w:r w:rsidR="000B1462">
        <w:t xml:space="preserve">reduce </w:t>
      </w:r>
      <w:r w:rsidR="005C353A">
        <w:t>assessment times for work plan changes for existing</w:t>
      </w:r>
      <w:r w:rsidR="00116105">
        <w:t xml:space="preserve"> quarr</w:t>
      </w:r>
      <w:r w:rsidR="005C353A">
        <w:t>ies</w:t>
      </w:r>
      <w:r w:rsidR="00116105">
        <w:t xml:space="preserve"> and mines.</w:t>
      </w:r>
    </w:p>
    <w:p w14:paraId="3C642D33" w14:textId="77777777" w:rsidR="00990F45" w:rsidRPr="007C6FE2" w:rsidRDefault="00ED2C11" w:rsidP="00990F45">
      <w:pPr>
        <w:pStyle w:val="ListParagraph"/>
        <w:numPr>
          <w:ilvl w:val="1"/>
          <w:numId w:val="1"/>
        </w:numPr>
      </w:pPr>
      <w:r w:rsidRPr="007C6FE2">
        <w:t>Overall, i</w:t>
      </w:r>
      <w:r w:rsidR="00F14724" w:rsidRPr="007C6FE2">
        <w:t>ndustry</w:t>
      </w:r>
      <w:r w:rsidR="00BF5245" w:rsidRPr="007C6FE2">
        <w:t xml:space="preserve"> </w:t>
      </w:r>
      <w:r w:rsidRPr="007C6FE2">
        <w:t xml:space="preserve">has </w:t>
      </w:r>
      <w:r w:rsidR="00BF5245" w:rsidRPr="007C6FE2">
        <w:t>welcome</w:t>
      </w:r>
      <w:r w:rsidRPr="007C6FE2">
        <w:t xml:space="preserve">d </w:t>
      </w:r>
      <w:r w:rsidR="00BF5245" w:rsidRPr="007C6FE2">
        <w:t xml:space="preserve">this change and </w:t>
      </w:r>
      <w:r w:rsidR="00990F45" w:rsidRPr="007C6FE2">
        <w:t xml:space="preserve">has </w:t>
      </w:r>
      <w:r w:rsidR="00BF5245" w:rsidRPr="007C6FE2">
        <w:t xml:space="preserve">reported </w:t>
      </w:r>
      <w:r w:rsidR="006438CD" w:rsidRPr="007C6FE2">
        <w:t>improvements</w:t>
      </w:r>
      <w:r w:rsidR="00F14724" w:rsidRPr="007C6FE2">
        <w:t xml:space="preserve"> in approvals </w:t>
      </w:r>
      <w:r w:rsidR="00821006" w:rsidRPr="007C6FE2">
        <w:t>times</w:t>
      </w:r>
      <w:r w:rsidR="00A0121E">
        <w:t xml:space="preserve"> as a result</w:t>
      </w:r>
      <w:r w:rsidR="005732CB" w:rsidRPr="007C6FE2">
        <w:t>.</w:t>
      </w:r>
    </w:p>
    <w:p w14:paraId="6A26E1EE" w14:textId="77777777" w:rsidR="00612B23" w:rsidRPr="004F574F" w:rsidRDefault="00612B23" w:rsidP="00B75D77">
      <w:pPr>
        <w:pStyle w:val="ListParagraph"/>
        <w:numPr>
          <w:ilvl w:val="1"/>
          <w:numId w:val="1"/>
        </w:numPr>
      </w:pPr>
      <w:r w:rsidRPr="00B75D77">
        <w:lastRenderedPageBreak/>
        <w:t>PwC</w:t>
      </w:r>
      <w:r w:rsidR="00EF6970">
        <w:t>’s preliminary</w:t>
      </w:r>
      <w:r w:rsidRPr="00B75D77">
        <w:t xml:space="preserve"> </w:t>
      </w:r>
      <w:r w:rsidR="00402F7F" w:rsidRPr="00B75D77">
        <w:t>evaluat</w:t>
      </w:r>
      <w:r w:rsidR="00EF6970">
        <w:t>ion</w:t>
      </w:r>
      <w:r w:rsidR="00402F7F" w:rsidRPr="00B75D77">
        <w:t xml:space="preserve"> </w:t>
      </w:r>
      <w:r w:rsidR="00E265EB">
        <w:t xml:space="preserve">of </w:t>
      </w:r>
      <w:r w:rsidR="00097C97" w:rsidRPr="00B75D77">
        <w:t xml:space="preserve">the notification pathway </w:t>
      </w:r>
      <w:r w:rsidRPr="00B75D77">
        <w:t xml:space="preserve">and found it is </w:t>
      </w:r>
      <w:r w:rsidR="00D43326" w:rsidRPr="00B75D77">
        <w:t>quicker and cheaper for industry.</w:t>
      </w:r>
      <w:r w:rsidR="00B75D77">
        <w:t xml:space="preserve"> It </w:t>
      </w:r>
      <w:r w:rsidR="009F27B1" w:rsidRPr="004F574F">
        <w:t>observed</w:t>
      </w:r>
      <w:r w:rsidR="00C92808">
        <w:t xml:space="preserve"> that</w:t>
      </w:r>
      <w:r w:rsidR="000C2B9A">
        <w:t>,</w:t>
      </w:r>
      <w:r w:rsidR="00C92808">
        <w:t xml:space="preserve"> based on initial </w:t>
      </w:r>
      <w:r w:rsidR="00AD086B" w:rsidRPr="004F574F">
        <w:t>feedback provided by industry</w:t>
      </w:r>
      <w:r w:rsidR="00C92808">
        <w:t>,</w:t>
      </w:r>
      <w:r w:rsidR="00AD086B" w:rsidRPr="004F574F">
        <w:t xml:space="preserve"> there appear to be substantial time/cost savings associated with the </w:t>
      </w:r>
      <w:r w:rsidR="00A0121E">
        <w:t xml:space="preserve">new </w:t>
      </w:r>
      <w:r w:rsidR="00AD086B" w:rsidRPr="004F574F">
        <w:t>notification pathway.</w:t>
      </w:r>
      <w:r w:rsidR="0002122A">
        <w:t xml:space="preserve"> Twenty notifications for works changes (five mines and 15 quarries)</w:t>
      </w:r>
      <w:r w:rsidR="00BB3F76">
        <w:t xml:space="preserve"> have been accepted by ERR as of 29 May 2019.</w:t>
      </w:r>
    </w:p>
    <w:p w14:paraId="70B65095" w14:textId="77777777" w:rsidR="00BF5E4B" w:rsidRPr="00990F45" w:rsidRDefault="00BF5E4B" w:rsidP="00BF5E4B">
      <w:pPr>
        <w:pStyle w:val="ListParagraph"/>
        <w:numPr>
          <w:ilvl w:val="0"/>
          <w:numId w:val="1"/>
        </w:numPr>
      </w:pPr>
      <w:r w:rsidRPr="004F574F">
        <w:rPr>
          <w:b/>
        </w:rPr>
        <w:t>H</w:t>
      </w:r>
      <w:r w:rsidR="00537579">
        <w:rPr>
          <w:b/>
        </w:rPr>
        <w:t>eld</w:t>
      </w:r>
      <w:r w:rsidRPr="004F574F">
        <w:rPr>
          <w:b/>
        </w:rPr>
        <w:t xml:space="preserve"> industry sessions</w:t>
      </w:r>
      <w:r w:rsidRPr="007D735E">
        <w:rPr>
          <w:b/>
        </w:rPr>
        <w:t xml:space="preserve"> on the new </w:t>
      </w:r>
      <w:r>
        <w:rPr>
          <w:b/>
        </w:rPr>
        <w:t xml:space="preserve">work plan </w:t>
      </w:r>
      <w:r w:rsidRPr="007D735E">
        <w:rPr>
          <w:b/>
        </w:rPr>
        <w:t>guidelines and notification pathway</w:t>
      </w:r>
      <w:r>
        <w:t xml:space="preserve"> – around 200 people attended industry sessions on the new guidelines. The sessions were well received by industry.</w:t>
      </w:r>
    </w:p>
    <w:p w14:paraId="1D3E5E44" w14:textId="77777777" w:rsidR="008F0C72" w:rsidRDefault="00C725E1" w:rsidP="0015675B">
      <w:pPr>
        <w:pStyle w:val="ListParagraph"/>
        <w:numPr>
          <w:ilvl w:val="0"/>
          <w:numId w:val="1"/>
        </w:numPr>
      </w:pPr>
      <w:r w:rsidRPr="00116105">
        <w:rPr>
          <w:b/>
        </w:rPr>
        <w:t xml:space="preserve">Developed 68 </w:t>
      </w:r>
      <w:r w:rsidR="00097C97">
        <w:rPr>
          <w:b/>
        </w:rPr>
        <w:t>standard operating procedures (</w:t>
      </w:r>
      <w:proofErr w:type="spellStart"/>
      <w:r w:rsidRPr="00116105">
        <w:rPr>
          <w:b/>
        </w:rPr>
        <w:t>SoPs</w:t>
      </w:r>
      <w:proofErr w:type="spellEnd"/>
      <w:r w:rsidR="00097C97">
        <w:rPr>
          <w:b/>
        </w:rPr>
        <w:t>)</w:t>
      </w:r>
      <w:r w:rsidR="00116105">
        <w:t xml:space="preserve"> –</w:t>
      </w:r>
      <w:r w:rsidR="00722989">
        <w:t xml:space="preserve"> </w:t>
      </w:r>
      <w:r w:rsidR="003B3A46">
        <w:t>ERR is in the process of implementing</w:t>
      </w:r>
      <w:r w:rsidR="00097C97">
        <w:t xml:space="preserve"> </w:t>
      </w:r>
      <w:proofErr w:type="spellStart"/>
      <w:r w:rsidR="00097C97">
        <w:t>SoPs</w:t>
      </w:r>
      <w:proofErr w:type="spellEnd"/>
      <w:r w:rsidR="00097C97">
        <w:t xml:space="preserve"> that will give staff clear guidance on all critical processes </w:t>
      </w:r>
      <w:r w:rsidR="00235597">
        <w:t>(including approvals, licensing and compliance)</w:t>
      </w:r>
      <w:r w:rsidR="007651ED">
        <w:t>.</w:t>
      </w:r>
      <w:r w:rsidR="00235597">
        <w:t xml:space="preserve"> </w:t>
      </w:r>
      <w:r w:rsidR="007651ED">
        <w:t xml:space="preserve">The </w:t>
      </w:r>
      <w:proofErr w:type="spellStart"/>
      <w:r w:rsidR="007651ED">
        <w:t>SoPs</w:t>
      </w:r>
      <w:proofErr w:type="spellEnd"/>
      <w:r w:rsidR="007651ED">
        <w:t xml:space="preserve"> </w:t>
      </w:r>
      <w:r w:rsidR="0015675B">
        <w:t>should lead to more efficient and consisten</w:t>
      </w:r>
      <w:r w:rsidR="007651ED">
        <w:t>t</w:t>
      </w:r>
      <w:r w:rsidR="0015675B">
        <w:t xml:space="preserve"> </w:t>
      </w:r>
      <w:r w:rsidR="00CB5DDD">
        <w:t>regulatory decisions</w:t>
      </w:r>
      <w:r w:rsidR="0015675B">
        <w:t>.</w:t>
      </w:r>
      <w:r w:rsidR="007651ED">
        <w:t xml:space="preserve"> </w:t>
      </w:r>
      <w:r w:rsidR="00BB3F76">
        <w:t>ERR’s recent action to develop operating policies, such as for fit and proper persons</w:t>
      </w:r>
      <w:r w:rsidR="005E0FF8">
        <w:t>,</w:t>
      </w:r>
      <w:r w:rsidR="00BB3F76">
        <w:t xml:space="preserve"> will help to set a firmer foundation for implementing the </w:t>
      </w:r>
      <w:proofErr w:type="spellStart"/>
      <w:r w:rsidR="00BB3F76">
        <w:t>SoPs</w:t>
      </w:r>
      <w:proofErr w:type="spellEnd"/>
      <w:r w:rsidR="00BB3F76">
        <w:t>.</w:t>
      </w:r>
    </w:p>
    <w:p w14:paraId="7CB30D2C" w14:textId="77777777" w:rsidR="004E5B73" w:rsidRDefault="00691F05" w:rsidP="0015675B">
      <w:pPr>
        <w:pStyle w:val="ListParagraph"/>
        <w:numPr>
          <w:ilvl w:val="0"/>
          <w:numId w:val="1"/>
        </w:numPr>
      </w:pPr>
      <w:r>
        <w:rPr>
          <w:b/>
        </w:rPr>
        <w:t>L</w:t>
      </w:r>
      <w:r w:rsidR="00272370" w:rsidRPr="00272370">
        <w:rPr>
          <w:b/>
        </w:rPr>
        <w:t xml:space="preserve">aunched a </w:t>
      </w:r>
      <w:r w:rsidR="00AD7F4B">
        <w:rPr>
          <w:b/>
        </w:rPr>
        <w:t>redeveloped</w:t>
      </w:r>
      <w:r w:rsidR="00272370" w:rsidRPr="00272370">
        <w:rPr>
          <w:b/>
        </w:rPr>
        <w:t xml:space="preserve"> website</w:t>
      </w:r>
      <w:r w:rsidR="00272370">
        <w:t xml:space="preserve"> </w:t>
      </w:r>
      <w:r w:rsidR="00272370" w:rsidRPr="008F1017">
        <w:t xml:space="preserve">– </w:t>
      </w:r>
      <w:r w:rsidR="001B6244" w:rsidRPr="008F1017">
        <w:t>this</w:t>
      </w:r>
      <w:r w:rsidR="001B6244">
        <w:t xml:space="preserve"> responds to </w:t>
      </w:r>
      <w:r w:rsidR="00CC4693">
        <w:t xml:space="preserve">a </w:t>
      </w:r>
      <w:r w:rsidR="002F1630">
        <w:t>recommendation</w:t>
      </w:r>
      <w:r w:rsidR="00CC4693">
        <w:t xml:space="preserve"> in my </w:t>
      </w:r>
      <w:r w:rsidR="00232EFA">
        <w:t xml:space="preserve">initial </w:t>
      </w:r>
      <w:r w:rsidR="00CC4693">
        <w:t>repor</w:t>
      </w:r>
      <w:r w:rsidR="00232EFA">
        <w:t>t</w:t>
      </w:r>
      <w:r w:rsidR="00BC6945">
        <w:t xml:space="preserve">. The </w:t>
      </w:r>
      <w:r w:rsidR="00AD7F4B">
        <w:t>redeveloped</w:t>
      </w:r>
      <w:r w:rsidR="00BC6945">
        <w:t xml:space="preserve"> website </w:t>
      </w:r>
      <w:r w:rsidR="001F0C81">
        <w:t>is a significant boost in ERR’s communications and</w:t>
      </w:r>
      <w:r w:rsidR="00286C7E">
        <w:t xml:space="preserve"> improve</w:t>
      </w:r>
      <w:r w:rsidR="002A7F62">
        <w:t>s</w:t>
      </w:r>
      <w:r w:rsidR="00286C7E">
        <w:t xml:space="preserve"> the presentation </w:t>
      </w:r>
      <w:r w:rsidR="007C38B4">
        <w:t>of approvals information</w:t>
      </w:r>
      <w:r w:rsidR="001F0C81">
        <w:t xml:space="preserve"> for industry and the community</w:t>
      </w:r>
      <w:r w:rsidR="007C38B4">
        <w:t>.</w:t>
      </w:r>
    </w:p>
    <w:p w14:paraId="7C0D5335" w14:textId="77777777" w:rsidR="00314D77" w:rsidRDefault="00314D77" w:rsidP="00A01A82">
      <w:pPr>
        <w:ind w:left="360"/>
      </w:pPr>
      <w:r w:rsidRPr="00A01A82">
        <w:rPr>
          <w:b/>
        </w:rPr>
        <w:t xml:space="preserve">One of the important initiatives recommended </w:t>
      </w:r>
      <w:r w:rsidR="00A30ACB" w:rsidRPr="00A01A82">
        <w:rPr>
          <w:b/>
        </w:rPr>
        <w:t xml:space="preserve">in </w:t>
      </w:r>
      <w:r w:rsidRPr="00A01A82">
        <w:rPr>
          <w:b/>
        </w:rPr>
        <w:t xml:space="preserve">the </w:t>
      </w:r>
      <w:r w:rsidRPr="00A01A82">
        <w:rPr>
          <w:b/>
          <w:i/>
        </w:rPr>
        <w:t>Getting the Ground</w:t>
      </w:r>
      <w:r w:rsidR="00085345" w:rsidRPr="00A01A82">
        <w:rPr>
          <w:b/>
          <w:i/>
        </w:rPr>
        <w:t>w</w:t>
      </w:r>
      <w:r w:rsidRPr="00A01A82">
        <w:rPr>
          <w:b/>
          <w:i/>
        </w:rPr>
        <w:t xml:space="preserve">ork </w:t>
      </w:r>
      <w:r w:rsidR="00A30ACB" w:rsidRPr="00A01A82">
        <w:rPr>
          <w:b/>
          <w:i/>
        </w:rPr>
        <w:t xml:space="preserve">Right </w:t>
      </w:r>
      <w:r w:rsidR="00A30ACB" w:rsidRPr="00A01A82">
        <w:rPr>
          <w:b/>
        </w:rPr>
        <w:t>report</w:t>
      </w:r>
      <w:r w:rsidRPr="00A01A82">
        <w:rPr>
          <w:b/>
        </w:rPr>
        <w:t xml:space="preserve"> </w:t>
      </w:r>
      <w:r w:rsidR="00A30ACB" w:rsidRPr="00A01A82">
        <w:rPr>
          <w:b/>
        </w:rPr>
        <w:t>was a Joint Ministerial Statement (JMS</w:t>
      </w:r>
      <w:r w:rsidRPr="00A01A82">
        <w:rPr>
          <w:b/>
        </w:rPr>
        <w:t xml:space="preserve">) </w:t>
      </w:r>
      <w:r w:rsidR="006D0BB0" w:rsidRPr="00A01A82">
        <w:rPr>
          <w:b/>
        </w:rPr>
        <w:t>to clarify roles in regard to planning</w:t>
      </w:r>
      <w:r w:rsidR="00A01A82">
        <w:t xml:space="preserve">. </w:t>
      </w:r>
      <w:r w:rsidR="00A01A82" w:rsidRPr="00A01A82">
        <w:t>T</w:t>
      </w:r>
      <w:r w:rsidRPr="00A01A82">
        <w:t>he</w:t>
      </w:r>
      <w:r>
        <w:t xml:space="preserve"> Ministers for Planning and Resources released </w:t>
      </w:r>
      <w:r w:rsidR="008F1017">
        <w:t xml:space="preserve">the </w:t>
      </w:r>
      <w:r w:rsidR="006D0BB0">
        <w:t>JMS</w:t>
      </w:r>
      <w:r>
        <w:t xml:space="preserve"> in August 2018 for the extractives sector. It sets out six focus areas where government commits to deliver regulatory improvements for the sector.</w:t>
      </w:r>
      <w:r w:rsidR="007E657F">
        <w:t xml:space="preserve"> The JMS</w:t>
      </w:r>
      <w:r w:rsidR="009E3864">
        <w:t xml:space="preserve"> include</w:t>
      </w:r>
      <w:r w:rsidR="00E265EB">
        <w:t>d</w:t>
      </w:r>
      <w:r w:rsidR="009E3864">
        <w:t xml:space="preserve"> a project hotlist</w:t>
      </w:r>
      <w:r w:rsidR="00304684">
        <w:t xml:space="preserve"> that identified quarries </w:t>
      </w:r>
      <w:r w:rsidR="005F6D00">
        <w:t xml:space="preserve">that would be given priority planning consideration. ERR has completed four </w:t>
      </w:r>
      <w:r w:rsidR="005E0FF8">
        <w:t>full</w:t>
      </w:r>
      <w:r w:rsidR="005F6D00">
        <w:t xml:space="preserve"> work plan approvals and four statutory endorsements (pending planning permits) for the 11 quarries on the hotlist. The applications </w:t>
      </w:r>
      <w:r w:rsidR="00C07E6B">
        <w:t xml:space="preserve">for the </w:t>
      </w:r>
      <w:r w:rsidR="005F6D00">
        <w:t xml:space="preserve">other three quarries </w:t>
      </w:r>
      <w:r w:rsidR="00C07E6B">
        <w:t xml:space="preserve">on the hotlist </w:t>
      </w:r>
      <w:r w:rsidR="005F6D00">
        <w:t xml:space="preserve">are </w:t>
      </w:r>
      <w:r w:rsidR="00C07E6B">
        <w:t xml:space="preserve">currently with the applicants to either prepare a work </w:t>
      </w:r>
      <w:r w:rsidR="005977FC">
        <w:t>plan or</w:t>
      </w:r>
      <w:r w:rsidR="00C07E6B">
        <w:t xml:space="preserve"> seek planning approval.</w:t>
      </w:r>
    </w:p>
    <w:p w14:paraId="263E0CC5" w14:textId="77777777" w:rsidR="008F0C72" w:rsidRDefault="008F0C72"/>
    <w:p w14:paraId="357CA66D" w14:textId="77777777" w:rsidR="008F0C72" w:rsidRDefault="008F0C72" w:rsidP="0015675B">
      <w:pPr>
        <w:pStyle w:val="Heading3"/>
      </w:pPr>
      <w:r>
        <w:t>Progress being made</w:t>
      </w:r>
    </w:p>
    <w:p w14:paraId="0A097AAB" w14:textId="77777777" w:rsidR="001B039A" w:rsidRPr="001B039A" w:rsidRDefault="00AA0D0A" w:rsidP="001B039A">
      <w:r>
        <w:t xml:space="preserve">In terms of completing the implementation of the Report’s recommendations, </w:t>
      </w:r>
      <w:r w:rsidR="004E4E1A">
        <w:t xml:space="preserve">ERR </w:t>
      </w:r>
      <w:r w:rsidR="00EA2D19">
        <w:t>has</w:t>
      </w:r>
      <w:r w:rsidR="004E4E1A">
        <w:t xml:space="preserve"> several ongoing projects that need to be </w:t>
      </w:r>
      <w:r w:rsidR="0070541A">
        <w:t>successfully</w:t>
      </w:r>
      <w:r w:rsidR="004E4E1A">
        <w:t xml:space="preserve"> delivered if it is to sust</w:t>
      </w:r>
      <w:r w:rsidR="0070541A">
        <w:t>ain and build on the improvements it has made.</w:t>
      </w:r>
    </w:p>
    <w:p w14:paraId="28B3A825" w14:textId="77777777" w:rsidR="00196CDC" w:rsidRDefault="00196CDC" w:rsidP="00196CD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Evaluation of the work plan and notification guidelines</w:t>
      </w:r>
    </w:p>
    <w:p w14:paraId="0F466BDC" w14:textId="77777777" w:rsidR="00196CDC" w:rsidRPr="00734384" w:rsidRDefault="00196CDC" w:rsidP="00196CDC">
      <w:pPr>
        <w:pStyle w:val="ListParagraph"/>
        <w:numPr>
          <w:ilvl w:val="1"/>
          <w:numId w:val="1"/>
        </w:numPr>
      </w:pPr>
      <w:r w:rsidRPr="00734384">
        <w:t>The</w:t>
      </w:r>
      <w:r w:rsidR="00AA0D0A">
        <w:t>se</w:t>
      </w:r>
      <w:r w:rsidRPr="00734384">
        <w:t xml:space="preserve"> guidelines are scheduled to be evaluat</w:t>
      </w:r>
      <w:r w:rsidR="002057BA">
        <w:t>ed</w:t>
      </w:r>
      <w:r w:rsidRPr="00734384">
        <w:t xml:space="preserve"> in Jun</w:t>
      </w:r>
      <w:r>
        <w:t>e</w:t>
      </w:r>
      <w:r w:rsidRPr="00734384">
        <w:t xml:space="preserve"> 2019. </w:t>
      </w:r>
      <w:r>
        <w:t xml:space="preserve">Industry has raised several areas of concern </w:t>
      </w:r>
      <w:r w:rsidR="00AE4E9F">
        <w:t>which</w:t>
      </w:r>
      <w:r>
        <w:t xml:space="preserve"> ERR should c</w:t>
      </w:r>
      <w:r w:rsidRPr="00734384">
        <w:t xml:space="preserve">onsider </w:t>
      </w:r>
      <w:r>
        <w:t>in the evaluation</w:t>
      </w:r>
      <w:r w:rsidRPr="00734384">
        <w:t>:</w:t>
      </w:r>
    </w:p>
    <w:p w14:paraId="1BA4974A" w14:textId="77777777" w:rsidR="00196CDC" w:rsidRDefault="00196CDC" w:rsidP="00196CDC">
      <w:pPr>
        <w:pStyle w:val="ListParagraph"/>
        <w:numPr>
          <w:ilvl w:val="2"/>
          <w:numId w:val="1"/>
        </w:numPr>
      </w:pPr>
      <w:r>
        <w:t>ERR</w:t>
      </w:r>
      <w:r w:rsidRPr="00734384">
        <w:t xml:space="preserve"> </w:t>
      </w:r>
      <w:r>
        <w:t xml:space="preserve">should explore whether it is necessary for notification pathway applicants to seek written advice from local government planning departments prior to submitting a notification application. Industry told me they have encountered difficulties with this step </w:t>
      </w:r>
      <w:r w:rsidR="008850EA">
        <w:t>and it</w:t>
      </w:r>
      <w:r>
        <w:t xml:space="preserve"> has delayed their applications.</w:t>
      </w:r>
    </w:p>
    <w:p w14:paraId="144CA67C" w14:textId="77777777" w:rsidR="00196CDC" w:rsidRDefault="00196CDC" w:rsidP="00196CDC">
      <w:pPr>
        <w:pStyle w:val="ListParagraph"/>
        <w:numPr>
          <w:ilvl w:val="2"/>
          <w:numId w:val="1"/>
        </w:numPr>
      </w:pPr>
      <w:r>
        <w:t>Smaller operators may find the risk assessment process in the guidelines too onerous. ERR should consider whether it can be made more proportionate.</w:t>
      </w:r>
    </w:p>
    <w:p w14:paraId="5B9BAA27" w14:textId="77777777" w:rsidR="00FD62E7" w:rsidRPr="00E36945" w:rsidRDefault="00FD62E7" w:rsidP="00B82836">
      <w:pPr>
        <w:pStyle w:val="ListParagraph"/>
        <w:numPr>
          <w:ilvl w:val="1"/>
          <w:numId w:val="1"/>
        </w:numPr>
      </w:pPr>
      <w:r>
        <w:t xml:space="preserve">ERR </w:t>
      </w:r>
      <w:r w:rsidR="0077087D">
        <w:t xml:space="preserve">has </w:t>
      </w:r>
      <w:r w:rsidR="009C3785">
        <w:t>agreed to work with industry to investigate a model where operators</w:t>
      </w:r>
      <w:r w:rsidR="002C2BCF">
        <w:t>, in specific circumstances,</w:t>
      </w:r>
      <w:r w:rsidR="009C3785">
        <w:t xml:space="preserve"> could provide a notification without any ERR prior assessment</w:t>
      </w:r>
      <w:r w:rsidR="0023224A">
        <w:t xml:space="preserve">. This will further </w:t>
      </w:r>
      <w:r w:rsidR="0012793D">
        <w:t>streamline</w:t>
      </w:r>
      <w:r w:rsidR="0023224A">
        <w:t xml:space="preserve"> the process, while still allowing</w:t>
      </w:r>
      <w:r w:rsidR="0012793D">
        <w:t xml:space="preserve"> the</w:t>
      </w:r>
      <w:r w:rsidR="0023224A">
        <w:t xml:space="preserve"> </w:t>
      </w:r>
      <w:r w:rsidR="0023224A" w:rsidRPr="00E36945">
        <w:t>regulator to adequately manage risk through a</w:t>
      </w:r>
      <w:r w:rsidR="0012793D" w:rsidRPr="00E36945">
        <w:t>n</w:t>
      </w:r>
      <w:r w:rsidR="0023224A" w:rsidRPr="00E36945">
        <w:t xml:space="preserve"> </w:t>
      </w:r>
      <w:r w:rsidR="002057BA" w:rsidRPr="00E36945">
        <w:t>‘</w:t>
      </w:r>
      <w:r w:rsidR="0012793D" w:rsidRPr="00E36945">
        <w:t>ex</w:t>
      </w:r>
      <w:r w:rsidR="0023224A" w:rsidRPr="00E36945">
        <w:t>-post</w:t>
      </w:r>
      <w:r w:rsidR="002057BA" w:rsidRPr="00E36945">
        <w:t>’</w:t>
      </w:r>
      <w:r w:rsidR="0023224A" w:rsidRPr="00E36945">
        <w:t xml:space="preserve"> assessme</w:t>
      </w:r>
      <w:r w:rsidR="0012793D" w:rsidRPr="00E36945">
        <w:t>n</w:t>
      </w:r>
      <w:r w:rsidR="0023224A" w:rsidRPr="00E36945">
        <w:t>t</w:t>
      </w:r>
      <w:r w:rsidR="00B82836" w:rsidRPr="00E36945">
        <w:t xml:space="preserve"> mechanism</w:t>
      </w:r>
      <w:r w:rsidR="00643029" w:rsidRPr="00E36945">
        <w:t>.</w:t>
      </w:r>
      <w:r w:rsidR="00D36D09">
        <w:t xml:space="preserve"> </w:t>
      </w:r>
      <w:r w:rsidR="00D36D09">
        <w:lastRenderedPageBreak/>
        <w:t xml:space="preserve">This </w:t>
      </w:r>
      <w:r w:rsidR="009C3785">
        <w:t>work</w:t>
      </w:r>
      <w:r w:rsidR="00D36D09">
        <w:t xml:space="preserve"> should start soon, and industry is keen to better understand how it can be involved.</w:t>
      </w:r>
    </w:p>
    <w:p w14:paraId="7DDB8277" w14:textId="77777777" w:rsidR="004D754F" w:rsidRPr="00E36945" w:rsidRDefault="004D754F" w:rsidP="00DC433C">
      <w:pPr>
        <w:pStyle w:val="ListParagraph"/>
        <w:numPr>
          <w:ilvl w:val="0"/>
          <w:numId w:val="1"/>
        </w:numPr>
        <w:rPr>
          <w:b/>
        </w:rPr>
      </w:pPr>
      <w:r w:rsidRPr="00E36945">
        <w:rPr>
          <w:b/>
        </w:rPr>
        <w:t>Redevelop the Resource Rights Allocation and Management (RRAM) system</w:t>
      </w:r>
    </w:p>
    <w:p w14:paraId="69290970" w14:textId="77777777" w:rsidR="00277DD4" w:rsidRDefault="005971C1" w:rsidP="00277DD4">
      <w:pPr>
        <w:pStyle w:val="ListParagraph"/>
        <w:numPr>
          <w:ilvl w:val="1"/>
          <w:numId w:val="1"/>
        </w:numPr>
      </w:pPr>
      <w:r w:rsidRPr="00E36945">
        <w:t>I</w:t>
      </w:r>
      <w:r w:rsidR="00605E73" w:rsidRPr="00E36945">
        <w:t xml:space="preserve">ndustry </w:t>
      </w:r>
      <w:r w:rsidR="0070541A" w:rsidRPr="00E36945">
        <w:t xml:space="preserve">reported to me that </w:t>
      </w:r>
      <w:r w:rsidR="00E11E49">
        <w:t xml:space="preserve">while it has noticed some improvements from </w:t>
      </w:r>
      <w:r w:rsidR="00605E73" w:rsidRPr="00E36945">
        <w:t xml:space="preserve">the ‘quick wins’ </w:t>
      </w:r>
      <w:r w:rsidR="001318BE">
        <w:t xml:space="preserve">RRAM </w:t>
      </w:r>
      <w:r w:rsidR="00605E73">
        <w:t>project</w:t>
      </w:r>
      <w:r w:rsidR="006D2F53">
        <w:t>, ERR need</w:t>
      </w:r>
      <w:r w:rsidR="007C796A">
        <w:t>s</w:t>
      </w:r>
      <w:r w:rsidR="006D2F53">
        <w:t xml:space="preserve"> to </w:t>
      </w:r>
      <w:r w:rsidR="006448E3">
        <w:t>ensure that</w:t>
      </w:r>
      <w:r w:rsidR="007C796A">
        <w:t xml:space="preserve"> industry </w:t>
      </w:r>
      <w:r w:rsidR="006448E3">
        <w:t xml:space="preserve">is </w:t>
      </w:r>
      <w:r w:rsidR="007C796A">
        <w:t>informed about its plans for RRAM</w:t>
      </w:r>
      <w:r w:rsidR="001318BE">
        <w:t>.</w:t>
      </w:r>
    </w:p>
    <w:p w14:paraId="665BF16A" w14:textId="77777777" w:rsidR="00891FCA" w:rsidRDefault="001D20EB" w:rsidP="00277DD4">
      <w:pPr>
        <w:pStyle w:val="ListParagraph"/>
        <w:numPr>
          <w:ilvl w:val="1"/>
          <w:numId w:val="1"/>
        </w:numPr>
      </w:pPr>
      <w:r>
        <w:t xml:space="preserve">ERR has </w:t>
      </w:r>
      <w:r w:rsidR="007A6E45">
        <w:t xml:space="preserve">now </w:t>
      </w:r>
      <w:r>
        <w:t>commenced the redevelopment</w:t>
      </w:r>
      <w:r w:rsidR="00AF51BF">
        <w:t xml:space="preserve"> </w:t>
      </w:r>
      <w:r w:rsidR="006B2D2A">
        <w:t>of RRAM</w:t>
      </w:r>
      <w:r w:rsidR="00AF51BF">
        <w:t xml:space="preserve">. </w:t>
      </w:r>
      <w:r w:rsidR="00891FCA">
        <w:t xml:space="preserve">An immediate focus is to </w:t>
      </w:r>
      <w:r w:rsidR="0002686E">
        <w:t xml:space="preserve">align the system with the new mineral regulations that will </w:t>
      </w:r>
      <w:r w:rsidR="00AA2C72">
        <w:t>commence</w:t>
      </w:r>
      <w:r w:rsidR="0002686E">
        <w:t xml:space="preserve"> on 1 July 2019.</w:t>
      </w:r>
    </w:p>
    <w:p w14:paraId="704966A4" w14:textId="77777777" w:rsidR="00EB00D0" w:rsidRDefault="00401D0B" w:rsidP="00277DD4">
      <w:pPr>
        <w:pStyle w:val="ListParagraph"/>
        <w:numPr>
          <w:ilvl w:val="1"/>
          <w:numId w:val="1"/>
        </w:numPr>
      </w:pPr>
      <w:r>
        <w:t>I</w:t>
      </w:r>
      <w:r w:rsidR="00916B27">
        <w:t xml:space="preserve">ndustry </w:t>
      </w:r>
      <w:r>
        <w:t xml:space="preserve">engagement </w:t>
      </w:r>
      <w:r w:rsidR="006B2D2A">
        <w:t>is</w:t>
      </w:r>
      <w:r>
        <w:t xml:space="preserve"> critical during this project to </w:t>
      </w:r>
      <w:r w:rsidR="001318BE">
        <w:t xml:space="preserve">make sure </w:t>
      </w:r>
      <w:r w:rsidR="000959FA">
        <w:t xml:space="preserve">the redeveloped RRAM </w:t>
      </w:r>
      <w:r w:rsidR="00DE7532">
        <w:t>meets users’ needs</w:t>
      </w:r>
      <w:r w:rsidR="000959FA">
        <w:t xml:space="preserve">. </w:t>
      </w:r>
      <w:r w:rsidR="00EB00D0" w:rsidRPr="0014556D">
        <w:t xml:space="preserve">ERR has committed to </w:t>
      </w:r>
      <w:r w:rsidR="00361659" w:rsidRPr="0014556D">
        <w:t>monthly end-</w:t>
      </w:r>
      <w:r w:rsidR="00EB00D0" w:rsidRPr="0014556D">
        <w:t xml:space="preserve">users </w:t>
      </w:r>
      <w:r w:rsidR="00991D5A" w:rsidRPr="0014556D">
        <w:t>workshops</w:t>
      </w:r>
      <w:r w:rsidR="00EB00D0" w:rsidRPr="0014556D">
        <w:t xml:space="preserve"> </w:t>
      </w:r>
      <w:r w:rsidR="002F5967">
        <w:t xml:space="preserve">to </w:t>
      </w:r>
      <w:r w:rsidR="00EB00D0" w:rsidRPr="0014556D">
        <w:t xml:space="preserve">seek feedback </w:t>
      </w:r>
      <w:r w:rsidR="00E84A09" w:rsidRPr="0014556D">
        <w:t>from</w:t>
      </w:r>
      <w:r w:rsidR="00EB00D0" w:rsidRPr="0014556D">
        <w:t xml:space="preserve"> industry.</w:t>
      </w:r>
      <w:r w:rsidR="006A4928">
        <w:t xml:space="preserve"> </w:t>
      </w:r>
      <w:r w:rsidR="002F5967">
        <w:t xml:space="preserve">It </w:t>
      </w:r>
      <w:r w:rsidR="0039659B">
        <w:t xml:space="preserve">recently held a </w:t>
      </w:r>
      <w:r w:rsidR="002F5967">
        <w:t xml:space="preserve">session covering proposed changes to </w:t>
      </w:r>
      <w:r w:rsidR="008518AA">
        <w:t xml:space="preserve">the licence application process. </w:t>
      </w:r>
      <w:r w:rsidR="006A4928">
        <w:t>It is important that RRAM redevelopment is a priority in the Department</w:t>
      </w:r>
      <w:r w:rsidR="000B4601">
        <w:t>’</w:t>
      </w:r>
      <w:r w:rsidR="006A4928">
        <w:t>s IT strategy.</w:t>
      </w:r>
    </w:p>
    <w:p w14:paraId="4AF39A70" w14:textId="77777777" w:rsidR="0031648E" w:rsidRPr="0014556D" w:rsidRDefault="000959FA" w:rsidP="00277DD4">
      <w:pPr>
        <w:pStyle w:val="ListParagraph"/>
        <w:numPr>
          <w:ilvl w:val="1"/>
          <w:numId w:val="1"/>
        </w:numPr>
      </w:pPr>
      <w:r>
        <w:t>Involvement of key ERR staff who can articulate the business requirements to the RRAM project team will be key to success.</w:t>
      </w:r>
    </w:p>
    <w:p w14:paraId="7E789413" w14:textId="77777777" w:rsidR="004A74E2" w:rsidRPr="005971C1" w:rsidRDefault="007D735E" w:rsidP="00DC433C">
      <w:pPr>
        <w:pStyle w:val="ListParagraph"/>
        <w:numPr>
          <w:ilvl w:val="0"/>
          <w:numId w:val="1"/>
        </w:numPr>
        <w:rPr>
          <w:b/>
        </w:rPr>
      </w:pPr>
      <w:r w:rsidRPr="0014556D">
        <w:rPr>
          <w:b/>
        </w:rPr>
        <w:t xml:space="preserve">Further work is </w:t>
      </w:r>
      <w:r w:rsidR="00277DD4" w:rsidRPr="0014556D">
        <w:rPr>
          <w:b/>
        </w:rPr>
        <w:t>required</w:t>
      </w:r>
      <w:r w:rsidRPr="005971C1">
        <w:rPr>
          <w:b/>
        </w:rPr>
        <w:t xml:space="preserve"> to give effect to the JMS</w:t>
      </w:r>
    </w:p>
    <w:p w14:paraId="72D5917D" w14:textId="77777777" w:rsidR="0066337B" w:rsidRPr="00F56689" w:rsidRDefault="00360B4E" w:rsidP="009208A7">
      <w:pPr>
        <w:pStyle w:val="ListParagraph"/>
        <w:numPr>
          <w:ilvl w:val="1"/>
          <w:numId w:val="1"/>
        </w:numPr>
      </w:pPr>
      <w:r w:rsidRPr="00F56689">
        <w:t>In</w:t>
      </w:r>
      <w:r w:rsidR="000875EA" w:rsidRPr="00F56689">
        <w:t xml:space="preserve">dustry expressed concerns about the </w:t>
      </w:r>
      <w:r w:rsidR="001D49AE" w:rsidRPr="00F56689">
        <w:t xml:space="preserve">implementation of the JMS, in particular that the </w:t>
      </w:r>
      <w:r w:rsidR="0074534C" w:rsidRPr="00F56689">
        <w:t xml:space="preserve">Planning Practice Note </w:t>
      </w:r>
      <w:r w:rsidR="00B144DD" w:rsidRPr="00F56689">
        <w:t>delivered</w:t>
      </w:r>
      <w:r w:rsidR="0074534C" w:rsidRPr="00F56689">
        <w:t xml:space="preserve"> by DELWP </w:t>
      </w:r>
      <w:r w:rsidR="00AC0CCC">
        <w:t>did not meet their expectations</w:t>
      </w:r>
      <w:r w:rsidR="0074534C" w:rsidRPr="00F56689">
        <w:t xml:space="preserve">. </w:t>
      </w:r>
      <w:r w:rsidR="007E51A7" w:rsidRPr="007E51A7">
        <w:t xml:space="preserve">DELWP is continuing to work on the recommendations of the </w:t>
      </w:r>
      <w:r w:rsidR="00EE5AAD">
        <w:t>JMS</w:t>
      </w:r>
      <w:r w:rsidR="007E51A7" w:rsidRPr="007E51A7">
        <w:t xml:space="preserve"> with its next phase being the delivery of legislative and Victorian planning policy changes. </w:t>
      </w:r>
      <w:r w:rsidR="00F40594">
        <w:t xml:space="preserve">DELWP has advised me that industry will be </w:t>
      </w:r>
      <w:r w:rsidR="00432A9F">
        <w:t>consulted as this work progresses</w:t>
      </w:r>
      <w:r w:rsidR="007E51A7" w:rsidRPr="007E51A7">
        <w:t>.</w:t>
      </w:r>
    </w:p>
    <w:p w14:paraId="063B5A88" w14:textId="77777777" w:rsidR="00EC76F1" w:rsidRPr="007F3DAD" w:rsidRDefault="00EC76F1" w:rsidP="00EC76F1">
      <w:pPr>
        <w:pStyle w:val="ListParagraph"/>
        <w:numPr>
          <w:ilvl w:val="0"/>
          <w:numId w:val="1"/>
        </w:numPr>
        <w:rPr>
          <w:b/>
        </w:rPr>
      </w:pPr>
      <w:r w:rsidRPr="007F3DAD">
        <w:rPr>
          <w:b/>
        </w:rPr>
        <w:t xml:space="preserve">A carefully </w:t>
      </w:r>
      <w:r>
        <w:rPr>
          <w:b/>
        </w:rPr>
        <w:t>structured</w:t>
      </w:r>
      <w:r w:rsidRPr="007F3DAD">
        <w:rPr>
          <w:b/>
        </w:rPr>
        <w:t xml:space="preserve"> change management plan is essential to recognise the value of the </w:t>
      </w:r>
      <w:proofErr w:type="spellStart"/>
      <w:r w:rsidRPr="007F3DAD">
        <w:rPr>
          <w:b/>
        </w:rPr>
        <w:t>SoPs</w:t>
      </w:r>
      <w:proofErr w:type="spellEnd"/>
    </w:p>
    <w:p w14:paraId="2E0CB919" w14:textId="77777777" w:rsidR="00EC76F1" w:rsidRDefault="003354E2" w:rsidP="00EC76F1">
      <w:pPr>
        <w:pStyle w:val="ListParagraph"/>
        <w:numPr>
          <w:ilvl w:val="1"/>
          <w:numId w:val="1"/>
        </w:numPr>
      </w:pPr>
      <w:r w:rsidRPr="00811096">
        <w:t xml:space="preserve">While the </w:t>
      </w:r>
      <w:proofErr w:type="spellStart"/>
      <w:r w:rsidRPr="00811096">
        <w:t>SoP</w:t>
      </w:r>
      <w:r w:rsidR="000B4601">
        <w:t>s</w:t>
      </w:r>
      <w:proofErr w:type="spellEnd"/>
      <w:r w:rsidRPr="00811096">
        <w:t xml:space="preserve"> have been develop</w:t>
      </w:r>
      <w:r w:rsidR="008858BA" w:rsidRPr="00811096">
        <w:t>ed</w:t>
      </w:r>
      <w:r w:rsidRPr="00811096">
        <w:t xml:space="preserve">, </w:t>
      </w:r>
      <w:r w:rsidR="00BD6C5B">
        <w:t xml:space="preserve">only </w:t>
      </w:r>
      <w:r w:rsidR="002C2BCF">
        <w:t>nine</w:t>
      </w:r>
      <w:r w:rsidR="00BD6C5B">
        <w:t xml:space="preserve"> have been implemented</w:t>
      </w:r>
      <w:r w:rsidR="0075306C">
        <w:t xml:space="preserve"> so far</w:t>
      </w:r>
      <w:r w:rsidRPr="00811096">
        <w:t xml:space="preserve">. How </w:t>
      </w:r>
      <w:r w:rsidR="00EC76F1" w:rsidRPr="00811096">
        <w:t>they are implemented</w:t>
      </w:r>
      <w:r w:rsidR="00EC76F1">
        <w:t xml:space="preserve"> will determine their usefulness as a tool to </w:t>
      </w:r>
      <w:r w:rsidR="000913CC">
        <w:t>improve</w:t>
      </w:r>
      <w:r w:rsidR="00EC76F1">
        <w:t xml:space="preserve"> regulatory </w:t>
      </w:r>
      <w:r w:rsidR="00F517F0">
        <w:t>consistency</w:t>
      </w:r>
      <w:r w:rsidR="00EC76F1">
        <w:t xml:space="preserve">. </w:t>
      </w:r>
      <w:r w:rsidR="001C6914">
        <w:t>To ensure that ERR staff see value in the new approach, the following ac</w:t>
      </w:r>
      <w:r w:rsidR="00856339">
        <w:t xml:space="preserve">tivities should accompany the release of the </w:t>
      </w:r>
      <w:proofErr w:type="spellStart"/>
      <w:r w:rsidR="00856339">
        <w:t>SoPs</w:t>
      </w:r>
      <w:proofErr w:type="spellEnd"/>
      <w:r w:rsidR="00EC76F1">
        <w:t>:</w:t>
      </w:r>
    </w:p>
    <w:p w14:paraId="3925B592" w14:textId="77777777" w:rsidR="00EC76F1" w:rsidRDefault="002E3E0E" w:rsidP="00EC76F1">
      <w:pPr>
        <w:pStyle w:val="ListParagraph"/>
        <w:numPr>
          <w:ilvl w:val="2"/>
          <w:numId w:val="1"/>
        </w:numPr>
      </w:pPr>
      <w:r>
        <w:t>a</w:t>
      </w:r>
      <w:r w:rsidR="00EC76F1">
        <w:t xml:space="preserve"> launch of the </w:t>
      </w:r>
      <w:proofErr w:type="spellStart"/>
      <w:r w:rsidR="00EC76F1">
        <w:t>SoPs</w:t>
      </w:r>
      <w:proofErr w:type="spellEnd"/>
      <w:r w:rsidR="00EC76F1">
        <w:t xml:space="preserve"> by senior </w:t>
      </w:r>
      <w:r w:rsidR="00A61F76">
        <w:t>ERR</w:t>
      </w:r>
      <w:r w:rsidR="00125C44">
        <w:t xml:space="preserve"> staff</w:t>
      </w:r>
    </w:p>
    <w:p w14:paraId="76B3726F" w14:textId="77777777" w:rsidR="00EC76F1" w:rsidRDefault="002E3E0E" w:rsidP="00EC76F1">
      <w:pPr>
        <w:pStyle w:val="ListParagraph"/>
        <w:numPr>
          <w:ilvl w:val="2"/>
          <w:numId w:val="1"/>
        </w:numPr>
      </w:pPr>
      <w:r>
        <w:t>s</w:t>
      </w:r>
      <w:r w:rsidR="00EC76F1">
        <w:t xml:space="preserve">mall working group sessions with staff to ‘calibrate’ decision making under the </w:t>
      </w:r>
      <w:proofErr w:type="spellStart"/>
      <w:r w:rsidR="00EC76F1">
        <w:t>SoPs</w:t>
      </w:r>
      <w:proofErr w:type="spellEnd"/>
    </w:p>
    <w:p w14:paraId="5D3A08B4" w14:textId="77777777" w:rsidR="006E2800" w:rsidRDefault="006E2800" w:rsidP="00EC76F1">
      <w:pPr>
        <w:pStyle w:val="ListParagraph"/>
        <w:numPr>
          <w:ilvl w:val="2"/>
          <w:numId w:val="1"/>
        </w:numPr>
      </w:pPr>
      <w:r>
        <w:t>six</w:t>
      </w:r>
      <w:r>
        <w:noBreakHyphen/>
        <w:t xml:space="preserve">monthly reviews of the effectiveness of each </w:t>
      </w:r>
      <w:proofErr w:type="spellStart"/>
      <w:r>
        <w:t>SoP</w:t>
      </w:r>
      <w:proofErr w:type="spellEnd"/>
      <w:r>
        <w:t>.</w:t>
      </w:r>
    </w:p>
    <w:p w14:paraId="166CCF50" w14:textId="77777777" w:rsidR="003354E2" w:rsidRDefault="00CE541F" w:rsidP="008B35DD">
      <w:pPr>
        <w:pStyle w:val="ListParagraph"/>
        <w:numPr>
          <w:ilvl w:val="1"/>
          <w:numId w:val="1"/>
        </w:numPr>
      </w:pPr>
      <w:r>
        <w:t xml:space="preserve">If operating improvements at ERR are to be delivered, it is vital that the </w:t>
      </w:r>
      <w:proofErr w:type="spellStart"/>
      <w:r>
        <w:t>SoPs</w:t>
      </w:r>
      <w:proofErr w:type="spellEnd"/>
      <w:r>
        <w:t xml:space="preserve"> are implemented as soon as possible.</w:t>
      </w:r>
    </w:p>
    <w:p w14:paraId="6759F572" w14:textId="77777777" w:rsidR="00EC76F1" w:rsidRPr="006C6E93" w:rsidRDefault="00490004" w:rsidP="0086383D">
      <w:pPr>
        <w:pStyle w:val="ListParagraph"/>
        <w:numPr>
          <w:ilvl w:val="1"/>
          <w:numId w:val="1"/>
        </w:numPr>
      </w:pPr>
      <w:r>
        <w:t xml:space="preserve">As well as endorsing the </w:t>
      </w:r>
      <w:proofErr w:type="spellStart"/>
      <w:r>
        <w:t>SoPs</w:t>
      </w:r>
      <w:proofErr w:type="spellEnd"/>
      <w:r>
        <w:t xml:space="preserve">, </w:t>
      </w:r>
      <w:r w:rsidR="00CE541F">
        <w:t xml:space="preserve">it is important that </w:t>
      </w:r>
      <w:r w:rsidR="00EC76F1">
        <w:t xml:space="preserve">ERR leadership </w:t>
      </w:r>
      <w:r w:rsidR="00DB1A7A">
        <w:t xml:space="preserve">continues to </w:t>
      </w:r>
      <w:r w:rsidR="00EC76F1">
        <w:t xml:space="preserve">focus on creating a supporting culture that empowers ERR staff to make decisions, </w:t>
      </w:r>
      <w:r w:rsidR="002C5206">
        <w:t xml:space="preserve">including making it clear when they need to </w:t>
      </w:r>
      <w:r w:rsidR="00EC76F1">
        <w:t>escalate</w:t>
      </w:r>
      <w:r w:rsidR="002C5206">
        <w:t xml:space="preserve"> issues</w:t>
      </w:r>
      <w:r w:rsidR="00EC76F1">
        <w:t xml:space="preserve"> to a manager.</w:t>
      </w:r>
    </w:p>
    <w:p w14:paraId="0129F7E6" w14:textId="77777777" w:rsidR="00390AF3" w:rsidRDefault="00080AEA" w:rsidP="00DC433C">
      <w:pPr>
        <w:pStyle w:val="ListParagraph"/>
        <w:numPr>
          <w:ilvl w:val="0"/>
          <w:numId w:val="1"/>
        </w:numPr>
      </w:pPr>
      <w:r w:rsidRPr="0011120A">
        <w:rPr>
          <w:b/>
        </w:rPr>
        <w:t>Legislative</w:t>
      </w:r>
      <w:r w:rsidR="006F78A5" w:rsidRPr="0011120A">
        <w:rPr>
          <w:b/>
        </w:rPr>
        <w:t xml:space="preserve"> change agenda</w:t>
      </w:r>
    </w:p>
    <w:p w14:paraId="4217F218" w14:textId="77777777" w:rsidR="006F78A5" w:rsidRDefault="003C7EA0" w:rsidP="00390AF3">
      <w:pPr>
        <w:pStyle w:val="ListParagraph"/>
        <w:numPr>
          <w:ilvl w:val="1"/>
          <w:numId w:val="1"/>
        </w:numPr>
      </w:pPr>
      <w:r>
        <w:t xml:space="preserve">In line with my Report’s </w:t>
      </w:r>
      <w:r w:rsidR="008F0D0D">
        <w:t xml:space="preserve">recommendations about the need for legislative change in the longer-term, </w:t>
      </w:r>
      <w:r>
        <w:t>t</w:t>
      </w:r>
      <w:r w:rsidR="000445DB">
        <w:t xml:space="preserve">he Earth Resources </w:t>
      </w:r>
      <w:r w:rsidR="0011120A">
        <w:t>Policy</w:t>
      </w:r>
      <w:r w:rsidR="004F27FB">
        <w:t xml:space="preserve"> &amp; Legislation</w:t>
      </w:r>
      <w:r w:rsidR="000445DB">
        <w:t xml:space="preserve"> team has started scoping </w:t>
      </w:r>
      <w:r w:rsidR="0011120A">
        <w:t>legislative</w:t>
      </w:r>
      <w:r w:rsidR="0024451A">
        <w:t xml:space="preserve"> changes to the </w:t>
      </w:r>
      <w:r w:rsidR="0011120A" w:rsidRPr="001158A2">
        <w:rPr>
          <w:i/>
        </w:rPr>
        <w:t>Mineral Resources (Sustainable Development) Act 1990</w:t>
      </w:r>
      <w:r w:rsidR="00AC609C">
        <w:t>.</w:t>
      </w:r>
    </w:p>
    <w:p w14:paraId="2BAF5DC2" w14:textId="77777777" w:rsidR="0011120A" w:rsidRDefault="00337E8F" w:rsidP="0011120A">
      <w:pPr>
        <w:pStyle w:val="ListParagraph"/>
        <w:numPr>
          <w:ilvl w:val="1"/>
          <w:numId w:val="1"/>
        </w:numPr>
      </w:pPr>
      <w:r>
        <w:t xml:space="preserve">An initial </w:t>
      </w:r>
      <w:r w:rsidR="00AC609C">
        <w:t xml:space="preserve">legislative reform </w:t>
      </w:r>
      <w:r>
        <w:t xml:space="preserve">priority is </w:t>
      </w:r>
      <w:r w:rsidR="00F92056">
        <w:t>to explore the alignment between land use planning legislation and the MRSD Act</w:t>
      </w:r>
      <w:r w:rsidR="00BB7570">
        <w:t xml:space="preserve"> to </w:t>
      </w:r>
      <w:r w:rsidR="001D2999">
        <w:t>reduce</w:t>
      </w:r>
      <w:r w:rsidR="00BB7570">
        <w:t xml:space="preserve"> the time it takes </w:t>
      </w:r>
      <w:r w:rsidR="007A23D1">
        <w:t>for</w:t>
      </w:r>
      <w:r w:rsidR="00EA510B">
        <w:t xml:space="preserve"> regulatory </w:t>
      </w:r>
      <w:r w:rsidR="003E2767">
        <w:t xml:space="preserve">approvals </w:t>
      </w:r>
      <w:r w:rsidR="00EA510B">
        <w:t xml:space="preserve">to open a new </w:t>
      </w:r>
      <w:r w:rsidR="00BB7570">
        <w:t>mine or quarry.</w:t>
      </w:r>
    </w:p>
    <w:p w14:paraId="01ACB505" w14:textId="77777777" w:rsidR="0075306C" w:rsidRPr="00E7337D" w:rsidRDefault="0075306C" w:rsidP="0011120A">
      <w:pPr>
        <w:pStyle w:val="ListParagraph"/>
        <w:numPr>
          <w:ilvl w:val="1"/>
          <w:numId w:val="1"/>
        </w:numPr>
      </w:pPr>
      <w:r>
        <w:t xml:space="preserve">Progressive implementation of new regulations is creating a complex operating environment for ERR, which has a flow-on effect to </w:t>
      </w:r>
      <w:proofErr w:type="spellStart"/>
      <w:r>
        <w:t>SoPs</w:t>
      </w:r>
      <w:proofErr w:type="spellEnd"/>
      <w:r>
        <w:t xml:space="preserve">, guidelines and </w:t>
      </w:r>
      <w:r w:rsidR="00D65A8D">
        <w:t xml:space="preserve">the </w:t>
      </w:r>
      <w:r>
        <w:t>website.</w:t>
      </w:r>
    </w:p>
    <w:p w14:paraId="59A9369D" w14:textId="77777777" w:rsidR="002C736D" w:rsidRPr="002C736D" w:rsidRDefault="002C736D" w:rsidP="00E265EB">
      <w:pPr>
        <w:pStyle w:val="ListParagraph"/>
        <w:keepNext/>
        <w:numPr>
          <w:ilvl w:val="0"/>
          <w:numId w:val="1"/>
        </w:numPr>
        <w:ind w:hanging="357"/>
      </w:pPr>
      <w:r>
        <w:rPr>
          <w:b/>
        </w:rPr>
        <w:lastRenderedPageBreak/>
        <w:t xml:space="preserve">Industry </w:t>
      </w:r>
      <w:r w:rsidR="00A86763">
        <w:rPr>
          <w:b/>
        </w:rPr>
        <w:t>familiarisation</w:t>
      </w:r>
    </w:p>
    <w:p w14:paraId="4BA10EE9" w14:textId="77777777" w:rsidR="00F85EC9" w:rsidRPr="002C736D" w:rsidRDefault="00DB1A7A" w:rsidP="00E265EB">
      <w:pPr>
        <w:pStyle w:val="ListParagraph"/>
        <w:keepNext/>
        <w:numPr>
          <w:ilvl w:val="1"/>
          <w:numId w:val="1"/>
        </w:numPr>
        <w:ind w:hanging="357"/>
      </w:pPr>
      <w:r w:rsidRPr="002C736D">
        <w:t>My report highlighted the importance of ERR staff being familiar with industry</w:t>
      </w:r>
      <w:r w:rsidR="002C736D">
        <w:t xml:space="preserve">. </w:t>
      </w:r>
      <w:r w:rsidR="00E0443F">
        <w:t>M</w:t>
      </w:r>
      <w:r w:rsidR="00193D16" w:rsidRPr="002C736D">
        <w:t xml:space="preserve">y consultations </w:t>
      </w:r>
      <w:r w:rsidR="00E7337D" w:rsidRPr="002C736D">
        <w:t>with industry</w:t>
      </w:r>
      <w:r w:rsidR="00152A9E" w:rsidRPr="002C736D">
        <w:t xml:space="preserve"> indicate that</w:t>
      </w:r>
      <w:r w:rsidR="00E7337D" w:rsidRPr="002C736D">
        <w:t xml:space="preserve"> further work is required </w:t>
      </w:r>
      <w:r w:rsidR="004221D2" w:rsidRPr="002C736D">
        <w:t xml:space="preserve">as a priority </w:t>
      </w:r>
      <w:r w:rsidR="00E7337D" w:rsidRPr="002C736D">
        <w:t xml:space="preserve">to </w:t>
      </w:r>
      <w:r w:rsidR="009035CF" w:rsidRPr="002C736D">
        <w:t xml:space="preserve">increase industry knowledge within </w:t>
      </w:r>
      <w:r w:rsidR="00AC609C" w:rsidRPr="002C736D">
        <w:t>ERR</w:t>
      </w:r>
      <w:r w:rsidR="009D61BC" w:rsidRPr="002C736D">
        <w:t>.</w:t>
      </w:r>
    </w:p>
    <w:p w14:paraId="7CC5E45F" w14:textId="77777777" w:rsidR="001661BF" w:rsidRPr="008858BA" w:rsidRDefault="004157B9" w:rsidP="00AF29B4">
      <w:pPr>
        <w:pStyle w:val="ListParagraph"/>
        <w:numPr>
          <w:ilvl w:val="1"/>
          <w:numId w:val="1"/>
        </w:numPr>
      </w:pPr>
      <w:r>
        <w:t xml:space="preserve">It is pleasing to note </w:t>
      </w:r>
      <w:r w:rsidR="00AA24C1">
        <w:t>that</w:t>
      </w:r>
      <w:r>
        <w:t xml:space="preserve"> ERR has </w:t>
      </w:r>
      <w:r w:rsidR="000B7D88">
        <w:t xml:space="preserve">now </w:t>
      </w:r>
      <w:r>
        <w:t xml:space="preserve">committed to </w:t>
      </w:r>
      <w:r w:rsidR="007A0186">
        <w:t xml:space="preserve">a program of quarterly site visits </w:t>
      </w:r>
      <w:r w:rsidR="007D11BB">
        <w:t xml:space="preserve">so that all </w:t>
      </w:r>
      <w:r w:rsidR="007A0186">
        <w:t xml:space="preserve">staff </w:t>
      </w:r>
      <w:r w:rsidR="00AA24C1">
        <w:t>visit</w:t>
      </w:r>
      <w:r w:rsidR="007A0186">
        <w:t xml:space="preserve"> a mine and quarry annually. </w:t>
      </w:r>
      <w:r w:rsidR="007D11BB">
        <w:t xml:space="preserve">Priority should be given to new starters </w:t>
      </w:r>
      <w:r w:rsidR="00B67885">
        <w:t xml:space="preserve">and those </w:t>
      </w:r>
      <w:r w:rsidR="007D11BB">
        <w:t xml:space="preserve">who have not yet been onsite. </w:t>
      </w:r>
      <w:r w:rsidR="00FE05C2">
        <w:t>ERR</w:t>
      </w:r>
      <w:r w:rsidR="00E41F95">
        <w:t xml:space="preserve"> will also invite staff from other relevant agencies (such as DELWP) to </w:t>
      </w:r>
      <w:r w:rsidR="000B7D88">
        <w:t>these visits</w:t>
      </w:r>
      <w:r w:rsidR="00AF29B4">
        <w:t xml:space="preserve"> to </w:t>
      </w:r>
      <w:r w:rsidR="00E41F95">
        <w:t xml:space="preserve">increase industry exposure across government. </w:t>
      </w:r>
      <w:r w:rsidR="007A0186">
        <w:t xml:space="preserve">Other </w:t>
      </w:r>
      <w:r w:rsidR="00AA24C1">
        <w:t xml:space="preserve">steps to </w:t>
      </w:r>
      <w:r w:rsidR="00AC108E">
        <w:t xml:space="preserve">address </w:t>
      </w:r>
      <w:r w:rsidR="00AA24C1">
        <w:t>this should include</w:t>
      </w:r>
      <w:r w:rsidR="00AF29B4">
        <w:t xml:space="preserve"> </w:t>
      </w:r>
      <w:r w:rsidR="00C23C49" w:rsidRPr="008858BA">
        <w:t>p</w:t>
      </w:r>
      <w:r w:rsidR="00AC108E" w:rsidRPr="008858BA">
        <w:t>ractical t</w:t>
      </w:r>
      <w:r w:rsidR="001661BF" w:rsidRPr="008858BA">
        <w:t>raining</w:t>
      </w:r>
      <w:r w:rsidR="00B67885">
        <w:t xml:space="preserve"> about mining and quarrying operations</w:t>
      </w:r>
      <w:r w:rsidR="00AC108E" w:rsidRPr="008858BA">
        <w:t xml:space="preserve"> </w:t>
      </w:r>
      <w:r w:rsidR="00A50090" w:rsidRPr="008858BA">
        <w:t>to increase</w:t>
      </w:r>
      <w:r w:rsidR="00DC7A1D" w:rsidRPr="008858BA">
        <w:t xml:space="preserve"> industry familiarisation</w:t>
      </w:r>
      <w:r w:rsidR="00A50090" w:rsidRPr="008858BA">
        <w:t>.</w:t>
      </w:r>
    </w:p>
    <w:p w14:paraId="4ED707A6" w14:textId="77777777" w:rsidR="000A0884" w:rsidRPr="008858BA" w:rsidRDefault="000A0884" w:rsidP="00E207EE">
      <w:pPr>
        <w:pStyle w:val="ListParagraph"/>
        <w:keepNext/>
        <w:numPr>
          <w:ilvl w:val="0"/>
          <w:numId w:val="1"/>
        </w:numPr>
        <w:ind w:hanging="357"/>
        <w:rPr>
          <w:b/>
        </w:rPr>
      </w:pPr>
      <w:r w:rsidRPr="008858BA">
        <w:rPr>
          <w:b/>
        </w:rPr>
        <w:t xml:space="preserve">Develop an ERR </w:t>
      </w:r>
      <w:r w:rsidR="00E51845" w:rsidRPr="008858BA">
        <w:rPr>
          <w:b/>
        </w:rPr>
        <w:t xml:space="preserve">stakeholder </w:t>
      </w:r>
      <w:r w:rsidRPr="008858BA">
        <w:rPr>
          <w:b/>
        </w:rPr>
        <w:t>charter</w:t>
      </w:r>
    </w:p>
    <w:p w14:paraId="2A4D3DF4" w14:textId="77777777" w:rsidR="0098289F" w:rsidRPr="008858BA" w:rsidRDefault="00762E32" w:rsidP="00E207EE">
      <w:pPr>
        <w:pStyle w:val="ListParagraph"/>
        <w:keepNext/>
        <w:numPr>
          <w:ilvl w:val="1"/>
          <w:numId w:val="1"/>
        </w:numPr>
        <w:ind w:hanging="357"/>
      </w:pPr>
      <w:r>
        <w:t xml:space="preserve">As </w:t>
      </w:r>
      <w:r w:rsidRPr="00EB6470">
        <w:t xml:space="preserve">noted above, </w:t>
      </w:r>
      <w:r w:rsidR="007F2CF1" w:rsidRPr="00EB6470">
        <w:t xml:space="preserve">ERR engagement with industry has improved </w:t>
      </w:r>
      <w:r w:rsidR="0043747F" w:rsidRPr="00EB6470">
        <w:t>significantly</w:t>
      </w:r>
      <w:r w:rsidR="0034545C" w:rsidRPr="00EB6470">
        <w:t xml:space="preserve">. </w:t>
      </w:r>
      <w:r w:rsidR="00EB6470">
        <w:t>T</w:t>
      </w:r>
      <w:r w:rsidR="0034545C" w:rsidRPr="00EB6470">
        <w:t xml:space="preserve">o </w:t>
      </w:r>
      <w:r w:rsidR="00EB6470" w:rsidRPr="00EB6470">
        <w:t xml:space="preserve">consolidate these improvements, and build on them, ERR </w:t>
      </w:r>
      <w:r w:rsidR="00042FA7">
        <w:t>sh</w:t>
      </w:r>
      <w:r w:rsidR="00EB6470" w:rsidRPr="00EB6470">
        <w:t xml:space="preserve">ould consider working with staff to develop a charter, similar to that </w:t>
      </w:r>
      <w:r w:rsidR="0079041A">
        <w:t xml:space="preserve">recently developed by </w:t>
      </w:r>
      <w:r w:rsidR="00EB6470" w:rsidRPr="00EB6470">
        <w:t>the Essential Services Commission (ESC)</w:t>
      </w:r>
      <w:r w:rsidR="00EB6470">
        <w:t>.</w:t>
      </w:r>
      <w:r w:rsidR="00401FCC" w:rsidRPr="00EB6470">
        <w:t xml:space="preserve"> </w:t>
      </w:r>
      <w:r w:rsidR="006C1859" w:rsidRPr="00EB6470">
        <w:t>Such</w:t>
      </w:r>
      <w:r w:rsidR="006C1859">
        <w:t xml:space="preserve"> as charter would </w:t>
      </w:r>
      <w:r w:rsidR="00401FCC" w:rsidRPr="008858BA">
        <w:t xml:space="preserve">set out </w:t>
      </w:r>
      <w:r w:rsidR="008C2C54" w:rsidRPr="008858BA">
        <w:t>what stakeholders can expe</w:t>
      </w:r>
      <w:r w:rsidR="00B22262">
        <w:t>c</w:t>
      </w:r>
      <w:r w:rsidR="008C2C54" w:rsidRPr="008858BA">
        <w:t>t when interacting with ERR</w:t>
      </w:r>
      <w:r w:rsidR="00A013C2">
        <w:t>.</w:t>
      </w:r>
      <w:r w:rsidR="00401FCC" w:rsidRPr="008858BA">
        <w:t xml:space="preserve"> ERR staff should be involved in </w:t>
      </w:r>
      <w:r w:rsidR="00B22262">
        <w:t xml:space="preserve">its </w:t>
      </w:r>
      <w:r w:rsidR="00401FCC" w:rsidRPr="008858BA">
        <w:t>design</w:t>
      </w:r>
      <w:r w:rsidR="00A85B51">
        <w:t xml:space="preserve"> to maximise their sense of ownership</w:t>
      </w:r>
      <w:r w:rsidR="008858BA" w:rsidRPr="008858BA">
        <w:t>.</w:t>
      </w:r>
    </w:p>
    <w:p w14:paraId="704E7A87" w14:textId="77777777" w:rsidR="000A0884" w:rsidRDefault="0079041A" w:rsidP="000A0884">
      <w:pPr>
        <w:pStyle w:val="ListParagraph"/>
        <w:numPr>
          <w:ilvl w:val="1"/>
          <w:numId w:val="1"/>
        </w:numPr>
      </w:pPr>
      <w:r>
        <w:t>T</w:t>
      </w:r>
      <w:r w:rsidR="008C2C54" w:rsidRPr="008858BA">
        <w:t xml:space="preserve">he </w:t>
      </w:r>
      <w:r w:rsidR="006B4026">
        <w:t>ESC’s</w:t>
      </w:r>
      <w:r w:rsidR="008C2C54" w:rsidRPr="008858BA">
        <w:t xml:space="preserve"> </w:t>
      </w:r>
      <w:r w:rsidR="00073CD9">
        <w:t xml:space="preserve">charter has considerably </w:t>
      </w:r>
      <w:r w:rsidR="00E94236">
        <w:t>improved</w:t>
      </w:r>
      <w:r w:rsidR="00073CD9">
        <w:t xml:space="preserve"> its staff</w:t>
      </w:r>
      <w:r w:rsidR="006B4026">
        <w:t>’s</w:t>
      </w:r>
      <w:r w:rsidR="00073CD9">
        <w:t xml:space="preserve"> understanding of its role and stakeholder </w:t>
      </w:r>
      <w:r w:rsidR="00E94236">
        <w:t>expectations</w:t>
      </w:r>
      <w:r w:rsidR="00073CD9">
        <w:t xml:space="preserve"> of the regulator</w:t>
      </w:r>
      <w:r w:rsidR="00F255AE">
        <w:t>.</w:t>
      </w:r>
    </w:p>
    <w:p w14:paraId="0DBF726D" w14:textId="77777777" w:rsidR="00D47580" w:rsidRPr="00A248A3" w:rsidRDefault="00D47580" w:rsidP="00D47580">
      <w:pPr>
        <w:pStyle w:val="ListParagraph"/>
        <w:numPr>
          <w:ilvl w:val="0"/>
          <w:numId w:val="1"/>
        </w:numPr>
        <w:rPr>
          <w:b/>
        </w:rPr>
      </w:pPr>
      <w:r w:rsidRPr="00A248A3">
        <w:rPr>
          <w:b/>
        </w:rPr>
        <w:t>The 2019 Victorian State Budget</w:t>
      </w:r>
      <w:r w:rsidR="00A248A3" w:rsidRPr="00A248A3">
        <w:rPr>
          <w:b/>
        </w:rPr>
        <w:t xml:space="preserve"> will support the implementation of the Extractive Resources Strategy </w:t>
      </w:r>
    </w:p>
    <w:p w14:paraId="049569F0" w14:textId="77777777" w:rsidR="00A248A3" w:rsidRPr="00552F64" w:rsidRDefault="009021EA" w:rsidP="00A248A3">
      <w:pPr>
        <w:pStyle w:val="ListParagraph"/>
        <w:numPr>
          <w:ilvl w:val="1"/>
          <w:numId w:val="1"/>
        </w:numPr>
      </w:pPr>
      <w:r>
        <w:t xml:space="preserve">The 2019 budget includes $13.2 million to support the </w:t>
      </w:r>
      <w:r w:rsidR="00A248A3" w:rsidRPr="00A248A3">
        <w:t>deliver</w:t>
      </w:r>
      <w:r>
        <w:t>y</w:t>
      </w:r>
      <w:r w:rsidR="00A248A3" w:rsidRPr="00A248A3">
        <w:t xml:space="preserve"> </w:t>
      </w:r>
      <w:r>
        <w:t xml:space="preserve">of </w:t>
      </w:r>
      <w:r w:rsidR="00A248A3" w:rsidRPr="00A248A3">
        <w:t xml:space="preserve">key actions </w:t>
      </w:r>
      <w:r>
        <w:t>from</w:t>
      </w:r>
      <w:r w:rsidR="00A248A3" w:rsidRPr="00A248A3">
        <w:t xml:space="preserve"> Victoria’s first Extractive Resources Strategy</w:t>
      </w:r>
      <w:r w:rsidR="00302269">
        <w:t>. The funding</w:t>
      </w:r>
      <w:r w:rsidR="00A248A3" w:rsidRPr="00A248A3">
        <w:t xml:space="preserve"> </w:t>
      </w:r>
      <w:r w:rsidR="003471B9">
        <w:t xml:space="preserve">will enable two new local government areas to be included in the pilot </w:t>
      </w:r>
      <w:r w:rsidR="00302269">
        <w:t xml:space="preserve">for the </w:t>
      </w:r>
      <w:r w:rsidR="008B124A" w:rsidRPr="008B124A">
        <w:t>Strategic Extractive Resource Area</w:t>
      </w:r>
      <w:r w:rsidR="00243976">
        <w:t>s</w:t>
      </w:r>
      <w:r w:rsidR="008B124A" w:rsidRPr="008B124A">
        <w:t xml:space="preserve"> (SERA</w:t>
      </w:r>
      <w:r w:rsidR="00243976">
        <w:t>s</w:t>
      </w:r>
      <w:r w:rsidR="008B124A" w:rsidRPr="008B124A">
        <w:t>)</w:t>
      </w:r>
      <w:r w:rsidR="0054614A">
        <w:t xml:space="preserve">. </w:t>
      </w:r>
      <w:r w:rsidR="006B4026">
        <w:t xml:space="preserve">Industry is </w:t>
      </w:r>
      <w:r w:rsidR="00A86763">
        <w:t>delighted</w:t>
      </w:r>
      <w:r w:rsidR="006B4026">
        <w:t xml:space="preserve"> with this </w:t>
      </w:r>
      <w:r w:rsidR="00A86763">
        <w:t xml:space="preserve">announcement. </w:t>
      </w:r>
      <w:r w:rsidR="0054614A">
        <w:t xml:space="preserve">The pilot seeks to </w:t>
      </w:r>
      <w:r w:rsidR="00965FE8" w:rsidRPr="00552F64">
        <w:t xml:space="preserve">protect </w:t>
      </w:r>
      <w:r w:rsidR="000E24E3" w:rsidRPr="00552F64">
        <w:t xml:space="preserve">future quarry sites from development to </w:t>
      </w:r>
      <w:r w:rsidR="0054614A" w:rsidRPr="00552F64">
        <w:t xml:space="preserve">secure future supply of </w:t>
      </w:r>
      <w:r w:rsidR="00A248A3" w:rsidRPr="00552F64">
        <w:t>its materials</w:t>
      </w:r>
      <w:r w:rsidR="000E24E3" w:rsidRPr="00552F64">
        <w:t>.</w:t>
      </w:r>
    </w:p>
    <w:p w14:paraId="730DC159" w14:textId="77777777" w:rsidR="007A000A" w:rsidRDefault="00E207EE" w:rsidP="00552F64">
      <w:pPr>
        <w:pStyle w:val="ListParagraph"/>
        <w:numPr>
          <w:ilvl w:val="1"/>
          <w:numId w:val="1"/>
        </w:numPr>
      </w:pPr>
      <w:r>
        <w:t xml:space="preserve">Commenting on the budget announcement, </w:t>
      </w:r>
      <w:r w:rsidR="00984D5A" w:rsidRPr="00552F64">
        <w:t xml:space="preserve">Cement Concrete &amp; Aggregates </w:t>
      </w:r>
      <w:r w:rsidR="00552F64" w:rsidRPr="00552F64">
        <w:t>Australia</w:t>
      </w:r>
      <w:r w:rsidR="009A6469">
        <w:t>’s</w:t>
      </w:r>
      <w:r w:rsidR="00984D5A" w:rsidRPr="00552F64">
        <w:t xml:space="preserve"> </w:t>
      </w:r>
      <w:r w:rsidR="00552F64">
        <w:t>State Director for Victoria and Tasmania</w:t>
      </w:r>
      <w:r>
        <w:t>,</w:t>
      </w:r>
      <w:r w:rsidR="00552F64">
        <w:t xml:space="preserve"> Brian Hau</w:t>
      </w:r>
      <w:r w:rsidR="00243976">
        <w:t>s</w:t>
      </w:r>
      <w:r w:rsidR="00552F64">
        <w:t>er said: “</w:t>
      </w:r>
      <w:r>
        <w:t>t</w:t>
      </w:r>
      <w:r w:rsidR="007A000A" w:rsidRPr="00552F64">
        <w:t>his is</w:t>
      </w:r>
      <w:r w:rsidR="00552F64" w:rsidRPr="00552F64">
        <w:t xml:space="preserve"> </w:t>
      </w:r>
      <w:r w:rsidR="007A000A" w:rsidRPr="00552F64">
        <w:t xml:space="preserve">a tremendous outcome for the quarry sector in Victoria as the Government continues to invest in </w:t>
      </w:r>
      <w:r w:rsidR="00552F64" w:rsidRPr="00552F64">
        <w:t>improving</w:t>
      </w:r>
      <w:r w:rsidR="007A000A" w:rsidRPr="00552F64">
        <w:t xml:space="preserve"> the capability of Earth </w:t>
      </w:r>
      <w:r w:rsidR="00552F64" w:rsidRPr="00552F64">
        <w:t>Resources</w:t>
      </w:r>
      <w:r w:rsidR="007A000A" w:rsidRPr="00552F64">
        <w:t xml:space="preserve"> Regulation to approve new materials supply and for the Government to continue to </w:t>
      </w:r>
      <w:r w:rsidR="00552F64" w:rsidRPr="00552F64">
        <w:t>develop</w:t>
      </w:r>
      <w:r w:rsidR="007A000A" w:rsidRPr="00552F64">
        <w:t xml:space="preserve"> Strategic </w:t>
      </w:r>
      <w:r w:rsidR="00552F64" w:rsidRPr="00552F64">
        <w:t>Extractive</w:t>
      </w:r>
      <w:r w:rsidR="007A000A" w:rsidRPr="00552F64">
        <w:t xml:space="preserve"> Resources Areas (SERAs)</w:t>
      </w:r>
      <w:r w:rsidR="00552F64">
        <w:t>”</w:t>
      </w:r>
      <w:r w:rsidR="003027F2">
        <w:t>.</w:t>
      </w:r>
    </w:p>
    <w:p w14:paraId="71BF7721" w14:textId="77777777" w:rsidR="002846E0" w:rsidRPr="00644ED8" w:rsidRDefault="008C5623" w:rsidP="002846E0">
      <w:pPr>
        <w:pStyle w:val="ListParagraph"/>
        <w:numPr>
          <w:ilvl w:val="0"/>
          <w:numId w:val="1"/>
        </w:numPr>
        <w:rPr>
          <w:b/>
        </w:rPr>
      </w:pPr>
      <w:r w:rsidRPr="00644ED8">
        <w:rPr>
          <w:b/>
        </w:rPr>
        <w:t xml:space="preserve">My report </w:t>
      </w:r>
      <w:r w:rsidR="00CD5995">
        <w:rPr>
          <w:b/>
        </w:rPr>
        <w:t>recommended</w:t>
      </w:r>
      <w:r w:rsidRPr="00644ED8">
        <w:rPr>
          <w:b/>
        </w:rPr>
        <w:t xml:space="preserve"> a</w:t>
      </w:r>
      <w:r w:rsidR="00757ADA">
        <w:rPr>
          <w:b/>
        </w:rPr>
        <w:t xml:space="preserve">n investment support role </w:t>
      </w:r>
      <w:r w:rsidR="00644ED8" w:rsidRPr="00644ED8">
        <w:rPr>
          <w:b/>
        </w:rPr>
        <w:t>for Invest Assist</w:t>
      </w:r>
      <w:r w:rsidR="00644ED8">
        <w:rPr>
          <w:b/>
        </w:rPr>
        <w:t>.</w:t>
      </w:r>
      <w:r w:rsidR="00644ED8">
        <w:t xml:space="preserve"> Given the </w:t>
      </w:r>
      <w:r w:rsidR="00864603">
        <w:t>critical</w:t>
      </w:r>
      <w:r w:rsidR="00644ED8">
        <w:t xml:space="preserve"> </w:t>
      </w:r>
      <w:r w:rsidR="00864603">
        <w:t>importance of ensuring mining and quarrying project</w:t>
      </w:r>
      <w:r w:rsidR="00336945">
        <w:t>s</w:t>
      </w:r>
      <w:r w:rsidR="00864603">
        <w:t xml:space="preserve"> move </w:t>
      </w:r>
      <w:r w:rsidR="00E9136B">
        <w:t xml:space="preserve">smoothly </w:t>
      </w:r>
      <w:r w:rsidR="00864603">
        <w:t>th</w:t>
      </w:r>
      <w:r w:rsidR="004D78A0">
        <w:t>r</w:t>
      </w:r>
      <w:r w:rsidR="00864603">
        <w:t xml:space="preserve">ough the </w:t>
      </w:r>
      <w:r w:rsidR="00E9136B">
        <w:t>approvals</w:t>
      </w:r>
      <w:r w:rsidR="00864603">
        <w:t xml:space="preserve"> </w:t>
      </w:r>
      <w:r w:rsidR="008339C5">
        <w:t>process</w:t>
      </w:r>
      <w:r w:rsidR="00D233EF">
        <w:t>,</w:t>
      </w:r>
      <w:r w:rsidR="008339C5">
        <w:t xml:space="preserve"> Invest As</w:t>
      </w:r>
      <w:r w:rsidR="00757ADA">
        <w:t>s</w:t>
      </w:r>
      <w:r w:rsidR="008339C5">
        <w:t xml:space="preserve">ist should </w:t>
      </w:r>
      <w:r w:rsidR="00757ADA">
        <w:t xml:space="preserve">have a coordinating </w:t>
      </w:r>
      <w:r w:rsidR="00682CE5">
        <w:t xml:space="preserve">role </w:t>
      </w:r>
      <w:r w:rsidR="004D78A0">
        <w:t xml:space="preserve">for significant resource projects, </w:t>
      </w:r>
      <w:r w:rsidR="00682CE5">
        <w:t>to facilitate approvals across the multiple regulators</w:t>
      </w:r>
      <w:r w:rsidR="00CD5995">
        <w:t>.</w:t>
      </w:r>
    </w:p>
    <w:p w14:paraId="594A1A4F" w14:textId="77777777" w:rsidR="008F0C72" w:rsidRDefault="008F0C72"/>
    <w:p w14:paraId="0AE02324" w14:textId="77777777" w:rsidR="00387418" w:rsidRDefault="00561AF7" w:rsidP="00F76985">
      <w:pPr>
        <w:pStyle w:val="Heading2"/>
      </w:pPr>
      <w:r>
        <w:t>Conclusio</w:t>
      </w:r>
      <w:r w:rsidR="00C8379E">
        <w:t>n</w:t>
      </w:r>
    </w:p>
    <w:p w14:paraId="53B0D8C5" w14:textId="77777777" w:rsidR="00C23603" w:rsidRDefault="005E1F3A">
      <w:r>
        <w:t xml:space="preserve">ERR </w:t>
      </w:r>
      <w:r w:rsidR="00071B58">
        <w:t xml:space="preserve">should be commended for the </w:t>
      </w:r>
      <w:r w:rsidR="00ED502C">
        <w:t>significant</w:t>
      </w:r>
      <w:r w:rsidR="00192DD9">
        <w:t xml:space="preserve"> </w:t>
      </w:r>
      <w:r w:rsidR="00ED502C">
        <w:t xml:space="preserve">number of changes </w:t>
      </w:r>
      <w:r w:rsidR="00A7129A">
        <w:t xml:space="preserve">it has successfully implemented from </w:t>
      </w:r>
      <w:r w:rsidR="00ED502C">
        <w:t xml:space="preserve">the </w:t>
      </w:r>
      <w:r w:rsidR="00191AA6" w:rsidRPr="00191AA6">
        <w:rPr>
          <w:i/>
        </w:rPr>
        <w:t xml:space="preserve">Getting the Groundwork </w:t>
      </w:r>
      <w:r w:rsidR="00D16955">
        <w:rPr>
          <w:i/>
        </w:rPr>
        <w:t>R</w:t>
      </w:r>
      <w:r w:rsidR="00191AA6" w:rsidRPr="00191AA6">
        <w:rPr>
          <w:i/>
        </w:rPr>
        <w:t>ight</w:t>
      </w:r>
      <w:r w:rsidR="00191AA6">
        <w:t xml:space="preserve"> report. Many of these changes have</w:t>
      </w:r>
      <w:r w:rsidR="00A7129A">
        <w:t xml:space="preserve"> led to noticeable improvements for industry</w:t>
      </w:r>
      <w:r w:rsidR="007859C0">
        <w:t>.</w:t>
      </w:r>
      <w:r w:rsidR="0072562D">
        <w:t xml:space="preserve"> The support of the Regulat</w:t>
      </w:r>
      <w:r w:rsidR="003027F2">
        <w:t>ory</w:t>
      </w:r>
      <w:r w:rsidR="0072562D">
        <w:t xml:space="preserve"> Transition Taskforce has been critical to deliver these </w:t>
      </w:r>
      <w:r w:rsidR="00E207EE">
        <w:t>improvements</w:t>
      </w:r>
      <w:r w:rsidR="0072562D">
        <w:t>.</w:t>
      </w:r>
    </w:p>
    <w:p w14:paraId="4278DC5A" w14:textId="77777777" w:rsidR="00FE0300" w:rsidRDefault="00A7129A">
      <w:r>
        <w:t xml:space="preserve">With several major </w:t>
      </w:r>
      <w:r w:rsidR="001D3A85">
        <w:t>project</w:t>
      </w:r>
      <w:r w:rsidR="00095C9C">
        <w:t>s</w:t>
      </w:r>
      <w:r>
        <w:t xml:space="preserve"> still </w:t>
      </w:r>
      <w:r w:rsidR="001D3A85">
        <w:t>underway</w:t>
      </w:r>
      <w:r>
        <w:t xml:space="preserve">, </w:t>
      </w:r>
      <w:r w:rsidR="00A30C33">
        <w:t xml:space="preserve">it is imperative that ERR now consolidates its efforts </w:t>
      </w:r>
      <w:r w:rsidR="004B7FC5">
        <w:t xml:space="preserve">to cement the gains it has </w:t>
      </w:r>
      <w:proofErr w:type="gramStart"/>
      <w:r w:rsidR="004B7FC5">
        <w:t>achieved, and</w:t>
      </w:r>
      <w:proofErr w:type="gramEnd"/>
      <w:r w:rsidR="004B7FC5">
        <w:t xml:space="preserve"> maintain the momentum for reform</w:t>
      </w:r>
      <w:r w:rsidR="009E7AA2">
        <w:t>.</w:t>
      </w:r>
    </w:p>
    <w:p w14:paraId="31AA39EB" w14:textId="77777777" w:rsidR="00095C9C" w:rsidRDefault="00095C9C">
      <w:r>
        <w:lastRenderedPageBreak/>
        <w:t>The key priorities for urgent attention include:</w:t>
      </w:r>
    </w:p>
    <w:p w14:paraId="6A7CC250" w14:textId="77777777" w:rsidR="00095C9C" w:rsidRDefault="004B3691" w:rsidP="0016432B">
      <w:pPr>
        <w:pStyle w:val="ListParagraph"/>
        <w:numPr>
          <w:ilvl w:val="0"/>
          <w:numId w:val="3"/>
        </w:numPr>
      </w:pPr>
      <w:r>
        <w:t>I</w:t>
      </w:r>
      <w:r w:rsidR="00A86763">
        <w:t>mplementing</w:t>
      </w:r>
      <w:r w:rsidR="00095C9C">
        <w:t xml:space="preserve"> the </w:t>
      </w:r>
      <w:proofErr w:type="spellStart"/>
      <w:r w:rsidR="00095C9C">
        <w:t>SoPs</w:t>
      </w:r>
      <w:proofErr w:type="spellEnd"/>
      <w:r>
        <w:t>.</w:t>
      </w:r>
    </w:p>
    <w:p w14:paraId="4F375E03" w14:textId="77777777" w:rsidR="00867D2B" w:rsidRPr="006A1144" w:rsidRDefault="004B3691" w:rsidP="0016432B">
      <w:pPr>
        <w:pStyle w:val="ListParagraph"/>
        <w:numPr>
          <w:ilvl w:val="0"/>
          <w:numId w:val="3"/>
        </w:numPr>
      </w:pPr>
      <w:r>
        <w:t>R</w:t>
      </w:r>
      <w:r w:rsidR="007E460E" w:rsidRPr="006A1144">
        <w:t>eview</w:t>
      </w:r>
      <w:r w:rsidR="00FC77BD">
        <w:t>ing</w:t>
      </w:r>
      <w:r w:rsidR="00095C9C" w:rsidRPr="006A1144">
        <w:t xml:space="preserve"> the notification process</w:t>
      </w:r>
      <w:r w:rsidR="00C73AB2" w:rsidRPr="006A1144">
        <w:t xml:space="preserve"> </w:t>
      </w:r>
      <w:r w:rsidR="007E460E" w:rsidRPr="006A1144">
        <w:t>to determine whether</w:t>
      </w:r>
      <w:r w:rsidR="00867D2B" w:rsidRPr="006A1144">
        <w:t>:</w:t>
      </w:r>
    </w:p>
    <w:p w14:paraId="1A1E88F6" w14:textId="77777777" w:rsidR="00095C9C" w:rsidRPr="006A1144" w:rsidRDefault="007E460E" w:rsidP="0016432B">
      <w:pPr>
        <w:pStyle w:val="ListParagraph"/>
        <w:numPr>
          <w:ilvl w:val="1"/>
          <w:numId w:val="3"/>
        </w:numPr>
      </w:pPr>
      <w:r w:rsidRPr="006A1144">
        <w:t>it is necessary for applicants to seek written advice from local government planning departments prior to submitting a notification application</w:t>
      </w:r>
    </w:p>
    <w:p w14:paraId="2079001D" w14:textId="77777777" w:rsidR="00867D2B" w:rsidRPr="006A1144" w:rsidRDefault="006A1144" w:rsidP="0016432B">
      <w:pPr>
        <w:pStyle w:val="ListParagraph"/>
        <w:numPr>
          <w:ilvl w:val="1"/>
          <w:numId w:val="3"/>
        </w:numPr>
      </w:pPr>
      <w:r w:rsidRPr="006A1144">
        <w:t>it can be made automatic</w:t>
      </w:r>
      <w:r w:rsidR="004B3691">
        <w:t>.</w:t>
      </w:r>
    </w:p>
    <w:p w14:paraId="5D061B98" w14:textId="77777777" w:rsidR="00095C9C" w:rsidRDefault="004B3691" w:rsidP="0016432B">
      <w:pPr>
        <w:pStyle w:val="ListParagraph"/>
        <w:numPr>
          <w:ilvl w:val="0"/>
          <w:numId w:val="3"/>
        </w:numPr>
      </w:pPr>
      <w:r>
        <w:t>L</w:t>
      </w:r>
      <w:r w:rsidR="00095C9C">
        <w:t>iaising</w:t>
      </w:r>
      <w:r w:rsidR="00523328">
        <w:t xml:space="preserve"> with</w:t>
      </w:r>
      <w:r w:rsidR="00095C9C">
        <w:t xml:space="preserve"> DELWP at senior level</w:t>
      </w:r>
      <w:r w:rsidR="00FC77BD">
        <w:t>s</w:t>
      </w:r>
      <w:r w:rsidR="00095C9C">
        <w:t xml:space="preserve"> to identify what can be done to </w:t>
      </w:r>
      <w:r w:rsidR="00523328">
        <w:t>progress the</w:t>
      </w:r>
      <w:r w:rsidR="00FC77BD">
        <w:t xml:space="preserve"> delivery of the commitments in the</w:t>
      </w:r>
      <w:r w:rsidR="00523328">
        <w:t xml:space="preserve"> Joint Ministerial Statement</w:t>
      </w:r>
      <w:r>
        <w:t>.</w:t>
      </w:r>
    </w:p>
    <w:p w14:paraId="4E5D85DD" w14:textId="77777777" w:rsidR="00523328" w:rsidRDefault="004B3691" w:rsidP="0016432B">
      <w:pPr>
        <w:pStyle w:val="ListParagraph"/>
        <w:numPr>
          <w:ilvl w:val="0"/>
          <w:numId w:val="3"/>
        </w:numPr>
      </w:pPr>
      <w:r>
        <w:t>D</w:t>
      </w:r>
      <w:r w:rsidR="00523328">
        <w:t>elivering on industry familiaris</w:t>
      </w:r>
      <w:r w:rsidR="002923ED">
        <w:t>ation</w:t>
      </w:r>
      <w:r w:rsidR="00523328">
        <w:t xml:space="preserve"> </w:t>
      </w:r>
      <w:r w:rsidR="002923ED">
        <w:t>activities.</w:t>
      </w:r>
    </w:p>
    <w:p w14:paraId="74E53B7C" w14:textId="77777777" w:rsidR="00042FA7" w:rsidRPr="009E7AA2" w:rsidRDefault="00847157" w:rsidP="00042FA7">
      <w:r>
        <w:t xml:space="preserve">It is </w:t>
      </w:r>
      <w:r w:rsidR="007C4E56">
        <w:t>vital</w:t>
      </w:r>
      <w:r>
        <w:t xml:space="preserve"> that the progress made by ERR doesn’t stall. </w:t>
      </w:r>
      <w:r w:rsidR="00C409FD">
        <w:t>Its regulatory activities are critical to meet</w:t>
      </w:r>
      <w:r w:rsidR="00A0282F">
        <w:t>ing</w:t>
      </w:r>
      <w:r w:rsidR="00C409FD">
        <w:t xml:space="preserve"> Victoria’s </w:t>
      </w:r>
      <w:r w:rsidR="007C4E56">
        <w:t>infrastructure agenda</w:t>
      </w:r>
      <w:r w:rsidR="00C409FD">
        <w:t xml:space="preserve">. </w:t>
      </w:r>
      <w:r w:rsidR="00042FA7">
        <w:t xml:space="preserve">The </w:t>
      </w:r>
      <w:r w:rsidR="007C4E56">
        <w:t>Department</w:t>
      </w:r>
      <w:r w:rsidR="00042FA7">
        <w:t xml:space="preserve"> of Jobs, Precincts and Regions </w:t>
      </w:r>
      <w:r>
        <w:t xml:space="preserve">should </w:t>
      </w:r>
      <w:r w:rsidR="007C4E56">
        <w:t>ensure that ERR’s future capability is sufficient to deliver is core regulatory functions.</w:t>
      </w:r>
    </w:p>
    <w:sectPr w:rsidR="00042FA7" w:rsidRPr="009E7AA2" w:rsidSect="004D78A0">
      <w:footerReference w:type="even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544C7" w14:textId="77777777" w:rsidR="002C09E4" w:rsidRDefault="002C09E4" w:rsidP="005244A9">
      <w:pPr>
        <w:spacing w:after="0" w:line="240" w:lineRule="auto"/>
      </w:pPr>
      <w:r>
        <w:separator/>
      </w:r>
    </w:p>
  </w:endnote>
  <w:endnote w:type="continuationSeparator" w:id="0">
    <w:p w14:paraId="5F135F2D" w14:textId="77777777" w:rsidR="002C09E4" w:rsidRDefault="002C09E4" w:rsidP="005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DEED" w14:textId="77777777" w:rsidR="004D78A0" w:rsidRDefault="004D78A0" w:rsidP="004D78A0">
    <w:pPr>
      <w:pStyle w:val="Footer"/>
      <w:jc w:val="center"/>
      <w:rPr>
        <w:rFonts w:ascii="Arial" w:hAnsi="Arial" w:cs="Arial"/>
        <w:b/>
        <w:color w:val="FF0000"/>
        <w:sz w:val="28"/>
      </w:rPr>
    </w:pPr>
    <w:bookmarkStart w:id="1" w:name="PandNP1FooterEvenPages"/>
    <w:r w:rsidRPr="004D78A0">
      <w:rPr>
        <w:rFonts w:ascii="Arial" w:hAnsi="Arial" w:cs="Arial"/>
        <w:b/>
        <w:color w:val="FF0000"/>
        <w:sz w:val="28"/>
      </w:rPr>
      <w:t>For Official Use Only</w:t>
    </w:r>
  </w:p>
  <w:bookmarkEnd w:id="1"/>
  <w:p w14:paraId="4384E1FF" w14:textId="77777777" w:rsidR="004D78A0" w:rsidRDefault="004D7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71CD" w14:textId="77777777" w:rsidR="004D78A0" w:rsidRDefault="004D78A0" w:rsidP="004D78A0">
    <w:pPr>
      <w:pStyle w:val="Footer"/>
      <w:jc w:val="center"/>
      <w:rPr>
        <w:rFonts w:ascii="Arial" w:hAnsi="Arial" w:cs="Arial"/>
        <w:b/>
        <w:color w:val="FF0000"/>
        <w:sz w:val="28"/>
      </w:rPr>
    </w:pPr>
    <w:bookmarkStart w:id="2" w:name="PandNP1FooterFirstPage"/>
    <w:r w:rsidRPr="004D78A0">
      <w:rPr>
        <w:rFonts w:ascii="Arial" w:hAnsi="Arial" w:cs="Arial"/>
        <w:b/>
        <w:color w:val="FF0000"/>
        <w:sz w:val="28"/>
      </w:rPr>
      <w:t>For Official Use Only</w:t>
    </w:r>
  </w:p>
  <w:bookmarkEnd w:id="2"/>
  <w:p w14:paraId="605885D6" w14:textId="77777777" w:rsidR="004D78A0" w:rsidRDefault="004D7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F6FE" w14:textId="77777777" w:rsidR="002C09E4" w:rsidRDefault="002C09E4" w:rsidP="005244A9">
      <w:pPr>
        <w:spacing w:after="0" w:line="240" w:lineRule="auto"/>
      </w:pPr>
      <w:r>
        <w:separator/>
      </w:r>
    </w:p>
  </w:footnote>
  <w:footnote w:type="continuationSeparator" w:id="0">
    <w:p w14:paraId="22B869F3" w14:textId="77777777" w:rsidR="002C09E4" w:rsidRDefault="002C09E4" w:rsidP="0052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1748"/>
    <w:multiLevelType w:val="hybridMultilevel"/>
    <w:tmpl w:val="9D683B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340"/>
    <w:multiLevelType w:val="hybridMultilevel"/>
    <w:tmpl w:val="DD08053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27AD5"/>
    <w:multiLevelType w:val="hybridMultilevel"/>
    <w:tmpl w:val="C452F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72"/>
    <w:rsid w:val="000056F1"/>
    <w:rsid w:val="00006C07"/>
    <w:rsid w:val="000150C8"/>
    <w:rsid w:val="0002122A"/>
    <w:rsid w:val="00022F33"/>
    <w:rsid w:val="000233C8"/>
    <w:rsid w:val="00024A70"/>
    <w:rsid w:val="0002650D"/>
    <w:rsid w:val="0002686E"/>
    <w:rsid w:val="00042FA7"/>
    <w:rsid w:val="000445DB"/>
    <w:rsid w:val="0005066A"/>
    <w:rsid w:val="00060EB4"/>
    <w:rsid w:val="00062460"/>
    <w:rsid w:val="00064C7A"/>
    <w:rsid w:val="00071B58"/>
    <w:rsid w:val="00073CD9"/>
    <w:rsid w:val="00080AEA"/>
    <w:rsid w:val="00085345"/>
    <w:rsid w:val="000875EA"/>
    <w:rsid w:val="000913CC"/>
    <w:rsid w:val="000959FA"/>
    <w:rsid w:val="00095C9C"/>
    <w:rsid w:val="00097C97"/>
    <w:rsid w:val="000A02B5"/>
    <w:rsid w:val="000A0884"/>
    <w:rsid w:val="000A195E"/>
    <w:rsid w:val="000B0F22"/>
    <w:rsid w:val="000B1462"/>
    <w:rsid w:val="000B4601"/>
    <w:rsid w:val="000B7D88"/>
    <w:rsid w:val="000C2B9A"/>
    <w:rsid w:val="000D1933"/>
    <w:rsid w:val="000D3749"/>
    <w:rsid w:val="000D79B1"/>
    <w:rsid w:val="000D7E6B"/>
    <w:rsid w:val="000E24E3"/>
    <w:rsid w:val="000F4D91"/>
    <w:rsid w:val="00100DF2"/>
    <w:rsid w:val="0011120A"/>
    <w:rsid w:val="001158A2"/>
    <w:rsid w:val="00116105"/>
    <w:rsid w:val="00117EF5"/>
    <w:rsid w:val="00125C44"/>
    <w:rsid w:val="0012793D"/>
    <w:rsid w:val="001318BE"/>
    <w:rsid w:val="001318E5"/>
    <w:rsid w:val="0014556D"/>
    <w:rsid w:val="00151E71"/>
    <w:rsid w:val="00152A9E"/>
    <w:rsid w:val="00152D81"/>
    <w:rsid w:val="0015675B"/>
    <w:rsid w:val="00162571"/>
    <w:rsid w:val="0016432B"/>
    <w:rsid w:val="001661BF"/>
    <w:rsid w:val="00167108"/>
    <w:rsid w:val="001918E1"/>
    <w:rsid w:val="00191AA6"/>
    <w:rsid w:val="00192DD9"/>
    <w:rsid w:val="00193D16"/>
    <w:rsid w:val="00196400"/>
    <w:rsid w:val="00196CDC"/>
    <w:rsid w:val="001A62C7"/>
    <w:rsid w:val="001B039A"/>
    <w:rsid w:val="001B6244"/>
    <w:rsid w:val="001C19F3"/>
    <w:rsid w:val="001C550B"/>
    <w:rsid w:val="001C6914"/>
    <w:rsid w:val="001D20EB"/>
    <w:rsid w:val="001D2999"/>
    <w:rsid w:val="001D2A84"/>
    <w:rsid w:val="001D3A85"/>
    <w:rsid w:val="001D49AE"/>
    <w:rsid w:val="001E0C96"/>
    <w:rsid w:val="001E74DB"/>
    <w:rsid w:val="001F0623"/>
    <w:rsid w:val="001F0C81"/>
    <w:rsid w:val="001F235B"/>
    <w:rsid w:val="00204377"/>
    <w:rsid w:val="00205057"/>
    <w:rsid w:val="002057BA"/>
    <w:rsid w:val="00207C80"/>
    <w:rsid w:val="0023224A"/>
    <w:rsid w:val="00232EFA"/>
    <w:rsid w:val="00235597"/>
    <w:rsid w:val="00243714"/>
    <w:rsid w:val="00243976"/>
    <w:rsid w:val="0024451A"/>
    <w:rsid w:val="00272370"/>
    <w:rsid w:val="0027433A"/>
    <w:rsid w:val="002776E7"/>
    <w:rsid w:val="00277DD4"/>
    <w:rsid w:val="002846E0"/>
    <w:rsid w:val="00286C7E"/>
    <w:rsid w:val="002923ED"/>
    <w:rsid w:val="002A7F62"/>
    <w:rsid w:val="002B17CF"/>
    <w:rsid w:val="002C09E4"/>
    <w:rsid w:val="002C2BCF"/>
    <w:rsid w:val="002C2E36"/>
    <w:rsid w:val="002C3862"/>
    <w:rsid w:val="002C474C"/>
    <w:rsid w:val="002C5206"/>
    <w:rsid w:val="002C736D"/>
    <w:rsid w:val="002E3E0E"/>
    <w:rsid w:val="002E637E"/>
    <w:rsid w:val="002E659A"/>
    <w:rsid w:val="002F1630"/>
    <w:rsid w:val="002F5967"/>
    <w:rsid w:val="00302269"/>
    <w:rsid w:val="003027F2"/>
    <w:rsid w:val="00304684"/>
    <w:rsid w:val="00314D77"/>
    <w:rsid w:val="0031648E"/>
    <w:rsid w:val="003354E2"/>
    <w:rsid w:val="00336945"/>
    <w:rsid w:val="00337E8F"/>
    <w:rsid w:val="00344C14"/>
    <w:rsid w:val="0034545C"/>
    <w:rsid w:val="003471B9"/>
    <w:rsid w:val="00353DE2"/>
    <w:rsid w:val="00360B4E"/>
    <w:rsid w:val="00361659"/>
    <w:rsid w:val="0036351D"/>
    <w:rsid w:val="0036766D"/>
    <w:rsid w:val="00387418"/>
    <w:rsid w:val="00390AF3"/>
    <w:rsid w:val="00391D3B"/>
    <w:rsid w:val="003945A5"/>
    <w:rsid w:val="0039659B"/>
    <w:rsid w:val="0039667C"/>
    <w:rsid w:val="00396A45"/>
    <w:rsid w:val="003A46EC"/>
    <w:rsid w:val="003B2853"/>
    <w:rsid w:val="003B3A46"/>
    <w:rsid w:val="003C50BF"/>
    <w:rsid w:val="003C5AD1"/>
    <w:rsid w:val="003C7369"/>
    <w:rsid w:val="003C7EA0"/>
    <w:rsid w:val="003D671F"/>
    <w:rsid w:val="003E2767"/>
    <w:rsid w:val="003F05CD"/>
    <w:rsid w:val="003F0EE9"/>
    <w:rsid w:val="003F411F"/>
    <w:rsid w:val="00401D0B"/>
    <w:rsid w:val="00401FCC"/>
    <w:rsid w:val="00402F7F"/>
    <w:rsid w:val="00404345"/>
    <w:rsid w:val="004157B9"/>
    <w:rsid w:val="004221D2"/>
    <w:rsid w:val="00432A9F"/>
    <w:rsid w:val="00434821"/>
    <w:rsid w:val="004352E4"/>
    <w:rsid w:val="0043747F"/>
    <w:rsid w:val="004454D0"/>
    <w:rsid w:val="00454C9C"/>
    <w:rsid w:val="00456349"/>
    <w:rsid w:val="00460F84"/>
    <w:rsid w:val="0046292B"/>
    <w:rsid w:val="004671D5"/>
    <w:rsid w:val="00472C4C"/>
    <w:rsid w:val="00477A2C"/>
    <w:rsid w:val="00477CAE"/>
    <w:rsid w:val="00485FF8"/>
    <w:rsid w:val="00490004"/>
    <w:rsid w:val="00495299"/>
    <w:rsid w:val="0049543D"/>
    <w:rsid w:val="004A74E2"/>
    <w:rsid w:val="004B3691"/>
    <w:rsid w:val="004B6587"/>
    <w:rsid w:val="004B7FC5"/>
    <w:rsid w:val="004C2D7E"/>
    <w:rsid w:val="004C3051"/>
    <w:rsid w:val="004D6D09"/>
    <w:rsid w:val="004D754F"/>
    <w:rsid w:val="004D78A0"/>
    <w:rsid w:val="004E4E1A"/>
    <w:rsid w:val="004E5B73"/>
    <w:rsid w:val="004F27FB"/>
    <w:rsid w:val="004F574F"/>
    <w:rsid w:val="00503556"/>
    <w:rsid w:val="00510190"/>
    <w:rsid w:val="00522BB3"/>
    <w:rsid w:val="00523328"/>
    <w:rsid w:val="005244A9"/>
    <w:rsid w:val="00525877"/>
    <w:rsid w:val="00527ABA"/>
    <w:rsid w:val="0053044D"/>
    <w:rsid w:val="00537579"/>
    <w:rsid w:val="0054614A"/>
    <w:rsid w:val="00552F64"/>
    <w:rsid w:val="00561AF7"/>
    <w:rsid w:val="00561CFE"/>
    <w:rsid w:val="005658D1"/>
    <w:rsid w:val="00570256"/>
    <w:rsid w:val="005732CB"/>
    <w:rsid w:val="005811FC"/>
    <w:rsid w:val="00581D58"/>
    <w:rsid w:val="00583863"/>
    <w:rsid w:val="005971C1"/>
    <w:rsid w:val="005977FC"/>
    <w:rsid w:val="005A2BC6"/>
    <w:rsid w:val="005A479A"/>
    <w:rsid w:val="005C2077"/>
    <w:rsid w:val="005C353A"/>
    <w:rsid w:val="005C697C"/>
    <w:rsid w:val="005E0FF8"/>
    <w:rsid w:val="005E1F3A"/>
    <w:rsid w:val="005E289A"/>
    <w:rsid w:val="005E57F5"/>
    <w:rsid w:val="005F4796"/>
    <w:rsid w:val="005F6D00"/>
    <w:rsid w:val="00601A2D"/>
    <w:rsid w:val="00605E73"/>
    <w:rsid w:val="00607657"/>
    <w:rsid w:val="00611233"/>
    <w:rsid w:val="00611E14"/>
    <w:rsid w:val="00612B23"/>
    <w:rsid w:val="00615DA6"/>
    <w:rsid w:val="0061777C"/>
    <w:rsid w:val="0062332B"/>
    <w:rsid w:val="00627486"/>
    <w:rsid w:val="00643029"/>
    <w:rsid w:val="006438CD"/>
    <w:rsid w:val="006448E3"/>
    <w:rsid w:val="00644ED8"/>
    <w:rsid w:val="00645607"/>
    <w:rsid w:val="00650495"/>
    <w:rsid w:val="00652FDB"/>
    <w:rsid w:val="0066337B"/>
    <w:rsid w:val="00673F17"/>
    <w:rsid w:val="00674381"/>
    <w:rsid w:val="006762D0"/>
    <w:rsid w:val="00682CE5"/>
    <w:rsid w:val="00685B6C"/>
    <w:rsid w:val="00691F05"/>
    <w:rsid w:val="006A1144"/>
    <w:rsid w:val="006A4928"/>
    <w:rsid w:val="006B2D2A"/>
    <w:rsid w:val="006B4026"/>
    <w:rsid w:val="006C1859"/>
    <w:rsid w:val="006C6E93"/>
    <w:rsid w:val="006D0BB0"/>
    <w:rsid w:val="006D2F53"/>
    <w:rsid w:val="006D4378"/>
    <w:rsid w:val="006E0B68"/>
    <w:rsid w:val="006E0D64"/>
    <w:rsid w:val="006E160A"/>
    <w:rsid w:val="006E1B1C"/>
    <w:rsid w:val="006E2800"/>
    <w:rsid w:val="006E376C"/>
    <w:rsid w:val="006F60A1"/>
    <w:rsid w:val="006F78A5"/>
    <w:rsid w:val="0070541A"/>
    <w:rsid w:val="00707008"/>
    <w:rsid w:val="00711E89"/>
    <w:rsid w:val="00720955"/>
    <w:rsid w:val="00722989"/>
    <w:rsid w:val="0072562D"/>
    <w:rsid w:val="0072613A"/>
    <w:rsid w:val="00732213"/>
    <w:rsid w:val="00734384"/>
    <w:rsid w:val="00735476"/>
    <w:rsid w:val="0074140A"/>
    <w:rsid w:val="0074534C"/>
    <w:rsid w:val="007509E2"/>
    <w:rsid w:val="0075306C"/>
    <w:rsid w:val="00757ADA"/>
    <w:rsid w:val="00762E32"/>
    <w:rsid w:val="007651ED"/>
    <w:rsid w:val="007672FC"/>
    <w:rsid w:val="0077087D"/>
    <w:rsid w:val="007752C6"/>
    <w:rsid w:val="00776234"/>
    <w:rsid w:val="00780419"/>
    <w:rsid w:val="0078100C"/>
    <w:rsid w:val="007859C0"/>
    <w:rsid w:val="0079041A"/>
    <w:rsid w:val="00790986"/>
    <w:rsid w:val="00794A7A"/>
    <w:rsid w:val="00795A6A"/>
    <w:rsid w:val="007A000A"/>
    <w:rsid w:val="007A0186"/>
    <w:rsid w:val="007A23D1"/>
    <w:rsid w:val="007A5F6B"/>
    <w:rsid w:val="007A6E45"/>
    <w:rsid w:val="007A7D4B"/>
    <w:rsid w:val="007B1406"/>
    <w:rsid w:val="007B73F7"/>
    <w:rsid w:val="007C38B4"/>
    <w:rsid w:val="007C4E56"/>
    <w:rsid w:val="007C6FE2"/>
    <w:rsid w:val="007C712F"/>
    <w:rsid w:val="007C796A"/>
    <w:rsid w:val="007D11BB"/>
    <w:rsid w:val="007D735E"/>
    <w:rsid w:val="007E2CAE"/>
    <w:rsid w:val="007E460E"/>
    <w:rsid w:val="007E51A7"/>
    <w:rsid w:val="007E657F"/>
    <w:rsid w:val="007F2CF1"/>
    <w:rsid w:val="007F3DAD"/>
    <w:rsid w:val="00800B9A"/>
    <w:rsid w:val="00802F81"/>
    <w:rsid w:val="00811096"/>
    <w:rsid w:val="0081547E"/>
    <w:rsid w:val="00821006"/>
    <w:rsid w:val="00822FE7"/>
    <w:rsid w:val="0082793B"/>
    <w:rsid w:val="008339C5"/>
    <w:rsid w:val="0084232E"/>
    <w:rsid w:val="00844017"/>
    <w:rsid w:val="00847157"/>
    <w:rsid w:val="00850DBB"/>
    <w:rsid w:val="008518AA"/>
    <w:rsid w:val="00856339"/>
    <w:rsid w:val="00860A93"/>
    <w:rsid w:val="0086383D"/>
    <w:rsid w:val="00863C3E"/>
    <w:rsid w:val="00864603"/>
    <w:rsid w:val="00867D2B"/>
    <w:rsid w:val="00881E66"/>
    <w:rsid w:val="008850EA"/>
    <w:rsid w:val="008858BA"/>
    <w:rsid w:val="00887241"/>
    <w:rsid w:val="00891FCA"/>
    <w:rsid w:val="00893164"/>
    <w:rsid w:val="0089436A"/>
    <w:rsid w:val="00894955"/>
    <w:rsid w:val="008B124A"/>
    <w:rsid w:val="008B35DD"/>
    <w:rsid w:val="008B65F2"/>
    <w:rsid w:val="008C1765"/>
    <w:rsid w:val="008C2C54"/>
    <w:rsid w:val="008C5623"/>
    <w:rsid w:val="008E1624"/>
    <w:rsid w:val="008E213A"/>
    <w:rsid w:val="008F0C72"/>
    <w:rsid w:val="008F0D0D"/>
    <w:rsid w:val="008F1017"/>
    <w:rsid w:val="008F6C8F"/>
    <w:rsid w:val="009001B2"/>
    <w:rsid w:val="0090025A"/>
    <w:rsid w:val="009021EA"/>
    <w:rsid w:val="009035CF"/>
    <w:rsid w:val="00903A76"/>
    <w:rsid w:val="00916B27"/>
    <w:rsid w:val="009208A7"/>
    <w:rsid w:val="00922623"/>
    <w:rsid w:val="00940C70"/>
    <w:rsid w:val="00942112"/>
    <w:rsid w:val="00947A60"/>
    <w:rsid w:val="00955326"/>
    <w:rsid w:val="00965FE8"/>
    <w:rsid w:val="0098289F"/>
    <w:rsid w:val="00984D5A"/>
    <w:rsid w:val="00986BFC"/>
    <w:rsid w:val="00986DFD"/>
    <w:rsid w:val="00990F45"/>
    <w:rsid w:val="00991D5A"/>
    <w:rsid w:val="009A3478"/>
    <w:rsid w:val="009A6469"/>
    <w:rsid w:val="009B765F"/>
    <w:rsid w:val="009C3785"/>
    <w:rsid w:val="009D5E3D"/>
    <w:rsid w:val="009D61BC"/>
    <w:rsid w:val="009E3864"/>
    <w:rsid w:val="009E7AA2"/>
    <w:rsid w:val="009F27B1"/>
    <w:rsid w:val="009F7AD8"/>
    <w:rsid w:val="009F7B1D"/>
    <w:rsid w:val="00A0121E"/>
    <w:rsid w:val="00A013C2"/>
    <w:rsid w:val="00A01A82"/>
    <w:rsid w:val="00A0282F"/>
    <w:rsid w:val="00A04060"/>
    <w:rsid w:val="00A10369"/>
    <w:rsid w:val="00A14417"/>
    <w:rsid w:val="00A23255"/>
    <w:rsid w:val="00A248A3"/>
    <w:rsid w:val="00A30ACB"/>
    <w:rsid w:val="00A30C33"/>
    <w:rsid w:val="00A36862"/>
    <w:rsid w:val="00A36D6C"/>
    <w:rsid w:val="00A50090"/>
    <w:rsid w:val="00A615FD"/>
    <w:rsid w:val="00A61CCB"/>
    <w:rsid w:val="00A61F76"/>
    <w:rsid w:val="00A621DA"/>
    <w:rsid w:val="00A66357"/>
    <w:rsid w:val="00A7129A"/>
    <w:rsid w:val="00A74944"/>
    <w:rsid w:val="00A81775"/>
    <w:rsid w:val="00A85B51"/>
    <w:rsid w:val="00A86763"/>
    <w:rsid w:val="00AA0D0A"/>
    <w:rsid w:val="00AA24C1"/>
    <w:rsid w:val="00AA2C72"/>
    <w:rsid w:val="00AA7E96"/>
    <w:rsid w:val="00AB1534"/>
    <w:rsid w:val="00AB2A78"/>
    <w:rsid w:val="00AC0CCC"/>
    <w:rsid w:val="00AC108E"/>
    <w:rsid w:val="00AC609C"/>
    <w:rsid w:val="00AC7779"/>
    <w:rsid w:val="00AC7B5E"/>
    <w:rsid w:val="00AD086B"/>
    <w:rsid w:val="00AD3C3F"/>
    <w:rsid w:val="00AD5F86"/>
    <w:rsid w:val="00AD7F4B"/>
    <w:rsid w:val="00AE4055"/>
    <w:rsid w:val="00AE4E9F"/>
    <w:rsid w:val="00AE6CB7"/>
    <w:rsid w:val="00AF29B4"/>
    <w:rsid w:val="00AF412B"/>
    <w:rsid w:val="00AF51BF"/>
    <w:rsid w:val="00AF588D"/>
    <w:rsid w:val="00AF6BDC"/>
    <w:rsid w:val="00B144DD"/>
    <w:rsid w:val="00B22262"/>
    <w:rsid w:val="00B24698"/>
    <w:rsid w:val="00B25898"/>
    <w:rsid w:val="00B30B39"/>
    <w:rsid w:val="00B4129A"/>
    <w:rsid w:val="00B416D9"/>
    <w:rsid w:val="00B460EA"/>
    <w:rsid w:val="00B47800"/>
    <w:rsid w:val="00B62077"/>
    <w:rsid w:val="00B67885"/>
    <w:rsid w:val="00B75D77"/>
    <w:rsid w:val="00B82836"/>
    <w:rsid w:val="00B84AB9"/>
    <w:rsid w:val="00B91157"/>
    <w:rsid w:val="00BB3F76"/>
    <w:rsid w:val="00BB5830"/>
    <w:rsid w:val="00BB7570"/>
    <w:rsid w:val="00BC6945"/>
    <w:rsid w:val="00BD0F35"/>
    <w:rsid w:val="00BD141E"/>
    <w:rsid w:val="00BD6C5B"/>
    <w:rsid w:val="00BF5245"/>
    <w:rsid w:val="00BF5E4B"/>
    <w:rsid w:val="00C07E6B"/>
    <w:rsid w:val="00C10EF3"/>
    <w:rsid w:val="00C23603"/>
    <w:rsid w:val="00C23C49"/>
    <w:rsid w:val="00C409FD"/>
    <w:rsid w:val="00C522E7"/>
    <w:rsid w:val="00C5234A"/>
    <w:rsid w:val="00C70097"/>
    <w:rsid w:val="00C70E7B"/>
    <w:rsid w:val="00C725E1"/>
    <w:rsid w:val="00C73AB2"/>
    <w:rsid w:val="00C76F8F"/>
    <w:rsid w:val="00C8379E"/>
    <w:rsid w:val="00C90723"/>
    <w:rsid w:val="00C91E89"/>
    <w:rsid w:val="00C92808"/>
    <w:rsid w:val="00CA033D"/>
    <w:rsid w:val="00CA3092"/>
    <w:rsid w:val="00CB181A"/>
    <w:rsid w:val="00CB5DDD"/>
    <w:rsid w:val="00CC4693"/>
    <w:rsid w:val="00CD14E0"/>
    <w:rsid w:val="00CD3DA6"/>
    <w:rsid w:val="00CD3FA0"/>
    <w:rsid w:val="00CD5995"/>
    <w:rsid w:val="00CE30EF"/>
    <w:rsid w:val="00CE541F"/>
    <w:rsid w:val="00CF2F0B"/>
    <w:rsid w:val="00CF71E4"/>
    <w:rsid w:val="00D02A52"/>
    <w:rsid w:val="00D16955"/>
    <w:rsid w:val="00D233EF"/>
    <w:rsid w:val="00D307B0"/>
    <w:rsid w:val="00D33E8C"/>
    <w:rsid w:val="00D36D09"/>
    <w:rsid w:val="00D43326"/>
    <w:rsid w:val="00D47580"/>
    <w:rsid w:val="00D65A8D"/>
    <w:rsid w:val="00D675A2"/>
    <w:rsid w:val="00D75064"/>
    <w:rsid w:val="00D77C3F"/>
    <w:rsid w:val="00D835A5"/>
    <w:rsid w:val="00D867FF"/>
    <w:rsid w:val="00D87916"/>
    <w:rsid w:val="00DB1A7A"/>
    <w:rsid w:val="00DB1D95"/>
    <w:rsid w:val="00DB4574"/>
    <w:rsid w:val="00DB460E"/>
    <w:rsid w:val="00DB4EF7"/>
    <w:rsid w:val="00DC2F5D"/>
    <w:rsid w:val="00DC433C"/>
    <w:rsid w:val="00DC56D6"/>
    <w:rsid w:val="00DC7A1D"/>
    <w:rsid w:val="00DE7532"/>
    <w:rsid w:val="00E02DBC"/>
    <w:rsid w:val="00E0443F"/>
    <w:rsid w:val="00E04B72"/>
    <w:rsid w:val="00E11E49"/>
    <w:rsid w:val="00E120FA"/>
    <w:rsid w:val="00E12411"/>
    <w:rsid w:val="00E14245"/>
    <w:rsid w:val="00E147B2"/>
    <w:rsid w:val="00E207EE"/>
    <w:rsid w:val="00E25994"/>
    <w:rsid w:val="00E265EB"/>
    <w:rsid w:val="00E2679C"/>
    <w:rsid w:val="00E303D7"/>
    <w:rsid w:val="00E33F59"/>
    <w:rsid w:val="00E3603B"/>
    <w:rsid w:val="00E36945"/>
    <w:rsid w:val="00E41F95"/>
    <w:rsid w:val="00E43F97"/>
    <w:rsid w:val="00E462BC"/>
    <w:rsid w:val="00E51845"/>
    <w:rsid w:val="00E52547"/>
    <w:rsid w:val="00E618CC"/>
    <w:rsid w:val="00E65A41"/>
    <w:rsid w:val="00E7181C"/>
    <w:rsid w:val="00E72690"/>
    <w:rsid w:val="00E7337D"/>
    <w:rsid w:val="00E74C58"/>
    <w:rsid w:val="00E84A09"/>
    <w:rsid w:val="00E9136B"/>
    <w:rsid w:val="00E94236"/>
    <w:rsid w:val="00E95A39"/>
    <w:rsid w:val="00EA1EF6"/>
    <w:rsid w:val="00EA2D19"/>
    <w:rsid w:val="00EA510B"/>
    <w:rsid w:val="00EB00D0"/>
    <w:rsid w:val="00EB2C6D"/>
    <w:rsid w:val="00EB5B5F"/>
    <w:rsid w:val="00EB6470"/>
    <w:rsid w:val="00EC1F6F"/>
    <w:rsid w:val="00EC76F1"/>
    <w:rsid w:val="00EC7B72"/>
    <w:rsid w:val="00ED2C11"/>
    <w:rsid w:val="00ED502C"/>
    <w:rsid w:val="00EE5288"/>
    <w:rsid w:val="00EE5AAD"/>
    <w:rsid w:val="00EF01D5"/>
    <w:rsid w:val="00EF6970"/>
    <w:rsid w:val="00F0354F"/>
    <w:rsid w:val="00F07D94"/>
    <w:rsid w:val="00F14724"/>
    <w:rsid w:val="00F22AA5"/>
    <w:rsid w:val="00F255AE"/>
    <w:rsid w:val="00F32C53"/>
    <w:rsid w:val="00F40594"/>
    <w:rsid w:val="00F43CA8"/>
    <w:rsid w:val="00F5058F"/>
    <w:rsid w:val="00F517F0"/>
    <w:rsid w:val="00F54708"/>
    <w:rsid w:val="00F56689"/>
    <w:rsid w:val="00F56D0C"/>
    <w:rsid w:val="00F71E3A"/>
    <w:rsid w:val="00F76985"/>
    <w:rsid w:val="00F85EC9"/>
    <w:rsid w:val="00F90AAA"/>
    <w:rsid w:val="00F92056"/>
    <w:rsid w:val="00F973E3"/>
    <w:rsid w:val="00FA23B6"/>
    <w:rsid w:val="00FA387A"/>
    <w:rsid w:val="00FA587A"/>
    <w:rsid w:val="00FC77BD"/>
    <w:rsid w:val="00FD3ADA"/>
    <w:rsid w:val="00FD5362"/>
    <w:rsid w:val="00FD62E7"/>
    <w:rsid w:val="00FE0300"/>
    <w:rsid w:val="00FE05C2"/>
    <w:rsid w:val="00FF338E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9858E"/>
  <w15:chartTrackingRefBased/>
  <w15:docId w15:val="{989B7B34-6F8B-432E-B627-9108493D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C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0C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0C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3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A9"/>
  </w:style>
  <w:style w:type="paragraph" w:styleId="Footer">
    <w:name w:val="footer"/>
    <w:basedOn w:val="Normal"/>
    <w:link w:val="FooterChar"/>
    <w:uiPriority w:val="99"/>
    <w:unhideWhenUsed/>
    <w:rsid w:val="0052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A9"/>
  </w:style>
  <w:style w:type="character" w:styleId="CommentReference">
    <w:name w:val="annotation reference"/>
    <w:basedOn w:val="DefaultParagraphFont"/>
    <w:uiPriority w:val="99"/>
    <w:semiHidden/>
    <w:unhideWhenUsed/>
    <w:rsid w:val="00091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3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C869-CAAB-4EBB-8BEA-554693E9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Henry (DEDJTR)</dc:creator>
  <cp:keywords/>
  <dc:description/>
  <cp:lastModifiedBy>Minh Dang (DEDJTR)</cp:lastModifiedBy>
  <cp:revision>2</cp:revision>
  <cp:lastPrinted>2019-05-30T23:46:00Z</cp:lastPrinted>
  <dcterms:created xsi:type="dcterms:W3CDTF">2019-09-04T00:08:00Z</dcterms:created>
  <dcterms:modified xsi:type="dcterms:W3CDTF">2019-09-04T00:08:00Z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67a75125-cedf-41fd-9730-215e37422ba3</vt:lpwstr>
  </property>
  <property fmtid="{D5CDD505-2E9C-101B-9397-08002B2CF9AE}" pid="3" name="Classification">
    <vt:lpwstr>For Official Use Only</vt:lpwstr>
  </property>
</Properties>
</file>