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9A4F58" w14:textId="77777777" w:rsidR="00744CBE" w:rsidRPr="000A25CD" w:rsidRDefault="00744CBE" w:rsidP="000429F8">
      <w:pPr>
        <w:pStyle w:val="Heading1"/>
      </w:pPr>
      <w:bookmarkStart w:id="0" w:name="_GoBack"/>
      <w:bookmarkEnd w:id="0"/>
    </w:p>
    <w:p w14:paraId="40E2C3ED" w14:textId="34554018" w:rsidR="00EC65A9" w:rsidRPr="00C62D0F" w:rsidRDefault="00555B55" w:rsidP="000429F8">
      <w:pPr>
        <w:pStyle w:val="DEDJTRTablecontentsheading"/>
        <w:rPr>
          <w:color w:val="FF0000"/>
        </w:rPr>
        <w:sectPr w:rsidR="00EC65A9" w:rsidRPr="00C62D0F" w:rsidSect="005B6345">
          <w:headerReference w:type="even" r:id="rId11"/>
          <w:footerReference w:type="even" r:id="rId12"/>
          <w:footerReference w:type="default" r:id="rId13"/>
          <w:headerReference w:type="first" r:id="rId14"/>
          <w:pgSz w:w="11906" w:h="16838"/>
          <w:pgMar w:top="577" w:right="1440" w:bottom="1824" w:left="1440" w:header="1044" w:footer="615" w:gutter="0"/>
          <w:cols w:space="708"/>
          <w:titlePg/>
          <w:docGrid w:linePitch="360"/>
        </w:sectPr>
      </w:pPr>
      <w:r>
        <w:rPr>
          <w:noProof/>
          <w:color w:val="FF0000"/>
        </w:rPr>
        <mc:AlternateContent>
          <mc:Choice Requires="wps">
            <w:drawing>
              <wp:anchor distT="0" distB="0" distL="114300" distR="114300" simplePos="0" relativeHeight="251659264" behindDoc="0" locked="0" layoutInCell="1" allowOverlap="1" wp14:anchorId="7C9BBA79" wp14:editId="0345161A">
                <wp:simplePos x="0" y="0"/>
                <wp:positionH relativeFrom="column">
                  <wp:posOffset>4419600</wp:posOffset>
                </wp:positionH>
                <wp:positionV relativeFrom="paragraph">
                  <wp:posOffset>7275195</wp:posOffset>
                </wp:positionV>
                <wp:extent cx="1974760" cy="628650"/>
                <wp:effectExtent l="0" t="0" r="26035" b="19050"/>
                <wp:wrapNone/>
                <wp:docPr id="11" name="Text Box 11"/>
                <wp:cNvGraphicFramePr/>
                <a:graphic xmlns:a="http://schemas.openxmlformats.org/drawingml/2006/main">
                  <a:graphicData uri="http://schemas.microsoft.com/office/word/2010/wordprocessingShape">
                    <wps:wsp>
                      <wps:cNvSpPr txBox="1"/>
                      <wps:spPr>
                        <a:xfrm>
                          <a:off x="0" y="0"/>
                          <a:ext cx="1974760" cy="628650"/>
                        </a:xfrm>
                        <a:prstGeom prst="rect">
                          <a:avLst/>
                        </a:prstGeom>
                        <a:solidFill>
                          <a:schemeClr val="lt1"/>
                        </a:solidFill>
                        <a:ln w="6350">
                          <a:solidFill>
                            <a:prstClr val="black"/>
                          </a:solidFill>
                        </a:ln>
                      </wps:spPr>
                      <wps:txbx>
                        <w:txbxContent>
                          <w:p w14:paraId="0101F1FD" w14:textId="0C6DA5E9" w:rsidR="004046F1" w:rsidRPr="00784CA5" w:rsidRDefault="004046F1" w:rsidP="00F73530">
                            <w:pPr>
                              <w:jc w:val="center"/>
                              <w:rPr>
                                <w:color w:val="auto"/>
                              </w:rPr>
                            </w:pPr>
                            <w:r w:rsidRPr="00784CA5">
                              <w:rPr>
                                <w:color w:val="auto"/>
                              </w:rPr>
                              <w:t>Interim Operational Policy</w:t>
                            </w:r>
                          </w:p>
                          <w:p w14:paraId="6582938B" w14:textId="1DBE6BEA" w:rsidR="00784CA5" w:rsidRPr="00784CA5" w:rsidRDefault="00784CA5" w:rsidP="00F73530">
                            <w:pPr>
                              <w:jc w:val="center"/>
                              <w:rPr>
                                <w:color w:val="auto"/>
                              </w:rPr>
                            </w:pPr>
                            <w:r w:rsidRPr="00784CA5">
                              <w:rPr>
                                <w:color w:val="auto"/>
                              </w:rPr>
                              <w:t>Approved 3 June 2019</w:t>
                            </w:r>
                          </w:p>
                          <w:p w14:paraId="27DAEDC3" w14:textId="14E015A7" w:rsidR="00784CA5" w:rsidRDefault="00784CA5">
                            <w:pPr>
                              <w:rPr>
                                <w:color w:val="FF0000"/>
                              </w:rPr>
                            </w:pPr>
                          </w:p>
                          <w:p w14:paraId="73AB69E7" w14:textId="77777777" w:rsidR="00784CA5" w:rsidRPr="00740F18" w:rsidRDefault="00784CA5">
                            <w:pP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9BBA79" id="_x0000_t202" coordsize="21600,21600" o:spt="202" path="m,l,21600r21600,l21600,xe">
                <v:stroke joinstyle="miter"/>
                <v:path gradientshapeok="t" o:connecttype="rect"/>
              </v:shapetype>
              <v:shape id="Text Box 11" o:spid="_x0000_s1026" type="#_x0000_t202" style="position:absolute;margin-left:348pt;margin-top:572.85pt;width:155.5pt;height: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" fillcolor="white [3201]" strokeweight=".5pt">
                <v:textbox>
                  <w:txbxContent>
                    <w:p w14:paraId="0101F1FD" w14:textId="0C6DA5E9" w:rsidR="004046F1" w:rsidRPr="00784CA5" w:rsidRDefault="004046F1" w:rsidP="00F73530">
                      <w:pPr>
                        <w:jc w:val="center"/>
                        <w:rPr>
                          <w:color w:val="auto"/>
                        </w:rPr>
                      </w:pPr>
                      <w:r w:rsidRPr="00784CA5">
                        <w:rPr>
                          <w:color w:val="auto"/>
                        </w:rPr>
                        <w:t>Interim Operational Policy</w:t>
                      </w:r>
                    </w:p>
                    <w:p w14:paraId="6582938B" w14:textId="1DBE6BEA" w:rsidR="00784CA5" w:rsidRPr="00784CA5" w:rsidRDefault="00784CA5" w:rsidP="00F73530">
                      <w:pPr>
                        <w:jc w:val="center"/>
                        <w:rPr>
                          <w:color w:val="auto"/>
                        </w:rPr>
                      </w:pPr>
                      <w:r w:rsidRPr="00784CA5">
                        <w:rPr>
                          <w:color w:val="auto"/>
                        </w:rPr>
                        <w:t>Approved 3 June 2019</w:t>
                      </w:r>
                    </w:p>
                    <w:p w14:paraId="27DAEDC3" w14:textId="14E015A7" w:rsidR="00784CA5" w:rsidRDefault="00784CA5">
                      <w:pPr>
                        <w:rPr>
                          <w:color w:val="FF0000"/>
                        </w:rPr>
                      </w:pPr>
                    </w:p>
                    <w:p w14:paraId="73AB69E7" w14:textId="77777777" w:rsidR="00784CA5" w:rsidRPr="00740F18" w:rsidRDefault="00784CA5">
                      <w:pPr>
                        <w:rPr>
                          <w:color w:val="FF0000"/>
                        </w:rPr>
                      </w:pPr>
                    </w:p>
                  </w:txbxContent>
                </v:textbox>
              </v:shape>
            </w:pict>
          </mc:Fallback>
        </mc:AlternateContent>
      </w:r>
    </w:p>
    <w:sdt>
      <w:sdtPr>
        <w:rPr>
          <w:rFonts w:cs="Arial"/>
          <w:b w:val="0"/>
          <w:caps w:val="0"/>
          <w:color w:val="auto"/>
          <w:sz w:val="20"/>
          <w:szCs w:val="22"/>
        </w:rPr>
        <w:id w:val="90750963"/>
        <w:docPartObj>
          <w:docPartGallery w:val="Table of Contents"/>
          <w:docPartUnique/>
        </w:docPartObj>
      </w:sdtPr>
      <w:sdtEndPr>
        <w:rPr>
          <w:noProof/>
          <w:color w:val="505659"/>
        </w:rPr>
      </w:sdtEndPr>
      <w:sdtContent>
        <w:p w14:paraId="56833696" w14:textId="77777777" w:rsidR="003F1D90" w:rsidRPr="00A51BD4" w:rsidRDefault="00E83FF9" w:rsidP="000429F8">
          <w:pPr>
            <w:pStyle w:val="DEDJTRTablecontentsheading"/>
            <w:rPr>
              <w:color w:val="505659"/>
            </w:rPr>
          </w:pPr>
          <w:r w:rsidRPr="00A51BD4">
            <w:rPr>
              <w:color w:val="505659"/>
            </w:rPr>
            <w:t xml:space="preserve">TABLE OF </w:t>
          </w:r>
          <w:r w:rsidR="003F1D90" w:rsidRPr="00A51BD4">
            <w:rPr>
              <w:color w:val="505659"/>
            </w:rPr>
            <w:t>Contents</w:t>
          </w:r>
        </w:p>
        <w:p w14:paraId="5E9EBE72" w14:textId="7AF49F77" w:rsidR="00B90C3D" w:rsidRDefault="003F1D90">
          <w:pPr>
            <w:pStyle w:val="TOC1"/>
            <w:rPr>
              <w:rFonts w:asciiTheme="minorHAnsi" w:eastAsiaTheme="minorEastAsia" w:hAnsiTheme="minorHAnsi" w:cstheme="minorBidi"/>
              <w:noProof/>
              <w:color w:val="auto"/>
              <w:sz w:val="22"/>
            </w:rPr>
          </w:pPr>
          <w:r w:rsidRPr="009B477D">
            <w:fldChar w:fldCharType="begin"/>
          </w:r>
          <w:r w:rsidRPr="009B477D">
            <w:instrText xml:space="preserve"> TOC \o "1-3" \h \z \u </w:instrText>
          </w:r>
          <w:r w:rsidRPr="009B477D">
            <w:fldChar w:fldCharType="separate"/>
          </w:r>
          <w:hyperlink w:anchor="_Toc12876520" w:history="1">
            <w:r w:rsidR="00B90C3D" w:rsidRPr="005B0BC1">
              <w:rPr>
                <w:rStyle w:val="Hyperlink"/>
                <w:noProof/>
              </w:rPr>
              <w:t>Authorisation</w:t>
            </w:r>
            <w:r w:rsidR="00B90C3D">
              <w:rPr>
                <w:noProof/>
                <w:webHidden/>
              </w:rPr>
              <w:tab/>
            </w:r>
            <w:r w:rsidR="00B90C3D">
              <w:rPr>
                <w:noProof/>
                <w:webHidden/>
              </w:rPr>
              <w:fldChar w:fldCharType="begin"/>
            </w:r>
            <w:r w:rsidR="00B90C3D">
              <w:rPr>
                <w:noProof/>
                <w:webHidden/>
              </w:rPr>
              <w:instrText xml:space="preserve"> PAGEREF _Toc12876520 \h </w:instrText>
            </w:r>
            <w:r w:rsidR="00B90C3D">
              <w:rPr>
                <w:noProof/>
                <w:webHidden/>
              </w:rPr>
            </w:r>
            <w:r w:rsidR="00B90C3D">
              <w:rPr>
                <w:noProof/>
                <w:webHidden/>
              </w:rPr>
              <w:fldChar w:fldCharType="separate"/>
            </w:r>
            <w:r w:rsidR="00B90C3D">
              <w:rPr>
                <w:noProof/>
                <w:webHidden/>
              </w:rPr>
              <w:t>3</w:t>
            </w:r>
            <w:r w:rsidR="00B90C3D">
              <w:rPr>
                <w:noProof/>
                <w:webHidden/>
              </w:rPr>
              <w:fldChar w:fldCharType="end"/>
            </w:r>
          </w:hyperlink>
        </w:p>
        <w:p w14:paraId="0AFD079D" w14:textId="0C7DD87F" w:rsidR="00B90C3D" w:rsidRDefault="00DC36B8">
          <w:pPr>
            <w:pStyle w:val="TOC1"/>
            <w:rPr>
              <w:rFonts w:asciiTheme="minorHAnsi" w:eastAsiaTheme="minorEastAsia" w:hAnsiTheme="minorHAnsi" w:cstheme="minorBidi"/>
              <w:noProof/>
              <w:color w:val="auto"/>
              <w:sz w:val="22"/>
            </w:rPr>
          </w:pPr>
          <w:hyperlink w:anchor="_Toc12876521" w:history="1">
            <w:r w:rsidR="00B90C3D" w:rsidRPr="005B0BC1">
              <w:rPr>
                <w:rStyle w:val="Hyperlink"/>
                <w:noProof/>
              </w:rPr>
              <w:t>1.</w:t>
            </w:r>
            <w:r w:rsidR="00B90C3D">
              <w:rPr>
                <w:rFonts w:asciiTheme="minorHAnsi" w:eastAsiaTheme="minorEastAsia" w:hAnsiTheme="minorHAnsi" w:cstheme="minorBidi"/>
                <w:noProof/>
                <w:color w:val="auto"/>
                <w:sz w:val="22"/>
              </w:rPr>
              <w:tab/>
            </w:r>
            <w:r w:rsidR="00B90C3D" w:rsidRPr="005B0BC1">
              <w:rPr>
                <w:rStyle w:val="Hyperlink"/>
                <w:noProof/>
              </w:rPr>
              <w:t>Objectives, Principles and scope</w:t>
            </w:r>
            <w:r w:rsidR="00B90C3D">
              <w:rPr>
                <w:noProof/>
                <w:webHidden/>
              </w:rPr>
              <w:tab/>
            </w:r>
            <w:r w:rsidR="00B90C3D">
              <w:rPr>
                <w:noProof/>
                <w:webHidden/>
              </w:rPr>
              <w:fldChar w:fldCharType="begin"/>
            </w:r>
            <w:r w:rsidR="00B90C3D">
              <w:rPr>
                <w:noProof/>
                <w:webHidden/>
              </w:rPr>
              <w:instrText xml:space="preserve"> PAGEREF _Toc12876521 \h </w:instrText>
            </w:r>
            <w:r w:rsidR="00B90C3D">
              <w:rPr>
                <w:noProof/>
                <w:webHidden/>
              </w:rPr>
            </w:r>
            <w:r w:rsidR="00B90C3D">
              <w:rPr>
                <w:noProof/>
                <w:webHidden/>
              </w:rPr>
              <w:fldChar w:fldCharType="separate"/>
            </w:r>
            <w:r w:rsidR="00B90C3D">
              <w:rPr>
                <w:noProof/>
                <w:webHidden/>
              </w:rPr>
              <w:t>3</w:t>
            </w:r>
            <w:r w:rsidR="00B90C3D">
              <w:rPr>
                <w:noProof/>
                <w:webHidden/>
              </w:rPr>
              <w:fldChar w:fldCharType="end"/>
            </w:r>
          </w:hyperlink>
        </w:p>
        <w:p w14:paraId="2819D09A" w14:textId="1DA21E80" w:rsidR="00B90C3D" w:rsidRDefault="00DC36B8">
          <w:pPr>
            <w:pStyle w:val="TOC1"/>
            <w:rPr>
              <w:rFonts w:asciiTheme="minorHAnsi" w:eastAsiaTheme="minorEastAsia" w:hAnsiTheme="minorHAnsi" w:cstheme="minorBidi"/>
              <w:noProof/>
              <w:color w:val="auto"/>
              <w:sz w:val="22"/>
            </w:rPr>
          </w:pPr>
          <w:hyperlink w:anchor="_Toc12876522" w:history="1">
            <w:r w:rsidR="00B90C3D" w:rsidRPr="005B0BC1">
              <w:rPr>
                <w:rStyle w:val="Hyperlink"/>
                <w:noProof/>
              </w:rPr>
              <w:t>2.</w:t>
            </w:r>
            <w:r w:rsidR="00B90C3D">
              <w:rPr>
                <w:rFonts w:asciiTheme="minorHAnsi" w:eastAsiaTheme="minorEastAsia" w:hAnsiTheme="minorHAnsi" w:cstheme="minorBidi"/>
                <w:noProof/>
                <w:color w:val="auto"/>
                <w:sz w:val="22"/>
              </w:rPr>
              <w:tab/>
            </w:r>
            <w:r w:rsidR="00B90C3D" w:rsidRPr="005B0BC1">
              <w:rPr>
                <w:rStyle w:val="Hyperlink"/>
                <w:noProof/>
              </w:rPr>
              <w:t>assessment of applicant’s proposed work program</w:t>
            </w:r>
            <w:r w:rsidR="00B90C3D">
              <w:rPr>
                <w:noProof/>
                <w:webHidden/>
              </w:rPr>
              <w:tab/>
            </w:r>
            <w:r w:rsidR="00B90C3D">
              <w:rPr>
                <w:noProof/>
                <w:webHidden/>
              </w:rPr>
              <w:fldChar w:fldCharType="begin"/>
            </w:r>
            <w:r w:rsidR="00B90C3D">
              <w:rPr>
                <w:noProof/>
                <w:webHidden/>
              </w:rPr>
              <w:instrText xml:space="preserve"> PAGEREF _Toc12876522 \h </w:instrText>
            </w:r>
            <w:r w:rsidR="00B90C3D">
              <w:rPr>
                <w:noProof/>
                <w:webHidden/>
              </w:rPr>
            </w:r>
            <w:r w:rsidR="00B90C3D">
              <w:rPr>
                <w:noProof/>
                <w:webHidden/>
              </w:rPr>
              <w:fldChar w:fldCharType="separate"/>
            </w:r>
            <w:r w:rsidR="00B90C3D">
              <w:rPr>
                <w:noProof/>
                <w:webHidden/>
              </w:rPr>
              <w:t>4</w:t>
            </w:r>
            <w:r w:rsidR="00B90C3D">
              <w:rPr>
                <w:noProof/>
                <w:webHidden/>
              </w:rPr>
              <w:fldChar w:fldCharType="end"/>
            </w:r>
          </w:hyperlink>
        </w:p>
        <w:p w14:paraId="01647120" w14:textId="2F2218C9" w:rsidR="00B90C3D" w:rsidRDefault="00DC36B8">
          <w:pPr>
            <w:pStyle w:val="TOC1"/>
            <w:rPr>
              <w:rFonts w:asciiTheme="minorHAnsi" w:eastAsiaTheme="minorEastAsia" w:hAnsiTheme="minorHAnsi" w:cstheme="minorBidi"/>
              <w:noProof/>
              <w:color w:val="auto"/>
              <w:sz w:val="22"/>
            </w:rPr>
          </w:pPr>
          <w:hyperlink w:anchor="_Toc12876523" w:history="1">
            <w:r w:rsidR="00B90C3D" w:rsidRPr="005B0BC1">
              <w:rPr>
                <w:rStyle w:val="Hyperlink"/>
                <w:noProof/>
              </w:rPr>
              <w:t>3.</w:t>
            </w:r>
            <w:r w:rsidR="00B90C3D">
              <w:rPr>
                <w:rFonts w:asciiTheme="minorHAnsi" w:eastAsiaTheme="minorEastAsia" w:hAnsiTheme="minorHAnsi" w:cstheme="minorBidi"/>
                <w:noProof/>
                <w:color w:val="auto"/>
                <w:sz w:val="22"/>
              </w:rPr>
              <w:tab/>
            </w:r>
            <w:r w:rsidR="00B90C3D" w:rsidRPr="005B0BC1">
              <w:rPr>
                <w:rStyle w:val="Hyperlink"/>
                <w:noProof/>
              </w:rPr>
              <w:t>Other considerations</w:t>
            </w:r>
            <w:r w:rsidR="00B90C3D">
              <w:rPr>
                <w:noProof/>
                <w:webHidden/>
              </w:rPr>
              <w:tab/>
            </w:r>
            <w:r w:rsidR="00B90C3D">
              <w:rPr>
                <w:noProof/>
                <w:webHidden/>
              </w:rPr>
              <w:fldChar w:fldCharType="begin"/>
            </w:r>
            <w:r w:rsidR="00B90C3D">
              <w:rPr>
                <w:noProof/>
                <w:webHidden/>
              </w:rPr>
              <w:instrText xml:space="preserve"> PAGEREF _Toc12876523 \h </w:instrText>
            </w:r>
            <w:r w:rsidR="00B90C3D">
              <w:rPr>
                <w:noProof/>
                <w:webHidden/>
              </w:rPr>
            </w:r>
            <w:r w:rsidR="00B90C3D">
              <w:rPr>
                <w:noProof/>
                <w:webHidden/>
              </w:rPr>
              <w:fldChar w:fldCharType="separate"/>
            </w:r>
            <w:r w:rsidR="00B90C3D">
              <w:rPr>
                <w:noProof/>
                <w:webHidden/>
              </w:rPr>
              <w:t>7</w:t>
            </w:r>
            <w:r w:rsidR="00B90C3D">
              <w:rPr>
                <w:noProof/>
                <w:webHidden/>
              </w:rPr>
              <w:fldChar w:fldCharType="end"/>
            </w:r>
          </w:hyperlink>
        </w:p>
        <w:p w14:paraId="05548F8D" w14:textId="1312C3E7" w:rsidR="00B90C3D" w:rsidRDefault="00DC36B8">
          <w:pPr>
            <w:pStyle w:val="TOC1"/>
            <w:rPr>
              <w:rFonts w:asciiTheme="minorHAnsi" w:eastAsiaTheme="minorEastAsia" w:hAnsiTheme="minorHAnsi" w:cstheme="minorBidi"/>
              <w:noProof/>
              <w:color w:val="auto"/>
              <w:sz w:val="22"/>
            </w:rPr>
          </w:pPr>
          <w:hyperlink w:anchor="_Toc12876524" w:history="1">
            <w:r w:rsidR="00B90C3D" w:rsidRPr="005B0BC1">
              <w:rPr>
                <w:rStyle w:val="Hyperlink"/>
                <w:noProof/>
              </w:rPr>
              <w:t>4. General Procedures</w:t>
            </w:r>
            <w:r w:rsidR="00B90C3D">
              <w:rPr>
                <w:noProof/>
                <w:webHidden/>
              </w:rPr>
              <w:tab/>
            </w:r>
            <w:r w:rsidR="00B90C3D">
              <w:rPr>
                <w:noProof/>
                <w:webHidden/>
              </w:rPr>
              <w:fldChar w:fldCharType="begin"/>
            </w:r>
            <w:r w:rsidR="00B90C3D">
              <w:rPr>
                <w:noProof/>
                <w:webHidden/>
              </w:rPr>
              <w:instrText xml:space="preserve"> PAGEREF _Toc12876524 \h </w:instrText>
            </w:r>
            <w:r w:rsidR="00B90C3D">
              <w:rPr>
                <w:noProof/>
                <w:webHidden/>
              </w:rPr>
            </w:r>
            <w:r w:rsidR="00B90C3D">
              <w:rPr>
                <w:noProof/>
                <w:webHidden/>
              </w:rPr>
              <w:fldChar w:fldCharType="separate"/>
            </w:r>
            <w:r w:rsidR="00B90C3D">
              <w:rPr>
                <w:noProof/>
                <w:webHidden/>
              </w:rPr>
              <w:t>8</w:t>
            </w:r>
            <w:r w:rsidR="00B90C3D">
              <w:rPr>
                <w:noProof/>
                <w:webHidden/>
              </w:rPr>
              <w:fldChar w:fldCharType="end"/>
            </w:r>
          </w:hyperlink>
        </w:p>
        <w:p w14:paraId="1813CD2C" w14:textId="3A1A664C" w:rsidR="00B90C3D" w:rsidRDefault="00DC36B8">
          <w:pPr>
            <w:pStyle w:val="TOC1"/>
            <w:tabs>
              <w:tab w:val="left" w:pos="1320"/>
            </w:tabs>
            <w:rPr>
              <w:rFonts w:asciiTheme="minorHAnsi" w:eastAsiaTheme="minorEastAsia" w:hAnsiTheme="minorHAnsi" w:cstheme="minorBidi"/>
              <w:noProof/>
              <w:color w:val="auto"/>
              <w:sz w:val="22"/>
            </w:rPr>
          </w:pPr>
          <w:hyperlink w:anchor="_Toc12876525" w:history="1">
            <w:r w:rsidR="00B90C3D" w:rsidRPr="005B0BC1">
              <w:rPr>
                <w:rStyle w:val="Hyperlink"/>
                <w:noProof/>
              </w:rPr>
              <w:t>Appendix A:</w:t>
            </w:r>
            <w:r w:rsidR="00B90C3D">
              <w:rPr>
                <w:rFonts w:asciiTheme="minorHAnsi" w:eastAsiaTheme="minorEastAsia" w:hAnsiTheme="minorHAnsi" w:cstheme="minorBidi"/>
                <w:noProof/>
                <w:color w:val="auto"/>
                <w:sz w:val="22"/>
              </w:rPr>
              <w:tab/>
            </w:r>
            <w:r w:rsidR="00B90C3D" w:rsidRPr="005B0BC1">
              <w:rPr>
                <w:rStyle w:val="Hyperlink"/>
                <w:noProof/>
              </w:rPr>
              <w:t>Extracts of the Mineral Resources (Sustainable Development) Act 1990 and Subordinate Regulations</w:t>
            </w:r>
            <w:r w:rsidR="00B90C3D">
              <w:rPr>
                <w:noProof/>
                <w:webHidden/>
              </w:rPr>
              <w:tab/>
            </w:r>
            <w:r w:rsidR="00B90C3D">
              <w:rPr>
                <w:noProof/>
                <w:webHidden/>
              </w:rPr>
              <w:fldChar w:fldCharType="begin"/>
            </w:r>
            <w:r w:rsidR="00B90C3D">
              <w:rPr>
                <w:noProof/>
                <w:webHidden/>
              </w:rPr>
              <w:instrText xml:space="preserve"> PAGEREF _Toc12876525 \h </w:instrText>
            </w:r>
            <w:r w:rsidR="00B90C3D">
              <w:rPr>
                <w:noProof/>
                <w:webHidden/>
              </w:rPr>
            </w:r>
            <w:r w:rsidR="00B90C3D">
              <w:rPr>
                <w:noProof/>
                <w:webHidden/>
              </w:rPr>
              <w:fldChar w:fldCharType="separate"/>
            </w:r>
            <w:r w:rsidR="00B90C3D">
              <w:rPr>
                <w:noProof/>
                <w:webHidden/>
              </w:rPr>
              <w:t>10</w:t>
            </w:r>
            <w:r w:rsidR="00B90C3D">
              <w:rPr>
                <w:noProof/>
                <w:webHidden/>
              </w:rPr>
              <w:fldChar w:fldCharType="end"/>
            </w:r>
          </w:hyperlink>
        </w:p>
        <w:p w14:paraId="4AB2D1C1" w14:textId="6C93C9E2" w:rsidR="00B90C3D" w:rsidRDefault="00DC36B8">
          <w:pPr>
            <w:pStyle w:val="TOC1"/>
            <w:rPr>
              <w:rFonts w:asciiTheme="minorHAnsi" w:eastAsiaTheme="minorEastAsia" w:hAnsiTheme="minorHAnsi" w:cstheme="minorBidi"/>
              <w:noProof/>
              <w:color w:val="auto"/>
              <w:sz w:val="22"/>
            </w:rPr>
          </w:pPr>
          <w:hyperlink w:anchor="_Toc12876526" w:history="1">
            <w:r w:rsidR="00B90C3D" w:rsidRPr="005B0BC1">
              <w:rPr>
                <w:rStyle w:val="Hyperlink"/>
                <w:noProof/>
              </w:rPr>
              <w:t>Records Management</w:t>
            </w:r>
            <w:r w:rsidR="00B90C3D">
              <w:rPr>
                <w:noProof/>
                <w:webHidden/>
              </w:rPr>
              <w:tab/>
            </w:r>
            <w:r w:rsidR="00B90C3D">
              <w:rPr>
                <w:noProof/>
                <w:webHidden/>
              </w:rPr>
              <w:fldChar w:fldCharType="begin"/>
            </w:r>
            <w:r w:rsidR="00B90C3D">
              <w:rPr>
                <w:noProof/>
                <w:webHidden/>
              </w:rPr>
              <w:instrText xml:space="preserve"> PAGEREF _Toc12876526 \h </w:instrText>
            </w:r>
            <w:r w:rsidR="00B90C3D">
              <w:rPr>
                <w:noProof/>
                <w:webHidden/>
              </w:rPr>
            </w:r>
            <w:r w:rsidR="00B90C3D">
              <w:rPr>
                <w:noProof/>
                <w:webHidden/>
              </w:rPr>
              <w:fldChar w:fldCharType="separate"/>
            </w:r>
            <w:r w:rsidR="00B90C3D">
              <w:rPr>
                <w:noProof/>
                <w:webHidden/>
              </w:rPr>
              <w:t>12</w:t>
            </w:r>
            <w:r w:rsidR="00B90C3D">
              <w:rPr>
                <w:noProof/>
                <w:webHidden/>
              </w:rPr>
              <w:fldChar w:fldCharType="end"/>
            </w:r>
          </w:hyperlink>
        </w:p>
        <w:p w14:paraId="4C8FBAA3" w14:textId="6A33C1CD" w:rsidR="003F1D90" w:rsidRPr="009B477D" w:rsidRDefault="003F1D90" w:rsidP="000429F8">
          <w:r w:rsidRPr="009B477D">
            <w:rPr>
              <w:b/>
              <w:noProof/>
            </w:rPr>
            <w:fldChar w:fldCharType="end"/>
          </w:r>
        </w:p>
      </w:sdtContent>
    </w:sdt>
    <w:p w14:paraId="40F7EB09" w14:textId="77777777" w:rsidR="004832E1" w:rsidRPr="009B477D" w:rsidRDefault="004832E1" w:rsidP="000429F8">
      <w:r w:rsidRPr="009B477D">
        <w:br w:type="page"/>
      </w:r>
    </w:p>
    <w:p w14:paraId="0200A0B9" w14:textId="77777777" w:rsidR="004832E1" w:rsidRPr="002C4B5F" w:rsidRDefault="004832E1" w:rsidP="000429F8">
      <w:pPr>
        <w:pStyle w:val="DEDJTRPolicyH1"/>
      </w:pPr>
      <w:bookmarkStart w:id="3" w:name="_Toc12876520"/>
      <w:r w:rsidRPr="002C4B5F">
        <w:lastRenderedPageBreak/>
        <w:t>A</w:t>
      </w:r>
      <w:r w:rsidR="003F1D90" w:rsidRPr="002C4B5F">
        <w:t>uthorisation</w:t>
      </w:r>
      <w:bookmarkEnd w:id="3"/>
    </w:p>
    <w:p w14:paraId="6D22949F" w14:textId="77777777" w:rsidR="00310157" w:rsidRPr="002C4B5F" w:rsidRDefault="00310157" w:rsidP="000429F8">
      <w:pPr>
        <w:ind w:left="3402" w:hanging="3402"/>
      </w:pPr>
      <w:r w:rsidRPr="002C4B5F">
        <w:rPr>
          <w:rFonts w:eastAsiaTheme="majorEastAsia"/>
          <w:b/>
        </w:rPr>
        <w:t>Title</w:t>
      </w:r>
      <w:r w:rsidRPr="002C4B5F">
        <w:tab/>
      </w:r>
      <w:r w:rsidR="00D54C2F">
        <w:t>Operational Policy – Competing Licence Applications</w:t>
      </w:r>
    </w:p>
    <w:p w14:paraId="62AC998A" w14:textId="77777777" w:rsidR="00310157" w:rsidRPr="002C4B5F" w:rsidRDefault="00310157" w:rsidP="000429F8">
      <w:pPr>
        <w:ind w:left="3402" w:hanging="3402"/>
      </w:pPr>
      <w:r w:rsidRPr="002C4B5F">
        <w:rPr>
          <w:rFonts w:eastAsiaTheme="majorEastAsia"/>
          <w:b/>
        </w:rPr>
        <w:t>Issuing Division/ Branch</w:t>
      </w:r>
      <w:r w:rsidRPr="002C4B5F">
        <w:tab/>
      </w:r>
      <w:r w:rsidR="00715D24">
        <w:t>Earth Resources Regulation</w:t>
      </w:r>
    </w:p>
    <w:p w14:paraId="128B24C4" w14:textId="22C342B7" w:rsidR="00310157" w:rsidRPr="00784CA5" w:rsidRDefault="00310157" w:rsidP="000429F8">
      <w:pPr>
        <w:ind w:left="3402" w:hanging="3402"/>
      </w:pPr>
      <w:r w:rsidRPr="002C4B5F">
        <w:rPr>
          <w:rFonts w:eastAsiaTheme="majorEastAsia"/>
          <w:b/>
        </w:rPr>
        <w:t>Date Effective</w:t>
      </w:r>
      <w:r w:rsidRPr="002C4B5F">
        <w:tab/>
      </w:r>
      <w:r w:rsidR="00784CA5" w:rsidRPr="00784CA5">
        <w:t>10 June 2019</w:t>
      </w:r>
    </w:p>
    <w:p w14:paraId="7F0E40AD" w14:textId="77777777" w:rsidR="00310157" w:rsidRPr="002C4B5F" w:rsidRDefault="00310157" w:rsidP="000429F8">
      <w:pPr>
        <w:ind w:left="3402" w:hanging="3402"/>
      </w:pPr>
      <w:r w:rsidRPr="002C4B5F">
        <w:rPr>
          <w:rFonts w:eastAsiaTheme="majorEastAsia"/>
          <w:b/>
        </w:rPr>
        <w:t>Enquiries</w:t>
      </w:r>
      <w:r w:rsidRPr="002C4B5F">
        <w:tab/>
      </w:r>
      <w:r w:rsidR="009E4198">
        <w:t>customer.service@ecodev.vic.gov.au</w:t>
      </w:r>
    </w:p>
    <w:p w14:paraId="60D42601" w14:textId="77777777" w:rsidR="00310157" w:rsidRPr="002C4B5F" w:rsidRDefault="00310157" w:rsidP="000429F8">
      <w:pPr>
        <w:ind w:left="3402" w:hanging="3402"/>
      </w:pPr>
      <w:r w:rsidRPr="002C4B5F">
        <w:rPr>
          <w:rFonts w:eastAsiaTheme="majorEastAsia"/>
          <w:b/>
        </w:rPr>
        <w:sym w:font="Wingdings" w:char="F028"/>
      </w:r>
      <w:r w:rsidRPr="002C4B5F">
        <w:rPr>
          <w:rFonts w:eastAsiaTheme="majorEastAsia"/>
          <w:b/>
        </w:rPr>
        <w:t> Contact</w:t>
      </w:r>
      <w:r w:rsidRPr="002C4B5F">
        <w:tab/>
      </w:r>
      <w:r w:rsidR="009E4198">
        <w:t>136186</w:t>
      </w:r>
    </w:p>
    <w:p w14:paraId="45C2E9A0" w14:textId="3176DD0A" w:rsidR="00310157" w:rsidRPr="002C4B5F" w:rsidRDefault="00310157" w:rsidP="000429F8">
      <w:pPr>
        <w:ind w:left="3402" w:hanging="3402"/>
      </w:pPr>
      <w:r w:rsidRPr="002C4B5F">
        <w:rPr>
          <w:rFonts w:eastAsiaTheme="majorEastAsia"/>
          <w:b/>
        </w:rPr>
        <w:t>Approved by</w:t>
      </w:r>
      <w:r w:rsidRPr="002C4B5F">
        <w:tab/>
      </w:r>
      <w:r w:rsidR="00784CA5">
        <w:t>Minister for Resources</w:t>
      </w:r>
    </w:p>
    <w:p w14:paraId="6189833A" w14:textId="399D1650" w:rsidR="00962A11" w:rsidRPr="00714A49" w:rsidRDefault="0051554F" w:rsidP="00784CA5">
      <w:pPr>
        <w:pStyle w:val="DEDJTRPolicyH1"/>
        <w:numPr>
          <w:ilvl w:val="0"/>
          <w:numId w:val="17"/>
        </w:numPr>
      </w:pPr>
      <w:bookmarkStart w:id="4" w:name="_Toc12876521"/>
      <w:r>
        <w:t>Objectives</w:t>
      </w:r>
      <w:r w:rsidR="001D75C6">
        <w:t>,</w:t>
      </w:r>
      <w:r>
        <w:t xml:space="preserve"> Principles</w:t>
      </w:r>
      <w:r w:rsidR="001D75C6">
        <w:t xml:space="preserve"> and scope</w:t>
      </w:r>
      <w:bookmarkEnd w:id="4"/>
    </w:p>
    <w:p w14:paraId="737C3BAF" w14:textId="575E1D84" w:rsidR="002130A6" w:rsidRDefault="0051554F" w:rsidP="000429F8">
      <w:pPr>
        <w:pStyle w:val="enorm"/>
        <w:jc w:val="left"/>
        <w:rPr>
          <w:szCs w:val="22"/>
          <w:lang w:val="en-AU" w:eastAsia="en-AU"/>
        </w:rPr>
      </w:pPr>
      <w:r>
        <w:rPr>
          <w:szCs w:val="22"/>
          <w:lang w:val="en-AU" w:eastAsia="en-AU"/>
        </w:rPr>
        <w:t>This operational policy sets out</w:t>
      </w:r>
      <w:r w:rsidR="00004343">
        <w:rPr>
          <w:szCs w:val="22"/>
          <w:lang w:val="en-AU" w:eastAsia="en-AU"/>
        </w:rPr>
        <w:t xml:space="preserve"> the factors that will be considered in </w:t>
      </w:r>
      <w:r w:rsidR="00FF26D4">
        <w:rPr>
          <w:szCs w:val="22"/>
          <w:lang w:val="en-AU" w:eastAsia="en-AU"/>
        </w:rPr>
        <w:t>ranking</w:t>
      </w:r>
      <w:r w:rsidRPr="0051554F">
        <w:rPr>
          <w:szCs w:val="22"/>
          <w:lang w:val="en-AU" w:eastAsia="en-AU"/>
        </w:rPr>
        <w:t xml:space="preserve"> more than one </w:t>
      </w:r>
      <w:r w:rsidR="00CF179A">
        <w:rPr>
          <w:szCs w:val="22"/>
          <w:lang w:val="en-AU" w:eastAsia="en-AU"/>
        </w:rPr>
        <w:t xml:space="preserve">valid </w:t>
      </w:r>
      <w:r w:rsidRPr="0051554F">
        <w:rPr>
          <w:szCs w:val="22"/>
          <w:lang w:val="en-AU" w:eastAsia="en-AU"/>
        </w:rPr>
        <w:t>application for an exploration licence in respect of the same land</w:t>
      </w:r>
      <w:r w:rsidR="00FF26D4">
        <w:rPr>
          <w:szCs w:val="22"/>
          <w:lang w:val="en-AU" w:eastAsia="en-AU"/>
        </w:rPr>
        <w:t xml:space="preserve"> that</w:t>
      </w:r>
      <w:r w:rsidRPr="0051554F">
        <w:rPr>
          <w:szCs w:val="22"/>
          <w:lang w:val="en-AU" w:eastAsia="en-AU"/>
        </w:rPr>
        <w:t xml:space="preserve"> is received on the same day</w:t>
      </w:r>
      <w:r w:rsidR="00FF26D4">
        <w:rPr>
          <w:szCs w:val="22"/>
          <w:lang w:val="en-AU" w:eastAsia="en-AU"/>
        </w:rPr>
        <w:t xml:space="preserve">, under </w:t>
      </w:r>
      <w:r w:rsidRPr="0051554F">
        <w:rPr>
          <w:szCs w:val="22"/>
          <w:lang w:val="en-AU" w:eastAsia="en-AU"/>
        </w:rPr>
        <w:t xml:space="preserve">Section 23 of the </w:t>
      </w:r>
      <w:r w:rsidRPr="00290989">
        <w:rPr>
          <w:i/>
          <w:szCs w:val="22"/>
          <w:lang w:val="en-AU" w:eastAsia="en-AU"/>
        </w:rPr>
        <w:t>Mineral Resources (Sustainable Development) Act 1990</w:t>
      </w:r>
      <w:r w:rsidRPr="0051554F">
        <w:rPr>
          <w:szCs w:val="22"/>
          <w:lang w:val="en-AU" w:eastAsia="en-AU"/>
        </w:rPr>
        <w:t xml:space="preserve"> (MRSDA). </w:t>
      </w:r>
    </w:p>
    <w:p w14:paraId="000A8CD5" w14:textId="77777777" w:rsidR="00104E47" w:rsidRDefault="00104E47" w:rsidP="00D645DF">
      <w:pPr>
        <w:pStyle w:val="enorm"/>
        <w:spacing w:after="120"/>
        <w:rPr>
          <w:szCs w:val="22"/>
          <w:lang w:val="en-AU" w:eastAsia="en-AU"/>
        </w:rPr>
      </w:pPr>
      <w:r>
        <w:rPr>
          <w:szCs w:val="22"/>
          <w:lang w:val="en-AU" w:eastAsia="en-AU"/>
        </w:rPr>
        <w:t>The h</w:t>
      </w:r>
      <w:r w:rsidR="00D645DF" w:rsidRPr="00D645DF">
        <w:rPr>
          <w:szCs w:val="22"/>
          <w:lang w:val="en-AU" w:eastAsia="en-AU"/>
        </w:rPr>
        <w:t xml:space="preserve">ighest ranking must be given to the application that </w:t>
      </w:r>
      <w:r w:rsidR="00D645DF">
        <w:rPr>
          <w:szCs w:val="22"/>
          <w:lang w:val="en-AU" w:eastAsia="en-AU"/>
        </w:rPr>
        <w:t xml:space="preserve">the Minister </w:t>
      </w:r>
      <w:r>
        <w:rPr>
          <w:szCs w:val="22"/>
          <w:lang w:val="en-AU" w:eastAsia="en-AU"/>
        </w:rPr>
        <w:t xml:space="preserve">(or Ministerial delegate) </w:t>
      </w:r>
      <w:r w:rsidR="00D645DF">
        <w:rPr>
          <w:szCs w:val="22"/>
          <w:lang w:val="en-AU" w:eastAsia="en-AU"/>
        </w:rPr>
        <w:t xml:space="preserve">believes </w:t>
      </w:r>
      <w:r w:rsidR="00BA30D7" w:rsidRPr="00D645DF">
        <w:rPr>
          <w:szCs w:val="22"/>
          <w:lang w:val="en-AU" w:eastAsia="en-AU"/>
        </w:rPr>
        <w:t>best further</w:t>
      </w:r>
      <w:r w:rsidR="00D645DF">
        <w:rPr>
          <w:szCs w:val="22"/>
          <w:lang w:val="en-AU" w:eastAsia="en-AU"/>
        </w:rPr>
        <w:t>s</w:t>
      </w:r>
      <w:r w:rsidR="00BA30D7" w:rsidRPr="00D645DF">
        <w:rPr>
          <w:szCs w:val="22"/>
          <w:lang w:val="en-AU" w:eastAsia="en-AU"/>
        </w:rPr>
        <w:t xml:space="preserve"> the objectives of the MRSDA</w:t>
      </w:r>
      <w:r w:rsidR="00D645DF">
        <w:rPr>
          <w:szCs w:val="22"/>
          <w:lang w:val="en-AU" w:eastAsia="en-AU"/>
        </w:rPr>
        <w:t xml:space="preserve"> after considering</w:t>
      </w:r>
      <w:r>
        <w:rPr>
          <w:szCs w:val="22"/>
          <w:lang w:val="en-AU" w:eastAsia="en-AU"/>
        </w:rPr>
        <w:t>:</w:t>
      </w:r>
    </w:p>
    <w:p w14:paraId="2FC97C5B" w14:textId="77777777" w:rsidR="00104E47" w:rsidRDefault="00104E47" w:rsidP="0095760C">
      <w:pPr>
        <w:pStyle w:val="enorm"/>
        <w:numPr>
          <w:ilvl w:val="0"/>
          <w:numId w:val="6"/>
        </w:numPr>
        <w:spacing w:after="120"/>
        <w:ind w:left="426" w:hanging="426"/>
      </w:pPr>
      <w:r>
        <w:t>T</w:t>
      </w:r>
      <w:r w:rsidR="00D645DF" w:rsidRPr="00104E47">
        <w:t>he relative merits of the applications</w:t>
      </w:r>
      <w:r>
        <w:t>,</w:t>
      </w:r>
      <w:r w:rsidR="00D645DF" w:rsidRPr="00104E47">
        <w:t xml:space="preserve"> and</w:t>
      </w:r>
    </w:p>
    <w:p w14:paraId="5FB472A5" w14:textId="77777777" w:rsidR="0001216E" w:rsidRPr="00104E47" w:rsidRDefault="00104E47" w:rsidP="0095760C">
      <w:pPr>
        <w:pStyle w:val="enorm"/>
        <w:numPr>
          <w:ilvl w:val="0"/>
          <w:numId w:val="6"/>
        </w:numPr>
        <w:spacing w:after="120"/>
        <w:ind w:left="426" w:hanging="426"/>
      </w:pPr>
      <w:r>
        <w:t>T</w:t>
      </w:r>
      <w:r w:rsidR="00D645DF" w:rsidRPr="00104E47">
        <w:t>he likely ability of each applicant to</w:t>
      </w:r>
      <w:r w:rsidR="0001216E" w:rsidRPr="00104E47">
        <w:t xml:space="preserve"> meet the requirements specified in Section 15(6) of the MRSDA</w:t>
      </w:r>
      <w:r w:rsidR="00A74037">
        <w:t>, namely</w:t>
      </w:r>
      <w:r w:rsidR="0001216E" w:rsidRPr="00104E47">
        <w:t>:</w:t>
      </w:r>
    </w:p>
    <w:p w14:paraId="289F0546" w14:textId="77777777" w:rsidR="002739D4" w:rsidRPr="004311D7" w:rsidRDefault="002739D4" w:rsidP="0095760C">
      <w:pPr>
        <w:pStyle w:val="enorm"/>
        <w:numPr>
          <w:ilvl w:val="0"/>
          <w:numId w:val="7"/>
        </w:numPr>
        <w:spacing w:after="120"/>
      </w:pPr>
      <w:r>
        <w:t>g</w:t>
      </w:r>
      <w:r w:rsidRPr="0001216E">
        <w:t>enuine</w:t>
      </w:r>
      <w:r>
        <w:t>ly</w:t>
      </w:r>
      <w:r w:rsidRPr="0001216E">
        <w:t xml:space="preserve"> </w:t>
      </w:r>
      <w:r>
        <w:t>intend to undertake work</w:t>
      </w:r>
      <w:r w:rsidRPr="0001216E">
        <w:t xml:space="preserve"> </w:t>
      </w:r>
      <w:r>
        <w:t xml:space="preserve">with an appropriate program, </w:t>
      </w:r>
    </w:p>
    <w:p w14:paraId="779A2664" w14:textId="77777777" w:rsidR="0001216E" w:rsidRDefault="00104E47" w:rsidP="0095760C">
      <w:pPr>
        <w:pStyle w:val="enorm"/>
        <w:numPr>
          <w:ilvl w:val="0"/>
          <w:numId w:val="7"/>
        </w:numPr>
        <w:spacing w:after="120"/>
      </w:pPr>
      <w:r>
        <w:t>b</w:t>
      </w:r>
      <w:r w:rsidR="0001216E">
        <w:t xml:space="preserve">e a fit and proper person to hold a </w:t>
      </w:r>
      <w:proofErr w:type="spellStart"/>
      <w:r w:rsidR="0001216E">
        <w:t>licence</w:t>
      </w:r>
      <w:proofErr w:type="spellEnd"/>
      <w:r w:rsidR="0001216E">
        <w:t xml:space="preserve"> and intend to comply with the Act</w:t>
      </w:r>
      <w:r>
        <w:t>,</w:t>
      </w:r>
      <w:r w:rsidR="002739D4" w:rsidRPr="002739D4">
        <w:t xml:space="preserve"> </w:t>
      </w:r>
      <w:r w:rsidR="002739D4">
        <w:t>and</w:t>
      </w:r>
    </w:p>
    <w:p w14:paraId="6FBFD3F8" w14:textId="77777777" w:rsidR="0001216E" w:rsidRPr="0001216E" w:rsidRDefault="00A74037" w:rsidP="0095760C">
      <w:pPr>
        <w:pStyle w:val="enorm"/>
        <w:numPr>
          <w:ilvl w:val="0"/>
          <w:numId w:val="7"/>
        </w:numPr>
        <w:spacing w:after="120"/>
      </w:pPr>
      <w:r>
        <w:t>f</w:t>
      </w:r>
      <w:r w:rsidR="0001216E">
        <w:t xml:space="preserve">inance the proposed work and </w:t>
      </w:r>
      <w:r w:rsidR="002739D4">
        <w:t xml:space="preserve">site </w:t>
      </w:r>
      <w:r w:rsidR="0001216E">
        <w:t>rehabilitation.</w:t>
      </w:r>
    </w:p>
    <w:p w14:paraId="2D33C4DC" w14:textId="77777777" w:rsidR="00A74037" w:rsidRDefault="003F31CE" w:rsidP="00D645DF">
      <w:pPr>
        <w:pStyle w:val="enorm"/>
        <w:spacing w:after="120"/>
      </w:pPr>
      <w:r w:rsidRPr="00D645DF">
        <w:t xml:space="preserve">The overall objective </w:t>
      </w:r>
      <w:r w:rsidR="00371B3F" w:rsidRPr="00D645DF">
        <w:t xml:space="preserve">of this operational policy </w:t>
      </w:r>
      <w:r w:rsidR="00A74037">
        <w:t>is</w:t>
      </w:r>
      <w:r w:rsidRPr="00D645DF">
        <w:t xml:space="preserve"> to</w:t>
      </w:r>
      <w:r w:rsidR="00A74037">
        <w:t xml:space="preserve"> e</w:t>
      </w:r>
      <w:r w:rsidR="00A74037" w:rsidRPr="00D645DF">
        <w:t xml:space="preserve">nable </w:t>
      </w:r>
      <w:r w:rsidR="00A74037">
        <w:t>applicants</w:t>
      </w:r>
      <w:r w:rsidR="00A74037" w:rsidRPr="00D645DF">
        <w:t xml:space="preserve"> who demonstrate the </w:t>
      </w:r>
      <w:r w:rsidR="00A74037">
        <w:t>greatest</w:t>
      </w:r>
      <w:r w:rsidR="00A74037" w:rsidRPr="00D645DF">
        <w:t xml:space="preserve"> competency to conduct effective exploration programs to gain exclusive access to the State’s mineral resources</w:t>
      </w:r>
      <w:r w:rsidR="002739D4">
        <w:t>, which if su</w:t>
      </w:r>
      <w:r w:rsidR="00A74037" w:rsidRPr="00D645DF">
        <w:t>ccessful</w:t>
      </w:r>
      <w:r w:rsidR="00A74037">
        <w:t xml:space="preserve">, </w:t>
      </w:r>
      <w:r w:rsidR="002739D4" w:rsidRPr="00D645DF">
        <w:t>ha</w:t>
      </w:r>
      <w:r w:rsidR="002739D4">
        <w:t>ve</w:t>
      </w:r>
      <w:r w:rsidR="002739D4" w:rsidRPr="00D645DF">
        <w:t xml:space="preserve"> </w:t>
      </w:r>
      <w:r w:rsidR="002739D4">
        <w:t xml:space="preserve">the </w:t>
      </w:r>
      <w:r w:rsidR="002739D4" w:rsidRPr="00D645DF">
        <w:t>potential to generate investment and job opportunities, particularly in regional areas</w:t>
      </w:r>
      <w:r w:rsidR="002739D4">
        <w:t>.</w:t>
      </w:r>
    </w:p>
    <w:p w14:paraId="3613F7D3" w14:textId="77777777" w:rsidR="002739D4" w:rsidRDefault="002739D4" w:rsidP="00D645DF">
      <w:pPr>
        <w:pStyle w:val="enorm"/>
        <w:spacing w:after="120"/>
      </w:pPr>
      <w:r>
        <w:t xml:space="preserve">This operational policy also: </w:t>
      </w:r>
    </w:p>
    <w:p w14:paraId="37173391" w14:textId="77777777" w:rsidR="003E6AA6" w:rsidRPr="00D645DF" w:rsidRDefault="002739D4" w:rsidP="0095760C">
      <w:pPr>
        <w:pStyle w:val="enorm"/>
        <w:numPr>
          <w:ilvl w:val="0"/>
          <w:numId w:val="6"/>
        </w:numPr>
        <w:spacing w:after="120"/>
        <w:ind w:left="426" w:hanging="426"/>
      </w:pPr>
      <w:r>
        <w:t>Reaffirms</w:t>
      </w:r>
      <w:r w:rsidRPr="00D645DF">
        <w:t xml:space="preserve"> </w:t>
      </w:r>
      <w:r w:rsidR="003F31CE" w:rsidRPr="00D645DF">
        <w:t>assurance</w:t>
      </w:r>
      <w:r>
        <w:t>s</w:t>
      </w:r>
      <w:r w:rsidR="003F31CE" w:rsidRPr="00D645DF">
        <w:t xml:space="preserve"> for land holders, government and the wider community that operators </w:t>
      </w:r>
      <w:r w:rsidR="006D5A63" w:rsidRPr="00D645DF">
        <w:t xml:space="preserve">are likely to </w:t>
      </w:r>
      <w:r w:rsidR="00936DC9" w:rsidRPr="00D645DF">
        <w:t>fulfill</w:t>
      </w:r>
      <w:r w:rsidR="003F31CE" w:rsidRPr="00D645DF">
        <w:t xml:space="preserve"> their regulatory obligations and social responsibilities to protect people, land, infrastructure and the environment, </w:t>
      </w:r>
      <w:r w:rsidR="00254479" w:rsidRPr="00D645DF">
        <w:t xml:space="preserve">from the </w:t>
      </w:r>
      <w:r w:rsidR="00E86AC7" w:rsidRPr="00D645DF">
        <w:t>start of</w:t>
      </w:r>
      <w:r w:rsidR="003F31CE" w:rsidRPr="00D645DF">
        <w:t xml:space="preserve"> the</w:t>
      </w:r>
      <w:r w:rsidR="00012AAE" w:rsidRPr="00D645DF">
        <w:t xml:space="preserve"> </w:t>
      </w:r>
      <w:r w:rsidR="00241433" w:rsidRPr="00D645DF">
        <w:t xml:space="preserve">mining </w:t>
      </w:r>
      <w:r w:rsidR="003F31CE" w:rsidRPr="00D645DF">
        <w:t>life cycle</w:t>
      </w:r>
      <w:r w:rsidR="003E6AA6" w:rsidRPr="00D645DF">
        <w:t xml:space="preserve">, </w:t>
      </w:r>
      <w:r w:rsidR="003F31CE" w:rsidRPr="00D645DF">
        <w:t xml:space="preserve">and </w:t>
      </w:r>
    </w:p>
    <w:p w14:paraId="10221A52" w14:textId="77777777" w:rsidR="00D63171" w:rsidRPr="00D645DF" w:rsidRDefault="003E6AA6" w:rsidP="0095760C">
      <w:pPr>
        <w:pStyle w:val="enorm"/>
        <w:numPr>
          <w:ilvl w:val="0"/>
          <w:numId w:val="6"/>
        </w:numPr>
        <w:spacing w:after="120"/>
        <w:ind w:left="426" w:hanging="426"/>
      </w:pPr>
      <w:r w:rsidRPr="00D645DF">
        <w:t>Provide</w:t>
      </w:r>
      <w:r w:rsidR="002739D4">
        <w:t>s</w:t>
      </w:r>
      <w:r w:rsidRPr="00D645DF">
        <w:t xml:space="preserve"> upfront guidance to </w:t>
      </w:r>
      <w:r w:rsidR="00D645DF">
        <w:t>prospective</w:t>
      </w:r>
      <w:r w:rsidRPr="00D645DF">
        <w:t xml:space="preserve"> </w:t>
      </w:r>
      <w:proofErr w:type="spellStart"/>
      <w:r w:rsidRPr="00D645DF">
        <w:t>licence</w:t>
      </w:r>
      <w:proofErr w:type="spellEnd"/>
      <w:r w:rsidRPr="00D645DF">
        <w:t xml:space="preserve"> applicants on how all applications will be assessed in a transparent, fair and consistent way.</w:t>
      </w:r>
    </w:p>
    <w:p w14:paraId="07586AB3" w14:textId="270723EE" w:rsidR="0068049A" w:rsidRPr="002739D4" w:rsidRDefault="00104922" w:rsidP="000429F8">
      <w:pPr>
        <w:pStyle w:val="enorm"/>
        <w:jc w:val="left"/>
        <w:rPr>
          <w:szCs w:val="22"/>
          <w:lang w:val="en-AU" w:eastAsia="en-AU"/>
        </w:rPr>
      </w:pPr>
      <w:r>
        <w:rPr>
          <w:szCs w:val="22"/>
          <w:lang w:val="en-AU" w:eastAsia="en-AU"/>
        </w:rPr>
        <w:t>T</w:t>
      </w:r>
      <w:r w:rsidR="00C0760D">
        <w:rPr>
          <w:szCs w:val="22"/>
          <w:lang w:val="en-AU" w:eastAsia="en-AU"/>
        </w:rPr>
        <w:t>he following</w:t>
      </w:r>
      <w:r w:rsidR="00C0760D" w:rsidRPr="002739D4">
        <w:rPr>
          <w:szCs w:val="22"/>
          <w:lang w:val="en-AU" w:eastAsia="en-AU"/>
        </w:rPr>
        <w:t xml:space="preserve"> </w:t>
      </w:r>
      <w:bookmarkStart w:id="5" w:name="_Hlk6224949"/>
      <w:r w:rsidR="00C0760D" w:rsidRPr="002739D4">
        <w:rPr>
          <w:szCs w:val="22"/>
          <w:lang w:val="en-AU" w:eastAsia="en-AU"/>
        </w:rPr>
        <w:t>scalable components</w:t>
      </w:r>
      <w:r w:rsidR="00C0760D" w:rsidRPr="00C0760D">
        <w:rPr>
          <w:szCs w:val="22"/>
          <w:lang w:val="en-AU" w:eastAsia="en-AU"/>
        </w:rPr>
        <w:t xml:space="preserve"> </w:t>
      </w:r>
      <w:r w:rsidR="00C0760D">
        <w:rPr>
          <w:szCs w:val="22"/>
          <w:lang w:val="en-AU" w:eastAsia="en-AU"/>
        </w:rPr>
        <w:t xml:space="preserve">will be assessed and scored </w:t>
      </w:r>
      <w:bookmarkEnd w:id="5"/>
      <w:r w:rsidR="00C0760D">
        <w:rPr>
          <w:szCs w:val="22"/>
          <w:lang w:val="en-AU" w:eastAsia="en-AU"/>
        </w:rPr>
        <w:t xml:space="preserve">in considering </w:t>
      </w:r>
      <w:r w:rsidR="00D901AD">
        <w:rPr>
          <w:szCs w:val="22"/>
          <w:lang w:val="en-AU" w:eastAsia="en-AU"/>
        </w:rPr>
        <w:t xml:space="preserve">the relative merits </w:t>
      </w:r>
      <w:r w:rsidR="001D75C6">
        <w:rPr>
          <w:szCs w:val="22"/>
          <w:lang w:val="en-AU" w:eastAsia="en-AU"/>
        </w:rPr>
        <w:t xml:space="preserve">and appropriateness </w:t>
      </w:r>
      <w:r w:rsidR="00D901AD">
        <w:rPr>
          <w:szCs w:val="22"/>
          <w:lang w:val="en-AU" w:eastAsia="en-AU"/>
        </w:rPr>
        <w:t xml:space="preserve">of </w:t>
      </w:r>
      <w:r w:rsidR="0068049A" w:rsidRPr="002739D4">
        <w:rPr>
          <w:szCs w:val="22"/>
          <w:lang w:val="en-AU" w:eastAsia="en-AU"/>
        </w:rPr>
        <w:t xml:space="preserve">each competing applicant’s </w:t>
      </w:r>
      <w:r w:rsidR="00C0760D" w:rsidRPr="002739D4">
        <w:rPr>
          <w:szCs w:val="22"/>
          <w:lang w:val="en-AU" w:eastAsia="en-AU"/>
        </w:rPr>
        <w:t>propos</w:t>
      </w:r>
      <w:r w:rsidR="00C0760D">
        <w:rPr>
          <w:szCs w:val="22"/>
          <w:lang w:val="en-AU" w:eastAsia="en-AU"/>
        </w:rPr>
        <w:t>ed</w:t>
      </w:r>
      <w:r w:rsidR="00C0760D" w:rsidRPr="002739D4">
        <w:rPr>
          <w:szCs w:val="22"/>
          <w:lang w:val="en-AU" w:eastAsia="en-AU"/>
        </w:rPr>
        <w:t xml:space="preserve"> </w:t>
      </w:r>
      <w:r w:rsidR="002739D4">
        <w:rPr>
          <w:szCs w:val="22"/>
          <w:lang w:val="en-AU" w:eastAsia="en-AU"/>
        </w:rPr>
        <w:t xml:space="preserve">work </w:t>
      </w:r>
      <w:r w:rsidR="00C0760D">
        <w:rPr>
          <w:szCs w:val="22"/>
          <w:lang w:val="en-AU" w:eastAsia="en-AU"/>
        </w:rPr>
        <w:t>program</w:t>
      </w:r>
      <w:r>
        <w:rPr>
          <w:szCs w:val="22"/>
          <w:lang w:val="en-AU" w:eastAsia="en-AU"/>
        </w:rPr>
        <w:t>. Further details are</w:t>
      </w:r>
      <w:r w:rsidR="00C0760D">
        <w:rPr>
          <w:szCs w:val="22"/>
          <w:lang w:val="en-AU" w:eastAsia="en-AU"/>
        </w:rPr>
        <w:t xml:space="preserve"> </w:t>
      </w:r>
      <w:r w:rsidRPr="00B5171B">
        <w:rPr>
          <w:szCs w:val="22"/>
          <w:lang w:val="en-AU" w:eastAsia="en-AU"/>
        </w:rPr>
        <w:t xml:space="preserve">shown in </w:t>
      </w:r>
      <w:r>
        <w:rPr>
          <w:szCs w:val="22"/>
          <w:lang w:val="en-AU" w:eastAsia="en-AU"/>
        </w:rPr>
        <w:t>S</w:t>
      </w:r>
      <w:r w:rsidRPr="00B5171B">
        <w:rPr>
          <w:szCs w:val="22"/>
          <w:lang w:val="en-AU" w:eastAsia="en-AU"/>
        </w:rPr>
        <w:t xml:space="preserve">ection </w:t>
      </w:r>
      <w:r w:rsidR="00784CA5">
        <w:rPr>
          <w:szCs w:val="22"/>
          <w:lang w:val="en-AU" w:eastAsia="en-AU"/>
        </w:rPr>
        <w:t>2</w:t>
      </w:r>
      <w:r w:rsidRPr="00B5171B">
        <w:rPr>
          <w:szCs w:val="22"/>
          <w:lang w:val="en-AU" w:eastAsia="en-AU"/>
        </w:rPr>
        <w:t xml:space="preserve"> of this operational policy document</w:t>
      </w:r>
      <w:r>
        <w:rPr>
          <w:szCs w:val="22"/>
          <w:lang w:val="en-AU" w:eastAsia="en-AU"/>
        </w:rPr>
        <w:t>.</w:t>
      </w:r>
    </w:p>
    <w:p w14:paraId="6601FD43" w14:textId="77777777" w:rsidR="0068049A" w:rsidRPr="002739D4" w:rsidRDefault="00D34ED9" w:rsidP="0095760C">
      <w:pPr>
        <w:pStyle w:val="enorm"/>
        <w:numPr>
          <w:ilvl w:val="0"/>
          <w:numId w:val="6"/>
        </w:numPr>
        <w:spacing w:after="120"/>
        <w:ind w:left="426" w:hanging="426"/>
      </w:pPr>
      <w:r>
        <w:t>U</w:t>
      </w:r>
      <w:r w:rsidR="0068049A" w:rsidRPr="002739D4">
        <w:t>nderstanding of the prospective minerals in a geological setting,</w:t>
      </w:r>
    </w:p>
    <w:p w14:paraId="755DE1EE" w14:textId="77777777" w:rsidR="0068049A" w:rsidRPr="002739D4" w:rsidRDefault="00D34ED9" w:rsidP="0095760C">
      <w:pPr>
        <w:pStyle w:val="enorm"/>
        <w:numPr>
          <w:ilvl w:val="0"/>
          <w:numId w:val="6"/>
        </w:numPr>
        <w:spacing w:after="120"/>
        <w:ind w:left="426" w:hanging="426"/>
      </w:pPr>
      <w:r>
        <w:t>E</w:t>
      </w:r>
      <w:r w:rsidR="0068049A" w:rsidRPr="002739D4">
        <w:t>xploration activities and timetable relevant to the prospective minerals and geological setting,</w:t>
      </w:r>
    </w:p>
    <w:p w14:paraId="2DB16B90" w14:textId="77777777" w:rsidR="0068049A" w:rsidRPr="002739D4" w:rsidRDefault="00D34ED9" w:rsidP="0095760C">
      <w:pPr>
        <w:pStyle w:val="enorm"/>
        <w:numPr>
          <w:ilvl w:val="0"/>
          <w:numId w:val="6"/>
        </w:numPr>
        <w:spacing w:after="120"/>
        <w:ind w:left="426" w:hanging="426"/>
      </w:pPr>
      <w:r>
        <w:t>E</w:t>
      </w:r>
      <w:r w:rsidR="0068049A" w:rsidRPr="002739D4">
        <w:t xml:space="preserve">xploration team’s qualifications, expertise and experience relevant to the prospective minerals and geological setting, </w:t>
      </w:r>
    </w:p>
    <w:p w14:paraId="0A782FC9" w14:textId="77777777" w:rsidR="0068049A" w:rsidRPr="002739D4" w:rsidRDefault="00D34ED9" w:rsidP="0095760C">
      <w:pPr>
        <w:pStyle w:val="enorm"/>
        <w:numPr>
          <w:ilvl w:val="0"/>
          <w:numId w:val="6"/>
        </w:numPr>
        <w:spacing w:after="120"/>
        <w:ind w:left="426" w:hanging="426"/>
      </w:pPr>
      <w:r>
        <w:t>E</w:t>
      </w:r>
      <w:r w:rsidR="0068049A" w:rsidRPr="002739D4">
        <w:t>xpenditure commitments to deliver the exploration work program</w:t>
      </w:r>
      <w:r w:rsidR="00F92B5A">
        <w:t>, and</w:t>
      </w:r>
    </w:p>
    <w:p w14:paraId="3FCDD589" w14:textId="77777777" w:rsidR="003403A8" w:rsidRPr="002739D4" w:rsidRDefault="00D34ED9" w:rsidP="0095760C">
      <w:pPr>
        <w:pStyle w:val="enorm"/>
        <w:numPr>
          <w:ilvl w:val="0"/>
          <w:numId w:val="6"/>
        </w:numPr>
        <w:spacing w:after="120"/>
        <w:ind w:left="426" w:hanging="426"/>
      </w:pPr>
      <w:r>
        <w:t>I</w:t>
      </w:r>
      <w:r w:rsidR="00C0760D">
        <w:t>nterconnection with</w:t>
      </w:r>
      <w:r w:rsidR="00F92B5A">
        <w:t xml:space="preserve"> any </w:t>
      </w:r>
      <w:r w:rsidR="009F3A8A">
        <w:t xml:space="preserve">adjoining </w:t>
      </w:r>
      <w:r w:rsidR="003403A8" w:rsidRPr="002739D4">
        <w:t>min</w:t>
      </w:r>
      <w:r w:rsidR="00F92B5A">
        <w:t xml:space="preserve">ing activities conducted by the applicant under a current </w:t>
      </w:r>
      <w:proofErr w:type="spellStart"/>
      <w:r w:rsidR="00F92B5A">
        <w:t>licence</w:t>
      </w:r>
      <w:proofErr w:type="spellEnd"/>
      <w:r w:rsidR="00F92B5A">
        <w:t xml:space="preserve"> in a c</w:t>
      </w:r>
      <w:r w:rsidR="00F92B5A" w:rsidRPr="002739D4">
        <w:t>ontiguous</w:t>
      </w:r>
      <w:r w:rsidR="00F92B5A">
        <w:t xml:space="preserve"> </w:t>
      </w:r>
      <w:r w:rsidR="009F3A8A">
        <w:t xml:space="preserve">or likely contiguous </w:t>
      </w:r>
      <w:r w:rsidR="00F92B5A">
        <w:t>geological formation.</w:t>
      </w:r>
    </w:p>
    <w:p w14:paraId="4DAC33E4" w14:textId="3343A75B" w:rsidR="0068049A" w:rsidRDefault="00AB12E9" w:rsidP="000429F8">
      <w:pPr>
        <w:pStyle w:val="enorm"/>
        <w:jc w:val="left"/>
        <w:rPr>
          <w:szCs w:val="22"/>
          <w:lang w:val="en-AU" w:eastAsia="en-AU"/>
        </w:rPr>
      </w:pPr>
      <w:r>
        <w:rPr>
          <w:szCs w:val="22"/>
          <w:lang w:val="en-AU" w:eastAsia="en-AU"/>
        </w:rPr>
        <w:t xml:space="preserve">A range of other relevant factors that will be considered are shown in section </w:t>
      </w:r>
      <w:r w:rsidR="00784CA5">
        <w:rPr>
          <w:szCs w:val="22"/>
          <w:lang w:val="en-AU" w:eastAsia="en-AU"/>
        </w:rPr>
        <w:t>3</w:t>
      </w:r>
      <w:r>
        <w:rPr>
          <w:szCs w:val="22"/>
          <w:lang w:val="en-AU" w:eastAsia="en-AU"/>
        </w:rPr>
        <w:t xml:space="preserve"> of this operational policy document.</w:t>
      </w:r>
    </w:p>
    <w:p w14:paraId="624F92C9" w14:textId="77777777" w:rsidR="009A250A" w:rsidRDefault="009A250A" w:rsidP="009F3A8A">
      <w:pPr>
        <w:pStyle w:val="enorm"/>
        <w:jc w:val="left"/>
        <w:rPr>
          <w:szCs w:val="22"/>
          <w:lang w:val="en-AU" w:eastAsia="en-AU"/>
        </w:rPr>
      </w:pPr>
      <w:r w:rsidRPr="009F3A8A">
        <w:rPr>
          <w:szCs w:val="22"/>
          <w:lang w:val="en-AU" w:eastAsia="en-AU"/>
        </w:rPr>
        <w:lastRenderedPageBreak/>
        <w:t xml:space="preserve">The </w:t>
      </w:r>
      <w:r>
        <w:rPr>
          <w:szCs w:val="22"/>
          <w:lang w:val="en-AU" w:eastAsia="en-AU"/>
        </w:rPr>
        <w:t>overall</w:t>
      </w:r>
      <w:r w:rsidRPr="009F3A8A">
        <w:rPr>
          <w:szCs w:val="22"/>
          <w:lang w:val="en-AU" w:eastAsia="en-AU"/>
        </w:rPr>
        <w:t xml:space="preserve"> process </w:t>
      </w:r>
      <w:r>
        <w:rPr>
          <w:szCs w:val="22"/>
          <w:lang w:val="en-AU" w:eastAsia="en-AU"/>
        </w:rPr>
        <w:t xml:space="preserve">will be used to </w:t>
      </w:r>
      <w:r w:rsidRPr="009F3A8A">
        <w:rPr>
          <w:szCs w:val="22"/>
          <w:lang w:val="en-AU" w:eastAsia="en-AU"/>
        </w:rPr>
        <w:t xml:space="preserve">determine the highest ranked applicant for subsequent assessment </w:t>
      </w:r>
      <w:r>
        <w:rPr>
          <w:szCs w:val="22"/>
          <w:lang w:val="en-AU" w:eastAsia="en-AU"/>
        </w:rPr>
        <w:t>under</w:t>
      </w:r>
      <w:r w:rsidRPr="009F3A8A">
        <w:rPr>
          <w:szCs w:val="22"/>
          <w:lang w:val="en-AU" w:eastAsia="en-AU"/>
        </w:rPr>
        <w:t xml:space="preserve"> the relevant licensing requirements in the MRSDA</w:t>
      </w:r>
      <w:r>
        <w:rPr>
          <w:szCs w:val="22"/>
          <w:lang w:val="en-AU" w:eastAsia="en-AU"/>
        </w:rPr>
        <w:t xml:space="preserve">, </w:t>
      </w:r>
      <w:r w:rsidRPr="009F3A8A">
        <w:rPr>
          <w:szCs w:val="22"/>
          <w:lang w:val="en-AU" w:eastAsia="en-AU"/>
        </w:rPr>
        <w:t>without regard to anything contained in applications having a lower ranking</w:t>
      </w:r>
      <w:r>
        <w:rPr>
          <w:szCs w:val="22"/>
          <w:lang w:val="en-AU" w:eastAsia="en-AU"/>
        </w:rPr>
        <w:t xml:space="preserve">. </w:t>
      </w:r>
      <w:r w:rsidRPr="009F3A8A">
        <w:rPr>
          <w:szCs w:val="22"/>
          <w:lang w:val="en-AU" w:eastAsia="en-AU"/>
        </w:rPr>
        <w:t>The highest ranked application under Section 23 will not be automatically granted a licence.</w:t>
      </w:r>
    </w:p>
    <w:p w14:paraId="21BF0482" w14:textId="77777777" w:rsidR="008A0023" w:rsidRDefault="00CF179A" w:rsidP="0068049A">
      <w:pPr>
        <w:pStyle w:val="enorm"/>
        <w:jc w:val="left"/>
        <w:rPr>
          <w:szCs w:val="22"/>
          <w:lang w:val="en-AU" w:eastAsia="en-AU"/>
        </w:rPr>
      </w:pPr>
      <w:r>
        <w:t>The principles of competitive merit and procedural fairness will be applied in assessing competing applications.</w:t>
      </w:r>
      <w:r w:rsidR="008A0023" w:rsidRPr="008A0023">
        <w:rPr>
          <w:szCs w:val="22"/>
          <w:lang w:val="en-AU" w:eastAsia="en-AU"/>
        </w:rPr>
        <w:t xml:space="preserve"> </w:t>
      </w:r>
    </w:p>
    <w:p w14:paraId="381CC0C0" w14:textId="02E33235" w:rsidR="00323745" w:rsidRDefault="00323745" w:rsidP="0068049A">
      <w:pPr>
        <w:pStyle w:val="enorm"/>
        <w:jc w:val="left"/>
        <w:rPr>
          <w:szCs w:val="22"/>
          <w:lang w:val="en-AU" w:eastAsia="en-AU"/>
        </w:rPr>
      </w:pPr>
      <w:r>
        <w:rPr>
          <w:szCs w:val="22"/>
          <w:lang w:val="en-AU" w:eastAsia="en-AU"/>
        </w:rPr>
        <w:t xml:space="preserve">Extracts of the objectives, sustainability principles and sections of the MRSDA </w:t>
      </w:r>
      <w:r w:rsidR="000851A2">
        <w:rPr>
          <w:szCs w:val="22"/>
          <w:lang w:val="en-AU" w:eastAsia="en-AU"/>
        </w:rPr>
        <w:t xml:space="preserve">and Regulations </w:t>
      </w:r>
      <w:r>
        <w:rPr>
          <w:szCs w:val="22"/>
          <w:lang w:val="en-AU" w:eastAsia="en-AU"/>
        </w:rPr>
        <w:t xml:space="preserve">relevant to assessing competing licence applications are shown in </w:t>
      </w:r>
      <w:r w:rsidRPr="000851A2">
        <w:rPr>
          <w:szCs w:val="22"/>
          <w:lang w:val="en-AU" w:eastAsia="en-AU"/>
        </w:rPr>
        <w:t xml:space="preserve">Appendix </w:t>
      </w:r>
      <w:r w:rsidR="0008180B" w:rsidRPr="000851A2">
        <w:rPr>
          <w:szCs w:val="22"/>
          <w:lang w:val="en-AU" w:eastAsia="en-AU"/>
        </w:rPr>
        <w:t>A</w:t>
      </w:r>
      <w:r w:rsidRPr="000851A2">
        <w:rPr>
          <w:szCs w:val="22"/>
          <w:lang w:val="en-AU" w:eastAsia="en-AU"/>
        </w:rPr>
        <w:t>.</w:t>
      </w:r>
      <w:r>
        <w:rPr>
          <w:szCs w:val="22"/>
          <w:lang w:val="en-AU" w:eastAsia="en-AU"/>
        </w:rPr>
        <w:t xml:space="preserve"> </w:t>
      </w:r>
    </w:p>
    <w:p w14:paraId="6B3E3840" w14:textId="0C5D8B0C" w:rsidR="00440910" w:rsidRPr="000851A2" w:rsidRDefault="00440910" w:rsidP="000851A2">
      <w:pPr>
        <w:pStyle w:val="enorm"/>
        <w:pBdr>
          <w:top w:val="single" w:sz="4" w:space="1" w:color="auto"/>
          <w:left w:val="single" w:sz="4" w:space="4" w:color="auto"/>
          <w:bottom w:val="single" w:sz="4" w:space="1" w:color="auto"/>
          <w:right w:val="single" w:sz="4" w:space="4" w:color="auto"/>
        </w:pBdr>
        <w:jc w:val="left"/>
        <w:rPr>
          <w:i/>
          <w:szCs w:val="22"/>
          <w:lang w:val="en-AU" w:eastAsia="en-AU"/>
        </w:rPr>
      </w:pPr>
      <w:r w:rsidRPr="000851A2">
        <w:rPr>
          <w:i/>
          <w:szCs w:val="22"/>
          <w:lang w:val="en-AU" w:eastAsia="en-AU"/>
        </w:rPr>
        <w:t xml:space="preserve">This operational policy will be reviewed in consultation with industry participants following the assessment of several existing competing licence applications. Consultation to date has been limited to Earth Resources Regulation’s Stakeholder Reference Group to ensure the neutrality of the ranking process. </w:t>
      </w:r>
    </w:p>
    <w:p w14:paraId="421B5134" w14:textId="5995EC67" w:rsidR="00423CD4" w:rsidRDefault="00D901AD" w:rsidP="00784CA5">
      <w:pPr>
        <w:pStyle w:val="DEDJTRPolicyH1"/>
        <w:numPr>
          <w:ilvl w:val="0"/>
          <w:numId w:val="17"/>
        </w:numPr>
      </w:pPr>
      <w:bookmarkStart w:id="6" w:name="_Toc12876522"/>
      <w:r>
        <w:t xml:space="preserve">assessment of </w:t>
      </w:r>
      <w:r w:rsidR="00423CD4">
        <w:t>applicant’s prop</w:t>
      </w:r>
      <w:r w:rsidR="001D75C6">
        <w:t>osed</w:t>
      </w:r>
      <w:r w:rsidR="00423CD4">
        <w:t xml:space="preserve"> work program</w:t>
      </w:r>
      <w:bookmarkEnd w:id="6"/>
      <w:r w:rsidR="00D829C9" w:rsidRPr="00D901AD">
        <w:t xml:space="preserve"> </w:t>
      </w:r>
    </w:p>
    <w:p w14:paraId="2D070E5C" w14:textId="77777777" w:rsidR="002B7961" w:rsidRDefault="00423CD4" w:rsidP="00423CD4">
      <w:pPr>
        <w:pStyle w:val="enorm"/>
        <w:jc w:val="left"/>
        <w:rPr>
          <w:szCs w:val="22"/>
          <w:lang w:val="en-AU" w:eastAsia="en-AU"/>
        </w:rPr>
      </w:pPr>
      <w:r>
        <w:rPr>
          <w:szCs w:val="22"/>
          <w:lang w:val="en-AU" w:eastAsia="en-AU"/>
        </w:rPr>
        <w:t>The following</w:t>
      </w:r>
      <w:r w:rsidRPr="002739D4">
        <w:rPr>
          <w:szCs w:val="22"/>
          <w:lang w:val="en-AU" w:eastAsia="en-AU"/>
        </w:rPr>
        <w:t xml:space="preserve"> scalable components</w:t>
      </w:r>
      <w:r w:rsidRPr="00C0760D">
        <w:rPr>
          <w:szCs w:val="22"/>
          <w:lang w:val="en-AU" w:eastAsia="en-AU"/>
        </w:rPr>
        <w:t xml:space="preserve"> </w:t>
      </w:r>
      <w:r>
        <w:rPr>
          <w:szCs w:val="22"/>
          <w:lang w:val="en-AU" w:eastAsia="en-AU"/>
        </w:rPr>
        <w:t xml:space="preserve">will be assessed and scored in considering the relative merits of </w:t>
      </w:r>
      <w:r w:rsidRPr="002739D4">
        <w:rPr>
          <w:szCs w:val="22"/>
          <w:lang w:val="en-AU" w:eastAsia="en-AU"/>
        </w:rPr>
        <w:t>each competing applicant’s propos</w:t>
      </w:r>
      <w:r>
        <w:rPr>
          <w:szCs w:val="22"/>
          <w:lang w:val="en-AU" w:eastAsia="en-AU"/>
        </w:rPr>
        <w:t>ed</w:t>
      </w:r>
      <w:r w:rsidRPr="002739D4">
        <w:rPr>
          <w:szCs w:val="22"/>
          <w:lang w:val="en-AU" w:eastAsia="en-AU"/>
        </w:rPr>
        <w:t xml:space="preserve"> </w:t>
      </w:r>
      <w:r>
        <w:rPr>
          <w:szCs w:val="22"/>
          <w:lang w:val="en-AU" w:eastAsia="en-AU"/>
        </w:rPr>
        <w:t>work program</w:t>
      </w:r>
      <w:r w:rsidR="008C10FC">
        <w:rPr>
          <w:szCs w:val="22"/>
          <w:lang w:val="en-AU" w:eastAsia="en-AU"/>
        </w:rPr>
        <w:t>, within the context of the prevailing subordinate Regulations</w:t>
      </w:r>
      <w:r>
        <w:rPr>
          <w:szCs w:val="22"/>
          <w:lang w:val="en-AU" w:eastAsia="en-AU"/>
        </w:rPr>
        <w:t xml:space="preserve">. </w:t>
      </w:r>
    </w:p>
    <w:p w14:paraId="02BEAA6E" w14:textId="77777777" w:rsidR="00423CD4" w:rsidRDefault="002B7961" w:rsidP="00423CD4">
      <w:pPr>
        <w:pStyle w:val="enorm"/>
        <w:jc w:val="left"/>
        <w:rPr>
          <w:szCs w:val="22"/>
          <w:lang w:val="en-AU" w:eastAsia="en-AU"/>
        </w:rPr>
      </w:pPr>
      <w:r>
        <w:rPr>
          <w:szCs w:val="22"/>
          <w:lang w:val="en-AU" w:eastAsia="en-AU"/>
        </w:rPr>
        <w:t xml:space="preserve">General descriptions and examples are provided to characterise and score each component, as guidance for applicants. The descriptions are not </w:t>
      </w:r>
      <w:proofErr w:type="gramStart"/>
      <w:r>
        <w:rPr>
          <w:szCs w:val="22"/>
          <w:lang w:val="en-AU" w:eastAsia="en-AU"/>
        </w:rPr>
        <w:t>exclusive</w:t>
      </w:r>
      <w:proofErr w:type="gramEnd"/>
      <w:r>
        <w:rPr>
          <w:szCs w:val="22"/>
          <w:lang w:val="en-AU" w:eastAsia="en-AU"/>
        </w:rPr>
        <w:t xml:space="preserve"> and applicants </w:t>
      </w:r>
      <w:r w:rsidR="00C97F6C">
        <w:rPr>
          <w:szCs w:val="22"/>
          <w:lang w:val="en-AU" w:eastAsia="en-AU"/>
        </w:rPr>
        <w:t xml:space="preserve">can propose other appropriate work. </w:t>
      </w:r>
      <w:r>
        <w:rPr>
          <w:szCs w:val="22"/>
          <w:lang w:val="en-AU" w:eastAsia="en-AU"/>
        </w:rPr>
        <w:t xml:space="preserve">Work activities that are comparable with each description </w:t>
      </w:r>
      <w:r w:rsidR="00C97F6C">
        <w:rPr>
          <w:szCs w:val="22"/>
          <w:lang w:val="en-AU" w:eastAsia="en-AU"/>
        </w:rPr>
        <w:t xml:space="preserve">and example provided below </w:t>
      </w:r>
      <w:r>
        <w:rPr>
          <w:szCs w:val="22"/>
          <w:lang w:val="en-AU" w:eastAsia="en-AU"/>
        </w:rPr>
        <w:t>will be assessed and scored accordingly.</w:t>
      </w:r>
    </w:p>
    <w:p w14:paraId="09E19322" w14:textId="6F237D2A" w:rsidR="00423CD4" w:rsidRPr="00423CD4" w:rsidRDefault="00B5171B" w:rsidP="000851A2">
      <w:pPr>
        <w:pStyle w:val="bodyCopy"/>
      </w:pPr>
      <w:r>
        <w:rPr>
          <w:rFonts w:asciiTheme="majorHAnsi" w:hAnsiTheme="majorHAnsi" w:cstheme="majorHAnsi"/>
          <w:color w:val="auto"/>
          <w:sz w:val="20"/>
        </w:rPr>
        <w:t>In general, the more advanced the proposed work program</w:t>
      </w:r>
      <w:r w:rsidRPr="00CC3DB6">
        <w:rPr>
          <w:rFonts w:asciiTheme="majorHAnsi" w:hAnsiTheme="majorHAnsi" w:cstheme="majorHAnsi"/>
          <w:color w:val="auto"/>
          <w:sz w:val="20"/>
        </w:rPr>
        <w:t>, the higher the applicant will score in the assessment process.</w:t>
      </w:r>
    </w:p>
    <w:tbl>
      <w:tblPr>
        <w:tblW w:w="9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0"/>
        <w:gridCol w:w="2700"/>
      </w:tblGrid>
      <w:tr w:rsidR="002B7961" w:rsidRPr="00B5171B" w14:paraId="4D401F74" w14:textId="77777777" w:rsidTr="00B5171B">
        <w:trPr>
          <w:trHeight w:val="270"/>
        </w:trPr>
        <w:tc>
          <w:tcPr>
            <w:tcW w:w="6380" w:type="dxa"/>
            <w:shd w:val="clear" w:color="auto" w:fill="85C8FF" w:themeFill="accent1" w:themeFillTint="66"/>
            <w:noWrap/>
            <w:vAlign w:val="center"/>
            <w:hideMark/>
          </w:tcPr>
          <w:p w14:paraId="2DD640C4" w14:textId="77777777" w:rsidR="002B7961" w:rsidRPr="00B5171B" w:rsidRDefault="002B7961" w:rsidP="00B5171B">
            <w:pPr>
              <w:spacing w:before="0" w:after="0"/>
              <w:rPr>
                <w:b/>
                <w:color w:val="auto"/>
                <w:szCs w:val="20"/>
              </w:rPr>
            </w:pPr>
            <w:r w:rsidRPr="00E47905">
              <w:rPr>
                <w:b/>
                <w:color w:val="auto"/>
                <w:szCs w:val="20"/>
              </w:rPr>
              <w:t xml:space="preserve">Geological Rationale and </w:t>
            </w:r>
            <w:r w:rsidRPr="00B5171B">
              <w:rPr>
                <w:b/>
                <w:color w:val="auto"/>
                <w:szCs w:val="20"/>
              </w:rPr>
              <w:t xml:space="preserve">Mineral </w:t>
            </w:r>
            <w:r w:rsidRPr="00E47905">
              <w:rPr>
                <w:b/>
                <w:color w:val="auto"/>
                <w:szCs w:val="20"/>
              </w:rPr>
              <w:t>Targets</w:t>
            </w:r>
          </w:p>
          <w:p w14:paraId="0F7F68A3" w14:textId="77777777" w:rsidR="002B7961" w:rsidRPr="00E47905" w:rsidRDefault="002B7961" w:rsidP="00B5171B">
            <w:pPr>
              <w:spacing w:before="0" w:after="0"/>
              <w:jc w:val="center"/>
              <w:rPr>
                <w:b/>
                <w:color w:val="auto"/>
                <w:szCs w:val="20"/>
              </w:rPr>
            </w:pPr>
          </w:p>
        </w:tc>
        <w:tc>
          <w:tcPr>
            <w:tcW w:w="2700" w:type="dxa"/>
            <w:shd w:val="clear" w:color="auto" w:fill="85C8FF" w:themeFill="accent1" w:themeFillTint="66"/>
            <w:vAlign w:val="center"/>
            <w:hideMark/>
          </w:tcPr>
          <w:p w14:paraId="25DDE8FE" w14:textId="77777777" w:rsidR="002B7961" w:rsidRPr="00E47905" w:rsidRDefault="002B7961" w:rsidP="00E47905">
            <w:pPr>
              <w:spacing w:before="0" w:after="0"/>
              <w:jc w:val="center"/>
              <w:rPr>
                <w:b/>
                <w:color w:val="auto"/>
                <w:szCs w:val="20"/>
              </w:rPr>
            </w:pPr>
            <w:r w:rsidRPr="00B67C5E">
              <w:rPr>
                <w:b/>
                <w:color w:val="auto"/>
                <w:szCs w:val="20"/>
              </w:rPr>
              <w:t>Score</w:t>
            </w:r>
            <w:r w:rsidRPr="00E47905">
              <w:rPr>
                <w:b/>
                <w:color w:val="auto"/>
                <w:szCs w:val="20"/>
              </w:rPr>
              <w:t> </w:t>
            </w:r>
          </w:p>
        </w:tc>
      </w:tr>
      <w:tr w:rsidR="00C97F6C" w:rsidRPr="00B67C5E" w14:paraId="0AED3B1B" w14:textId="77777777" w:rsidTr="00FA70B1">
        <w:trPr>
          <w:trHeight w:val="3109"/>
        </w:trPr>
        <w:tc>
          <w:tcPr>
            <w:tcW w:w="6380" w:type="dxa"/>
            <w:shd w:val="clear" w:color="auto" w:fill="auto"/>
            <w:hideMark/>
          </w:tcPr>
          <w:p w14:paraId="0D78DEB7" w14:textId="0C321DF5" w:rsidR="00C97F6C" w:rsidRPr="00B67C5E" w:rsidRDefault="002B7961" w:rsidP="00E47905">
            <w:pPr>
              <w:spacing w:before="0" w:after="0"/>
              <w:rPr>
                <w:iCs/>
                <w:color w:val="auto"/>
                <w:szCs w:val="20"/>
              </w:rPr>
            </w:pPr>
            <w:r w:rsidRPr="00E47905">
              <w:rPr>
                <w:iCs/>
                <w:color w:val="auto"/>
                <w:szCs w:val="20"/>
              </w:rPr>
              <w:t xml:space="preserve">Rate the applicant's description </w:t>
            </w:r>
            <w:r w:rsidR="007D7A49">
              <w:rPr>
                <w:iCs/>
                <w:color w:val="auto"/>
                <w:szCs w:val="20"/>
              </w:rPr>
              <w:t xml:space="preserve">and rationale for </w:t>
            </w:r>
            <w:r w:rsidRPr="00E47905">
              <w:rPr>
                <w:iCs/>
                <w:color w:val="auto"/>
                <w:szCs w:val="20"/>
              </w:rPr>
              <w:t xml:space="preserve">the mineral targets they are trying to </w:t>
            </w:r>
            <w:r w:rsidR="00C97F6C" w:rsidRPr="00B67C5E">
              <w:rPr>
                <w:iCs/>
                <w:color w:val="auto"/>
                <w:szCs w:val="20"/>
              </w:rPr>
              <w:t>discover</w:t>
            </w:r>
            <w:r w:rsidRPr="00E47905">
              <w:rPr>
                <w:iCs/>
                <w:color w:val="auto"/>
                <w:szCs w:val="20"/>
              </w:rPr>
              <w:t>,</w:t>
            </w:r>
            <w:r w:rsidR="00C97F6C" w:rsidRPr="00B67C5E">
              <w:rPr>
                <w:iCs/>
                <w:color w:val="auto"/>
                <w:szCs w:val="20"/>
              </w:rPr>
              <w:t xml:space="preserve"> which may</w:t>
            </w:r>
            <w:r w:rsidRPr="00E47905">
              <w:rPr>
                <w:iCs/>
                <w:color w:val="auto"/>
                <w:szCs w:val="20"/>
              </w:rPr>
              <w:t xml:space="preserve"> include the type of mineral, the style of mineralisation and the host rock.</w:t>
            </w:r>
          </w:p>
          <w:p w14:paraId="7104DD68" w14:textId="77777777" w:rsidR="00C97F6C" w:rsidRPr="00B67C5E" w:rsidRDefault="002B7961" w:rsidP="00E47905">
            <w:pPr>
              <w:spacing w:before="0" w:after="0"/>
              <w:rPr>
                <w:iCs/>
                <w:color w:val="auto"/>
                <w:szCs w:val="20"/>
              </w:rPr>
            </w:pPr>
            <w:r w:rsidRPr="00E47905">
              <w:rPr>
                <w:iCs/>
                <w:color w:val="auto"/>
                <w:szCs w:val="20"/>
              </w:rPr>
              <w:br/>
            </w:r>
            <w:r w:rsidRPr="00E47905">
              <w:rPr>
                <w:b/>
                <w:bCs/>
                <w:iCs/>
                <w:color w:val="auto"/>
                <w:szCs w:val="20"/>
              </w:rPr>
              <w:t>Basic</w:t>
            </w:r>
            <w:r w:rsidR="00C97F6C" w:rsidRPr="00B67C5E">
              <w:rPr>
                <w:b/>
                <w:bCs/>
                <w:iCs/>
                <w:color w:val="auto"/>
                <w:szCs w:val="20"/>
              </w:rPr>
              <w:t xml:space="preserve"> – </w:t>
            </w:r>
            <w:r w:rsidR="00C97F6C" w:rsidRPr="00B67C5E">
              <w:rPr>
                <w:bCs/>
                <w:iCs/>
                <w:color w:val="auto"/>
                <w:szCs w:val="20"/>
              </w:rPr>
              <w:t>explanation</w:t>
            </w:r>
            <w:r w:rsidR="00C97F6C" w:rsidRPr="00B67C5E">
              <w:rPr>
                <w:b/>
                <w:bCs/>
                <w:iCs/>
                <w:color w:val="auto"/>
                <w:szCs w:val="20"/>
              </w:rPr>
              <w:t xml:space="preserve"> </w:t>
            </w:r>
            <w:r w:rsidR="00C97F6C" w:rsidRPr="00B67C5E">
              <w:rPr>
                <w:bCs/>
                <w:iCs/>
                <w:color w:val="auto"/>
                <w:szCs w:val="20"/>
              </w:rPr>
              <w:t>b</w:t>
            </w:r>
            <w:r w:rsidRPr="00E47905">
              <w:rPr>
                <w:iCs/>
                <w:color w:val="auto"/>
                <w:szCs w:val="20"/>
              </w:rPr>
              <w:t>ased on previous/historic mining and or exploration activity in the area</w:t>
            </w:r>
          </w:p>
          <w:p w14:paraId="62AED132" w14:textId="77777777" w:rsidR="00C97F6C" w:rsidRPr="00B67C5E" w:rsidRDefault="002B7961" w:rsidP="00E47905">
            <w:pPr>
              <w:spacing w:before="0" w:after="0"/>
              <w:rPr>
                <w:iCs/>
                <w:color w:val="auto"/>
                <w:szCs w:val="20"/>
              </w:rPr>
            </w:pPr>
            <w:r w:rsidRPr="00E47905">
              <w:rPr>
                <w:iCs/>
                <w:color w:val="auto"/>
                <w:szCs w:val="20"/>
              </w:rPr>
              <w:br/>
            </w:r>
            <w:r w:rsidRPr="00E47905">
              <w:rPr>
                <w:b/>
                <w:bCs/>
                <w:iCs/>
                <w:color w:val="auto"/>
                <w:szCs w:val="20"/>
              </w:rPr>
              <w:t>Standard</w:t>
            </w:r>
            <w:r w:rsidRPr="00E47905">
              <w:rPr>
                <w:iCs/>
                <w:color w:val="auto"/>
                <w:szCs w:val="20"/>
              </w:rPr>
              <w:t xml:space="preserve"> </w:t>
            </w:r>
            <w:r w:rsidR="00C97F6C" w:rsidRPr="00B67C5E">
              <w:rPr>
                <w:iCs/>
                <w:color w:val="auto"/>
                <w:szCs w:val="20"/>
              </w:rPr>
              <w:t>– explanation i</w:t>
            </w:r>
            <w:r w:rsidRPr="00E47905">
              <w:rPr>
                <w:iCs/>
                <w:color w:val="auto"/>
                <w:szCs w:val="20"/>
              </w:rPr>
              <w:t>ncludes geophysical structural interpretation, relationships to known deposit styles</w:t>
            </w:r>
          </w:p>
          <w:p w14:paraId="679C5316" w14:textId="77777777" w:rsidR="002B7961" w:rsidRPr="00E47905" w:rsidRDefault="002B7961" w:rsidP="00E47905">
            <w:pPr>
              <w:spacing w:before="0" w:after="0"/>
              <w:rPr>
                <w:iCs/>
                <w:color w:val="auto"/>
                <w:szCs w:val="20"/>
              </w:rPr>
            </w:pPr>
            <w:r w:rsidRPr="00E47905">
              <w:rPr>
                <w:iCs/>
                <w:color w:val="auto"/>
                <w:szCs w:val="20"/>
              </w:rPr>
              <w:br/>
            </w:r>
            <w:r w:rsidRPr="00E47905">
              <w:rPr>
                <w:b/>
                <w:bCs/>
                <w:iCs/>
                <w:color w:val="auto"/>
                <w:szCs w:val="20"/>
              </w:rPr>
              <w:t>Advanced</w:t>
            </w:r>
            <w:r w:rsidRPr="00E47905">
              <w:rPr>
                <w:iCs/>
                <w:color w:val="auto"/>
                <w:szCs w:val="20"/>
              </w:rPr>
              <w:t xml:space="preserve"> </w:t>
            </w:r>
            <w:r w:rsidR="00B67C5E" w:rsidRPr="00B67C5E">
              <w:rPr>
                <w:iCs/>
                <w:color w:val="auto"/>
                <w:szCs w:val="20"/>
              </w:rPr>
              <w:t>– explanation i</w:t>
            </w:r>
            <w:r w:rsidRPr="00E47905">
              <w:rPr>
                <w:iCs/>
                <w:color w:val="auto"/>
                <w:szCs w:val="20"/>
              </w:rPr>
              <w:t xml:space="preserve">ncludes detailed geological rationale, interpretation of multiple geophysical datasets, </w:t>
            </w:r>
            <w:r w:rsidR="00B67C5E" w:rsidRPr="00B67C5E">
              <w:rPr>
                <w:iCs/>
                <w:color w:val="auto"/>
                <w:szCs w:val="20"/>
              </w:rPr>
              <w:t>clear</w:t>
            </w:r>
            <w:r w:rsidRPr="00E47905">
              <w:rPr>
                <w:iCs/>
                <w:color w:val="auto"/>
                <w:szCs w:val="20"/>
              </w:rPr>
              <w:t xml:space="preserve"> understanding of geological setting and mineralisation styles of </w:t>
            </w:r>
            <w:r w:rsidR="00B67C5E" w:rsidRPr="00B67C5E">
              <w:rPr>
                <w:iCs/>
                <w:color w:val="auto"/>
                <w:szCs w:val="20"/>
              </w:rPr>
              <w:t>geological province</w:t>
            </w:r>
          </w:p>
        </w:tc>
        <w:tc>
          <w:tcPr>
            <w:tcW w:w="2700" w:type="dxa"/>
            <w:shd w:val="clear" w:color="auto" w:fill="FFFFFF" w:themeFill="background1"/>
            <w:vAlign w:val="center"/>
            <w:hideMark/>
          </w:tcPr>
          <w:p w14:paraId="732C70B8" w14:textId="3E757E3B" w:rsidR="002B7961" w:rsidRPr="00E47905" w:rsidRDefault="002B7961" w:rsidP="00E47905">
            <w:pPr>
              <w:spacing w:before="0" w:after="0"/>
              <w:jc w:val="center"/>
              <w:rPr>
                <w:color w:val="auto"/>
                <w:szCs w:val="20"/>
              </w:rPr>
            </w:pPr>
            <w:r w:rsidRPr="00E47905">
              <w:rPr>
                <w:color w:val="auto"/>
                <w:szCs w:val="20"/>
              </w:rPr>
              <w:t>None =</w:t>
            </w:r>
            <w:r w:rsidR="00FA70B1">
              <w:rPr>
                <w:color w:val="auto"/>
                <w:szCs w:val="20"/>
              </w:rPr>
              <w:t xml:space="preserve"> </w:t>
            </w:r>
            <w:r w:rsidRPr="00E47905">
              <w:rPr>
                <w:color w:val="auto"/>
                <w:szCs w:val="20"/>
              </w:rPr>
              <w:t>0</w:t>
            </w:r>
            <w:r w:rsidRPr="00E47905">
              <w:rPr>
                <w:color w:val="auto"/>
                <w:szCs w:val="20"/>
              </w:rPr>
              <w:br/>
              <w:t>Basic =</w:t>
            </w:r>
            <w:r w:rsidR="00FA70B1">
              <w:rPr>
                <w:color w:val="auto"/>
                <w:szCs w:val="20"/>
              </w:rPr>
              <w:t xml:space="preserve"> 5</w:t>
            </w:r>
            <w:r w:rsidRPr="00E47905">
              <w:rPr>
                <w:color w:val="auto"/>
                <w:szCs w:val="20"/>
              </w:rPr>
              <w:br/>
              <w:t xml:space="preserve">Standard = </w:t>
            </w:r>
            <w:r w:rsidR="00FA70B1">
              <w:rPr>
                <w:color w:val="auto"/>
                <w:szCs w:val="20"/>
              </w:rPr>
              <w:t>10</w:t>
            </w:r>
            <w:r w:rsidRPr="00E47905">
              <w:rPr>
                <w:color w:val="auto"/>
                <w:szCs w:val="20"/>
              </w:rPr>
              <w:br/>
              <w:t xml:space="preserve">Advanced = </w:t>
            </w:r>
            <w:r w:rsidR="00FA70B1">
              <w:rPr>
                <w:color w:val="auto"/>
                <w:szCs w:val="20"/>
              </w:rPr>
              <w:t>20</w:t>
            </w:r>
          </w:p>
        </w:tc>
      </w:tr>
      <w:tr w:rsidR="00B5171B" w:rsidRPr="00B5171B" w14:paraId="4CC21F3B" w14:textId="77777777" w:rsidTr="00B5171B">
        <w:trPr>
          <w:trHeight w:val="270"/>
        </w:trPr>
        <w:tc>
          <w:tcPr>
            <w:tcW w:w="6380" w:type="dxa"/>
            <w:shd w:val="clear" w:color="auto" w:fill="85C8FF" w:themeFill="accent1" w:themeFillTint="66"/>
            <w:vAlign w:val="center"/>
            <w:hideMark/>
          </w:tcPr>
          <w:p w14:paraId="4A0142D0" w14:textId="77777777" w:rsidR="00B5171B" w:rsidRPr="00E47905" w:rsidRDefault="00B5171B" w:rsidP="00B5171B">
            <w:pPr>
              <w:spacing w:before="0" w:after="0"/>
              <w:rPr>
                <w:b/>
                <w:color w:val="auto"/>
                <w:szCs w:val="20"/>
              </w:rPr>
            </w:pPr>
            <w:r w:rsidRPr="00E47905">
              <w:rPr>
                <w:b/>
                <w:color w:val="auto"/>
                <w:szCs w:val="20"/>
              </w:rPr>
              <w:t>Nature of work to be undertaken</w:t>
            </w:r>
          </w:p>
        </w:tc>
        <w:tc>
          <w:tcPr>
            <w:tcW w:w="2700" w:type="dxa"/>
            <w:shd w:val="clear" w:color="auto" w:fill="85C8FF" w:themeFill="accent1" w:themeFillTint="66"/>
            <w:vAlign w:val="center"/>
            <w:hideMark/>
          </w:tcPr>
          <w:p w14:paraId="2D6D14C2" w14:textId="77777777" w:rsidR="00B5171B" w:rsidRPr="00E47905" w:rsidRDefault="00B5171B" w:rsidP="00B5171B">
            <w:pPr>
              <w:spacing w:before="0" w:after="0"/>
              <w:jc w:val="center"/>
              <w:rPr>
                <w:b/>
                <w:color w:val="auto"/>
                <w:szCs w:val="20"/>
              </w:rPr>
            </w:pPr>
            <w:r>
              <w:rPr>
                <w:b/>
                <w:color w:val="auto"/>
                <w:szCs w:val="20"/>
              </w:rPr>
              <w:t>Score</w:t>
            </w:r>
          </w:p>
        </w:tc>
      </w:tr>
      <w:tr w:rsidR="00B5171B" w:rsidRPr="00B67C5E" w14:paraId="79A56CF0" w14:textId="77777777" w:rsidTr="00FA70B1">
        <w:trPr>
          <w:trHeight w:val="2466"/>
        </w:trPr>
        <w:tc>
          <w:tcPr>
            <w:tcW w:w="6380" w:type="dxa"/>
            <w:shd w:val="clear" w:color="auto" w:fill="FFFFFF" w:themeFill="background1"/>
            <w:hideMark/>
          </w:tcPr>
          <w:p w14:paraId="4E350295" w14:textId="77777777" w:rsidR="00B5171B" w:rsidRPr="00A051EE" w:rsidRDefault="00B5171B" w:rsidP="00B5171B">
            <w:pPr>
              <w:spacing w:before="0" w:after="0"/>
              <w:rPr>
                <w:bCs/>
                <w:iCs/>
                <w:color w:val="auto"/>
                <w:szCs w:val="20"/>
              </w:rPr>
            </w:pPr>
            <w:r w:rsidRPr="00E47905">
              <w:rPr>
                <w:bCs/>
                <w:iCs/>
                <w:color w:val="auto"/>
                <w:szCs w:val="20"/>
              </w:rPr>
              <w:t>Rate the office</w:t>
            </w:r>
            <w:r>
              <w:rPr>
                <w:bCs/>
                <w:iCs/>
                <w:color w:val="auto"/>
                <w:szCs w:val="20"/>
              </w:rPr>
              <w:t>-</w:t>
            </w:r>
            <w:r w:rsidRPr="00E47905">
              <w:rPr>
                <w:bCs/>
                <w:iCs/>
                <w:color w:val="auto"/>
                <w:szCs w:val="20"/>
              </w:rPr>
              <w:t>based activities</w:t>
            </w:r>
            <w:r w:rsidRPr="00A051EE">
              <w:rPr>
                <w:bCs/>
                <w:iCs/>
                <w:color w:val="auto"/>
                <w:szCs w:val="20"/>
              </w:rPr>
              <w:t xml:space="preserve"> </w:t>
            </w:r>
            <w:r>
              <w:rPr>
                <w:bCs/>
                <w:iCs/>
                <w:color w:val="auto"/>
                <w:szCs w:val="20"/>
              </w:rPr>
              <w:t>in</w:t>
            </w:r>
            <w:r w:rsidRPr="00E47905">
              <w:rPr>
                <w:bCs/>
                <w:iCs/>
                <w:color w:val="auto"/>
                <w:szCs w:val="20"/>
              </w:rPr>
              <w:t xml:space="preserve"> the proposed program of work for each year </w:t>
            </w:r>
            <w:r w:rsidRPr="00E47905">
              <w:rPr>
                <w:bCs/>
                <w:iCs/>
                <w:color w:val="auto"/>
                <w:szCs w:val="20"/>
              </w:rPr>
              <w:br/>
            </w:r>
          </w:p>
          <w:p w14:paraId="62B0FA66" w14:textId="62331988" w:rsidR="00B5171B" w:rsidRDefault="00B5171B" w:rsidP="00B5171B">
            <w:pPr>
              <w:spacing w:before="0" w:after="0"/>
              <w:rPr>
                <w:b/>
                <w:bCs/>
                <w:iCs/>
                <w:color w:val="auto"/>
                <w:szCs w:val="20"/>
              </w:rPr>
            </w:pPr>
            <w:r w:rsidRPr="00E47905">
              <w:rPr>
                <w:b/>
                <w:bCs/>
                <w:iCs/>
                <w:color w:val="auto"/>
                <w:szCs w:val="20"/>
              </w:rPr>
              <w:t>Basic</w:t>
            </w:r>
            <w:r w:rsidRPr="00E47905">
              <w:rPr>
                <w:iCs/>
                <w:color w:val="auto"/>
                <w:szCs w:val="20"/>
              </w:rPr>
              <w:t xml:space="preserve"> </w:t>
            </w:r>
            <w:r>
              <w:rPr>
                <w:iCs/>
                <w:color w:val="auto"/>
                <w:szCs w:val="20"/>
              </w:rPr>
              <w:t xml:space="preserve">– activities </w:t>
            </w:r>
            <w:r w:rsidR="007D7A49" w:rsidRPr="00C62D0F">
              <w:rPr>
                <w:iCs/>
                <w:color w:val="auto"/>
                <w:szCs w:val="20"/>
              </w:rPr>
              <w:t>may</w:t>
            </w:r>
            <w:r w:rsidR="007D7A49">
              <w:rPr>
                <w:iCs/>
                <w:color w:val="auto"/>
                <w:szCs w:val="20"/>
              </w:rPr>
              <w:t xml:space="preserve"> </w:t>
            </w:r>
            <w:r w:rsidRPr="00E47905">
              <w:rPr>
                <w:iCs/>
                <w:color w:val="auto"/>
                <w:szCs w:val="20"/>
              </w:rPr>
              <w:t>include</w:t>
            </w:r>
            <w:r>
              <w:rPr>
                <w:iCs/>
                <w:color w:val="auto"/>
                <w:szCs w:val="20"/>
              </w:rPr>
              <w:t>:</w:t>
            </w:r>
            <w:r w:rsidRPr="00E47905">
              <w:rPr>
                <w:iCs/>
                <w:color w:val="auto"/>
                <w:szCs w:val="20"/>
              </w:rPr>
              <w:t xml:space="preserve"> literature search</w:t>
            </w:r>
            <w:r>
              <w:rPr>
                <w:iCs/>
                <w:color w:val="auto"/>
                <w:szCs w:val="20"/>
              </w:rPr>
              <w:t xml:space="preserve">; </w:t>
            </w:r>
            <w:r w:rsidRPr="00E47905">
              <w:rPr>
                <w:iCs/>
                <w:color w:val="auto"/>
                <w:szCs w:val="20"/>
              </w:rPr>
              <w:t>general research</w:t>
            </w:r>
            <w:r w:rsidRPr="00E47905">
              <w:rPr>
                <w:iCs/>
                <w:color w:val="auto"/>
                <w:szCs w:val="20"/>
              </w:rPr>
              <w:br/>
            </w:r>
          </w:p>
          <w:p w14:paraId="3A8306F4" w14:textId="711EFCCC" w:rsidR="00B5171B" w:rsidRDefault="00B5171B" w:rsidP="00B5171B">
            <w:pPr>
              <w:spacing w:before="0" w:after="0"/>
              <w:rPr>
                <w:b/>
                <w:bCs/>
                <w:iCs/>
                <w:color w:val="auto"/>
                <w:szCs w:val="20"/>
              </w:rPr>
            </w:pPr>
            <w:r w:rsidRPr="00E47905">
              <w:rPr>
                <w:b/>
                <w:bCs/>
                <w:iCs/>
                <w:color w:val="auto"/>
                <w:szCs w:val="20"/>
              </w:rPr>
              <w:t xml:space="preserve">Standard </w:t>
            </w:r>
            <w:r w:rsidRPr="00A051EE">
              <w:rPr>
                <w:bCs/>
                <w:iCs/>
                <w:color w:val="auto"/>
                <w:szCs w:val="20"/>
              </w:rPr>
              <w:t xml:space="preserve">– </w:t>
            </w:r>
            <w:r>
              <w:rPr>
                <w:iCs/>
                <w:color w:val="auto"/>
                <w:szCs w:val="20"/>
              </w:rPr>
              <w:t>activities</w:t>
            </w:r>
            <w:r w:rsidR="00582001">
              <w:rPr>
                <w:iCs/>
                <w:color w:val="auto"/>
                <w:szCs w:val="20"/>
              </w:rPr>
              <w:t xml:space="preserve"> may</w:t>
            </w:r>
            <w:r>
              <w:rPr>
                <w:iCs/>
                <w:color w:val="auto"/>
                <w:szCs w:val="20"/>
              </w:rPr>
              <w:t xml:space="preserve"> </w:t>
            </w:r>
            <w:r w:rsidRPr="00E47905">
              <w:rPr>
                <w:iCs/>
                <w:color w:val="auto"/>
                <w:szCs w:val="20"/>
              </w:rPr>
              <w:t>include</w:t>
            </w:r>
            <w:r>
              <w:rPr>
                <w:iCs/>
                <w:color w:val="auto"/>
                <w:szCs w:val="20"/>
              </w:rPr>
              <w:t>:</w:t>
            </w:r>
            <w:r w:rsidRPr="00E47905">
              <w:rPr>
                <w:iCs/>
                <w:color w:val="auto"/>
                <w:szCs w:val="20"/>
              </w:rPr>
              <w:t xml:space="preserve"> database compilation; computer modelling; reprocessing of data</w:t>
            </w:r>
            <w:r>
              <w:rPr>
                <w:iCs/>
                <w:color w:val="auto"/>
                <w:szCs w:val="20"/>
              </w:rPr>
              <w:t xml:space="preserve"> </w:t>
            </w:r>
            <w:r w:rsidRPr="00E47905">
              <w:rPr>
                <w:iCs/>
                <w:color w:val="auto"/>
                <w:szCs w:val="20"/>
              </w:rPr>
              <w:br/>
            </w:r>
          </w:p>
          <w:p w14:paraId="4FAE87B2" w14:textId="0E71E045" w:rsidR="00B5171B" w:rsidRPr="00E47905" w:rsidRDefault="00B5171B" w:rsidP="00B5171B">
            <w:pPr>
              <w:spacing w:before="0" w:after="0"/>
              <w:rPr>
                <w:iCs/>
                <w:color w:val="auto"/>
                <w:szCs w:val="20"/>
              </w:rPr>
            </w:pPr>
            <w:r w:rsidRPr="00E47905">
              <w:rPr>
                <w:b/>
                <w:bCs/>
                <w:iCs/>
                <w:color w:val="auto"/>
                <w:szCs w:val="20"/>
              </w:rPr>
              <w:t>Advanced</w:t>
            </w:r>
            <w:r w:rsidRPr="00E47905">
              <w:rPr>
                <w:iCs/>
                <w:color w:val="auto"/>
                <w:szCs w:val="20"/>
              </w:rPr>
              <w:t xml:space="preserve"> </w:t>
            </w:r>
            <w:r>
              <w:rPr>
                <w:iCs/>
                <w:color w:val="auto"/>
                <w:szCs w:val="20"/>
              </w:rPr>
              <w:t>– activities</w:t>
            </w:r>
            <w:r w:rsidR="00582001">
              <w:rPr>
                <w:iCs/>
                <w:color w:val="auto"/>
                <w:szCs w:val="20"/>
              </w:rPr>
              <w:t xml:space="preserve"> may</w:t>
            </w:r>
            <w:r>
              <w:rPr>
                <w:iCs/>
                <w:color w:val="auto"/>
                <w:szCs w:val="20"/>
              </w:rPr>
              <w:t xml:space="preserve"> </w:t>
            </w:r>
            <w:r w:rsidRPr="00E47905">
              <w:rPr>
                <w:iCs/>
                <w:color w:val="auto"/>
                <w:szCs w:val="20"/>
              </w:rPr>
              <w:t>include</w:t>
            </w:r>
            <w:r>
              <w:rPr>
                <w:iCs/>
                <w:color w:val="auto"/>
                <w:szCs w:val="20"/>
              </w:rPr>
              <w:t>:</w:t>
            </w:r>
            <w:r w:rsidRPr="00E47905">
              <w:rPr>
                <w:iCs/>
                <w:color w:val="auto"/>
                <w:szCs w:val="20"/>
              </w:rPr>
              <w:t xml:space="preserve"> </w:t>
            </w:r>
            <w:r w:rsidR="00FA70B1" w:rsidRPr="00E47905">
              <w:rPr>
                <w:iCs/>
                <w:color w:val="auto"/>
                <w:szCs w:val="20"/>
              </w:rPr>
              <w:t>database compilation; computer modelling; reprocessing of data</w:t>
            </w:r>
            <w:r w:rsidR="00FA70B1">
              <w:rPr>
                <w:iCs/>
                <w:color w:val="auto"/>
                <w:szCs w:val="20"/>
              </w:rPr>
              <w:t xml:space="preserve">; </w:t>
            </w:r>
            <w:r w:rsidRPr="00E47905">
              <w:rPr>
                <w:iCs/>
                <w:color w:val="auto"/>
                <w:szCs w:val="20"/>
              </w:rPr>
              <w:t>geological and geophysical interpretation</w:t>
            </w:r>
            <w:r>
              <w:rPr>
                <w:iCs/>
                <w:color w:val="auto"/>
                <w:szCs w:val="20"/>
              </w:rPr>
              <w:t>;</w:t>
            </w:r>
            <w:r w:rsidRPr="00E47905">
              <w:rPr>
                <w:iCs/>
                <w:color w:val="auto"/>
                <w:szCs w:val="20"/>
              </w:rPr>
              <w:t xml:space="preserve"> mineral resource/reserve estimate</w:t>
            </w:r>
          </w:p>
        </w:tc>
        <w:tc>
          <w:tcPr>
            <w:tcW w:w="2700" w:type="dxa"/>
            <w:shd w:val="clear" w:color="auto" w:fill="E3DEF5" w:themeFill="accent6" w:themeFillTint="1A"/>
            <w:vAlign w:val="center"/>
            <w:hideMark/>
          </w:tcPr>
          <w:p w14:paraId="75989552" w14:textId="5F3091D4" w:rsidR="00B5171B" w:rsidRPr="00E47905" w:rsidRDefault="00B5171B" w:rsidP="00B5171B">
            <w:pPr>
              <w:spacing w:before="0" w:after="0"/>
              <w:jc w:val="center"/>
              <w:rPr>
                <w:color w:val="auto"/>
                <w:szCs w:val="20"/>
              </w:rPr>
            </w:pPr>
            <w:r w:rsidRPr="00E47905">
              <w:rPr>
                <w:color w:val="auto"/>
                <w:szCs w:val="20"/>
              </w:rPr>
              <w:t>None = 0</w:t>
            </w:r>
            <w:r w:rsidRPr="00E47905">
              <w:rPr>
                <w:color w:val="auto"/>
                <w:szCs w:val="20"/>
              </w:rPr>
              <w:br/>
              <w:t xml:space="preserve">Basic = </w:t>
            </w:r>
            <w:r w:rsidR="00FA70B1">
              <w:rPr>
                <w:color w:val="auto"/>
                <w:szCs w:val="20"/>
              </w:rPr>
              <w:t>10</w:t>
            </w:r>
            <w:r w:rsidRPr="00E47905">
              <w:rPr>
                <w:color w:val="auto"/>
                <w:szCs w:val="20"/>
              </w:rPr>
              <w:br/>
              <w:t xml:space="preserve">Standard = </w:t>
            </w:r>
            <w:r w:rsidR="00FA70B1">
              <w:rPr>
                <w:color w:val="auto"/>
                <w:szCs w:val="20"/>
              </w:rPr>
              <w:t>25</w:t>
            </w:r>
            <w:r w:rsidRPr="00E47905">
              <w:rPr>
                <w:color w:val="auto"/>
                <w:szCs w:val="20"/>
              </w:rPr>
              <w:br/>
              <w:t xml:space="preserve">Advanced = </w:t>
            </w:r>
            <w:r w:rsidR="00FA70B1">
              <w:rPr>
                <w:color w:val="auto"/>
                <w:szCs w:val="20"/>
              </w:rPr>
              <w:t>50</w:t>
            </w:r>
          </w:p>
        </w:tc>
      </w:tr>
      <w:tr w:rsidR="00B5171B" w:rsidRPr="00B67C5E" w14:paraId="41017958" w14:textId="77777777" w:rsidTr="00FA70B1">
        <w:trPr>
          <w:trHeight w:val="2684"/>
        </w:trPr>
        <w:tc>
          <w:tcPr>
            <w:tcW w:w="6380" w:type="dxa"/>
            <w:shd w:val="clear" w:color="auto" w:fill="FFFFFF" w:themeFill="background1"/>
            <w:hideMark/>
          </w:tcPr>
          <w:p w14:paraId="5A5120A8" w14:textId="77777777" w:rsidR="00B5171B" w:rsidRPr="00A051EE" w:rsidRDefault="00B5171B" w:rsidP="00B5171B">
            <w:pPr>
              <w:spacing w:before="0" w:after="0"/>
              <w:rPr>
                <w:bCs/>
                <w:iCs/>
                <w:color w:val="auto"/>
                <w:szCs w:val="20"/>
              </w:rPr>
            </w:pPr>
            <w:r w:rsidRPr="00E47905">
              <w:rPr>
                <w:bCs/>
                <w:iCs/>
                <w:color w:val="auto"/>
                <w:szCs w:val="20"/>
              </w:rPr>
              <w:lastRenderedPageBreak/>
              <w:t>Rate</w:t>
            </w:r>
            <w:r>
              <w:rPr>
                <w:bCs/>
                <w:iCs/>
                <w:color w:val="auto"/>
                <w:szCs w:val="20"/>
              </w:rPr>
              <w:t xml:space="preserve"> t</w:t>
            </w:r>
            <w:r w:rsidRPr="00E47905">
              <w:rPr>
                <w:bCs/>
                <w:iCs/>
                <w:color w:val="auto"/>
                <w:szCs w:val="20"/>
              </w:rPr>
              <w:t xml:space="preserve">he on-ground activities </w:t>
            </w:r>
            <w:r>
              <w:rPr>
                <w:bCs/>
                <w:iCs/>
                <w:color w:val="auto"/>
                <w:szCs w:val="20"/>
              </w:rPr>
              <w:t>in</w:t>
            </w:r>
            <w:r w:rsidRPr="00E47905">
              <w:rPr>
                <w:bCs/>
                <w:iCs/>
                <w:color w:val="auto"/>
                <w:szCs w:val="20"/>
              </w:rPr>
              <w:t xml:space="preserve"> the proposed program of work for each year </w:t>
            </w:r>
            <w:r w:rsidRPr="00E47905">
              <w:rPr>
                <w:bCs/>
                <w:iCs/>
                <w:color w:val="auto"/>
                <w:szCs w:val="20"/>
              </w:rPr>
              <w:br/>
            </w:r>
          </w:p>
          <w:p w14:paraId="755EB567" w14:textId="6FB0BBCC" w:rsidR="00B5171B" w:rsidRDefault="00B5171B" w:rsidP="00B5171B">
            <w:pPr>
              <w:spacing w:before="0" w:after="0"/>
              <w:rPr>
                <w:b/>
                <w:bCs/>
                <w:iCs/>
                <w:color w:val="auto"/>
                <w:szCs w:val="20"/>
              </w:rPr>
            </w:pPr>
            <w:r w:rsidRPr="00E47905">
              <w:rPr>
                <w:b/>
                <w:bCs/>
                <w:iCs/>
                <w:color w:val="auto"/>
                <w:szCs w:val="20"/>
              </w:rPr>
              <w:t xml:space="preserve">Basic </w:t>
            </w:r>
            <w:r>
              <w:rPr>
                <w:b/>
                <w:bCs/>
                <w:iCs/>
                <w:color w:val="auto"/>
                <w:szCs w:val="20"/>
              </w:rPr>
              <w:t xml:space="preserve">– </w:t>
            </w:r>
            <w:r w:rsidRPr="00A051EE">
              <w:rPr>
                <w:bCs/>
                <w:iCs/>
                <w:color w:val="auto"/>
                <w:szCs w:val="20"/>
              </w:rPr>
              <w:t>activities</w:t>
            </w:r>
            <w:r w:rsidR="00582001">
              <w:rPr>
                <w:bCs/>
                <w:iCs/>
                <w:color w:val="auto"/>
                <w:szCs w:val="20"/>
              </w:rPr>
              <w:t xml:space="preserve"> may</w:t>
            </w:r>
            <w:r>
              <w:rPr>
                <w:b/>
                <w:bCs/>
                <w:iCs/>
                <w:color w:val="auto"/>
                <w:szCs w:val="20"/>
              </w:rPr>
              <w:t xml:space="preserve"> </w:t>
            </w:r>
            <w:r w:rsidRPr="00E47905">
              <w:rPr>
                <w:iCs/>
                <w:color w:val="auto"/>
                <w:szCs w:val="20"/>
              </w:rPr>
              <w:t>include</w:t>
            </w:r>
            <w:r>
              <w:rPr>
                <w:iCs/>
                <w:color w:val="auto"/>
                <w:szCs w:val="20"/>
              </w:rPr>
              <w:t>:</w:t>
            </w:r>
            <w:r w:rsidRPr="00E47905">
              <w:rPr>
                <w:iCs/>
                <w:color w:val="auto"/>
                <w:szCs w:val="20"/>
              </w:rPr>
              <w:t xml:space="preserve"> geological field mapping</w:t>
            </w:r>
            <w:r w:rsidRPr="00E47905">
              <w:rPr>
                <w:iCs/>
                <w:color w:val="auto"/>
                <w:szCs w:val="20"/>
              </w:rPr>
              <w:br/>
            </w:r>
          </w:p>
          <w:p w14:paraId="4D623198" w14:textId="037CBF73" w:rsidR="00B5171B" w:rsidRDefault="00B5171B" w:rsidP="00B5171B">
            <w:pPr>
              <w:spacing w:before="0" w:after="0"/>
              <w:rPr>
                <w:b/>
                <w:bCs/>
                <w:iCs/>
                <w:color w:val="auto"/>
                <w:szCs w:val="20"/>
              </w:rPr>
            </w:pPr>
            <w:r w:rsidRPr="00E47905">
              <w:rPr>
                <w:b/>
                <w:bCs/>
                <w:iCs/>
                <w:color w:val="auto"/>
                <w:szCs w:val="20"/>
              </w:rPr>
              <w:t xml:space="preserve">Standard </w:t>
            </w:r>
            <w:r>
              <w:rPr>
                <w:b/>
                <w:bCs/>
                <w:iCs/>
                <w:color w:val="auto"/>
                <w:szCs w:val="20"/>
              </w:rPr>
              <w:t xml:space="preserve">– </w:t>
            </w:r>
            <w:r>
              <w:rPr>
                <w:iCs/>
                <w:color w:val="auto"/>
                <w:szCs w:val="20"/>
              </w:rPr>
              <w:t>activities</w:t>
            </w:r>
            <w:r w:rsidR="00582001">
              <w:rPr>
                <w:iCs/>
                <w:color w:val="auto"/>
                <w:szCs w:val="20"/>
              </w:rPr>
              <w:t xml:space="preserve"> may</w:t>
            </w:r>
            <w:r>
              <w:rPr>
                <w:iCs/>
                <w:color w:val="auto"/>
                <w:szCs w:val="20"/>
              </w:rPr>
              <w:t xml:space="preserve"> i</w:t>
            </w:r>
            <w:r w:rsidRPr="00E47905">
              <w:rPr>
                <w:iCs/>
                <w:color w:val="auto"/>
                <w:szCs w:val="20"/>
              </w:rPr>
              <w:t>nclude</w:t>
            </w:r>
            <w:r>
              <w:rPr>
                <w:iCs/>
                <w:color w:val="auto"/>
                <w:szCs w:val="20"/>
              </w:rPr>
              <w:t>:</w:t>
            </w:r>
            <w:r w:rsidRPr="00E47905">
              <w:rPr>
                <w:iCs/>
                <w:color w:val="auto"/>
                <w:szCs w:val="20"/>
              </w:rPr>
              <w:t xml:space="preserve"> ground and airborne geophysical surveys</w:t>
            </w:r>
            <w:r>
              <w:rPr>
                <w:iCs/>
                <w:color w:val="auto"/>
                <w:szCs w:val="20"/>
              </w:rPr>
              <w:t>;</w:t>
            </w:r>
            <w:r w:rsidRPr="00E47905">
              <w:rPr>
                <w:iCs/>
                <w:color w:val="auto"/>
                <w:szCs w:val="20"/>
              </w:rPr>
              <w:t xml:space="preserve"> remote sensing</w:t>
            </w:r>
            <w:r w:rsidRPr="00E47905">
              <w:rPr>
                <w:iCs/>
                <w:color w:val="auto"/>
                <w:szCs w:val="20"/>
              </w:rPr>
              <w:br/>
            </w:r>
          </w:p>
          <w:p w14:paraId="4B1573C1" w14:textId="65575777" w:rsidR="00B5171B" w:rsidRPr="00E47905" w:rsidRDefault="00B5171B" w:rsidP="00B5171B">
            <w:pPr>
              <w:spacing w:before="0" w:after="0"/>
              <w:rPr>
                <w:iCs/>
                <w:color w:val="auto"/>
                <w:szCs w:val="20"/>
              </w:rPr>
            </w:pPr>
            <w:r w:rsidRPr="00E47905">
              <w:rPr>
                <w:b/>
                <w:bCs/>
                <w:iCs/>
                <w:color w:val="auto"/>
                <w:szCs w:val="20"/>
              </w:rPr>
              <w:t xml:space="preserve">Advanced </w:t>
            </w:r>
            <w:r w:rsidRPr="0087424C">
              <w:rPr>
                <w:bCs/>
                <w:iCs/>
                <w:color w:val="auto"/>
                <w:szCs w:val="20"/>
              </w:rPr>
              <w:t>–</w:t>
            </w:r>
            <w:r>
              <w:rPr>
                <w:b/>
                <w:bCs/>
                <w:iCs/>
                <w:color w:val="auto"/>
                <w:szCs w:val="20"/>
              </w:rPr>
              <w:t xml:space="preserve"> </w:t>
            </w:r>
            <w:r>
              <w:rPr>
                <w:iCs/>
                <w:color w:val="auto"/>
                <w:szCs w:val="20"/>
              </w:rPr>
              <w:t>activities</w:t>
            </w:r>
            <w:r w:rsidR="00582001">
              <w:rPr>
                <w:iCs/>
                <w:color w:val="auto"/>
                <w:szCs w:val="20"/>
              </w:rPr>
              <w:t xml:space="preserve"> may </w:t>
            </w:r>
            <w:r w:rsidRPr="00E47905">
              <w:rPr>
                <w:iCs/>
                <w:color w:val="auto"/>
                <w:szCs w:val="20"/>
              </w:rPr>
              <w:t>include: rock and soil sampling (and related geochemistry and mineralogy)</w:t>
            </w:r>
            <w:r>
              <w:rPr>
                <w:iCs/>
                <w:color w:val="auto"/>
                <w:szCs w:val="20"/>
              </w:rPr>
              <w:t>;</w:t>
            </w:r>
            <w:r w:rsidRPr="00E47905">
              <w:rPr>
                <w:iCs/>
                <w:color w:val="auto"/>
                <w:szCs w:val="20"/>
              </w:rPr>
              <w:t xml:space="preserve"> implementing new technologies for the mineralisation style (e.g. seismic for gold)</w:t>
            </w:r>
          </w:p>
        </w:tc>
        <w:tc>
          <w:tcPr>
            <w:tcW w:w="2700" w:type="dxa"/>
            <w:shd w:val="clear" w:color="auto" w:fill="BAADE7" w:themeFill="text1" w:themeFillTint="40"/>
            <w:vAlign w:val="center"/>
            <w:hideMark/>
          </w:tcPr>
          <w:p w14:paraId="11067D4C" w14:textId="77777777" w:rsidR="00B5171B" w:rsidRPr="00E47905" w:rsidRDefault="00B5171B" w:rsidP="00B5171B">
            <w:pPr>
              <w:spacing w:before="0" w:after="0"/>
              <w:jc w:val="center"/>
              <w:rPr>
                <w:color w:val="auto"/>
                <w:szCs w:val="20"/>
              </w:rPr>
            </w:pPr>
            <w:r w:rsidRPr="00E47905">
              <w:rPr>
                <w:color w:val="auto"/>
                <w:szCs w:val="20"/>
              </w:rPr>
              <w:t>None = 0</w:t>
            </w:r>
            <w:r w:rsidRPr="00E47905">
              <w:rPr>
                <w:color w:val="auto"/>
                <w:szCs w:val="20"/>
              </w:rPr>
              <w:br/>
              <w:t>Basic</w:t>
            </w:r>
            <w:r w:rsidR="00E56078">
              <w:rPr>
                <w:color w:val="auto"/>
                <w:szCs w:val="20"/>
              </w:rPr>
              <w:t xml:space="preserve"> </w:t>
            </w:r>
            <w:r w:rsidRPr="00E47905">
              <w:rPr>
                <w:color w:val="auto"/>
                <w:szCs w:val="20"/>
              </w:rPr>
              <w:t>= 25</w:t>
            </w:r>
            <w:r w:rsidRPr="00E47905">
              <w:rPr>
                <w:color w:val="auto"/>
                <w:szCs w:val="20"/>
              </w:rPr>
              <w:br/>
              <w:t>Standard = 50</w:t>
            </w:r>
            <w:r w:rsidRPr="00E47905">
              <w:rPr>
                <w:color w:val="auto"/>
                <w:szCs w:val="20"/>
              </w:rPr>
              <w:br/>
              <w:t>Advanced = 100</w:t>
            </w:r>
          </w:p>
        </w:tc>
      </w:tr>
      <w:tr w:rsidR="00B5171B" w:rsidRPr="00B67C5E" w14:paraId="0E792CB3" w14:textId="77777777" w:rsidTr="00B90C3D">
        <w:trPr>
          <w:trHeight w:val="2964"/>
        </w:trPr>
        <w:tc>
          <w:tcPr>
            <w:tcW w:w="6380" w:type="dxa"/>
            <w:shd w:val="clear" w:color="auto" w:fill="FFFFFF" w:themeFill="background1"/>
            <w:hideMark/>
          </w:tcPr>
          <w:p w14:paraId="7098E94D" w14:textId="77777777" w:rsidR="00B5171B" w:rsidRPr="008624B8" w:rsidRDefault="00B5171B" w:rsidP="00B5171B">
            <w:pPr>
              <w:spacing w:before="0" w:after="0"/>
              <w:rPr>
                <w:bCs/>
                <w:iCs/>
                <w:color w:val="auto"/>
                <w:szCs w:val="20"/>
              </w:rPr>
            </w:pPr>
            <w:r w:rsidRPr="00E47905">
              <w:rPr>
                <w:bCs/>
                <w:iCs/>
                <w:color w:val="auto"/>
                <w:szCs w:val="20"/>
              </w:rPr>
              <w:t xml:space="preserve">Rate </w:t>
            </w:r>
            <w:r w:rsidRPr="008624B8">
              <w:rPr>
                <w:bCs/>
                <w:iCs/>
                <w:color w:val="auto"/>
                <w:szCs w:val="20"/>
              </w:rPr>
              <w:t>t</w:t>
            </w:r>
            <w:r w:rsidRPr="00E47905">
              <w:rPr>
                <w:bCs/>
                <w:iCs/>
                <w:color w:val="auto"/>
                <w:szCs w:val="20"/>
              </w:rPr>
              <w:t>he sub-surface evaluation activities</w:t>
            </w:r>
            <w:r w:rsidRPr="008624B8">
              <w:rPr>
                <w:bCs/>
                <w:iCs/>
                <w:color w:val="auto"/>
                <w:szCs w:val="20"/>
              </w:rPr>
              <w:t xml:space="preserve"> in</w:t>
            </w:r>
            <w:r w:rsidRPr="00E47905">
              <w:rPr>
                <w:bCs/>
                <w:iCs/>
                <w:color w:val="auto"/>
                <w:szCs w:val="20"/>
              </w:rPr>
              <w:t xml:space="preserve"> the proposed program of work for each year   </w:t>
            </w:r>
            <w:r w:rsidRPr="00E47905">
              <w:rPr>
                <w:bCs/>
                <w:iCs/>
                <w:color w:val="auto"/>
                <w:szCs w:val="20"/>
              </w:rPr>
              <w:br/>
            </w:r>
          </w:p>
          <w:p w14:paraId="353B21FD" w14:textId="609F8451" w:rsidR="00B5171B" w:rsidRPr="008624B8" w:rsidRDefault="00B5171B" w:rsidP="00B5171B">
            <w:pPr>
              <w:spacing w:before="0" w:after="0"/>
              <w:rPr>
                <w:b/>
                <w:bCs/>
                <w:iCs/>
                <w:color w:val="auto"/>
                <w:szCs w:val="20"/>
              </w:rPr>
            </w:pPr>
            <w:r w:rsidRPr="00E47905">
              <w:rPr>
                <w:b/>
                <w:bCs/>
                <w:iCs/>
                <w:color w:val="auto"/>
                <w:szCs w:val="20"/>
              </w:rPr>
              <w:t>Basic</w:t>
            </w:r>
            <w:r w:rsidRPr="00E47905">
              <w:rPr>
                <w:iCs/>
                <w:color w:val="auto"/>
                <w:szCs w:val="20"/>
              </w:rPr>
              <w:t xml:space="preserve"> </w:t>
            </w:r>
            <w:r w:rsidRPr="008624B8">
              <w:rPr>
                <w:iCs/>
                <w:color w:val="auto"/>
                <w:szCs w:val="20"/>
              </w:rPr>
              <w:t>– activities</w:t>
            </w:r>
            <w:r w:rsidR="00516486">
              <w:rPr>
                <w:iCs/>
                <w:color w:val="auto"/>
                <w:szCs w:val="20"/>
              </w:rPr>
              <w:t xml:space="preserve"> may</w:t>
            </w:r>
            <w:r w:rsidRPr="008624B8">
              <w:rPr>
                <w:iCs/>
                <w:color w:val="auto"/>
                <w:szCs w:val="20"/>
              </w:rPr>
              <w:t xml:space="preserve"> </w:t>
            </w:r>
            <w:r w:rsidRPr="00E47905">
              <w:rPr>
                <w:iCs/>
                <w:color w:val="auto"/>
                <w:szCs w:val="20"/>
              </w:rPr>
              <w:t>include: trenching</w:t>
            </w:r>
            <w:r w:rsidRPr="008624B8">
              <w:rPr>
                <w:iCs/>
                <w:color w:val="auto"/>
                <w:szCs w:val="20"/>
              </w:rPr>
              <w:t>;</w:t>
            </w:r>
            <w:r w:rsidRPr="00E47905">
              <w:rPr>
                <w:iCs/>
                <w:color w:val="auto"/>
                <w:szCs w:val="20"/>
              </w:rPr>
              <w:t xml:space="preserve"> air core and/or RAB drilling including related geochemistry</w:t>
            </w:r>
            <w:r w:rsidRPr="008624B8">
              <w:rPr>
                <w:iCs/>
                <w:color w:val="auto"/>
                <w:szCs w:val="20"/>
              </w:rPr>
              <w:t>;</w:t>
            </w:r>
            <w:r w:rsidRPr="00E47905">
              <w:rPr>
                <w:iCs/>
                <w:color w:val="auto"/>
                <w:szCs w:val="20"/>
              </w:rPr>
              <w:t xml:space="preserve"> mineralogy and metallurgy</w:t>
            </w:r>
            <w:r w:rsidRPr="00E47905">
              <w:rPr>
                <w:iCs/>
                <w:color w:val="auto"/>
                <w:szCs w:val="20"/>
              </w:rPr>
              <w:br/>
            </w:r>
          </w:p>
          <w:p w14:paraId="3893B9DB" w14:textId="52E18028" w:rsidR="00B5171B" w:rsidRPr="008624B8" w:rsidRDefault="00B5171B" w:rsidP="00B5171B">
            <w:pPr>
              <w:spacing w:before="0" w:after="0"/>
              <w:rPr>
                <w:b/>
                <w:bCs/>
                <w:iCs/>
                <w:color w:val="auto"/>
                <w:szCs w:val="20"/>
              </w:rPr>
            </w:pPr>
            <w:r w:rsidRPr="00E47905">
              <w:rPr>
                <w:b/>
                <w:bCs/>
                <w:iCs/>
                <w:color w:val="auto"/>
                <w:szCs w:val="20"/>
              </w:rPr>
              <w:t>Standard</w:t>
            </w:r>
            <w:r w:rsidRPr="00E47905">
              <w:rPr>
                <w:iCs/>
                <w:color w:val="auto"/>
                <w:szCs w:val="20"/>
              </w:rPr>
              <w:t xml:space="preserve"> </w:t>
            </w:r>
            <w:r w:rsidRPr="008624B8">
              <w:rPr>
                <w:iCs/>
                <w:color w:val="auto"/>
                <w:szCs w:val="20"/>
              </w:rPr>
              <w:t>– activities</w:t>
            </w:r>
            <w:r w:rsidR="00516486">
              <w:rPr>
                <w:iCs/>
                <w:color w:val="auto"/>
                <w:szCs w:val="20"/>
              </w:rPr>
              <w:t xml:space="preserve"> may</w:t>
            </w:r>
            <w:r w:rsidRPr="008624B8">
              <w:rPr>
                <w:iCs/>
                <w:color w:val="auto"/>
                <w:szCs w:val="20"/>
              </w:rPr>
              <w:t xml:space="preserve"> </w:t>
            </w:r>
            <w:r w:rsidRPr="00E47905">
              <w:rPr>
                <w:iCs/>
                <w:color w:val="auto"/>
                <w:szCs w:val="20"/>
              </w:rPr>
              <w:t xml:space="preserve">include: RC or </w:t>
            </w:r>
            <w:r w:rsidRPr="008624B8">
              <w:rPr>
                <w:iCs/>
                <w:color w:val="auto"/>
                <w:szCs w:val="20"/>
              </w:rPr>
              <w:t>d</w:t>
            </w:r>
            <w:r w:rsidRPr="00E47905">
              <w:rPr>
                <w:iCs/>
                <w:color w:val="auto"/>
                <w:szCs w:val="20"/>
              </w:rPr>
              <w:t>iamond drilling</w:t>
            </w:r>
            <w:r w:rsidRPr="008624B8">
              <w:rPr>
                <w:iCs/>
                <w:color w:val="auto"/>
                <w:szCs w:val="20"/>
              </w:rPr>
              <w:t>,</w:t>
            </w:r>
            <w:r w:rsidRPr="00E47905">
              <w:rPr>
                <w:iCs/>
                <w:color w:val="auto"/>
                <w:szCs w:val="20"/>
              </w:rPr>
              <w:t xml:space="preserve"> including related geochemistry</w:t>
            </w:r>
            <w:r w:rsidRPr="008624B8">
              <w:rPr>
                <w:iCs/>
                <w:color w:val="auto"/>
                <w:szCs w:val="20"/>
              </w:rPr>
              <w:t>,</w:t>
            </w:r>
            <w:r w:rsidRPr="00E47905">
              <w:rPr>
                <w:iCs/>
                <w:color w:val="auto"/>
                <w:szCs w:val="20"/>
              </w:rPr>
              <w:t xml:space="preserve"> mineralogy and metallurgy</w:t>
            </w:r>
            <w:r w:rsidRPr="00E47905">
              <w:rPr>
                <w:iCs/>
                <w:color w:val="auto"/>
                <w:szCs w:val="20"/>
              </w:rPr>
              <w:br/>
            </w:r>
          </w:p>
          <w:p w14:paraId="164DE353" w14:textId="68CCF673" w:rsidR="00B5171B" w:rsidRPr="00E47905" w:rsidRDefault="00B5171B" w:rsidP="00B5171B">
            <w:pPr>
              <w:spacing w:before="0" w:after="0"/>
              <w:rPr>
                <w:iCs/>
                <w:color w:val="auto"/>
                <w:szCs w:val="20"/>
              </w:rPr>
            </w:pPr>
            <w:r w:rsidRPr="00E47905">
              <w:rPr>
                <w:b/>
                <w:bCs/>
                <w:iCs/>
                <w:color w:val="auto"/>
                <w:szCs w:val="20"/>
              </w:rPr>
              <w:t>Advanced</w:t>
            </w:r>
            <w:r w:rsidRPr="00E47905">
              <w:rPr>
                <w:iCs/>
                <w:color w:val="auto"/>
                <w:szCs w:val="20"/>
              </w:rPr>
              <w:t xml:space="preserve"> </w:t>
            </w:r>
            <w:r w:rsidRPr="008624B8">
              <w:rPr>
                <w:iCs/>
                <w:color w:val="auto"/>
                <w:szCs w:val="20"/>
              </w:rPr>
              <w:t>– activities</w:t>
            </w:r>
            <w:r w:rsidR="00516486">
              <w:rPr>
                <w:iCs/>
                <w:color w:val="auto"/>
                <w:szCs w:val="20"/>
              </w:rPr>
              <w:t xml:space="preserve"> may</w:t>
            </w:r>
            <w:r w:rsidRPr="008624B8">
              <w:rPr>
                <w:iCs/>
                <w:color w:val="auto"/>
                <w:szCs w:val="20"/>
              </w:rPr>
              <w:t xml:space="preserve"> </w:t>
            </w:r>
            <w:r w:rsidRPr="00E47905">
              <w:rPr>
                <w:iCs/>
                <w:color w:val="auto"/>
                <w:szCs w:val="20"/>
              </w:rPr>
              <w:t>include: bulk sampling or underground development including related geochemistry, mineralogy and metallurgy</w:t>
            </w:r>
          </w:p>
        </w:tc>
        <w:tc>
          <w:tcPr>
            <w:tcW w:w="2700" w:type="dxa"/>
            <w:shd w:val="clear" w:color="auto" w:fill="9382DA"/>
            <w:vAlign w:val="center"/>
            <w:hideMark/>
          </w:tcPr>
          <w:p w14:paraId="451695AF" w14:textId="4CDA5E4E" w:rsidR="00B5171B" w:rsidRPr="00E47905" w:rsidRDefault="00B5171B" w:rsidP="00B5171B">
            <w:pPr>
              <w:spacing w:before="0" w:after="0"/>
              <w:jc w:val="center"/>
              <w:rPr>
                <w:color w:val="auto"/>
                <w:szCs w:val="20"/>
              </w:rPr>
            </w:pPr>
            <w:r w:rsidRPr="00E47905">
              <w:rPr>
                <w:color w:val="auto"/>
                <w:szCs w:val="20"/>
              </w:rPr>
              <w:t>None = 0</w:t>
            </w:r>
            <w:r w:rsidRPr="00E47905">
              <w:rPr>
                <w:color w:val="auto"/>
                <w:szCs w:val="20"/>
              </w:rPr>
              <w:br/>
              <w:t xml:space="preserve">Basic = </w:t>
            </w:r>
            <w:r w:rsidR="00FA70B1">
              <w:rPr>
                <w:color w:val="auto"/>
                <w:szCs w:val="20"/>
              </w:rPr>
              <w:t>50</w:t>
            </w:r>
            <w:r w:rsidRPr="00E47905">
              <w:rPr>
                <w:color w:val="auto"/>
                <w:szCs w:val="20"/>
              </w:rPr>
              <w:br/>
              <w:t>Standard</w:t>
            </w:r>
            <w:r w:rsidR="00E56078">
              <w:rPr>
                <w:color w:val="auto"/>
                <w:szCs w:val="20"/>
              </w:rPr>
              <w:t xml:space="preserve"> </w:t>
            </w:r>
            <w:r w:rsidRPr="00E47905">
              <w:rPr>
                <w:color w:val="auto"/>
                <w:szCs w:val="20"/>
              </w:rPr>
              <w:t xml:space="preserve">= </w:t>
            </w:r>
            <w:r w:rsidR="00FA70B1">
              <w:rPr>
                <w:color w:val="auto"/>
                <w:szCs w:val="20"/>
              </w:rPr>
              <w:t>100</w:t>
            </w:r>
            <w:r w:rsidRPr="00E47905">
              <w:rPr>
                <w:color w:val="auto"/>
                <w:szCs w:val="20"/>
              </w:rPr>
              <w:br/>
              <w:t>Advanced</w:t>
            </w:r>
            <w:r w:rsidR="00E56078">
              <w:rPr>
                <w:color w:val="auto"/>
                <w:szCs w:val="20"/>
              </w:rPr>
              <w:t xml:space="preserve"> </w:t>
            </w:r>
            <w:r w:rsidRPr="00E47905">
              <w:rPr>
                <w:color w:val="auto"/>
                <w:szCs w:val="20"/>
              </w:rPr>
              <w:t xml:space="preserve">= </w:t>
            </w:r>
            <w:r w:rsidR="00FA70B1">
              <w:rPr>
                <w:color w:val="auto"/>
                <w:szCs w:val="20"/>
              </w:rPr>
              <w:t>200</w:t>
            </w:r>
          </w:p>
        </w:tc>
      </w:tr>
      <w:tr w:rsidR="00B5171B" w:rsidRPr="00B5171B" w14:paraId="2727CCCA" w14:textId="77777777" w:rsidTr="00B5171B">
        <w:trPr>
          <w:trHeight w:val="270"/>
        </w:trPr>
        <w:tc>
          <w:tcPr>
            <w:tcW w:w="6380" w:type="dxa"/>
            <w:shd w:val="clear" w:color="auto" w:fill="85C8FF" w:themeFill="accent1" w:themeFillTint="66"/>
            <w:vAlign w:val="center"/>
            <w:hideMark/>
          </w:tcPr>
          <w:p w14:paraId="59B48580" w14:textId="77777777" w:rsidR="00B5171B" w:rsidRPr="00E47905" w:rsidRDefault="00B5171B" w:rsidP="00B5171B">
            <w:pPr>
              <w:spacing w:before="0" w:after="0"/>
              <w:rPr>
                <w:b/>
                <w:color w:val="auto"/>
                <w:szCs w:val="20"/>
              </w:rPr>
            </w:pPr>
            <w:r w:rsidRPr="00E47905">
              <w:rPr>
                <w:b/>
                <w:color w:val="auto"/>
                <w:szCs w:val="20"/>
              </w:rPr>
              <w:t>Location and timing of activities</w:t>
            </w:r>
          </w:p>
        </w:tc>
        <w:tc>
          <w:tcPr>
            <w:tcW w:w="2700" w:type="dxa"/>
            <w:shd w:val="clear" w:color="auto" w:fill="85C8FF" w:themeFill="accent1" w:themeFillTint="66"/>
            <w:vAlign w:val="center"/>
            <w:hideMark/>
          </w:tcPr>
          <w:p w14:paraId="7D725B5C" w14:textId="77777777" w:rsidR="00B5171B" w:rsidRPr="00E47905" w:rsidRDefault="00B5171B" w:rsidP="00B5171B">
            <w:pPr>
              <w:spacing w:before="0" w:after="0"/>
              <w:jc w:val="center"/>
              <w:rPr>
                <w:b/>
                <w:color w:val="auto"/>
                <w:szCs w:val="20"/>
              </w:rPr>
            </w:pPr>
            <w:r>
              <w:rPr>
                <w:b/>
                <w:color w:val="auto"/>
                <w:szCs w:val="20"/>
              </w:rPr>
              <w:t>Score</w:t>
            </w:r>
          </w:p>
        </w:tc>
      </w:tr>
      <w:tr w:rsidR="00B5171B" w:rsidRPr="00B67C5E" w14:paraId="2C3E6095" w14:textId="77777777" w:rsidTr="00B5171B">
        <w:trPr>
          <w:trHeight w:val="853"/>
        </w:trPr>
        <w:tc>
          <w:tcPr>
            <w:tcW w:w="6380" w:type="dxa"/>
            <w:shd w:val="clear" w:color="auto" w:fill="FFFFFF" w:themeFill="background1"/>
            <w:hideMark/>
          </w:tcPr>
          <w:p w14:paraId="3CE8184E" w14:textId="77777777" w:rsidR="00B5171B" w:rsidRPr="00E47905" w:rsidRDefault="00B5171B" w:rsidP="00B5171B">
            <w:pPr>
              <w:spacing w:before="0" w:after="0"/>
              <w:rPr>
                <w:iCs/>
                <w:color w:val="auto"/>
                <w:szCs w:val="20"/>
              </w:rPr>
            </w:pPr>
            <w:r w:rsidRPr="00E47905">
              <w:rPr>
                <w:iCs/>
                <w:color w:val="auto"/>
                <w:szCs w:val="20"/>
              </w:rPr>
              <w:t>Has the applicant included location and geological maps showing the locations of their target areas or where they plan to carry out the exploration work?</w:t>
            </w:r>
          </w:p>
        </w:tc>
        <w:tc>
          <w:tcPr>
            <w:tcW w:w="2700" w:type="dxa"/>
            <w:shd w:val="clear" w:color="auto" w:fill="FFFFFF" w:themeFill="background1"/>
            <w:vAlign w:val="center"/>
            <w:hideMark/>
          </w:tcPr>
          <w:p w14:paraId="2EF947A5" w14:textId="77777777" w:rsidR="00B5171B" w:rsidRPr="00E47905" w:rsidRDefault="00B5171B" w:rsidP="00B5171B">
            <w:pPr>
              <w:spacing w:before="0" w:after="0"/>
              <w:jc w:val="center"/>
              <w:rPr>
                <w:color w:val="auto"/>
                <w:szCs w:val="20"/>
              </w:rPr>
            </w:pPr>
            <w:r w:rsidRPr="00E47905">
              <w:rPr>
                <w:color w:val="auto"/>
                <w:szCs w:val="20"/>
              </w:rPr>
              <w:t>Yes = 5</w:t>
            </w:r>
            <w:r w:rsidRPr="00E47905">
              <w:rPr>
                <w:color w:val="auto"/>
                <w:szCs w:val="20"/>
              </w:rPr>
              <w:br/>
              <w:t>No = 0</w:t>
            </w:r>
          </w:p>
        </w:tc>
      </w:tr>
      <w:tr w:rsidR="00B5171B" w:rsidRPr="00B67C5E" w14:paraId="56131DC3" w14:textId="77777777" w:rsidTr="00B5171B">
        <w:trPr>
          <w:trHeight w:val="3510"/>
        </w:trPr>
        <w:tc>
          <w:tcPr>
            <w:tcW w:w="6380" w:type="dxa"/>
            <w:shd w:val="clear" w:color="auto" w:fill="FFFFFF" w:themeFill="background1"/>
            <w:hideMark/>
          </w:tcPr>
          <w:p w14:paraId="700BED39" w14:textId="77777777" w:rsidR="00B5171B" w:rsidRDefault="00B5171B" w:rsidP="00B5171B">
            <w:pPr>
              <w:spacing w:before="0" w:after="0"/>
              <w:rPr>
                <w:iCs/>
                <w:color w:val="auto"/>
                <w:szCs w:val="20"/>
              </w:rPr>
            </w:pPr>
            <w:r w:rsidRPr="00E47905">
              <w:rPr>
                <w:bCs/>
                <w:iCs/>
                <w:color w:val="auto"/>
                <w:szCs w:val="20"/>
              </w:rPr>
              <w:t>Rate the details of the proposed timing schedule of the exploration program</w:t>
            </w:r>
            <w:r w:rsidRPr="00E47905">
              <w:rPr>
                <w:b/>
                <w:bCs/>
                <w:iCs/>
                <w:color w:val="auto"/>
                <w:szCs w:val="20"/>
              </w:rPr>
              <w:br/>
            </w:r>
            <w:r w:rsidRPr="00E47905">
              <w:rPr>
                <w:b/>
                <w:bCs/>
                <w:iCs/>
                <w:color w:val="auto"/>
                <w:szCs w:val="20"/>
              </w:rPr>
              <w:br/>
              <w:t>Basic</w:t>
            </w:r>
            <w:r w:rsidRPr="00E47905">
              <w:rPr>
                <w:iCs/>
                <w:color w:val="auto"/>
                <w:szCs w:val="20"/>
              </w:rPr>
              <w:t xml:space="preserve"> </w:t>
            </w:r>
            <w:r>
              <w:rPr>
                <w:iCs/>
                <w:color w:val="auto"/>
                <w:szCs w:val="20"/>
              </w:rPr>
              <w:t xml:space="preserve">– Provides generalised information on the timing for the proposed </w:t>
            </w:r>
            <w:r w:rsidRPr="00E47905">
              <w:rPr>
                <w:iCs/>
                <w:color w:val="auto"/>
                <w:szCs w:val="20"/>
              </w:rPr>
              <w:t>work program activities for each year</w:t>
            </w:r>
          </w:p>
          <w:p w14:paraId="14988D49" w14:textId="77777777" w:rsidR="00B5171B" w:rsidRDefault="00B5171B" w:rsidP="00B5171B">
            <w:pPr>
              <w:spacing w:before="0" w:after="0"/>
              <w:rPr>
                <w:iCs/>
                <w:color w:val="auto"/>
                <w:szCs w:val="20"/>
              </w:rPr>
            </w:pPr>
          </w:p>
          <w:p w14:paraId="3B70DA73" w14:textId="77777777" w:rsidR="00B5171B" w:rsidRDefault="00B5171B" w:rsidP="00B5171B">
            <w:pPr>
              <w:spacing w:before="0" w:after="0"/>
              <w:rPr>
                <w:iCs/>
                <w:color w:val="auto"/>
                <w:szCs w:val="20"/>
              </w:rPr>
            </w:pPr>
            <w:r w:rsidRPr="00E47905">
              <w:rPr>
                <w:b/>
                <w:bCs/>
                <w:iCs/>
                <w:color w:val="auto"/>
                <w:szCs w:val="20"/>
              </w:rPr>
              <w:t>Standard</w:t>
            </w:r>
            <w:r>
              <w:rPr>
                <w:b/>
                <w:bCs/>
                <w:iCs/>
                <w:color w:val="auto"/>
                <w:szCs w:val="20"/>
              </w:rPr>
              <w:t xml:space="preserve"> –</w:t>
            </w:r>
            <w:r w:rsidRPr="00E47905">
              <w:rPr>
                <w:iCs/>
                <w:color w:val="auto"/>
                <w:szCs w:val="20"/>
              </w:rPr>
              <w:t xml:space="preserve"> </w:t>
            </w:r>
            <w:r>
              <w:rPr>
                <w:iCs/>
                <w:color w:val="auto"/>
                <w:szCs w:val="20"/>
              </w:rPr>
              <w:t xml:space="preserve">Provides information on the planned timing for the proposed </w:t>
            </w:r>
            <w:r w:rsidRPr="00E47905">
              <w:rPr>
                <w:iCs/>
                <w:color w:val="auto"/>
                <w:szCs w:val="20"/>
              </w:rPr>
              <w:t>work program activities for each season or quarter</w:t>
            </w:r>
            <w:r>
              <w:rPr>
                <w:iCs/>
                <w:color w:val="auto"/>
                <w:szCs w:val="20"/>
              </w:rPr>
              <w:t>; demonstrates how the t</w:t>
            </w:r>
            <w:r w:rsidRPr="00E47905">
              <w:rPr>
                <w:iCs/>
                <w:color w:val="auto"/>
                <w:szCs w:val="20"/>
              </w:rPr>
              <w:t xml:space="preserve">iming of activities </w:t>
            </w:r>
            <w:r>
              <w:rPr>
                <w:iCs/>
                <w:color w:val="auto"/>
                <w:szCs w:val="20"/>
              </w:rPr>
              <w:t xml:space="preserve">will </w:t>
            </w:r>
            <w:r w:rsidRPr="00E47905">
              <w:rPr>
                <w:iCs/>
                <w:color w:val="auto"/>
                <w:szCs w:val="20"/>
              </w:rPr>
              <w:t xml:space="preserve">progress from initial office-based </w:t>
            </w:r>
            <w:r>
              <w:rPr>
                <w:iCs/>
                <w:color w:val="auto"/>
                <w:szCs w:val="20"/>
              </w:rPr>
              <w:t xml:space="preserve">activities </w:t>
            </w:r>
            <w:r w:rsidRPr="00E47905">
              <w:rPr>
                <w:iCs/>
                <w:color w:val="auto"/>
                <w:szCs w:val="20"/>
              </w:rPr>
              <w:t>through to subsurface activities</w:t>
            </w:r>
          </w:p>
          <w:p w14:paraId="737938B4" w14:textId="77777777" w:rsidR="00B5171B" w:rsidRPr="00E47905" w:rsidRDefault="00B5171B" w:rsidP="00B5171B">
            <w:pPr>
              <w:spacing w:before="0" w:after="0"/>
              <w:rPr>
                <w:iCs/>
                <w:color w:val="auto"/>
                <w:szCs w:val="20"/>
              </w:rPr>
            </w:pPr>
            <w:r w:rsidRPr="00E47905">
              <w:rPr>
                <w:iCs/>
                <w:color w:val="auto"/>
                <w:szCs w:val="20"/>
              </w:rPr>
              <w:br/>
            </w:r>
            <w:r w:rsidRPr="00E47905">
              <w:rPr>
                <w:b/>
                <w:bCs/>
                <w:iCs/>
                <w:color w:val="auto"/>
                <w:szCs w:val="20"/>
              </w:rPr>
              <w:t>Advanced</w:t>
            </w:r>
            <w:r>
              <w:rPr>
                <w:b/>
                <w:bCs/>
                <w:iCs/>
                <w:color w:val="auto"/>
                <w:szCs w:val="20"/>
              </w:rPr>
              <w:t xml:space="preserve"> </w:t>
            </w:r>
            <w:r w:rsidRPr="008624B8">
              <w:rPr>
                <w:bCs/>
                <w:iCs/>
                <w:color w:val="auto"/>
                <w:szCs w:val="20"/>
              </w:rPr>
              <w:t>–</w:t>
            </w:r>
            <w:r w:rsidRPr="00E47905">
              <w:rPr>
                <w:iCs/>
                <w:color w:val="auto"/>
                <w:szCs w:val="20"/>
              </w:rPr>
              <w:t xml:space="preserve"> </w:t>
            </w:r>
            <w:r>
              <w:rPr>
                <w:iCs/>
                <w:color w:val="auto"/>
                <w:szCs w:val="20"/>
              </w:rPr>
              <w:t xml:space="preserve">Specifies detailed planning for the delivery of the </w:t>
            </w:r>
            <w:r w:rsidRPr="00E47905">
              <w:rPr>
                <w:iCs/>
                <w:color w:val="auto"/>
                <w:szCs w:val="20"/>
              </w:rPr>
              <w:t xml:space="preserve">work program activities </w:t>
            </w:r>
            <w:r>
              <w:rPr>
                <w:iCs/>
                <w:color w:val="auto"/>
                <w:szCs w:val="20"/>
              </w:rPr>
              <w:t xml:space="preserve">with clear milestones </w:t>
            </w:r>
            <w:r w:rsidRPr="00E47905">
              <w:rPr>
                <w:iCs/>
                <w:color w:val="auto"/>
                <w:szCs w:val="20"/>
              </w:rPr>
              <w:t>for each month</w:t>
            </w:r>
            <w:r>
              <w:rPr>
                <w:iCs/>
                <w:color w:val="auto"/>
                <w:szCs w:val="20"/>
              </w:rPr>
              <w:t>,</w:t>
            </w:r>
            <w:r w:rsidRPr="00E47905">
              <w:rPr>
                <w:iCs/>
                <w:color w:val="auto"/>
                <w:szCs w:val="20"/>
              </w:rPr>
              <w:t xml:space="preserve"> season or quarter</w:t>
            </w:r>
            <w:r>
              <w:rPr>
                <w:iCs/>
                <w:color w:val="auto"/>
                <w:szCs w:val="20"/>
              </w:rPr>
              <w:t>; involves undertaking s</w:t>
            </w:r>
            <w:r w:rsidRPr="00E47905">
              <w:rPr>
                <w:iCs/>
                <w:color w:val="auto"/>
                <w:szCs w:val="20"/>
              </w:rPr>
              <w:t xml:space="preserve">ubsurface activities earlier in </w:t>
            </w:r>
            <w:r>
              <w:rPr>
                <w:iCs/>
                <w:color w:val="auto"/>
                <w:szCs w:val="20"/>
              </w:rPr>
              <w:t xml:space="preserve">the program schedule </w:t>
            </w:r>
            <w:r w:rsidRPr="00E47905">
              <w:rPr>
                <w:iCs/>
                <w:color w:val="auto"/>
                <w:szCs w:val="20"/>
              </w:rPr>
              <w:t>(e.g. drilling)</w:t>
            </w:r>
          </w:p>
        </w:tc>
        <w:tc>
          <w:tcPr>
            <w:tcW w:w="2700" w:type="dxa"/>
            <w:shd w:val="clear" w:color="auto" w:fill="FFFFFF" w:themeFill="background1"/>
            <w:vAlign w:val="center"/>
            <w:hideMark/>
          </w:tcPr>
          <w:p w14:paraId="0C8143CF" w14:textId="77777777" w:rsidR="00B5171B" w:rsidRPr="00E47905" w:rsidRDefault="00B5171B" w:rsidP="00B5171B">
            <w:pPr>
              <w:spacing w:before="0" w:after="0"/>
              <w:jc w:val="center"/>
              <w:rPr>
                <w:color w:val="auto"/>
                <w:szCs w:val="20"/>
              </w:rPr>
            </w:pPr>
            <w:r w:rsidRPr="00E47905">
              <w:rPr>
                <w:color w:val="auto"/>
                <w:szCs w:val="20"/>
              </w:rPr>
              <w:t>None = 0</w:t>
            </w:r>
            <w:r w:rsidRPr="00E47905">
              <w:rPr>
                <w:color w:val="auto"/>
                <w:szCs w:val="20"/>
              </w:rPr>
              <w:br/>
              <w:t>Basic = 5</w:t>
            </w:r>
            <w:r w:rsidRPr="00E47905">
              <w:rPr>
                <w:color w:val="auto"/>
                <w:szCs w:val="20"/>
              </w:rPr>
              <w:br/>
              <w:t>Standard = 10</w:t>
            </w:r>
            <w:r w:rsidRPr="00E47905">
              <w:rPr>
                <w:color w:val="auto"/>
                <w:szCs w:val="20"/>
              </w:rPr>
              <w:br/>
              <w:t>Advanced = 20</w:t>
            </w:r>
          </w:p>
        </w:tc>
      </w:tr>
    </w:tbl>
    <w:p w14:paraId="44E7251F" w14:textId="77777777" w:rsidR="00C62D0F" w:rsidRDefault="00C62D0F">
      <w:r>
        <w:br w:type="page"/>
      </w:r>
    </w:p>
    <w:tbl>
      <w:tblPr>
        <w:tblW w:w="9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0"/>
        <w:gridCol w:w="2700"/>
      </w:tblGrid>
      <w:tr w:rsidR="00B5171B" w:rsidRPr="00B5171B" w14:paraId="5C6D9819" w14:textId="77777777" w:rsidTr="00B5171B">
        <w:trPr>
          <w:trHeight w:val="270"/>
        </w:trPr>
        <w:tc>
          <w:tcPr>
            <w:tcW w:w="6380" w:type="dxa"/>
            <w:shd w:val="clear" w:color="auto" w:fill="85C8FF" w:themeFill="accent1" w:themeFillTint="66"/>
            <w:vAlign w:val="center"/>
            <w:hideMark/>
          </w:tcPr>
          <w:p w14:paraId="36699935" w14:textId="4CD15EEE" w:rsidR="00B5171B" w:rsidRPr="00E47905" w:rsidRDefault="00B5171B" w:rsidP="00B5171B">
            <w:pPr>
              <w:spacing w:before="0" w:after="0"/>
              <w:rPr>
                <w:b/>
                <w:color w:val="auto"/>
                <w:szCs w:val="20"/>
              </w:rPr>
            </w:pPr>
            <w:r w:rsidRPr="00B5171B">
              <w:rPr>
                <w:b/>
                <w:color w:val="auto"/>
                <w:szCs w:val="20"/>
              </w:rPr>
              <w:lastRenderedPageBreak/>
              <w:t>Ex</w:t>
            </w:r>
            <w:r w:rsidR="00460332">
              <w:rPr>
                <w:b/>
                <w:color w:val="auto"/>
                <w:szCs w:val="20"/>
              </w:rPr>
              <w:t>ploration ex</w:t>
            </w:r>
            <w:r w:rsidRPr="00B5171B">
              <w:rPr>
                <w:b/>
                <w:color w:val="auto"/>
                <w:szCs w:val="20"/>
              </w:rPr>
              <w:t>pertise experience</w:t>
            </w:r>
          </w:p>
        </w:tc>
        <w:tc>
          <w:tcPr>
            <w:tcW w:w="2700" w:type="dxa"/>
            <w:shd w:val="clear" w:color="auto" w:fill="85C8FF" w:themeFill="accent1" w:themeFillTint="66"/>
            <w:vAlign w:val="center"/>
            <w:hideMark/>
          </w:tcPr>
          <w:p w14:paraId="0C275827" w14:textId="77777777" w:rsidR="00B5171B" w:rsidRPr="00E47905" w:rsidRDefault="00B5171B" w:rsidP="00B5171B">
            <w:pPr>
              <w:spacing w:before="0" w:after="0"/>
              <w:jc w:val="center"/>
              <w:rPr>
                <w:b/>
                <w:color w:val="auto"/>
                <w:szCs w:val="20"/>
              </w:rPr>
            </w:pPr>
            <w:r>
              <w:rPr>
                <w:b/>
                <w:color w:val="auto"/>
                <w:szCs w:val="20"/>
              </w:rPr>
              <w:t>Score</w:t>
            </w:r>
          </w:p>
        </w:tc>
      </w:tr>
      <w:tr w:rsidR="00B5171B" w:rsidRPr="003E55D8" w14:paraId="4C2C2E26" w14:textId="77777777" w:rsidTr="000851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0"/>
        </w:trPr>
        <w:tc>
          <w:tcPr>
            <w:tcW w:w="63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370DF4E" w14:textId="77777777" w:rsidR="00B5171B" w:rsidRPr="00AF196A" w:rsidRDefault="00B5171B" w:rsidP="00B5171B">
            <w:pPr>
              <w:spacing w:before="0" w:after="0"/>
              <w:rPr>
                <w:iCs/>
                <w:color w:val="auto"/>
                <w:szCs w:val="20"/>
              </w:rPr>
            </w:pPr>
            <w:r w:rsidRPr="003E55D8">
              <w:rPr>
                <w:bCs/>
                <w:iCs/>
                <w:color w:val="auto"/>
                <w:szCs w:val="20"/>
              </w:rPr>
              <w:t xml:space="preserve">Rate the qualifications and experience </w:t>
            </w:r>
            <w:r w:rsidRPr="00AF196A">
              <w:rPr>
                <w:bCs/>
                <w:iCs/>
                <w:color w:val="auto"/>
                <w:szCs w:val="20"/>
              </w:rPr>
              <w:t>of</w:t>
            </w:r>
            <w:r w:rsidRPr="003E55D8">
              <w:rPr>
                <w:bCs/>
                <w:iCs/>
                <w:color w:val="auto"/>
                <w:szCs w:val="20"/>
              </w:rPr>
              <w:t xml:space="preserve"> the applicant's</w:t>
            </w:r>
            <w:r w:rsidRPr="00AF196A">
              <w:rPr>
                <w:bCs/>
                <w:iCs/>
                <w:color w:val="auto"/>
                <w:szCs w:val="20"/>
              </w:rPr>
              <w:t xml:space="preserve"> </w:t>
            </w:r>
            <w:r w:rsidRPr="003E55D8">
              <w:rPr>
                <w:bCs/>
                <w:iCs/>
                <w:color w:val="auto"/>
                <w:szCs w:val="20"/>
              </w:rPr>
              <w:t xml:space="preserve">technical advisors (staff or contractors) in the mineralisation style and </w:t>
            </w:r>
            <w:r w:rsidRPr="00AF196A">
              <w:rPr>
                <w:bCs/>
                <w:iCs/>
                <w:color w:val="auto"/>
                <w:szCs w:val="20"/>
              </w:rPr>
              <w:t xml:space="preserve">proposed </w:t>
            </w:r>
            <w:r w:rsidRPr="003E55D8">
              <w:rPr>
                <w:bCs/>
                <w:iCs/>
                <w:color w:val="auto"/>
                <w:szCs w:val="20"/>
              </w:rPr>
              <w:t>exploration activities</w:t>
            </w:r>
            <w:r w:rsidRPr="003E55D8">
              <w:rPr>
                <w:b/>
                <w:bCs/>
                <w:iCs/>
                <w:color w:val="auto"/>
                <w:szCs w:val="20"/>
              </w:rPr>
              <w:br/>
            </w:r>
            <w:r w:rsidRPr="003E55D8">
              <w:rPr>
                <w:b/>
                <w:bCs/>
                <w:iCs/>
                <w:color w:val="auto"/>
                <w:szCs w:val="20"/>
              </w:rPr>
              <w:br/>
              <w:t>Basic</w:t>
            </w:r>
            <w:r w:rsidRPr="00AF196A">
              <w:rPr>
                <w:b/>
                <w:bCs/>
                <w:iCs/>
                <w:color w:val="auto"/>
                <w:szCs w:val="20"/>
              </w:rPr>
              <w:t xml:space="preserve"> </w:t>
            </w:r>
            <w:r w:rsidRPr="00AF196A">
              <w:rPr>
                <w:bCs/>
                <w:iCs/>
                <w:color w:val="auto"/>
                <w:szCs w:val="20"/>
              </w:rPr>
              <w:t xml:space="preserve">– university </w:t>
            </w:r>
            <w:r w:rsidRPr="003E55D8">
              <w:rPr>
                <w:iCs/>
                <w:color w:val="auto"/>
                <w:szCs w:val="20"/>
              </w:rPr>
              <w:t xml:space="preserve">degree </w:t>
            </w:r>
            <w:r w:rsidRPr="00AF196A">
              <w:rPr>
                <w:iCs/>
                <w:color w:val="auto"/>
                <w:szCs w:val="20"/>
              </w:rPr>
              <w:t xml:space="preserve">in </w:t>
            </w:r>
            <w:r w:rsidRPr="003E55D8">
              <w:rPr>
                <w:iCs/>
                <w:color w:val="auto"/>
                <w:szCs w:val="20"/>
              </w:rPr>
              <w:t xml:space="preserve">geology/geophysics </w:t>
            </w:r>
            <w:r w:rsidRPr="00AF196A">
              <w:rPr>
                <w:iCs/>
                <w:color w:val="auto"/>
                <w:szCs w:val="20"/>
              </w:rPr>
              <w:t>with</w:t>
            </w:r>
            <w:r w:rsidRPr="003E55D8">
              <w:rPr>
                <w:iCs/>
                <w:color w:val="auto"/>
                <w:szCs w:val="20"/>
              </w:rPr>
              <w:t xml:space="preserve"> up to </w:t>
            </w:r>
            <w:r w:rsidRPr="00AF196A">
              <w:rPr>
                <w:iCs/>
                <w:color w:val="auto"/>
                <w:szCs w:val="20"/>
              </w:rPr>
              <w:t>five</w:t>
            </w:r>
            <w:r w:rsidRPr="003E55D8">
              <w:rPr>
                <w:iCs/>
                <w:color w:val="auto"/>
                <w:szCs w:val="20"/>
              </w:rPr>
              <w:t xml:space="preserve"> years</w:t>
            </w:r>
            <w:r w:rsidRPr="00AF196A">
              <w:rPr>
                <w:iCs/>
                <w:color w:val="auto"/>
                <w:szCs w:val="20"/>
              </w:rPr>
              <w:t xml:space="preserve"> of relevant exploration </w:t>
            </w:r>
            <w:r w:rsidRPr="003E55D8">
              <w:rPr>
                <w:iCs/>
                <w:color w:val="auto"/>
                <w:szCs w:val="20"/>
              </w:rPr>
              <w:t>experience</w:t>
            </w:r>
          </w:p>
          <w:p w14:paraId="4C33A693" w14:textId="77777777" w:rsidR="00B5171B" w:rsidRPr="00AF196A" w:rsidRDefault="00B5171B" w:rsidP="00B5171B">
            <w:pPr>
              <w:spacing w:before="0" w:after="0"/>
              <w:rPr>
                <w:iCs/>
                <w:color w:val="auto"/>
                <w:szCs w:val="20"/>
              </w:rPr>
            </w:pPr>
            <w:r w:rsidRPr="003E55D8">
              <w:rPr>
                <w:iCs/>
                <w:color w:val="auto"/>
                <w:szCs w:val="20"/>
              </w:rPr>
              <w:br/>
            </w:r>
            <w:r w:rsidRPr="003E55D8">
              <w:rPr>
                <w:b/>
                <w:bCs/>
                <w:iCs/>
                <w:color w:val="auto"/>
                <w:szCs w:val="20"/>
              </w:rPr>
              <w:t>Standard</w:t>
            </w:r>
            <w:r w:rsidRPr="00AF196A">
              <w:rPr>
                <w:b/>
                <w:bCs/>
                <w:iCs/>
                <w:color w:val="auto"/>
                <w:szCs w:val="20"/>
              </w:rPr>
              <w:t xml:space="preserve"> </w:t>
            </w:r>
            <w:r w:rsidRPr="00AF196A">
              <w:rPr>
                <w:bCs/>
                <w:iCs/>
                <w:color w:val="auto"/>
                <w:szCs w:val="20"/>
              </w:rPr>
              <w:t xml:space="preserve">– university </w:t>
            </w:r>
            <w:r w:rsidRPr="003E55D8">
              <w:rPr>
                <w:iCs/>
                <w:color w:val="auto"/>
                <w:szCs w:val="20"/>
              </w:rPr>
              <w:t xml:space="preserve">degree </w:t>
            </w:r>
            <w:r w:rsidRPr="00AF196A">
              <w:rPr>
                <w:iCs/>
                <w:color w:val="auto"/>
                <w:szCs w:val="20"/>
              </w:rPr>
              <w:t xml:space="preserve">in </w:t>
            </w:r>
            <w:r w:rsidRPr="003E55D8">
              <w:rPr>
                <w:iCs/>
                <w:color w:val="auto"/>
                <w:szCs w:val="20"/>
              </w:rPr>
              <w:t xml:space="preserve">geology/geophysics and </w:t>
            </w:r>
            <w:r w:rsidRPr="00AF196A">
              <w:rPr>
                <w:iCs/>
                <w:color w:val="auto"/>
                <w:szCs w:val="20"/>
              </w:rPr>
              <w:t>a m</w:t>
            </w:r>
            <w:r w:rsidRPr="003E55D8">
              <w:rPr>
                <w:iCs/>
                <w:color w:val="auto"/>
                <w:szCs w:val="20"/>
              </w:rPr>
              <w:t>ember of a related industry association (</w:t>
            </w:r>
            <w:proofErr w:type="spellStart"/>
            <w:r w:rsidRPr="00AF196A">
              <w:rPr>
                <w:iCs/>
                <w:color w:val="auto"/>
                <w:szCs w:val="20"/>
              </w:rPr>
              <w:t>eg</w:t>
            </w:r>
            <w:proofErr w:type="spellEnd"/>
            <w:r w:rsidRPr="00AF196A">
              <w:rPr>
                <w:iCs/>
                <w:color w:val="auto"/>
                <w:szCs w:val="20"/>
              </w:rPr>
              <w:t xml:space="preserve"> </w:t>
            </w:r>
            <w:proofErr w:type="spellStart"/>
            <w:r w:rsidRPr="003E55D8">
              <w:rPr>
                <w:iCs/>
                <w:color w:val="auto"/>
                <w:szCs w:val="20"/>
              </w:rPr>
              <w:t>AusIMM</w:t>
            </w:r>
            <w:proofErr w:type="spellEnd"/>
            <w:r w:rsidRPr="003E55D8">
              <w:rPr>
                <w:iCs/>
                <w:color w:val="auto"/>
                <w:szCs w:val="20"/>
              </w:rPr>
              <w:t xml:space="preserve"> or AIG) </w:t>
            </w:r>
            <w:r w:rsidRPr="00AF196A">
              <w:rPr>
                <w:iCs/>
                <w:color w:val="auto"/>
                <w:szCs w:val="20"/>
              </w:rPr>
              <w:t>with</w:t>
            </w:r>
            <w:r w:rsidRPr="003E55D8">
              <w:rPr>
                <w:iCs/>
                <w:color w:val="auto"/>
                <w:szCs w:val="20"/>
              </w:rPr>
              <w:t xml:space="preserve"> greater than 10 years </w:t>
            </w:r>
            <w:r w:rsidRPr="00AF196A">
              <w:rPr>
                <w:iCs/>
                <w:color w:val="auto"/>
                <w:szCs w:val="20"/>
              </w:rPr>
              <w:t xml:space="preserve">of relevant exploration </w:t>
            </w:r>
            <w:r w:rsidRPr="003E55D8">
              <w:rPr>
                <w:iCs/>
                <w:color w:val="auto"/>
                <w:szCs w:val="20"/>
              </w:rPr>
              <w:t>experience</w:t>
            </w:r>
          </w:p>
          <w:p w14:paraId="748A3D53" w14:textId="1E78B7DC" w:rsidR="00B5171B" w:rsidRPr="003E55D8" w:rsidRDefault="00B5171B" w:rsidP="00B5171B">
            <w:pPr>
              <w:spacing w:before="0" w:after="0"/>
              <w:rPr>
                <w:iCs/>
                <w:color w:val="auto"/>
                <w:szCs w:val="20"/>
              </w:rPr>
            </w:pPr>
            <w:r w:rsidRPr="003E55D8">
              <w:rPr>
                <w:iCs/>
                <w:color w:val="auto"/>
                <w:szCs w:val="20"/>
              </w:rPr>
              <w:br/>
            </w:r>
            <w:r w:rsidRPr="003E55D8">
              <w:rPr>
                <w:b/>
                <w:bCs/>
                <w:iCs/>
                <w:color w:val="auto"/>
                <w:szCs w:val="20"/>
              </w:rPr>
              <w:t>Advanced</w:t>
            </w:r>
            <w:r w:rsidRPr="00AF196A">
              <w:rPr>
                <w:b/>
                <w:bCs/>
                <w:iCs/>
                <w:color w:val="auto"/>
                <w:szCs w:val="20"/>
              </w:rPr>
              <w:t xml:space="preserve"> </w:t>
            </w:r>
            <w:r w:rsidRPr="00AF196A">
              <w:rPr>
                <w:bCs/>
                <w:iCs/>
                <w:color w:val="auto"/>
                <w:szCs w:val="20"/>
              </w:rPr>
              <w:t>–</w:t>
            </w:r>
            <w:r w:rsidRPr="00AF196A">
              <w:rPr>
                <w:b/>
                <w:bCs/>
                <w:iCs/>
                <w:color w:val="auto"/>
                <w:szCs w:val="20"/>
              </w:rPr>
              <w:t xml:space="preserve"> </w:t>
            </w:r>
            <w:r w:rsidRPr="00AF196A">
              <w:rPr>
                <w:bCs/>
                <w:iCs/>
                <w:color w:val="auto"/>
                <w:szCs w:val="20"/>
              </w:rPr>
              <w:t xml:space="preserve">university </w:t>
            </w:r>
            <w:r w:rsidRPr="003E55D8">
              <w:rPr>
                <w:iCs/>
                <w:color w:val="auto"/>
                <w:szCs w:val="20"/>
              </w:rPr>
              <w:t xml:space="preserve">degree </w:t>
            </w:r>
            <w:r w:rsidRPr="00AF196A">
              <w:rPr>
                <w:iCs/>
                <w:color w:val="auto"/>
                <w:szCs w:val="20"/>
              </w:rPr>
              <w:t xml:space="preserve">in </w:t>
            </w:r>
            <w:r w:rsidRPr="003E55D8">
              <w:rPr>
                <w:iCs/>
                <w:color w:val="auto"/>
                <w:szCs w:val="20"/>
              </w:rPr>
              <w:t>geology/geophysics</w:t>
            </w:r>
            <w:r w:rsidRPr="00AF196A">
              <w:rPr>
                <w:iCs/>
                <w:color w:val="auto"/>
                <w:szCs w:val="20"/>
              </w:rPr>
              <w:t xml:space="preserve"> and a</w:t>
            </w:r>
            <w:r w:rsidRPr="003E55D8">
              <w:rPr>
                <w:iCs/>
                <w:color w:val="auto"/>
                <w:szCs w:val="20"/>
              </w:rPr>
              <w:t xml:space="preserve"> </w:t>
            </w:r>
            <w:r w:rsidRPr="00AF196A">
              <w:rPr>
                <w:iCs/>
                <w:color w:val="auto"/>
                <w:szCs w:val="20"/>
              </w:rPr>
              <w:t>m</w:t>
            </w:r>
            <w:r w:rsidRPr="003E55D8">
              <w:rPr>
                <w:iCs/>
                <w:color w:val="auto"/>
                <w:szCs w:val="20"/>
              </w:rPr>
              <w:t>ember of a related industry association (</w:t>
            </w:r>
            <w:proofErr w:type="spellStart"/>
            <w:r w:rsidRPr="00AF196A">
              <w:rPr>
                <w:iCs/>
                <w:color w:val="auto"/>
                <w:szCs w:val="20"/>
              </w:rPr>
              <w:t>eg</w:t>
            </w:r>
            <w:proofErr w:type="spellEnd"/>
            <w:r w:rsidRPr="00AF196A">
              <w:rPr>
                <w:iCs/>
                <w:color w:val="auto"/>
                <w:szCs w:val="20"/>
              </w:rPr>
              <w:t xml:space="preserve"> </w:t>
            </w:r>
            <w:proofErr w:type="spellStart"/>
            <w:r w:rsidRPr="003E55D8">
              <w:rPr>
                <w:iCs/>
                <w:color w:val="auto"/>
                <w:szCs w:val="20"/>
              </w:rPr>
              <w:t>AusIMM</w:t>
            </w:r>
            <w:proofErr w:type="spellEnd"/>
            <w:r w:rsidRPr="003E55D8">
              <w:rPr>
                <w:iCs/>
                <w:color w:val="auto"/>
                <w:szCs w:val="20"/>
              </w:rPr>
              <w:t xml:space="preserve"> or AIG) and JORC competent in</w:t>
            </w:r>
            <w:r w:rsidRPr="00AF196A">
              <w:rPr>
                <w:iCs/>
                <w:color w:val="auto"/>
                <w:szCs w:val="20"/>
              </w:rPr>
              <w:t xml:space="preserve"> exploration for the target </w:t>
            </w:r>
            <w:r w:rsidRPr="003E55D8">
              <w:rPr>
                <w:iCs/>
                <w:color w:val="auto"/>
                <w:szCs w:val="20"/>
              </w:rPr>
              <w:t>mineral</w:t>
            </w:r>
            <w:r w:rsidRPr="00AF196A">
              <w:rPr>
                <w:iCs/>
                <w:color w:val="auto"/>
                <w:szCs w:val="20"/>
              </w:rPr>
              <w:t>(s) with</w:t>
            </w:r>
            <w:r w:rsidRPr="003E55D8">
              <w:rPr>
                <w:iCs/>
                <w:color w:val="auto"/>
                <w:szCs w:val="20"/>
              </w:rPr>
              <w:t xml:space="preserve"> greater than 20 years </w:t>
            </w:r>
            <w:r w:rsidRPr="00AF196A">
              <w:rPr>
                <w:iCs/>
                <w:color w:val="auto"/>
                <w:szCs w:val="20"/>
              </w:rPr>
              <w:t xml:space="preserve">of relevant exploration </w:t>
            </w:r>
            <w:r w:rsidRPr="003E55D8">
              <w:rPr>
                <w:iCs/>
                <w:color w:val="auto"/>
                <w:szCs w:val="20"/>
              </w:rPr>
              <w:t>experience</w:t>
            </w:r>
          </w:p>
        </w:tc>
        <w:tc>
          <w:tcPr>
            <w:tcW w:w="2700" w:type="dxa"/>
            <w:tcBorders>
              <w:top w:val="single" w:sz="4" w:space="0" w:color="auto"/>
              <w:left w:val="nil"/>
              <w:bottom w:val="single" w:sz="4" w:space="0" w:color="auto"/>
              <w:right w:val="single" w:sz="4" w:space="0" w:color="auto"/>
            </w:tcBorders>
            <w:shd w:val="clear" w:color="auto" w:fill="BAADE7" w:themeFill="text1" w:themeFillTint="40"/>
            <w:vAlign w:val="center"/>
            <w:hideMark/>
          </w:tcPr>
          <w:p w14:paraId="765F96E1" w14:textId="77777777" w:rsidR="00B5171B" w:rsidRPr="003E55D8" w:rsidRDefault="00B5171B" w:rsidP="00B5171B">
            <w:pPr>
              <w:spacing w:before="0" w:after="0"/>
              <w:jc w:val="center"/>
              <w:rPr>
                <w:color w:val="auto"/>
                <w:szCs w:val="20"/>
              </w:rPr>
            </w:pPr>
            <w:r w:rsidRPr="003E55D8">
              <w:rPr>
                <w:color w:val="auto"/>
                <w:szCs w:val="20"/>
              </w:rPr>
              <w:t>None = 0</w:t>
            </w:r>
            <w:r w:rsidRPr="003E55D8">
              <w:rPr>
                <w:color w:val="auto"/>
                <w:szCs w:val="20"/>
              </w:rPr>
              <w:br/>
              <w:t>Basic = 25</w:t>
            </w:r>
            <w:r w:rsidRPr="003E55D8">
              <w:rPr>
                <w:color w:val="auto"/>
                <w:szCs w:val="20"/>
              </w:rPr>
              <w:br/>
              <w:t>Standard = 50</w:t>
            </w:r>
            <w:r w:rsidRPr="003E55D8">
              <w:rPr>
                <w:color w:val="auto"/>
                <w:szCs w:val="20"/>
              </w:rPr>
              <w:br/>
              <w:t>Advanced = 100</w:t>
            </w:r>
          </w:p>
        </w:tc>
      </w:tr>
      <w:tr w:rsidR="00B5171B" w:rsidRPr="00B5171B" w14:paraId="3617661C" w14:textId="77777777" w:rsidTr="00FB37E6">
        <w:trPr>
          <w:trHeight w:val="270"/>
        </w:trPr>
        <w:tc>
          <w:tcPr>
            <w:tcW w:w="6380" w:type="dxa"/>
            <w:shd w:val="clear" w:color="auto" w:fill="85C8FF" w:themeFill="accent1" w:themeFillTint="66"/>
            <w:vAlign w:val="center"/>
            <w:hideMark/>
          </w:tcPr>
          <w:p w14:paraId="55F33DBF" w14:textId="77777777" w:rsidR="00B5171B" w:rsidRPr="00E47905" w:rsidRDefault="00B5171B" w:rsidP="00B5171B">
            <w:pPr>
              <w:spacing w:before="0" w:after="0"/>
              <w:rPr>
                <w:b/>
                <w:color w:val="auto"/>
                <w:szCs w:val="20"/>
              </w:rPr>
            </w:pPr>
            <w:r w:rsidRPr="00B5171B">
              <w:rPr>
                <w:b/>
                <w:color w:val="auto"/>
                <w:szCs w:val="20"/>
              </w:rPr>
              <w:t>Expenditure commitment</w:t>
            </w:r>
          </w:p>
        </w:tc>
        <w:tc>
          <w:tcPr>
            <w:tcW w:w="2700" w:type="dxa"/>
            <w:shd w:val="clear" w:color="auto" w:fill="85C8FF" w:themeFill="accent1" w:themeFillTint="66"/>
            <w:vAlign w:val="center"/>
            <w:hideMark/>
          </w:tcPr>
          <w:p w14:paraId="6F94AF56" w14:textId="77777777" w:rsidR="00B5171B" w:rsidRPr="00E47905" w:rsidRDefault="00B5171B" w:rsidP="00B5171B">
            <w:pPr>
              <w:spacing w:before="0" w:after="0"/>
              <w:jc w:val="center"/>
              <w:rPr>
                <w:b/>
                <w:color w:val="auto"/>
                <w:szCs w:val="20"/>
              </w:rPr>
            </w:pPr>
            <w:r>
              <w:rPr>
                <w:b/>
                <w:color w:val="auto"/>
                <w:szCs w:val="20"/>
              </w:rPr>
              <w:t>Score</w:t>
            </w:r>
          </w:p>
        </w:tc>
      </w:tr>
      <w:tr w:rsidR="00B5171B" w:rsidRPr="003E55D8" w14:paraId="506BB983" w14:textId="77777777" w:rsidTr="00B90C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96"/>
        </w:trPr>
        <w:tc>
          <w:tcPr>
            <w:tcW w:w="63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AB5215B" w14:textId="77777777" w:rsidR="00B5171B" w:rsidRPr="003E55D8" w:rsidRDefault="00B5171B" w:rsidP="00B5171B">
            <w:pPr>
              <w:spacing w:before="0" w:after="0"/>
              <w:rPr>
                <w:color w:val="auto"/>
                <w:szCs w:val="20"/>
              </w:rPr>
            </w:pPr>
            <w:r w:rsidRPr="003E55D8">
              <w:rPr>
                <w:color w:val="auto"/>
                <w:szCs w:val="20"/>
              </w:rPr>
              <w:t xml:space="preserve">By what percentage does the </w:t>
            </w:r>
            <w:r>
              <w:rPr>
                <w:color w:val="auto"/>
                <w:szCs w:val="20"/>
              </w:rPr>
              <w:t xml:space="preserve">total </w:t>
            </w:r>
            <w:r w:rsidRPr="003E55D8">
              <w:rPr>
                <w:color w:val="auto"/>
                <w:szCs w:val="20"/>
              </w:rPr>
              <w:t xml:space="preserve">expenditure exceed the </w:t>
            </w:r>
            <w:r>
              <w:rPr>
                <w:color w:val="auto"/>
                <w:szCs w:val="20"/>
              </w:rPr>
              <w:t xml:space="preserve">prevailing </w:t>
            </w:r>
            <w:r w:rsidRPr="003E55D8">
              <w:rPr>
                <w:color w:val="auto"/>
                <w:szCs w:val="20"/>
              </w:rPr>
              <w:t>minimum requirement</w:t>
            </w:r>
            <w:r>
              <w:rPr>
                <w:color w:val="auto"/>
                <w:szCs w:val="20"/>
              </w:rPr>
              <w:t xml:space="preserve"> per graticule, as specified by Earth Resources Regulation</w:t>
            </w:r>
            <w:r w:rsidRPr="00B5171B">
              <w:rPr>
                <w:color w:val="auto"/>
                <w:szCs w:val="20"/>
                <w:vertAlign w:val="superscript"/>
              </w:rPr>
              <w:t>#</w:t>
            </w:r>
            <w:r>
              <w:rPr>
                <w:color w:val="auto"/>
                <w:szCs w:val="20"/>
              </w:rPr>
              <w:t>, over the life of the proposed work program?</w:t>
            </w:r>
          </w:p>
        </w:tc>
        <w:tc>
          <w:tcPr>
            <w:tcW w:w="2700" w:type="dxa"/>
            <w:tcBorders>
              <w:top w:val="single" w:sz="4" w:space="0" w:color="auto"/>
              <w:left w:val="nil"/>
              <w:bottom w:val="single" w:sz="4" w:space="0" w:color="auto"/>
              <w:right w:val="single" w:sz="4" w:space="0" w:color="auto"/>
            </w:tcBorders>
            <w:shd w:val="clear" w:color="auto" w:fill="9382DA"/>
            <w:vAlign w:val="center"/>
            <w:hideMark/>
          </w:tcPr>
          <w:p w14:paraId="51CD6A16" w14:textId="77777777" w:rsidR="00B5171B" w:rsidRPr="003E55D8" w:rsidRDefault="00B5171B" w:rsidP="00B5171B">
            <w:pPr>
              <w:spacing w:before="0" w:after="0"/>
              <w:jc w:val="center"/>
              <w:rPr>
                <w:color w:val="auto"/>
                <w:szCs w:val="20"/>
              </w:rPr>
            </w:pPr>
            <w:r w:rsidRPr="003E55D8">
              <w:rPr>
                <w:color w:val="auto"/>
                <w:szCs w:val="20"/>
              </w:rPr>
              <w:t xml:space="preserve">0.5 points for every percentage over the minimum expenditure </w:t>
            </w:r>
            <w:r>
              <w:rPr>
                <w:color w:val="auto"/>
                <w:szCs w:val="20"/>
              </w:rPr>
              <w:t xml:space="preserve">requirement </w:t>
            </w:r>
            <w:r w:rsidRPr="003E55D8">
              <w:rPr>
                <w:color w:val="auto"/>
                <w:szCs w:val="20"/>
              </w:rPr>
              <w:t>per graticule</w:t>
            </w:r>
            <w:r>
              <w:rPr>
                <w:color w:val="auto"/>
                <w:szCs w:val="20"/>
              </w:rPr>
              <w:t xml:space="preserve">, capped at a maximum of </w:t>
            </w:r>
            <w:r w:rsidRPr="003E55D8">
              <w:rPr>
                <w:color w:val="auto"/>
                <w:szCs w:val="20"/>
              </w:rPr>
              <w:t xml:space="preserve">250 points </w:t>
            </w:r>
          </w:p>
        </w:tc>
      </w:tr>
      <w:tr w:rsidR="00B5171B" w:rsidRPr="00B5171B" w14:paraId="5E4EDA9D" w14:textId="77777777" w:rsidTr="00B5171B">
        <w:trPr>
          <w:trHeight w:val="270"/>
        </w:trPr>
        <w:tc>
          <w:tcPr>
            <w:tcW w:w="6380" w:type="dxa"/>
            <w:shd w:val="clear" w:color="auto" w:fill="85C8FF" w:themeFill="accent1" w:themeFillTint="66"/>
            <w:vAlign w:val="center"/>
            <w:hideMark/>
          </w:tcPr>
          <w:p w14:paraId="4FB8C987" w14:textId="7060BFC2" w:rsidR="00B5171B" w:rsidRPr="00E47905" w:rsidRDefault="00B5171B" w:rsidP="00B5171B">
            <w:pPr>
              <w:spacing w:before="0" w:after="0"/>
              <w:rPr>
                <w:b/>
                <w:color w:val="auto"/>
                <w:szCs w:val="20"/>
              </w:rPr>
            </w:pPr>
            <w:r w:rsidRPr="00B5171B">
              <w:rPr>
                <w:b/>
                <w:color w:val="auto"/>
                <w:szCs w:val="20"/>
              </w:rPr>
              <w:t>Interconnection with an applicant’s other licences</w:t>
            </w:r>
          </w:p>
        </w:tc>
        <w:tc>
          <w:tcPr>
            <w:tcW w:w="2700" w:type="dxa"/>
            <w:shd w:val="clear" w:color="auto" w:fill="85C8FF" w:themeFill="accent1" w:themeFillTint="66"/>
            <w:vAlign w:val="center"/>
            <w:hideMark/>
          </w:tcPr>
          <w:p w14:paraId="7F18324E" w14:textId="77777777" w:rsidR="00B5171B" w:rsidRPr="00E47905" w:rsidRDefault="00B5171B" w:rsidP="00B5171B">
            <w:pPr>
              <w:spacing w:before="0" w:after="0"/>
              <w:jc w:val="center"/>
              <w:rPr>
                <w:b/>
                <w:color w:val="auto"/>
                <w:szCs w:val="20"/>
              </w:rPr>
            </w:pPr>
            <w:r>
              <w:rPr>
                <w:b/>
                <w:color w:val="auto"/>
                <w:szCs w:val="20"/>
              </w:rPr>
              <w:t>Score</w:t>
            </w:r>
          </w:p>
        </w:tc>
      </w:tr>
      <w:tr w:rsidR="00E56078" w:rsidRPr="003E55D8" w14:paraId="38F5F5D5" w14:textId="77777777" w:rsidTr="00B90C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39"/>
        </w:trPr>
        <w:tc>
          <w:tcPr>
            <w:tcW w:w="63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22591AE" w14:textId="53E0B593" w:rsidR="00E56078" w:rsidRPr="00E41C82" w:rsidRDefault="00E56078" w:rsidP="00E56078">
            <w:pPr>
              <w:spacing w:before="0" w:after="0"/>
              <w:rPr>
                <w:color w:val="auto"/>
              </w:rPr>
            </w:pPr>
            <w:r w:rsidRPr="00E41C82">
              <w:rPr>
                <w:color w:val="auto"/>
              </w:rPr>
              <w:t xml:space="preserve">Rate the potential interconnection with any adjoining </w:t>
            </w:r>
            <w:r w:rsidRPr="00E41C82">
              <w:rPr>
                <w:color w:val="auto"/>
                <w:szCs w:val="20"/>
                <w:lang w:val="en-US" w:eastAsia="en-US"/>
              </w:rPr>
              <w:t>min</w:t>
            </w:r>
            <w:proofErr w:type="spellStart"/>
            <w:r w:rsidRPr="00E41C82">
              <w:rPr>
                <w:color w:val="auto"/>
              </w:rPr>
              <w:t>ing</w:t>
            </w:r>
            <w:proofErr w:type="spellEnd"/>
            <w:r w:rsidR="00516486">
              <w:rPr>
                <w:color w:val="auto"/>
              </w:rPr>
              <w:t xml:space="preserve"> and exploration</w:t>
            </w:r>
            <w:r w:rsidRPr="00E41C82">
              <w:rPr>
                <w:color w:val="auto"/>
              </w:rPr>
              <w:t xml:space="preserve"> activities conducted by the applicant under a current licence in a c</w:t>
            </w:r>
            <w:proofErr w:type="spellStart"/>
            <w:r w:rsidRPr="00E41C82">
              <w:rPr>
                <w:color w:val="auto"/>
                <w:szCs w:val="20"/>
                <w:lang w:val="en-US" w:eastAsia="en-US"/>
              </w:rPr>
              <w:t>ontiguous</w:t>
            </w:r>
            <w:proofErr w:type="spellEnd"/>
            <w:r w:rsidRPr="00E41C82">
              <w:rPr>
                <w:color w:val="auto"/>
              </w:rPr>
              <w:t xml:space="preserve"> or likely contiguous geological formation</w:t>
            </w:r>
          </w:p>
          <w:p w14:paraId="46526F1E" w14:textId="77777777" w:rsidR="00E56078" w:rsidRDefault="00E56078" w:rsidP="00E56078">
            <w:pPr>
              <w:spacing w:before="0" w:after="0"/>
              <w:rPr>
                <w:color w:val="auto"/>
                <w:szCs w:val="20"/>
              </w:rPr>
            </w:pPr>
          </w:p>
          <w:p w14:paraId="637DA07F" w14:textId="414589FE" w:rsidR="00E56078" w:rsidRPr="00AF196A" w:rsidRDefault="00E56078" w:rsidP="00E56078">
            <w:pPr>
              <w:spacing w:before="0" w:after="0"/>
              <w:rPr>
                <w:iCs/>
                <w:color w:val="auto"/>
                <w:szCs w:val="20"/>
              </w:rPr>
            </w:pPr>
            <w:r w:rsidRPr="003E55D8">
              <w:rPr>
                <w:b/>
                <w:bCs/>
                <w:iCs/>
                <w:color w:val="auto"/>
                <w:szCs w:val="20"/>
              </w:rPr>
              <w:t>Basic</w:t>
            </w:r>
            <w:r w:rsidRPr="00AF196A">
              <w:rPr>
                <w:b/>
                <w:bCs/>
                <w:iCs/>
                <w:color w:val="auto"/>
                <w:szCs w:val="20"/>
              </w:rPr>
              <w:t xml:space="preserve"> </w:t>
            </w:r>
            <w:r w:rsidRPr="00AF196A">
              <w:rPr>
                <w:bCs/>
                <w:iCs/>
                <w:color w:val="auto"/>
                <w:szCs w:val="20"/>
              </w:rPr>
              <w:t xml:space="preserve">– </w:t>
            </w:r>
            <w:r>
              <w:rPr>
                <w:bCs/>
                <w:iCs/>
                <w:color w:val="auto"/>
                <w:szCs w:val="20"/>
              </w:rPr>
              <w:t xml:space="preserve">Adjoining </w:t>
            </w:r>
            <w:r w:rsidR="00516486">
              <w:rPr>
                <w:bCs/>
                <w:iCs/>
                <w:color w:val="auto"/>
                <w:szCs w:val="20"/>
              </w:rPr>
              <w:t xml:space="preserve">one or more </w:t>
            </w:r>
            <w:r w:rsidR="0009739F">
              <w:rPr>
                <w:bCs/>
                <w:iCs/>
                <w:color w:val="auto"/>
                <w:szCs w:val="20"/>
              </w:rPr>
              <w:t>Exploration</w:t>
            </w:r>
            <w:r w:rsidR="00516486">
              <w:rPr>
                <w:bCs/>
                <w:iCs/>
                <w:color w:val="auto"/>
                <w:szCs w:val="20"/>
              </w:rPr>
              <w:t xml:space="preserve"> Licences targeting related geological formations</w:t>
            </w:r>
          </w:p>
          <w:p w14:paraId="68E80FDD" w14:textId="65265384" w:rsidR="00516486" w:rsidRPr="00C62D0F" w:rsidRDefault="00E56078" w:rsidP="00C62D0F">
            <w:pPr>
              <w:spacing w:before="0" w:after="0"/>
              <w:rPr>
                <w:iCs/>
                <w:color w:val="auto"/>
                <w:szCs w:val="20"/>
              </w:rPr>
            </w:pPr>
            <w:r w:rsidRPr="003E55D8">
              <w:rPr>
                <w:iCs/>
                <w:color w:val="auto"/>
                <w:szCs w:val="20"/>
              </w:rPr>
              <w:br/>
            </w:r>
            <w:r w:rsidRPr="003E55D8">
              <w:rPr>
                <w:b/>
                <w:bCs/>
                <w:iCs/>
                <w:color w:val="auto"/>
                <w:szCs w:val="20"/>
              </w:rPr>
              <w:t>Standard</w:t>
            </w:r>
            <w:r w:rsidRPr="00AF196A">
              <w:rPr>
                <w:b/>
                <w:bCs/>
                <w:iCs/>
                <w:color w:val="auto"/>
                <w:szCs w:val="20"/>
              </w:rPr>
              <w:t xml:space="preserve"> </w:t>
            </w:r>
            <w:r w:rsidRPr="00AF196A">
              <w:rPr>
                <w:bCs/>
                <w:iCs/>
                <w:color w:val="auto"/>
                <w:szCs w:val="20"/>
              </w:rPr>
              <w:t xml:space="preserve">– </w:t>
            </w:r>
            <w:r w:rsidR="00FC6B84">
              <w:rPr>
                <w:bCs/>
                <w:iCs/>
                <w:color w:val="auto"/>
                <w:szCs w:val="20"/>
              </w:rPr>
              <w:t xml:space="preserve">Adjoining </w:t>
            </w:r>
            <w:r w:rsidR="00516486">
              <w:rPr>
                <w:bCs/>
                <w:iCs/>
                <w:color w:val="auto"/>
                <w:szCs w:val="20"/>
              </w:rPr>
              <w:t xml:space="preserve">one or more </w:t>
            </w:r>
            <w:r w:rsidR="00FC6B84">
              <w:rPr>
                <w:bCs/>
                <w:iCs/>
                <w:color w:val="auto"/>
                <w:szCs w:val="20"/>
              </w:rPr>
              <w:t>Mining Licence</w:t>
            </w:r>
            <w:r w:rsidR="00516486">
              <w:rPr>
                <w:bCs/>
                <w:iCs/>
                <w:color w:val="auto"/>
                <w:szCs w:val="20"/>
              </w:rPr>
              <w:t xml:space="preserve"> or Retention Licences</w:t>
            </w:r>
            <w:r w:rsidR="00FC6B84">
              <w:rPr>
                <w:bCs/>
                <w:iCs/>
                <w:color w:val="auto"/>
                <w:szCs w:val="20"/>
              </w:rPr>
              <w:t xml:space="preserve"> </w:t>
            </w:r>
            <w:r w:rsidR="00516486">
              <w:rPr>
                <w:bCs/>
                <w:iCs/>
                <w:color w:val="auto"/>
                <w:szCs w:val="20"/>
              </w:rPr>
              <w:t>with likely geological target extension into the application area</w:t>
            </w:r>
            <w:r w:rsidR="0009739F">
              <w:rPr>
                <w:bCs/>
                <w:iCs/>
                <w:color w:val="auto"/>
                <w:szCs w:val="20"/>
              </w:rPr>
              <w:t xml:space="preserve">, but no </w:t>
            </w:r>
            <w:r w:rsidR="0009739F">
              <w:rPr>
                <w:iCs/>
                <w:color w:val="auto"/>
                <w:szCs w:val="20"/>
              </w:rPr>
              <w:t>m</w:t>
            </w:r>
            <w:r w:rsidR="00516486">
              <w:rPr>
                <w:iCs/>
                <w:color w:val="auto"/>
                <w:szCs w:val="20"/>
              </w:rPr>
              <w:t>ining activities currently being undertaken</w:t>
            </w:r>
          </w:p>
          <w:p w14:paraId="0E634AD5" w14:textId="3AD3F628" w:rsidR="00FC6B84" w:rsidRDefault="00E56078" w:rsidP="00E56078">
            <w:pPr>
              <w:spacing w:before="0" w:after="0"/>
              <w:rPr>
                <w:color w:val="auto"/>
                <w:szCs w:val="20"/>
              </w:rPr>
            </w:pPr>
            <w:r w:rsidRPr="003E55D8">
              <w:rPr>
                <w:iCs/>
                <w:color w:val="auto"/>
                <w:szCs w:val="20"/>
              </w:rPr>
              <w:br/>
            </w:r>
            <w:r w:rsidRPr="003E55D8">
              <w:rPr>
                <w:b/>
                <w:bCs/>
                <w:iCs/>
                <w:color w:val="auto"/>
                <w:szCs w:val="20"/>
              </w:rPr>
              <w:t>Advanced</w:t>
            </w:r>
            <w:r w:rsidRPr="00AF196A">
              <w:rPr>
                <w:b/>
                <w:bCs/>
                <w:iCs/>
                <w:color w:val="auto"/>
                <w:szCs w:val="20"/>
              </w:rPr>
              <w:t xml:space="preserve"> </w:t>
            </w:r>
            <w:r w:rsidRPr="00AF196A">
              <w:rPr>
                <w:bCs/>
                <w:iCs/>
                <w:color w:val="auto"/>
                <w:szCs w:val="20"/>
              </w:rPr>
              <w:t>–</w:t>
            </w:r>
            <w:r w:rsidRPr="00AF196A">
              <w:rPr>
                <w:b/>
                <w:bCs/>
                <w:iCs/>
                <w:color w:val="auto"/>
                <w:szCs w:val="20"/>
              </w:rPr>
              <w:t xml:space="preserve"> </w:t>
            </w:r>
            <w:r w:rsidR="00FC6B84">
              <w:rPr>
                <w:bCs/>
                <w:iCs/>
                <w:color w:val="auto"/>
                <w:szCs w:val="20"/>
              </w:rPr>
              <w:t xml:space="preserve">Adjoining </w:t>
            </w:r>
            <w:r w:rsidR="00516486">
              <w:rPr>
                <w:bCs/>
                <w:iCs/>
                <w:color w:val="auto"/>
                <w:szCs w:val="20"/>
              </w:rPr>
              <w:t xml:space="preserve">one or more </w:t>
            </w:r>
            <w:r w:rsidR="00FC6B84">
              <w:rPr>
                <w:bCs/>
                <w:iCs/>
                <w:color w:val="auto"/>
                <w:szCs w:val="20"/>
              </w:rPr>
              <w:t>Mining Licence</w:t>
            </w:r>
            <w:r w:rsidR="00516486">
              <w:rPr>
                <w:bCs/>
                <w:iCs/>
                <w:color w:val="auto"/>
                <w:szCs w:val="20"/>
              </w:rPr>
              <w:t xml:space="preserve"> with expected orebody extension into the application area</w:t>
            </w:r>
            <w:r w:rsidR="00C62D0F">
              <w:rPr>
                <w:bCs/>
                <w:iCs/>
                <w:color w:val="auto"/>
                <w:szCs w:val="20"/>
              </w:rPr>
              <w:t>, with o</w:t>
            </w:r>
            <w:r w:rsidR="00516486">
              <w:rPr>
                <w:bCs/>
                <w:iCs/>
                <w:color w:val="auto"/>
                <w:szCs w:val="20"/>
              </w:rPr>
              <w:t>pen cut or underground mining activities active and commercially producing</w:t>
            </w:r>
          </w:p>
          <w:p w14:paraId="123A7A30" w14:textId="77777777" w:rsidR="00FC6B84" w:rsidRPr="003E55D8" w:rsidRDefault="00FC6B84" w:rsidP="00E56078">
            <w:pPr>
              <w:spacing w:before="0" w:after="0"/>
              <w:rPr>
                <w:color w:val="auto"/>
                <w:szCs w:val="20"/>
              </w:rPr>
            </w:pPr>
          </w:p>
        </w:tc>
        <w:tc>
          <w:tcPr>
            <w:tcW w:w="2700" w:type="dxa"/>
            <w:tcBorders>
              <w:top w:val="single" w:sz="4" w:space="0" w:color="auto"/>
              <w:left w:val="nil"/>
              <w:bottom w:val="single" w:sz="4" w:space="0" w:color="auto"/>
              <w:right w:val="single" w:sz="4" w:space="0" w:color="auto"/>
            </w:tcBorders>
            <w:shd w:val="clear" w:color="auto" w:fill="9382DA"/>
            <w:vAlign w:val="center"/>
            <w:hideMark/>
          </w:tcPr>
          <w:p w14:paraId="686E4EBD" w14:textId="77777777" w:rsidR="00E56078" w:rsidRDefault="00E56078" w:rsidP="00E56078">
            <w:pPr>
              <w:spacing w:before="0" w:after="0"/>
              <w:jc w:val="center"/>
              <w:rPr>
                <w:color w:val="auto"/>
                <w:szCs w:val="20"/>
              </w:rPr>
            </w:pPr>
            <w:r w:rsidRPr="00E47905">
              <w:rPr>
                <w:color w:val="auto"/>
                <w:szCs w:val="20"/>
              </w:rPr>
              <w:t xml:space="preserve">None </w:t>
            </w:r>
            <w:r>
              <w:rPr>
                <w:color w:val="auto"/>
                <w:szCs w:val="20"/>
              </w:rPr>
              <w:t xml:space="preserve">= 0 </w:t>
            </w:r>
          </w:p>
          <w:p w14:paraId="6ACF978D" w14:textId="5CC15544" w:rsidR="00E56078" w:rsidRPr="00E47905" w:rsidRDefault="00E56078" w:rsidP="00E56078">
            <w:pPr>
              <w:spacing w:before="0" w:after="0"/>
              <w:jc w:val="center"/>
              <w:rPr>
                <w:color w:val="auto"/>
                <w:szCs w:val="20"/>
              </w:rPr>
            </w:pPr>
            <w:r w:rsidRPr="00E47905">
              <w:rPr>
                <w:color w:val="auto"/>
                <w:szCs w:val="20"/>
              </w:rPr>
              <w:t>Basic</w:t>
            </w:r>
            <w:r>
              <w:rPr>
                <w:color w:val="auto"/>
                <w:szCs w:val="20"/>
              </w:rPr>
              <w:t xml:space="preserve"> </w:t>
            </w:r>
            <w:r w:rsidRPr="00E47905">
              <w:rPr>
                <w:color w:val="auto"/>
                <w:szCs w:val="20"/>
              </w:rPr>
              <w:t xml:space="preserve">= </w:t>
            </w:r>
            <w:r w:rsidR="007D7A49">
              <w:rPr>
                <w:color w:val="auto"/>
                <w:szCs w:val="20"/>
              </w:rPr>
              <w:t>50</w:t>
            </w:r>
            <w:r w:rsidRPr="00E47905">
              <w:rPr>
                <w:color w:val="auto"/>
                <w:szCs w:val="20"/>
              </w:rPr>
              <w:br/>
              <w:t xml:space="preserve">Standard = </w:t>
            </w:r>
            <w:r w:rsidR="007D7A49">
              <w:rPr>
                <w:color w:val="auto"/>
                <w:szCs w:val="20"/>
              </w:rPr>
              <w:t>100</w:t>
            </w:r>
            <w:r w:rsidRPr="00E47905">
              <w:rPr>
                <w:color w:val="auto"/>
                <w:szCs w:val="20"/>
              </w:rPr>
              <w:br/>
              <w:t xml:space="preserve">Advanced = </w:t>
            </w:r>
            <w:r w:rsidR="0027439E" w:rsidRPr="00C62D0F">
              <w:rPr>
                <w:color w:val="auto"/>
                <w:szCs w:val="20"/>
              </w:rPr>
              <w:t>2</w:t>
            </w:r>
            <w:r w:rsidR="00FA70B1" w:rsidRPr="00C62D0F">
              <w:rPr>
                <w:color w:val="auto"/>
                <w:szCs w:val="20"/>
              </w:rPr>
              <w:t>00</w:t>
            </w:r>
          </w:p>
        </w:tc>
      </w:tr>
      <w:tr w:rsidR="00CB78CE" w:rsidRPr="00440910" w14:paraId="1BF91AF2" w14:textId="77777777" w:rsidTr="004046F1">
        <w:trPr>
          <w:trHeight w:val="270"/>
        </w:trPr>
        <w:tc>
          <w:tcPr>
            <w:tcW w:w="6380" w:type="dxa"/>
            <w:shd w:val="clear" w:color="auto" w:fill="85C8FF" w:themeFill="accent1" w:themeFillTint="66"/>
            <w:vAlign w:val="center"/>
            <w:hideMark/>
          </w:tcPr>
          <w:p w14:paraId="26228411" w14:textId="6E71BE95" w:rsidR="00CB78CE" w:rsidRPr="00E47905" w:rsidRDefault="00CB78CE" w:rsidP="004046F1">
            <w:pPr>
              <w:spacing w:before="0" w:after="0"/>
              <w:rPr>
                <w:b/>
                <w:color w:val="auto"/>
                <w:szCs w:val="20"/>
              </w:rPr>
            </w:pPr>
            <w:r>
              <w:rPr>
                <w:b/>
                <w:color w:val="auto"/>
                <w:szCs w:val="20"/>
              </w:rPr>
              <w:t>Community engagement</w:t>
            </w:r>
            <w:r w:rsidR="00460332">
              <w:rPr>
                <w:b/>
                <w:color w:val="auto"/>
                <w:szCs w:val="20"/>
              </w:rPr>
              <w:t xml:space="preserve"> expertise and activities</w:t>
            </w:r>
          </w:p>
        </w:tc>
        <w:tc>
          <w:tcPr>
            <w:tcW w:w="2700" w:type="dxa"/>
            <w:shd w:val="clear" w:color="auto" w:fill="85C8FF" w:themeFill="accent1" w:themeFillTint="66"/>
            <w:vAlign w:val="center"/>
            <w:hideMark/>
          </w:tcPr>
          <w:p w14:paraId="15313634" w14:textId="77777777" w:rsidR="00CB78CE" w:rsidRPr="00E47905" w:rsidRDefault="00CB78CE" w:rsidP="00CB78CE">
            <w:pPr>
              <w:spacing w:before="0" w:after="0"/>
              <w:rPr>
                <w:b/>
                <w:color w:val="auto"/>
                <w:szCs w:val="20"/>
              </w:rPr>
            </w:pPr>
            <w:r>
              <w:rPr>
                <w:b/>
                <w:color w:val="auto"/>
                <w:szCs w:val="20"/>
              </w:rPr>
              <w:t>Score</w:t>
            </w:r>
          </w:p>
        </w:tc>
      </w:tr>
      <w:tr w:rsidR="00FE638F" w:rsidRPr="00B67C5E" w14:paraId="2A608F08" w14:textId="77777777" w:rsidTr="004409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4"/>
        </w:trPr>
        <w:tc>
          <w:tcPr>
            <w:tcW w:w="63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261176D" w14:textId="6A586FA8" w:rsidR="00CB78CE" w:rsidRPr="00CB78CE" w:rsidRDefault="00CB78CE" w:rsidP="004046F1">
            <w:pPr>
              <w:spacing w:before="0" w:after="0"/>
              <w:rPr>
                <w:color w:val="auto"/>
              </w:rPr>
            </w:pPr>
            <w:r w:rsidRPr="00CB78CE">
              <w:rPr>
                <w:color w:val="auto"/>
              </w:rPr>
              <w:t xml:space="preserve">Rate the </w:t>
            </w:r>
            <w:r>
              <w:rPr>
                <w:color w:val="auto"/>
              </w:rPr>
              <w:t>applicant’s commitments to engage proactively</w:t>
            </w:r>
            <w:r w:rsidR="00640C0C">
              <w:rPr>
                <w:color w:val="auto"/>
              </w:rPr>
              <w:t>, openly</w:t>
            </w:r>
            <w:r>
              <w:rPr>
                <w:color w:val="auto"/>
              </w:rPr>
              <w:t xml:space="preserve"> and fairly with land holders, Native Title </w:t>
            </w:r>
            <w:r w:rsidRPr="000851A2">
              <w:rPr>
                <w:color w:val="auto"/>
              </w:rPr>
              <w:t>parties</w:t>
            </w:r>
            <w:r>
              <w:rPr>
                <w:color w:val="auto"/>
              </w:rPr>
              <w:t xml:space="preserve"> and local communities beyond their minimum legislative obligations.</w:t>
            </w:r>
            <w:r w:rsidRPr="00CB78CE">
              <w:rPr>
                <w:color w:val="auto"/>
              </w:rPr>
              <w:br/>
            </w:r>
          </w:p>
          <w:p w14:paraId="09BA97FB" w14:textId="40316D9F" w:rsidR="00CB78CE" w:rsidRPr="00CB78CE" w:rsidRDefault="00AC0581" w:rsidP="004046F1">
            <w:pPr>
              <w:spacing w:before="0" w:after="0"/>
              <w:rPr>
                <w:color w:val="auto"/>
              </w:rPr>
            </w:pPr>
            <w:r>
              <w:rPr>
                <w:color w:val="auto"/>
              </w:rPr>
              <w:t xml:space="preserve">Above </w:t>
            </w:r>
            <w:r w:rsidR="00FE638F">
              <w:rPr>
                <w:color w:val="auto"/>
              </w:rPr>
              <w:t>standard</w:t>
            </w:r>
            <w:r w:rsidR="00CB78CE" w:rsidRPr="00CB78CE">
              <w:rPr>
                <w:color w:val="auto"/>
              </w:rPr>
              <w:t xml:space="preserve"> – activities may include: </w:t>
            </w:r>
            <w:r>
              <w:rPr>
                <w:color w:val="auto"/>
              </w:rPr>
              <w:t xml:space="preserve">adoption of </w:t>
            </w:r>
            <w:r w:rsidR="002E6195" w:rsidRPr="000851A2">
              <w:rPr>
                <w:color w:val="auto"/>
              </w:rPr>
              <w:t>the</w:t>
            </w:r>
            <w:r w:rsidR="004046F1">
              <w:rPr>
                <w:color w:val="auto"/>
              </w:rPr>
              <w:t xml:space="preserve"> </w:t>
            </w:r>
            <w:hyperlink r:id="rId15" w:history="1">
              <w:r w:rsidR="00EE0E68" w:rsidRPr="00C65980">
                <w:rPr>
                  <w:rStyle w:val="Hyperlink"/>
                  <w:i/>
                  <w:iCs/>
                  <w:lang w:val="en-GB"/>
                </w:rPr>
                <w:t>Commercial Consent Agreement for Access to Private Land in Victoria</w:t>
              </w:r>
            </w:hyperlink>
            <w:r w:rsidR="004046F1">
              <w:rPr>
                <w:color w:val="auto"/>
              </w:rPr>
              <w:t xml:space="preserve"> (or equivalent)</w:t>
            </w:r>
            <w:r w:rsidR="00555B55" w:rsidRPr="000851A2">
              <w:rPr>
                <w:color w:val="auto"/>
              </w:rPr>
              <w:t xml:space="preserve">; </w:t>
            </w:r>
            <w:r w:rsidR="004046F1">
              <w:rPr>
                <w:color w:val="auto"/>
              </w:rPr>
              <w:t>periodic public communications (</w:t>
            </w:r>
            <w:proofErr w:type="spellStart"/>
            <w:r w:rsidR="004046F1">
              <w:rPr>
                <w:color w:val="auto"/>
              </w:rPr>
              <w:t>eg</w:t>
            </w:r>
            <w:proofErr w:type="spellEnd"/>
            <w:r w:rsidR="004046F1">
              <w:rPr>
                <w:color w:val="auto"/>
              </w:rPr>
              <w:t xml:space="preserve"> newsletters); </w:t>
            </w:r>
            <w:r w:rsidR="00555B55" w:rsidRPr="000851A2">
              <w:rPr>
                <w:color w:val="auto"/>
              </w:rPr>
              <w:t xml:space="preserve">participation in local community </w:t>
            </w:r>
            <w:r w:rsidR="00555B55">
              <w:rPr>
                <w:color w:val="auto"/>
              </w:rPr>
              <w:t xml:space="preserve">events and </w:t>
            </w:r>
            <w:r w:rsidR="00555B55" w:rsidRPr="000851A2">
              <w:rPr>
                <w:color w:val="auto"/>
              </w:rPr>
              <w:t>activities</w:t>
            </w:r>
            <w:r w:rsidR="00555B55">
              <w:rPr>
                <w:color w:val="auto"/>
              </w:rPr>
              <w:t xml:space="preserve"> </w:t>
            </w:r>
            <w:r w:rsidR="00CB78CE" w:rsidRPr="00CB78CE">
              <w:rPr>
                <w:color w:val="auto"/>
              </w:rPr>
              <w:br/>
            </w:r>
          </w:p>
          <w:p w14:paraId="6FE39208" w14:textId="77777777" w:rsidR="00460332" w:rsidRDefault="00CB78CE" w:rsidP="000851A2">
            <w:pPr>
              <w:spacing w:before="0" w:after="0"/>
              <w:rPr>
                <w:color w:val="auto"/>
              </w:rPr>
            </w:pPr>
            <w:r w:rsidRPr="00CB78CE">
              <w:rPr>
                <w:color w:val="auto"/>
              </w:rPr>
              <w:t>Advanced</w:t>
            </w:r>
          </w:p>
          <w:p w14:paraId="1AFEEFB4" w14:textId="7D070197" w:rsidR="00CB78CE" w:rsidRDefault="00CB78CE" w:rsidP="00460332">
            <w:pPr>
              <w:pStyle w:val="ListParagraph"/>
              <w:numPr>
                <w:ilvl w:val="0"/>
                <w:numId w:val="16"/>
              </w:numPr>
              <w:spacing w:before="0" w:after="0"/>
              <w:rPr>
                <w:color w:val="auto"/>
              </w:rPr>
            </w:pPr>
            <w:r w:rsidRPr="00460332">
              <w:rPr>
                <w:color w:val="auto"/>
              </w:rPr>
              <w:t xml:space="preserve">activities may include: </w:t>
            </w:r>
            <w:r w:rsidR="00555B55" w:rsidRPr="00460332">
              <w:rPr>
                <w:color w:val="auto"/>
              </w:rPr>
              <w:t xml:space="preserve">adoption of </w:t>
            </w:r>
            <w:r w:rsidR="004046F1" w:rsidRPr="00460332">
              <w:rPr>
                <w:color w:val="auto"/>
              </w:rPr>
              <w:t>the land access agreement developed by the Minerals Council of Australia and the Victorian Farmers Federation (or equivalent);</w:t>
            </w:r>
            <w:r w:rsidR="00555B55" w:rsidRPr="00460332">
              <w:rPr>
                <w:color w:val="auto"/>
              </w:rPr>
              <w:t xml:space="preserve"> </w:t>
            </w:r>
            <w:r w:rsidR="004046F1" w:rsidRPr="00460332">
              <w:rPr>
                <w:color w:val="auto"/>
              </w:rPr>
              <w:t>periodic public communications (</w:t>
            </w:r>
            <w:proofErr w:type="spellStart"/>
            <w:r w:rsidR="004046F1" w:rsidRPr="00460332">
              <w:rPr>
                <w:color w:val="auto"/>
              </w:rPr>
              <w:t>eg</w:t>
            </w:r>
            <w:proofErr w:type="spellEnd"/>
            <w:r w:rsidR="004046F1" w:rsidRPr="00460332">
              <w:rPr>
                <w:color w:val="auto"/>
              </w:rPr>
              <w:t xml:space="preserve"> newsletters, local media releases); </w:t>
            </w:r>
            <w:r w:rsidR="00555B55" w:rsidRPr="00460332">
              <w:rPr>
                <w:color w:val="auto"/>
              </w:rPr>
              <w:t>participation in local community events and activities</w:t>
            </w:r>
            <w:r w:rsidR="004046F1" w:rsidRPr="00460332">
              <w:rPr>
                <w:color w:val="auto"/>
              </w:rPr>
              <w:t>;</w:t>
            </w:r>
            <w:r w:rsidR="00555B55" w:rsidRPr="00460332">
              <w:rPr>
                <w:color w:val="auto"/>
              </w:rPr>
              <w:t xml:space="preserve"> </w:t>
            </w:r>
            <w:r w:rsidR="00AC0581" w:rsidRPr="00460332">
              <w:rPr>
                <w:color w:val="auto"/>
              </w:rPr>
              <w:t>open or field days</w:t>
            </w:r>
            <w:r w:rsidR="00FE638F" w:rsidRPr="00460332">
              <w:rPr>
                <w:color w:val="auto"/>
              </w:rPr>
              <w:t>; continuing one-on-one engagement activities;</w:t>
            </w:r>
            <w:r w:rsidR="00523EFF" w:rsidRPr="00460332">
              <w:rPr>
                <w:color w:val="auto"/>
              </w:rPr>
              <w:t xml:space="preserve"> </w:t>
            </w:r>
            <w:r w:rsidR="00555B55" w:rsidRPr="00460332">
              <w:rPr>
                <w:color w:val="auto"/>
              </w:rPr>
              <w:t xml:space="preserve">operation of </w:t>
            </w:r>
            <w:r w:rsidR="004046F1" w:rsidRPr="00460332">
              <w:rPr>
                <w:color w:val="auto"/>
              </w:rPr>
              <w:t xml:space="preserve">a </w:t>
            </w:r>
            <w:r w:rsidR="00555B55" w:rsidRPr="00460332">
              <w:rPr>
                <w:color w:val="auto"/>
              </w:rPr>
              <w:t xml:space="preserve">local office accessible to community members; </w:t>
            </w:r>
            <w:r w:rsidR="004046F1" w:rsidRPr="00460332">
              <w:rPr>
                <w:color w:val="auto"/>
              </w:rPr>
              <w:t xml:space="preserve">procurement of </w:t>
            </w:r>
            <w:r w:rsidR="00523EFF" w:rsidRPr="00460332">
              <w:rPr>
                <w:color w:val="auto"/>
              </w:rPr>
              <w:t>goods and services from local businesses</w:t>
            </w:r>
          </w:p>
          <w:p w14:paraId="56653F37" w14:textId="589582D7" w:rsidR="00460332" w:rsidRPr="00460332" w:rsidRDefault="00460332" w:rsidP="00460332">
            <w:pPr>
              <w:pStyle w:val="ListParagraph"/>
              <w:numPr>
                <w:ilvl w:val="0"/>
                <w:numId w:val="16"/>
              </w:numPr>
              <w:spacing w:before="0" w:after="0"/>
              <w:rPr>
                <w:color w:val="auto"/>
              </w:rPr>
            </w:pPr>
            <w:r>
              <w:rPr>
                <w:color w:val="auto"/>
              </w:rPr>
              <w:lastRenderedPageBreak/>
              <w:t xml:space="preserve">expertise may include </w:t>
            </w:r>
            <w:r w:rsidR="00AA3B05">
              <w:rPr>
                <w:color w:val="auto"/>
              </w:rPr>
              <w:t>a trained community engagement officer with International Association for Public Participation (IAP2) certification</w:t>
            </w:r>
          </w:p>
        </w:tc>
        <w:tc>
          <w:tcPr>
            <w:tcW w:w="2700" w:type="dxa"/>
            <w:tcBorders>
              <w:top w:val="single" w:sz="4" w:space="0" w:color="auto"/>
              <w:left w:val="nil"/>
              <w:bottom w:val="single" w:sz="4" w:space="0" w:color="auto"/>
              <w:right w:val="single" w:sz="4" w:space="0" w:color="auto"/>
            </w:tcBorders>
            <w:shd w:val="clear" w:color="auto" w:fill="E3DEF5" w:themeFill="text1" w:themeFillTint="1A"/>
            <w:vAlign w:val="center"/>
            <w:hideMark/>
          </w:tcPr>
          <w:p w14:paraId="053F4BF1" w14:textId="5E48CEA7" w:rsidR="00CB78CE" w:rsidRDefault="004046F1" w:rsidP="004046F1">
            <w:pPr>
              <w:spacing w:before="0" w:after="0"/>
              <w:jc w:val="center"/>
              <w:rPr>
                <w:color w:val="auto"/>
                <w:szCs w:val="20"/>
              </w:rPr>
            </w:pPr>
            <w:r>
              <w:rPr>
                <w:color w:val="auto"/>
                <w:szCs w:val="20"/>
              </w:rPr>
              <w:lastRenderedPageBreak/>
              <w:t xml:space="preserve">Above </w:t>
            </w:r>
            <w:r w:rsidR="00CB78CE" w:rsidRPr="00E47905">
              <w:rPr>
                <w:color w:val="auto"/>
                <w:szCs w:val="20"/>
              </w:rPr>
              <w:t xml:space="preserve">Standard = </w:t>
            </w:r>
            <w:r w:rsidR="00CB78CE">
              <w:rPr>
                <w:color w:val="auto"/>
                <w:szCs w:val="20"/>
              </w:rPr>
              <w:t>25</w:t>
            </w:r>
            <w:r w:rsidR="00CB78CE" w:rsidRPr="00E47905">
              <w:rPr>
                <w:color w:val="auto"/>
                <w:szCs w:val="20"/>
              </w:rPr>
              <w:br/>
              <w:t xml:space="preserve">Advanced </w:t>
            </w:r>
            <w:r w:rsidR="00AA3B05">
              <w:rPr>
                <w:color w:val="auto"/>
                <w:szCs w:val="20"/>
              </w:rPr>
              <w:t xml:space="preserve">(without IAP2 engagement officer) </w:t>
            </w:r>
            <w:r w:rsidR="00CB78CE" w:rsidRPr="00E47905">
              <w:rPr>
                <w:color w:val="auto"/>
                <w:szCs w:val="20"/>
              </w:rPr>
              <w:t xml:space="preserve">= </w:t>
            </w:r>
            <w:r w:rsidR="00CB78CE">
              <w:rPr>
                <w:color w:val="auto"/>
                <w:szCs w:val="20"/>
              </w:rPr>
              <w:t>50</w:t>
            </w:r>
          </w:p>
          <w:p w14:paraId="05370251" w14:textId="2192C768" w:rsidR="00AA3B05" w:rsidRPr="00E47905" w:rsidRDefault="00AA3B05" w:rsidP="004046F1">
            <w:pPr>
              <w:spacing w:before="0" w:after="0"/>
              <w:jc w:val="center"/>
              <w:rPr>
                <w:color w:val="auto"/>
                <w:szCs w:val="20"/>
              </w:rPr>
            </w:pPr>
            <w:r>
              <w:rPr>
                <w:color w:val="auto"/>
                <w:szCs w:val="20"/>
              </w:rPr>
              <w:t>Advanced (with IAP2 engagement officer) = 100</w:t>
            </w:r>
          </w:p>
        </w:tc>
      </w:tr>
    </w:tbl>
    <w:p w14:paraId="3875B0F3" w14:textId="2C5EF89A" w:rsidR="005E311B" w:rsidRDefault="00B5171B" w:rsidP="000851A2">
      <w:pPr>
        <w:pStyle w:val="bodyCopy"/>
        <w:spacing w:after="0"/>
        <w:rPr>
          <w:color w:val="auto"/>
          <w:sz w:val="20"/>
        </w:rPr>
      </w:pPr>
      <w:r w:rsidRPr="00B5171B">
        <w:rPr>
          <w:color w:val="auto"/>
          <w:sz w:val="16"/>
          <w:szCs w:val="16"/>
        </w:rPr>
        <w:t>Note</w:t>
      </w:r>
      <w:r>
        <w:rPr>
          <w:color w:val="auto"/>
          <w:sz w:val="16"/>
          <w:szCs w:val="16"/>
        </w:rPr>
        <w:t>:</w:t>
      </w:r>
      <w:r w:rsidR="00071645">
        <w:rPr>
          <w:color w:val="auto"/>
          <w:sz w:val="16"/>
          <w:szCs w:val="16"/>
        </w:rPr>
        <w:t xml:space="preserve"> </w:t>
      </w:r>
      <w:r w:rsidRPr="00B5171B">
        <w:rPr>
          <w:color w:val="auto"/>
          <w:sz w:val="20"/>
          <w:vertAlign w:val="superscript"/>
        </w:rPr>
        <w:t xml:space="preserve"># </w:t>
      </w:r>
      <w:r w:rsidR="006B12F7" w:rsidRPr="00B5171B">
        <w:rPr>
          <w:color w:val="auto"/>
          <w:sz w:val="16"/>
          <w:szCs w:val="16"/>
        </w:rPr>
        <w:t xml:space="preserve">Earth Resources Regulation publishes the required minimum expenditure on its website: </w:t>
      </w:r>
      <w:hyperlink r:id="rId16" w:history="1">
        <w:r w:rsidR="00CF13F4" w:rsidRPr="00B5171B">
          <w:rPr>
            <w:rStyle w:val="Hyperlink"/>
            <w:sz w:val="16"/>
            <w:szCs w:val="16"/>
          </w:rPr>
          <w:t>Minimum expenditure requirements for exploration</w:t>
        </w:r>
      </w:hyperlink>
      <w:r w:rsidR="00CF13F4" w:rsidRPr="00B5171B">
        <w:rPr>
          <w:color w:val="auto"/>
          <w:sz w:val="16"/>
          <w:szCs w:val="16"/>
        </w:rPr>
        <w:t>.</w:t>
      </w:r>
      <w:r w:rsidR="00CF13F4">
        <w:rPr>
          <w:color w:val="auto"/>
          <w:sz w:val="20"/>
        </w:rPr>
        <w:t xml:space="preserve"> </w:t>
      </w:r>
    </w:p>
    <w:p w14:paraId="161229C7" w14:textId="1BBB58F4" w:rsidR="00343B07" w:rsidRPr="00104922" w:rsidRDefault="00343B07" w:rsidP="00784CA5">
      <w:pPr>
        <w:pStyle w:val="DEDJTRPolicyH1"/>
        <w:numPr>
          <w:ilvl w:val="0"/>
          <w:numId w:val="17"/>
        </w:numPr>
      </w:pPr>
      <w:bookmarkStart w:id="7" w:name="_Toc12876523"/>
      <w:r w:rsidRPr="00343B07">
        <w:t>Other considerations</w:t>
      </w:r>
      <w:bookmarkEnd w:id="7"/>
    </w:p>
    <w:p w14:paraId="51D9866B" w14:textId="77777777" w:rsidR="001D75C6" w:rsidRDefault="001D75C6" w:rsidP="001D75C6">
      <w:pPr>
        <w:pStyle w:val="enorm"/>
        <w:jc w:val="left"/>
        <w:rPr>
          <w:szCs w:val="22"/>
          <w:lang w:val="en-AU" w:eastAsia="en-AU"/>
        </w:rPr>
      </w:pPr>
      <w:r>
        <w:rPr>
          <w:szCs w:val="22"/>
          <w:lang w:val="en-AU" w:eastAsia="en-AU"/>
        </w:rPr>
        <w:t>Applicants for a licence must satisfy the Minister or Ministerial delegate with respect to the following matters.</w:t>
      </w:r>
    </w:p>
    <w:p w14:paraId="21068985" w14:textId="4324BA36" w:rsidR="001D75C6" w:rsidRPr="001D75C6" w:rsidRDefault="00784CA5" w:rsidP="001D75C6">
      <w:pPr>
        <w:pStyle w:val="enorm"/>
        <w:jc w:val="left"/>
        <w:rPr>
          <w:b/>
          <w:szCs w:val="22"/>
          <w:lang w:val="en-AU" w:eastAsia="en-AU"/>
        </w:rPr>
      </w:pPr>
      <w:r>
        <w:rPr>
          <w:b/>
          <w:szCs w:val="22"/>
          <w:lang w:val="en-AU" w:eastAsia="en-AU"/>
        </w:rPr>
        <w:t>3.</w:t>
      </w:r>
      <w:r w:rsidR="001D75C6" w:rsidRPr="001D75C6">
        <w:rPr>
          <w:b/>
          <w:szCs w:val="22"/>
          <w:lang w:val="en-AU" w:eastAsia="en-AU"/>
        </w:rPr>
        <w:t xml:space="preserve">1 </w:t>
      </w:r>
      <w:r w:rsidR="001D75C6">
        <w:rPr>
          <w:b/>
          <w:szCs w:val="22"/>
          <w:lang w:val="en-AU" w:eastAsia="en-AU"/>
        </w:rPr>
        <w:t xml:space="preserve">Applicant’s Status as a </w:t>
      </w:r>
      <w:r w:rsidR="001D75C6" w:rsidRPr="001D75C6">
        <w:rPr>
          <w:b/>
          <w:szCs w:val="22"/>
          <w:lang w:val="en-AU" w:eastAsia="en-AU"/>
        </w:rPr>
        <w:t>Fit and Proper Person</w:t>
      </w:r>
    </w:p>
    <w:p w14:paraId="12D67435" w14:textId="77777777" w:rsidR="001D75C6" w:rsidRPr="001D75C6" w:rsidRDefault="001D75C6" w:rsidP="001D75C6">
      <w:pPr>
        <w:pStyle w:val="enorm"/>
        <w:jc w:val="left"/>
        <w:rPr>
          <w:szCs w:val="22"/>
          <w:lang w:val="en-AU" w:eastAsia="en-AU"/>
        </w:rPr>
      </w:pPr>
      <w:r w:rsidRPr="001D75C6">
        <w:rPr>
          <w:szCs w:val="22"/>
          <w:lang w:val="en-AU" w:eastAsia="en-AU"/>
        </w:rPr>
        <w:t xml:space="preserve">The likelihood of an applicant being a fit and proper person </w:t>
      </w:r>
      <w:r w:rsidR="0095760C">
        <w:rPr>
          <w:szCs w:val="22"/>
          <w:lang w:val="en-AU" w:eastAsia="en-AU"/>
        </w:rPr>
        <w:t xml:space="preserve">to hold a licence </w:t>
      </w:r>
      <w:r w:rsidRPr="001D75C6">
        <w:rPr>
          <w:szCs w:val="22"/>
          <w:lang w:val="en-AU" w:eastAsia="en-AU"/>
        </w:rPr>
        <w:t xml:space="preserve">will be assessed in accordance with the </w:t>
      </w:r>
      <w:r w:rsidRPr="001D75C6">
        <w:rPr>
          <w:i/>
          <w:szCs w:val="22"/>
          <w:lang w:val="en-AU" w:eastAsia="en-AU"/>
        </w:rPr>
        <w:t>Operational Policy – Fit and Proper Person</w:t>
      </w:r>
      <w:r w:rsidRPr="001D75C6">
        <w:rPr>
          <w:szCs w:val="22"/>
          <w:lang w:val="en-AU" w:eastAsia="en-AU"/>
        </w:rPr>
        <w:t xml:space="preserve">.  </w:t>
      </w:r>
    </w:p>
    <w:p w14:paraId="4834D445" w14:textId="2CADFF17" w:rsidR="001D75C6" w:rsidRPr="001D75C6" w:rsidRDefault="00784CA5" w:rsidP="001D75C6">
      <w:pPr>
        <w:pStyle w:val="enorm"/>
        <w:jc w:val="left"/>
        <w:rPr>
          <w:b/>
          <w:szCs w:val="22"/>
          <w:lang w:val="en-AU" w:eastAsia="en-AU"/>
        </w:rPr>
      </w:pPr>
      <w:r>
        <w:rPr>
          <w:b/>
          <w:szCs w:val="22"/>
          <w:lang w:val="en-AU" w:eastAsia="en-AU"/>
        </w:rPr>
        <w:t>3</w:t>
      </w:r>
      <w:r w:rsidR="001D75C6">
        <w:rPr>
          <w:b/>
          <w:szCs w:val="22"/>
          <w:lang w:val="en-AU" w:eastAsia="en-AU"/>
        </w:rPr>
        <w:t xml:space="preserve">.2 Applicant’s </w:t>
      </w:r>
      <w:r w:rsidR="00924BA9">
        <w:rPr>
          <w:b/>
          <w:szCs w:val="22"/>
          <w:lang w:val="en-AU" w:eastAsia="en-AU"/>
        </w:rPr>
        <w:t>I</w:t>
      </w:r>
      <w:r w:rsidR="001D75C6" w:rsidRPr="001D75C6">
        <w:rPr>
          <w:b/>
          <w:szCs w:val="22"/>
          <w:lang w:val="en-AU" w:eastAsia="en-AU"/>
        </w:rPr>
        <w:t>ntent to</w:t>
      </w:r>
      <w:r w:rsidR="00924BA9">
        <w:rPr>
          <w:b/>
          <w:szCs w:val="22"/>
          <w:lang w:val="en-AU" w:eastAsia="en-AU"/>
        </w:rPr>
        <w:t xml:space="preserve"> C</w:t>
      </w:r>
      <w:r w:rsidR="001D75C6" w:rsidRPr="001D75C6">
        <w:rPr>
          <w:b/>
          <w:szCs w:val="22"/>
          <w:lang w:val="en-AU" w:eastAsia="en-AU"/>
        </w:rPr>
        <w:t>omply with the MRSDA</w:t>
      </w:r>
    </w:p>
    <w:p w14:paraId="2DC02BB1" w14:textId="77777777" w:rsidR="001D75C6" w:rsidRPr="001D75C6" w:rsidRDefault="001D75C6" w:rsidP="001D75C6">
      <w:pPr>
        <w:pStyle w:val="enorm"/>
        <w:jc w:val="left"/>
        <w:rPr>
          <w:szCs w:val="22"/>
          <w:lang w:val="en-AU" w:eastAsia="en-AU"/>
        </w:rPr>
      </w:pPr>
      <w:r w:rsidRPr="001D75C6">
        <w:rPr>
          <w:szCs w:val="22"/>
          <w:lang w:val="en-AU" w:eastAsia="en-AU"/>
        </w:rPr>
        <w:t xml:space="preserve">A binary ‘yes or no’ checklist will be used to confirm (or otherwise) </w:t>
      </w:r>
      <w:r>
        <w:rPr>
          <w:szCs w:val="22"/>
          <w:lang w:val="en-AU" w:eastAsia="en-AU"/>
        </w:rPr>
        <w:t xml:space="preserve">that </w:t>
      </w:r>
      <w:r w:rsidRPr="001D75C6">
        <w:rPr>
          <w:szCs w:val="22"/>
          <w:lang w:val="en-AU" w:eastAsia="en-AU"/>
        </w:rPr>
        <w:t>an applicant inten</w:t>
      </w:r>
      <w:r>
        <w:rPr>
          <w:szCs w:val="22"/>
          <w:lang w:val="en-AU" w:eastAsia="en-AU"/>
        </w:rPr>
        <w:t>ds</w:t>
      </w:r>
      <w:r w:rsidRPr="001D75C6">
        <w:rPr>
          <w:szCs w:val="22"/>
          <w:lang w:val="en-AU" w:eastAsia="en-AU"/>
        </w:rPr>
        <w:t xml:space="preserve"> to comply with the MRSDA, particularly with respect to the principles of sustainable development specified in Section 2A. Each applicant will be requested to complete and submit the checklist in the form of a signed attestation for this purpose. </w:t>
      </w:r>
    </w:p>
    <w:p w14:paraId="4058E9DC" w14:textId="26396210" w:rsidR="00FB37E6" w:rsidRPr="00965566" w:rsidRDefault="00784CA5" w:rsidP="00FB37E6">
      <w:pPr>
        <w:pStyle w:val="enorm"/>
        <w:jc w:val="left"/>
        <w:rPr>
          <w:b/>
          <w:szCs w:val="22"/>
          <w:lang w:val="en-AU" w:eastAsia="en-AU"/>
        </w:rPr>
      </w:pPr>
      <w:r>
        <w:rPr>
          <w:b/>
          <w:szCs w:val="22"/>
          <w:lang w:val="en-AU" w:eastAsia="en-AU"/>
        </w:rPr>
        <w:t>3</w:t>
      </w:r>
      <w:r w:rsidR="00FB37E6" w:rsidRPr="00965566">
        <w:rPr>
          <w:b/>
          <w:szCs w:val="22"/>
          <w:lang w:val="en-AU" w:eastAsia="en-AU"/>
        </w:rPr>
        <w:t>.</w:t>
      </w:r>
      <w:r w:rsidR="001D75C6">
        <w:rPr>
          <w:b/>
          <w:szCs w:val="22"/>
          <w:lang w:val="en-AU" w:eastAsia="en-AU"/>
        </w:rPr>
        <w:t>3</w:t>
      </w:r>
      <w:r w:rsidR="00FB37E6" w:rsidRPr="00965566">
        <w:rPr>
          <w:b/>
          <w:szCs w:val="22"/>
          <w:lang w:val="en-AU" w:eastAsia="en-AU"/>
        </w:rPr>
        <w:t xml:space="preserve"> </w:t>
      </w:r>
      <w:r w:rsidR="001D75C6">
        <w:rPr>
          <w:rFonts w:asciiTheme="minorHAnsi" w:hAnsiTheme="minorHAnsi" w:cstheme="minorHAnsi"/>
          <w:b/>
          <w:szCs w:val="24"/>
          <w:lang w:val="en-AU"/>
        </w:rPr>
        <w:t>Applicant’s G</w:t>
      </w:r>
      <w:r w:rsidR="00FB37E6" w:rsidRPr="00965566">
        <w:rPr>
          <w:rFonts w:asciiTheme="minorHAnsi" w:hAnsiTheme="minorHAnsi" w:cstheme="minorHAnsi"/>
          <w:b/>
          <w:szCs w:val="24"/>
          <w:lang w:val="en-AU"/>
        </w:rPr>
        <w:t>enuine Intent to do Work</w:t>
      </w:r>
    </w:p>
    <w:p w14:paraId="2E107E7B" w14:textId="77777777" w:rsidR="00546549" w:rsidRDefault="00FB37E6" w:rsidP="00546549">
      <w:pPr>
        <w:pStyle w:val="enorm"/>
        <w:jc w:val="left"/>
        <w:rPr>
          <w:szCs w:val="22"/>
          <w:lang w:val="en-AU" w:eastAsia="en-AU"/>
        </w:rPr>
      </w:pPr>
      <w:r>
        <w:rPr>
          <w:szCs w:val="22"/>
          <w:lang w:val="en-AU" w:eastAsia="en-AU"/>
        </w:rPr>
        <w:t xml:space="preserve">Applicants </w:t>
      </w:r>
      <w:r w:rsidR="00965566">
        <w:rPr>
          <w:szCs w:val="22"/>
          <w:lang w:val="en-AU" w:eastAsia="en-AU"/>
        </w:rPr>
        <w:t xml:space="preserve">are required to </w:t>
      </w:r>
      <w:r>
        <w:rPr>
          <w:szCs w:val="22"/>
          <w:lang w:val="en-AU" w:eastAsia="en-AU"/>
        </w:rPr>
        <w:t>demonstrate that they</w:t>
      </w:r>
      <w:r w:rsidRPr="00FB37E6">
        <w:t xml:space="preserve"> </w:t>
      </w:r>
      <w:r>
        <w:t>g</w:t>
      </w:r>
      <w:r w:rsidRPr="0001216E">
        <w:t>enuine</w:t>
      </w:r>
      <w:r>
        <w:t>ly</w:t>
      </w:r>
      <w:r w:rsidRPr="0001216E">
        <w:t xml:space="preserve"> </w:t>
      </w:r>
      <w:r>
        <w:t>intend to undertake their proposed work program</w:t>
      </w:r>
      <w:r w:rsidR="00965566">
        <w:t>.</w:t>
      </w:r>
    </w:p>
    <w:p w14:paraId="49D0FB31" w14:textId="77777777" w:rsidR="00FB37E6" w:rsidRDefault="00965566" w:rsidP="00FB37E6">
      <w:pPr>
        <w:pStyle w:val="enorm"/>
        <w:jc w:val="left"/>
      </w:pPr>
      <w:r>
        <w:rPr>
          <w:szCs w:val="22"/>
          <w:lang w:val="en-AU" w:eastAsia="en-AU"/>
        </w:rPr>
        <w:t>Earth Resources Regulation will consider an</w:t>
      </w:r>
      <w:r w:rsidR="00546549">
        <w:rPr>
          <w:szCs w:val="22"/>
          <w:lang w:val="en-AU" w:eastAsia="en-AU"/>
        </w:rPr>
        <w:t>y</w:t>
      </w:r>
      <w:r>
        <w:rPr>
          <w:szCs w:val="22"/>
          <w:lang w:val="en-AU" w:eastAsia="en-AU"/>
        </w:rPr>
        <w:t xml:space="preserve"> relevant written evidence provided by an applicant, </w:t>
      </w:r>
      <w:r w:rsidR="00FB37E6">
        <w:t>such as (but not limited to):</w:t>
      </w:r>
    </w:p>
    <w:p w14:paraId="71415DB7" w14:textId="77777777" w:rsidR="00FB37E6" w:rsidRDefault="00FB37E6" w:rsidP="0095760C">
      <w:pPr>
        <w:pStyle w:val="enorm"/>
        <w:numPr>
          <w:ilvl w:val="0"/>
          <w:numId w:val="9"/>
        </w:numPr>
        <w:jc w:val="left"/>
        <w:rPr>
          <w:szCs w:val="22"/>
          <w:lang w:val="en-AU" w:eastAsia="en-AU"/>
        </w:rPr>
      </w:pPr>
      <w:r w:rsidRPr="00FB37E6">
        <w:rPr>
          <w:szCs w:val="22"/>
          <w:lang w:val="en-AU" w:eastAsia="en-AU"/>
        </w:rPr>
        <w:t>the delivery of previous minerals exploration programs in Australia or a comparable overseas jurisdiction</w:t>
      </w:r>
      <w:r>
        <w:rPr>
          <w:szCs w:val="22"/>
          <w:lang w:val="en-AU" w:eastAsia="en-AU"/>
        </w:rPr>
        <w:t>,</w:t>
      </w:r>
    </w:p>
    <w:p w14:paraId="73B52A4A" w14:textId="77777777" w:rsidR="00965566" w:rsidRDefault="00965566" w:rsidP="0095760C">
      <w:pPr>
        <w:pStyle w:val="enorm"/>
        <w:numPr>
          <w:ilvl w:val="0"/>
          <w:numId w:val="9"/>
        </w:numPr>
        <w:jc w:val="left"/>
        <w:rPr>
          <w:szCs w:val="22"/>
          <w:lang w:val="en-AU" w:eastAsia="en-AU"/>
        </w:rPr>
      </w:pPr>
      <w:r>
        <w:rPr>
          <w:szCs w:val="22"/>
          <w:lang w:val="en-AU" w:eastAsia="en-AU"/>
        </w:rPr>
        <w:t xml:space="preserve">completion or efforts to negotiate </w:t>
      </w:r>
      <w:r>
        <w:t>N</w:t>
      </w:r>
      <w:r w:rsidRPr="00CC3DB6">
        <w:t xml:space="preserve">ative </w:t>
      </w:r>
      <w:r>
        <w:t>T</w:t>
      </w:r>
      <w:r w:rsidRPr="00CC3DB6">
        <w:t xml:space="preserve">itle </w:t>
      </w:r>
      <w:r>
        <w:t xml:space="preserve">agreements </w:t>
      </w:r>
      <w:r>
        <w:rPr>
          <w:szCs w:val="22"/>
          <w:lang w:val="en-AU" w:eastAsia="en-AU"/>
        </w:rPr>
        <w:t>with respect to their other relevant work programs</w:t>
      </w:r>
      <w:r>
        <w:t xml:space="preserve">, </w:t>
      </w:r>
    </w:p>
    <w:p w14:paraId="08245FFB" w14:textId="77777777" w:rsidR="00FB37E6" w:rsidRPr="00FB37E6" w:rsidRDefault="00965566" w:rsidP="0095760C">
      <w:pPr>
        <w:pStyle w:val="enorm"/>
        <w:numPr>
          <w:ilvl w:val="0"/>
          <w:numId w:val="9"/>
        </w:numPr>
        <w:jc w:val="left"/>
        <w:rPr>
          <w:szCs w:val="22"/>
          <w:lang w:val="en-AU" w:eastAsia="en-AU"/>
        </w:rPr>
      </w:pPr>
      <w:r>
        <w:rPr>
          <w:szCs w:val="22"/>
          <w:lang w:val="en-AU" w:eastAsia="en-AU"/>
        </w:rPr>
        <w:t xml:space="preserve">proactive </w:t>
      </w:r>
      <w:r w:rsidR="00FB37E6">
        <w:rPr>
          <w:szCs w:val="22"/>
          <w:lang w:val="en-AU" w:eastAsia="en-AU"/>
        </w:rPr>
        <w:t xml:space="preserve">engagement with </w:t>
      </w:r>
      <w:r>
        <w:rPr>
          <w:szCs w:val="22"/>
          <w:lang w:val="en-AU" w:eastAsia="en-AU"/>
        </w:rPr>
        <w:t>local communities with respect to their other relevant work programs.</w:t>
      </w:r>
    </w:p>
    <w:p w14:paraId="7682E6D7" w14:textId="77777777" w:rsidR="00FB37E6" w:rsidRDefault="00FB37E6" w:rsidP="00FB37E6">
      <w:pPr>
        <w:pStyle w:val="enorm"/>
        <w:jc w:val="left"/>
        <w:rPr>
          <w:szCs w:val="22"/>
          <w:lang w:val="en-AU" w:eastAsia="en-AU"/>
        </w:rPr>
      </w:pPr>
      <w:r>
        <w:rPr>
          <w:szCs w:val="22"/>
          <w:lang w:val="en-AU" w:eastAsia="en-AU"/>
        </w:rPr>
        <w:t xml:space="preserve">Earth Resources Regulation will also consider an applicant’s pervious history of fulfilling any work commitments under </w:t>
      </w:r>
      <w:r w:rsidR="00965566">
        <w:rPr>
          <w:szCs w:val="22"/>
          <w:lang w:val="en-AU" w:eastAsia="en-AU"/>
        </w:rPr>
        <w:t xml:space="preserve">any licence granted under </w:t>
      </w:r>
      <w:r>
        <w:rPr>
          <w:szCs w:val="22"/>
          <w:lang w:val="en-AU" w:eastAsia="en-AU"/>
        </w:rPr>
        <w:t>the MRSDA.</w:t>
      </w:r>
    </w:p>
    <w:p w14:paraId="16DEAAF6" w14:textId="2DABD8CB" w:rsidR="00965566" w:rsidRPr="00965566" w:rsidRDefault="00784CA5" w:rsidP="00965566">
      <w:pPr>
        <w:pStyle w:val="enorm"/>
        <w:jc w:val="left"/>
        <w:rPr>
          <w:b/>
          <w:szCs w:val="22"/>
          <w:lang w:val="en-AU" w:eastAsia="en-AU"/>
        </w:rPr>
      </w:pPr>
      <w:r>
        <w:rPr>
          <w:b/>
          <w:szCs w:val="22"/>
          <w:lang w:val="en-AU" w:eastAsia="en-AU"/>
        </w:rPr>
        <w:t>3</w:t>
      </w:r>
      <w:r w:rsidR="00965566" w:rsidRPr="00965566">
        <w:rPr>
          <w:b/>
          <w:szCs w:val="22"/>
          <w:lang w:val="en-AU" w:eastAsia="en-AU"/>
        </w:rPr>
        <w:t>.</w:t>
      </w:r>
      <w:r w:rsidR="00924BA9">
        <w:rPr>
          <w:b/>
          <w:szCs w:val="22"/>
          <w:lang w:val="en-AU" w:eastAsia="en-AU"/>
        </w:rPr>
        <w:t>4</w:t>
      </w:r>
      <w:r w:rsidR="00965566" w:rsidRPr="00965566">
        <w:rPr>
          <w:b/>
          <w:szCs w:val="22"/>
          <w:lang w:val="en-AU" w:eastAsia="en-AU"/>
        </w:rPr>
        <w:t xml:space="preserve"> </w:t>
      </w:r>
      <w:r w:rsidR="001D75C6">
        <w:rPr>
          <w:b/>
          <w:szCs w:val="22"/>
          <w:lang w:val="en-AU" w:eastAsia="en-AU"/>
        </w:rPr>
        <w:t xml:space="preserve">Applicant’s </w:t>
      </w:r>
      <w:r w:rsidR="00965566">
        <w:rPr>
          <w:rFonts w:asciiTheme="minorHAnsi" w:hAnsiTheme="minorHAnsi" w:cstheme="minorHAnsi"/>
          <w:b/>
          <w:szCs w:val="24"/>
          <w:lang w:val="en-AU"/>
        </w:rPr>
        <w:t>Financ</w:t>
      </w:r>
      <w:r w:rsidR="00104922">
        <w:rPr>
          <w:rFonts w:asciiTheme="minorHAnsi" w:hAnsiTheme="minorHAnsi" w:cstheme="minorHAnsi"/>
          <w:b/>
          <w:szCs w:val="24"/>
          <w:lang w:val="en-AU"/>
        </w:rPr>
        <w:t>e for Work Program</w:t>
      </w:r>
      <w:r w:rsidR="00924BA9">
        <w:rPr>
          <w:rFonts w:asciiTheme="minorHAnsi" w:hAnsiTheme="minorHAnsi" w:cstheme="minorHAnsi"/>
          <w:b/>
          <w:szCs w:val="24"/>
          <w:lang w:val="en-AU"/>
        </w:rPr>
        <w:t xml:space="preserve"> </w:t>
      </w:r>
    </w:p>
    <w:p w14:paraId="775165B9" w14:textId="77777777" w:rsidR="00965566" w:rsidRDefault="00965566" w:rsidP="00965566">
      <w:pPr>
        <w:pStyle w:val="enorm"/>
        <w:jc w:val="left"/>
      </w:pPr>
      <w:r>
        <w:rPr>
          <w:szCs w:val="22"/>
          <w:lang w:val="en-AU" w:eastAsia="en-AU"/>
        </w:rPr>
        <w:t>Applicants are required to demonstrate that they</w:t>
      </w:r>
      <w:r w:rsidRPr="00FB37E6">
        <w:t xml:space="preserve"> </w:t>
      </w:r>
      <w:r>
        <w:t>are likely to be able to finance their proposed work program</w:t>
      </w:r>
      <w:r w:rsidRPr="00965566">
        <w:rPr>
          <w:szCs w:val="22"/>
          <w:lang w:val="en-AU" w:eastAsia="en-AU"/>
        </w:rPr>
        <w:t xml:space="preserve"> </w:t>
      </w:r>
      <w:r>
        <w:rPr>
          <w:szCs w:val="22"/>
          <w:lang w:val="en-AU" w:eastAsia="en-AU"/>
        </w:rPr>
        <w:t>and any site rehabilitation</w:t>
      </w:r>
      <w:r>
        <w:t>.</w:t>
      </w:r>
    </w:p>
    <w:p w14:paraId="08B8598E" w14:textId="77777777" w:rsidR="00886C70" w:rsidRDefault="00546549" w:rsidP="00546549">
      <w:pPr>
        <w:pStyle w:val="enorm"/>
        <w:jc w:val="left"/>
        <w:rPr>
          <w:rFonts w:asciiTheme="minorHAnsi" w:hAnsiTheme="minorHAnsi" w:cstheme="minorHAnsi"/>
          <w:szCs w:val="24"/>
        </w:rPr>
      </w:pPr>
      <w:r>
        <w:rPr>
          <w:szCs w:val="22"/>
          <w:lang w:val="en-AU" w:eastAsia="en-AU"/>
        </w:rPr>
        <w:t xml:space="preserve">At a minimum, </w:t>
      </w:r>
      <w:r w:rsidRPr="00CC3DB6">
        <w:rPr>
          <w:rFonts w:asciiTheme="minorHAnsi" w:hAnsiTheme="minorHAnsi" w:cstheme="minorHAnsi"/>
          <w:szCs w:val="24"/>
        </w:rPr>
        <w:t>applicant</w:t>
      </w:r>
      <w:r>
        <w:rPr>
          <w:rFonts w:asciiTheme="minorHAnsi" w:hAnsiTheme="minorHAnsi" w:cstheme="minorHAnsi"/>
          <w:szCs w:val="24"/>
        </w:rPr>
        <w:t xml:space="preserve">s must </w:t>
      </w:r>
      <w:r w:rsidRPr="00CC3DB6">
        <w:rPr>
          <w:rFonts w:asciiTheme="minorHAnsi" w:hAnsiTheme="minorHAnsi" w:cstheme="minorHAnsi"/>
          <w:szCs w:val="24"/>
        </w:rPr>
        <w:t xml:space="preserve">demonstrate </w:t>
      </w:r>
      <w:r w:rsidR="00886C70">
        <w:rPr>
          <w:rFonts w:asciiTheme="minorHAnsi" w:hAnsiTheme="minorHAnsi" w:cstheme="minorHAnsi"/>
          <w:szCs w:val="24"/>
        </w:rPr>
        <w:t xml:space="preserve">at the time of their application </w:t>
      </w:r>
      <w:r>
        <w:rPr>
          <w:rFonts w:asciiTheme="minorHAnsi" w:hAnsiTheme="minorHAnsi" w:cstheme="minorHAnsi"/>
          <w:szCs w:val="24"/>
        </w:rPr>
        <w:t>that they</w:t>
      </w:r>
      <w:r w:rsidR="00886C70">
        <w:rPr>
          <w:rFonts w:asciiTheme="minorHAnsi" w:hAnsiTheme="minorHAnsi" w:cstheme="minorHAnsi"/>
          <w:szCs w:val="24"/>
        </w:rPr>
        <w:t>:</w:t>
      </w:r>
    </w:p>
    <w:p w14:paraId="23504D11" w14:textId="36665E1D" w:rsidR="00886C70" w:rsidRDefault="00546549" w:rsidP="0095760C">
      <w:pPr>
        <w:pStyle w:val="enorm"/>
        <w:numPr>
          <w:ilvl w:val="0"/>
          <w:numId w:val="9"/>
        </w:numPr>
        <w:jc w:val="left"/>
        <w:rPr>
          <w:szCs w:val="22"/>
          <w:lang w:val="en-AU" w:eastAsia="en-AU"/>
        </w:rPr>
      </w:pPr>
      <w:bookmarkStart w:id="8" w:name="_Hlk6240832"/>
      <w:r w:rsidRPr="00886C70">
        <w:rPr>
          <w:szCs w:val="22"/>
          <w:lang w:val="en-AU" w:eastAsia="en-AU"/>
        </w:rPr>
        <w:t xml:space="preserve">hold </w:t>
      </w:r>
      <w:r w:rsidR="00886C70" w:rsidRPr="00886C70">
        <w:rPr>
          <w:szCs w:val="22"/>
          <w:lang w:val="en-AU" w:eastAsia="en-AU"/>
        </w:rPr>
        <w:t>enough</w:t>
      </w:r>
      <w:r w:rsidRPr="00886C70">
        <w:rPr>
          <w:szCs w:val="22"/>
          <w:lang w:val="en-AU" w:eastAsia="en-AU"/>
        </w:rPr>
        <w:t xml:space="preserve"> funds </w:t>
      </w:r>
      <w:bookmarkEnd w:id="8"/>
      <w:r w:rsidRPr="00886C70">
        <w:rPr>
          <w:szCs w:val="22"/>
          <w:lang w:val="en-AU" w:eastAsia="en-AU"/>
        </w:rPr>
        <w:t xml:space="preserve">to </w:t>
      </w:r>
      <w:r w:rsidR="00886C70" w:rsidRPr="00886C70">
        <w:rPr>
          <w:szCs w:val="22"/>
          <w:lang w:val="en-AU" w:eastAsia="en-AU"/>
        </w:rPr>
        <w:t>rehabilitat</w:t>
      </w:r>
      <w:r w:rsidR="00587CA1">
        <w:rPr>
          <w:szCs w:val="22"/>
          <w:lang w:val="en-AU" w:eastAsia="en-AU"/>
        </w:rPr>
        <w:t>e</w:t>
      </w:r>
      <w:r w:rsidR="00886C70" w:rsidRPr="00886C70">
        <w:rPr>
          <w:szCs w:val="22"/>
          <w:lang w:val="en-AU" w:eastAsia="en-AU"/>
        </w:rPr>
        <w:t xml:space="preserve"> any land</w:t>
      </w:r>
      <w:r w:rsidR="00587CA1">
        <w:rPr>
          <w:szCs w:val="22"/>
          <w:lang w:val="en-AU" w:eastAsia="en-AU"/>
        </w:rPr>
        <w:t xml:space="preserve"> subject to their proposed work program for the period of a licence</w:t>
      </w:r>
      <w:r w:rsidR="00516486">
        <w:rPr>
          <w:szCs w:val="22"/>
          <w:lang w:val="en-AU" w:eastAsia="en-AU"/>
        </w:rPr>
        <w:t xml:space="preserve"> (in addition to any rehabilitation bonds held by the Department)</w:t>
      </w:r>
      <w:r w:rsidR="00886C70">
        <w:rPr>
          <w:szCs w:val="22"/>
          <w:lang w:val="en-AU" w:eastAsia="en-AU"/>
        </w:rPr>
        <w:t>, and</w:t>
      </w:r>
    </w:p>
    <w:p w14:paraId="5AA94CA8" w14:textId="77777777" w:rsidR="00886C70" w:rsidRDefault="00587CA1" w:rsidP="0095760C">
      <w:pPr>
        <w:pStyle w:val="enorm"/>
        <w:numPr>
          <w:ilvl w:val="0"/>
          <w:numId w:val="9"/>
        </w:numPr>
        <w:jc w:val="left"/>
        <w:rPr>
          <w:szCs w:val="22"/>
          <w:lang w:val="en-AU" w:eastAsia="en-AU"/>
        </w:rPr>
      </w:pPr>
      <w:r w:rsidRPr="00886C70">
        <w:rPr>
          <w:szCs w:val="22"/>
          <w:lang w:val="en-AU" w:eastAsia="en-AU"/>
        </w:rPr>
        <w:t xml:space="preserve">hold or control enough funds </w:t>
      </w:r>
      <w:r>
        <w:rPr>
          <w:szCs w:val="22"/>
          <w:lang w:val="en-AU" w:eastAsia="en-AU"/>
        </w:rPr>
        <w:t xml:space="preserve">to </w:t>
      </w:r>
      <w:r w:rsidR="00886C70" w:rsidRPr="00886C70">
        <w:rPr>
          <w:szCs w:val="22"/>
          <w:lang w:val="en-AU" w:eastAsia="en-AU"/>
        </w:rPr>
        <w:t>conduct</w:t>
      </w:r>
      <w:r w:rsidR="00546549" w:rsidRPr="00886C70">
        <w:rPr>
          <w:szCs w:val="22"/>
          <w:lang w:val="en-AU" w:eastAsia="en-AU"/>
        </w:rPr>
        <w:t xml:space="preserve"> the first two years of the</w:t>
      </w:r>
      <w:r w:rsidR="00886C70" w:rsidRPr="00886C70">
        <w:rPr>
          <w:szCs w:val="22"/>
          <w:lang w:val="en-AU" w:eastAsia="en-AU"/>
        </w:rPr>
        <w:t>ir proposed</w:t>
      </w:r>
      <w:r w:rsidR="00546549" w:rsidRPr="00886C70">
        <w:rPr>
          <w:szCs w:val="22"/>
          <w:lang w:val="en-AU" w:eastAsia="en-AU"/>
        </w:rPr>
        <w:t xml:space="preserve"> </w:t>
      </w:r>
      <w:r>
        <w:rPr>
          <w:szCs w:val="22"/>
          <w:lang w:val="en-AU" w:eastAsia="en-AU"/>
        </w:rPr>
        <w:t>work program</w:t>
      </w:r>
      <w:r w:rsidR="00886C70">
        <w:rPr>
          <w:szCs w:val="22"/>
          <w:lang w:val="en-AU" w:eastAsia="en-AU"/>
        </w:rPr>
        <w:t>,</w:t>
      </w:r>
      <w:r w:rsidR="00546549" w:rsidRPr="00886C70">
        <w:rPr>
          <w:szCs w:val="22"/>
          <w:lang w:val="en-AU" w:eastAsia="en-AU"/>
        </w:rPr>
        <w:t xml:space="preserve"> </w:t>
      </w:r>
      <w:r>
        <w:rPr>
          <w:szCs w:val="22"/>
          <w:lang w:val="en-AU" w:eastAsia="en-AU"/>
        </w:rPr>
        <w:t>and</w:t>
      </w:r>
    </w:p>
    <w:p w14:paraId="2BEEADD0" w14:textId="77777777" w:rsidR="00886C70" w:rsidRPr="00886C70" w:rsidRDefault="00886C70" w:rsidP="0095760C">
      <w:pPr>
        <w:pStyle w:val="enorm"/>
        <w:numPr>
          <w:ilvl w:val="0"/>
          <w:numId w:val="9"/>
        </w:numPr>
        <w:jc w:val="left"/>
        <w:rPr>
          <w:szCs w:val="22"/>
          <w:lang w:val="en-AU" w:eastAsia="en-AU"/>
        </w:rPr>
      </w:pPr>
      <w:r>
        <w:rPr>
          <w:szCs w:val="22"/>
          <w:lang w:val="en-AU" w:eastAsia="en-AU"/>
        </w:rPr>
        <w:t xml:space="preserve">demonstrate a clear and firm pathway to source </w:t>
      </w:r>
      <w:r w:rsidR="00587CA1">
        <w:rPr>
          <w:szCs w:val="22"/>
          <w:lang w:val="en-AU" w:eastAsia="en-AU"/>
        </w:rPr>
        <w:t>further funds to complete their proposed work program</w:t>
      </w:r>
    </w:p>
    <w:p w14:paraId="7E8EC3CC" w14:textId="77777777" w:rsidR="00546549" w:rsidRDefault="00546549" w:rsidP="00546549">
      <w:pPr>
        <w:pStyle w:val="enorm"/>
        <w:jc w:val="left"/>
      </w:pPr>
      <w:r>
        <w:rPr>
          <w:szCs w:val="22"/>
          <w:lang w:val="en-AU" w:eastAsia="en-AU"/>
        </w:rPr>
        <w:t xml:space="preserve">Earth Resources Regulation will consider any relevant written evidence provided by an applicant, </w:t>
      </w:r>
      <w:r>
        <w:t>such as (but not limited to):</w:t>
      </w:r>
    </w:p>
    <w:p w14:paraId="45FA7500" w14:textId="77777777" w:rsidR="00343B07" w:rsidRPr="00CC3DB6" w:rsidRDefault="00343B07" w:rsidP="00587CA1">
      <w:pPr>
        <w:pStyle w:val="ebullet"/>
        <w:jc w:val="left"/>
        <w:rPr>
          <w:rFonts w:asciiTheme="minorHAnsi" w:hAnsiTheme="minorHAnsi" w:cstheme="minorHAnsi"/>
          <w:szCs w:val="24"/>
        </w:rPr>
      </w:pPr>
      <w:r w:rsidRPr="00CC3DB6">
        <w:rPr>
          <w:rFonts w:asciiTheme="minorHAnsi" w:hAnsiTheme="minorHAnsi" w:cstheme="minorHAnsi"/>
          <w:szCs w:val="24"/>
        </w:rPr>
        <w:t>cash</w:t>
      </w:r>
      <w:r w:rsidR="00587CA1">
        <w:rPr>
          <w:rFonts w:asciiTheme="minorHAnsi" w:hAnsiTheme="minorHAnsi" w:cstheme="minorHAnsi"/>
          <w:szCs w:val="24"/>
        </w:rPr>
        <w:t xml:space="preserve"> in reserve</w:t>
      </w:r>
      <w:r w:rsidRPr="00CC3DB6">
        <w:rPr>
          <w:rFonts w:asciiTheme="minorHAnsi" w:hAnsiTheme="minorHAnsi" w:cstheme="minorHAnsi"/>
          <w:szCs w:val="24"/>
        </w:rPr>
        <w:t xml:space="preserve">; </w:t>
      </w:r>
    </w:p>
    <w:p w14:paraId="7CCCB37F" w14:textId="77777777" w:rsidR="00343B07" w:rsidRPr="00CC3DB6" w:rsidRDefault="00343B07" w:rsidP="00343B07">
      <w:pPr>
        <w:pStyle w:val="ebullet"/>
        <w:jc w:val="left"/>
        <w:rPr>
          <w:rFonts w:asciiTheme="minorHAnsi" w:hAnsiTheme="minorHAnsi" w:cstheme="minorHAnsi"/>
          <w:szCs w:val="24"/>
        </w:rPr>
      </w:pPr>
      <w:r w:rsidRPr="00CC3DB6">
        <w:rPr>
          <w:rFonts w:asciiTheme="minorHAnsi" w:hAnsiTheme="minorHAnsi" w:cstheme="minorHAnsi"/>
          <w:szCs w:val="24"/>
        </w:rPr>
        <w:t xml:space="preserve">listed shares owned by the applicant; </w:t>
      </w:r>
    </w:p>
    <w:p w14:paraId="540F13AF" w14:textId="77777777" w:rsidR="00343B07" w:rsidRDefault="00343B07" w:rsidP="00343B07">
      <w:pPr>
        <w:pStyle w:val="ebullet"/>
        <w:jc w:val="left"/>
        <w:rPr>
          <w:rFonts w:asciiTheme="minorHAnsi" w:hAnsiTheme="minorHAnsi" w:cstheme="minorHAnsi"/>
          <w:szCs w:val="24"/>
        </w:rPr>
      </w:pPr>
      <w:r w:rsidRPr="00CC3DB6">
        <w:rPr>
          <w:rFonts w:asciiTheme="minorHAnsi" w:hAnsiTheme="minorHAnsi" w:cstheme="minorHAnsi"/>
          <w:szCs w:val="24"/>
        </w:rPr>
        <w:t xml:space="preserve">a line of credit from a </w:t>
      </w:r>
      <w:proofErr w:type="spellStart"/>
      <w:r w:rsidRPr="00CC3DB6">
        <w:rPr>
          <w:rFonts w:asciiTheme="minorHAnsi" w:hAnsiTheme="minorHAnsi" w:cstheme="minorHAnsi"/>
          <w:szCs w:val="24"/>
        </w:rPr>
        <w:t>recogni</w:t>
      </w:r>
      <w:r w:rsidR="00546549">
        <w:rPr>
          <w:rFonts w:asciiTheme="minorHAnsi" w:hAnsiTheme="minorHAnsi" w:cstheme="minorHAnsi"/>
          <w:szCs w:val="24"/>
        </w:rPr>
        <w:t>s</w:t>
      </w:r>
      <w:r w:rsidRPr="00CC3DB6">
        <w:rPr>
          <w:rFonts w:asciiTheme="minorHAnsi" w:hAnsiTheme="minorHAnsi" w:cstheme="minorHAnsi"/>
          <w:szCs w:val="24"/>
        </w:rPr>
        <w:t>ed</w:t>
      </w:r>
      <w:proofErr w:type="spellEnd"/>
      <w:r w:rsidRPr="00CC3DB6">
        <w:rPr>
          <w:rFonts w:asciiTheme="minorHAnsi" w:hAnsiTheme="minorHAnsi" w:cstheme="minorHAnsi"/>
          <w:szCs w:val="24"/>
        </w:rPr>
        <w:t xml:space="preserve"> financial institution</w:t>
      </w:r>
      <w:r w:rsidR="00587CA1">
        <w:rPr>
          <w:rFonts w:asciiTheme="minorHAnsi" w:hAnsiTheme="minorHAnsi" w:cstheme="minorHAnsi"/>
          <w:szCs w:val="24"/>
        </w:rPr>
        <w:t xml:space="preserve"> licensed to operate in Australia</w:t>
      </w:r>
      <w:r w:rsidRPr="00CC3DB6">
        <w:rPr>
          <w:rFonts w:asciiTheme="minorHAnsi" w:hAnsiTheme="minorHAnsi" w:cstheme="minorHAnsi"/>
          <w:szCs w:val="24"/>
        </w:rPr>
        <w:t xml:space="preserve">; </w:t>
      </w:r>
      <w:r w:rsidR="00587CA1">
        <w:rPr>
          <w:rFonts w:asciiTheme="minorHAnsi" w:hAnsiTheme="minorHAnsi" w:cstheme="minorHAnsi"/>
          <w:szCs w:val="24"/>
        </w:rPr>
        <w:t>and</w:t>
      </w:r>
    </w:p>
    <w:p w14:paraId="617306DA" w14:textId="77777777" w:rsidR="00587CA1" w:rsidRPr="00CC3DB6" w:rsidRDefault="00587CA1" w:rsidP="00343B07">
      <w:pPr>
        <w:pStyle w:val="ebullet"/>
        <w:jc w:val="left"/>
        <w:rPr>
          <w:rFonts w:asciiTheme="minorHAnsi" w:hAnsiTheme="minorHAnsi" w:cstheme="minorHAnsi"/>
          <w:szCs w:val="24"/>
        </w:rPr>
      </w:pPr>
      <w:r>
        <w:rPr>
          <w:rFonts w:asciiTheme="minorHAnsi" w:hAnsiTheme="minorHAnsi" w:cstheme="minorHAnsi"/>
          <w:szCs w:val="24"/>
        </w:rPr>
        <w:t xml:space="preserve">contractual farm-in agreements for </w:t>
      </w:r>
      <w:r w:rsidR="00104922">
        <w:rPr>
          <w:rFonts w:asciiTheme="minorHAnsi" w:hAnsiTheme="minorHAnsi" w:cstheme="minorHAnsi"/>
          <w:szCs w:val="24"/>
        </w:rPr>
        <w:t xml:space="preserve">exploration in </w:t>
      </w:r>
      <w:r>
        <w:rPr>
          <w:rFonts w:asciiTheme="minorHAnsi" w:hAnsiTheme="minorHAnsi" w:cstheme="minorHAnsi"/>
          <w:szCs w:val="24"/>
        </w:rPr>
        <w:t>the area subject to the application</w:t>
      </w:r>
      <w:r w:rsidR="00104922">
        <w:rPr>
          <w:rFonts w:asciiTheme="minorHAnsi" w:hAnsiTheme="minorHAnsi" w:cstheme="minorHAnsi"/>
          <w:szCs w:val="24"/>
        </w:rPr>
        <w:t>, which are solely exercisable by the applicant</w:t>
      </w:r>
      <w:r>
        <w:rPr>
          <w:rFonts w:asciiTheme="minorHAnsi" w:hAnsiTheme="minorHAnsi" w:cstheme="minorHAnsi"/>
          <w:szCs w:val="24"/>
        </w:rPr>
        <w:t>.</w:t>
      </w:r>
    </w:p>
    <w:p w14:paraId="14DAB0B7" w14:textId="77777777" w:rsidR="00587CA1" w:rsidRDefault="00104922" w:rsidP="00343B07">
      <w:pPr>
        <w:pStyle w:val="bodyCopy"/>
        <w:rPr>
          <w:color w:val="auto"/>
          <w:sz w:val="20"/>
        </w:rPr>
      </w:pPr>
      <w:r w:rsidRPr="00104922">
        <w:rPr>
          <w:color w:val="auto"/>
          <w:sz w:val="20"/>
        </w:rPr>
        <w:t xml:space="preserve">Earth Resources Regulation </w:t>
      </w:r>
      <w:r w:rsidR="00587CA1">
        <w:rPr>
          <w:color w:val="auto"/>
          <w:sz w:val="20"/>
        </w:rPr>
        <w:t xml:space="preserve">may also </w:t>
      </w:r>
      <w:r>
        <w:rPr>
          <w:color w:val="auto"/>
          <w:sz w:val="20"/>
        </w:rPr>
        <w:t xml:space="preserve">request an applicant to </w:t>
      </w:r>
      <w:r w:rsidR="00587CA1">
        <w:rPr>
          <w:color w:val="auto"/>
          <w:sz w:val="20"/>
        </w:rPr>
        <w:t xml:space="preserve">provide the </w:t>
      </w:r>
      <w:r w:rsidR="00587CA1" w:rsidRPr="00CC3DB6">
        <w:rPr>
          <w:color w:val="auto"/>
          <w:sz w:val="20"/>
        </w:rPr>
        <w:t xml:space="preserve">following </w:t>
      </w:r>
      <w:r w:rsidR="00587CA1">
        <w:rPr>
          <w:color w:val="auto"/>
          <w:sz w:val="20"/>
        </w:rPr>
        <w:t xml:space="preserve">types of </w:t>
      </w:r>
      <w:r w:rsidR="00587CA1" w:rsidRPr="00CC3DB6">
        <w:rPr>
          <w:color w:val="auto"/>
          <w:sz w:val="20"/>
        </w:rPr>
        <w:t>additional</w:t>
      </w:r>
      <w:r w:rsidR="00587CA1">
        <w:rPr>
          <w:color w:val="auto"/>
          <w:sz w:val="20"/>
        </w:rPr>
        <w:t xml:space="preserve"> </w:t>
      </w:r>
      <w:r w:rsidR="00587CA1" w:rsidRPr="00CC3DB6">
        <w:rPr>
          <w:color w:val="auto"/>
          <w:sz w:val="20"/>
        </w:rPr>
        <w:t xml:space="preserve">information </w:t>
      </w:r>
      <w:r w:rsidR="00587CA1">
        <w:rPr>
          <w:color w:val="auto"/>
          <w:sz w:val="20"/>
        </w:rPr>
        <w:t xml:space="preserve">in writing </w:t>
      </w:r>
      <w:r w:rsidR="00587CA1" w:rsidRPr="00CC3DB6">
        <w:rPr>
          <w:color w:val="auto"/>
          <w:sz w:val="20"/>
        </w:rPr>
        <w:t xml:space="preserve">to </w:t>
      </w:r>
      <w:r w:rsidR="00587CA1">
        <w:rPr>
          <w:color w:val="auto"/>
          <w:sz w:val="20"/>
        </w:rPr>
        <w:t xml:space="preserve">help to </w:t>
      </w:r>
      <w:r w:rsidR="00587CA1" w:rsidRPr="00CC3DB6">
        <w:rPr>
          <w:color w:val="auto"/>
          <w:sz w:val="20"/>
        </w:rPr>
        <w:t xml:space="preserve">substantiate </w:t>
      </w:r>
      <w:r w:rsidR="00587CA1">
        <w:rPr>
          <w:color w:val="auto"/>
          <w:sz w:val="20"/>
        </w:rPr>
        <w:t xml:space="preserve">their </w:t>
      </w:r>
      <w:r w:rsidR="00587CA1" w:rsidRPr="00CC3DB6">
        <w:rPr>
          <w:color w:val="auto"/>
          <w:sz w:val="20"/>
        </w:rPr>
        <w:t xml:space="preserve">financial </w:t>
      </w:r>
      <w:r w:rsidR="00587CA1">
        <w:rPr>
          <w:color w:val="auto"/>
          <w:sz w:val="20"/>
        </w:rPr>
        <w:t>capacity</w:t>
      </w:r>
      <w:r w:rsidR="00587CA1" w:rsidRPr="00CC3DB6">
        <w:rPr>
          <w:color w:val="auto"/>
          <w:sz w:val="20"/>
        </w:rPr>
        <w:t xml:space="preserve"> </w:t>
      </w:r>
      <w:r w:rsidR="00587CA1">
        <w:rPr>
          <w:color w:val="auto"/>
          <w:sz w:val="20"/>
        </w:rPr>
        <w:t>to deliver their proposed work program</w:t>
      </w:r>
      <w:r>
        <w:rPr>
          <w:color w:val="auto"/>
          <w:sz w:val="20"/>
        </w:rPr>
        <w:t>:</w:t>
      </w:r>
    </w:p>
    <w:p w14:paraId="24BA15F4" w14:textId="77777777" w:rsidR="00343B07" w:rsidRPr="00CC3DB6" w:rsidRDefault="00343B07" w:rsidP="00343B07">
      <w:pPr>
        <w:pStyle w:val="ebullet"/>
        <w:jc w:val="left"/>
      </w:pPr>
      <w:r w:rsidRPr="00CC3DB6">
        <w:t>business plan setting out financial resources</w:t>
      </w:r>
      <w:r w:rsidR="00104922">
        <w:t>,</w:t>
      </w:r>
    </w:p>
    <w:p w14:paraId="11E8F155" w14:textId="77777777" w:rsidR="00343B07" w:rsidRPr="00CC3DB6" w:rsidRDefault="00343B07" w:rsidP="00343B07">
      <w:pPr>
        <w:pStyle w:val="ebullet"/>
        <w:jc w:val="left"/>
      </w:pPr>
      <w:r w:rsidRPr="00CC3DB6">
        <w:lastRenderedPageBreak/>
        <w:t>level of borrowing and borrowing history</w:t>
      </w:r>
      <w:r w:rsidR="00104922">
        <w:t>, and</w:t>
      </w:r>
    </w:p>
    <w:p w14:paraId="307F0C7E" w14:textId="77777777" w:rsidR="00343B07" w:rsidRPr="00CC3DB6" w:rsidRDefault="00104922" w:rsidP="00343B07">
      <w:pPr>
        <w:pStyle w:val="ebullet"/>
        <w:jc w:val="left"/>
        <w:rPr>
          <w:rFonts w:asciiTheme="minorHAnsi" w:hAnsiTheme="minorHAnsi" w:cstheme="minorHAnsi"/>
        </w:rPr>
      </w:pPr>
      <w:r>
        <w:rPr>
          <w:rFonts w:asciiTheme="minorHAnsi" w:hAnsiTheme="minorHAnsi" w:cstheme="minorHAnsi"/>
        </w:rPr>
        <w:t xml:space="preserve">a </w:t>
      </w:r>
      <w:r w:rsidR="00343B07" w:rsidRPr="00CC3DB6">
        <w:rPr>
          <w:rFonts w:asciiTheme="minorHAnsi" w:hAnsiTheme="minorHAnsi" w:cstheme="minorHAnsi"/>
        </w:rPr>
        <w:t xml:space="preserve">credit reference check. </w:t>
      </w:r>
    </w:p>
    <w:p w14:paraId="150F039C" w14:textId="77777777" w:rsidR="00104922" w:rsidRDefault="00104922" w:rsidP="00587CA1">
      <w:pPr>
        <w:pStyle w:val="bodyCopy"/>
        <w:rPr>
          <w:color w:val="auto"/>
          <w:sz w:val="20"/>
        </w:rPr>
      </w:pPr>
      <w:r>
        <w:rPr>
          <w:color w:val="auto"/>
          <w:sz w:val="20"/>
        </w:rPr>
        <w:t>The assessment of a</w:t>
      </w:r>
      <w:r w:rsidR="00343B07" w:rsidRPr="00CC3DB6">
        <w:rPr>
          <w:color w:val="auto"/>
          <w:sz w:val="20"/>
        </w:rPr>
        <w:t xml:space="preserve">n applicant’s </w:t>
      </w:r>
      <w:r>
        <w:rPr>
          <w:color w:val="auto"/>
          <w:sz w:val="20"/>
        </w:rPr>
        <w:t xml:space="preserve">overall financial capacity </w:t>
      </w:r>
      <w:r w:rsidRPr="00CC3DB6">
        <w:rPr>
          <w:color w:val="auto"/>
          <w:sz w:val="20"/>
        </w:rPr>
        <w:t xml:space="preserve">to </w:t>
      </w:r>
      <w:r>
        <w:rPr>
          <w:color w:val="auto"/>
          <w:sz w:val="20"/>
        </w:rPr>
        <w:t>fulfil their proposed</w:t>
      </w:r>
      <w:r w:rsidRPr="00CC3DB6">
        <w:rPr>
          <w:color w:val="auto"/>
          <w:sz w:val="20"/>
        </w:rPr>
        <w:t xml:space="preserve"> work program</w:t>
      </w:r>
      <w:r>
        <w:rPr>
          <w:color w:val="auto"/>
          <w:sz w:val="20"/>
        </w:rPr>
        <w:t xml:space="preserve"> will include </w:t>
      </w:r>
      <w:r w:rsidRPr="00CC3DB6">
        <w:rPr>
          <w:color w:val="auto"/>
          <w:sz w:val="20"/>
        </w:rPr>
        <w:t>consideration of the level of debt and/or existing committed funds</w:t>
      </w:r>
      <w:r>
        <w:rPr>
          <w:color w:val="auto"/>
          <w:sz w:val="20"/>
        </w:rPr>
        <w:t xml:space="preserve"> required to fulfil their other commitments.</w:t>
      </w:r>
    </w:p>
    <w:p w14:paraId="7C0A363C" w14:textId="44983D26" w:rsidR="00343B07" w:rsidRPr="00685825" w:rsidRDefault="00784CA5" w:rsidP="00343B07">
      <w:pPr>
        <w:pStyle w:val="DEDJTRPolicyH1"/>
      </w:pPr>
      <w:bookmarkStart w:id="9" w:name="_Toc2778045"/>
      <w:bookmarkStart w:id="10" w:name="_Toc12876524"/>
      <w:r>
        <w:t>4</w:t>
      </w:r>
      <w:r w:rsidR="00C717C4">
        <w:t xml:space="preserve">. </w:t>
      </w:r>
      <w:r w:rsidR="00343B07" w:rsidRPr="00685825">
        <w:t>General Procedures</w:t>
      </w:r>
      <w:bookmarkEnd w:id="9"/>
      <w:bookmarkEnd w:id="10"/>
    </w:p>
    <w:p w14:paraId="748BE117" w14:textId="452E447B" w:rsidR="00343B07" w:rsidRPr="00AB12E9" w:rsidRDefault="00784CA5" w:rsidP="00AB12E9">
      <w:pPr>
        <w:pStyle w:val="enorm"/>
        <w:jc w:val="left"/>
        <w:rPr>
          <w:b/>
          <w:szCs w:val="22"/>
          <w:lang w:val="en-AU" w:eastAsia="en-AU"/>
        </w:rPr>
      </w:pPr>
      <w:bookmarkStart w:id="11" w:name="_Toc2778046"/>
      <w:r>
        <w:rPr>
          <w:b/>
          <w:szCs w:val="22"/>
          <w:lang w:val="en-AU" w:eastAsia="en-AU"/>
        </w:rPr>
        <w:t>4</w:t>
      </w:r>
      <w:r w:rsidR="00AB12E9">
        <w:rPr>
          <w:b/>
          <w:szCs w:val="22"/>
          <w:lang w:val="en-AU" w:eastAsia="en-AU"/>
        </w:rPr>
        <w:t xml:space="preserve">.1 </w:t>
      </w:r>
      <w:r w:rsidR="00343B07" w:rsidRPr="00AB12E9">
        <w:rPr>
          <w:b/>
          <w:szCs w:val="22"/>
          <w:lang w:val="en-AU" w:eastAsia="en-AU"/>
        </w:rPr>
        <w:t>Procedural Fairness</w:t>
      </w:r>
      <w:bookmarkEnd w:id="11"/>
    </w:p>
    <w:p w14:paraId="35472944" w14:textId="77777777" w:rsidR="000714A7" w:rsidRDefault="00AB12E9" w:rsidP="00AB12E9">
      <w:pPr>
        <w:pStyle w:val="enorm"/>
        <w:jc w:val="left"/>
        <w:rPr>
          <w:szCs w:val="22"/>
          <w:lang w:val="en-AU" w:eastAsia="en-AU"/>
        </w:rPr>
      </w:pPr>
      <w:r w:rsidRPr="00B90317">
        <w:rPr>
          <w:szCs w:val="22"/>
          <w:lang w:val="en-AU" w:eastAsia="en-AU"/>
        </w:rPr>
        <w:t>A</w:t>
      </w:r>
      <w:r>
        <w:rPr>
          <w:szCs w:val="22"/>
          <w:lang w:val="en-AU" w:eastAsia="en-AU"/>
        </w:rPr>
        <w:t>ll</w:t>
      </w:r>
      <w:r w:rsidRPr="00B90317">
        <w:rPr>
          <w:szCs w:val="22"/>
          <w:lang w:val="en-AU" w:eastAsia="en-AU"/>
        </w:rPr>
        <w:t xml:space="preserve"> application</w:t>
      </w:r>
      <w:r>
        <w:rPr>
          <w:szCs w:val="22"/>
          <w:lang w:val="en-AU" w:eastAsia="en-AU"/>
        </w:rPr>
        <w:t>s</w:t>
      </w:r>
      <w:r w:rsidRPr="00B90317">
        <w:rPr>
          <w:szCs w:val="22"/>
          <w:lang w:val="en-AU" w:eastAsia="en-AU"/>
        </w:rPr>
        <w:t xml:space="preserve"> for a licence must be made in accordance with the licensing requirements under the MRSDA and </w:t>
      </w:r>
      <w:r>
        <w:rPr>
          <w:szCs w:val="22"/>
          <w:lang w:val="en-AU" w:eastAsia="en-AU"/>
        </w:rPr>
        <w:t>subordinate Regulations to be valid</w:t>
      </w:r>
      <w:r w:rsidRPr="00B90317">
        <w:rPr>
          <w:szCs w:val="22"/>
          <w:lang w:val="en-AU" w:eastAsia="en-AU"/>
        </w:rPr>
        <w:t xml:space="preserve">. </w:t>
      </w:r>
    </w:p>
    <w:p w14:paraId="0606DD90" w14:textId="1A9CA432" w:rsidR="000714A7" w:rsidRDefault="000714A7" w:rsidP="00AB12E9">
      <w:pPr>
        <w:pStyle w:val="enorm"/>
        <w:jc w:val="left"/>
        <w:rPr>
          <w:szCs w:val="22"/>
          <w:lang w:val="en-AU" w:eastAsia="en-AU"/>
        </w:rPr>
      </w:pPr>
      <w:r>
        <w:rPr>
          <w:szCs w:val="22"/>
          <w:lang w:val="en-AU" w:eastAsia="en-AU"/>
        </w:rPr>
        <w:t>A</w:t>
      </w:r>
      <w:r w:rsidR="00AB12E9">
        <w:rPr>
          <w:szCs w:val="22"/>
          <w:lang w:val="en-AU" w:eastAsia="en-AU"/>
        </w:rPr>
        <w:t xml:space="preserve">pplications must be complete </w:t>
      </w:r>
      <w:r w:rsidR="00582001">
        <w:rPr>
          <w:szCs w:val="22"/>
          <w:lang w:val="en-AU" w:eastAsia="en-AU"/>
        </w:rPr>
        <w:t xml:space="preserve">and valid </w:t>
      </w:r>
      <w:r w:rsidR="00AB12E9">
        <w:rPr>
          <w:szCs w:val="22"/>
          <w:lang w:val="en-AU" w:eastAsia="en-AU"/>
        </w:rPr>
        <w:t xml:space="preserve">on the day of application. </w:t>
      </w:r>
    </w:p>
    <w:p w14:paraId="506E9835" w14:textId="77777777" w:rsidR="00AB12E9" w:rsidRDefault="00AB12E9" w:rsidP="00AB12E9">
      <w:pPr>
        <w:pStyle w:val="enorm"/>
        <w:jc w:val="left"/>
        <w:rPr>
          <w:szCs w:val="22"/>
          <w:lang w:val="en-AU" w:eastAsia="en-AU"/>
        </w:rPr>
      </w:pPr>
      <w:r w:rsidRPr="00B90317">
        <w:rPr>
          <w:szCs w:val="22"/>
          <w:lang w:val="en-AU" w:eastAsia="en-AU"/>
        </w:rPr>
        <w:t>Only</w:t>
      </w:r>
      <w:r>
        <w:rPr>
          <w:szCs w:val="22"/>
          <w:lang w:val="en-AU" w:eastAsia="en-AU"/>
        </w:rPr>
        <w:t xml:space="preserve"> valid</w:t>
      </w:r>
      <w:r w:rsidRPr="00B90317">
        <w:rPr>
          <w:szCs w:val="22"/>
          <w:lang w:val="en-AU" w:eastAsia="en-AU"/>
        </w:rPr>
        <w:t xml:space="preserve"> applications </w:t>
      </w:r>
      <w:r>
        <w:rPr>
          <w:szCs w:val="22"/>
          <w:lang w:val="en-AU" w:eastAsia="en-AU"/>
        </w:rPr>
        <w:t xml:space="preserve">accepted by Earth Resources Regulation </w:t>
      </w:r>
      <w:r w:rsidRPr="00B90317">
        <w:rPr>
          <w:szCs w:val="22"/>
          <w:lang w:val="en-AU" w:eastAsia="en-AU"/>
        </w:rPr>
        <w:t>will be ranked in accordance with Section 23</w:t>
      </w:r>
      <w:r>
        <w:rPr>
          <w:szCs w:val="22"/>
          <w:lang w:val="en-AU" w:eastAsia="en-AU"/>
        </w:rPr>
        <w:t xml:space="preserve"> of the MRSDA.</w:t>
      </w:r>
    </w:p>
    <w:p w14:paraId="3DD1FA40" w14:textId="77777777" w:rsidR="000714A7" w:rsidRDefault="000714A7" w:rsidP="00AB12E9">
      <w:pPr>
        <w:pStyle w:val="enorm"/>
        <w:jc w:val="left"/>
        <w:rPr>
          <w:szCs w:val="22"/>
          <w:lang w:val="en-AU" w:eastAsia="en-AU"/>
        </w:rPr>
      </w:pPr>
      <w:r>
        <w:rPr>
          <w:szCs w:val="22"/>
          <w:lang w:val="en-AU" w:eastAsia="en-AU"/>
        </w:rPr>
        <w:t>The ranking process will be conducted based on the written information and any supporting evidence provided with each application. Any information received after the application date will not be considered in the ranking process.</w:t>
      </w:r>
    </w:p>
    <w:p w14:paraId="3B7A50A7" w14:textId="77777777" w:rsidR="000714A7" w:rsidRPr="00B90317" w:rsidRDefault="000714A7" w:rsidP="00AB12E9">
      <w:pPr>
        <w:pStyle w:val="enorm"/>
        <w:jc w:val="left"/>
        <w:rPr>
          <w:szCs w:val="22"/>
          <w:lang w:val="en-AU" w:eastAsia="en-AU"/>
        </w:rPr>
      </w:pPr>
      <w:r>
        <w:rPr>
          <w:szCs w:val="22"/>
          <w:lang w:val="en-AU" w:eastAsia="en-AU"/>
        </w:rPr>
        <w:t>Earth Resources Regulation will not request any subsequent information after the application date, except written evidence required to assess a person’s status as fit and proper to hold a licence.</w:t>
      </w:r>
    </w:p>
    <w:p w14:paraId="5E74E39E" w14:textId="0653E51D" w:rsidR="00343B07" w:rsidRDefault="00343B07" w:rsidP="00343B07">
      <w:pPr>
        <w:spacing w:after="120"/>
        <w:rPr>
          <w:rFonts w:asciiTheme="minorHAnsi" w:hAnsiTheme="minorHAnsi" w:cstheme="minorHAnsi"/>
          <w:color w:val="auto"/>
          <w:szCs w:val="24"/>
          <w:lang w:eastAsia="en-US"/>
        </w:rPr>
      </w:pPr>
      <w:r w:rsidRPr="00685825">
        <w:rPr>
          <w:rFonts w:asciiTheme="minorHAnsi" w:hAnsiTheme="minorHAnsi" w:cstheme="minorHAnsi"/>
          <w:color w:val="auto"/>
          <w:szCs w:val="24"/>
          <w:lang w:eastAsia="en-US"/>
        </w:rPr>
        <w:t xml:space="preserve">Applicants will be informed in writing of any decision and the reasons for the decision with respect to their </w:t>
      </w:r>
      <w:r>
        <w:rPr>
          <w:rFonts w:asciiTheme="minorHAnsi" w:hAnsiTheme="minorHAnsi" w:cstheme="minorHAnsi"/>
          <w:color w:val="auto"/>
          <w:szCs w:val="24"/>
          <w:lang w:eastAsia="en-US"/>
        </w:rPr>
        <w:t>competing licence application</w:t>
      </w:r>
      <w:r w:rsidRPr="00685825">
        <w:rPr>
          <w:rFonts w:asciiTheme="minorHAnsi" w:hAnsiTheme="minorHAnsi" w:cstheme="minorHAnsi"/>
          <w:color w:val="auto"/>
          <w:szCs w:val="24"/>
          <w:lang w:eastAsia="en-US"/>
        </w:rPr>
        <w:t>.</w:t>
      </w:r>
    </w:p>
    <w:p w14:paraId="59F36612" w14:textId="4E6AE139" w:rsidR="00582001" w:rsidRPr="0008180B" w:rsidRDefault="00784CA5" w:rsidP="0008180B">
      <w:pPr>
        <w:pStyle w:val="enorm"/>
        <w:jc w:val="left"/>
        <w:rPr>
          <w:b/>
          <w:szCs w:val="22"/>
          <w:lang w:val="en-AU" w:eastAsia="en-AU"/>
        </w:rPr>
      </w:pPr>
      <w:r>
        <w:rPr>
          <w:b/>
          <w:szCs w:val="22"/>
          <w:lang w:val="en-AU" w:eastAsia="en-AU"/>
        </w:rPr>
        <w:t>4</w:t>
      </w:r>
      <w:r w:rsidR="0008180B">
        <w:rPr>
          <w:b/>
          <w:szCs w:val="22"/>
          <w:lang w:val="en-AU" w:eastAsia="en-AU"/>
        </w:rPr>
        <w:t xml:space="preserve">.2 </w:t>
      </w:r>
      <w:r w:rsidR="00582001" w:rsidRPr="0008180B">
        <w:rPr>
          <w:b/>
          <w:szCs w:val="22"/>
          <w:lang w:val="en-AU" w:eastAsia="en-AU"/>
        </w:rPr>
        <w:t>Highest ranked applicant</w:t>
      </w:r>
    </w:p>
    <w:p w14:paraId="5ED2C2A5" w14:textId="263A4165" w:rsidR="00582001" w:rsidRPr="00C62D0F" w:rsidRDefault="00E42F67" w:rsidP="00343B07">
      <w:pPr>
        <w:spacing w:after="120"/>
        <w:rPr>
          <w:rFonts w:asciiTheme="minorHAnsi" w:hAnsiTheme="minorHAnsi" w:cstheme="minorHAnsi"/>
          <w:color w:val="auto"/>
          <w:szCs w:val="24"/>
          <w:lang w:eastAsia="en-US"/>
        </w:rPr>
      </w:pPr>
      <w:r w:rsidRPr="00C62D0F">
        <w:rPr>
          <w:rFonts w:asciiTheme="minorHAnsi" w:hAnsiTheme="minorHAnsi" w:cstheme="minorHAnsi"/>
          <w:color w:val="auto"/>
          <w:szCs w:val="24"/>
          <w:lang w:eastAsia="en-US"/>
        </w:rPr>
        <w:t xml:space="preserve">An applicant who receives </w:t>
      </w:r>
      <w:r>
        <w:rPr>
          <w:rFonts w:asciiTheme="minorHAnsi" w:hAnsiTheme="minorHAnsi" w:cstheme="minorHAnsi"/>
          <w:color w:val="auto"/>
          <w:szCs w:val="24"/>
          <w:lang w:eastAsia="en-US"/>
        </w:rPr>
        <w:t>highest ranking is not automatically granted a licence. The highest ran</w:t>
      </w:r>
      <w:r w:rsidR="000805D7">
        <w:rPr>
          <w:rFonts w:asciiTheme="minorHAnsi" w:hAnsiTheme="minorHAnsi" w:cstheme="minorHAnsi"/>
          <w:color w:val="auto"/>
          <w:szCs w:val="24"/>
          <w:lang w:eastAsia="en-US"/>
        </w:rPr>
        <w:t>ked applicant is assessed against the relevant section of the MRSDA and must fulfil any Native Title requirements before a licence can be granted</w:t>
      </w:r>
      <w:r w:rsidR="00C62D0F">
        <w:rPr>
          <w:rFonts w:asciiTheme="minorHAnsi" w:hAnsiTheme="minorHAnsi" w:cstheme="minorHAnsi"/>
          <w:color w:val="auto"/>
          <w:szCs w:val="24"/>
          <w:lang w:eastAsia="en-US"/>
        </w:rPr>
        <w:t>.</w:t>
      </w:r>
    </w:p>
    <w:p w14:paraId="5AA191ED" w14:textId="79BDD2E5" w:rsidR="00582001" w:rsidRPr="0008180B" w:rsidRDefault="00784CA5" w:rsidP="0008180B">
      <w:pPr>
        <w:pStyle w:val="enorm"/>
        <w:jc w:val="left"/>
        <w:rPr>
          <w:b/>
          <w:szCs w:val="22"/>
          <w:lang w:val="en-AU" w:eastAsia="en-AU"/>
        </w:rPr>
      </w:pPr>
      <w:r>
        <w:rPr>
          <w:b/>
          <w:szCs w:val="22"/>
          <w:lang w:val="en-AU" w:eastAsia="en-AU"/>
        </w:rPr>
        <w:t>4</w:t>
      </w:r>
      <w:r w:rsidR="0008180B">
        <w:rPr>
          <w:b/>
          <w:szCs w:val="22"/>
          <w:lang w:val="en-AU" w:eastAsia="en-AU"/>
        </w:rPr>
        <w:t xml:space="preserve">.3 </w:t>
      </w:r>
      <w:r w:rsidR="00582001" w:rsidRPr="0008180B">
        <w:rPr>
          <w:b/>
          <w:szCs w:val="22"/>
          <w:lang w:val="en-AU" w:eastAsia="en-AU"/>
        </w:rPr>
        <w:t>Other lower ranked applicants</w:t>
      </w:r>
    </w:p>
    <w:p w14:paraId="6797CCF7" w14:textId="1BD5092A" w:rsidR="00582001" w:rsidRDefault="000805D7" w:rsidP="00343B07">
      <w:pPr>
        <w:spacing w:after="120"/>
        <w:rPr>
          <w:rFonts w:asciiTheme="minorHAnsi" w:hAnsiTheme="minorHAnsi" w:cstheme="minorHAnsi"/>
          <w:color w:val="auto"/>
          <w:szCs w:val="24"/>
          <w:lang w:eastAsia="en-US"/>
        </w:rPr>
      </w:pPr>
      <w:r>
        <w:rPr>
          <w:rFonts w:asciiTheme="minorHAnsi" w:hAnsiTheme="minorHAnsi" w:cstheme="minorHAnsi"/>
          <w:color w:val="auto"/>
          <w:szCs w:val="24"/>
          <w:lang w:eastAsia="en-US"/>
        </w:rPr>
        <w:t>On notice of ranking, the lower ranked applications do not proceed further with assessment.</w:t>
      </w:r>
    </w:p>
    <w:p w14:paraId="56CD4801" w14:textId="266B3651" w:rsidR="000805D7" w:rsidRDefault="000805D7" w:rsidP="00343B07">
      <w:pPr>
        <w:spacing w:after="120"/>
        <w:rPr>
          <w:rFonts w:asciiTheme="minorHAnsi" w:hAnsiTheme="minorHAnsi" w:cstheme="minorHAnsi"/>
          <w:color w:val="auto"/>
          <w:szCs w:val="24"/>
          <w:lang w:eastAsia="en-US"/>
        </w:rPr>
      </w:pPr>
      <w:r>
        <w:rPr>
          <w:rFonts w:asciiTheme="minorHAnsi" w:hAnsiTheme="minorHAnsi" w:cstheme="minorHAnsi"/>
          <w:color w:val="auto"/>
          <w:szCs w:val="24"/>
          <w:lang w:eastAsia="en-US"/>
        </w:rPr>
        <w:t>A lower ranked applicant may choose to:</w:t>
      </w:r>
    </w:p>
    <w:p w14:paraId="31917AAE" w14:textId="1BB32727" w:rsidR="000805D7" w:rsidRPr="0008180B" w:rsidRDefault="000805D7" w:rsidP="0008180B">
      <w:pPr>
        <w:pStyle w:val="ebullet"/>
        <w:jc w:val="left"/>
        <w:rPr>
          <w:rFonts w:asciiTheme="minorHAnsi" w:hAnsiTheme="minorHAnsi" w:cstheme="minorHAnsi"/>
        </w:rPr>
      </w:pPr>
      <w:r w:rsidRPr="0008180B">
        <w:rPr>
          <w:rFonts w:asciiTheme="minorHAnsi" w:hAnsiTheme="minorHAnsi" w:cstheme="minorHAnsi"/>
        </w:rPr>
        <w:t>Withdraw their application</w:t>
      </w:r>
      <w:r w:rsidR="0008180B">
        <w:rPr>
          <w:rFonts w:asciiTheme="minorHAnsi" w:hAnsiTheme="minorHAnsi" w:cstheme="minorHAnsi"/>
        </w:rPr>
        <w:t xml:space="preserve">; </w:t>
      </w:r>
    </w:p>
    <w:p w14:paraId="569A75D3" w14:textId="05575588" w:rsidR="000805D7" w:rsidRPr="0008180B" w:rsidRDefault="000805D7" w:rsidP="0008180B">
      <w:pPr>
        <w:pStyle w:val="ebullet"/>
        <w:jc w:val="left"/>
        <w:rPr>
          <w:rFonts w:asciiTheme="minorHAnsi" w:hAnsiTheme="minorHAnsi" w:cstheme="minorHAnsi"/>
        </w:rPr>
      </w:pPr>
      <w:r w:rsidRPr="0008180B">
        <w:rPr>
          <w:rFonts w:asciiTheme="minorHAnsi" w:hAnsiTheme="minorHAnsi" w:cstheme="minorHAnsi"/>
        </w:rPr>
        <w:t xml:space="preserve">Amend the application area to remove any overlapping areas with the competing </w:t>
      </w:r>
      <w:r w:rsidR="0008180B" w:rsidRPr="0008180B">
        <w:rPr>
          <w:rFonts w:asciiTheme="minorHAnsi" w:hAnsiTheme="minorHAnsi" w:cstheme="minorHAnsi"/>
        </w:rPr>
        <w:t>application</w:t>
      </w:r>
      <w:r w:rsidR="0008180B">
        <w:rPr>
          <w:rFonts w:asciiTheme="minorHAnsi" w:hAnsiTheme="minorHAnsi" w:cstheme="minorHAnsi"/>
        </w:rPr>
        <w:t>, if relevant</w:t>
      </w:r>
      <w:r w:rsidR="00C62D0F" w:rsidRPr="0008180B">
        <w:rPr>
          <w:rFonts w:asciiTheme="minorHAnsi" w:hAnsiTheme="minorHAnsi" w:cstheme="minorHAnsi"/>
        </w:rPr>
        <w:t xml:space="preserve">. Their application </w:t>
      </w:r>
      <w:r w:rsidR="0008180B">
        <w:rPr>
          <w:rFonts w:asciiTheme="minorHAnsi" w:hAnsiTheme="minorHAnsi" w:cstheme="minorHAnsi"/>
        </w:rPr>
        <w:t xml:space="preserve">for the </w:t>
      </w:r>
      <w:r w:rsidR="0008180B" w:rsidRPr="0008180B">
        <w:rPr>
          <w:rFonts w:asciiTheme="minorHAnsi" w:hAnsiTheme="minorHAnsi" w:cstheme="minorHAnsi"/>
        </w:rPr>
        <w:t xml:space="preserve">residual </w:t>
      </w:r>
      <w:r w:rsidR="00C62D0F" w:rsidRPr="0008180B">
        <w:rPr>
          <w:rFonts w:asciiTheme="minorHAnsi" w:hAnsiTheme="minorHAnsi" w:cstheme="minorHAnsi"/>
        </w:rPr>
        <w:t xml:space="preserve">area </w:t>
      </w:r>
      <w:r w:rsidR="0008180B">
        <w:rPr>
          <w:rFonts w:asciiTheme="minorHAnsi" w:hAnsiTheme="minorHAnsi" w:cstheme="minorHAnsi"/>
        </w:rPr>
        <w:t xml:space="preserve">will be </w:t>
      </w:r>
      <w:r w:rsidR="00C62D0F" w:rsidRPr="0008180B">
        <w:rPr>
          <w:rFonts w:asciiTheme="minorHAnsi" w:hAnsiTheme="minorHAnsi" w:cstheme="minorHAnsi"/>
        </w:rPr>
        <w:t>progresse</w:t>
      </w:r>
      <w:r w:rsidR="0008180B">
        <w:rPr>
          <w:rFonts w:asciiTheme="minorHAnsi" w:hAnsiTheme="minorHAnsi" w:cstheme="minorHAnsi"/>
        </w:rPr>
        <w:t>d</w:t>
      </w:r>
      <w:r w:rsidR="00C62D0F" w:rsidRPr="0008180B">
        <w:rPr>
          <w:rFonts w:asciiTheme="minorHAnsi" w:hAnsiTheme="minorHAnsi" w:cstheme="minorHAnsi"/>
        </w:rPr>
        <w:t xml:space="preserve"> </w:t>
      </w:r>
      <w:r w:rsidR="0008180B">
        <w:rPr>
          <w:rFonts w:asciiTheme="minorHAnsi" w:hAnsiTheme="minorHAnsi" w:cstheme="minorHAnsi"/>
        </w:rPr>
        <w:t xml:space="preserve">through </w:t>
      </w:r>
      <w:r w:rsidR="00C62D0F" w:rsidRPr="0008180B">
        <w:rPr>
          <w:rFonts w:asciiTheme="minorHAnsi" w:hAnsiTheme="minorHAnsi" w:cstheme="minorHAnsi"/>
        </w:rPr>
        <w:t>the standard application process</w:t>
      </w:r>
      <w:r w:rsidR="0008180B">
        <w:rPr>
          <w:rFonts w:asciiTheme="minorHAnsi" w:hAnsiTheme="minorHAnsi" w:cstheme="minorHAnsi"/>
        </w:rPr>
        <w:t>; or</w:t>
      </w:r>
    </w:p>
    <w:p w14:paraId="57A83CD4" w14:textId="35D57BE0" w:rsidR="000805D7" w:rsidRPr="0008180B" w:rsidRDefault="000805D7" w:rsidP="0008180B">
      <w:pPr>
        <w:pStyle w:val="ebullet"/>
        <w:jc w:val="left"/>
        <w:rPr>
          <w:rFonts w:asciiTheme="minorHAnsi" w:hAnsiTheme="minorHAnsi" w:cstheme="minorHAnsi"/>
        </w:rPr>
      </w:pPr>
      <w:r w:rsidRPr="0008180B">
        <w:rPr>
          <w:rFonts w:asciiTheme="minorHAnsi" w:hAnsiTheme="minorHAnsi" w:cstheme="minorHAnsi"/>
        </w:rPr>
        <w:t xml:space="preserve">Retain the application pending grant or refusal of a </w:t>
      </w:r>
      <w:proofErr w:type="spellStart"/>
      <w:r w:rsidRPr="0008180B">
        <w:rPr>
          <w:rFonts w:asciiTheme="minorHAnsi" w:hAnsiTheme="minorHAnsi" w:cstheme="minorHAnsi"/>
        </w:rPr>
        <w:t>licence</w:t>
      </w:r>
      <w:proofErr w:type="spellEnd"/>
      <w:r w:rsidRPr="0008180B">
        <w:rPr>
          <w:rFonts w:asciiTheme="minorHAnsi" w:hAnsiTheme="minorHAnsi" w:cstheme="minorHAnsi"/>
        </w:rPr>
        <w:t xml:space="preserve"> to the highest ranked applicant. </w:t>
      </w:r>
      <w:r w:rsidR="0008180B">
        <w:rPr>
          <w:rFonts w:asciiTheme="minorHAnsi" w:hAnsiTheme="minorHAnsi" w:cstheme="minorHAnsi"/>
        </w:rPr>
        <w:t>A</w:t>
      </w:r>
      <w:r w:rsidR="0008180B" w:rsidRPr="0008180B">
        <w:rPr>
          <w:rFonts w:asciiTheme="minorHAnsi" w:hAnsiTheme="minorHAnsi" w:cstheme="minorHAnsi"/>
        </w:rPr>
        <w:t>ny lower ranked application(s) will be refused</w:t>
      </w:r>
      <w:r w:rsidR="0008180B">
        <w:rPr>
          <w:rFonts w:asciiTheme="minorHAnsi" w:hAnsiTheme="minorHAnsi" w:cstheme="minorHAnsi"/>
        </w:rPr>
        <w:t>, i</w:t>
      </w:r>
      <w:r w:rsidRPr="0008180B">
        <w:rPr>
          <w:rFonts w:asciiTheme="minorHAnsi" w:hAnsiTheme="minorHAnsi" w:cstheme="minorHAnsi"/>
        </w:rPr>
        <w:t xml:space="preserve">f the highest ranked applicant is granted a </w:t>
      </w:r>
      <w:proofErr w:type="spellStart"/>
      <w:r w:rsidRPr="0008180B">
        <w:rPr>
          <w:rFonts w:asciiTheme="minorHAnsi" w:hAnsiTheme="minorHAnsi" w:cstheme="minorHAnsi"/>
        </w:rPr>
        <w:t>licen</w:t>
      </w:r>
      <w:r w:rsidR="00C62D0F" w:rsidRPr="0008180B">
        <w:rPr>
          <w:rFonts w:asciiTheme="minorHAnsi" w:hAnsiTheme="minorHAnsi" w:cstheme="minorHAnsi"/>
        </w:rPr>
        <w:t>c</w:t>
      </w:r>
      <w:r w:rsidRPr="0008180B">
        <w:rPr>
          <w:rFonts w:asciiTheme="minorHAnsi" w:hAnsiTheme="minorHAnsi" w:cstheme="minorHAnsi"/>
        </w:rPr>
        <w:t>e</w:t>
      </w:r>
      <w:proofErr w:type="spellEnd"/>
      <w:r w:rsidRPr="0008180B">
        <w:rPr>
          <w:rFonts w:asciiTheme="minorHAnsi" w:hAnsiTheme="minorHAnsi" w:cstheme="minorHAnsi"/>
        </w:rPr>
        <w:t>.</w:t>
      </w:r>
    </w:p>
    <w:p w14:paraId="57C0435D" w14:textId="7ED82CF4" w:rsidR="00886C70" w:rsidRPr="00AB12E9" w:rsidRDefault="002E2897" w:rsidP="00AB12E9">
      <w:pPr>
        <w:pStyle w:val="enorm"/>
        <w:jc w:val="left"/>
        <w:rPr>
          <w:b/>
          <w:szCs w:val="22"/>
          <w:lang w:val="en-AU" w:eastAsia="en-AU"/>
        </w:rPr>
      </w:pPr>
      <w:r>
        <w:rPr>
          <w:b/>
          <w:szCs w:val="22"/>
          <w:lang w:val="en-AU" w:eastAsia="en-AU"/>
        </w:rPr>
        <w:t>4.4</w:t>
      </w:r>
      <w:r w:rsidR="000714A7">
        <w:rPr>
          <w:b/>
          <w:szCs w:val="22"/>
          <w:lang w:val="en-AU" w:eastAsia="en-AU"/>
        </w:rPr>
        <w:t xml:space="preserve"> C</w:t>
      </w:r>
      <w:r w:rsidR="00886C70" w:rsidRPr="00AB12E9">
        <w:rPr>
          <w:b/>
          <w:szCs w:val="22"/>
          <w:lang w:val="en-AU" w:eastAsia="en-AU"/>
        </w:rPr>
        <w:t xml:space="preserve">ompliance after </w:t>
      </w:r>
      <w:r w:rsidR="000714A7">
        <w:rPr>
          <w:b/>
          <w:szCs w:val="22"/>
          <w:lang w:val="en-AU" w:eastAsia="en-AU"/>
        </w:rPr>
        <w:t>L</w:t>
      </w:r>
      <w:r w:rsidR="00886C70" w:rsidRPr="00AB12E9">
        <w:rPr>
          <w:b/>
          <w:szCs w:val="22"/>
          <w:lang w:val="en-AU" w:eastAsia="en-AU"/>
        </w:rPr>
        <w:t xml:space="preserve">icence </w:t>
      </w:r>
      <w:r w:rsidR="000714A7">
        <w:rPr>
          <w:b/>
          <w:szCs w:val="22"/>
          <w:lang w:val="en-AU" w:eastAsia="en-AU"/>
        </w:rPr>
        <w:t>G</w:t>
      </w:r>
      <w:r w:rsidR="00886C70" w:rsidRPr="00AB12E9">
        <w:rPr>
          <w:b/>
          <w:szCs w:val="22"/>
          <w:lang w:val="en-AU" w:eastAsia="en-AU"/>
        </w:rPr>
        <w:t>rant</w:t>
      </w:r>
    </w:p>
    <w:p w14:paraId="05E52174" w14:textId="77777777" w:rsidR="00924BA9" w:rsidRDefault="00886C70" w:rsidP="00886C70">
      <w:pPr>
        <w:pStyle w:val="enorm"/>
        <w:jc w:val="left"/>
        <w:rPr>
          <w:szCs w:val="22"/>
          <w:lang w:val="en-AU" w:eastAsia="en-AU"/>
        </w:rPr>
      </w:pPr>
      <w:r w:rsidRPr="00924BA9">
        <w:rPr>
          <w:szCs w:val="22"/>
          <w:lang w:val="en-AU" w:eastAsia="en-AU"/>
        </w:rPr>
        <w:t xml:space="preserve">Earth Resources Regulation will hold the highest ranked applicant who is subsequently granted a licence accountable to deliver their </w:t>
      </w:r>
      <w:r w:rsidR="00924BA9">
        <w:rPr>
          <w:szCs w:val="22"/>
          <w:lang w:val="en-AU" w:eastAsia="en-AU"/>
        </w:rPr>
        <w:t xml:space="preserve">full </w:t>
      </w:r>
      <w:r w:rsidRPr="00924BA9">
        <w:rPr>
          <w:szCs w:val="22"/>
          <w:lang w:val="en-AU" w:eastAsia="en-AU"/>
        </w:rPr>
        <w:t xml:space="preserve">work program. </w:t>
      </w:r>
    </w:p>
    <w:p w14:paraId="7E3425B6" w14:textId="0E93BE56" w:rsidR="002D57D7" w:rsidRDefault="00924BA9" w:rsidP="00886C70">
      <w:pPr>
        <w:pStyle w:val="enorm"/>
        <w:jc w:val="left"/>
        <w:rPr>
          <w:szCs w:val="22"/>
          <w:lang w:val="en-AU" w:eastAsia="en-AU"/>
        </w:rPr>
      </w:pPr>
      <w:r>
        <w:rPr>
          <w:szCs w:val="22"/>
          <w:lang w:val="en-AU" w:eastAsia="en-AU"/>
        </w:rPr>
        <w:t xml:space="preserve">Proactive </w:t>
      </w:r>
      <w:r w:rsidR="002D57D7">
        <w:rPr>
          <w:szCs w:val="22"/>
          <w:lang w:val="en-AU" w:eastAsia="en-AU"/>
        </w:rPr>
        <w:t xml:space="preserve">written </w:t>
      </w:r>
      <w:r>
        <w:rPr>
          <w:szCs w:val="22"/>
          <w:lang w:val="en-AU" w:eastAsia="en-AU"/>
        </w:rPr>
        <w:t xml:space="preserve">requests from a licence holder to vary their exploration </w:t>
      </w:r>
      <w:r w:rsidR="004046F1">
        <w:rPr>
          <w:szCs w:val="22"/>
          <w:lang w:val="en-AU" w:eastAsia="en-AU"/>
        </w:rPr>
        <w:t xml:space="preserve">work </w:t>
      </w:r>
      <w:r>
        <w:rPr>
          <w:szCs w:val="22"/>
          <w:lang w:val="en-AU" w:eastAsia="en-AU"/>
        </w:rPr>
        <w:t xml:space="preserve">program </w:t>
      </w:r>
      <w:r w:rsidR="00C07AC7">
        <w:rPr>
          <w:szCs w:val="22"/>
          <w:lang w:val="en-AU" w:eastAsia="en-AU"/>
        </w:rPr>
        <w:t xml:space="preserve">before milestones pass </w:t>
      </w:r>
      <w:r>
        <w:rPr>
          <w:szCs w:val="22"/>
          <w:lang w:val="en-AU" w:eastAsia="en-AU"/>
        </w:rPr>
        <w:t>will be considered on merit</w:t>
      </w:r>
      <w:r w:rsidR="002D57D7">
        <w:rPr>
          <w:szCs w:val="22"/>
          <w:lang w:val="en-AU" w:eastAsia="en-AU"/>
        </w:rPr>
        <w:t>. For example, variations will be considered</w:t>
      </w:r>
      <w:r>
        <w:rPr>
          <w:szCs w:val="22"/>
          <w:lang w:val="en-AU" w:eastAsia="en-AU"/>
        </w:rPr>
        <w:t xml:space="preserve"> based on</w:t>
      </w:r>
      <w:r w:rsidR="002D57D7">
        <w:rPr>
          <w:szCs w:val="22"/>
          <w:lang w:val="en-AU" w:eastAsia="en-AU"/>
        </w:rPr>
        <w:t>:</w:t>
      </w:r>
    </w:p>
    <w:p w14:paraId="6FFDE1BE" w14:textId="54F99573" w:rsidR="002D57D7" w:rsidRDefault="00AB12E9" w:rsidP="002D57D7">
      <w:pPr>
        <w:pStyle w:val="enorm"/>
        <w:numPr>
          <w:ilvl w:val="0"/>
          <w:numId w:val="15"/>
        </w:numPr>
        <w:jc w:val="left"/>
        <w:rPr>
          <w:szCs w:val="22"/>
          <w:lang w:val="en-AU" w:eastAsia="en-AU"/>
        </w:rPr>
      </w:pPr>
      <w:r>
        <w:rPr>
          <w:szCs w:val="22"/>
          <w:lang w:val="en-AU" w:eastAsia="en-AU"/>
        </w:rPr>
        <w:t xml:space="preserve">a clear exploration rationale drawing on </w:t>
      </w:r>
      <w:r w:rsidR="00924BA9">
        <w:rPr>
          <w:szCs w:val="22"/>
          <w:lang w:val="en-AU" w:eastAsia="en-AU"/>
        </w:rPr>
        <w:t>the results obtained via the work program</w:t>
      </w:r>
      <w:r>
        <w:rPr>
          <w:szCs w:val="22"/>
          <w:lang w:val="en-AU" w:eastAsia="en-AU"/>
        </w:rPr>
        <w:t xml:space="preserve"> to date, and a commitment to undertake a comparable exploration program (including level of expenditure) over the remaining licence period</w:t>
      </w:r>
      <w:r w:rsidR="002D57D7">
        <w:rPr>
          <w:szCs w:val="22"/>
          <w:lang w:val="en-AU" w:eastAsia="en-AU"/>
        </w:rPr>
        <w:t>, or</w:t>
      </w:r>
    </w:p>
    <w:p w14:paraId="4C6AFB80" w14:textId="5DC78611" w:rsidR="00FC76BD" w:rsidRDefault="006D228C" w:rsidP="002D57D7">
      <w:pPr>
        <w:pStyle w:val="enorm"/>
        <w:numPr>
          <w:ilvl w:val="0"/>
          <w:numId w:val="15"/>
        </w:numPr>
        <w:jc w:val="left"/>
        <w:rPr>
          <w:szCs w:val="22"/>
          <w:lang w:val="en-AU" w:eastAsia="en-AU"/>
        </w:rPr>
      </w:pPr>
      <w:r>
        <w:rPr>
          <w:szCs w:val="22"/>
          <w:lang w:val="en-AU" w:eastAsia="en-AU"/>
        </w:rPr>
        <w:t>a</w:t>
      </w:r>
      <w:r w:rsidR="00FC76BD">
        <w:rPr>
          <w:szCs w:val="22"/>
          <w:lang w:val="en-AU" w:eastAsia="en-AU"/>
        </w:rPr>
        <w:t xml:space="preserve"> clear explanation of any </w:t>
      </w:r>
      <w:r>
        <w:rPr>
          <w:szCs w:val="22"/>
          <w:lang w:val="en-AU" w:eastAsia="en-AU"/>
        </w:rPr>
        <w:t xml:space="preserve">likely </w:t>
      </w:r>
      <w:r w:rsidR="00FC76BD">
        <w:rPr>
          <w:szCs w:val="22"/>
          <w:lang w:val="en-AU" w:eastAsia="en-AU"/>
        </w:rPr>
        <w:t>substantive delay in delivering exploration milestones due to natural causes (</w:t>
      </w:r>
      <w:proofErr w:type="spellStart"/>
      <w:r w:rsidR="00FC76BD">
        <w:rPr>
          <w:szCs w:val="22"/>
          <w:lang w:val="en-AU" w:eastAsia="en-AU"/>
        </w:rPr>
        <w:t>eg</w:t>
      </w:r>
      <w:proofErr w:type="spellEnd"/>
      <w:r w:rsidR="00FC76BD">
        <w:rPr>
          <w:szCs w:val="22"/>
          <w:lang w:val="en-AU" w:eastAsia="en-AU"/>
        </w:rPr>
        <w:t xml:space="preserve"> prolonged adverse weather impeding on-ground exploration activities) or establishing land access arrangements after exercising best and fair endeavours with </w:t>
      </w:r>
      <w:r>
        <w:rPr>
          <w:szCs w:val="22"/>
          <w:lang w:val="en-AU" w:eastAsia="en-AU"/>
        </w:rPr>
        <w:t>relevant parties</w:t>
      </w:r>
      <w:r w:rsidR="00FC76BD">
        <w:rPr>
          <w:szCs w:val="22"/>
          <w:lang w:val="en-AU" w:eastAsia="en-AU"/>
        </w:rPr>
        <w:t xml:space="preserve">. </w:t>
      </w:r>
    </w:p>
    <w:p w14:paraId="5B7FAECE" w14:textId="05E73D10" w:rsidR="00CB78CE" w:rsidRDefault="00886C70" w:rsidP="00886C70">
      <w:pPr>
        <w:pStyle w:val="enorm"/>
        <w:jc w:val="left"/>
        <w:rPr>
          <w:szCs w:val="22"/>
          <w:lang w:val="en-AU" w:eastAsia="en-AU"/>
        </w:rPr>
      </w:pPr>
      <w:r w:rsidRPr="00924BA9">
        <w:rPr>
          <w:szCs w:val="22"/>
          <w:lang w:val="en-AU" w:eastAsia="en-AU"/>
        </w:rPr>
        <w:t xml:space="preserve">A licence may be cancelled </w:t>
      </w:r>
      <w:r w:rsidR="006D228C">
        <w:rPr>
          <w:szCs w:val="22"/>
          <w:lang w:val="en-AU" w:eastAsia="en-AU"/>
        </w:rPr>
        <w:t xml:space="preserve">or not renewed if a licensee does not deliver their exploration program commitments in full </w:t>
      </w:r>
      <w:r w:rsidR="00CB78CE">
        <w:rPr>
          <w:szCs w:val="22"/>
          <w:lang w:val="en-AU" w:eastAsia="en-AU"/>
        </w:rPr>
        <w:t xml:space="preserve">(or approved variation) </w:t>
      </w:r>
      <w:r w:rsidR="006D228C">
        <w:rPr>
          <w:szCs w:val="22"/>
          <w:lang w:val="en-AU" w:eastAsia="en-AU"/>
        </w:rPr>
        <w:t xml:space="preserve">or is </w:t>
      </w:r>
      <w:proofErr w:type="spellStart"/>
      <w:proofErr w:type="gramStart"/>
      <w:r w:rsidRPr="00924BA9">
        <w:rPr>
          <w:szCs w:val="22"/>
          <w:lang w:val="en-AU" w:eastAsia="en-AU"/>
        </w:rPr>
        <w:t>non complian</w:t>
      </w:r>
      <w:r w:rsidR="006D228C">
        <w:rPr>
          <w:szCs w:val="22"/>
          <w:lang w:val="en-AU" w:eastAsia="en-AU"/>
        </w:rPr>
        <w:t>t</w:t>
      </w:r>
      <w:proofErr w:type="spellEnd"/>
      <w:proofErr w:type="gramEnd"/>
      <w:r w:rsidR="006D228C">
        <w:rPr>
          <w:szCs w:val="22"/>
          <w:lang w:val="en-AU" w:eastAsia="en-AU"/>
        </w:rPr>
        <w:t xml:space="preserve"> with respect to their other licen</w:t>
      </w:r>
      <w:r w:rsidRPr="00924BA9">
        <w:rPr>
          <w:szCs w:val="22"/>
          <w:lang w:val="en-AU" w:eastAsia="en-AU"/>
        </w:rPr>
        <w:t xml:space="preserve">ce </w:t>
      </w:r>
      <w:r w:rsidR="006D228C">
        <w:rPr>
          <w:szCs w:val="22"/>
          <w:lang w:val="en-AU" w:eastAsia="en-AU"/>
        </w:rPr>
        <w:t>obligations</w:t>
      </w:r>
      <w:r w:rsidR="00CB78CE">
        <w:rPr>
          <w:szCs w:val="22"/>
          <w:lang w:val="en-AU" w:eastAsia="en-AU"/>
        </w:rPr>
        <w:t>,</w:t>
      </w:r>
      <w:r w:rsidR="00CB78CE" w:rsidRPr="00924BA9">
        <w:rPr>
          <w:szCs w:val="22"/>
          <w:lang w:val="en-AU" w:eastAsia="en-AU"/>
        </w:rPr>
        <w:t xml:space="preserve"> in fairness to unsuccessful applicants</w:t>
      </w:r>
      <w:r w:rsidR="00CB78CE">
        <w:rPr>
          <w:szCs w:val="22"/>
          <w:lang w:val="en-AU" w:eastAsia="en-AU"/>
        </w:rPr>
        <w:t xml:space="preserve"> and to deter ambit proposals</w:t>
      </w:r>
      <w:r w:rsidR="00CB78CE" w:rsidRPr="00924BA9">
        <w:rPr>
          <w:szCs w:val="22"/>
          <w:lang w:val="en-AU" w:eastAsia="en-AU"/>
        </w:rPr>
        <w:t>.</w:t>
      </w:r>
      <w:r w:rsidR="00CB78CE">
        <w:rPr>
          <w:szCs w:val="22"/>
          <w:lang w:val="en-AU" w:eastAsia="en-AU"/>
        </w:rPr>
        <w:t xml:space="preserve"> Earth Resources Regulation will review the licensee’s performance periodically. </w:t>
      </w:r>
    </w:p>
    <w:p w14:paraId="5437D74C" w14:textId="619280B5" w:rsidR="00886C70" w:rsidRDefault="00CB78CE" w:rsidP="00886C70">
      <w:pPr>
        <w:pStyle w:val="enorm"/>
        <w:jc w:val="left"/>
        <w:rPr>
          <w:szCs w:val="22"/>
          <w:lang w:val="en-AU" w:eastAsia="en-AU"/>
        </w:rPr>
      </w:pPr>
      <w:r>
        <w:rPr>
          <w:szCs w:val="22"/>
          <w:lang w:val="en-AU" w:eastAsia="en-AU"/>
        </w:rPr>
        <w:lastRenderedPageBreak/>
        <w:t>Any former licence</w:t>
      </w:r>
      <w:r w:rsidR="00886C70" w:rsidRPr="00924BA9">
        <w:rPr>
          <w:szCs w:val="22"/>
          <w:lang w:val="en-AU" w:eastAsia="en-AU"/>
        </w:rPr>
        <w:t xml:space="preserve"> area</w:t>
      </w:r>
      <w:r>
        <w:rPr>
          <w:szCs w:val="22"/>
          <w:lang w:val="en-AU" w:eastAsia="en-AU"/>
        </w:rPr>
        <w:t>s</w:t>
      </w:r>
      <w:r w:rsidR="00886C70" w:rsidRPr="00924BA9">
        <w:rPr>
          <w:szCs w:val="22"/>
          <w:lang w:val="en-AU" w:eastAsia="en-AU"/>
        </w:rPr>
        <w:t xml:space="preserve"> </w:t>
      </w:r>
      <w:r>
        <w:rPr>
          <w:szCs w:val="22"/>
          <w:lang w:val="en-AU" w:eastAsia="en-AU"/>
        </w:rPr>
        <w:t xml:space="preserve">will be </w:t>
      </w:r>
      <w:r w:rsidR="00886C70" w:rsidRPr="00924BA9">
        <w:rPr>
          <w:szCs w:val="22"/>
          <w:lang w:val="en-AU" w:eastAsia="en-AU"/>
        </w:rPr>
        <w:t>made available to future applicants</w:t>
      </w:r>
      <w:r>
        <w:rPr>
          <w:szCs w:val="22"/>
          <w:lang w:val="en-AU" w:eastAsia="en-AU"/>
        </w:rPr>
        <w:t xml:space="preserve"> subject the requirements under the MRSDA.</w:t>
      </w:r>
    </w:p>
    <w:p w14:paraId="7D4B50F4" w14:textId="77777777" w:rsidR="00886C70" w:rsidRDefault="00886C70">
      <w:pPr>
        <w:spacing w:before="0" w:line="276" w:lineRule="auto"/>
        <w:rPr>
          <w:color w:val="auto"/>
        </w:rPr>
      </w:pPr>
    </w:p>
    <w:p w14:paraId="4D6D9262" w14:textId="77777777" w:rsidR="00323745" w:rsidRDefault="00323745">
      <w:pPr>
        <w:spacing w:before="0" w:line="276" w:lineRule="auto"/>
        <w:rPr>
          <w:rFonts w:asciiTheme="minorHAnsi" w:hAnsiTheme="minorHAnsi" w:cs="Times New Roman"/>
          <w:color w:val="auto"/>
          <w:szCs w:val="20"/>
          <w:lang w:eastAsia="en-US"/>
        </w:rPr>
      </w:pPr>
      <w:r>
        <w:rPr>
          <w:color w:val="auto"/>
        </w:rPr>
        <w:br w:type="page"/>
      </w:r>
    </w:p>
    <w:p w14:paraId="6806F3CA" w14:textId="07EC20A1" w:rsidR="00314B6E" w:rsidRPr="004024C3" w:rsidRDefault="00E15F38" w:rsidP="008F6A19">
      <w:pPr>
        <w:pStyle w:val="DEDJTRPolicyH1"/>
        <w:ind w:left="2127" w:hanging="2127"/>
        <w:rPr>
          <w:sz w:val="20"/>
          <w:szCs w:val="20"/>
        </w:rPr>
      </w:pPr>
      <w:bookmarkStart w:id="12" w:name="_Toc12876525"/>
      <w:r>
        <w:lastRenderedPageBreak/>
        <w:t>A</w:t>
      </w:r>
      <w:r w:rsidR="00574342">
        <w:t xml:space="preserve">ppendix </w:t>
      </w:r>
      <w:r w:rsidR="001E5B1A">
        <w:t>A</w:t>
      </w:r>
      <w:r w:rsidR="00CB570E">
        <w:t>:</w:t>
      </w:r>
      <w:r w:rsidR="00CB570E">
        <w:tab/>
      </w:r>
      <w:r w:rsidR="00AA004E">
        <w:t xml:space="preserve">Extracts </w:t>
      </w:r>
      <w:r w:rsidR="00906379">
        <w:t xml:space="preserve">of the </w:t>
      </w:r>
      <w:r w:rsidR="008F6A19">
        <w:t>M</w:t>
      </w:r>
      <w:r w:rsidR="00AA004E">
        <w:t xml:space="preserve">ineral </w:t>
      </w:r>
      <w:r w:rsidR="008F6A19">
        <w:t>R</w:t>
      </w:r>
      <w:r w:rsidR="00AA004E">
        <w:t>esources (</w:t>
      </w:r>
      <w:r w:rsidR="008F6A19">
        <w:t>S</w:t>
      </w:r>
      <w:r w:rsidR="00AA004E">
        <w:t xml:space="preserve">ustainable </w:t>
      </w:r>
      <w:r w:rsidR="008F6A19">
        <w:t>D</w:t>
      </w:r>
      <w:r w:rsidR="00AA004E">
        <w:t xml:space="preserve">evelopment) </w:t>
      </w:r>
      <w:r w:rsidR="008F6A19">
        <w:t>A</w:t>
      </w:r>
      <w:r w:rsidR="00AA004E">
        <w:t xml:space="preserve">ct 1990 </w:t>
      </w:r>
      <w:r w:rsidR="008F6A19">
        <w:t>a</w:t>
      </w:r>
      <w:r w:rsidR="00906379">
        <w:t xml:space="preserve">nd </w:t>
      </w:r>
      <w:r w:rsidR="008F6A19">
        <w:t>S</w:t>
      </w:r>
      <w:r w:rsidR="00AA004E">
        <w:t>ubordinate</w:t>
      </w:r>
      <w:r w:rsidR="008F6A19">
        <w:t xml:space="preserve"> R</w:t>
      </w:r>
      <w:r w:rsidR="00906379">
        <w:t>egulations</w:t>
      </w:r>
      <w:bookmarkEnd w:id="12"/>
    </w:p>
    <w:p w14:paraId="6DC36C70" w14:textId="7B3B801E" w:rsidR="00574342" w:rsidRPr="004024C3" w:rsidRDefault="00574342" w:rsidP="000429F8">
      <w:pPr>
        <w:rPr>
          <w:rFonts w:asciiTheme="minorHAnsi" w:hAnsiTheme="minorHAnsi" w:cstheme="minorHAnsi"/>
          <w:b/>
          <w:color w:val="auto"/>
          <w:szCs w:val="20"/>
          <w:lang w:val="en-US"/>
        </w:rPr>
      </w:pPr>
      <w:r w:rsidRPr="004024C3">
        <w:rPr>
          <w:rFonts w:asciiTheme="minorHAnsi" w:hAnsiTheme="minorHAnsi" w:cstheme="minorHAnsi"/>
          <w:b/>
          <w:color w:val="auto"/>
          <w:szCs w:val="20"/>
          <w:lang w:val="en-US"/>
        </w:rPr>
        <w:t>Section 2 - Objectives  </w:t>
      </w:r>
    </w:p>
    <w:p w14:paraId="7D23FFA4" w14:textId="77777777" w:rsidR="00574342" w:rsidRPr="004024C3" w:rsidRDefault="00574342" w:rsidP="000429F8">
      <w:pPr>
        <w:pStyle w:val="NormalWeb"/>
        <w:shd w:val="clear" w:color="auto" w:fill="FFFFFF"/>
        <w:spacing w:before="0" w:beforeAutospacing="0" w:after="180" w:afterAutospacing="0"/>
        <w:rPr>
          <w:rFonts w:asciiTheme="minorHAnsi" w:hAnsiTheme="minorHAnsi" w:cstheme="minorHAnsi"/>
          <w:i/>
          <w:sz w:val="20"/>
          <w:szCs w:val="20"/>
        </w:rPr>
      </w:pPr>
      <w:r w:rsidRPr="004024C3">
        <w:rPr>
          <w:rFonts w:asciiTheme="minorHAnsi" w:hAnsiTheme="minorHAnsi" w:cstheme="minorHAnsi"/>
          <w:i/>
          <w:sz w:val="20"/>
          <w:szCs w:val="20"/>
        </w:rPr>
        <w:t xml:space="preserve"> (1)     The objectives of this Act are—</w:t>
      </w:r>
    </w:p>
    <w:p w14:paraId="691339A0" w14:textId="77777777" w:rsidR="00574342" w:rsidRPr="004024C3" w:rsidRDefault="00574342" w:rsidP="0095760C">
      <w:pPr>
        <w:pStyle w:val="NormalWeb"/>
        <w:numPr>
          <w:ilvl w:val="0"/>
          <w:numId w:val="3"/>
        </w:numPr>
        <w:shd w:val="clear" w:color="auto" w:fill="FFFFFF"/>
        <w:spacing w:before="0" w:beforeAutospacing="0" w:after="180" w:afterAutospacing="0"/>
        <w:ind w:left="993" w:hanging="426"/>
        <w:rPr>
          <w:rFonts w:asciiTheme="minorHAnsi" w:hAnsiTheme="minorHAnsi" w:cstheme="minorHAnsi"/>
          <w:i/>
          <w:sz w:val="20"/>
          <w:szCs w:val="20"/>
        </w:rPr>
      </w:pPr>
      <w:r w:rsidRPr="004024C3">
        <w:rPr>
          <w:rFonts w:asciiTheme="minorHAnsi" w:hAnsiTheme="minorHAnsi" w:cstheme="minorHAnsi"/>
          <w:i/>
          <w:sz w:val="20"/>
          <w:szCs w:val="20"/>
        </w:rPr>
        <w:t>to encourage and facilitate </w:t>
      </w:r>
      <w:hyperlink r:id="rId17" w:anchor="exploration" w:history="1">
        <w:r w:rsidRPr="004024C3">
          <w:rPr>
            <w:rStyle w:val="Hyperlink"/>
            <w:rFonts w:cstheme="minorHAnsi"/>
            <w:i/>
            <w:sz w:val="20"/>
            <w:szCs w:val="20"/>
          </w:rPr>
          <w:t>exploration</w:t>
        </w:r>
      </w:hyperlink>
      <w:r w:rsidRPr="004024C3">
        <w:rPr>
          <w:rFonts w:asciiTheme="minorHAnsi" w:hAnsiTheme="minorHAnsi" w:cstheme="minorHAnsi"/>
          <w:i/>
          <w:sz w:val="20"/>
          <w:szCs w:val="20"/>
        </w:rPr>
        <w:t> for </w:t>
      </w:r>
      <w:hyperlink r:id="rId18" w:anchor="mineral" w:history="1">
        <w:r w:rsidRPr="004024C3">
          <w:rPr>
            <w:rStyle w:val="Hyperlink"/>
            <w:rFonts w:cstheme="minorHAnsi"/>
            <w:i/>
            <w:sz w:val="20"/>
            <w:szCs w:val="20"/>
          </w:rPr>
          <w:t>minerals</w:t>
        </w:r>
      </w:hyperlink>
      <w:r w:rsidRPr="004024C3">
        <w:rPr>
          <w:rFonts w:asciiTheme="minorHAnsi" w:hAnsiTheme="minorHAnsi" w:cstheme="minorHAnsi"/>
          <w:i/>
          <w:sz w:val="20"/>
          <w:szCs w:val="20"/>
        </w:rPr>
        <w:t xml:space="preserve"> and foster the establishment and continuation of </w:t>
      </w:r>
      <w:hyperlink r:id="rId19" w:anchor="mining" w:history="1">
        <w:r w:rsidRPr="004024C3">
          <w:rPr>
            <w:rStyle w:val="Hyperlink"/>
            <w:rFonts w:cstheme="minorHAnsi"/>
            <w:i/>
            <w:sz w:val="20"/>
            <w:szCs w:val="20"/>
          </w:rPr>
          <w:t>mining</w:t>
        </w:r>
      </w:hyperlink>
      <w:r w:rsidRPr="004024C3">
        <w:rPr>
          <w:rFonts w:asciiTheme="minorHAnsi" w:hAnsiTheme="minorHAnsi" w:cstheme="minorHAnsi"/>
          <w:i/>
          <w:sz w:val="20"/>
          <w:szCs w:val="20"/>
        </w:rPr>
        <w:t> operations by providing for—</w:t>
      </w:r>
    </w:p>
    <w:p w14:paraId="2196A37E" w14:textId="77777777" w:rsidR="00574342" w:rsidRPr="004024C3" w:rsidRDefault="00574342" w:rsidP="0095760C">
      <w:pPr>
        <w:pStyle w:val="NormalWeb"/>
        <w:numPr>
          <w:ilvl w:val="1"/>
          <w:numId w:val="3"/>
        </w:numPr>
        <w:shd w:val="clear" w:color="auto" w:fill="FFFFFF"/>
        <w:spacing w:before="0" w:beforeAutospacing="0" w:after="180" w:afterAutospacing="0"/>
        <w:ind w:hanging="164"/>
        <w:rPr>
          <w:rFonts w:asciiTheme="minorHAnsi" w:hAnsiTheme="minorHAnsi" w:cstheme="minorHAnsi"/>
          <w:i/>
          <w:sz w:val="20"/>
          <w:szCs w:val="20"/>
        </w:rPr>
      </w:pPr>
      <w:r w:rsidRPr="004024C3">
        <w:rPr>
          <w:rFonts w:asciiTheme="minorHAnsi" w:hAnsiTheme="minorHAnsi" w:cstheme="minorHAnsi"/>
          <w:i/>
          <w:sz w:val="20"/>
          <w:szCs w:val="20"/>
        </w:rPr>
        <w:t>an efficient and effective system for the granting of </w:t>
      </w:r>
      <w:hyperlink r:id="rId20" w:anchor="licence" w:history="1">
        <w:r w:rsidRPr="004024C3">
          <w:rPr>
            <w:rStyle w:val="Hyperlink"/>
            <w:rFonts w:cstheme="minorHAnsi"/>
            <w:i/>
            <w:sz w:val="20"/>
            <w:szCs w:val="20"/>
          </w:rPr>
          <w:t>licences</w:t>
        </w:r>
      </w:hyperlink>
      <w:r w:rsidRPr="004024C3">
        <w:rPr>
          <w:rFonts w:asciiTheme="minorHAnsi" w:hAnsiTheme="minorHAnsi" w:cstheme="minorHAnsi"/>
          <w:i/>
          <w:sz w:val="20"/>
          <w:szCs w:val="20"/>
        </w:rPr>
        <w:t> and other approvals; and</w:t>
      </w:r>
    </w:p>
    <w:p w14:paraId="2B0ACF9F" w14:textId="77777777" w:rsidR="00574342" w:rsidRPr="004024C3" w:rsidRDefault="00574342" w:rsidP="0095760C">
      <w:pPr>
        <w:pStyle w:val="NormalWeb"/>
        <w:numPr>
          <w:ilvl w:val="1"/>
          <w:numId w:val="3"/>
        </w:numPr>
        <w:shd w:val="clear" w:color="auto" w:fill="FFFFFF"/>
        <w:spacing w:before="0" w:beforeAutospacing="0" w:after="180" w:afterAutospacing="0"/>
        <w:ind w:hanging="164"/>
        <w:rPr>
          <w:rFonts w:asciiTheme="minorHAnsi" w:hAnsiTheme="minorHAnsi" w:cstheme="minorHAnsi"/>
          <w:i/>
          <w:sz w:val="20"/>
          <w:szCs w:val="20"/>
        </w:rPr>
      </w:pPr>
      <w:r w:rsidRPr="004024C3">
        <w:rPr>
          <w:rFonts w:asciiTheme="minorHAnsi" w:hAnsiTheme="minorHAnsi" w:cstheme="minorHAnsi"/>
          <w:i/>
          <w:sz w:val="20"/>
          <w:szCs w:val="20"/>
        </w:rPr>
        <w:t>a process for co-ordinating applications for related approvals; and</w:t>
      </w:r>
    </w:p>
    <w:p w14:paraId="58CBDF1A" w14:textId="77777777" w:rsidR="00574342" w:rsidRPr="004024C3" w:rsidRDefault="00574342" w:rsidP="0095760C">
      <w:pPr>
        <w:pStyle w:val="NormalWeb"/>
        <w:numPr>
          <w:ilvl w:val="1"/>
          <w:numId w:val="3"/>
        </w:numPr>
        <w:shd w:val="clear" w:color="auto" w:fill="FFFFFF"/>
        <w:spacing w:before="0" w:beforeAutospacing="0" w:after="180" w:afterAutospacing="0"/>
        <w:ind w:hanging="164"/>
        <w:rPr>
          <w:rFonts w:asciiTheme="minorHAnsi" w:hAnsiTheme="minorHAnsi" w:cstheme="minorHAnsi"/>
          <w:i/>
          <w:sz w:val="20"/>
          <w:szCs w:val="20"/>
        </w:rPr>
      </w:pPr>
      <w:r w:rsidRPr="004024C3">
        <w:rPr>
          <w:rFonts w:asciiTheme="minorHAnsi" w:hAnsiTheme="minorHAnsi" w:cstheme="minorHAnsi"/>
          <w:i/>
          <w:sz w:val="20"/>
          <w:szCs w:val="20"/>
        </w:rPr>
        <w:t>an effective administrative structure for making decisions concerning the allocation of </w:t>
      </w:r>
      <w:hyperlink r:id="rId21" w:anchor="mineral_resource" w:history="1">
        <w:r w:rsidRPr="004024C3">
          <w:rPr>
            <w:rStyle w:val="Hyperlink"/>
            <w:rFonts w:cstheme="minorHAnsi"/>
            <w:i/>
            <w:sz w:val="20"/>
            <w:szCs w:val="20"/>
          </w:rPr>
          <w:t>mineral resources</w:t>
        </w:r>
      </w:hyperlink>
      <w:r w:rsidRPr="004024C3">
        <w:rPr>
          <w:rFonts w:asciiTheme="minorHAnsi" w:hAnsiTheme="minorHAnsi" w:cstheme="minorHAnsi"/>
          <w:i/>
          <w:sz w:val="20"/>
          <w:szCs w:val="20"/>
        </w:rPr>
        <w:t> for the benefit of the general public; and</w:t>
      </w:r>
    </w:p>
    <w:p w14:paraId="203AC835" w14:textId="77777777" w:rsidR="00574342" w:rsidRPr="004024C3" w:rsidRDefault="00574342" w:rsidP="0095760C">
      <w:pPr>
        <w:pStyle w:val="NormalWeb"/>
        <w:numPr>
          <w:ilvl w:val="1"/>
          <w:numId w:val="3"/>
        </w:numPr>
        <w:shd w:val="clear" w:color="auto" w:fill="FFFFFF"/>
        <w:spacing w:before="0" w:beforeAutospacing="0" w:after="180" w:afterAutospacing="0"/>
        <w:ind w:hanging="164"/>
        <w:rPr>
          <w:rFonts w:asciiTheme="minorHAnsi" w:hAnsiTheme="minorHAnsi" w:cstheme="minorHAnsi"/>
          <w:i/>
          <w:sz w:val="20"/>
          <w:szCs w:val="20"/>
        </w:rPr>
      </w:pPr>
      <w:r w:rsidRPr="004024C3">
        <w:rPr>
          <w:rFonts w:asciiTheme="minorHAnsi" w:hAnsiTheme="minorHAnsi" w:cstheme="minorHAnsi"/>
          <w:i/>
          <w:sz w:val="20"/>
          <w:szCs w:val="20"/>
        </w:rPr>
        <w:t>an economically efficient system of royalties, rentals, fees and charges; and</w:t>
      </w:r>
    </w:p>
    <w:p w14:paraId="0A1F51FA" w14:textId="77777777" w:rsidR="00574342" w:rsidRPr="004024C3" w:rsidRDefault="00574342" w:rsidP="0095760C">
      <w:pPr>
        <w:pStyle w:val="NormalWeb"/>
        <w:numPr>
          <w:ilvl w:val="0"/>
          <w:numId w:val="3"/>
        </w:numPr>
        <w:shd w:val="clear" w:color="auto" w:fill="FFFFFF"/>
        <w:spacing w:before="0" w:beforeAutospacing="0" w:after="180" w:afterAutospacing="0"/>
        <w:ind w:left="993" w:hanging="426"/>
        <w:rPr>
          <w:rFonts w:asciiTheme="minorHAnsi" w:hAnsiTheme="minorHAnsi" w:cstheme="minorHAnsi"/>
          <w:i/>
          <w:sz w:val="20"/>
          <w:szCs w:val="20"/>
        </w:rPr>
      </w:pPr>
      <w:r w:rsidRPr="004024C3">
        <w:rPr>
          <w:rFonts w:asciiTheme="minorHAnsi" w:hAnsiTheme="minorHAnsi" w:cstheme="minorHAnsi"/>
          <w:i/>
          <w:sz w:val="20"/>
          <w:szCs w:val="20"/>
        </w:rPr>
        <w:t>to establish a legal framework aimed at ensuring that—</w:t>
      </w:r>
    </w:p>
    <w:p w14:paraId="6E98AA8D" w14:textId="77777777" w:rsidR="00574342" w:rsidRPr="004024C3" w:rsidRDefault="00574342" w:rsidP="0095760C">
      <w:pPr>
        <w:pStyle w:val="NormalWeb"/>
        <w:numPr>
          <w:ilvl w:val="1"/>
          <w:numId w:val="3"/>
        </w:numPr>
        <w:shd w:val="clear" w:color="auto" w:fill="FFFFFF"/>
        <w:spacing w:before="0" w:beforeAutospacing="0" w:after="180" w:afterAutospacing="0"/>
        <w:ind w:hanging="164"/>
        <w:rPr>
          <w:rFonts w:asciiTheme="minorHAnsi" w:hAnsiTheme="minorHAnsi" w:cstheme="minorHAnsi"/>
          <w:i/>
          <w:sz w:val="20"/>
          <w:szCs w:val="20"/>
        </w:rPr>
      </w:pPr>
      <w:r w:rsidRPr="004024C3">
        <w:rPr>
          <w:rFonts w:asciiTheme="minorHAnsi" w:hAnsiTheme="minorHAnsi" w:cstheme="minorHAnsi"/>
          <w:i/>
          <w:sz w:val="20"/>
          <w:szCs w:val="20"/>
        </w:rPr>
        <w:t>risks posed to the environment, to members of the public, or to land, property or infrastructure by work being done under a </w:t>
      </w:r>
      <w:hyperlink r:id="rId22" w:anchor="licence" w:history="1">
        <w:r w:rsidRPr="004024C3">
          <w:rPr>
            <w:rFonts w:asciiTheme="minorHAnsi" w:hAnsiTheme="minorHAnsi" w:cstheme="minorHAnsi"/>
            <w:sz w:val="20"/>
            <w:szCs w:val="20"/>
          </w:rPr>
          <w:t>licence</w:t>
        </w:r>
      </w:hyperlink>
      <w:r w:rsidRPr="004024C3">
        <w:rPr>
          <w:rFonts w:asciiTheme="minorHAnsi" w:hAnsiTheme="minorHAnsi" w:cstheme="minorHAnsi"/>
          <w:i/>
          <w:sz w:val="20"/>
          <w:szCs w:val="20"/>
        </w:rPr>
        <w:t> or </w:t>
      </w:r>
      <w:hyperlink r:id="rId23" w:anchor="extractive_industry_work_authority" w:history="1">
        <w:r w:rsidRPr="004024C3">
          <w:rPr>
            <w:rFonts w:asciiTheme="minorHAnsi" w:hAnsiTheme="minorHAnsi" w:cstheme="minorHAnsi"/>
            <w:sz w:val="20"/>
            <w:szCs w:val="20"/>
          </w:rPr>
          <w:t>extractive</w:t>
        </w:r>
      </w:hyperlink>
      <w:r w:rsidRPr="004024C3">
        <w:rPr>
          <w:rFonts w:asciiTheme="minorHAnsi" w:hAnsiTheme="minorHAnsi" w:cstheme="minorHAnsi"/>
          <w:i/>
          <w:sz w:val="20"/>
          <w:szCs w:val="20"/>
        </w:rPr>
        <w:t> </w:t>
      </w:r>
      <w:hyperlink r:id="rId24" w:anchor="extractive_industry_work_authority" w:history="1">
        <w:r w:rsidRPr="004024C3">
          <w:rPr>
            <w:rFonts w:asciiTheme="minorHAnsi" w:hAnsiTheme="minorHAnsi" w:cstheme="minorHAnsi"/>
            <w:sz w:val="20"/>
            <w:szCs w:val="20"/>
          </w:rPr>
          <w:t>industry work authority</w:t>
        </w:r>
      </w:hyperlink>
      <w:r w:rsidRPr="004024C3">
        <w:rPr>
          <w:rFonts w:asciiTheme="minorHAnsi" w:hAnsiTheme="minorHAnsi" w:cstheme="minorHAnsi"/>
          <w:i/>
          <w:sz w:val="20"/>
          <w:szCs w:val="20"/>
        </w:rPr>
        <w:t> are identified and are eliminated or minimised as far as reasonably practicable; and</w:t>
      </w:r>
    </w:p>
    <w:p w14:paraId="71D3CF0B" w14:textId="77777777" w:rsidR="00574342" w:rsidRPr="004024C3" w:rsidRDefault="00574342" w:rsidP="0095760C">
      <w:pPr>
        <w:pStyle w:val="NormalWeb"/>
        <w:numPr>
          <w:ilvl w:val="1"/>
          <w:numId w:val="3"/>
        </w:numPr>
        <w:shd w:val="clear" w:color="auto" w:fill="FFFFFF"/>
        <w:spacing w:before="0" w:beforeAutospacing="0" w:after="180" w:afterAutospacing="0"/>
        <w:ind w:hanging="164"/>
        <w:rPr>
          <w:rFonts w:asciiTheme="minorHAnsi" w:hAnsiTheme="minorHAnsi" w:cstheme="minorHAnsi"/>
          <w:i/>
          <w:sz w:val="20"/>
          <w:szCs w:val="20"/>
        </w:rPr>
      </w:pPr>
      <w:r w:rsidRPr="004024C3">
        <w:rPr>
          <w:rFonts w:asciiTheme="minorHAnsi" w:hAnsiTheme="minorHAnsi" w:cstheme="minorHAnsi"/>
          <w:i/>
          <w:sz w:val="20"/>
          <w:szCs w:val="20"/>
        </w:rPr>
        <w:t>consultation mechanisms are effective and appropriate access to information is provided; and</w:t>
      </w:r>
    </w:p>
    <w:p w14:paraId="65BAC185" w14:textId="77777777" w:rsidR="00574342" w:rsidRPr="004024C3" w:rsidRDefault="00574342" w:rsidP="0095760C">
      <w:pPr>
        <w:pStyle w:val="NormalWeb"/>
        <w:numPr>
          <w:ilvl w:val="1"/>
          <w:numId w:val="3"/>
        </w:numPr>
        <w:shd w:val="clear" w:color="auto" w:fill="FFFFFF"/>
        <w:spacing w:before="0" w:beforeAutospacing="0" w:after="180" w:afterAutospacing="0"/>
        <w:ind w:hanging="164"/>
        <w:rPr>
          <w:rFonts w:asciiTheme="minorHAnsi" w:hAnsiTheme="minorHAnsi" w:cstheme="minorHAnsi"/>
          <w:i/>
          <w:sz w:val="20"/>
          <w:szCs w:val="20"/>
        </w:rPr>
      </w:pPr>
      <w:r w:rsidRPr="004024C3">
        <w:rPr>
          <w:rFonts w:asciiTheme="minorHAnsi" w:hAnsiTheme="minorHAnsi" w:cstheme="minorHAnsi"/>
          <w:i/>
          <w:sz w:val="20"/>
          <w:szCs w:val="20"/>
        </w:rPr>
        <w:t>land which has been </w:t>
      </w:r>
      <w:hyperlink r:id="rId25" w:anchor="mine" w:history="1">
        <w:r w:rsidRPr="004024C3">
          <w:rPr>
            <w:rFonts w:asciiTheme="minorHAnsi" w:hAnsiTheme="minorHAnsi" w:cstheme="minorHAnsi"/>
            <w:sz w:val="20"/>
            <w:szCs w:val="20"/>
          </w:rPr>
          <w:t>mined</w:t>
        </w:r>
      </w:hyperlink>
      <w:r w:rsidRPr="004024C3">
        <w:rPr>
          <w:rFonts w:asciiTheme="minorHAnsi" w:hAnsiTheme="minorHAnsi" w:cstheme="minorHAnsi"/>
          <w:i/>
          <w:sz w:val="20"/>
          <w:szCs w:val="20"/>
        </w:rPr>
        <w:t> or from which stone has been extracted or removed is rehabilitated; and</w:t>
      </w:r>
    </w:p>
    <w:p w14:paraId="489EF424" w14:textId="77777777" w:rsidR="00574342" w:rsidRPr="004024C3" w:rsidRDefault="00574342" w:rsidP="0095760C">
      <w:pPr>
        <w:pStyle w:val="NormalWeb"/>
        <w:numPr>
          <w:ilvl w:val="1"/>
          <w:numId w:val="3"/>
        </w:numPr>
        <w:shd w:val="clear" w:color="auto" w:fill="FFFFFF"/>
        <w:spacing w:before="0" w:beforeAutospacing="0" w:after="180" w:afterAutospacing="0"/>
        <w:ind w:hanging="164"/>
        <w:rPr>
          <w:rFonts w:asciiTheme="minorHAnsi" w:hAnsiTheme="minorHAnsi" w:cstheme="minorHAnsi"/>
          <w:i/>
          <w:sz w:val="20"/>
          <w:szCs w:val="20"/>
        </w:rPr>
      </w:pPr>
      <w:r w:rsidRPr="004024C3">
        <w:rPr>
          <w:rFonts w:asciiTheme="minorHAnsi" w:hAnsiTheme="minorHAnsi" w:cstheme="minorHAnsi"/>
          <w:i/>
          <w:sz w:val="20"/>
          <w:szCs w:val="20"/>
        </w:rPr>
        <w:t>just compensation is paid for the use of private land for </w:t>
      </w:r>
      <w:hyperlink r:id="rId26" w:anchor="exploration" w:history="1">
        <w:r w:rsidRPr="004024C3">
          <w:rPr>
            <w:rFonts w:asciiTheme="minorHAnsi" w:hAnsiTheme="minorHAnsi" w:cstheme="minorHAnsi"/>
            <w:sz w:val="20"/>
            <w:szCs w:val="20"/>
          </w:rPr>
          <w:t>exploration</w:t>
        </w:r>
      </w:hyperlink>
      <w:r w:rsidRPr="004024C3">
        <w:rPr>
          <w:rFonts w:asciiTheme="minorHAnsi" w:hAnsiTheme="minorHAnsi" w:cstheme="minorHAnsi"/>
          <w:i/>
          <w:sz w:val="20"/>
          <w:szCs w:val="20"/>
        </w:rPr>
        <w:t> or </w:t>
      </w:r>
      <w:hyperlink r:id="rId27" w:anchor="mining" w:history="1">
        <w:r w:rsidRPr="004024C3">
          <w:rPr>
            <w:rFonts w:asciiTheme="minorHAnsi" w:hAnsiTheme="minorHAnsi" w:cstheme="minorHAnsi"/>
            <w:sz w:val="20"/>
            <w:szCs w:val="20"/>
          </w:rPr>
          <w:t>mining</w:t>
        </w:r>
      </w:hyperlink>
      <w:r w:rsidRPr="004024C3">
        <w:rPr>
          <w:rFonts w:asciiTheme="minorHAnsi" w:hAnsiTheme="minorHAnsi" w:cstheme="minorHAnsi"/>
          <w:i/>
          <w:sz w:val="20"/>
          <w:szCs w:val="20"/>
        </w:rPr>
        <w:t>; and</w:t>
      </w:r>
    </w:p>
    <w:p w14:paraId="1508E757" w14:textId="77777777" w:rsidR="00574342" w:rsidRPr="004024C3" w:rsidRDefault="00574342" w:rsidP="0095760C">
      <w:pPr>
        <w:pStyle w:val="NormalWeb"/>
        <w:numPr>
          <w:ilvl w:val="1"/>
          <w:numId w:val="3"/>
        </w:numPr>
        <w:shd w:val="clear" w:color="auto" w:fill="FFFFFF"/>
        <w:spacing w:before="0" w:beforeAutospacing="0" w:after="180" w:afterAutospacing="0"/>
        <w:ind w:hanging="164"/>
        <w:rPr>
          <w:rFonts w:asciiTheme="minorHAnsi" w:hAnsiTheme="minorHAnsi" w:cstheme="minorHAnsi"/>
          <w:i/>
          <w:sz w:val="20"/>
          <w:szCs w:val="20"/>
        </w:rPr>
      </w:pPr>
      <w:r w:rsidRPr="004024C3">
        <w:rPr>
          <w:rFonts w:asciiTheme="minorHAnsi" w:hAnsiTheme="minorHAnsi" w:cstheme="minorHAnsi"/>
          <w:i/>
          <w:sz w:val="20"/>
          <w:szCs w:val="20"/>
        </w:rPr>
        <w:t>conditions in </w:t>
      </w:r>
      <w:hyperlink r:id="rId28" w:anchor="licence" w:history="1">
        <w:r w:rsidRPr="004024C3">
          <w:rPr>
            <w:rFonts w:asciiTheme="minorHAnsi" w:hAnsiTheme="minorHAnsi" w:cstheme="minorHAnsi"/>
            <w:sz w:val="20"/>
            <w:szCs w:val="20"/>
          </w:rPr>
          <w:t>licences</w:t>
        </w:r>
      </w:hyperlink>
      <w:r w:rsidRPr="004024C3">
        <w:rPr>
          <w:rFonts w:asciiTheme="minorHAnsi" w:hAnsiTheme="minorHAnsi" w:cstheme="minorHAnsi"/>
          <w:i/>
          <w:sz w:val="20"/>
          <w:szCs w:val="20"/>
        </w:rPr>
        <w:t> and approvals are enforced; and</w:t>
      </w:r>
    </w:p>
    <w:p w14:paraId="119FBB6A" w14:textId="77777777" w:rsidR="00574342" w:rsidRPr="004024C3" w:rsidRDefault="00DC36B8" w:rsidP="0095760C">
      <w:pPr>
        <w:pStyle w:val="NormalWeb"/>
        <w:numPr>
          <w:ilvl w:val="1"/>
          <w:numId w:val="3"/>
        </w:numPr>
        <w:shd w:val="clear" w:color="auto" w:fill="FFFFFF"/>
        <w:spacing w:before="0" w:beforeAutospacing="0" w:after="180" w:afterAutospacing="0"/>
        <w:ind w:hanging="164"/>
        <w:rPr>
          <w:rFonts w:asciiTheme="minorHAnsi" w:hAnsiTheme="minorHAnsi" w:cstheme="minorHAnsi"/>
          <w:i/>
          <w:sz w:val="20"/>
          <w:szCs w:val="20"/>
        </w:rPr>
      </w:pPr>
      <w:hyperlink r:id="rId29" w:anchor="dispute" w:history="1">
        <w:r w:rsidR="00574342" w:rsidRPr="004024C3">
          <w:rPr>
            <w:rFonts w:asciiTheme="minorHAnsi" w:hAnsiTheme="minorHAnsi" w:cstheme="minorHAnsi"/>
            <w:sz w:val="20"/>
            <w:szCs w:val="20"/>
          </w:rPr>
          <w:t>dispute</w:t>
        </w:r>
      </w:hyperlink>
      <w:r w:rsidR="00574342" w:rsidRPr="004024C3">
        <w:rPr>
          <w:rFonts w:asciiTheme="minorHAnsi" w:hAnsiTheme="minorHAnsi" w:cstheme="minorHAnsi"/>
          <w:i/>
          <w:sz w:val="20"/>
          <w:szCs w:val="20"/>
        </w:rPr>
        <w:t> resolution procedures are effective; and</w:t>
      </w:r>
    </w:p>
    <w:p w14:paraId="37E59DEF" w14:textId="77777777" w:rsidR="00574342" w:rsidRPr="004024C3" w:rsidRDefault="00574342" w:rsidP="0095760C">
      <w:pPr>
        <w:pStyle w:val="NormalWeb"/>
        <w:numPr>
          <w:ilvl w:val="0"/>
          <w:numId w:val="3"/>
        </w:numPr>
        <w:shd w:val="clear" w:color="auto" w:fill="FFFFFF"/>
        <w:spacing w:before="0" w:beforeAutospacing="0" w:after="180" w:afterAutospacing="0"/>
        <w:ind w:left="993" w:hanging="426"/>
        <w:rPr>
          <w:rFonts w:asciiTheme="minorHAnsi" w:hAnsiTheme="minorHAnsi" w:cstheme="minorHAnsi"/>
          <w:i/>
          <w:sz w:val="20"/>
          <w:szCs w:val="20"/>
        </w:rPr>
      </w:pPr>
      <w:r w:rsidRPr="004024C3">
        <w:rPr>
          <w:rFonts w:asciiTheme="minorHAnsi" w:hAnsiTheme="minorHAnsi" w:cstheme="minorHAnsi"/>
          <w:i/>
          <w:sz w:val="20"/>
          <w:szCs w:val="20"/>
        </w:rPr>
        <w:t>to recognise that the </w:t>
      </w:r>
      <w:hyperlink r:id="rId30" w:anchor="exploration" w:history="1">
        <w:r w:rsidRPr="004024C3">
          <w:rPr>
            <w:rStyle w:val="Hyperlink"/>
            <w:rFonts w:cstheme="minorHAnsi"/>
            <w:i/>
            <w:sz w:val="20"/>
            <w:szCs w:val="20"/>
          </w:rPr>
          <w:t>exploration</w:t>
        </w:r>
      </w:hyperlink>
      <w:r w:rsidRPr="004024C3">
        <w:rPr>
          <w:rFonts w:asciiTheme="minorHAnsi" w:hAnsiTheme="minorHAnsi" w:cstheme="minorHAnsi"/>
          <w:i/>
          <w:sz w:val="20"/>
          <w:szCs w:val="20"/>
        </w:rPr>
        <w:t> for, and </w:t>
      </w:r>
      <w:hyperlink r:id="rId31" w:anchor="mining" w:history="1">
        <w:r w:rsidRPr="004024C3">
          <w:rPr>
            <w:rStyle w:val="Hyperlink"/>
            <w:rFonts w:cstheme="minorHAnsi"/>
            <w:i/>
            <w:sz w:val="20"/>
            <w:szCs w:val="20"/>
          </w:rPr>
          <w:t>mining</w:t>
        </w:r>
      </w:hyperlink>
      <w:r w:rsidRPr="004024C3">
        <w:rPr>
          <w:rFonts w:asciiTheme="minorHAnsi" w:hAnsiTheme="minorHAnsi" w:cstheme="minorHAnsi"/>
          <w:i/>
          <w:sz w:val="20"/>
          <w:szCs w:val="20"/>
        </w:rPr>
        <w:t> or extraction of, </w:t>
      </w:r>
      <w:hyperlink r:id="rId32" w:anchor="mineral_resource" w:history="1">
        <w:r w:rsidRPr="004024C3">
          <w:rPr>
            <w:rStyle w:val="Hyperlink"/>
            <w:rFonts w:cstheme="minorHAnsi"/>
            <w:i/>
            <w:sz w:val="20"/>
            <w:szCs w:val="20"/>
          </w:rPr>
          <w:t>mineral resources</w:t>
        </w:r>
      </w:hyperlink>
      <w:r w:rsidRPr="004024C3">
        <w:rPr>
          <w:rFonts w:asciiTheme="minorHAnsi" w:hAnsiTheme="minorHAnsi" w:cstheme="minorHAnsi"/>
          <w:i/>
          <w:sz w:val="20"/>
          <w:szCs w:val="20"/>
        </w:rPr>
        <w:t> and stone must be carried out in a way that is not inconsistent with the </w:t>
      </w:r>
      <w:hyperlink r:id="rId33" w:history="1">
        <w:r w:rsidRPr="004024C3">
          <w:rPr>
            <w:rStyle w:val="Hyperlink"/>
            <w:rFonts w:cstheme="minorHAnsi"/>
            <w:i/>
            <w:sz w:val="20"/>
            <w:szCs w:val="20"/>
          </w:rPr>
          <w:t>Native Title Act 1993</w:t>
        </w:r>
      </w:hyperlink>
      <w:r w:rsidRPr="004024C3">
        <w:rPr>
          <w:rFonts w:asciiTheme="minorHAnsi" w:hAnsiTheme="minorHAnsi" w:cstheme="minorHAnsi"/>
          <w:i/>
          <w:sz w:val="20"/>
          <w:szCs w:val="20"/>
        </w:rPr>
        <w:t> of the Commonwealth and the </w:t>
      </w:r>
      <w:hyperlink r:id="rId34" w:history="1">
        <w:r w:rsidRPr="004024C3">
          <w:rPr>
            <w:rStyle w:val="Hyperlink"/>
            <w:rFonts w:cstheme="minorHAnsi"/>
            <w:bCs/>
            <w:i/>
            <w:sz w:val="20"/>
            <w:szCs w:val="20"/>
          </w:rPr>
          <w:t>Land Titles Validation Act 1994. </w:t>
        </w:r>
      </w:hyperlink>
    </w:p>
    <w:p w14:paraId="7EE8BE26" w14:textId="781C596D" w:rsidR="00574342" w:rsidRPr="004024C3" w:rsidRDefault="00574342" w:rsidP="000429F8">
      <w:pPr>
        <w:rPr>
          <w:rFonts w:asciiTheme="minorHAnsi" w:hAnsiTheme="minorHAnsi" w:cstheme="minorHAnsi"/>
          <w:b/>
          <w:color w:val="auto"/>
          <w:szCs w:val="20"/>
          <w:lang w:val="en-US"/>
        </w:rPr>
      </w:pPr>
      <w:r w:rsidRPr="004024C3">
        <w:rPr>
          <w:rFonts w:asciiTheme="minorHAnsi" w:hAnsiTheme="minorHAnsi" w:cstheme="minorHAnsi"/>
          <w:b/>
          <w:color w:val="auto"/>
          <w:szCs w:val="20"/>
          <w:lang w:val="en-US"/>
        </w:rPr>
        <w:t>Section 2A – Principles of Sustainable Development</w:t>
      </w:r>
    </w:p>
    <w:p w14:paraId="41D3C053" w14:textId="77777777" w:rsidR="00574342" w:rsidRPr="004024C3" w:rsidRDefault="00574342" w:rsidP="000429F8">
      <w:pPr>
        <w:pStyle w:val="NormalWeb"/>
        <w:shd w:val="clear" w:color="auto" w:fill="FFFFFF"/>
        <w:spacing w:before="0" w:beforeAutospacing="0" w:after="180" w:afterAutospacing="0"/>
        <w:ind w:left="426" w:hanging="568"/>
        <w:rPr>
          <w:rFonts w:asciiTheme="minorHAnsi" w:hAnsiTheme="minorHAnsi" w:cstheme="minorHAnsi"/>
          <w:i/>
          <w:sz w:val="20"/>
          <w:szCs w:val="20"/>
        </w:rPr>
      </w:pPr>
      <w:r w:rsidRPr="004024C3">
        <w:rPr>
          <w:rFonts w:asciiTheme="minorHAnsi" w:hAnsiTheme="minorHAnsi" w:cstheme="minorHAnsi"/>
          <w:i/>
          <w:sz w:val="20"/>
          <w:szCs w:val="20"/>
        </w:rPr>
        <w:t>(1)     It is the intention of Parliament that in the administration of this Act regard should be given to the principles of sustainable development.</w:t>
      </w:r>
    </w:p>
    <w:p w14:paraId="73860831" w14:textId="77777777" w:rsidR="00574342" w:rsidRPr="004024C3" w:rsidRDefault="00574342" w:rsidP="000429F8">
      <w:pPr>
        <w:pStyle w:val="NormalWeb"/>
        <w:shd w:val="clear" w:color="auto" w:fill="FFFFFF"/>
        <w:spacing w:before="0" w:beforeAutospacing="0" w:after="180" w:afterAutospacing="0"/>
        <w:ind w:left="426" w:hanging="568"/>
        <w:rPr>
          <w:rFonts w:asciiTheme="minorHAnsi" w:hAnsiTheme="minorHAnsi" w:cstheme="minorHAnsi"/>
          <w:i/>
          <w:sz w:val="20"/>
          <w:szCs w:val="20"/>
        </w:rPr>
      </w:pPr>
      <w:r w:rsidRPr="004024C3">
        <w:rPr>
          <w:rFonts w:asciiTheme="minorHAnsi" w:hAnsiTheme="minorHAnsi" w:cstheme="minorHAnsi"/>
          <w:i/>
          <w:sz w:val="20"/>
          <w:szCs w:val="20"/>
        </w:rPr>
        <w:t>(2)     For the purposes of this Act, the principles of sustainable development are—</w:t>
      </w:r>
    </w:p>
    <w:p w14:paraId="77F52A0C" w14:textId="77777777" w:rsidR="00574342" w:rsidRPr="004024C3" w:rsidRDefault="00574342" w:rsidP="0095760C">
      <w:pPr>
        <w:pStyle w:val="NormalWeb"/>
        <w:numPr>
          <w:ilvl w:val="0"/>
          <w:numId w:val="4"/>
        </w:numPr>
        <w:shd w:val="clear" w:color="auto" w:fill="FFFFFF"/>
        <w:spacing w:before="0" w:beforeAutospacing="0" w:after="180" w:afterAutospacing="0"/>
        <w:rPr>
          <w:rFonts w:asciiTheme="minorHAnsi" w:hAnsiTheme="minorHAnsi" w:cstheme="minorHAnsi"/>
          <w:i/>
          <w:sz w:val="20"/>
          <w:szCs w:val="20"/>
        </w:rPr>
      </w:pPr>
      <w:r w:rsidRPr="004024C3">
        <w:rPr>
          <w:rFonts w:asciiTheme="minorHAnsi" w:hAnsiTheme="minorHAnsi" w:cstheme="minorHAnsi"/>
          <w:i/>
          <w:sz w:val="20"/>
          <w:szCs w:val="20"/>
        </w:rPr>
        <w:t>community wellbeing and welfare should be enhanced by following a path of economic development that safeguards the welfare of future generations;</w:t>
      </w:r>
    </w:p>
    <w:p w14:paraId="135AFE15" w14:textId="77777777" w:rsidR="00574342" w:rsidRPr="004024C3" w:rsidRDefault="00574342" w:rsidP="0095760C">
      <w:pPr>
        <w:pStyle w:val="NormalWeb"/>
        <w:numPr>
          <w:ilvl w:val="0"/>
          <w:numId w:val="4"/>
        </w:numPr>
        <w:shd w:val="clear" w:color="auto" w:fill="FFFFFF"/>
        <w:spacing w:before="0" w:beforeAutospacing="0" w:after="180" w:afterAutospacing="0"/>
        <w:rPr>
          <w:rFonts w:asciiTheme="minorHAnsi" w:hAnsiTheme="minorHAnsi" w:cstheme="minorHAnsi"/>
          <w:i/>
          <w:sz w:val="20"/>
          <w:szCs w:val="20"/>
        </w:rPr>
      </w:pPr>
      <w:r w:rsidRPr="004024C3">
        <w:rPr>
          <w:rFonts w:asciiTheme="minorHAnsi" w:hAnsiTheme="minorHAnsi" w:cstheme="minorHAnsi"/>
          <w:i/>
          <w:sz w:val="20"/>
          <w:szCs w:val="20"/>
        </w:rPr>
        <w:t>there should be equity within and between generations;</w:t>
      </w:r>
    </w:p>
    <w:p w14:paraId="24D21883" w14:textId="77777777" w:rsidR="00574342" w:rsidRPr="004024C3" w:rsidRDefault="00574342" w:rsidP="0095760C">
      <w:pPr>
        <w:pStyle w:val="NormalWeb"/>
        <w:numPr>
          <w:ilvl w:val="0"/>
          <w:numId w:val="4"/>
        </w:numPr>
        <w:shd w:val="clear" w:color="auto" w:fill="FFFFFF"/>
        <w:spacing w:before="0" w:beforeAutospacing="0" w:after="180" w:afterAutospacing="0"/>
        <w:rPr>
          <w:rFonts w:asciiTheme="minorHAnsi" w:hAnsiTheme="minorHAnsi" w:cstheme="minorHAnsi"/>
          <w:i/>
          <w:sz w:val="20"/>
          <w:szCs w:val="20"/>
        </w:rPr>
      </w:pPr>
      <w:r w:rsidRPr="004024C3">
        <w:rPr>
          <w:rFonts w:asciiTheme="minorHAnsi" w:hAnsiTheme="minorHAnsi" w:cstheme="minorHAnsi"/>
          <w:i/>
          <w:sz w:val="20"/>
          <w:szCs w:val="20"/>
        </w:rPr>
        <w:t>biological diversity should be protected, and ecological integrity maintained;</w:t>
      </w:r>
    </w:p>
    <w:p w14:paraId="2B032BDD" w14:textId="77777777" w:rsidR="00574342" w:rsidRPr="004024C3" w:rsidRDefault="00574342" w:rsidP="0095760C">
      <w:pPr>
        <w:pStyle w:val="NormalWeb"/>
        <w:numPr>
          <w:ilvl w:val="0"/>
          <w:numId w:val="4"/>
        </w:numPr>
        <w:shd w:val="clear" w:color="auto" w:fill="FFFFFF"/>
        <w:spacing w:before="0" w:beforeAutospacing="0" w:after="180" w:afterAutospacing="0"/>
        <w:rPr>
          <w:rFonts w:asciiTheme="minorHAnsi" w:hAnsiTheme="minorHAnsi" w:cstheme="minorHAnsi"/>
          <w:i/>
          <w:sz w:val="20"/>
          <w:szCs w:val="20"/>
        </w:rPr>
      </w:pPr>
      <w:r w:rsidRPr="004024C3">
        <w:rPr>
          <w:rFonts w:asciiTheme="minorHAnsi" w:hAnsiTheme="minorHAnsi" w:cstheme="minorHAnsi"/>
          <w:i/>
          <w:sz w:val="20"/>
          <w:szCs w:val="20"/>
        </w:rPr>
        <w:t>there should be recognition of the need to develop a strong, growing, diversified and internationally competitive economy that can enhance the capacity for environment protection;</w:t>
      </w:r>
    </w:p>
    <w:p w14:paraId="33B681B2" w14:textId="77777777" w:rsidR="00574342" w:rsidRPr="004024C3" w:rsidRDefault="00574342" w:rsidP="0095760C">
      <w:pPr>
        <w:pStyle w:val="NormalWeb"/>
        <w:numPr>
          <w:ilvl w:val="0"/>
          <w:numId w:val="4"/>
        </w:numPr>
        <w:shd w:val="clear" w:color="auto" w:fill="FFFFFF"/>
        <w:spacing w:before="0" w:beforeAutospacing="0" w:after="180" w:afterAutospacing="0"/>
        <w:rPr>
          <w:rFonts w:asciiTheme="minorHAnsi" w:hAnsiTheme="minorHAnsi" w:cstheme="minorHAnsi"/>
          <w:i/>
          <w:sz w:val="20"/>
          <w:szCs w:val="20"/>
        </w:rPr>
      </w:pPr>
      <w:r w:rsidRPr="004024C3">
        <w:rPr>
          <w:rFonts w:asciiTheme="minorHAnsi" w:hAnsiTheme="minorHAnsi" w:cstheme="minorHAnsi"/>
          <w:i/>
          <w:sz w:val="20"/>
          <w:szCs w:val="20"/>
        </w:rPr>
        <w:t>measures to be adopted should be cost effective and flexible, not disproportionate to the issues being addressed, including improved valuation, pricing and incentive mechanisms;</w:t>
      </w:r>
    </w:p>
    <w:p w14:paraId="7B9A5D48" w14:textId="77777777" w:rsidR="00574342" w:rsidRPr="004024C3" w:rsidRDefault="00574342" w:rsidP="0095760C">
      <w:pPr>
        <w:pStyle w:val="NormalWeb"/>
        <w:numPr>
          <w:ilvl w:val="0"/>
          <w:numId w:val="4"/>
        </w:numPr>
        <w:shd w:val="clear" w:color="auto" w:fill="FFFFFF"/>
        <w:spacing w:before="0" w:beforeAutospacing="0" w:after="180" w:afterAutospacing="0"/>
        <w:rPr>
          <w:rFonts w:asciiTheme="minorHAnsi" w:hAnsiTheme="minorHAnsi" w:cstheme="minorHAnsi"/>
          <w:i/>
          <w:sz w:val="20"/>
          <w:szCs w:val="20"/>
        </w:rPr>
      </w:pPr>
      <w:r w:rsidRPr="004024C3">
        <w:rPr>
          <w:rFonts w:asciiTheme="minorHAnsi" w:hAnsiTheme="minorHAnsi" w:cstheme="minorHAnsi"/>
          <w:i/>
          <w:sz w:val="20"/>
          <w:szCs w:val="20"/>
        </w:rPr>
        <w:t>both long and short term economic, environmental, social and equity considerations should be effectively integrated into decision-making;</w:t>
      </w:r>
    </w:p>
    <w:p w14:paraId="6BF98844" w14:textId="77777777" w:rsidR="00574342" w:rsidRPr="004024C3" w:rsidRDefault="00574342" w:rsidP="0095760C">
      <w:pPr>
        <w:pStyle w:val="NormalWeb"/>
        <w:numPr>
          <w:ilvl w:val="0"/>
          <w:numId w:val="4"/>
        </w:numPr>
        <w:shd w:val="clear" w:color="auto" w:fill="FFFFFF"/>
        <w:spacing w:before="0" w:beforeAutospacing="0" w:after="180" w:afterAutospacing="0"/>
        <w:rPr>
          <w:rFonts w:asciiTheme="minorHAnsi" w:hAnsiTheme="minorHAnsi" w:cstheme="minorHAnsi"/>
          <w:i/>
          <w:sz w:val="20"/>
          <w:szCs w:val="20"/>
        </w:rPr>
      </w:pPr>
      <w:r w:rsidRPr="004024C3">
        <w:rPr>
          <w:rFonts w:asciiTheme="minorHAnsi" w:hAnsiTheme="minorHAnsi" w:cstheme="minorHAnsi"/>
          <w:i/>
          <w:sz w:val="20"/>
          <w:szCs w:val="20"/>
        </w:rPr>
        <w:lastRenderedPageBreak/>
        <w:t>if there are threats of serious or irreversible environmental damage, lack of full scientific certainty should not be used as a reason for postponing measures to prevent environmental degradation and decision-making should be guided by—</w:t>
      </w:r>
    </w:p>
    <w:p w14:paraId="5EED954F" w14:textId="77777777" w:rsidR="00574342" w:rsidRPr="004024C3" w:rsidRDefault="00574342" w:rsidP="0095760C">
      <w:pPr>
        <w:pStyle w:val="NormalWeb"/>
        <w:numPr>
          <w:ilvl w:val="1"/>
          <w:numId w:val="3"/>
        </w:numPr>
        <w:shd w:val="clear" w:color="auto" w:fill="FFFFFF"/>
        <w:spacing w:before="0" w:beforeAutospacing="0" w:after="180" w:afterAutospacing="0"/>
        <w:ind w:hanging="164"/>
        <w:rPr>
          <w:rFonts w:asciiTheme="minorHAnsi" w:hAnsiTheme="minorHAnsi" w:cstheme="minorHAnsi"/>
          <w:i/>
          <w:sz w:val="20"/>
          <w:szCs w:val="20"/>
        </w:rPr>
      </w:pPr>
      <w:r w:rsidRPr="004024C3">
        <w:rPr>
          <w:rFonts w:asciiTheme="minorHAnsi" w:hAnsiTheme="minorHAnsi" w:cstheme="minorHAnsi"/>
          <w:i/>
          <w:sz w:val="20"/>
          <w:szCs w:val="20"/>
        </w:rPr>
        <w:t>a careful evaluation to avoid serious or irreversible damage to the environment wherever practicable; and</w:t>
      </w:r>
    </w:p>
    <w:p w14:paraId="5B85D43C" w14:textId="77777777" w:rsidR="00574342" w:rsidRPr="004024C3" w:rsidRDefault="00574342" w:rsidP="0095760C">
      <w:pPr>
        <w:pStyle w:val="NormalWeb"/>
        <w:numPr>
          <w:ilvl w:val="1"/>
          <w:numId w:val="3"/>
        </w:numPr>
        <w:shd w:val="clear" w:color="auto" w:fill="FFFFFF"/>
        <w:spacing w:before="0" w:beforeAutospacing="0" w:after="180" w:afterAutospacing="0"/>
        <w:ind w:hanging="164"/>
        <w:rPr>
          <w:rFonts w:asciiTheme="minorHAnsi" w:hAnsiTheme="minorHAnsi" w:cstheme="minorHAnsi"/>
          <w:i/>
          <w:sz w:val="20"/>
          <w:szCs w:val="20"/>
        </w:rPr>
      </w:pPr>
      <w:r w:rsidRPr="004024C3">
        <w:rPr>
          <w:rFonts w:asciiTheme="minorHAnsi" w:hAnsiTheme="minorHAnsi" w:cstheme="minorHAnsi"/>
          <w:i/>
          <w:sz w:val="20"/>
          <w:szCs w:val="20"/>
        </w:rPr>
        <w:t>an assessment of the risk-weighted consequences of various options;</w:t>
      </w:r>
    </w:p>
    <w:p w14:paraId="382BE826" w14:textId="77777777" w:rsidR="00574342" w:rsidRPr="004024C3" w:rsidRDefault="00574342" w:rsidP="0095760C">
      <w:pPr>
        <w:pStyle w:val="NormalWeb"/>
        <w:numPr>
          <w:ilvl w:val="0"/>
          <w:numId w:val="4"/>
        </w:numPr>
        <w:shd w:val="clear" w:color="auto" w:fill="FFFFFF"/>
        <w:spacing w:before="0" w:beforeAutospacing="0" w:after="180" w:afterAutospacing="0"/>
        <w:rPr>
          <w:rFonts w:asciiTheme="minorHAnsi" w:hAnsiTheme="minorHAnsi" w:cstheme="minorHAnsi"/>
          <w:i/>
          <w:sz w:val="20"/>
          <w:szCs w:val="20"/>
        </w:rPr>
      </w:pPr>
      <w:r w:rsidRPr="004024C3">
        <w:rPr>
          <w:rFonts w:asciiTheme="minorHAnsi" w:hAnsiTheme="minorHAnsi" w:cstheme="minorHAnsi"/>
          <w:i/>
          <w:sz w:val="20"/>
          <w:szCs w:val="20"/>
        </w:rPr>
        <w:t>development should make a positive contribution to regional development and respect the aspirations of the community and of Indigenous peoples;</w:t>
      </w:r>
    </w:p>
    <w:p w14:paraId="0775D84B" w14:textId="77777777" w:rsidR="00574342" w:rsidRPr="004024C3" w:rsidRDefault="00574342" w:rsidP="0095760C">
      <w:pPr>
        <w:pStyle w:val="NormalWeb"/>
        <w:numPr>
          <w:ilvl w:val="0"/>
          <w:numId w:val="4"/>
        </w:numPr>
        <w:shd w:val="clear" w:color="auto" w:fill="FFFFFF"/>
        <w:spacing w:before="0" w:beforeAutospacing="0" w:after="180" w:afterAutospacing="0"/>
        <w:rPr>
          <w:rFonts w:asciiTheme="minorHAnsi" w:hAnsiTheme="minorHAnsi" w:cstheme="minorHAnsi"/>
          <w:i/>
          <w:sz w:val="20"/>
          <w:szCs w:val="20"/>
        </w:rPr>
      </w:pPr>
      <w:r w:rsidRPr="004024C3">
        <w:rPr>
          <w:rFonts w:asciiTheme="minorHAnsi" w:hAnsiTheme="minorHAnsi" w:cstheme="minorHAnsi"/>
          <w:i/>
          <w:sz w:val="20"/>
          <w:szCs w:val="20"/>
        </w:rPr>
        <w:t>decisions and actions should provide for community involvement in issues that affect them.</w:t>
      </w:r>
    </w:p>
    <w:p w14:paraId="7C937294" w14:textId="60E50F12" w:rsidR="00AA004E" w:rsidRPr="005D365D" w:rsidRDefault="00AA004E" w:rsidP="00AA004E">
      <w:pPr>
        <w:rPr>
          <w:rFonts w:asciiTheme="minorHAnsi" w:hAnsiTheme="minorHAnsi" w:cstheme="minorHAnsi"/>
          <w:b/>
          <w:color w:val="auto"/>
          <w:szCs w:val="20"/>
          <w:lang w:val="en-US"/>
        </w:rPr>
      </w:pPr>
      <w:r w:rsidRPr="005D365D">
        <w:rPr>
          <w:rFonts w:asciiTheme="minorHAnsi" w:hAnsiTheme="minorHAnsi" w:cstheme="minorHAnsi"/>
          <w:b/>
          <w:color w:val="auto"/>
          <w:szCs w:val="20"/>
          <w:lang w:val="en-US"/>
        </w:rPr>
        <w:t>Section 23 – Ranking Applications</w:t>
      </w:r>
    </w:p>
    <w:p w14:paraId="685699AF" w14:textId="77777777" w:rsidR="00AA004E" w:rsidRPr="005D365D" w:rsidRDefault="00DC36B8" w:rsidP="00AA004E">
      <w:pPr>
        <w:pStyle w:val="NormalWeb"/>
        <w:rPr>
          <w:rFonts w:asciiTheme="minorHAnsi" w:hAnsiTheme="minorHAnsi" w:cstheme="minorHAnsi"/>
          <w:i/>
          <w:sz w:val="20"/>
          <w:szCs w:val="20"/>
          <w:lang w:val="en"/>
        </w:rPr>
      </w:pPr>
      <w:hyperlink r:id="rId35" w:history="1">
        <w:r w:rsidR="00AA004E" w:rsidRPr="005D365D">
          <w:rPr>
            <w:rStyle w:val="Hyperlink"/>
            <w:rFonts w:asciiTheme="minorHAnsi" w:hAnsiTheme="minorHAnsi" w:cstheme="minorHAnsi"/>
            <w:b/>
            <w:bCs/>
            <w:i/>
            <w:sz w:val="20"/>
            <w:szCs w:val="20"/>
            <w:lang w:val="en"/>
          </w:rPr>
          <w:t>S. 23(1)</w:t>
        </w:r>
      </w:hyperlink>
      <w:r w:rsidR="00AA004E" w:rsidRPr="005D365D">
        <w:rPr>
          <w:rFonts w:asciiTheme="minorHAnsi" w:hAnsiTheme="minorHAnsi" w:cstheme="minorHAnsi"/>
          <w:b/>
          <w:bCs/>
          <w:i/>
          <w:sz w:val="20"/>
          <w:szCs w:val="20"/>
          <w:lang w:val="en"/>
        </w:rPr>
        <w:t xml:space="preserve"> amended by No. 64/2012 s. 21(2). </w:t>
      </w:r>
    </w:p>
    <w:p w14:paraId="5D52BCDE" w14:textId="77777777" w:rsidR="00AA004E" w:rsidRPr="005D365D" w:rsidRDefault="00AA004E" w:rsidP="00AA004E">
      <w:pPr>
        <w:pStyle w:val="NormalWeb"/>
        <w:rPr>
          <w:rFonts w:asciiTheme="minorHAnsi" w:hAnsiTheme="minorHAnsi" w:cstheme="minorHAnsi"/>
          <w:i/>
          <w:sz w:val="20"/>
          <w:szCs w:val="20"/>
          <w:lang w:val="en"/>
        </w:rPr>
      </w:pPr>
      <w:r w:rsidRPr="005D365D">
        <w:rPr>
          <w:rFonts w:asciiTheme="minorHAnsi" w:hAnsiTheme="minorHAnsi" w:cstheme="minorHAnsi"/>
          <w:i/>
          <w:sz w:val="20"/>
          <w:szCs w:val="20"/>
          <w:lang w:val="en"/>
        </w:rPr>
        <w:t xml:space="preserve">    (1)     If more than one application for a </w:t>
      </w:r>
      <w:hyperlink r:id="rId36" w:anchor="licence" w:history="1">
        <w:proofErr w:type="spellStart"/>
        <w:r w:rsidRPr="005D365D">
          <w:rPr>
            <w:rStyle w:val="Hyperlink"/>
            <w:rFonts w:asciiTheme="minorHAnsi" w:hAnsiTheme="minorHAnsi" w:cstheme="minorHAnsi"/>
            <w:i/>
            <w:sz w:val="20"/>
            <w:szCs w:val="20"/>
            <w:lang w:val="en"/>
          </w:rPr>
          <w:t>licence</w:t>
        </w:r>
        <w:proofErr w:type="spellEnd"/>
      </w:hyperlink>
      <w:r w:rsidRPr="005D365D">
        <w:rPr>
          <w:rFonts w:asciiTheme="minorHAnsi" w:hAnsiTheme="minorHAnsi" w:cstheme="minorHAnsi"/>
          <w:i/>
          <w:sz w:val="20"/>
          <w:szCs w:val="20"/>
          <w:lang w:val="en"/>
        </w:rPr>
        <w:t xml:space="preserve"> in respect of the same land is received on the same day, the Minister must rank those applications in accordance with this section. </w:t>
      </w:r>
    </w:p>
    <w:p w14:paraId="4A2478E0" w14:textId="77777777" w:rsidR="00AA004E" w:rsidRPr="005D365D" w:rsidRDefault="00DC36B8" w:rsidP="00AA004E">
      <w:pPr>
        <w:pStyle w:val="NormalWeb"/>
        <w:rPr>
          <w:rFonts w:asciiTheme="minorHAnsi" w:hAnsiTheme="minorHAnsi" w:cstheme="minorHAnsi"/>
          <w:i/>
          <w:sz w:val="20"/>
          <w:szCs w:val="20"/>
          <w:lang w:val="en"/>
        </w:rPr>
      </w:pPr>
      <w:hyperlink r:id="rId37" w:history="1">
        <w:r w:rsidR="00AA004E" w:rsidRPr="005D365D">
          <w:rPr>
            <w:rStyle w:val="Hyperlink"/>
            <w:rFonts w:asciiTheme="minorHAnsi" w:hAnsiTheme="minorHAnsi" w:cstheme="minorHAnsi"/>
            <w:b/>
            <w:bCs/>
            <w:i/>
            <w:sz w:val="20"/>
            <w:szCs w:val="20"/>
            <w:lang w:val="en"/>
          </w:rPr>
          <w:t>S. 23(2)</w:t>
        </w:r>
      </w:hyperlink>
      <w:r w:rsidR="00AA004E" w:rsidRPr="005D365D">
        <w:rPr>
          <w:rFonts w:asciiTheme="minorHAnsi" w:hAnsiTheme="minorHAnsi" w:cstheme="minorHAnsi"/>
          <w:b/>
          <w:bCs/>
          <w:i/>
          <w:sz w:val="20"/>
          <w:szCs w:val="20"/>
          <w:lang w:val="en"/>
        </w:rPr>
        <w:t xml:space="preserve"> amended by No. 64/2012 s. 21(3). </w:t>
      </w:r>
    </w:p>
    <w:p w14:paraId="743DF640" w14:textId="77777777" w:rsidR="00AA004E" w:rsidRPr="005D365D" w:rsidRDefault="00AA004E" w:rsidP="00AA004E">
      <w:pPr>
        <w:pStyle w:val="NormalWeb"/>
        <w:rPr>
          <w:rFonts w:asciiTheme="minorHAnsi" w:hAnsiTheme="minorHAnsi" w:cstheme="minorHAnsi"/>
          <w:i/>
          <w:sz w:val="20"/>
          <w:szCs w:val="20"/>
          <w:lang w:val="en"/>
        </w:rPr>
      </w:pPr>
      <w:r w:rsidRPr="005D365D">
        <w:rPr>
          <w:rFonts w:asciiTheme="minorHAnsi" w:hAnsiTheme="minorHAnsi" w:cstheme="minorHAnsi"/>
          <w:i/>
          <w:sz w:val="20"/>
          <w:szCs w:val="20"/>
          <w:lang w:val="en"/>
        </w:rPr>
        <w:t xml:space="preserve">    (2)     The Minister must give the highest ranking to the application that he or she believes will best further the objectives of this Act after considering— </w:t>
      </w:r>
    </w:p>
    <w:p w14:paraId="081CDD08" w14:textId="77777777" w:rsidR="00AA004E" w:rsidRPr="005D365D" w:rsidRDefault="00AA004E" w:rsidP="00AA004E">
      <w:pPr>
        <w:pStyle w:val="NormalWeb"/>
        <w:rPr>
          <w:rFonts w:asciiTheme="minorHAnsi" w:hAnsiTheme="minorHAnsi" w:cstheme="minorHAnsi"/>
          <w:i/>
          <w:sz w:val="20"/>
          <w:szCs w:val="20"/>
          <w:lang w:val="en"/>
        </w:rPr>
      </w:pPr>
      <w:r w:rsidRPr="005D365D">
        <w:rPr>
          <w:rFonts w:asciiTheme="minorHAnsi" w:hAnsiTheme="minorHAnsi" w:cstheme="minorHAnsi"/>
          <w:i/>
          <w:sz w:val="20"/>
          <w:szCs w:val="20"/>
          <w:lang w:val="en"/>
        </w:rPr>
        <w:t xml:space="preserve">        (a)     the relative merits of the applications; and </w:t>
      </w:r>
    </w:p>
    <w:p w14:paraId="56581F0C" w14:textId="77777777" w:rsidR="00AA004E" w:rsidRPr="005D365D" w:rsidRDefault="00AA004E" w:rsidP="00AA004E">
      <w:pPr>
        <w:pStyle w:val="NormalWeb"/>
        <w:rPr>
          <w:rFonts w:asciiTheme="minorHAnsi" w:hAnsiTheme="minorHAnsi" w:cstheme="minorHAnsi"/>
          <w:i/>
          <w:sz w:val="20"/>
          <w:szCs w:val="20"/>
          <w:lang w:val="en"/>
        </w:rPr>
      </w:pPr>
      <w:r w:rsidRPr="005D365D">
        <w:rPr>
          <w:rFonts w:asciiTheme="minorHAnsi" w:hAnsiTheme="minorHAnsi" w:cstheme="minorHAnsi"/>
          <w:i/>
          <w:sz w:val="20"/>
          <w:szCs w:val="20"/>
          <w:lang w:val="en"/>
        </w:rPr>
        <w:t xml:space="preserve">        (b)     the likely ability of each applicant to meet the requirements specified in </w:t>
      </w:r>
      <w:hyperlink r:id="rId38" w:history="1">
        <w:r w:rsidRPr="005D365D">
          <w:rPr>
            <w:rStyle w:val="Hyperlink"/>
            <w:rFonts w:asciiTheme="minorHAnsi" w:hAnsiTheme="minorHAnsi" w:cstheme="minorHAnsi"/>
            <w:i/>
            <w:sz w:val="20"/>
            <w:szCs w:val="20"/>
            <w:lang w:val="en"/>
          </w:rPr>
          <w:t>section 15(6).</w:t>
        </w:r>
      </w:hyperlink>
      <w:r w:rsidRPr="005D365D">
        <w:rPr>
          <w:rFonts w:asciiTheme="minorHAnsi" w:hAnsiTheme="minorHAnsi" w:cstheme="minorHAnsi"/>
          <w:i/>
          <w:sz w:val="20"/>
          <w:szCs w:val="20"/>
          <w:lang w:val="en"/>
        </w:rPr>
        <w:t xml:space="preserve"> </w:t>
      </w:r>
    </w:p>
    <w:p w14:paraId="0DABF078" w14:textId="77777777" w:rsidR="00AA004E" w:rsidRPr="005D365D" w:rsidRDefault="00DC36B8" w:rsidP="00AA004E">
      <w:pPr>
        <w:pStyle w:val="NormalWeb"/>
        <w:rPr>
          <w:rFonts w:asciiTheme="minorHAnsi" w:hAnsiTheme="minorHAnsi" w:cstheme="minorHAnsi"/>
          <w:i/>
          <w:sz w:val="20"/>
          <w:szCs w:val="20"/>
          <w:lang w:val="en"/>
        </w:rPr>
      </w:pPr>
      <w:hyperlink r:id="rId39" w:history="1">
        <w:r w:rsidR="00AA004E" w:rsidRPr="005D365D">
          <w:rPr>
            <w:rStyle w:val="Hyperlink"/>
            <w:rFonts w:asciiTheme="minorHAnsi" w:hAnsiTheme="minorHAnsi" w:cstheme="minorHAnsi"/>
            <w:b/>
            <w:bCs/>
            <w:i/>
            <w:sz w:val="20"/>
            <w:szCs w:val="20"/>
            <w:lang w:val="en"/>
          </w:rPr>
          <w:t>S. 23(3)</w:t>
        </w:r>
      </w:hyperlink>
      <w:r w:rsidR="00AA004E" w:rsidRPr="005D365D">
        <w:rPr>
          <w:rFonts w:asciiTheme="minorHAnsi" w:hAnsiTheme="minorHAnsi" w:cstheme="minorHAnsi"/>
          <w:b/>
          <w:bCs/>
          <w:i/>
          <w:sz w:val="20"/>
          <w:szCs w:val="20"/>
          <w:lang w:val="en"/>
        </w:rPr>
        <w:t xml:space="preserve"> amended by No. 64/2012 s. 21(4). </w:t>
      </w:r>
    </w:p>
    <w:p w14:paraId="1834EEA8" w14:textId="77777777" w:rsidR="00AA004E" w:rsidRPr="005D365D" w:rsidRDefault="00AA004E" w:rsidP="00AA004E">
      <w:pPr>
        <w:pStyle w:val="NormalWeb"/>
        <w:rPr>
          <w:rFonts w:asciiTheme="minorHAnsi" w:hAnsiTheme="minorHAnsi" w:cstheme="minorHAnsi"/>
          <w:i/>
          <w:sz w:val="20"/>
          <w:szCs w:val="20"/>
          <w:lang w:val="en"/>
        </w:rPr>
      </w:pPr>
      <w:r w:rsidRPr="005D365D">
        <w:rPr>
          <w:rFonts w:asciiTheme="minorHAnsi" w:hAnsiTheme="minorHAnsi" w:cstheme="minorHAnsi"/>
          <w:i/>
          <w:sz w:val="20"/>
          <w:szCs w:val="20"/>
          <w:lang w:val="en"/>
        </w:rPr>
        <w:t xml:space="preserve">    (3)     Once an application has been given the highest ranking, any further assessment of the application must be made without regard to anything contained in applications having a lower ranking. </w:t>
      </w:r>
    </w:p>
    <w:p w14:paraId="04C12FA6" w14:textId="1E034512" w:rsidR="005669FB" w:rsidRPr="007E2259" w:rsidRDefault="00763EED" w:rsidP="000429F8">
      <w:pPr>
        <w:rPr>
          <w:rFonts w:asciiTheme="minorHAnsi" w:hAnsiTheme="minorHAnsi" w:cstheme="minorHAnsi"/>
          <w:b/>
          <w:color w:val="auto"/>
          <w:szCs w:val="20"/>
          <w:lang w:val="en-US"/>
        </w:rPr>
      </w:pPr>
      <w:r w:rsidRPr="007E2259">
        <w:rPr>
          <w:rFonts w:asciiTheme="minorHAnsi" w:hAnsiTheme="minorHAnsi" w:cstheme="minorHAnsi"/>
          <w:b/>
          <w:color w:val="auto"/>
          <w:szCs w:val="20"/>
          <w:lang w:val="en-US"/>
        </w:rPr>
        <w:t xml:space="preserve">Mineral Resources (Sustainable Development) (Mineral Industries) </w:t>
      </w:r>
      <w:r w:rsidR="000851A2">
        <w:rPr>
          <w:rFonts w:asciiTheme="minorHAnsi" w:hAnsiTheme="minorHAnsi" w:cstheme="minorHAnsi"/>
          <w:b/>
          <w:color w:val="auto"/>
          <w:szCs w:val="20"/>
          <w:lang w:val="en-US"/>
        </w:rPr>
        <w:t>I</w:t>
      </w:r>
      <w:r w:rsidRPr="007E2259">
        <w:rPr>
          <w:rFonts w:asciiTheme="minorHAnsi" w:hAnsiTheme="minorHAnsi" w:cstheme="minorHAnsi"/>
          <w:b/>
          <w:color w:val="auto"/>
          <w:szCs w:val="20"/>
          <w:lang w:val="en-US"/>
        </w:rPr>
        <w:t>nterim Regulations 2018</w:t>
      </w:r>
      <w:r w:rsidR="00E02BB0" w:rsidRPr="00E02BB0">
        <w:rPr>
          <w:rFonts w:asciiTheme="minorHAnsi" w:hAnsiTheme="minorHAnsi" w:cstheme="minorHAnsi"/>
          <w:b/>
          <w:color w:val="auto"/>
          <w:szCs w:val="20"/>
          <w:lang w:val="en-US"/>
        </w:rPr>
        <w:t xml:space="preserve"> </w:t>
      </w:r>
      <w:r w:rsidR="00E02BB0">
        <w:rPr>
          <w:rFonts w:asciiTheme="minorHAnsi" w:hAnsiTheme="minorHAnsi" w:cstheme="minorHAnsi"/>
          <w:b/>
          <w:color w:val="auto"/>
          <w:szCs w:val="20"/>
          <w:lang w:val="en-US"/>
        </w:rPr>
        <w:t xml:space="preserve">- </w:t>
      </w:r>
      <w:r w:rsidR="00E02BB0" w:rsidRPr="007E2259">
        <w:rPr>
          <w:rFonts w:asciiTheme="minorHAnsi" w:hAnsiTheme="minorHAnsi" w:cstheme="minorHAnsi"/>
          <w:b/>
          <w:color w:val="auto"/>
          <w:szCs w:val="20"/>
          <w:lang w:val="en-US"/>
        </w:rPr>
        <w:t>Schedule 1</w:t>
      </w:r>
    </w:p>
    <w:p w14:paraId="024DB266" w14:textId="77777777" w:rsidR="005669FB" w:rsidRPr="005D365D" w:rsidRDefault="005669FB" w:rsidP="000429F8">
      <w:pPr>
        <w:pStyle w:val="bodyCopy"/>
        <w:rPr>
          <w:rFonts w:ascii="Arial" w:hAnsi="Arial" w:cs="Arial"/>
          <w:i/>
          <w:color w:val="auto"/>
          <w:sz w:val="20"/>
        </w:rPr>
      </w:pPr>
      <w:r w:rsidRPr="005D365D">
        <w:rPr>
          <w:i/>
          <w:color w:val="auto"/>
          <w:sz w:val="20"/>
        </w:rPr>
        <w:t xml:space="preserve">Clause 13 of Schedule 1 lists the </w:t>
      </w:r>
      <w:r w:rsidRPr="005D365D">
        <w:rPr>
          <w:i/>
        </w:rPr>
        <w:t>d</w:t>
      </w:r>
      <w:r w:rsidRPr="005D365D">
        <w:rPr>
          <w:rFonts w:ascii="Arial" w:hAnsi="Arial" w:cs="Arial"/>
          <w:i/>
          <w:color w:val="auto"/>
          <w:sz w:val="20"/>
        </w:rPr>
        <w:t xml:space="preserve">etails of the proposed program of work for each year of the licence:   </w:t>
      </w:r>
    </w:p>
    <w:p w14:paraId="79C1A448" w14:textId="77777777" w:rsidR="005669FB" w:rsidRPr="005D365D" w:rsidRDefault="005669FB" w:rsidP="000429F8">
      <w:pPr>
        <w:pStyle w:val="bodyCopy"/>
        <w:rPr>
          <w:rFonts w:ascii="Arial" w:hAnsi="Arial" w:cs="Arial"/>
          <w:i/>
          <w:color w:val="auto"/>
          <w:sz w:val="20"/>
        </w:rPr>
      </w:pPr>
      <w:r w:rsidRPr="005D365D">
        <w:rPr>
          <w:rFonts w:ascii="Arial" w:hAnsi="Arial" w:cs="Arial"/>
          <w:i/>
          <w:color w:val="auto"/>
          <w:sz w:val="20"/>
        </w:rPr>
        <w:t>(a)</w:t>
      </w:r>
      <w:r w:rsidRPr="005D365D">
        <w:rPr>
          <w:rFonts w:ascii="Arial" w:hAnsi="Arial" w:cs="Arial"/>
          <w:i/>
          <w:color w:val="auto"/>
          <w:sz w:val="20"/>
        </w:rPr>
        <w:tab/>
        <w:t>the nature of the work to be undertaken in the following areas -</w:t>
      </w:r>
    </w:p>
    <w:p w14:paraId="14C844F7" w14:textId="77777777" w:rsidR="005669FB" w:rsidRPr="005D365D" w:rsidRDefault="005669FB" w:rsidP="000429F8">
      <w:pPr>
        <w:pStyle w:val="bodyCopy"/>
        <w:ind w:left="1134" w:hanging="425"/>
        <w:rPr>
          <w:rFonts w:ascii="Arial" w:hAnsi="Arial" w:cs="Arial"/>
          <w:i/>
          <w:color w:val="auto"/>
          <w:sz w:val="20"/>
        </w:rPr>
      </w:pPr>
      <w:r w:rsidRPr="005D365D">
        <w:rPr>
          <w:rFonts w:ascii="Arial" w:hAnsi="Arial" w:cs="Arial"/>
          <w:i/>
          <w:color w:val="auto"/>
          <w:sz w:val="20"/>
        </w:rPr>
        <w:t xml:space="preserve">(i) </w:t>
      </w:r>
      <w:r w:rsidRPr="005D365D">
        <w:rPr>
          <w:rFonts w:ascii="Arial" w:hAnsi="Arial" w:cs="Arial"/>
          <w:i/>
          <w:color w:val="auto"/>
          <w:sz w:val="20"/>
        </w:rPr>
        <w:tab/>
        <w:t xml:space="preserve">office-based activities;  </w:t>
      </w:r>
    </w:p>
    <w:p w14:paraId="620A6403" w14:textId="77777777" w:rsidR="005669FB" w:rsidRPr="005D365D" w:rsidRDefault="005669FB" w:rsidP="000429F8">
      <w:pPr>
        <w:pStyle w:val="bodyCopy"/>
        <w:ind w:left="1134" w:hanging="425"/>
        <w:rPr>
          <w:rFonts w:ascii="Arial" w:hAnsi="Arial" w:cs="Arial"/>
          <w:i/>
          <w:color w:val="auto"/>
          <w:sz w:val="20"/>
        </w:rPr>
      </w:pPr>
      <w:r w:rsidRPr="005D365D">
        <w:rPr>
          <w:rFonts w:ascii="Arial" w:hAnsi="Arial" w:cs="Arial"/>
          <w:i/>
          <w:color w:val="auto"/>
          <w:sz w:val="20"/>
        </w:rPr>
        <w:t xml:space="preserve">(ii) </w:t>
      </w:r>
      <w:r w:rsidRPr="005D365D">
        <w:rPr>
          <w:rFonts w:ascii="Arial" w:hAnsi="Arial" w:cs="Arial"/>
          <w:i/>
          <w:color w:val="auto"/>
          <w:sz w:val="20"/>
        </w:rPr>
        <w:tab/>
        <w:t xml:space="preserve">on-ground exploration activities (including, for example, geological mapping, rock and soil sampling (and related geochemistry and mineralogy), ground and airborne geophysical surveys, and remote sensing); </w:t>
      </w:r>
    </w:p>
    <w:p w14:paraId="43ABAE57" w14:textId="77777777" w:rsidR="005669FB" w:rsidRPr="005D365D" w:rsidRDefault="005669FB" w:rsidP="000429F8">
      <w:pPr>
        <w:pStyle w:val="bodyCopy"/>
        <w:ind w:left="1134" w:hanging="425"/>
        <w:rPr>
          <w:rFonts w:ascii="Arial" w:hAnsi="Arial" w:cs="Arial"/>
          <w:i/>
          <w:color w:val="auto"/>
          <w:sz w:val="20"/>
        </w:rPr>
      </w:pPr>
      <w:r w:rsidRPr="005D365D">
        <w:rPr>
          <w:rFonts w:ascii="Arial" w:hAnsi="Arial" w:cs="Arial"/>
          <w:i/>
          <w:color w:val="auto"/>
          <w:sz w:val="20"/>
        </w:rPr>
        <w:t>(iii)</w:t>
      </w:r>
      <w:r w:rsidRPr="005D365D">
        <w:rPr>
          <w:rFonts w:ascii="Arial" w:hAnsi="Arial" w:cs="Arial"/>
          <w:i/>
          <w:color w:val="auto"/>
          <w:sz w:val="20"/>
        </w:rPr>
        <w:tab/>
        <w:t xml:space="preserve">subsurface evaluation activities (including, for example, drilling, trenching, bulk sampling, underground development, and related geochemistry, mineralogy and metallurgy); and </w:t>
      </w:r>
    </w:p>
    <w:p w14:paraId="2C4C24FC" w14:textId="77777777" w:rsidR="005669FB" w:rsidRPr="005D365D" w:rsidRDefault="005669FB" w:rsidP="000429F8">
      <w:pPr>
        <w:pStyle w:val="bodyCopy"/>
        <w:ind w:left="709" w:hanging="709"/>
        <w:rPr>
          <w:rFonts w:ascii="Arial" w:hAnsi="Arial" w:cs="Arial"/>
          <w:i/>
          <w:color w:val="auto"/>
          <w:sz w:val="20"/>
        </w:rPr>
      </w:pPr>
      <w:r w:rsidRPr="005D365D">
        <w:rPr>
          <w:rFonts w:ascii="Arial" w:hAnsi="Arial" w:cs="Arial"/>
          <w:i/>
          <w:color w:val="auto"/>
          <w:sz w:val="20"/>
        </w:rPr>
        <w:t xml:space="preserve">(b) </w:t>
      </w:r>
      <w:r w:rsidRPr="005D365D">
        <w:rPr>
          <w:rFonts w:ascii="Arial" w:hAnsi="Arial" w:cs="Arial"/>
          <w:i/>
          <w:color w:val="auto"/>
          <w:sz w:val="20"/>
        </w:rPr>
        <w:tab/>
        <w:t xml:space="preserve">as far as is practicable, an indication of the location and focus of the proposed activities with location maps; and </w:t>
      </w:r>
    </w:p>
    <w:p w14:paraId="0033A82D" w14:textId="77777777" w:rsidR="005669FB" w:rsidRPr="005D365D" w:rsidRDefault="005669FB" w:rsidP="000429F8">
      <w:pPr>
        <w:pStyle w:val="bodyCopy"/>
        <w:rPr>
          <w:rFonts w:ascii="Arial" w:hAnsi="Arial" w:cs="Arial"/>
          <w:i/>
          <w:color w:val="auto"/>
          <w:sz w:val="20"/>
        </w:rPr>
      </w:pPr>
      <w:r w:rsidRPr="005D365D">
        <w:rPr>
          <w:rFonts w:ascii="Arial" w:hAnsi="Arial" w:cs="Arial"/>
          <w:i/>
          <w:color w:val="auto"/>
          <w:sz w:val="20"/>
        </w:rPr>
        <w:t xml:space="preserve">(c) </w:t>
      </w:r>
      <w:r w:rsidRPr="005D365D">
        <w:rPr>
          <w:rFonts w:ascii="Arial" w:hAnsi="Arial" w:cs="Arial"/>
          <w:i/>
          <w:color w:val="auto"/>
          <w:sz w:val="20"/>
        </w:rPr>
        <w:tab/>
        <w:t xml:space="preserve">a description of the nature of the targets that the program seeks to delineate; and  </w:t>
      </w:r>
    </w:p>
    <w:p w14:paraId="58C7648B" w14:textId="77777777" w:rsidR="005669FB" w:rsidRPr="005D365D" w:rsidRDefault="005669FB" w:rsidP="000429F8">
      <w:pPr>
        <w:pStyle w:val="bodyCopy"/>
        <w:rPr>
          <w:rFonts w:ascii="Arial" w:hAnsi="Arial" w:cs="Arial"/>
          <w:i/>
          <w:color w:val="auto"/>
          <w:sz w:val="20"/>
        </w:rPr>
      </w:pPr>
      <w:r w:rsidRPr="005D365D">
        <w:rPr>
          <w:rFonts w:ascii="Arial" w:hAnsi="Arial" w:cs="Arial"/>
          <w:i/>
          <w:color w:val="auto"/>
          <w:sz w:val="20"/>
        </w:rPr>
        <w:t xml:space="preserve">(d) </w:t>
      </w:r>
      <w:r w:rsidRPr="005D365D">
        <w:rPr>
          <w:rFonts w:ascii="Arial" w:hAnsi="Arial" w:cs="Arial"/>
          <w:i/>
          <w:color w:val="auto"/>
          <w:sz w:val="20"/>
        </w:rPr>
        <w:tab/>
        <w:t xml:space="preserve">a description of the geological rationale behind the proposed program; and  </w:t>
      </w:r>
    </w:p>
    <w:p w14:paraId="74690A0D" w14:textId="77777777" w:rsidR="005669FB" w:rsidRPr="005D365D" w:rsidRDefault="005669FB" w:rsidP="000429F8">
      <w:pPr>
        <w:pStyle w:val="bodyCopy"/>
        <w:rPr>
          <w:rFonts w:ascii="Arial" w:hAnsi="Arial" w:cs="Arial"/>
          <w:i/>
          <w:color w:val="auto"/>
          <w:sz w:val="20"/>
        </w:rPr>
      </w:pPr>
      <w:r w:rsidRPr="005D365D">
        <w:rPr>
          <w:rFonts w:ascii="Arial" w:hAnsi="Arial" w:cs="Arial"/>
          <w:i/>
          <w:color w:val="auto"/>
          <w:sz w:val="20"/>
        </w:rPr>
        <w:t xml:space="preserve">(e) </w:t>
      </w:r>
      <w:r w:rsidRPr="005D365D">
        <w:rPr>
          <w:rFonts w:ascii="Arial" w:hAnsi="Arial" w:cs="Arial"/>
          <w:i/>
          <w:color w:val="auto"/>
          <w:sz w:val="20"/>
        </w:rPr>
        <w:tab/>
        <w:t>a proposed timing schedule of the exploration program.</w:t>
      </w:r>
    </w:p>
    <w:p w14:paraId="7CB38FFA" w14:textId="51F94E8D" w:rsidR="00D807B5" w:rsidRDefault="00D807B5" w:rsidP="000429F8">
      <w:pPr>
        <w:spacing w:before="0" w:line="276" w:lineRule="auto"/>
      </w:pPr>
    </w:p>
    <w:p w14:paraId="7DFBF298" w14:textId="77777777" w:rsidR="000851A2" w:rsidRPr="009B477D" w:rsidRDefault="000851A2" w:rsidP="000851A2">
      <w:pPr>
        <w:pStyle w:val="DEDJTRPolicyH1"/>
      </w:pPr>
      <w:bookmarkStart w:id="13" w:name="_Toc12876526"/>
      <w:r>
        <w:lastRenderedPageBreak/>
        <w:t>Records Management</w:t>
      </w:r>
      <w:bookmarkEnd w:id="13"/>
    </w:p>
    <w:p w14:paraId="4596B937" w14:textId="16398D74" w:rsidR="000851A2" w:rsidRPr="009B477D" w:rsidRDefault="000851A2" w:rsidP="000851A2">
      <w:pPr>
        <w:ind w:left="3402" w:hanging="3402"/>
      </w:pPr>
      <w:r w:rsidRPr="006273CC">
        <w:rPr>
          <w:rStyle w:val="DEDJTRPolicyH2Char"/>
          <w:b/>
        </w:rPr>
        <w:t>Last Reviewed</w:t>
      </w:r>
      <w:r w:rsidRPr="009B477D">
        <w:tab/>
      </w:r>
      <w:r w:rsidR="002E2897">
        <w:t>May</w:t>
      </w:r>
      <w:r>
        <w:t xml:space="preserve"> 2019</w:t>
      </w:r>
    </w:p>
    <w:p w14:paraId="424C4C12" w14:textId="77777777" w:rsidR="000851A2" w:rsidRPr="009B477D" w:rsidRDefault="000851A2" w:rsidP="000851A2">
      <w:pPr>
        <w:ind w:left="3402" w:hanging="3402"/>
      </w:pPr>
      <w:r w:rsidRPr="006273CC">
        <w:rPr>
          <w:rStyle w:val="DEDJTRPolicyH2Char"/>
          <w:b/>
        </w:rPr>
        <w:t>Next Review</w:t>
      </w:r>
      <w:r w:rsidRPr="009B477D">
        <w:tab/>
      </w:r>
      <w:r>
        <w:t>March 2021</w:t>
      </w:r>
    </w:p>
    <w:p w14:paraId="040F2742" w14:textId="77777777" w:rsidR="000851A2" w:rsidRDefault="000851A2" w:rsidP="000851A2">
      <w:pPr>
        <w:ind w:left="3402" w:hanging="3402"/>
      </w:pPr>
      <w:r w:rsidRPr="006273CC">
        <w:rPr>
          <w:rStyle w:val="DEDJTRPolicyH2Char"/>
          <w:b/>
        </w:rPr>
        <w:t>Version No.</w:t>
      </w:r>
      <w:r w:rsidRPr="009B477D">
        <w:tab/>
      </w:r>
      <w:r>
        <w:t>1.0</w:t>
      </w:r>
    </w:p>
    <w:p w14:paraId="764B9DD3" w14:textId="77777777" w:rsidR="00D807B5" w:rsidRPr="006C20EB" w:rsidRDefault="00D807B5" w:rsidP="000429F8">
      <w:pPr>
        <w:tabs>
          <w:tab w:val="left" w:pos="36"/>
          <w:tab w:val="left" w:pos="2518"/>
          <w:tab w:val="left" w:pos="4928"/>
          <w:tab w:val="left" w:pos="8330"/>
        </w:tabs>
        <w:spacing w:before="0" w:after="0"/>
        <w:rPr>
          <w:b/>
          <w:bCs/>
          <w:color w:val="auto"/>
          <w:szCs w:val="20"/>
        </w:rPr>
      </w:pPr>
    </w:p>
    <w:sectPr w:rsidR="00D807B5" w:rsidRPr="006C20EB" w:rsidSect="000851A2">
      <w:headerReference w:type="default" r:id="rId40"/>
      <w:pgSz w:w="11906" w:h="16838" w:code="9"/>
      <w:pgMar w:top="1701" w:right="851" w:bottom="680" w:left="1304" w:header="106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12F5" w14:textId="77777777" w:rsidR="00AC0FF7" w:rsidRDefault="00AC0FF7" w:rsidP="00A348FF">
      <w:r>
        <w:separator/>
      </w:r>
    </w:p>
    <w:p w14:paraId="123D020B" w14:textId="77777777" w:rsidR="00AC0FF7" w:rsidRDefault="00AC0FF7"/>
  </w:endnote>
  <w:endnote w:type="continuationSeparator" w:id="0">
    <w:p w14:paraId="6EBD2EA8" w14:textId="77777777" w:rsidR="00AC0FF7" w:rsidRDefault="00AC0FF7" w:rsidP="00A348FF">
      <w:r>
        <w:continuationSeparator/>
      </w:r>
    </w:p>
    <w:p w14:paraId="6AB3CEB3" w14:textId="77777777" w:rsidR="00AC0FF7" w:rsidRDefault="00AC0FF7"/>
    <w:p w14:paraId="0F0DA9FB" w14:textId="77777777" w:rsidR="00AC0FF7" w:rsidRDefault="00AC0FF7" w:rsidP="00A348FF">
      <w:pPr>
        <w:pStyle w:val="Header"/>
      </w:pPr>
      <w:r>
        <w:t>UNCLASSIFIED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2" w:name="aliashAdvancedHeaderFoot1FooterEvenPages"/>
  <w:p w14:paraId="6901995D" w14:textId="77777777" w:rsidR="004046F1" w:rsidRDefault="004046F1" w:rsidP="00A348FF">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7D6573D3" w14:textId="77777777" w:rsidR="004046F1" w:rsidRDefault="004046F1" w:rsidP="00A348FF">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38196D33" w14:textId="77777777" w:rsidR="004046F1" w:rsidRDefault="004046F1" w:rsidP="00A348FF">
    <w:pPr>
      <w:pStyle w:val="Footer"/>
    </w:pPr>
    <w:r>
      <w:t>UNCLASSIFIED</w:t>
    </w:r>
  </w:p>
  <w:bookmarkEnd w:id="2"/>
  <w:p w14:paraId="427F07A2" w14:textId="77777777" w:rsidR="004046F1" w:rsidRDefault="004046F1" w:rsidP="00A348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2133450"/>
      <w:docPartObj>
        <w:docPartGallery w:val="Page Numbers (Bottom of Page)"/>
        <w:docPartUnique/>
      </w:docPartObj>
    </w:sdtPr>
    <w:sdtEndPr/>
    <w:sdtContent>
      <w:sdt>
        <w:sdtPr>
          <w:id w:val="-1397585840"/>
          <w:docPartObj>
            <w:docPartGallery w:val="Page Numbers (Top of Page)"/>
            <w:docPartUnique/>
          </w:docPartObj>
        </w:sdtPr>
        <w:sdtEndPr/>
        <w:sdtContent>
          <w:p w14:paraId="2F3D6EA4" w14:textId="58F475E9" w:rsidR="004046F1" w:rsidRDefault="004046F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2CA55DA" w14:textId="77777777" w:rsidR="004046F1" w:rsidRDefault="004046F1" w:rsidP="00CB407A">
    <w:pPr>
      <w:pStyle w:val="Footer"/>
      <w:tabs>
        <w:tab w:val="clear" w:pos="4513"/>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EE2FFA" w14:textId="77777777" w:rsidR="00AC0FF7" w:rsidRDefault="00AC0FF7" w:rsidP="00A348FF">
      <w:r>
        <w:separator/>
      </w:r>
    </w:p>
    <w:p w14:paraId="0FB33C07" w14:textId="77777777" w:rsidR="00AC0FF7" w:rsidRDefault="00AC0FF7"/>
  </w:footnote>
  <w:footnote w:type="continuationSeparator" w:id="0">
    <w:p w14:paraId="62D7C167" w14:textId="77777777" w:rsidR="00AC0FF7" w:rsidRDefault="00AC0FF7" w:rsidP="00A348FF">
      <w:r>
        <w:continuationSeparator/>
      </w:r>
    </w:p>
    <w:p w14:paraId="0A237AA4" w14:textId="77777777" w:rsidR="00AC0FF7" w:rsidRDefault="00AC0F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87231" w14:textId="77777777" w:rsidR="004046F1" w:rsidRDefault="004046F1" w:rsidP="00A348FF">
    <w:pPr>
      <w:pStyle w:val="Header"/>
    </w:pPr>
    <w:bookmarkStart w:id="1" w:name="aliashAdvancedHeaderFoot1HeaderEvenPages"/>
    <w:r>
      <w:t>UNCLASSIFIED</w:t>
    </w:r>
  </w:p>
  <w:bookmarkEnd w:id="1"/>
  <w:p w14:paraId="02718697" w14:textId="77777777" w:rsidR="004046F1" w:rsidRDefault="004046F1" w:rsidP="00A348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EBCAE" w14:textId="77777777" w:rsidR="004046F1" w:rsidRPr="00CB407A" w:rsidRDefault="004046F1" w:rsidP="00CB407A">
    <w:pPr>
      <w:pStyle w:val="Header"/>
    </w:pPr>
    <w:r>
      <w:rPr>
        <w:noProof/>
        <w:lang w:val="en-GB" w:eastAsia="en-GB"/>
      </w:rPr>
      <w:drawing>
        <wp:anchor distT="0" distB="0" distL="114300" distR="114300" simplePos="0" relativeHeight="251658238" behindDoc="0" locked="0" layoutInCell="0" allowOverlap="1" wp14:anchorId="33158F67" wp14:editId="5D2B213E">
          <wp:simplePos x="0" y="0"/>
          <wp:positionH relativeFrom="page">
            <wp:align>left</wp:align>
          </wp:positionH>
          <wp:positionV relativeFrom="page">
            <wp:align>top</wp:align>
          </wp:positionV>
          <wp:extent cx="7560000" cy="10684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EDJTR Policy cover.jpg"/>
                  <pic:cNvPicPr/>
                </pic:nvPicPr>
                <pic:blipFill>
                  <a:blip r:embed="rId1"/>
                  <a:stretch>
                    <a:fillRect/>
                  </a:stretch>
                </pic:blipFill>
                <pic:spPr>
                  <a:xfrm>
                    <a:off x="0" y="0"/>
                    <a:ext cx="7560000" cy="10684800"/>
                  </a:xfrm>
                  <a:prstGeom prst="rect">
                    <a:avLst/>
                  </a:prstGeom>
                </pic:spPr>
              </pic:pic>
            </a:graphicData>
          </a:graphic>
          <wp14:sizeRelH relativeFrom="margin">
            <wp14:pctWidth>0</wp14:pctWidth>
          </wp14:sizeRelH>
          <wp14:sizeRelV relativeFrom="margin">
            <wp14:pctHeight>0</wp14:pctHeight>
          </wp14:sizeRelV>
        </wp:anchor>
      </w:drawing>
    </w:r>
    <w:r>
      <w:rPr>
        <w:noProof/>
        <w:lang w:val="en-GB" w:eastAsia="en-GB"/>
      </w:rPr>
      <mc:AlternateContent>
        <mc:Choice Requires="wps">
          <w:drawing>
            <wp:anchor distT="0" distB="0" distL="114300" distR="114300" simplePos="0" relativeHeight="251664383" behindDoc="0" locked="0" layoutInCell="1" allowOverlap="1" wp14:anchorId="5AA74045" wp14:editId="5D597912">
              <wp:simplePos x="0" y="0"/>
              <wp:positionH relativeFrom="column">
                <wp:posOffset>-619125</wp:posOffset>
              </wp:positionH>
              <wp:positionV relativeFrom="paragraph">
                <wp:posOffset>-358140</wp:posOffset>
              </wp:positionV>
              <wp:extent cx="4410075" cy="6934200"/>
              <wp:effectExtent l="0" t="0" r="9525" b="0"/>
              <wp:wrapNone/>
              <wp:docPr id="16" name="Text Box 16"/>
              <wp:cNvGraphicFramePr/>
              <a:graphic xmlns:a="http://schemas.openxmlformats.org/drawingml/2006/main">
                <a:graphicData uri="http://schemas.microsoft.com/office/word/2010/wordprocessingShape">
                  <wps:wsp>
                    <wps:cNvSpPr txBox="1"/>
                    <wps:spPr>
                      <a:xfrm>
                        <a:off x="0" y="0"/>
                        <a:ext cx="4410075" cy="69342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FD7D63B" w14:textId="77777777" w:rsidR="004046F1" w:rsidRDefault="004046F1">
                          <w:pPr>
                            <w:rPr>
                              <w:b/>
                              <w:color w:val="FFFFFF" w:themeColor="background1"/>
                              <w:sz w:val="52"/>
                              <w:szCs w:val="52"/>
                            </w:rPr>
                          </w:pPr>
                          <w:r>
                            <w:rPr>
                              <w:b/>
                              <w:color w:val="FFFFFF" w:themeColor="background1"/>
                              <w:sz w:val="52"/>
                              <w:szCs w:val="52"/>
                            </w:rPr>
                            <w:t xml:space="preserve">Operational Policy - Competing Licence Applications </w:t>
                          </w:r>
                        </w:p>
                        <w:p w14:paraId="76428752" w14:textId="77777777" w:rsidR="004046F1" w:rsidRDefault="004046F1">
                          <w:pPr>
                            <w:rPr>
                              <w:b/>
                              <w:color w:val="FFFFFF" w:themeColor="background1"/>
                              <w:sz w:val="52"/>
                              <w:szCs w:val="52"/>
                            </w:rPr>
                          </w:pPr>
                        </w:p>
                        <w:p w14:paraId="714E5896" w14:textId="77777777" w:rsidR="004046F1" w:rsidRDefault="004046F1">
                          <w:pPr>
                            <w:rPr>
                              <w:b/>
                              <w:color w:val="FFFFFF" w:themeColor="background1"/>
                              <w:sz w:val="36"/>
                              <w:szCs w:val="52"/>
                            </w:rPr>
                          </w:pPr>
                          <w:r>
                            <w:rPr>
                              <w:b/>
                              <w:color w:val="FFFFFF" w:themeColor="background1"/>
                              <w:sz w:val="36"/>
                              <w:szCs w:val="52"/>
                            </w:rPr>
                            <w:t>Assessment under section 23 of the Mineral Resources (Sustainable Development) Act 1990</w:t>
                          </w:r>
                        </w:p>
                        <w:p w14:paraId="65A95FD0" w14:textId="77777777" w:rsidR="004046F1" w:rsidRPr="00351292" w:rsidRDefault="004046F1">
                          <w:pPr>
                            <w:rPr>
                              <w:color w:val="FFFFFF" w:themeColor="background1"/>
                              <w:sz w:val="36"/>
                              <w:szCs w:val="52"/>
                            </w:rPr>
                          </w:pPr>
                          <w:r w:rsidRPr="00351292">
                            <w:rPr>
                              <w:color w:val="FFFFFF" w:themeColor="background1"/>
                              <w:sz w:val="36"/>
                              <w:szCs w:val="52"/>
                            </w:rPr>
                            <w:t xml:space="preserve">Version </w:t>
                          </w:r>
                          <w:r>
                            <w:rPr>
                              <w:color w:val="FFFFFF" w:themeColor="background1"/>
                              <w:sz w:val="36"/>
                              <w:szCs w:val="52"/>
                            </w:rPr>
                            <w:t>1</w:t>
                          </w:r>
                          <w:r w:rsidRPr="00351292">
                            <w:rPr>
                              <w:color w:val="FFFFFF" w:themeColor="background1"/>
                              <w:sz w:val="36"/>
                              <w:szCs w:val="52"/>
                            </w:rPr>
                            <w:t>.0</w:t>
                          </w:r>
                        </w:p>
                        <w:p w14:paraId="2DCD8901" w14:textId="77777777" w:rsidR="004046F1" w:rsidRPr="00DC0554" w:rsidRDefault="004046F1" w:rsidP="00DC0554">
                          <w:pPr>
                            <w:spacing w:after="240"/>
                            <w:rPr>
                              <w:color w:val="FFFFFF" w:themeColor="background1"/>
                              <w:sz w:val="32"/>
                              <w:szCs w:val="32"/>
                            </w:rPr>
                          </w:pPr>
                        </w:p>
                      </w:txbxContent>
                    </wps:txbx>
                    <wps:bodyPr rot="0" spcFirstLastPara="0" vertOverflow="overflow" horzOverflow="overflow" vert="horz" wrap="square" lIns="540000" tIns="0" rIns="0" bIns="0" numCol="1" spcCol="0" rtlCol="0" fromWordArt="0" anchor="ctr" anchorCtr="0" forceAA="0" compatLnSpc="1">
                      <a:prstTxWarp prst="textNoShape">
                        <a:avLst/>
                      </a:prstTxWarp>
                      <a:noAutofit/>
                    </wps:bodyPr>
                  </wps:wsp>
                </a:graphicData>
              </a:graphic>
            </wp:anchor>
          </w:drawing>
        </mc:Choice>
        <mc:Fallback>
          <w:pict>
            <v:shapetype w14:anchorId="5AA74045" id="_x0000_t202" coordsize="21600,21600" o:spt="202" path="m,l,21600r21600,l21600,xe">
              <v:stroke joinstyle="miter"/>
              <v:path gradientshapeok="t" o:connecttype="rect"/>
            </v:shapetype>
            <v:shape id="Text Box 16" o:spid="_x0000_s1027" type="#_x0000_t202" style="position:absolute;margin-left:-48.75pt;margin-top:-28.2pt;width:347.25pt;height:546pt;z-index:25166438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" filled="f" stroked="f">
              <v:textbox inset="15mm,0,0,0">
                <w:txbxContent>
                  <w:p w14:paraId="5FD7D63B" w14:textId="77777777" w:rsidR="004046F1" w:rsidRDefault="004046F1">
                    <w:pPr>
                      <w:rPr>
                        <w:b/>
                        <w:color w:val="FFFFFF" w:themeColor="background1"/>
                        <w:sz w:val="52"/>
                        <w:szCs w:val="52"/>
                      </w:rPr>
                    </w:pPr>
                    <w:r>
                      <w:rPr>
                        <w:b/>
                        <w:color w:val="FFFFFF" w:themeColor="background1"/>
                        <w:sz w:val="52"/>
                        <w:szCs w:val="52"/>
                      </w:rPr>
                      <w:t xml:space="preserve">Operational Policy - Competing Licence Applications </w:t>
                    </w:r>
                  </w:p>
                  <w:p w14:paraId="76428752" w14:textId="77777777" w:rsidR="004046F1" w:rsidRDefault="004046F1">
                    <w:pPr>
                      <w:rPr>
                        <w:b/>
                        <w:color w:val="FFFFFF" w:themeColor="background1"/>
                        <w:sz w:val="52"/>
                        <w:szCs w:val="52"/>
                      </w:rPr>
                    </w:pPr>
                  </w:p>
                  <w:p w14:paraId="714E5896" w14:textId="77777777" w:rsidR="004046F1" w:rsidRDefault="004046F1">
                    <w:pPr>
                      <w:rPr>
                        <w:b/>
                        <w:color w:val="FFFFFF" w:themeColor="background1"/>
                        <w:sz w:val="36"/>
                        <w:szCs w:val="52"/>
                      </w:rPr>
                    </w:pPr>
                    <w:r>
                      <w:rPr>
                        <w:b/>
                        <w:color w:val="FFFFFF" w:themeColor="background1"/>
                        <w:sz w:val="36"/>
                        <w:szCs w:val="52"/>
                      </w:rPr>
                      <w:t>Assessment under section 23 of the Mineral Resources (Sustainable Development) Act 1990</w:t>
                    </w:r>
                  </w:p>
                  <w:p w14:paraId="65A95FD0" w14:textId="77777777" w:rsidR="004046F1" w:rsidRPr="00351292" w:rsidRDefault="004046F1">
                    <w:pPr>
                      <w:rPr>
                        <w:color w:val="FFFFFF" w:themeColor="background1"/>
                        <w:sz w:val="36"/>
                        <w:szCs w:val="52"/>
                      </w:rPr>
                    </w:pPr>
                    <w:r w:rsidRPr="00351292">
                      <w:rPr>
                        <w:color w:val="FFFFFF" w:themeColor="background1"/>
                        <w:sz w:val="36"/>
                        <w:szCs w:val="52"/>
                      </w:rPr>
                      <w:t xml:space="preserve">Version </w:t>
                    </w:r>
                    <w:r>
                      <w:rPr>
                        <w:color w:val="FFFFFF" w:themeColor="background1"/>
                        <w:sz w:val="36"/>
                        <w:szCs w:val="52"/>
                      </w:rPr>
                      <w:t>1</w:t>
                    </w:r>
                    <w:r w:rsidRPr="00351292">
                      <w:rPr>
                        <w:color w:val="FFFFFF" w:themeColor="background1"/>
                        <w:sz w:val="36"/>
                        <w:szCs w:val="52"/>
                      </w:rPr>
                      <w:t>.0</w:t>
                    </w:r>
                  </w:p>
                  <w:p w14:paraId="2DCD8901" w14:textId="77777777" w:rsidR="004046F1" w:rsidRPr="00DC0554" w:rsidRDefault="004046F1" w:rsidP="00DC0554">
                    <w:pPr>
                      <w:spacing w:after="240"/>
                      <w:rPr>
                        <w:color w:val="FFFFFF" w:themeColor="background1"/>
                        <w:sz w:val="32"/>
                        <w:szCs w:val="32"/>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B74044" w14:textId="77777777" w:rsidR="004046F1" w:rsidRPr="00A348FF" w:rsidRDefault="004046F1" w:rsidP="00A348FF">
    <w:pPr>
      <w:rPr>
        <w:color w:val="0072CE" w:themeColor="accent1"/>
      </w:rPr>
    </w:pPr>
    <w:r w:rsidRPr="00A348FF">
      <w:rPr>
        <w:noProof/>
        <w:color w:val="0072CE" w:themeColor="accent1"/>
        <w:lang w:val="en-GB" w:eastAsia="en-GB"/>
      </w:rPr>
      <w:drawing>
        <wp:anchor distT="0" distB="0" distL="114300" distR="114300" simplePos="0" relativeHeight="251659263" behindDoc="1" locked="1" layoutInCell="0" allowOverlap="1" wp14:anchorId="4C8697DB" wp14:editId="627C911C">
          <wp:simplePos x="0" y="0"/>
          <wp:positionH relativeFrom="page">
            <wp:align>left</wp:align>
          </wp:positionH>
          <wp:positionV relativeFrom="page">
            <wp:align>top</wp:align>
          </wp:positionV>
          <wp:extent cx="7559675" cy="6096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EDJTR information sheet banner follower small.png"/>
                  <pic:cNvPicPr/>
                </pic:nvPicPr>
                <pic:blipFill rotWithShape="1">
                  <a:blip r:embed="rId1"/>
                  <a:srcRect b="94302"/>
                  <a:stretch/>
                </pic:blipFill>
                <pic:spPr bwMode="auto">
                  <a:xfrm>
                    <a:off x="0" y="0"/>
                    <a:ext cx="7560000" cy="60962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color w:val="5EB345"/>
      </w:rPr>
      <w:t>OPERATIONAL POLICY – Competing Licence Applications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A97672"/>
    <w:multiLevelType w:val="hybridMultilevel"/>
    <w:tmpl w:val="98AEF8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9B532FA"/>
    <w:multiLevelType w:val="hybridMultilevel"/>
    <w:tmpl w:val="A56485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F7257AE"/>
    <w:multiLevelType w:val="hybridMultilevel"/>
    <w:tmpl w:val="07F8FA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31874AF0"/>
    <w:multiLevelType w:val="hybridMultilevel"/>
    <w:tmpl w:val="0FD0DB5A"/>
    <w:lvl w:ilvl="0" w:tplc="4372D086">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319723CA"/>
    <w:multiLevelType w:val="hybridMultilevel"/>
    <w:tmpl w:val="845A11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51B1364"/>
    <w:multiLevelType w:val="hybridMultilevel"/>
    <w:tmpl w:val="20EA38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95827D6"/>
    <w:multiLevelType w:val="hybridMultilevel"/>
    <w:tmpl w:val="CFD0D362"/>
    <w:lvl w:ilvl="0" w:tplc="5450DA5A">
      <w:start w:val="1"/>
      <w:numFmt w:val="bullet"/>
      <w:lvlText w:val=""/>
      <w:lvlJc w:val="left"/>
      <w:pPr>
        <w:ind w:left="774" w:hanging="360"/>
      </w:pPr>
      <w:rPr>
        <w:rFonts w:ascii="Symbol" w:hAnsi="Symbol" w:hint="default"/>
      </w:rPr>
    </w:lvl>
    <w:lvl w:ilvl="1" w:tplc="0C090003">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7" w15:restartNumberingAfterBreak="0">
    <w:nsid w:val="4BD31E66"/>
    <w:multiLevelType w:val="hybridMultilevel"/>
    <w:tmpl w:val="BD3C56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6C20928"/>
    <w:multiLevelType w:val="hybridMultilevel"/>
    <w:tmpl w:val="64489524"/>
    <w:lvl w:ilvl="0" w:tplc="8A7ACF8A">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A6D4011"/>
    <w:multiLevelType w:val="hybridMultilevel"/>
    <w:tmpl w:val="485A323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63904559"/>
    <w:multiLevelType w:val="hybridMultilevel"/>
    <w:tmpl w:val="A1D04232"/>
    <w:lvl w:ilvl="0" w:tplc="E3E8FF5C">
      <w:start w:val="1"/>
      <w:numFmt w:val="decimal"/>
      <w:pStyle w:val="PolicyH3"/>
      <w:lvlText w:val="%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A5630AA"/>
    <w:multiLevelType w:val="hybridMultilevel"/>
    <w:tmpl w:val="B86C84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26" w:hanging="360"/>
      </w:pPr>
      <w:rPr>
        <w:rFonts w:ascii="Courier New" w:hAnsi="Courier New" w:cs="Courier New" w:hint="default"/>
      </w:rPr>
    </w:lvl>
    <w:lvl w:ilvl="2" w:tplc="0C090005" w:tentative="1">
      <w:start w:val="1"/>
      <w:numFmt w:val="bullet"/>
      <w:lvlText w:val=""/>
      <w:lvlJc w:val="left"/>
      <w:pPr>
        <w:ind w:left="1746" w:hanging="360"/>
      </w:pPr>
      <w:rPr>
        <w:rFonts w:ascii="Wingdings" w:hAnsi="Wingdings" w:hint="default"/>
      </w:rPr>
    </w:lvl>
    <w:lvl w:ilvl="3" w:tplc="0C090001" w:tentative="1">
      <w:start w:val="1"/>
      <w:numFmt w:val="bullet"/>
      <w:lvlText w:val=""/>
      <w:lvlJc w:val="left"/>
      <w:pPr>
        <w:ind w:left="2466" w:hanging="360"/>
      </w:pPr>
      <w:rPr>
        <w:rFonts w:ascii="Symbol" w:hAnsi="Symbol" w:hint="default"/>
      </w:rPr>
    </w:lvl>
    <w:lvl w:ilvl="4" w:tplc="0C090003" w:tentative="1">
      <w:start w:val="1"/>
      <w:numFmt w:val="bullet"/>
      <w:lvlText w:val="o"/>
      <w:lvlJc w:val="left"/>
      <w:pPr>
        <w:ind w:left="3186" w:hanging="360"/>
      </w:pPr>
      <w:rPr>
        <w:rFonts w:ascii="Courier New" w:hAnsi="Courier New" w:cs="Courier New" w:hint="default"/>
      </w:rPr>
    </w:lvl>
    <w:lvl w:ilvl="5" w:tplc="0C090005" w:tentative="1">
      <w:start w:val="1"/>
      <w:numFmt w:val="bullet"/>
      <w:lvlText w:val=""/>
      <w:lvlJc w:val="left"/>
      <w:pPr>
        <w:ind w:left="3906" w:hanging="360"/>
      </w:pPr>
      <w:rPr>
        <w:rFonts w:ascii="Wingdings" w:hAnsi="Wingdings" w:hint="default"/>
      </w:rPr>
    </w:lvl>
    <w:lvl w:ilvl="6" w:tplc="0C090001" w:tentative="1">
      <w:start w:val="1"/>
      <w:numFmt w:val="bullet"/>
      <w:lvlText w:val=""/>
      <w:lvlJc w:val="left"/>
      <w:pPr>
        <w:ind w:left="4626" w:hanging="360"/>
      </w:pPr>
      <w:rPr>
        <w:rFonts w:ascii="Symbol" w:hAnsi="Symbol" w:hint="default"/>
      </w:rPr>
    </w:lvl>
    <w:lvl w:ilvl="7" w:tplc="0C090003" w:tentative="1">
      <w:start w:val="1"/>
      <w:numFmt w:val="bullet"/>
      <w:lvlText w:val="o"/>
      <w:lvlJc w:val="left"/>
      <w:pPr>
        <w:ind w:left="5346" w:hanging="360"/>
      </w:pPr>
      <w:rPr>
        <w:rFonts w:ascii="Courier New" w:hAnsi="Courier New" w:cs="Courier New" w:hint="default"/>
      </w:rPr>
    </w:lvl>
    <w:lvl w:ilvl="8" w:tplc="0C090005" w:tentative="1">
      <w:start w:val="1"/>
      <w:numFmt w:val="bullet"/>
      <w:lvlText w:val=""/>
      <w:lvlJc w:val="left"/>
      <w:pPr>
        <w:ind w:left="6066" w:hanging="360"/>
      </w:pPr>
      <w:rPr>
        <w:rFonts w:ascii="Wingdings" w:hAnsi="Wingdings" w:hint="default"/>
      </w:rPr>
    </w:lvl>
  </w:abstractNum>
  <w:abstractNum w:abstractNumId="12" w15:restartNumberingAfterBreak="0">
    <w:nsid w:val="70011FD3"/>
    <w:multiLevelType w:val="hybridMultilevel"/>
    <w:tmpl w:val="D9B238A6"/>
    <w:lvl w:ilvl="0" w:tplc="0C090001">
      <w:start w:val="1"/>
      <w:numFmt w:val="bullet"/>
      <w:lvlText w:val=""/>
      <w:lvlJc w:val="left"/>
      <w:pPr>
        <w:ind w:left="774" w:hanging="360"/>
      </w:pPr>
      <w:rPr>
        <w:rFonts w:ascii="Symbol" w:hAnsi="Symbol" w:hint="default"/>
      </w:rPr>
    </w:lvl>
    <w:lvl w:ilvl="1" w:tplc="0C090003">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3" w15:restartNumberingAfterBreak="0">
    <w:nsid w:val="718E172A"/>
    <w:multiLevelType w:val="hybridMultilevel"/>
    <w:tmpl w:val="64489524"/>
    <w:lvl w:ilvl="0" w:tplc="8A7ACF8A">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1936137"/>
    <w:multiLevelType w:val="hybridMultilevel"/>
    <w:tmpl w:val="7DA45B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EDD2CBF"/>
    <w:multiLevelType w:val="hybridMultilevel"/>
    <w:tmpl w:val="1A4880CC"/>
    <w:lvl w:ilvl="0" w:tplc="2DDCE0F0">
      <w:start w:val="1"/>
      <w:numFmt w:val="bullet"/>
      <w:pStyle w:val="e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0"/>
  </w:num>
  <w:num w:numId="2">
    <w:abstractNumId w:val="15"/>
  </w:num>
  <w:num w:numId="3">
    <w:abstractNumId w:val="8"/>
  </w:num>
  <w:num w:numId="4">
    <w:abstractNumId w:val="13"/>
  </w:num>
  <w:num w:numId="5">
    <w:abstractNumId w:val="14"/>
  </w:num>
  <w:num w:numId="6">
    <w:abstractNumId w:val="12"/>
  </w:num>
  <w:num w:numId="7">
    <w:abstractNumId w:val="6"/>
  </w:num>
  <w:num w:numId="8">
    <w:abstractNumId w:val="11"/>
  </w:num>
  <w:num w:numId="9">
    <w:abstractNumId w:val="2"/>
  </w:num>
  <w:num w:numId="10">
    <w:abstractNumId w:val="0"/>
  </w:num>
  <w:num w:numId="11">
    <w:abstractNumId w:val="1"/>
  </w:num>
  <w:num w:numId="12">
    <w:abstractNumId w:val="7"/>
  </w:num>
  <w:num w:numId="13">
    <w:abstractNumId w:val="5"/>
  </w:num>
  <w:num w:numId="14">
    <w:abstractNumId w:val="15"/>
  </w:num>
  <w:num w:numId="15">
    <w:abstractNumId w:val="4"/>
  </w:num>
  <w:num w:numId="16">
    <w:abstractNumId w:val="3"/>
  </w:num>
  <w:num w:numId="17">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0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ED2"/>
    <w:rsid w:val="00000645"/>
    <w:rsid w:val="000032BE"/>
    <w:rsid w:val="00004343"/>
    <w:rsid w:val="00004F4A"/>
    <w:rsid w:val="000064D7"/>
    <w:rsid w:val="00011C5D"/>
    <w:rsid w:val="0001216E"/>
    <w:rsid w:val="00012AAE"/>
    <w:rsid w:val="00015DDA"/>
    <w:rsid w:val="000203F5"/>
    <w:rsid w:val="00041ABA"/>
    <w:rsid w:val="000429F8"/>
    <w:rsid w:val="00045B44"/>
    <w:rsid w:val="00047C80"/>
    <w:rsid w:val="000655A0"/>
    <w:rsid w:val="00065A01"/>
    <w:rsid w:val="000714A7"/>
    <w:rsid w:val="00071645"/>
    <w:rsid w:val="0007292A"/>
    <w:rsid w:val="000805D7"/>
    <w:rsid w:val="0008180B"/>
    <w:rsid w:val="00085082"/>
    <w:rsid w:val="000851A2"/>
    <w:rsid w:val="00096D47"/>
    <w:rsid w:val="0009739F"/>
    <w:rsid w:val="000A25CD"/>
    <w:rsid w:val="000B3E31"/>
    <w:rsid w:val="000C162B"/>
    <w:rsid w:val="000C26F9"/>
    <w:rsid w:val="000C5D26"/>
    <w:rsid w:val="000D0E0C"/>
    <w:rsid w:val="000D60A3"/>
    <w:rsid w:val="000D6B2F"/>
    <w:rsid w:val="000E00A7"/>
    <w:rsid w:val="000E7850"/>
    <w:rsid w:val="000F0721"/>
    <w:rsid w:val="000F575F"/>
    <w:rsid w:val="0010022A"/>
    <w:rsid w:val="00104922"/>
    <w:rsid w:val="00104E47"/>
    <w:rsid w:val="0011353A"/>
    <w:rsid w:val="00116000"/>
    <w:rsid w:val="001205C9"/>
    <w:rsid w:val="00123561"/>
    <w:rsid w:val="001316DA"/>
    <w:rsid w:val="001328B1"/>
    <w:rsid w:val="00132CA4"/>
    <w:rsid w:val="0015053F"/>
    <w:rsid w:val="00153014"/>
    <w:rsid w:val="00154F34"/>
    <w:rsid w:val="00162BED"/>
    <w:rsid w:val="001711EC"/>
    <w:rsid w:val="001722DC"/>
    <w:rsid w:val="00172A10"/>
    <w:rsid w:val="00185499"/>
    <w:rsid w:val="00190B7A"/>
    <w:rsid w:val="001916DB"/>
    <w:rsid w:val="00191722"/>
    <w:rsid w:val="001963A8"/>
    <w:rsid w:val="001A3EE6"/>
    <w:rsid w:val="001C4A1B"/>
    <w:rsid w:val="001D75C6"/>
    <w:rsid w:val="001E0A90"/>
    <w:rsid w:val="001E5B1A"/>
    <w:rsid w:val="001F6FA4"/>
    <w:rsid w:val="0020152D"/>
    <w:rsid w:val="00202842"/>
    <w:rsid w:val="002062DF"/>
    <w:rsid w:val="00210D41"/>
    <w:rsid w:val="002130A6"/>
    <w:rsid w:val="002153FA"/>
    <w:rsid w:val="00224C20"/>
    <w:rsid w:val="00227A20"/>
    <w:rsid w:val="00235B7F"/>
    <w:rsid w:val="00236B40"/>
    <w:rsid w:val="00241433"/>
    <w:rsid w:val="00250E64"/>
    <w:rsid w:val="00251C39"/>
    <w:rsid w:val="00254479"/>
    <w:rsid w:val="00265052"/>
    <w:rsid w:val="002739D4"/>
    <w:rsid w:val="0027439E"/>
    <w:rsid w:val="00276B72"/>
    <w:rsid w:val="00280298"/>
    <w:rsid w:val="0028249F"/>
    <w:rsid w:val="00290989"/>
    <w:rsid w:val="00292B69"/>
    <w:rsid w:val="0029667D"/>
    <w:rsid w:val="002A2574"/>
    <w:rsid w:val="002A6472"/>
    <w:rsid w:val="002B0339"/>
    <w:rsid w:val="002B70B8"/>
    <w:rsid w:val="002B7961"/>
    <w:rsid w:val="002B7F24"/>
    <w:rsid w:val="002C4B5F"/>
    <w:rsid w:val="002C58FA"/>
    <w:rsid w:val="002D57D7"/>
    <w:rsid w:val="002E2897"/>
    <w:rsid w:val="002E2DBE"/>
    <w:rsid w:val="002E351F"/>
    <w:rsid w:val="002E6195"/>
    <w:rsid w:val="002F6E4E"/>
    <w:rsid w:val="002F7759"/>
    <w:rsid w:val="00303796"/>
    <w:rsid w:val="00306A0A"/>
    <w:rsid w:val="00310157"/>
    <w:rsid w:val="00314B6E"/>
    <w:rsid w:val="00320111"/>
    <w:rsid w:val="00323745"/>
    <w:rsid w:val="003403A8"/>
    <w:rsid w:val="00342211"/>
    <w:rsid w:val="00343B07"/>
    <w:rsid w:val="00344767"/>
    <w:rsid w:val="00351292"/>
    <w:rsid w:val="00355B53"/>
    <w:rsid w:val="003643F4"/>
    <w:rsid w:val="00371B3F"/>
    <w:rsid w:val="0037583F"/>
    <w:rsid w:val="00394BB2"/>
    <w:rsid w:val="003A2C52"/>
    <w:rsid w:val="003A3C41"/>
    <w:rsid w:val="003B2B33"/>
    <w:rsid w:val="003C410F"/>
    <w:rsid w:val="003C4A88"/>
    <w:rsid w:val="003C4EBB"/>
    <w:rsid w:val="003D16CC"/>
    <w:rsid w:val="003D402C"/>
    <w:rsid w:val="003E05A9"/>
    <w:rsid w:val="003E3FA4"/>
    <w:rsid w:val="003E55D8"/>
    <w:rsid w:val="003E6AA6"/>
    <w:rsid w:val="003F1D90"/>
    <w:rsid w:val="003F31CE"/>
    <w:rsid w:val="003F5EDE"/>
    <w:rsid w:val="004024C3"/>
    <w:rsid w:val="004046F1"/>
    <w:rsid w:val="00423CD4"/>
    <w:rsid w:val="0042644A"/>
    <w:rsid w:val="00426D10"/>
    <w:rsid w:val="004311D7"/>
    <w:rsid w:val="00431739"/>
    <w:rsid w:val="00434D66"/>
    <w:rsid w:val="00440910"/>
    <w:rsid w:val="00444211"/>
    <w:rsid w:val="004452C5"/>
    <w:rsid w:val="00450360"/>
    <w:rsid w:val="004527E4"/>
    <w:rsid w:val="00456134"/>
    <w:rsid w:val="00457429"/>
    <w:rsid w:val="00460332"/>
    <w:rsid w:val="00477070"/>
    <w:rsid w:val="004832E1"/>
    <w:rsid w:val="00492611"/>
    <w:rsid w:val="004934F2"/>
    <w:rsid w:val="004A1E27"/>
    <w:rsid w:val="004A1F53"/>
    <w:rsid w:val="004A5287"/>
    <w:rsid w:val="004A5E94"/>
    <w:rsid w:val="004A69FB"/>
    <w:rsid w:val="004B6765"/>
    <w:rsid w:val="004C0D06"/>
    <w:rsid w:val="004C541A"/>
    <w:rsid w:val="004D35D0"/>
    <w:rsid w:val="004D55FC"/>
    <w:rsid w:val="004E1E3B"/>
    <w:rsid w:val="004F16E5"/>
    <w:rsid w:val="00507C57"/>
    <w:rsid w:val="00514040"/>
    <w:rsid w:val="0051554F"/>
    <w:rsid w:val="00516486"/>
    <w:rsid w:val="00523EFF"/>
    <w:rsid w:val="00525F64"/>
    <w:rsid w:val="0052683D"/>
    <w:rsid w:val="00532D1D"/>
    <w:rsid w:val="00536491"/>
    <w:rsid w:val="0054066E"/>
    <w:rsid w:val="005410E7"/>
    <w:rsid w:val="00546549"/>
    <w:rsid w:val="00547588"/>
    <w:rsid w:val="00547911"/>
    <w:rsid w:val="00547CFD"/>
    <w:rsid w:val="00554670"/>
    <w:rsid w:val="00555B55"/>
    <w:rsid w:val="00564FC2"/>
    <w:rsid w:val="005669FB"/>
    <w:rsid w:val="0056720A"/>
    <w:rsid w:val="00574342"/>
    <w:rsid w:val="005762EB"/>
    <w:rsid w:val="00582001"/>
    <w:rsid w:val="005823E1"/>
    <w:rsid w:val="0058268D"/>
    <w:rsid w:val="00587CA1"/>
    <w:rsid w:val="005A5194"/>
    <w:rsid w:val="005B6345"/>
    <w:rsid w:val="005C22DE"/>
    <w:rsid w:val="005C35CA"/>
    <w:rsid w:val="005D365D"/>
    <w:rsid w:val="005D70C1"/>
    <w:rsid w:val="005D77F3"/>
    <w:rsid w:val="005E04A8"/>
    <w:rsid w:val="005E311B"/>
    <w:rsid w:val="005F2153"/>
    <w:rsid w:val="005F378B"/>
    <w:rsid w:val="00605356"/>
    <w:rsid w:val="00611CA8"/>
    <w:rsid w:val="006273CC"/>
    <w:rsid w:val="0063727A"/>
    <w:rsid w:val="00637382"/>
    <w:rsid w:val="00637895"/>
    <w:rsid w:val="00640C0C"/>
    <w:rsid w:val="00640FBC"/>
    <w:rsid w:val="00644D89"/>
    <w:rsid w:val="006473FD"/>
    <w:rsid w:val="00653777"/>
    <w:rsid w:val="00657246"/>
    <w:rsid w:val="00665FF6"/>
    <w:rsid w:val="00671022"/>
    <w:rsid w:val="006754A9"/>
    <w:rsid w:val="0068049A"/>
    <w:rsid w:val="00682E3B"/>
    <w:rsid w:val="00685825"/>
    <w:rsid w:val="00686E50"/>
    <w:rsid w:val="006909F0"/>
    <w:rsid w:val="0069477A"/>
    <w:rsid w:val="00696B40"/>
    <w:rsid w:val="006A7D40"/>
    <w:rsid w:val="006B12F7"/>
    <w:rsid w:val="006B3B33"/>
    <w:rsid w:val="006C1A5F"/>
    <w:rsid w:val="006C20EB"/>
    <w:rsid w:val="006C5877"/>
    <w:rsid w:val="006C5A6B"/>
    <w:rsid w:val="006C6D39"/>
    <w:rsid w:val="006C75F7"/>
    <w:rsid w:val="006D228C"/>
    <w:rsid w:val="006D320F"/>
    <w:rsid w:val="006D4DAD"/>
    <w:rsid w:val="006D5A63"/>
    <w:rsid w:val="006D5B42"/>
    <w:rsid w:val="006D6A98"/>
    <w:rsid w:val="006E2D41"/>
    <w:rsid w:val="006E5CB5"/>
    <w:rsid w:val="006F3780"/>
    <w:rsid w:val="006F51DA"/>
    <w:rsid w:val="00704A99"/>
    <w:rsid w:val="00704BED"/>
    <w:rsid w:val="00711168"/>
    <w:rsid w:val="00714A49"/>
    <w:rsid w:val="00715D24"/>
    <w:rsid w:val="0071684B"/>
    <w:rsid w:val="0072019E"/>
    <w:rsid w:val="00720D09"/>
    <w:rsid w:val="0072622A"/>
    <w:rsid w:val="007278E8"/>
    <w:rsid w:val="007312F3"/>
    <w:rsid w:val="007353F9"/>
    <w:rsid w:val="007400FA"/>
    <w:rsid w:val="00740F18"/>
    <w:rsid w:val="00744CBE"/>
    <w:rsid w:val="00745A01"/>
    <w:rsid w:val="00755CC1"/>
    <w:rsid w:val="0075674D"/>
    <w:rsid w:val="007600A1"/>
    <w:rsid w:val="00763EED"/>
    <w:rsid w:val="007665C4"/>
    <w:rsid w:val="00767516"/>
    <w:rsid w:val="00772342"/>
    <w:rsid w:val="0078028A"/>
    <w:rsid w:val="00784CA5"/>
    <w:rsid w:val="0079381B"/>
    <w:rsid w:val="00796E0E"/>
    <w:rsid w:val="007A205A"/>
    <w:rsid w:val="007A6ED3"/>
    <w:rsid w:val="007B2E08"/>
    <w:rsid w:val="007B60E5"/>
    <w:rsid w:val="007C119D"/>
    <w:rsid w:val="007C1C32"/>
    <w:rsid w:val="007C5C6F"/>
    <w:rsid w:val="007D5A91"/>
    <w:rsid w:val="007D7A49"/>
    <w:rsid w:val="007E1213"/>
    <w:rsid w:val="007E2259"/>
    <w:rsid w:val="007F3E2C"/>
    <w:rsid w:val="00812997"/>
    <w:rsid w:val="008174B5"/>
    <w:rsid w:val="0083044E"/>
    <w:rsid w:val="00831873"/>
    <w:rsid w:val="00852CCA"/>
    <w:rsid w:val="00855221"/>
    <w:rsid w:val="00860B9C"/>
    <w:rsid w:val="008624B8"/>
    <w:rsid w:val="008705F4"/>
    <w:rsid w:val="00872D1D"/>
    <w:rsid w:val="0087424C"/>
    <w:rsid w:val="008779D5"/>
    <w:rsid w:val="00880033"/>
    <w:rsid w:val="00886C70"/>
    <w:rsid w:val="00886F41"/>
    <w:rsid w:val="00890D09"/>
    <w:rsid w:val="0089310F"/>
    <w:rsid w:val="00894361"/>
    <w:rsid w:val="008978FC"/>
    <w:rsid w:val="008A0023"/>
    <w:rsid w:val="008A19E1"/>
    <w:rsid w:val="008B1ED2"/>
    <w:rsid w:val="008B2DD0"/>
    <w:rsid w:val="008B7648"/>
    <w:rsid w:val="008C10FC"/>
    <w:rsid w:val="008C1553"/>
    <w:rsid w:val="008C5B5E"/>
    <w:rsid w:val="008F6A19"/>
    <w:rsid w:val="008F7F4F"/>
    <w:rsid w:val="009022F3"/>
    <w:rsid w:val="00905243"/>
    <w:rsid w:val="00906379"/>
    <w:rsid w:val="0091397C"/>
    <w:rsid w:val="0091780A"/>
    <w:rsid w:val="00921BCB"/>
    <w:rsid w:val="00924BA9"/>
    <w:rsid w:val="009302E6"/>
    <w:rsid w:val="00932520"/>
    <w:rsid w:val="00932BD9"/>
    <w:rsid w:val="009354F5"/>
    <w:rsid w:val="00936DC9"/>
    <w:rsid w:val="00945C1E"/>
    <w:rsid w:val="00946753"/>
    <w:rsid w:val="00955DFB"/>
    <w:rsid w:val="0095760C"/>
    <w:rsid w:val="009618FA"/>
    <w:rsid w:val="00962A11"/>
    <w:rsid w:val="00965566"/>
    <w:rsid w:val="00975CDE"/>
    <w:rsid w:val="00976400"/>
    <w:rsid w:val="00993DE4"/>
    <w:rsid w:val="009A250A"/>
    <w:rsid w:val="009A5580"/>
    <w:rsid w:val="009A6864"/>
    <w:rsid w:val="009A70F7"/>
    <w:rsid w:val="009A7317"/>
    <w:rsid w:val="009B0FD8"/>
    <w:rsid w:val="009B477D"/>
    <w:rsid w:val="009B6CCC"/>
    <w:rsid w:val="009D1BBE"/>
    <w:rsid w:val="009D7351"/>
    <w:rsid w:val="009D7FD1"/>
    <w:rsid w:val="009E1C0C"/>
    <w:rsid w:val="009E4198"/>
    <w:rsid w:val="009E7A72"/>
    <w:rsid w:val="009F1739"/>
    <w:rsid w:val="009F3A8A"/>
    <w:rsid w:val="00A000F7"/>
    <w:rsid w:val="00A045D1"/>
    <w:rsid w:val="00A051EE"/>
    <w:rsid w:val="00A348FF"/>
    <w:rsid w:val="00A40B48"/>
    <w:rsid w:val="00A421EA"/>
    <w:rsid w:val="00A51BD4"/>
    <w:rsid w:val="00A54F4C"/>
    <w:rsid w:val="00A559DE"/>
    <w:rsid w:val="00A57A49"/>
    <w:rsid w:val="00A62E72"/>
    <w:rsid w:val="00A64081"/>
    <w:rsid w:val="00A716E9"/>
    <w:rsid w:val="00A74037"/>
    <w:rsid w:val="00A82522"/>
    <w:rsid w:val="00A82DFC"/>
    <w:rsid w:val="00A85BA6"/>
    <w:rsid w:val="00A927AB"/>
    <w:rsid w:val="00AA004E"/>
    <w:rsid w:val="00AA3B05"/>
    <w:rsid w:val="00AA3FF0"/>
    <w:rsid w:val="00AA4D73"/>
    <w:rsid w:val="00AA7334"/>
    <w:rsid w:val="00AB0ED3"/>
    <w:rsid w:val="00AB12E9"/>
    <w:rsid w:val="00AC0581"/>
    <w:rsid w:val="00AC0FF7"/>
    <w:rsid w:val="00AE1446"/>
    <w:rsid w:val="00AE7FE9"/>
    <w:rsid w:val="00AF196A"/>
    <w:rsid w:val="00B04E46"/>
    <w:rsid w:val="00B0508E"/>
    <w:rsid w:val="00B10632"/>
    <w:rsid w:val="00B13A9A"/>
    <w:rsid w:val="00B32A44"/>
    <w:rsid w:val="00B427AF"/>
    <w:rsid w:val="00B43BAC"/>
    <w:rsid w:val="00B44131"/>
    <w:rsid w:val="00B45DEF"/>
    <w:rsid w:val="00B5171B"/>
    <w:rsid w:val="00B5423F"/>
    <w:rsid w:val="00B62A4B"/>
    <w:rsid w:val="00B67C5E"/>
    <w:rsid w:val="00B67FB6"/>
    <w:rsid w:val="00B8083D"/>
    <w:rsid w:val="00B86A0E"/>
    <w:rsid w:val="00B90317"/>
    <w:rsid w:val="00B90C3D"/>
    <w:rsid w:val="00B9264A"/>
    <w:rsid w:val="00B951C8"/>
    <w:rsid w:val="00B9747B"/>
    <w:rsid w:val="00BA30D7"/>
    <w:rsid w:val="00BA35CB"/>
    <w:rsid w:val="00BA65E4"/>
    <w:rsid w:val="00BB0D7E"/>
    <w:rsid w:val="00BB4200"/>
    <w:rsid w:val="00BD61D2"/>
    <w:rsid w:val="00BD7AC2"/>
    <w:rsid w:val="00BF05E8"/>
    <w:rsid w:val="00C04990"/>
    <w:rsid w:val="00C0760D"/>
    <w:rsid w:val="00C07AC7"/>
    <w:rsid w:val="00C113F5"/>
    <w:rsid w:val="00C12992"/>
    <w:rsid w:val="00C3320F"/>
    <w:rsid w:val="00C36E8B"/>
    <w:rsid w:val="00C5450F"/>
    <w:rsid w:val="00C62D0F"/>
    <w:rsid w:val="00C65980"/>
    <w:rsid w:val="00C717C4"/>
    <w:rsid w:val="00C97F6C"/>
    <w:rsid w:val="00CA3626"/>
    <w:rsid w:val="00CB407A"/>
    <w:rsid w:val="00CB570E"/>
    <w:rsid w:val="00CB5E30"/>
    <w:rsid w:val="00CB78CE"/>
    <w:rsid w:val="00CC3DB6"/>
    <w:rsid w:val="00CE0578"/>
    <w:rsid w:val="00CF13F4"/>
    <w:rsid w:val="00CF179A"/>
    <w:rsid w:val="00CF1C9F"/>
    <w:rsid w:val="00CF21DE"/>
    <w:rsid w:val="00CF5C1C"/>
    <w:rsid w:val="00CF788F"/>
    <w:rsid w:val="00D03508"/>
    <w:rsid w:val="00D11439"/>
    <w:rsid w:val="00D12A78"/>
    <w:rsid w:val="00D16721"/>
    <w:rsid w:val="00D169BE"/>
    <w:rsid w:val="00D17F3D"/>
    <w:rsid w:val="00D259E3"/>
    <w:rsid w:val="00D331E5"/>
    <w:rsid w:val="00D34ED9"/>
    <w:rsid w:val="00D417F9"/>
    <w:rsid w:val="00D469A5"/>
    <w:rsid w:val="00D54C2F"/>
    <w:rsid w:val="00D63171"/>
    <w:rsid w:val="00D645DF"/>
    <w:rsid w:val="00D64F8E"/>
    <w:rsid w:val="00D70CB9"/>
    <w:rsid w:val="00D71113"/>
    <w:rsid w:val="00D807B5"/>
    <w:rsid w:val="00D824D3"/>
    <w:rsid w:val="00D829C9"/>
    <w:rsid w:val="00D833C2"/>
    <w:rsid w:val="00D901AD"/>
    <w:rsid w:val="00D9122F"/>
    <w:rsid w:val="00D93284"/>
    <w:rsid w:val="00DA4CAA"/>
    <w:rsid w:val="00DB3417"/>
    <w:rsid w:val="00DC0554"/>
    <w:rsid w:val="00DC196B"/>
    <w:rsid w:val="00DC36B8"/>
    <w:rsid w:val="00DC3E07"/>
    <w:rsid w:val="00DC6711"/>
    <w:rsid w:val="00DD4DAF"/>
    <w:rsid w:val="00DD7038"/>
    <w:rsid w:val="00DF148B"/>
    <w:rsid w:val="00DF64F6"/>
    <w:rsid w:val="00E02BB0"/>
    <w:rsid w:val="00E0602A"/>
    <w:rsid w:val="00E15F38"/>
    <w:rsid w:val="00E25756"/>
    <w:rsid w:val="00E265C0"/>
    <w:rsid w:val="00E26F0A"/>
    <w:rsid w:val="00E34234"/>
    <w:rsid w:val="00E34A7D"/>
    <w:rsid w:val="00E357E3"/>
    <w:rsid w:val="00E41C82"/>
    <w:rsid w:val="00E42F67"/>
    <w:rsid w:val="00E47905"/>
    <w:rsid w:val="00E50270"/>
    <w:rsid w:val="00E56078"/>
    <w:rsid w:val="00E80470"/>
    <w:rsid w:val="00E83FF9"/>
    <w:rsid w:val="00E86AC7"/>
    <w:rsid w:val="00EA22F9"/>
    <w:rsid w:val="00EB0A50"/>
    <w:rsid w:val="00EB17CE"/>
    <w:rsid w:val="00EC575A"/>
    <w:rsid w:val="00EC5BDB"/>
    <w:rsid w:val="00EC65A9"/>
    <w:rsid w:val="00ED0624"/>
    <w:rsid w:val="00ED37F1"/>
    <w:rsid w:val="00ED4FB2"/>
    <w:rsid w:val="00ED5D1E"/>
    <w:rsid w:val="00EE0E68"/>
    <w:rsid w:val="00EE2B93"/>
    <w:rsid w:val="00EE6914"/>
    <w:rsid w:val="00F068FE"/>
    <w:rsid w:val="00F173B4"/>
    <w:rsid w:val="00F36DE7"/>
    <w:rsid w:val="00F56B1E"/>
    <w:rsid w:val="00F66629"/>
    <w:rsid w:val="00F73530"/>
    <w:rsid w:val="00F92B5A"/>
    <w:rsid w:val="00F94AF5"/>
    <w:rsid w:val="00F96137"/>
    <w:rsid w:val="00FA0621"/>
    <w:rsid w:val="00FA5851"/>
    <w:rsid w:val="00FA70B1"/>
    <w:rsid w:val="00FA73B3"/>
    <w:rsid w:val="00FB37E6"/>
    <w:rsid w:val="00FB5004"/>
    <w:rsid w:val="00FC2492"/>
    <w:rsid w:val="00FC6B84"/>
    <w:rsid w:val="00FC76BD"/>
    <w:rsid w:val="00FD3467"/>
    <w:rsid w:val="00FE638F"/>
    <w:rsid w:val="00FF26D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468D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0"/>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536491"/>
    <w:pPr>
      <w:spacing w:before="120" w:line="240" w:lineRule="auto"/>
    </w:pPr>
    <w:rPr>
      <w:rFonts w:ascii="Arial" w:eastAsia="Times New Roman" w:hAnsi="Arial" w:cs="Arial"/>
      <w:color w:val="505659"/>
      <w:sz w:val="20"/>
      <w:lang w:eastAsia="en-AU"/>
    </w:rPr>
  </w:style>
  <w:style w:type="paragraph" w:styleId="Heading1">
    <w:name w:val="heading 1"/>
    <w:basedOn w:val="DEDJTRBoldTitle"/>
    <w:next w:val="Normal"/>
    <w:link w:val="Heading1Char"/>
    <w:rsid w:val="00745A01"/>
    <w:pPr>
      <w:outlineLvl w:val="0"/>
    </w:pPr>
  </w:style>
  <w:style w:type="paragraph" w:styleId="Heading2">
    <w:name w:val="heading 2"/>
    <w:basedOn w:val="DEDJTRMedSubtitle"/>
    <w:next w:val="Normal"/>
    <w:link w:val="Heading2Char"/>
    <w:uiPriority w:val="9"/>
    <w:unhideWhenUsed/>
    <w:rsid w:val="00745A01"/>
    <w:pPr>
      <w:outlineLvl w:val="1"/>
    </w:pPr>
  </w:style>
  <w:style w:type="paragraph" w:styleId="Heading3">
    <w:name w:val="heading 3"/>
    <w:basedOn w:val="DEDJTRPolicyH1"/>
    <w:next w:val="Normal"/>
    <w:link w:val="Heading3Char"/>
    <w:uiPriority w:val="9"/>
    <w:unhideWhenUsed/>
    <w:rsid w:val="00D17F3D"/>
    <w:pPr>
      <w:ind w:left="0" w:firstLine="0"/>
      <w:outlineLvl w:val="2"/>
    </w:pPr>
  </w:style>
  <w:style w:type="paragraph" w:styleId="Heading6">
    <w:name w:val="heading 6"/>
    <w:basedOn w:val="Normal"/>
    <w:next w:val="Normal"/>
    <w:link w:val="Heading6Char"/>
    <w:uiPriority w:val="9"/>
    <w:semiHidden/>
    <w:unhideWhenUsed/>
    <w:qFormat/>
    <w:rsid w:val="00A716E9"/>
    <w:pPr>
      <w:keepNext/>
      <w:keepLines/>
      <w:spacing w:before="200"/>
      <w:outlineLvl w:val="5"/>
    </w:pPr>
    <w:rPr>
      <w:rFonts w:asciiTheme="majorHAnsi" w:eastAsiaTheme="majorEastAsia" w:hAnsiTheme="majorHAnsi" w:cstheme="majorBidi"/>
      <w:i/>
      <w:iCs/>
      <w:color w:val="003866"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16E5"/>
    <w:pPr>
      <w:tabs>
        <w:tab w:val="center" w:pos="4513"/>
        <w:tab w:val="right" w:pos="9026"/>
      </w:tabs>
    </w:pPr>
  </w:style>
  <w:style w:type="character" w:customStyle="1" w:styleId="HeaderChar">
    <w:name w:val="Header Char"/>
    <w:basedOn w:val="DefaultParagraphFont"/>
    <w:link w:val="Header"/>
    <w:uiPriority w:val="99"/>
    <w:rsid w:val="004F16E5"/>
  </w:style>
  <w:style w:type="paragraph" w:styleId="Footer">
    <w:name w:val="footer"/>
    <w:basedOn w:val="Normal"/>
    <w:link w:val="FooterChar"/>
    <w:uiPriority w:val="99"/>
    <w:unhideWhenUsed/>
    <w:rsid w:val="004F16E5"/>
    <w:pPr>
      <w:tabs>
        <w:tab w:val="center" w:pos="4513"/>
        <w:tab w:val="right" w:pos="9026"/>
      </w:tabs>
    </w:pPr>
  </w:style>
  <w:style w:type="character" w:customStyle="1" w:styleId="FooterChar">
    <w:name w:val="Footer Char"/>
    <w:basedOn w:val="DefaultParagraphFont"/>
    <w:link w:val="Footer"/>
    <w:uiPriority w:val="99"/>
    <w:rsid w:val="004F16E5"/>
  </w:style>
  <w:style w:type="character" w:customStyle="1" w:styleId="Heading1Char">
    <w:name w:val="Heading 1 Char"/>
    <w:basedOn w:val="DefaultParagraphFont"/>
    <w:link w:val="Heading1"/>
    <w:rsid w:val="00745A01"/>
    <w:rPr>
      <w:rFonts w:ascii="Arial" w:eastAsiaTheme="majorEastAsia" w:hAnsi="Arial" w:cstheme="majorBidi"/>
      <w:b/>
      <w:color w:val="FFFFFF" w:themeColor="background1"/>
      <w:spacing w:val="-10"/>
      <w:kern w:val="28"/>
      <w:sz w:val="56"/>
      <w:szCs w:val="56"/>
      <w:lang w:eastAsia="en-AU"/>
    </w:rPr>
  </w:style>
  <w:style w:type="paragraph" w:customStyle="1" w:styleId="DEDJTRHeadertitle">
    <w:name w:val="DEDJTR Header title"/>
    <w:basedOn w:val="Normal"/>
    <w:rsid w:val="00162BED"/>
    <w:pPr>
      <w:spacing w:before="80"/>
    </w:pPr>
    <w:rPr>
      <w:b/>
      <w:noProof/>
      <w:color w:val="A6A6A6" w:themeColor="background1" w:themeShade="A6"/>
      <w:sz w:val="28"/>
      <w:szCs w:val="28"/>
    </w:rPr>
  </w:style>
  <w:style w:type="paragraph" w:styleId="BalloonText">
    <w:name w:val="Balloon Text"/>
    <w:basedOn w:val="Normal"/>
    <w:link w:val="BalloonTextChar"/>
    <w:uiPriority w:val="99"/>
    <w:semiHidden/>
    <w:unhideWhenUsed/>
    <w:rsid w:val="000F0721"/>
    <w:rPr>
      <w:rFonts w:ascii="Tahoma" w:hAnsi="Tahoma" w:cs="Tahoma"/>
      <w:szCs w:val="16"/>
    </w:rPr>
  </w:style>
  <w:style w:type="character" w:customStyle="1" w:styleId="BalloonTextChar">
    <w:name w:val="Balloon Text Char"/>
    <w:basedOn w:val="DefaultParagraphFont"/>
    <w:link w:val="BalloonText"/>
    <w:uiPriority w:val="99"/>
    <w:semiHidden/>
    <w:rsid w:val="000F0721"/>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0F0721"/>
    <w:rPr>
      <w:sz w:val="16"/>
      <w:szCs w:val="16"/>
    </w:rPr>
  </w:style>
  <w:style w:type="paragraph" w:styleId="CommentText">
    <w:name w:val="annotation text"/>
    <w:basedOn w:val="Normal"/>
    <w:link w:val="CommentTextChar"/>
    <w:uiPriority w:val="99"/>
    <w:semiHidden/>
    <w:unhideWhenUsed/>
    <w:rsid w:val="000F0721"/>
    <w:rPr>
      <w:szCs w:val="20"/>
    </w:rPr>
  </w:style>
  <w:style w:type="character" w:customStyle="1" w:styleId="CommentTextChar">
    <w:name w:val="Comment Text Char"/>
    <w:basedOn w:val="DefaultParagraphFont"/>
    <w:link w:val="CommentText"/>
    <w:uiPriority w:val="99"/>
    <w:semiHidden/>
    <w:rsid w:val="000F0721"/>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0F0721"/>
    <w:rPr>
      <w:b/>
      <w:bCs/>
    </w:rPr>
  </w:style>
  <w:style w:type="character" w:customStyle="1" w:styleId="CommentSubjectChar">
    <w:name w:val="Comment Subject Char"/>
    <w:basedOn w:val="CommentTextChar"/>
    <w:link w:val="CommentSubject"/>
    <w:uiPriority w:val="99"/>
    <w:semiHidden/>
    <w:rsid w:val="000F0721"/>
    <w:rPr>
      <w:rFonts w:ascii="Times New Roman" w:eastAsia="Times New Roman" w:hAnsi="Times New Roman" w:cs="Times New Roman"/>
      <w:b/>
      <w:bCs/>
      <w:sz w:val="20"/>
      <w:szCs w:val="20"/>
      <w:lang w:eastAsia="en-AU"/>
    </w:rPr>
  </w:style>
  <w:style w:type="paragraph" w:styleId="ListParagraph">
    <w:name w:val="List Paragraph"/>
    <w:aliases w:val="DdeM List Paragraph"/>
    <w:basedOn w:val="Normal"/>
    <w:uiPriority w:val="34"/>
    <w:qFormat/>
    <w:rsid w:val="000F0721"/>
    <w:pPr>
      <w:ind w:left="720"/>
      <w:contextualSpacing/>
    </w:pPr>
  </w:style>
  <w:style w:type="paragraph" w:customStyle="1" w:styleId="DEDJTRPolicyH10">
    <w:name w:val="DEDJTR PolicyH1"/>
    <w:basedOn w:val="Heading1"/>
    <w:link w:val="DEDJTRPolicyH1Char"/>
    <w:rsid w:val="00921BCB"/>
    <w:pPr>
      <w:keepLines/>
      <w:tabs>
        <w:tab w:val="left" w:pos="426"/>
      </w:tabs>
    </w:pPr>
    <w:rPr>
      <w:b w:val="0"/>
      <w:sz w:val="18"/>
      <w:szCs w:val="18"/>
    </w:rPr>
  </w:style>
  <w:style w:type="paragraph" w:customStyle="1" w:styleId="DEDJTRPolicyH2">
    <w:name w:val="DEDJTR Policy H2"/>
    <w:basedOn w:val="Normal"/>
    <w:link w:val="DEDJTRPolicyH2Char"/>
    <w:qFormat/>
    <w:rsid w:val="006273CC"/>
    <w:pPr>
      <w:ind w:left="3402" w:hanging="3402"/>
    </w:pPr>
    <w:rPr>
      <w:color w:val="5EB345"/>
    </w:rPr>
  </w:style>
  <w:style w:type="character" w:customStyle="1" w:styleId="DEDJTRPolicyH1Char">
    <w:name w:val="DEDJTR PolicyH1 Char"/>
    <w:basedOn w:val="Heading1Char"/>
    <w:link w:val="DEDJTRPolicyH10"/>
    <w:rsid w:val="00921BCB"/>
    <w:rPr>
      <w:rFonts w:ascii="Arial" w:eastAsia="Times New Roman" w:hAnsi="Arial" w:cs="Arial"/>
      <w:b w:val="0"/>
      <w:bCs w:val="0"/>
      <w:color w:val="FFFFFF" w:themeColor="background1"/>
      <w:spacing w:val="-10"/>
      <w:kern w:val="32"/>
      <w:sz w:val="18"/>
      <w:szCs w:val="18"/>
      <w:lang w:eastAsia="en-AU"/>
    </w:rPr>
  </w:style>
  <w:style w:type="paragraph" w:customStyle="1" w:styleId="PolicyH3">
    <w:name w:val="PolicyH3"/>
    <w:basedOn w:val="Heading3"/>
    <w:link w:val="PolicyH3Char"/>
    <w:qFormat/>
    <w:rsid w:val="007C5C6F"/>
    <w:pPr>
      <w:numPr>
        <w:numId w:val="1"/>
      </w:numPr>
      <w:tabs>
        <w:tab w:val="left" w:pos="426"/>
      </w:tabs>
    </w:pPr>
    <w:rPr>
      <w:rFonts w:ascii="Tahoma" w:hAnsi="Tahoma"/>
      <w:sz w:val="22"/>
      <w:szCs w:val="18"/>
    </w:rPr>
  </w:style>
  <w:style w:type="character" w:customStyle="1" w:styleId="Heading2Char">
    <w:name w:val="Heading 2 Char"/>
    <w:basedOn w:val="DefaultParagraphFont"/>
    <w:link w:val="Heading2"/>
    <w:uiPriority w:val="9"/>
    <w:rsid w:val="00745A01"/>
    <w:rPr>
      <w:rFonts w:ascii="Arial" w:eastAsiaTheme="minorEastAsia" w:hAnsi="Arial"/>
      <w:b/>
      <w:bCs/>
      <w:color w:val="FFFFFF" w:themeColor="background1"/>
      <w:spacing w:val="15"/>
      <w:sz w:val="28"/>
      <w:lang w:eastAsia="en-AU"/>
    </w:rPr>
  </w:style>
  <w:style w:type="character" w:customStyle="1" w:styleId="DEDJTRPolicyH2Char">
    <w:name w:val="DEDJTR Policy H2 Char"/>
    <w:basedOn w:val="Heading2Char"/>
    <w:link w:val="DEDJTRPolicyH2"/>
    <w:rsid w:val="006273CC"/>
    <w:rPr>
      <w:rFonts w:ascii="Arial" w:eastAsia="Times New Roman" w:hAnsi="Arial" w:cs="Arial"/>
      <w:b w:val="0"/>
      <w:bCs w:val="0"/>
      <w:color w:val="5EB345"/>
      <w:spacing w:val="15"/>
      <w:sz w:val="20"/>
      <w:lang w:eastAsia="en-AU"/>
    </w:rPr>
  </w:style>
  <w:style w:type="paragraph" w:styleId="TOCHeading">
    <w:name w:val="TOC Heading"/>
    <w:basedOn w:val="Heading1"/>
    <w:next w:val="Normal"/>
    <w:uiPriority w:val="39"/>
    <w:semiHidden/>
    <w:unhideWhenUsed/>
    <w:qFormat/>
    <w:rsid w:val="00C3320F"/>
    <w:pPr>
      <w:keepLines/>
      <w:spacing w:before="480" w:after="0" w:line="276" w:lineRule="auto"/>
      <w:outlineLvl w:val="9"/>
    </w:pPr>
    <w:rPr>
      <w:rFonts w:asciiTheme="majorHAnsi" w:hAnsiTheme="majorHAnsi"/>
      <w:color w:val="00559A" w:themeColor="accent1" w:themeShade="BF"/>
      <w:kern w:val="0"/>
      <w:sz w:val="28"/>
      <w:szCs w:val="28"/>
      <w:lang w:val="en-US" w:eastAsia="ja-JP"/>
    </w:rPr>
  </w:style>
  <w:style w:type="character" w:customStyle="1" w:styleId="Heading3Char">
    <w:name w:val="Heading 3 Char"/>
    <w:basedOn w:val="DefaultParagraphFont"/>
    <w:link w:val="Heading3"/>
    <w:uiPriority w:val="9"/>
    <w:rsid w:val="00D17F3D"/>
    <w:rPr>
      <w:rFonts w:ascii="Arial" w:eastAsiaTheme="majorEastAsia" w:hAnsi="Arial" w:cs="Tahoma"/>
      <w:b/>
      <w:caps/>
      <w:color w:val="201547" w:themeColor="text1"/>
      <w:spacing w:val="-10"/>
      <w:kern w:val="28"/>
      <w:sz w:val="28"/>
      <w:lang w:eastAsia="en-AU"/>
    </w:rPr>
  </w:style>
  <w:style w:type="character" w:customStyle="1" w:styleId="PolicyH3Char">
    <w:name w:val="PolicyH3 Char"/>
    <w:basedOn w:val="Heading3Char"/>
    <w:link w:val="PolicyH3"/>
    <w:rsid w:val="007C5C6F"/>
    <w:rPr>
      <w:rFonts w:ascii="Tahoma" w:eastAsiaTheme="majorEastAsia" w:hAnsi="Tahoma" w:cs="Tahoma"/>
      <w:b/>
      <w:caps/>
      <w:color w:val="201547" w:themeColor="text1"/>
      <w:spacing w:val="-10"/>
      <w:kern w:val="28"/>
      <w:sz w:val="28"/>
      <w:szCs w:val="18"/>
      <w:lang w:eastAsia="en-AU"/>
    </w:rPr>
  </w:style>
  <w:style w:type="paragraph" w:styleId="TOC1">
    <w:name w:val="toc 1"/>
    <w:basedOn w:val="Normal"/>
    <w:next w:val="Normal"/>
    <w:autoRedefine/>
    <w:uiPriority w:val="39"/>
    <w:unhideWhenUsed/>
    <w:rsid w:val="00740F18"/>
    <w:pPr>
      <w:tabs>
        <w:tab w:val="left" w:pos="426"/>
        <w:tab w:val="right" w:leader="dot" w:pos="9016"/>
      </w:tabs>
      <w:spacing w:after="100"/>
      <w:ind w:right="820"/>
    </w:pPr>
  </w:style>
  <w:style w:type="paragraph" w:styleId="TOC2">
    <w:name w:val="toc 2"/>
    <w:basedOn w:val="Normal"/>
    <w:next w:val="Normal"/>
    <w:autoRedefine/>
    <w:uiPriority w:val="39"/>
    <w:unhideWhenUsed/>
    <w:rsid w:val="008B2DD0"/>
    <w:pPr>
      <w:tabs>
        <w:tab w:val="right" w:leader="dot" w:pos="9016"/>
      </w:tabs>
      <w:spacing w:after="100"/>
      <w:ind w:left="851"/>
    </w:pPr>
    <w:rPr>
      <w:rFonts w:ascii="Tahoma" w:hAnsi="Tahoma"/>
    </w:rPr>
  </w:style>
  <w:style w:type="paragraph" w:styleId="TOC3">
    <w:name w:val="toc 3"/>
    <w:basedOn w:val="Normal"/>
    <w:next w:val="Normal"/>
    <w:autoRedefine/>
    <w:uiPriority w:val="39"/>
    <w:unhideWhenUsed/>
    <w:rsid w:val="00740F18"/>
    <w:pPr>
      <w:tabs>
        <w:tab w:val="right" w:leader="dot" w:pos="9741"/>
      </w:tabs>
      <w:spacing w:after="100"/>
      <w:ind w:left="480"/>
    </w:pPr>
  </w:style>
  <w:style w:type="character" w:styleId="Hyperlink">
    <w:name w:val="Hyperlink"/>
    <w:basedOn w:val="DefaultParagraphFont"/>
    <w:uiPriority w:val="99"/>
    <w:unhideWhenUsed/>
    <w:rsid w:val="006B3B33"/>
    <w:rPr>
      <w:color w:val="00559A" w:themeColor="accent1" w:themeShade="BF"/>
      <w:u w:val="single"/>
    </w:rPr>
  </w:style>
  <w:style w:type="character" w:customStyle="1" w:styleId="Heading6Char">
    <w:name w:val="Heading 6 Char"/>
    <w:basedOn w:val="DefaultParagraphFont"/>
    <w:link w:val="Heading6"/>
    <w:uiPriority w:val="9"/>
    <w:semiHidden/>
    <w:rsid w:val="00A716E9"/>
    <w:rPr>
      <w:rFonts w:asciiTheme="majorHAnsi" w:eastAsiaTheme="majorEastAsia" w:hAnsiTheme="majorHAnsi" w:cstheme="majorBidi"/>
      <w:i/>
      <w:iCs/>
      <w:color w:val="003866" w:themeColor="accent1" w:themeShade="7F"/>
      <w:sz w:val="24"/>
      <w:szCs w:val="24"/>
      <w:lang w:eastAsia="en-AU"/>
    </w:rPr>
  </w:style>
  <w:style w:type="paragraph" w:styleId="BodyText3">
    <w:name w:val="Body Text 3"/>
    <w:basedOn w:val="Normal"/>
    <w:link w:val="BodyText3Char"/>
    <w:uiPriority w:val="99"/>
    <w:semiHidden/>
    <w:unhideWhenUsed/>
    <w:rsid w:val="00A716E9"/>
    <w:pPr>
      <w:spacing w:after="120"/>
    </w:pPr>
    <w:rPr>
      <w:szCs w:val="16"/>
    </w:rPr>
  </w:style>
  <w:style w:type="character" w:customStyle="1" w:styleId="BodyText3Char">
    <w:name w:val="Body Text 3 Char"/>
    <w:basedOn w:val="DefaultParagraphFont"/>
    <w:link w:val="BodyText3"/>
    <w:uiPriority w:val="99"/>
    <w:semiHidden/>
    <w:rsid w:val="00A716E9"/>
    <w:rPr>
      <w:rFonts w:ascii="Times New Roman" w:eastAsia="Times New Roman" w:hAnsi="Times New Roman" w:cs="Times New Roman"/>
      <w:sz w:val="16"/>
      <w:szCs w:val="16"/>
      <w:lang w:eastAsia="en-AU"/>
    </w:rPr>
  </w:style>
  <w:style w:type="paragraph" w:styleId="Revision">
    <w:name w:val="Revision"/>
    <w:hidden/>
    <w:uiPriority w:val="99"/>
    <w:semiHidden/>
    <w:rsid w:val="00DF148B"/>
    <w:pPr>
      <w:spacing w:after="0" w:line="240" w:lineRule="auto"/>
    </w:pPr>
    <w:rPr>
      <w:rFonts w:ascii="Times New Roman" w:eastAsia="Times New Roman" w:hAnsi="Times New Roman" w:cs="Times New Roman"/>
      <w:sz w:val="24"/>
      <w:szCs w:val="24"/>
      <w:lang w:eastAsia="en-AU"/>
    </w:rPr>
  </w:style>
  <w:style w:type="paragraph" w:customStyle="1" w:styleId="DEDJTRPolicyH1">
    <w:name w:val="DEDJTR Policy H1"/>
    <w:basedOn w:val="Heading1"/>
    <w:link w:val="DEDJTRPolicyH1Char0"/>
    <w:qFormat/>
    <w:rsid w:val="00B10632"/>
    <w:pPr>
      <w:spacing w:before="360" w:after="240"/>
      <w:ind w:left="360" w:hanging="360"/>
    </w:pPr>
    <w:rPr>
      <w:rFonts w:cs="Tahoma"/>
      <w:caps/>
      <w:color w:val="201547" w:themeColor="text1"/>
      <w:sz w:val="28"/>
      <w:szCs w:val="22"/>
    </w:rPr>
  </w:style>
  <w:style w:type="character" w:customStyle="1" w:styleId="DEDJTRPolicyH1Char0">
    <w:name w:val="DEDJTR Policy H1 Char"/>
    <w:basedOn w:val="Heading1Char"/>
    <w:link w:val="DEDJTRPolicyH1"/>
    <w:rsid w:val="00B10632"/>
    <w:rPr>
      <w:rFonts w:ascii="Arial" w:eastAsiaTheme="majorEastAsia" w:hAnsi="Arial" w:cs="Tahoma"/>
      <w:b/>
      <w:caps/>
      <w:color w:val="201547" w:themeColor="text1"/>
      <w:spacing w:val="-10"/>
      <w:kern w:val="28"/>
      <w:sz w:val="28"/>
      <w:szCs w:val="56"/>
      <w:lang w:eastAsia="en-AU"/>
    </w:rPr>
  </w:style>
  <w:style w:type="paragraph" w:customStyle="1" w:styleId="DEDJTRTablecontentsheading">
    <w:name w:val="DEDJTR Table contents heading"/>
    <w:basedOn w:val="Normal"/>
    <w:rsid w:val="00BB4200"/>
    <w:pPr>
      <w:spacing w:after="280"/>
    </w:pPr>
    <w:rPr>
      <w:rFonts w:cs="Tahoma"/>
      <w:b/>
      <w:caps/>
      <w:color w:val="0072CE" w:themeColor="accent1"/>
      <w:sz w:val="24"/>
      <w:szCs w:val="24"/>
    </w:rPr>
  </w:style>
  <w:style w:type="paragraph" w:customStyle="1" w:styleId="DEDJTRPolicytabtext">
    <w:name w:val="DEDJTR Policy tab text"/>
    <w:rsid w:val="00921BCB"/>
    <w:pPr>
      <w:tabs>
        <w:tab w:val="left" w:pos="3402"/>
      </w:tabs>
      <w:spacing w:after="240"/>
      <w:ind w:left="3402" w:hanging="3402"/>
    </w:pPr>
    <w:rPr>
      <w:rFonts w:ascii="Arial" w:eastAsiaTheme="majorEastAsia" w:hAnsi="Arial" w:cstheme="majorBidi"/>
      <w:bCs/>
      <w:color w:val="201547" w:themeColor="text1"/>
      <w:sz w:val="20"/>
      <w:szCs w:val="18"/>
      <w:lang w:eastAsia="en-AU"/>
    </w:rPr>
  </w:style>
  <w:style w:type="paragraph" w:styleId="Title">
    <w:name w:val="Title"/>
    <w:basedOn w:val="Normal"/>
    <w:next w:val="Normal"/>
    <w:link w:val="TitleChar"/>
    <w:uiPriority w:val="10"/>
    <w:rsid w:val="000A25CD"/>
    <w:pPr>
      <w:spacing w:after="120" w:line="200" w:lineRule="atLeast"/>
      <w:contextualSpacing/>
    </w:pPr>
    <w:rPr>
      <w:rFonts w:eastAsiaTheme="majorEastAsia" w:cstheme="majorBidi"/>
      <w:color w:val="FFFFFF" w:themeColor="background1"/>
      <w:spacing w:val="-10"/>
      <w:kern w:val="28"/>
      <w:sz w:val="56"/>
      <w:szCs w:val="56"/>
    </w:rPr>
  </w:style>
  <w:style w:type="character" w:customStyle="1" w:styleId="TitleChar">
    <w:name w:val="Title Char"/>
    <w:basedOn w:val="DefaultParagraphFont"/>
    <w:link w:val="Title"/>
    <w:uiPriority w:val="10"/>
    <w:rsid w:val="000A25CD"/>
    <w:rPr>
      <w:rFonts w:ascii="Arial" w:eastAsiaTheme="majorEastAsia" w:hAnsi="Arial" w:cstheme="majorBidi"/>
      <w:color w:val="FFFFFF" w:themeColor="background1"/>
      <w:spacing w:val="-10"/>
      <w:kern w:val="28"/>
      <w:sz w:val="56"/>
      <w:szCs w:val="56"/>
      <w:lang w:eastAsia="en-AU"/>
    </w:rPr>
  </w:style>
  <w:style w:type="paragraph" w:styleId="Subtitle">
    <w:name w:val="Subtitle"/>
    <w:basedOn w:val="Normal"/>
    <w:next w:val="Normal"/>
    <w:link w:val="SubtitleChar"/>
    <w:uiPriority w:val="11"/>
    <w:qFormat/>
    <w:rsid w:val="000A25CD"/>
    <w:pPr>
      <w:numPr>
        <w:ilvl w:val="1"/>
      </w:numPr>
      <w:spacing w:after="120" w:line="200" w:lineRule="atLeast"/>
    </w:pPr>
    <w:rPr>
      <w:rFonts w:eastAsiaTheme="minorEastAsia" w:cstheme="minorBidi"/>
      <w:color w:val="FFFFFF" w:themeColor="background1"/>
      <w:spacing w:val="15"/>
      <w:sz w:val="28"/>
    </w:rPr>
  </w:style>
  <w:style w:type="character" w:customStyle="1" w:styleId="SubtitleChar">
    <w:name w:val="Subtitle Char"/>
    <w:basedOn w:val="DefaultParagraphFont"/>
    <w:link w:val="Subtitle"/>
    <w:uiPriority w:val="11"/>
    <w:rsid w:val="000A25CD"/>
    <w:rPr>
      <w:rFonts w:ascii="Arial" w:eastAsiaTheme="minorEastAsia" w:hAnsi="Arial"/>
      <w:color w:val="FFFFFF" w:themeColor="background1"/>
      <w:spacing w:val="15"/>
      <w:sz w:val="28"/>
      <w:lang w:eastAsia="en-AU"/>
    </w:rPr>
  </w:style>
  <w:style w:type="character" w:styleId="PageNumber">
    <w:name w:val="page number"/>
    <w:basedOn w:val="DefaultParagraphFont"/>
    <w:unhideWhenUsed/>
    <w:rsid w:val="00B62A4B"/>
  </w:style>
  <w:style w:type="paragraph" w:customStyle="1" w:styleId="DEDJTRBoldTitle">
    <w:name w:val="DEDJTR Bold Title"/>
    <w:basedOn w:val="Title"/>
    <w:rsid w:val="00CF1C9F"/>
    <w:rPr>
      <w:b/>
    </w:rPr>
  </w:style>
  <w:style w:type="paragraph" w:customStyle="1" w:styleId="DEDJTRMedTitle">
    <w:name w:val="DEDJTR Med Title"/>
    <w:basedOn w:val="Title"/>
    <w:rsid w:val="00CF1C9F"/>
  </w:style>
  <w:style w:type="paragraph" w:customStyle="1" w:styleId="DEDJTRMedSubtitle">
    <w:name w:val="DEDJTR Med Subtitle"/>
    <w:basedOn w:val="Subtitle"/>
    <w:rsid w:val="00CF1C9F"/>
    <w:rPr>
      <w:b/>
      <w:bCs/>
    </w:rPr>
  </w:style>
  <w:style w:type="paragraph" w:customStyle="1" w:styleId="bodyCopy">
    <w:name w:val="#  body Copy"/>
    <w:basedOn w:val="Normal"/>
    <w:qFormat/>
    <w:rsid w:val="00351292"/>
    <w:rPr>
      <w:rFonts w:asciiTheme="minorHAnsi" w:hAnsiTheme="minorHAnsi" w:cs="Times New Roman"/>
      <w:color w:val="201547" w:themeColor="text1"/>
      <w:sz w:val="22"/>
      <w:szCs w:val="20"/>
      <w:lang w:eastAsia="en-US"/>
    </w:rPr>
  </w:style>
  <w:style w:type="paragraph" w:customStyle="1" w:styleId="enorm">
    <w:name w:val="e norm"/>
    <w:basedOn w:val="Normal"/>
    <w:qFormat/>
    <w:rsid w:val="009618FA"/>
    <w:pPr>
      <w:spacing w:after="0"/>
      <w:jc w:val="both"/>
    </w:pPr>
    <w:rPr>
      <w:color w:val="auto"/>
      <w:szCs w:val="20"/>
      <w:lang w:val="en-US" w:eastAsia="en-US"/>
    </w:rPr>
  </w:style>
  <w:style w:type="paragraph" w:customStyle="1" w:styleId="ebullet">
    <w:name w:val="e bullet"/>
    <w:basedOn w:val="enorm"/>
    <w:qFormat/>
    <w:rsid w:val="009618FA"/>
    <w:pPr>
      <w:numPr>
        <w:numId w:val="2"/>
      </w:numPr>
    </w:pPr>
  </w:style>
  <w:style w:type="paragraph" w:styleId="NormalWeb">
    <w:name w:val="Normal (Web)"/>
    <w:basedOn w:val="Normal"/>
    <w:uiPriority w:val="99"/>
    <w:unhideWhenUsed/>
    <w:rsid w:val="00574342"/>
    <w:pPr>
      <w:spacing w:before="100" w:beforeAutospacing="1" w:after="100" w:afterAutospacing="1"/>
    </w:pPr>
    <w:rPr>
      <w:rFonts w:ascii="Times New Roman" w:hAnsi="Times New Roman" w:cs="Times New Roman"/>
      <w:color w:val="auto"/>
      <w:sz w:val="24"/>
      <w:szCs w:val="24"/>
    </w:rPr>
  </w:style>
  <w:style w:type="table" w:styleId="TableGrid">
    <w:name w:val="Table Grid"/>
    <w:basedOn w:val="TableNormal"/>
    <w:uiPriority w:val="59"/>
    <w:rsid w:val="00955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rsid w:val="00CF13F4"/>
    <w:rPr>
      <w:color w:val="605E5C"/>
      <w:shd w:val="clear" w:color="auto" w:fill="E1DFDD"/>
    </w:rPr>
  </w:style>
  <w:style w:type="character" w:styleId="FollowedHyperlink">
    <w:name w:val="FollowedHyperlink"/>
    <w:basedOn w:val="DefaultParagraphFont"/>
    <w:uiPriority w:val="99"/>
    <w:semiHidden/>
    <w:unhideWhenUsed/>
    <w:rsid w:val="00D70CB9"/>
    <w:rPr>
      <w:color w:val="88DBD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267104">
      <w:bodyDiv w:val="1"/>
      <w:marLeft w:val="0"/>
      <w:marRight w:val="0"/>
      <w:marTop w:val="0"/>
      <w:marBottom w:val="0"/>
      <w:divBdr>
        <w:top w:val="none" w:sz="0" w:space="0" w:color="auto"/>
        <w:left w:val="none" w:sz="0" w:space="0" w:color="auto"/>
        <w:bottom w:val="none" w:sz="0" w:space="0" w:color="auto"/>
        <w:right w:val="none" w:sz="0" w:space="0" w:color="auto"/>
      </w:divBdr>
    </w:div>
    <w:div w:id="428160655">
      <w:bodyDiv w:val="1"/>
      <w:marLeft w:val="0"/>
      <w:marRight w:val="0"/>
      <w:marTop w:val="0"/>
      <w:marBottom w:val="0"/>
      <w:divBdr>
        <w:top w:val="none" w:sz="0" w:space="0" w:color="auto"/>
        <w:left w:val="none" w:sz="0" w:space="0" w:color="auto"/>
        <w:bottom w:val="none" w:sz="0" w:space="0" w:color="auto"/>
        <w:right w:val="none" w:sz="0" w:space="0" w:color="auto"/>
      </w:divBdr>
    </w:div>
    <w:div w:id="655954524">
      <w:bodyDiv w:val="1"/>
      <w:marLeft w:val="0"/>
      <w:marRight w:val="0"/>
      <w:marTop w:val="0"/>
      <w:marBottom w:val="0"/>
      <w:divBdr>
        <w:top w:val="none" w:sz="0" w:space="0" w:color="auto"/>
        <w:left w:val="none" w:sz="0" w:space="0" w:color="auto"/>
        <w:bottom w:val="none" w:sz="0" w:space="0" w:color="auto"/>
        <w:right w:val="none" w:sz="0" w:space="0" w:color="auto"/>
      </w:divBdr>
    </w:div>
    <w:div w:id="835730646">
      <w:bodyDiv w:val="1"/>
      <w:marLeft w:val="0"/>
      <w:marRight w:val="0"/>
      <w:marTop w:val="0"/>
      <w:marBottom w:val="0"/>
      <w:divBdr>
        <w:top w:val="none" w:sz="0" w:space="0" w:color="auto"/>
        <w:left w:val="none" w:sz="0" w:space="0" w:color="auto"/>
        <w:bottom w:val="none" w:sz="0" w:space="0" w:color="auto"/>
        <w:right w:val="none" w:sz="0" w:space="0" w:color="auto"/>
      </w:divBdr>
    </w:div>
    <w:div w:id="932126168">
      <w:bodyDiv w:val="1"/>
      <w:marLeft w:val="0"/>
      <w:marRight w:val="0"/>
      <w:marTop w:val="0"/>
      <w:marBottom w:val="0"/>
      <w:divBdr>
        <w:top w:val="none" w:sz="0" w:space="0" w:color="auto"/>
        <w:left w:val="none" w:sz="0" w:space="0" w:color="auto"/>
        <w:bottom w:val="none" w:sz="0" w:space="0" w:color="auto"/>
        <w:right w:val="none" w:sz="0" w:space="0" w:color="auto"/>
      </w:divBdr>
    </w:div>
    <w:div w:id="1241216733">
      <w:bodyDiv w:val="1"/>
      <w:marLeft w:val="0"/>
      <w:marRight w:val="0"/>
      <w:marTop w:val="0"/>
      <w:marBottom w:val="0"/>
      <w:divBdr>
        <w:top w:val="none" w:sz="0" w:space="0" w:color="auto"/>
        <w:left w:val="none" w:sz="0" w:space="0" w:color="auto"/>
        <w:bottom w:val="none" w:sz="0" w:space="0" w:color="auto"/>
        <w:right w:val="none" w:sz="0" w:space="0" w:color="auto"/>
      </w:divBdr>
    </w:div>
    <w:div w:id="1640722124">
      <w:bodyDiv w:val="1"/>
      <w:marLeft w:val="0"/>
      <w:marRight w:val="0"/>
      <w:marTop w:val="0"/>
      <w:marBottom w:val="0"/>
      <w:divBdr>
        <w:top w:val="none" w:sz="0" w:space="0" w:color="auto"/>
        <w:left w:val="none" w:sz="0" w:space="0" w:color="auto"/>
        <w:bottom w:val="none" w:sz="0" w:space="0" w:color="auto"/>
        <w:right w:val="none" w:sz="0" w:space="0" w:color="auto"/>
      </w:divBdr>
      <w:divsChild>
        <w:div w:id="2106026641">
          <w:marLeft w:val="0"/>
          <w:marRight w:val="0"/>
          <w:marTop w:val="0"/>
          <w:marBottom w:val="0"/>
          <w:divBdr>
            <w:top w:val="none" w:sz="0" w:space="0" w:color="auto"/>
            <w:left w:val="none" w:sz="0" w:space="0" w:color="auto"/>
            <w:bottom w:val="none" w:sz="0" w:space="0" w:color="auto"/>
            <w:right w:val="none" w:sz="0" w:space="0" w:color="auto"/>
          </w:divBdr>
          <w:divsChild>
            <w:div w:id="2511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064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www8.austlii.edu.au/cgi-bin/viewdoc/au/legis/vic/consol_act/mrda1990432/s4.html" TargetMode="External"/><Relationship Id="rId26" Type="http://schemas.openxmlformats.org/officeDocument/2006/relationships/hyperlink" Target="http://www8.austlii.edu.au/cgi-bin/viewdoc/au/legis/vic/consol_act/mrda1990432/s4.html" TargetMode="External"/><Relationship Id="rId39" Type="http://schemas.openxmlformats.org/officeDocument/2006/relationships/hyperlink" Target="http://www8.austlii.edu.au/cgi-bin/viewdoc/au/legis/vic/consol_act/mrda1990432/s23.html" TargetMode="External"/><Relationship Id="rId3" Type="http://schemas.openxmlformats.org/officeDocument/2006/relationships/customXml" Target="../customXml/item3.xml"/><Relationship Id="rId21" Type="http://schemas.openxmlformats.org/officeDocument/2006/relationships/hyperlink" Target="http://www8.austlii.edu.au/cgi-bin/viewdoc/au/legis/vic/consol_act/mrda1990432/s4.html" TargetMode="External"/><Relationship Id="rId34" Type="http://schemas.openxmlformats.org/officeDocument/2006/relationships/hyperlink" Target="http://www8.austlii.edu.au/cgi-bin/viewdoc/au/legis/vic/consol_act/ltva1994224/" TargetMode="External"/><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8.austlii.edu.au/cgi-bin/viewdoc/au/legis/vic/consol_act/mrda1990432/s4.html" TargetMode="External"/><Relationship Id="rId25" Type="http://schemas.openxmlformats.org/officeDocument/2006/relationships/hyperlink" Target="http://www8.austlii.edu.au/cgi-bin/viewdoc/au/legis/vic/consol_act/mrda1990432/s4.html" TargetMode="External"/><Relationship Id="rId33" Type="http://schemas.openxmlformats.org/officeDocument/2006/relationships/hyperlink" Target="http://www8.austlii.edu.au/cgi-bin/viewdoc/au/legis/cth/consol_act/nta1993147/" TargetMode="External"/><Relationship Id="rId38" Type="http://schemas.openxmlformats.org/officeDocument/2006/relationships/hyperlink" Target="http://www8.austlii.edu.au/cgi-bin/viewdoc/au/legis/vic/consol_act/mrda1990432/s15.html" TargetMode="External"/><Relationship Id="rId2" Type="http://schemas.openxmlformats.org/officeDocument/2006/relationships/customXml" Target="../customXml/item2.xml"/><Relationship Id="rId16" Type="http://schemas.openxmlformats.org/officeDocument/2006/relationships/hyperlink" Target="https://earthresources.vic.gov.au/licensing-approvals/mineral-licences/apply-for-an-exploration-licence/exploration-licence-application-kit" TargetMode="External"/><Relationship Id="rId20" Type="http://schemas.openxmlformats.org/officeDocument/2006/relationships/hyperlink" Target="http://www8.austlii.edu.au/cgi-bin/viewdoc/au/legis/vic/consol_act/mrda1990432/s4.html" TargetMode="External"/><Relationship Id="rId29" Type="http://schemas.openxmlformats.org/officeDocument/2006/relationships/hyperlink" Target="http://www8.austlii.edu.au/cgi-bin/viewdoc/au/legis/vic/consol_act/mrda1990432/s4.html"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www8.austlii.edu.au/cgi-bin/viewdoc/au/legis/vic/consol_act/mrda1990432/s4.html" TargetMode="External"/><Relationship Id="rId32" Type="http://schemas.openxmlformats.org/officeDocument/2006/relationships/hyperlink" Target="http://www8.austlii.edu.au/cgi-bin/viewdoc/au/legis/vic/consol_act/mrda1990432/s4.html" TargetMode="External"/><Relationship Id="rId37" Type="http://schemas.openxmlformats.org/officeDocument/2006/relationships/hyperlink" Target="http://www8.austlii.edu.au/cgi-bin/viewdoc/au/legis/vic/consol_act/mrda1990432/s23.html" TargetMode="External"/><Relationship Id="rId40"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earthresources.vic.gov.au/community-and-land-use/landholder-information/commercial-consent-agreement" TargetMode="External"/><Relationship Id="rId23" Type="http://schemas.openxmlformats.org/officeDocument/2006/relationships/hyperlink" Target="http://www8.austlii.edu.au/cgi-bin/viewdoc/au/legis/vic/consol_act/mrda1990432/s4.html" TargetMode="External"/><Relationship Id="rId28" Type="http://schemas.openxmlformats.org/officeDocument/2006/relationships/hyperlink" Target="http://www8.austlii.edu.au/cgi-bin/viewdoc/au/legis/vic/consol_act/mrda1990432/s4.html" TargetMode="External"/><Relationship Id="rId36" Type="http://schemas.openxmlformats.org/officeDocument/2006/relationships/hyperlink" Target="http://www8.austlii.edu.au/cgi-bin/viewdoc/au/legis/vic/consol_act/mrda1990432/s4.html" TargetMode="External"/><Relationship Id="rId10" Type="http://schemas.openxmlformats.org/officeDocument/2006/relationships/endnotes" Target="endnotes.xml"/><Relationship Id="rId19" Type="http://schemas.openxmlformats.org/officeDocument/2006/relationships/hyperlink" Target="http://www8.austlii.edu.au/cgi-bin/viewdoc/au/legis/vic/consol_act/mrda1990432/s4.html" TargetMode="External"/><Relationship Id="rId31" Type="http://schemas.openxmlformats.org/officeDocument/2006/relationships/hyperlink" Target="http://www8.austlii.edu.au/cgi-bin/viewdoc/au/legis/vic/consol_act/mrda1990432/s4.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www8.austlii.edu.au/cgi-bin/viewdoc/au/legis/vic/consol_act/mrda1990432/s4.html" TargetMode="External"/><Relationship Id="rId27" Type="http://schemas.openxmlformats.org/officeDocument/2006/relationships/hyperlink" Target="http://www8.austlii.edu.au/cgi-bin/viewdoc/au/legis/vic/consol_act/mrda1990432/s4.html" TargetMode="External"/><Relationship Id="rId30" Type="http://schemas.openxmlformats.org/officeDocument/2006/relationships/hyperlink" Target="http://www8.austlii.edu.au/cgi-bin/viewdoc/au/legis/vic/consol_act/mrda1990432/s4.html" TargetMode="External"/><Relationship Id="rId35" Type="http://schemas.openxmlformats.org/officeDocument/2006/relationships/hyperlink" Target="http://www8.austlii.edu.au/cgi-bin/viewdoc/au/legis/vic/consol_act/mrda1990432/s23.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C55275-7B2C-4938-9973-F3F199DF64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0EBC9C-27D8-4007-8792-CB8EFE39E05D}">
  <ds:schemaRefs>
    <ds:schemaRef ds:uri="http://schemas.microsoft.com/sharepoint/v3/contenttype/forms"/>
  </ds:schemaRefs>
</ds:datastoreItem>
</file>

<file path=customXml/itemProps3.xml><?xml version="1.0" encoding="utf-8"?>
<ds:datastoreItem xmlns:ds="http://schemas.openxmlformats.org/officeDocument/2006/customXml" ds:itemID="{1E0EFA03-92FF-4048-9C9F-79BCFE16614B}">
  <ds:schemaRefs>
    <ds:schemaRef ds:uri="http://purl.org/dc/elements/1.1/"/>
    <ds:schemaRef ds:uri="http://schemas.microsoft.com/office/2006/metadata/properties"/>
    <ds:schemaRef ds:uri="http://schemas.microsoft.com/office/2006/documentManagement/types"/>
    <ds:schemaRef ds:uri="http://purl.org/dc/terms/"/>
    <ds:schemaRef ds:uri="72567383-1e26-4692-bdad-5f5be69e1590"/>
    <ds:schemaRef ds:uri="http://purl.org/dc/dcmitype/"/>
    <ds:schemaRef ds:uri="ae0cd296-55d0-417d-93e3-30a04cec7f29"/>
    <ds:schemaRef ds:uri="http://schemas.openxmlformats.org/package/2006/metadata/core-properties"/>
    <ds:schemaRef ds:uri="http://schemas.microsoft.com/office/infopath/2007/PartnerControls"/>
    <ds:schemaRef ds:uri="1211962b-e7f0-4e86-a0d1-2328247b4c11"/>
    <ds:schemaRef ds:uri="http://www.w3.org/XML/1998/namespace"/>
  </ds:schemaRefs>
</ds:datastoreItem>
</file>

<file path=customXml/itemProps4.xml><?xml version="1.0" encoding="utf-8"?>
<ds:datastoreItem xmlns:ds="http://schemas.openxmlformats.org/officeDocument/2006/customXml" ds:itemID="{D3D0D3CB-3B9D-48CF-86F5-8286F1902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3905</Words>
  <Characters>22264</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2019-07-01T02:40:00Z</dcterms:created>
  <dcterms:modified xsi:type="dcterms:W3CDTF">2019-07-01T02:40:00Z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ies>
</file>