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344C" w14:textId="260417F8" w:rsidR="00986C4B" w:rsidRDefault="00986C4B"/>
    <w:p w14:paraId="2692E28C" w14:textId="77777777" w:rsidR="004B2446" w:rsidRPr="003325C0" w:rsidRDefault="004B2446" w:rsidP="003325C0">
      <w:pPr>
        <w:pStyle w:val="Heading1"/>
        <w:rPr>
          <w:color w:val="2F5496" w:themeColor="accent1" w:themeShade="BF"/>
        </w:rPr>
      </w:pPr>
      <w:r w:rsidRPr="003325C0">
        <w:rPr>
          <w:color w:val="2F5496" w:themeColor="accent1" w:themeShade="BF"/>
        </w:rPr>
        <w:t>Hazelwood Rehabilitation Investigation Report</w:t>
      </w:r>
    </w:p>
    <w:p w14:paraId="516AF97A" w14:textId="0F8CF037" w:rsidR="004B2446" w:rsidRPr="007F5A3C" w:rsidRDefault="004B2446" w:rsidP="004B2446">
      <w:pPr>
        <w:pStyle w:val="Heading2"/>
        <w:spacing w:line="240" w:lineRule="auto"/>
        <w:rPr>
          <w:color w:val="auto"/>
          <w:sz w:val="22"/>
          <w:szCs w:val="22"/>
        </w:rPr>
      </w:pPr>
      <w:r w:rsidRPr="003325C0">
        <w:rPr>
          <w:color w:val="auto"/>
          <w:sz w:val="22"/>
          <w:szCs w:val="22"/>
        </w:rPr>
        <w:t xml:space="preserve">In 2021, the then Minister for Resources, </w:t>
      </w:r>
      <w:proofErr w:type="spellStart"/>
      <w:r w:rsidRPr="003325C0">
        <w:rPr>
          <w:color w:val="auto"/>
          <w:sz w:val="22"/>
          <w:szCs w:val="22"/>
        </w:rPr>
        <w:t>Jaala</w:t>
      </w:r>
      <w:proofErr w:type="spellEnd"/>
      <w:r w:rsidRPr="003325C0">
        <w:rPr>
          <w:color w:val="auto"/>
          <w:sz w:val="22"/>
          <w:szCs w:val="22"/>
        </w:rPr>
        <w:t xml:space="preserve"> Pulford MP, referred to the Mine Land Rehabilitation Authority five matters for investigation related to rehabilitation planning for Hazelwood mine in the Latrobe Valley, Victoria.  </w:t>
      </w:r>
    </w:p>
    <w:p w14:paraId="0FF1AC71" w14:textId="77777777" w:rsidR="004B2446" w:rsidRPr="003325C0" w:rsidRDefault="004B2446" w:rsidP="003325C0">
      <w:pPr>
        <w:pStyle w:val="Heading2"/>
        <w:rPr>
          <w:color w:val="2F5496" w:themeColor="accent1" w:themeShade="BF"/>
          <w:sz w:val="24"/>
          <w:szCs w:val="24"/>
        </w:rPr>
      </w:pPr>
      <w:r w:rsidRPr="003325C0">
        <w:rPr>
          <w:color w:val="2F5496" w:themeColor="accent1" w:themeShade="BF"/>
          <w:sz w:val="24"/>
          <w:szCs w:val="24"/>
        </w:rPr>
        <w:t>What was investigated?</w:t>
      </w:r>
    </w:p>
    <w:p w14:paraId="047122F8" w14:textId="6FB80F01" w:rsidR="004B2446" w:rsidRPr="007F5A3C" w:rsidRDefault="004B2446" w:rsidP="004B2446">
      <w:pPr>
        <w:pStyle w:val="Heading2"/>
        <w:spacing w:line="240" w:lineRule="auto"/>
        <w:rPr>
          <w:color w:val="auto"/>
          <w:sz w:val="22"/>
          <w:szCs w:val="22"/>
        </w:rPr>
      </w:pPr>
      <w:r w:rsidRPr="003325C0">
        <w:rPr>
          <w:color w:val="auto"/>
          <w:sz w:val="22"/>
          <w:szCs w:val="22"/>
        </w:rPr>
        <w:t xml:space="preserve">The Hazelwood Rehabilitation Investigation Report describes the findings for all five matters. </w:t>
      </w:r>
      <w:r w:rsidRPr="004B2446">
        <w:rPr>
          <w:color w:val="4472C4" w:themeColor="accent1"/>
          <w:sz w:val="28"/>
          <w:szCs w:val="28"/>
        </w:rPr>
        <w:t xml:space="preserve"> </w:t>
      </w:r>
    </w:p>
    <w:p w14:paraId="448E471E" w14:textId="30A64E72" w:rsidR="004B2446" w:rsidRPr="007F5A3C" w:rsidRDefault="004B2446" w:rsidP="004B2446">
      <w:pPr>
        <w:pStyle w:val="Heading2"/>
        <w:spacing w:line="240" w:lineRule="auto"/>
        <w:rPr>
          <w:color w:val="auto"/>
          <w:sz w:val="22"/>
          <w:szCs w:val="22"/>
        </w:rPr>
      </w:pPr>
      <w:r w:rsidRPr="007F5A3C">
        <w:rPr>
          <w:color w:val="auto"/>
          <w:sz w:val="22"/>
          <w:szCs w:val="22"/>
        </w:rPr>
        <w:t>Rehabilitation planning activities (Matters 1 &amp; 2)</w:t>
      </w:r>
    </w:p>
    <w:p w14:paraId="57D55BCB" w14:textId="0A6EADBB" w:rsidR="004B2446" w:rsidRPr="007F5A3C" w:rsidRDefault="004B2446" w:rsidP="004B2446">
      <w:pPr>
        <w:pStyle w:val="Heading2"/>
        <w:spacing w:line="240" w:lineRule="auto"/>
        <w:rPr>
          <w:color w:val="auto"/>
          <w:sz w:val="22"/>
          <w:szCs w:val="22"/>
        </w:rPr>
      </w:pPr>
      <w:r w:rsidRPr="007F5A3C">
        <w:rPr>
          <w:color w:val="auto"/>
          <w:sz w:val="22"/>
          <w:szCs w:val="22"/>
        </w:rPr>
        <w:t xml:space="preserve">Matter One addresses the question What are the recommended methods for geotechnical assessments of Latrobe Valley coal mine batter stability and the criteria employed to demonstrate stability during water filling? </w:t>
      </w:r>
    </w:p>
    <w:p w14:paraId="4584F366" w14:textId="52CEED66" w:rsidR="004B2446" w:rsidRPr="007F5A3C" w:rsidRDefault="004B2446" w:rsidP="004B2446">
      <w:pPr>
        <w:pStyle w:val="Heading2"/>
        <w:spacing w:line="240" w:lineRule="auto"/>
        <w:rPr>
          <w:color w:val="auto"/>
          <w:sz w:val="22"/>
          <w:szCs w:val="22"/>
        </w:rPr>
      </w:pPr>
      <w:r w:rsidRPr="007F5A3C">
        <w:rPr>
          <w:color w:val="auto"/>
          <w:sz w:val="22"/>
          <w:szCs w:val="22"/>
        </w:rPr>
        <w:t xml:space="preserve">Matter Two looks at the definition of a set of reference water fill levels and the identification of the data, information and knowledge required to manage risks associated with filling to each reference level. </w:t>
      </w:r>
    </w:p>
    <w:p w14:paraId="295D3D76" w14:textId="7FC83F3C" w:rsidR="004B2446" w:rsidRPr="007F5A3C" w:rsidRDefault="004B2446" w:rsidP="004B2446">
      <w:pPr>
        <w:pStyle w:val="Heading2"/>
        <w:spacing w:line="240" w:lineRule="auto"/>
        <w:rPr>
          <w:color w:val="auto"/>
          <w:sz w:val="22"/>
          <w:szCs w:val="22"/>
        </w:rPr>
      </w:pPr>
      <w:r w:rsidRPr="007F5A3C">
        <w:rPr>
          <w:color w:val="auto"/>
          <w:sz w:val="22"/>
          <w:szCs w:val="22"/>
        </w:rPr>
        <w:t>Rehabilitation of declared mine land (Matters 3, 4 &amp; 5)</w:t>
      </w:r>
    </w:p>
    <w:p w14:paraId="5042E336" w14:textId="7D36E118" w:rsidR="004B2446" w:rsidRPr="007F5A3C" w:rsidRDefault="004B2446" w:rsidP="004B2446">
      <w:pPr>
        <w:pStyle w:val="Heading2"/>
        <w:spacing w:line="240" w:lineRule="auto"/>
        <w:rPr>
          <w:color w:val="auto"/>
          <w:sz w:val="22"/>
          <w:szCs w:val="22"/>
        </w:rPr>
      </w:pPr>
      <w:r w:rsidRPr="007F5A3C">
        <w:rPr>
          <w:color w:val="auto"/>
          <w:sz w:val="22"/>
          <w:szCs w:val="22"/>
        </w:rPr>
        <w:t xml:space="preserve">Matter Three looks at identifying the risks to the environment, to members of the public, land, property or infrastructure and the controls/mitigation strategies needed to eliminate or reduce those risks as far as reasonably practicable to safely manage water fill at the declared </w:t>
      </w:r>
      <w:proofErr w:type="gramStart"/>
      <w:r w:rsidRPr="007F5A3C">
        <w:rPr>
          <w:color w:val="auto"/>
          <w:sz w:val="22"/>
          <w:szCs w:val="22"/>
        </w:rPr>
        <w:t>mine</w:t>
      </w:r>
      <w:proofErr w:type="gramEnd"/>
      <w:r w:rsidRPr="007F5A3C">
        <w:rPr>
          <w:color w:val="auto"/>
          <w:sz w:val="22"/>
          <w:szCs w:val="22"/>
        </w:rPr>
        <w:t xml:space="preserve"> land.</w:t>
      </w:r>
    </w:p>
    <w:p w14:paraId="50676481" w14:textId="38E3ABCB" w:rsidR="004B2446" w:rsidRPr="007F5A3C" w:rsidRDefault="004B2446" w:rsidP="004B2446">
      <w:pPr>
        <w:pStyle w:val="Heading2"/>
        <w:spacing w:line="240" w:lineRule="auto"/>
        <w:rPr>
          <w:color w:val="auto"/>
          <w:sz w:val="22"/>
          <w:szCs w:val="22"/>
        </w:rPr>
      </w:pPr>
      <w:r w:rsidRPr="007F5A3C">
        <w:rPr>
          <w:color w:val="auto"/>
          <w:sz w:val="22"/>
          <w:szCs w:val="22"/>
        </w:rPr>
        <w:t xml:space="preserve">Matter Four looks at identifying any additional steps necessary to ensure alignment between the proposed rehabilitation works within the Hazelwood mine and the Latrobe Valley Regional Rehabilitation Strategy and Declared Mine Rehabilitation Plan requirements. </w:t>
      </w:r>
    </w:p>
    <w:p w14:paraId="14EAC8E5" w14:textId="7897D92E" w:rsidR="004B2446" w:rsidRPr="007F5A3C" w:rsidRDefault="004B2446" w:rsidP="004B2446">
      <w:pPr>
        <w:pStyle w:val="Heading2"/>
        <w:spacing w:line="240" w:lineRule="auto"/>
        <w:rPr>
          <w:color w:val="auto"/>
          <w:sz w:val="22"/>
          <w:szCs w:val="22"/>
        </w:rPr>
      </w:pPr>
      <w:r w:rsidRPr="007F5A3C">
        <w:rPr>
          <w:color w:val="auto"/>
          <w:sz w:val="22"/>
          <w:szCs w:val="22"/>
        </w:rPr>
        <w:t xml:space="preserve">Matter Five is concerned with identifying the risks that may require monitoring, maintenance, </w:t>
      </w:r>
      <w:proofErr w:type="gramStart"/>
      <w:r w:rsidRPr="007F5A3C">
        <w:rPr>
          <w:color w:val="auto"/>
          <w:sz w:val="22"/>
          <w:szCs w:val="22"/>
        </w:rPr>
        <w:t>treatment</w:t>
      </w:r>
      <w:proofErr w:type="gramEnd"/>
      <w:r w:rsidRPr="007F5A3C">
        <w:rPr>
          <w:color w:val="auto"/>
          <w:sz w:val="22"/>
          <w:szCs w:val="22"/>
        </w:rPr>
        <w:t xml:space="preserve"> or other ongoing land management activities after rehabilitation is complete, the activities required to manage the risks and the projected costs to manage the risks.</w:t>
      </w:r>
      <w:r w:rsidRPr="004B2446">
        <w:rPr>
          <w:color w:val="4472C4" w:themeColor="accent1"/>
          <w:sz w:val="28"/>
          <w:szCs w:val="28"/>
        </w:rPr>
        <w:t> </w:t>
      </w:r>
    </w:p>
    <w:p w14:paraId="708705A5" w14:textId="526C6D08" w:rsidR="004B2446" w:rsidRPr="007F5A3C" w:rsidRDefault="004B2446" w:rsidP="007F5A3C">
      <w:pPr>
        <w:pStyle w:val="Heading2"/>
        <w:rPr>
          <w:color w:val="2F5496" w:themeColor="accent1" w:themeShade="BF"/>
          <w:sz w:val="24"/>
          <w:szCs w:val="24"/>
        </w:rPr>
      </w:pPr>
      <w:r w:rsidRPr="007F5A3C">
        <w:rPr>
          <w:color w:val="2F5496" w:themeColor="accent1" w:themeShade="BF"/>
          <w:sz w:val="24"/>
          <w:szCs w:val="24"/>
        </w:rPr>
        <w:t xml:space="preserve">What does the report recommend? </w:t>
      </w:r>
    </w:p>
    <w:p w14:paraId="509BEFB7" w14:textId="4B4001F7" w:rsidR="004B2446" w:rsidRPr="007F5A3C" w:rsidRDefault="004B2446" w:rsidP="004B2446">
      <w:pPr>
        <w:pStyle w:val="Heading2"/>
        <w:spacing w:line="240" w:lineRule="auto"/>
        <w:rPr>
          <w:color w:val="auto"/>
          <w:sz w:val="22"/>
          <w:szCs w:val="22"/>
        </w:rPr>
      </w:pPr>
      <w:r w:rsidRPr="007F5A3C">
        <w:rPr>
          <w:color w:val="auto"/>
          <w:sz w:val="22"/>
          <w:szCs w:val="22"/>
        </w:rPr>
        <w:t xml:space="preserve">A total of 28 recommendations are made in the report. Some recommendations cover batter design requirements, including the selection of factor of safety and probability of failure values for design. Other recommendations relate to assessments and controls, dewatering risks, adaptive monitoring, </w:t>
      </w:r>
      <w:proofErr w:type="gramStart"/>
      <w:r w:rsidRPr="007F5A3C">
        <w:rPr>
          <w:color w:val="auto"/>
          <w:sz w:val="22"/>
          <w:szCs w:val="22"/>
        </w:rPr>
        <w:t>assessment</w:t>
      </w:r>
      <w:proofErr w:type="gramEnd"/>
      <w:r w:rsidRPr="007F5A3C">
        <w:rPr>
          <w:color w:val="auto"/>
          <w:sz w:val="22"/>
          <w:szCs w:val="22"/>
        </w:rPr>
        <w:t xml:space="preserve"> and management, including approaches to altering the final landform design in the case of severe long-term water shortage.  </w:t>
      </w:r>
    </w:p>
    <w:p w14:paraId="2D22DA6C" w14:textId="6CE4C227" w:rsidR="004B2446" w:rsidRPr="007F5A3C" w:rsidRDefault="004B2446" w:rsidP="004B2446">
      <w:pPr>
        <w:pStyle w:val="Heading2"/>
        <w:spacing w:line="240" w:lineRule="auto"/>
        <w:rPr>
          <w:color w:val="auto"/>
          <w:sz w:val="22"/>
          <w:szCs w:val="22"/>
        </w:rPr>
      </w:pPr>
      <w:r w:rsidRPr="007F5A3C">
        <w:rPr>
          <w:color w:val="auto"/>
          <w:sz w:val="22"/>
          <w:szCs w:val="22"/>
        </w:rPr>
        <w:t xml:space="preserve">The report suggests that the case for a collective Environment Effects Statement that incorporates rehabilitation requirements for all three mines is strong and should be considered before progressing too far with the single mine Environment Effects Statement for Hazelwood, and that connecting the strategy explicitly with regional planning should be given high priority for the update to the 2023 Strategy. </w:t>
      </w:r>
    </w:p>
    <w:p w14:paraId="2D221EAD" w14:textId="77777777" w:rsidR="004B2446" w:rsidRPr="007F5A3C" w:rsidRDefault="004B2446" w:rsidP="004B2446">
      <w:pPr>
        <w:pStyle w:val="Heading2"/>
        <w:spacing w:line="240" w:lineRule="auto"/>
        <w:rPr>
          <w:color w:val="auto"/>
          <w:sz w:val="22"/>
          <w:szCs w:val="22"/>
        </w:rPr>
      </w:pPr>
      <w:r w:rsidRPr="007F5A3C">
        <w:rPr>
          <w:color w:val="auto"/>
          <w:sz w:val="22"/>
          <w:szCs w:val="22"/>
        </w:rPr>
        <w:t xml:space="preserve">The final recommendation suggests that where the timing of delivery of the Latrobe Valley Regional Rehabilitation Strategy, the Environmental Effects Statement and the Declared </w:t>
      </w:r>
      <w:r w:rsidRPr="007F5A3C">
        <w:rPr>
          <w:color w:val="auto"/>
          <w:sz w:val="22"/>
          <w:szCs w:val="22"/>
        </w:rPr>
        <w:lastRenderedPageBreak/>
        <w:t xml:space="preserve">Mine Rehabilitation Plan for each mine cannot be appropriately connected and where the outputs from each action may require approvals under the other actions, then conditions upon approvals may be required. </w:t>
      </w:r>
    </w:p>
    <w:p w14:paraId="10FFAA98" w14:textId="77777777" w:rsidR="004B2446" w:rsidRPr="004B2446" w:rsidRDefault="004B2446" w:rsidP="004B2446">
      <w:pPr>
        <w:pStyle w:val="Heading2"/>
        <w:spacing w:line="240" w:lineRule="auto"/>
        <w:rPr>
          <w:color w:val="4472C4" w:themeColor="accent1"/>
          <w:sz w:val="28"/>
          <w:szCs w:val="28"/>
        </w:rPr>
      </w:pPr>
    </w:p>
    <w:p w14:paraId="28AD7E20" w14:textId="32C9FF7F" w:rsidR="004B2446" w:rsidRPr="007F5A3C" w:rsidRDefault="004B2446" w:rsidP="007F5A3C">
      <w:pPr>
        <w:pStyle w:val="Heading2"/>
        <w:rPr>
          <w:color w:val="2F5496" w:themeColor="accent1" w:themeShade="BF"/>
          <w:sz w:val="24"/>
          <w:szCs w:val="24"/>
        </w:rPr>
      </w:pPr>
      <w:r w:rsidRPr="007F5A3C">
        <w:rPr>
          <w:color w:val="2F5496" w:themeColor="accent1" w:themeShade="BF"/>
          <w:sz w:val="24"/>
          <w:szCs w:val="24"/>
        </w:rPr>
        <w:t>Where can you read the report?</w:t>
      </w:r>
    </w:p>
    <w:p w14:paraId="1C06A4D7" w14:textId="2BF0DB0C" w:rsidR="00D9013B" w:rsidRPr="007F5A3C" w:rsidRDefault="004B2446" w:rsidP="004B2446">
      <w:pPr>
        <w:pStyle w:val="Heading2"/>
        <w:spacing w:line="240" w:lineRule="auto"/>
        <w:rPr>
          <w:color w:val="auto"/>
          <w:sz w:val="22"/>
          <w:szCs w:val="22"/>
        </w:rPr>
      </w:pPr>
      <w:r w:rsidRPr="007F5A3C">
        <w:rPr>
          <w:color w:val="auto"/>
          <w:sz w:val="22"/>
          <w:szCs w:val="22"/>
        </w:rPr>
        <w:t xml:space="preserve">You can read the full report, including the terms of reference of the referral and a summary of recommendations at </w:t>
      </w:r>
      <w:hyperlink r:id="rId13" w:history="1">
        <w:r w:rsidR="00087106" w:rsidRPr="003A4771">
          <w:rPr>
            <w:rStyle w:val="Hyperlink"/>
            <w:sz w:val="22"/>
            <w:szCs w:val="22"/>
          </w:rPr>
          <w:t>https://www.mineland.vic.gov.au/</w:t>
        </w:r>
      </w:hyperlink>
      <w:r w:rsidR="00087106">
        <w:rPr>
          <w:color w:val="auto"/>
          <w:sz w:val="22"/>
          <w:szCs w:val="22"/>
        </w:rPr>
        <w:t xml:space="preserve"> </w:t>
      </w:r>
      <w:r w:rsidRPr="007F5A3C">
        <w:rPr>
          <w:color w:val="auto"/>
          <w:sz w:val="22"/>
          <w:szCs w:val="22"/>
        </w:rPr>
        <w:t xml:space="preserve"> </w:t>
      </w:r>
    </w:p>
    <w:p w14:paraId="50DEB4BF" w14:textId="77777777" w:rsidR="00793024" w:rsidRPr="007964A5" w:rsidRDefault="00793024" w:rsidP="007964A5">
      <w:pPr>
        <w:shd w:val="clear" w:color="auto" w:fill="FFFFFF" w:themeFill="background1"/>
        <w:spacing w:after="0" w:line="240" w:lineRule="auto"/>
        <w:rPr>
          <w:rFonts w:ascii="Arial" w:eastAsia="Times New Roman" w:hAnsi="Arial" w:cs="Arial"/>
          <w:color w:val="000000"/>
          <w:lang w:eastAsia="en-AU"/>
        </w:rPr>
      </w:pPr>
    </w:p>
    <w:p w14:paraId="5CB0E839" w14:textId="77777777" w:rsidR="00D9013B" w:rsidRPr="00D9013B" w:rsidRDefault="00D9013B" w:rsidP="00D9013B">
      <w:pPr>
        <w:rPr>
          <w:lang w:eastAsia="en-GB"/>
        </w:rPr>
      </w:pPr>
    </w:p>
    <w:p w14:paraId="0087ADB0" w14:textId="77777777" w:rsidR="00092FD7" w:rsidRPr="00092FD7" w:rsidRDefault="00092FD7" w:rsidP="003D1EA3">
      <w:pPr>
        <w:spacing w:after="0" w:line="240" w:lineRule="auto"/>
        <w:rPr>
          <w:rFonts w:ascii="Arial" w:hAnsi="Arial" w:cs="Arial"/>
          <w:b/>
          <w:bCs/>
          <w:color w:val="00B0B9"/>
          <w:sz w:val="6"/>
          <w:szCs w:val="6"/>
        </w:rPr>
      </w:pPr>
    </w:p>
    <w:p w14:paraId="457AED1A" w14:textId="77777777" w:rsidR="003E4E90" w:rsidRDefault="003E4E90" w:rsidP="00071BD8">
      <w:pPr>
        <w:spacing w:after="0" w:line="240" w:lineRule="auto"/>
        <w:rPr>
          <w:rFonts w:ascii="Arial" w:hAnsi="Arial" w:cs="Arial"/>
        </w:rPr>
      </w:pPr>
    </w:p>
    <w:p w14:paraId="2583702B" w14:textId="3A9C40B6" w:rsidR="007B660C" w:rsidRPr="00F03C9E" w:rsidRDefault="00306B20" w:rsidP="007B660C">
      <w:pPr>
        <w:rPr>
          <w:rFonts w:ascii="Arial" w:hAnsi="Arial" w:cs="Arial"/>
          <w:color w:val="000000" w:themeColor="text1"/>
          <w:sz w:val="20"/>
          <w:szCs w:val="20"/>
        </w:rPr>
      </w:pPr>
      <w:r>
        <w:rPr>
          <w:rFonts w:ascii="Arial" w:hAnsi="Arial" w:cs="Arial"/>
          <w:lang w:eastAsia="en-GB"/>
        </w:rPr>
        <w:t>C</w:t>
      </w:r>
      <w:r w:rsidR="007B660C" w:rsidRPr="00410900">
        <w:rPr>
          <w:rFonts w:ascii="Arial" w:hAnsi="Arial" w:cs="Arial"/>
          <w:lang w:eastAsia="en-GB"/>
        </w:rPr>
        <w:t xml:space="preserve">ontact </w:t>
      </w:r>
      <w:r w:rsidR="00F03C9E">
        <w:rPr>
          <w:rFonts w:ascii="Arial" w:hAnsi="Arial" w:cs="Arial"/>
          <w:lang w:eastAsia="en-GB"/>
        </w:rPr>
        <w:t>the MLRA</w:t>
      </w:r>
      <w:r w:rsidR="007B660C" w:rsidRPr="00410900">
        <w:rPr>
          <w:rFonts w:ascii="Arial" w:hAnsi="Arial" w:cs="Arial"/>
          <w:lang w:eastAsia="en-GB"/>
        </w:rPr>
        <w:t xml:space="preserve"> </w:t>
      </w:r>
      <w:r>
        <w:rPr>
          <w:rFonts w:ascii="Arial" w:hAnsi="Arial" w:cs="Arial"/>
          <w:lang w:eastAsia="en-GB"/>
        </w:rPr>
        <w:t xml:space="preserve">for more information </w:t>
      </w:r>
      <w:r w:rsidR="009E6133">
        <w:rPr>
          <w:rFonts w:ascii="Arial" w:hAnsi="Arial" w:cs="Arial"/>
          <w:lang w:eastAsia="en-GB"/>
        </w:rPr>
        <w:t xml:space="preserve">on </w:t>
      </w:r>
      <w:r w:rsidR="007B660C" w:rsidRPr="00410900">
        <w:rPr>
          <w:rFonts w:ascii="Arial" w:hAnsi="Arial" w:cs="Arial"/>
          <w:lang w:eastAsia="en-GB"/>
        </w:rPr>
        <w:t xml:space="preserve">1800 571 966 </w:t>
      </w:r>
      <w:r w:rsidR="00CF5023">
        <w:rPr>
          <w:rFonts w:ascii="Arial" w:hAnsi="Arial" w:cs="Arial"/>
          <w:lang w:eastAsia="en-GB"/>
        </w:rPr>
        <w:t>or</w:t>
      </w:r>
      <w:r>
        <w:rPr>
          <w:rFonts w:ascii="Arial" w:hAnsi="Arial" w:cs="Arial"/>
          <w:lang w:eastAsia="en-GB"/>
        </w:rPr>
        <w:t xml:space="preserve"> </w:t>
      </w:r>
      <w:hyperlink r:id="rId14" w:history="1">
        <w:r w:rsidRPr="00937E67">
          <w:rPr>
            <w:rStyle w:val="Hyperlink"/>
            <w:rFonts w:ascii="Arial" w:hAnsi="Arial" w:cs="Arial"/>
            <w:lang w:eastAsia="en-GB"/>
          </w:rPr>
          <w:t>contactus@mineland.vic.gov.au</w:t>
        </w:r>
      </w:hyperlink>
      <w:r w:rsidR="009E6133">
        <w:rPr>
          <w:rStyle w:val="Hyperlink"/>
          <w:rFonts w:ascii="Arial" w:hAnsi="Arial" w:cs="Arial"/>
          <w:lang w:eastAsia="en-GB"/>
        </w:rPr>
        <w:t xml:space="preserve">  </w:t>
      </w:r>
    </w:p>
    <w:p w14:paraId="33DE60F6" w14:textId="34C2250B" w:rsidR="007B660C" w:rsidRDefault="007B660C" w:rsidP="007B660C"/>
    <w:p w14:paraId="51D91C81" w14:textId="550BB765" w:rsidR="00D97E6E" w:rsidRDefault="000536D9">
      <w:r w:rsidRPr="000536D9">
        <w:rPr>
          <w:noProof/>
        </w:rPr>
        <w:drawing>
          <wp:inline distT="0" distB="0" distL="0" distR="0" wp14:anchorId="71D4D3A1" wp14:editId="64F09DBD">
            <wp:extent cx="426295" cy="419100"/>
            <wp:effectExtent l="0" t="0" r="0" b="0"/>
            <wp:docPr id="8" name="Picture 8"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logo"/>
                    <pic:cNvPicPr/>
                  </pic:nvPicPr>
                  <pic:blipFill>
                    <a:blip r:embed="rId15"/>
                    <a:stretch>
                      <a:fillRect/>
                    </a:stretch>
                  </pic:blipFill>
                  <pic:spPr>
                    <a:xfrm>
                      <a:off x="0" y="0"/>
                      <a:ext cx="433960" cy="426635"/>
                    </a:xfrm>
                    <a:prstGeom prst="rect">
                      <a:avLst/>
                    </a:prstGeom>
                  </pic:spPr>
                </pic:pic>
              </a:graphicData>
            </a:graphic>
          </wp:inline>
        </w:drawing>
      </w:r>
      <w:r>
        <w:t xml:space="preserve"> @MLRAuthority    </w:t>
      </w:r>
      <w:r w:rsidRPr="000536D9">
        <w:rPr>
          <w:noProof/>
        </w:rPr>
        <w:drawing>
          <wp:inline distT="0" distB="0" distL="0" distR="0" wp14:anchorId="74770BF6" wp14:editId="229F460B">
            <wp:extent cx="391242" cy="381000"/>
            <wp:effectExtent l="0" t="0" r="8890" b="0"/>
            <wp:docPr id="9" name="Picture 9"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acebook logo"/>
                    <pic:cNvPicPr/>
                  </pic:nvPicPr>
                  <pic:blipFill>
                    <a:blip r:embed="rId16"/>
                    <a:stretch>
                      <a:fillRect/>
                    </a:stretch>
                  </pic:blipFill>
                  <pic:spPr>
                    <a:xfrm>
                      <a:off x="0" y="0"/>
                      <a:ext cx="400133" cy="389658"/>
                    </a:xfrm>
                    <a:prstGeom prst="rect">
                      <a:avLst/>
                    </a:prstGeom>
                  </pic:spPr>
                </pic:pic>
              </a:graphicData>
            </a:graphic>
          </wp:inline>
        </w:drawing>
      </w:r>
      <w:r>
        <w:t xml:space="preserve"> Facebook.com/MLRAVictoria   </w:t>
      </w:r>
      <w:r w:rsidRPr="000536D9">
        <w:rPr>
          <w:noProof/>
        </w:rPr>
        <w:drawing>
          <wp:inline distT="0" distB="0" distL="0" distR="0" wp14:anchorId="54C4E564" wp14:editId="56A212DA">
            <wp:extent cx="1104900" cy="267353"/>
            <wp:effectExtent l="0" t="0" r="0" b="0"/>
            <wp:docPr id="10" name="Picture 10"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YouTube logo"/>
                    <pic:cNvPicPr/>
                  </pic:nvPicPr>
                  <pic:blipFill>
                    <a:blip r:embed="rId17"/>
                    <a:stretch>
                      <a:fillRect/>
                    </a:stretch>
                  </pic:blipFill>
                  <pic:spPr>
                    <a:xfrm>
                      <a:off x="0" y="0"/>
                      <a:ext cx="1135063" cy="274651"/>
                    </a:xfrm>
                    <a:prstGeom prst="rect">
                      <a:avLst/>
                    </a:prstGeom>
                  </pic:spPr>
                </pic:pic>
              </a:graphicData>
            </a:graphic>
          </wp:inline>
        </w:drawing>
      </w:r>
      <w:r>
        <w:t xml:space="preserve"> MLRAuthority</w:t>
      </w:r>
    </w:p>
    <w:sectPr w:rsidR="00D97E6E" w:rsidSect="00D20B59">
      <w:headerReference w:type="default" r:id="rId18"/>
      <w:footerReference w:type="default" r:id="rId19"/>
      <w:headerReference w:type="first" r:id="rId20"/>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D9BD" w14:textId="77777777" w:rsidR="005E0AF3" w:rsidRDefault="005E0AF3" w:rsidP="00D12781">
      <w:pPr>
        <w:spacing w:after="0" w:line="240" w:lineRule="auto"/>
      </w:pPr>
      <w:r>
        <w:separator/>
      </w:r>
    </w:p>
  </w:endnote>
  <w:endnote w:type="continuationSeparator" w:id="0">
    <w:p w14:paraId="6ABDF99F" w14:textId="77777777" w:rsidR="005E0AF3" w:rsidRDefault="005E0AF3" w:rsidP="00D12781">
      <w:pPr>
        <w:spacing w:after="0" w:line="240" w:lineRule="auto"/>
      </w:pPr>
      <w:r>
        <w:continuationSeparator/>
      </w:r>
    </w:p>
  </w:endnote>
  <w:endnote w:type="continuationNotice" w:id="1">
    <w:p w14:paraId="43B4567E" w14:textId="77777777" w:rsidR="005E0AF3" w:rsidRDefault="005E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4F06" w14:textId="14592A5B" w:rsidR="00D97B00" w:rsidRDefault="00D97B00" w:rsidP="00087106">
    <w:pPr>
      <w:pStyle w:val="Footer"/>
    </w:pPr>
  </w:p>
  <w:p w14:paraId="37E05CDD" w14:textId="4178CD2D" w:rsidR="000536D9" w:rsidRDefault="008B7C8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4DD8" w14:textId="77777777" w:rsidR="005E0AF3" w:rsidRDefault="005E0AF3" w:rsidP="00D12781">
      <w:pPr>
        <w:spacing w:after="0" w:line="240" w:lineRule="auto"/>
      </w:pPr>
      <w:r>
        <w:separator/>
      </w:r>
    </w:p>
  </w:footnote>
  <w:footnote w:type="continuationSeparator" w:id="0">
    <w:p w14:paraId="615A098B" w14:textId="77777777" w:rsidR="005E0AF3" w:rsidRDefault="005E0AF3" w:rsidP="00D12781">
      <w:pPr>
        <w:spacing w:after="0" w:line="240" w:lineRule="auto"/>
      </w:pPr>
      <w:r>
        <w:continuationSeparator/>
      </w:r>
    </w:p>
  </w:footnote>
  <w:footnote w:type="continuationNotice" w:id="1">
    <w:p w14:paraId="19CA0A84" w14:textId="77777777" w:rsidR="005E0AF3" w:rsidRDefault="005E0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1F22" w14:textId="01556480" w:rsidR="00D12781" w:rsidRDefault="00D12781" w:rsidP="00D12781">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1A55" w14:textId="742412B0" w:rsidR="00D20B59" w:rsidRDefault="00D57B76" w:rsidP="002336D8">
    <w:pPr>
      <w:pStyle w:val="Header"/>
      <w:ind w:hanging="1418"/>
    </w:pPr>
    <w:r>
      <w:rPr>
        <w:noProof/>
      </w:rPr>
      <mc:AlternateContent>
        <mc:Choice Requires="wps">
          <w:drawing>
            <wp:anchor distT="0" distB="0" distL="114300" distR="114300" simplePos="0" relativeHeight="251655168" behindDoc="1" locked="0" layoutInCell="1" allowOverlap="1" wp14:anchorId="3546017F" wp14:editId="5E62E392">
              <wp:simplePos x="0" y="0"/>
              <wp:positionH relativeFrom="page">
                <wp:align>left</wp:align>
              </wp:positionH>
              <wp:positionV relativeFrom="paragraph">
                <wp:posOffset>0</wp:posOffset>
              </wp:positionV>
              <wp:extent cx="7553325" cy="102870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028700"/>
                      </a:xfrm>
                      <a:prstGeom prst="rect">
                        <a:avLst/>
                      </a:prstGeom>
                      <a:solidFill>
                        <a:srgbClr val="00B0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DA5FC" id="Rectangle 2" o:spid="_x0000_s1026" alt="&quot;&quot;" style="position:absolute;margin-left:0;margin-top:0;width:594.75pt;height:8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" fillcolor="#00b0b9" stroked="f" strokeweight="1pt">
              <w10:wrap anchorx="page"/>
            </v:rect>
          </w:pict>
        </mc:Fallback>
      </mc:AlternateContent>
    </w:r>
    <w:r w:rsidR="0072558F">
      <w:rPr>
        <w:noProof/>
      </w:rPr>
      <w:drawing>
        <wp:inline distT="0" distB="0" distL="0" distR="0" wp14:anchorId="670D1204" wp14:editId="12C14463">
          <wp:extent cx="1466850" cy="103830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835" cy="1062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4D4"/>
    <w:multiLevelType w:val="hybridMultilevel"/>
    <w:tmpl w:val="8B26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25819"/>
    <w:multiLevelType w:val="hybridMultilevel"/>
    <w:tmpl w:val="F26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42102"/>
    <w:multiLevelType w:val="hybridMultilevel"/>
    <w:tmpl w:val="1974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6475B0"/>
    <w:multiLevelType w:val="hybridMultilevel"/>
    <w:tmpl w:val="4620A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E5654"/>
    <w:multiLevelType w:val="hybridMultilevel"/>
    <w:tmpl w:val="5216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D2AA5"/>
    <w:multiLevelType w:val="hybridMultilevel"/>
    <w:tmpl w:val="8FA8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2052C"/>
    <w:multiLevelType w:val="hybridMultilevel"/>
    <w:tmpl w:val="76680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A80AE4"/>
    <w:multiLevelType w:val="hybridMultilevel"/>
    <w:tmpl w:val="0910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F06476"/>
    <w:multiLevelType w:val="hybridMultilevel"/>
    <w:tmpl w:val="BDC6ED54"/>
    <w:lvl w:ilvl="0" w:tplc="0DBC49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330D86"/>
    <w:multiLevelType w:val="hybridMultilevel"/>
    <w:tmpl w:val="950426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72546">
    <w:abstractNumId w:val="9"/>
  </w:num>
  <w:num w:numId="2" w16cid:durableId="368842677">
    <w:abstractNumId w:val="4"/>
  </w:num>
  <w:num w:numId="3" w16cid:durableId="14234522">
    <w:abstractNumId w:val="7"/>
  </w:num>
  <w:num w:numId="4" w16cid:durableId="800147538">
    <w:abstractNumId w:val="3"/>
  </w:num>
  <w:num w:numId="5" w16cid:durableId="1480732527">
    <w:abstractNumId w:val="0"/>
  </w:num>
  <w:num w:numId="6" w16cid:durableId="517086437">
    <w:abstractNumId w:val="2"/>
  </w:num>
  <w:num w:numId="7" w16cid:durableId="1495101640">
    <w:abstractNumId w:val="6"/>
  </w:num>
  <w:num w:numId="8" w16cid:durableId="32048905">
    <w:abstractNumId w:val="5"/>
  </w:num>
  <w:num w:numId="9" w16cid:durableId="1496872198">
    <w:abstractNumId w:val="8"/>
  </w:num>
  <w:num w:numId="10" w16cid:durableId="34302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81"/>
    <w:rsid w:val="00025EBF"/>
    <w:rsid w:val="0005344B"/>
    <w:rsid w:val="000536D9"/>
    <w:rsid w:val="000603E1"/>
    <w:rsid w:val="00071BD8"/>
    <w:rsid w:val="000756D7"/>
    <w:rsid w:val="00087106"/>
    <w:rsid w:val="00092FD7"/>
    <w:rsid w:val="00094464"/>
    <w:rsid w:val="00094EBA"/>
    <w:rsid w:val="000C5BDA"/>
    <w:rsid w:val="000D0A28"/>
    <w:rsid w:val="000D298A"/>
    <w:rsid w:val="001152D5"/>
    <w:rsid w:val="00124F24"/>
    <w:rsid w:val="00146B24"/>
    <w:rsid w:val="001528F1"/>
    <w:rsid w:val="00156A92"/>
    <w:rsid w:val="00164699"/>
    <w:rsid w:val="00167C2C"/>
    <w:rsid w:val="00193F7D"/>
    <w:rsid w:val="00195B43"/>
    <w:rsid w:val="001A6A1B"/>
    <w:rsid w:val="001C00DE"/>
    <w:rsid w:val="001D0AB7"/>
    <w:rsid w:val="001D282C"/>
    <w:rsid w:val="001E1B2A"/>
    <w:rsid w:val="001F3156"/>
    <w:rsid w:val="001F3A76"/>
    <w:rsid w:val="00205EE5"/>
    <w:rsid w:val="002115EF"/>
    <w:rsid w:val="002150EC"/>
    <w:rsid w:val="002216B9"/>
    <w:rsid w:val="002336D8"/>
    <w:rsid w:val="00234756"/>
    <w:rsid w:val="00244288"/>
    <w:rsid w:val="002576C0"/>
    <w:rsid w:val="0027793B"/>
    <w:rsid w:val="0027795C"/>
    <w:rsid w:val="00286C66"/>
    <w:rsid w:val="00295C86"/>
    <w:rsid w:val="00296ECB"/>
    <w:rsid w:val="002977D7"/>
    <w:rsid w:val="002A2E36"/>
    <w:rsid w:val="002A6CE3"/>
    <w:rsid w:val="002A7FD3"/>
    <w:rsid w:val="002B22B9"/>
    <w:rsid w:val="002E43D3"/>
    <w:rsid w:val="002F58B7"/>
    <w:rsid w:val="00305B42"/>
    <w:rsid w:val="00306B20"/>
    <w:rsid w:val="003325C0"/>
    <w:rsid w:val="0033636D"/>
    <w:rsid w:val="00346663"/>
    <w:rsid w:val="003469E2"/>
    <w:rsid w:val="0037295B"/>
    <w:rsid w:val="00373A24"/>
    <w:rsid w:val="00380B3B"/>
    <w:rsid w:val="003810F0"/>
    <w:rsid w:val="00384A62"/>
    <w:rsid w:val="00386373"/>
    <w:rsid w:val="00387D1C"/>
    <w:rsid w:val="0039328B"/>
    <w:rsid w:val="003944B1"/>
    <w:rsid w:val="003A18F2"/>
    <w:rsid w:val="003B4880"/>
    <w:rsid w:val="003C1104"/>
    <w:rsid w:val="003D1EA3"/>
    <w:rsid w:val="003D7BE8"/>
    <w:rsid w:val="003E4E90"/>
    <w:rsid w:val="003F2889"/>
    <w:rsid w:val="003F5456"/>
    <w:rsid w:val="003F6860"/>
    <w:rsid w:val="00406A8E"/>
    <w:rsid w:val="00410900"/>
    <w:rsid w:val="0041615D"/>
    <w:rsid w:val="0041637A"/>
    <w:rsid w:val="00435330"/>
    <w:rsid w:val="00443A94"/>
    <w:rsid w:val="00450FA4"/>
    <w:rsid w:val="00451B4E"/>
    <w:rsid w:val="00490B0E"/>
    <w:rsid w:val="004A4FE1"/>
    <w:rsid w:val="004B2446"/>
    <w:rsid w:val="004B4E8D"/>
    <w:rsid w:val="004D4E7D"/>
    <w:rsid w:val="004F5C1A"/>
    <w:rsid w:val="00507339"/>
    <w:rsid w:val="0051629A"/>
    <w:rsid w:val="00555C72"/>
    <w:rsid w:val="00587C32"/>
    <w:rsid w:val="005C0E38"/>
    <w:rsid w:val="005C692F"/>
    <w:rsid w:val="005C780F"/>
    <w:rsid w:val="005C7FB0"/>
    <w:rsid w:val="005E0AF3"/>
    <w:rsid w:val="005E13CC"/>
    <w:rsid w:val="005F369C"/>
    <w:rsid w:val="00601640"/>
    <w:rsid w:val="00601FC8"/>
    <w:rsid w:val="00624F5C"/>
    <w:rsid w:val="00633485"/>
    <w:rsid w:val="00634530"/>
    <w:rsid w:val="00645809"/>
    <w:rsid w:val="0065130E"/>
    <w:rsid w:val="006521C6"/>
    <w:rsid w:val="006531C0"/>
    <w:rsid w:val="00654F14"/>
    <w:rsid w:val="00661BD5"/>
    <w:rsid w:val="00690117"/>
    <w:rsid w:val="00694E1A"/>
    <w:rsid w:val="006B5143"/>
    <w:rsid w:val="006C25B0"/>
    <w:rsid w:val="00702779"/>
    <w:rsid w:val="007027AE"/>
    <w:rsid w:val="00710F99"/>
    <w:rsid w:val="00714602"/>
    <w:rsid w:val="00721990"/>
    <w:rsid w:val="00723B34"/>
    <w:rsid w:val="0072558F"/>
    <w:rsid w:val="00725A22"/>
    <w:rsid w:val="0074669C"/>
    <w:rsid w:val="00762B7C"/>
    <w:rsid w:val="0078040E"/>
    <w:rsid w:val="00783669"/>
    <w:rsid w:val="00793024"/>
    <w:rsid w:val="00793809"/>
    <w:rsid w:val="007964A5"/>
    <w:rsid w:val="007A54E4"/>
    <w:rsid w:val="007B660C"/>
    <w:rsid w:val="007B6886"/>
    <w:rsid w:val="007C3BF3"/>
    <w:rsid w:val="007C7B2E"/>
    <w:rsid w:val="007E75C7"/>
    <w:rsid w:val="007F5A3C"/>
    <w:rsid w:val="00842C0A"/>
    <w:rsid w:val="00844AE3"/>
    <w:rsid w:val="00851006"/>
    <w:rsid w:val="008511B5"/>
    <w:rsid w:val="00852B44"/>
    <w:rsid w:val="00866709"/>
    <w:rsid w:val="0086742F"/>
    <w:rsid w:val="008B345A"/>
    <w:rsid w:val="008B7C84"/>
    <w:rsid w:val="008C28AF"/>
    <w:rsid w:val="00904044"/>
    <w:rsid w:val="00913095"/>
    <w:rsid w:val="00920E23"/>
    <w:rsid w:val="00931A62"/>
    <w:rsid w:val="009332DE"/>
    <w:rsid w:val="00946846"/>
    <w:rsid w:val="00964F5B"/>
    <w:rsid w:val="009655AE"/>
    <w:rsid w:val="00986C4B"/>
    <w:rsid w:val="009E450F"/>
    <w:rsid w:val="009E5585"/>
    <w:rsid w:val="009E6133"/>
    <w:rsid w:val="009F7793"/>
    <w:rsid w:val="00A11936"/>
    <w:rsid w:val="00A15AE7"/>
    <w:rsid w:val="00A35468"/>
    <w:rsid w:val="00A365E1"/>
    <w:rsid w:val="00A415EB"/>
    <w:rsid w:val="00A460CF"/>
    <w:rsid w:val="00A52417"/>
    <w:rsid w:val="00A52424"/>
    <w:rsid w:val="00A5330E"/>
    <w:rsid w:val="00A60C1F"/>
    <w:rsid w:val="00A67A4C"/>
    <w:rsid w:val="00A9459E"/>
    <w:rsid w:val="00A96721"/>
    <w:rsid w:val="00AA27EB"/>
    <w:rsid w:val="00AA57D4"/>
    <w:rsid w:val="00B0105B"/>
    <w:rsid w:val="00B17FCD"/>
    <w:rsid w:val="00B2708F"/>
    <w:rsid w:val="00B33527"/>
    <w:rsid w:val="00B42D47"/>
    <w:rsid w:val="00B547D7"/>
    <w:rsid w:val="00B55B4D"/>
    <w:rsid w:val="00B57B38"/>
    <w:rsid w:val="00B6232D"/>
    <w:rsid w:val="00B637F5"/>
    <w:rsid w:val="00B74EDD"/>
    <w:rsid w:val="00B8531D"/>
    <w:rsid w:val="00BC30EE"/>
    <w:rsid w:val="00BC40E3"/>
    <w:rsid w:val="00BC4430"/>
    <w:rsid w:val="00BF0659"/>
    <w:rsid w:val="00BF6FDF"/>
    <w:rsid w:val="00C04C96"/>
    <w:rsid w:val="00C22F9D"/>
    <w:rsid w:val="00C26E57"/>
    <w:rsid w:val="00C4348C"/>
    <w:rsid w:val="00C459C6"/>
    <w:rsid w:val="00C475F7"/>
    <w:rsid w:val="00C5677B"/>
    <w:rsid w:val="00C7027E"/>
    <w:rsid w:val="00C74107"/>
    <w:rsid w:val="00CA1D9C"/>
    <w:rsid w:val="00CB067B"/>
    <w:rsid w:val="00CB56E5"/>
    <w:rsid w:val="00CC26EB"/>
    <w:rsid w:val="00CF26FB"/>
    <w:rsid w:val="00CF28F5"/>
    <w:rsid w:val="00CF5023"/>
    <w:rsid w:val="00CF6775"/>
    <w:rsid w:val="00D02299"/>
    <w:rsid w:val="00D0694E"/>
    <w:rsid w:val="00D12781"/>
    <w:rsid w:val="00D20B59"/>
    <w:rsid w:val="00D26A97"/>
    <w:rsid w:val="00D279BF"/>
    <w:rsid w:val="00D36258"/>
    <w:rsid w:val="00D569B1"/>
    <w:rsid w:val="00D57B76"/>
    <w:rsid w:val="00D61BCF"/>
    <w:rsid w:val="00D6584B"/>
    <w:rsid w:val="00D739FB"/>
    <w:rsid w:val="00D86936"/>
    <w:rsid w:val="00D9013B"/>
    <w:rsid w:val="00D97B00"/>
    <w:rsid w:val="00D97E6E"/>
    <w:rsid w:val="00DC49AC"/>
    <w:rsid w:val="00DC6223"/>
    <w:rsid w:val="00DE2B87"/>
    <w:rsid w:val="00DF3CD9"/>
    <w:rsid w:val="00E136DB"/>
    <w:rsid w:val="00E46804"/>
    <w:rsid w:val="00E57AFC"/>
    <w:rsid w:val="00E621F2"/>
    <w:rsid w:val="00E74816"/>
    <w:rsid w:val="00E83666"/>
    <w:rsid w:val="00E878CA"/>
    <w:rsid w:val="00E90533"/>
    <w:rsid w:val="00E9625B"/>
    <w:rsid w:val="00EA138B"/>
    <w:rsid w:val="00EC1F77"/>
    <w:rsid w:val="00EC276A"/>
    <w:rsid w:val="00ED0CE7"/>
    <w:rsid w:val="00ED1B34"/>
    <w:rsid w:val="00EE22A9"/>
    <w:rsid w:val="00EF1E04"/>
    <w:rsid w:val="00F03C9E"/>
    <w:rsid w:val="00F12DA7"/>
    <w:rsid w:val="00F37605"/>
    <w:rsid w:val="00F52EF7"/>
    <w:rsid w:val="00F73706"/>
    <w:rsid w:val="00F8513E"/>
    <w:rsid w:val="00FC0C93"/>
    <w:rsid w:val="00FD03C4"/>
    <w:rsid w:val="00FD78AB"/>
    <w:rsid w:val="00FF0EDA"/>
    <w:rsid w:val="00FF4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33C6"/>
  <w15:chartTrackingRefBased/>
  <w15:docId w15:val="{62C142F2-2458-4930-A689-EB9CDB99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97E6E"/>
    <w:pPr>
      <w:spacing w:after="225" w:line="276" w:lineRule="auto"/>
      <w:ind w:right="57"/>
      <w:outlineLvl w:val="0"/>
    </w:pPr>
    <w:rPr>
      <w:rFonts w:ascii="Arial" w:eastAsia="Times New Roman" w:hAnsi="Arial" w:cs="Arial"/>
      <w:color w:val="4472C4" w:themeColor="accent1"/>
      <w:sz w:val="28"/>
      <w:szCs w:val="28"/>
      <w:lang w:eastAsia="en-GB"/>
    </w:rPr>
  </w:style>
  <w:style w:type="paragraph" w:styleId="Heading2">
    <w:name w:val="heading 2"/>
    <w:next w:val="Normal"/>
    <w:link w:val="Heading2Char"/>
    <w:uiPriority w:val="9"/>
    <w:unhideWhenUsed/>
    <w:qFormat/>
    <w:rsid w:val="00D97E6E"/>
    <w:pPr>
      <w:spacing w:after="225" w:line="276" w:lineRule="auto"/>
      <w:ind w:right="57"/>
      <w:outlineLvl w:val="1"/>
    </w:pPr>
    <w:rPr>
      <w:rFonts w:ascii="Arial" w:eastAsia="Times New Roman" w:hAnsi="Arial" w:cs="Arial"/>
      <w:color w:val="5B9BD5" w:themeColor="accent5"/>
      <w:sz w:val="20"/>
      <w:szCs w:val="20"/>
      <w:lang w:eastAsia="en-GB"/>
    </w:rPr>
  </w:style>
  <w:style w:type="paragraph" w:styleId="Heading3">
    <w:name w:val="heading 3"/>
    <w:basedOn w:val="Normal"/>
    <w:next w:val="Normal"/>
    <w:link w:val="Heading3Char"/>
    <w:uiPriority w:val="9"/>
    <w:unhideWhenUsed/>
    <w:qFormat/>
    <w:rsid w:val="00D26A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781"/>
  </w:style>
  <w:style w:type="paragraph" w:styleId="Footer">
    <w:name w:val="footer"/>
    <w:basedOn w:val="Normal"/>
    <w:link w:val="FooterChar"/>
    <w:uiPriority w:val="99"/>
    <w:unhideWhenUsed/>
    <w:rsid w:val="00D1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781"/>
  </w:style>
  <w:style w:type="character" w:customStyle="1" w:styleId="Heading1Char">
    <w:name w:val="Heading 1 Char"/>
    <w:basedOn w:val="DefaultParagraphFont"/>
    <w:link w:val="Heading1"/>
    <w:uiPriority w:val="9"/>
    <w:rsid w:val="00D97E6E"/>
    <w:rPr>
      <w:rFonts w:ascii="Arial" w:eastAsia="Times New Roman" w:hAnsi="Arial" w:cs="Arial"/>
      <w:color w:val="4472C4" w:themeColor="accent1"/>
      <w:sz w:val="28"/>
      <w:szCs w:val="28"/>
      <w:lang w:eastAsia="en-GB"/>
    </w:rPr>
  </w:style>
  <w:style w:type="character" w:customStyle="1" w:styleId="Heading2Char">
    <w:name w:val="Heading 2 Char"/>
    <w:basedOn w:val="DefaultParagraphFont"/>
    <w:link w:val="Heading2"/>
    <w:uiPriority w:val="9"/>
    <w:rsid w:val="00D97E6E"/>
    <w:rPr>
      <w:rFonts w:ascii="Arial" w:eastAsia="Times New Roman" w:hAnsi="Arial" w:cs="Arial"/>
      <w:color w:val="5B9BD5" w:themeColor="accent5"/>
      <w:sz w:val="20"/>
      <w:szCs w:val="20"/>
      <w:lang w:eastAsia="en-GB"/>
    </w:rPr>
  </w:style>
  <w:style w:type="character" w:styleId="Hyperlink">
    <w:name w:val="Hyperlink"/>
    <w:basedOn w:val="DefaultParagraphFont"/>
    <w:uiPriority w:val="99"/>
    <w:unhideWhenUsed/>
    <w:rsid w:val="007B660C"/>
    <w:rPr>
      <w:color w:val="0563C1" w:themeColor="hyperlink"/>
      <w:u w:val="single"/>
    </w:rPr>
  </w:style>
  <w:style w:type="character" w:styleId="UnresolvedMention">
    <w:name w:val="Unresolved Mention"/>
    <w:basedOn w:val="DefaultParagraphFont"/>
    <w:uiPriority w:val="99"/>
    <w:semiHidden/>
    <w:unhideWhenUsed/>
    <w:rsid w:val="007B660C"/>
    <w:rPr>
      <w:color w:val="605E5C"/>
      <w:shd w:val="clear" w:color="auto" w:fill="E1DFDD"/>
    </w:rPr>
  </w:style>
  <w:style w:type="paragraph" w:styleId="CommentText">
    <w:name w:val="annotation text"/>
    <w:basedOn w:val="Normal"/>
    <w:link w:val="CommentTextChar"/>
    <w:uiPriority w:val="99"/>
    <w:unhideWhenUsed/>
    <w:rsid w:val="009E450F"/>
    <w:pPr>
      <w:spacing w:line="276" w:lineRule="auto"/>
    </w:pPr>
    <w:rPr>
      <w:rFonts w:ascii="Arial" w:eastAsia="Times New Roman" w:hAnsi="Arial" w:cs="Arial"/>
      <w:color w:val="404040" w:themeColor="text1" w:themeTint="BF"/>
      <w:sz w:val="20"/>
      <w:szCs w:val="20"/>
      <w:lang w:eastAsia="en-GB"/>
    </w:rPr>
  </w:style>
  <w:style w:type="character" w:customStyle="1" w:styleId="CommentTextChar">
    <w:name w:val="Comment Text Char"/>
    <w:basedOn w:val="DefaultParagraphFont"/>
    <w:link w:val="CommentText"/>
    <w:uiPriority w:val="99"/>
    <w:rsid w:val="009E450F"/>
    <w:rPr>
      <w:rFonts w:ascii="Arial" w:eastAsia="Times New Roman" w:hAnsi="Arial" w:cs="Arial"/>
      <w:color w:val="404040" w:themeColor="text1" w:themeTint="BF"/>
      <w:sz w:val="20"/>
      <w:szCs w:val="20"/>
      <w:lang w:eastAsia="en-GB"/>
    </w:rPr>
  </w:style>
  <w:style w:type="character" w:customStyle="1" w:styleId="normaltextrun">
    <w:name w:val="normaltextrun"/>
    <w:basedOn w:val="DefaultParagraphFont"/>
    <w:rsid w:val="009E450F"/>
  </w:style>
  <w:style w:type="paragraph" w:customStyle="1" w:styleId="paragraph">
    <w:name w:val="paragraph"/>
    <w:basedOn w:val="Normal"/>
    <w:rsid w:val="009E45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9E450F"/>
  </w:style>
  <w:style w:type="character" w:customStyle="1" w:styleId="findhit">
    <w:name w:val="findhit"/>
    <w:basedOn w:val="DefaultParagraphFont"/>
    <w:rsid w:val="007C7B2E"/>
  </w:style>
  <w:style w:type="paragraph" w:styleId="Revision">
    <w:name w:val="Revision"/>
    <w:hidden/>
    <w:uiPriority w:val="99"/>
    <w:semiHidden/>
    <w:rsid w:val="008B345A"/>
    <w:pPr>
      <w:spacing w:after="0" w:line="240" w:lineRule="auto"/>
    </w:pPr>
  </w:style>
  <w:style w:type="character" w:styleId="CommentReference">
    <w:name w:val="annotation reference"/>
    <w:basedOn w:val="DefaultParagraphFont"/>
    <w:uiPriority w:val="99"/>
    <w:semiHidden/>
    <w:unhideWhenUsed/>
    <w:rsid w:val="008B345A"/>
    <w:rPr>
      <w:sz w:val="16"/>
      <w:szCs w:val="16"/>
    </w:rPr>
  </w:style>
  <w:style w:type="paragraph" w:styleId="CommentSubject">
    <w:name w:val="annotation subject"/>
    <w:basedOn w:val="CommentText"/>
    <w:next w:val="CommentText"/>
    <w:link w:val="CommentSubjectChar"/>
    <w:uiPriority w:val="99"/>
    <w:semiHidden/>
    <w:unhideWhenUsed/>
    <w:rsid w:val="008B345A"/>
    <w:pPr>
      <w:spacing w:line="240" w:lineRule="auto"/>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B345A"/>
    <w:rPr>
      <w:rFonts w:ascii="Arial" w:eastAsia="Times New Roman" w:hAnsi="Arial" w:cs="Arial"/>
      <w:b/>
      <w:bCs/>
      <w:color w:val="404040" w:themeColor="text1" w:themeTint="BF"/>
      <w:sz w:val="20"/>
      <w:szCs w:val="20"/>
      <w:lang w:eastAsia="en-GB"/>
    </w:rPr>
  </w:style>
  <w:style w:type="character" w:styleId="Mention">
    <w:name w:val="Mention"/>
    <w:basedOn w:val="DefaultParagraphFont"/>
    <w:uiPriority w:val="99"/>
    <w:unhideWhenUsed/>
    <w:rsid w:val="008B345A"/>
    <w:rPr>
      <w:color w:val="2B579A"/>
      <w:shd w:val="clear" w:color="auto" w:fill="E1DFDD"/>
    </w:rPr>
  </w:style>
  <w:style w:type="paragraph" w:styleId="ListParagraph">
    <w:name w:val="List Paragraph"/>
    <w:basedOn w:val="Normal"/>
    <w:uiPriority w:val="34"/>
    <w:qFormat/>
    <w:rsid w:val="007964A5"/>
    <w:pPr>
      <w:spacing w:after="0" w:line="240" w:lineRule="auto"/>
      <w:ind w:left="720"/>
      <w:contextualSpacing/>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D26A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ineland.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tactus@mineland.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2D181E6-9EFF-4849-B4B7-3D03400179C9}">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customXml/itemProps2.xml><?xml version="1.0" encoding="utf-8"?>
<ds:datastoreItem xmlns:ds="http://schemas.openxmlformats.org/officeDocument/2006/customXml" ds:itemID="{7D9232D8-1BB3-4BA8-A2D7-F997A319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50C11-AB1A-491A-9035-B65214EBCC4F}">
  <ds:schemaRefs>
    <ds:schemaRef ds:uri="http://schemas.microsoft.com/sharepoint/v3/contenttype/forms"/>
  </ds:schemaRefs>
</ds:datastoreItem>
</file>

<file path=customXml/itemProps4.xml><?xml version="1.0" encoding="utf-8"?>
<ds:datastoreItem xmlns:ds="http://schemas.openxmlformats.org/officeDocument/2006/customXml" ds:itemID="{03154357-E4E9-4D26-A20B-A895507A669F}">
  <ds:schemaRefs>
    <ds:schemaRef ds:uri="Microsoft.SharePoint.Taxonomy.ContentTypeSync"/>
  </ds:schemaRefs>
</ds:datastoreItem>
</file>

<file path=customXml/itemProps5.xml><?xml version="1.0" encoding="utf-8"?>
<ds:datastoreItem xmlns:ds="http://schemas.openxmlformats.org/officeDocument/2006/customXml" ds:itemID="{7A37E928-DA42-4342-893F-4DAA8F8DD8C0}">
  <ds:schemaRefs>
    <ds:schemaRef ds:uri="http://schemas.openxmlformats.org/officeDocument/2006/bibliography"/>
  </ds:schemaRefs>
</ds:datastoreItem>
</file>

<file path=customXml/itemProps6.xml><?xml version="1.0" encoding="utf-8"?>
<ds:datastoreItem xmlns:ds="http://schemas.openxmlformats.org/officeDocument/2006/customXml" ds:itemID="{FD1804A3-C7FA-4901-8A88-817F51EF28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516</Words>
  <Characters>2943</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 Fitzclarence (DEECA)</dc:creator>
  <cp:keywords/>
  <dc:description/>
  <cp:lastModifiedBy>Ruth J Fitzclarence (DEECA)</cp:lastModifiedBy>
  <cp:revision>6</cp:revision>
  <cp:lastPrinted>2024-05-28T05:29:00Z</cp:lastPrinted>
  <dcterms:created xsi:type="dcterms:W3CDTF">2024-07-12T02:00:00Z</dcterms:created>
  <dcterms:modified xsi:type="dcterms:W3CDTF">2024-07-12T02:06:00Z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0x01010081B07B0CDE7AB4458D304123F3427040</vt:lpwstr>
  </property>
  <property fmtid="{D5CDD505-2E9C-101B-9397-08002B2CF9AE}" pid="3" name="MediaServiceImageTags">
    <vt:lpwstr/>
  </property>
  <property fmtid="{D5CDD505-2E9C-101B-9397-08002B2CF9AE}" pid="4" name="MSIP_Label_4257e2ab-f512-40e2-9c9a-c64247360765_Enabled">
    <vt:lpwstr>true</vt:lpwstr>
  </property>
  <property fmtid="{D5CDD505-2E9C-101B-9397-08002B2CF9AE}" pid="5" name="MSIP_Label_4257e2ab-f512-40e2-9c9a-c64247360765_SetDate">
    <vt:lpwstr>2024-07-12T01:59:28Z</vt:lpwstr>
  </property>
  <property fmtid="{D5CDD505-2E9C-101B-9397-08002B2CF9AE}" pid="6" name="MSIP_Label_4257e2ab-f512-40e2-9c9a-c64247360765_Method">
    <vt:lpwstr>Privileged</vt:lpwstr>
  </property>
  <property fmtid="{D5CDD505-2E9C-101B-9397-08002B2CF9AE}" pid="7" name="MSIP_Label_4257e2ab-f512-40e2-9c9a-c64247360765_Name">
    <vt:lpwstr>OFFICIAL</vt:lpwstr>
  </property>
  <property fmtid="{D5CDD505-2E9C-101B-9397-08002B2CF9AE}" pid="8" name="MSIP_Label_4257e2ab-f512-40e2-9c9a-c64247360765_SiteId">
    <vt:lpwstr>e8bdd6f7-fc18-4e48-a554-7f547927223b</vt:lpwstr>
  </property>
  <property fmtid="{D5CDD505-2E9C-101B-9397-08002B2CF9AE}" pid="9" name="MSIP_Label_4257e2ab-f512-40e2-9c9a-c64247360765_ActionId">
    <vt:lpwstr>8c4ad7ea-4c5a-4d25-9d58-f836934400c0</vt:lpwstr>
  </property>
  <property fmtid="{D5CDD505-2E9C-101B-9397-08002B2CF9AE}" pid="10" name="MSIP_Label_4257e2ab-f512-40e2-9c9a-c64247360765_ContentBits">
    <vt:lpwstr>2</vt:lpwstr>
  </property>
</Properties>
</file>