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1F22" w14:textId="64BC18BF" w:rsidR="00976D78" w:rsidRDefault="00AF4893">
      <w:pPr>
        <w:rPr>
          <w:b/>
        </w:rPr>
      </w:pPr>
      <w:r>
        <w:rPr>
          <w:b/>
        </w:rPr>
        <w:t>General</w:t>
      </w:r>
    </w:p>
    <w:p w14:paraId="27FF6B5D" w14:textId="27DB2431" w:rsidR="00AF4893" w:rsidRPr="00AF4893" w:rsidRDefault="001D5B84" w:rsidP="00AF4893">
      <w:pPr>
        <w:pStyle w:val="ListParagraph"/>
        <w:numPr>
          <w:ilvl w:val="0"/>
          <w:numId w:val="1"/>
        </w:numPr>
      </w:pPr>
      <w:r>
        <w:t>A</w:t>
      </w:r>
      <w:r w:rsidR="00AF4893" w:rsidRPr="00AF4893">
        <w:t xml:space="preserve">ll appendices listed in the table of contents </w:t>
      </w:r>
      <w:r w:rsidR="00A84EE1">
        <w:t>or</w:t>
      </w:r>
      <w:r w:rsidR="00A84EE1" w:rsidRPr="00AF4893">
        <w:t xml:space="preserve"> </w:t>
      </w:r>
      <w:r w:rsidR="00AF4893" w:rsidRPr="00AF4893">
        <w:t>directly reference</w:t>
      </w:r>
      <w:r w:rsidR="008976A9">
        <w:t>d</w:t>
      </w:r>
      <w:r w:rsidR="00AF4893" w:rsidRPr="00AF4893">
        <w:t xml:space="preserve"> in the body of the plan</w:t>
      </w:r>
      <w:r>
        <w:t xml:space="preserve"> </w:t>
      </w:r>
      <w:proofErr w:type="gramStart"/>
      <w:r>
        <w:t>are considered to be</w:t>
      </w:r>
      <w:proofErr w:type="gramEnd"/>
      <w:r>
        <w:t xml:space="preserve"> part of the work plan</w:t>
      </w:r>
      <w:r w:rsidR="00AF4893" w:rsidRPr="00AF4893">
        <w:t>.</w:t>
      </w:r>
    </w:p>
    <w:p w14:paraId="71AEEAB1" w14:textId="77777777" w:rsidR="003C63E9" w:rsidRDefault="00976D78">
      <w:pPr>
        <w:rPr>
          <w:b/>
        </w:rPr>
      </w:pPr>
      <w:r>
        <w:rPr>
          <w:b/>
        </w:rPr>
        <w:t>I</w:t>
      </w:r>
      <w:r w:rsidR="003C63E9">
        <w:rPr>
          <w:b/>
        </w:rPr>
        <w:t>ndependent Technical Review</w:t>
      </w:r>
      <w:r w:rsidR="00825871">
        <w:rPr>
          <w:b/>
        </w:rPr>
        <w:t xml:space="preserve"> Panel</w:t>
      </w:r>
    </w:p>
    <w:p w14:paraId="4C4ED836" w14:textId="23945F33" w:rsidR="00B40CE9" w:rsidRDefault="00765602" w:rsidP="008A0075">
      <w:pPr>
        <w:pStyle w:val="ListParagraph"/>
        <w:numPr>
          <w:ilvl w:val="0"/>
          <w:numId w:val="1"/>
        </w:numPr>
      </w:pPr>
      <w:r>
        <w:t>The function of the I</w:t>
      </w:r>
      <w:r w:rsidR="00BE7E01">
        <w:t>ndepe</w:t>
      </w:r>
      <w:r w:rsidR="002C21B5">
        <w:t>ndent Technical Review (ITR)</w:t>
      </w:r>
      <w:r>
        <w:t xml:space="preserve"> Panel is to provide independent review of critical project documents. The scope of the role is set out in the </w:t>
      </w:r>
      <w:r w:rsidRPr="00B40CE9">
        <w:rPr>
          <w:i/>
        </w:rPr>
        <w:t>Stockman Base Metals Project Independent Technical Review Panel Terms of Reference 2018-2019</w:t>
      </w:r>
      <w:r w:rsidRPr="00A2784A">
        <w:t xml:space="preserve"> (ToR)</w:t>
      </w:r>
      <w:r>
        <w:t xml:space="preserve">. </w:t>
      </w:r>
    </w:p>
    <w:p w14:paraId="03D502FB" w14:textId="0F1A066B" w:rsidR="00765602" w:rsidRDefault="002C21B5" w:rsidP="00296BA0">
      <w:pPr>
        <w:pStyle w:val="ListParagraph"/>
        <w:numPr>
          <w:ilvl w:val="0"/>
          <w:numId w:val="1"/>
        </w:numPr>
      </w:pPr>
      <w:r>
        <w:t>The ToR can be updated as required</w:t>
      </w:r>
      <w:r w:rsidR="0057506C">
        <w:t xml:space="preserve"> by the ITR</w:t>
      </w:r>
      <w:r>
        <w:t>. I</w:t>
      </w:r>
      <w:r w:rsidR="00765602">
        <w:t>f changes are proposed, the Licensee must provide a copy to the Director, Statutory Authorisations for approval</w:t>
      </w:r>
      <w:r>
        <w:t xml:space="preserve"> prior to any changes taking effect</w:t>
      </w:r>
      <w:r w:rsidR="00765602">
        <w:t xml:space="preserve">. The ToR </w:t>
      </w:r>
      <w:r w:rsidR="007F4155">
        <w:t>must</w:t>
      </w:r>
      <w:r w:rsidR="00765602">
        <w:t xml:space="preserve"> </w:t>
      </w:r>
      <w:r w:rsidR="0057506C">
        <w:t xml:space="preserve">not be amended in a manner inconsistent </w:t>
      </w:r>
      <w:r w:rsidR="00765602">
        <w:t>with requirements set out in the Section 4.11 of the Minister</w:t>
      </w:r>
      <w:r>
        <w:t xml:space="preserve"> for Planning’s 2014 </w:t>
      </w:r>
      <w:r w:rsidR="00765602">
        <w:t>Assessment of the Stockman Base Metals Project</w:t>
      </w:r>
      <w:r>
        <w:t xml:space="preserve"> under the </w:t>
      </w:r>
      <w:r w:rsidRPr="00700182">
        <w:rPr>
          <w:i/>
        </w:rPr>
        <w:t>Environment Effects Act 1978</w:t>
      </w:r>
      <w:r>
        <w:rPr>
          <w:i/>
        </w:rPr>
        <w:t xml:space="preserve"> </w:t>
      </w:r>
      <w:r w:rsidRPr="00296BA0">
        <w:t>(the Minister’s Assessment)</w:t>
      </w:r>
      <w:r w:rsidR="00765602">
        <w:t>.</w:t>
      </w:r>
    </w:p>
    <w:p w14:paraId="2978C052" w14:textId="0F054E54" w:rsidR="00B40CE9" w:rsidRDefault="008A51CC" w:rsidP="00A41EDC">
      <w:pPr>
        <w:pStyle w:val="ListParagraph"/>
        <w:numPr>
          <w:ilvl w:val="0"/>
          <w:numId w:val="1"/>
        </w:numPr>
      </w:pPr>
      <w:r>
        <w:t>T</w:t>
      </w:r>
      <w:r w:rsidRPr="00060E7B">
        <w:t xml:space="preserve">he </w:t>
      </w:r>
      <w:r w:rsidR="00976D78" w:rsidRPr="00060E7B">
        <w:t xml:space="preserve">Licensee is responsible for the appointment </w:t>
      </w:r>
      <w:r w:rsidR="00951549" w:rsidRPr="00060E7B">
        <w:t xml:space="preserve">and remuneration </w:t>
      </w:r>
      <w:r w:rsidR="00976D78" w:rsidRPr="00060E7B">
        <w:t xml:space="preserve">of </w:t>
      </w:r>
      <w:r w:rsidR="00951549" w:rsidRPr="00060E7B">
        <w:t xml:space="preserve">the </w:t>
      </w:r>
      <w:r w:rsidR="00976D78" w:rsidRPr="00060E7B">
        <w:t xml:space="preserve">ITR Panel. </w:t>
      </w:r>
      <w:r w:rsidR="00951549" w:rsidRPr="00060E7B">
        <w:t xml:space="preserve"> </w:t>
      </w:r>
    </w:p>
    <w:p w14:paraId="43E3EF9A" w14:textId="28788960" w:rsidR="00976D78" w:rsidRDefault="00B40CE9" w:rsidP="00296BA0">
      <w:pPr>
        <w:pStyle w:val="ListParagraph"/>
        <w:numPr>
          <w:ilvl w:val="0"/>
          <w:numId w:val="1"/>
        </w:numPr>
      </w:pPr>
      <w:r>
        <w:t>The Licensee must inform the Department with</w:t>
      </w:r>
      <w:r w:rsidR="002C21B5">
        <w:t>in</w:t>
      </w:r>
      <w:r>
        <w:t xml:space="preserve"> 14 day</w:t>
      </w:r>
      <w:r w:rsidR="002C21B5">
        <w:t>s</w:t>
      </w:r>
      <w:r>
        <w:t xml:space="preserve"> of </w:t>
      </w:r>
      <w:r w:rsidR="002C21B5">
        <w:t xml:space="preserve">the </w:t>
      </w:r>
      <w:r>
        <w:t xml:space="preserve">resignation of any member of the ITR. Prior to the appointment of new member/s, </w:t>
      </w:r>
      <w:r w:rsidR="00951549" w:rsidRPr="00060E7B">
        <w:t>candidate</w:t>
      </w:r>
      <w:r>
        <w:t>s</w:t>
      </w:r>
      <w:r w:rsidR="00951549" w:rsidRPr="00060E7B">
        <w:t xml:space="preserve"> must be </w:t>
      </w:r>
      <w:r w:rsidR="008643B2" w:rsidRPr="00060E7B">
        <w:t>endorsed</w:t>
      </w:r>
      <w:r w:rsidR="00951549" w:rsidRPr="00060E7B">
        <w:t xml:space="preserve"> by the </w:t>
      </w:r>
      <w:r w:rsidR="008976A9" w:rsidRPr="00060E7B">
        <w:t>Chief Inspector</w:t>
      </w:r>
      <w:r w:rsidR="00976D78" w:rsidRPr="00060E7B">
        <w:t>.</w:t>
      </w:r>
      <w:r w:rsidR="00060E7B" w:rsidRPr="00060E7B">
        <w:t xml:space="preserve"> </w:t>
      </w:r>
      <w:r w:rsidR="00976D78">
        <w:t xml:space="preserve">The Licensee must </w:t>
      </w:r>
      <w:r w:rsidR="008976A9">
        <w:t>ensure that ITR Panel includes a</w:t>
      </w:r>
      <w:r w:rsidR="00976D78">
        <w:t xml:space="preserve">t least one </w:t>
      </w:r>
      <w:r w:rsidR="008976A9">
        <w:t>member who is</w:t>
      </w:r>
      <w:r w:rsidR="00976D78">
        <w:t xml:space="preserve"> an </w:t>
      </w:r>
      <w:r w:rsidR="008976A9">
        <w:t xml:space="preserve">Auditor appointed </w:t>
      </w:r>
      <w:r w:rsidR="00A84EE1">
        <w:t xml:space="preserve">under section 53S of the </w:t>
      </w:r>
      <w:r w:rsidR="00976D78" w:rsidRPr="00A84EE1">
        <w:rPr>
          <w:i/>
        </w:rPr>
        <w:t xml:space="preserve">Environment Protection </w:t>
      </w:r>
      <w:r w:rsidR="00A84EE1" w:rsidRPr="00A84EE1">
        <w:rPr>
          <w:i/>
        </w:rPr>
        <w:t>Act 1970</w:t>
      </w:r>
      <w:r w:rsidR="00976D78">
        <w:t>.</w:t>
      </w:r>
    </w:p>
    <w:p w14:paraId="4F7DA55F" w14:textId="31BA2889" w:rsidR="003C63E9" w:rsidRPr="006F37EB" w:rsidRDefault="00700182" w:rsidP="00296BA0">
      <w:pPr>
        <w:pStyle w:val="ListParagraph"/>
        <w:numPr>
          <w:ilvl w:val="0"/>
          <w:numId w:val="1"/>
        </w:numPr>
      </w:pPr>
      <w:r>
        <w:t xml:space="preserve">The Licensee must direct the ITR Panel to provide its </w:t>
      </w:r>
      <w:r w:rsidR="00060E7B">
        <w:t xml:space="preserve">final </w:t>
      </w:r>
      <w:r>
        <w:t xml:space="preserve">review </w:t>
      </w:r>
      <w:r w:rsidR="002226F5">
        <w:t xml:space="preserve">reports </w:t>
      </w:r>
      <w:r>
        <w:t>directly to the Department</w:t>
      </w:r>
      <w:r w:rsidR="005F17E4">
        <w:t xml:space="preserve"> and </w:t>
      </w:r>
      <w:r w:rsidR="002226F5">
        <w:t xml:space="preserve">must </w:t>
      </w:r>
      <w:r w:rsidR="005F17E4">
        <w:t>maintain records of its reviews and recommendations.</w:t>
      </w:r>
      <w:r w:rsidR="00060E7B">
        <w:t xml:space="preserve"> </w:t>
      </w:r>
    </w:p>
    <w:p w14:paraId="4786F487" w14:textId="5E6E7B50" w:rsidR="00126812" w:rsidRPr="00126812" w:rsidRDefault="00126812">
      <w:pPr>
        <w:rPr>
          <w:b/>
        </w:rPr>
      </w:pPr>
      <w:r w:rsidRPr="00126812">
        <w:rPr>
          <w:b/>
        </w:rPr>
        <w:t>Water Quality</w:t>
      </w:r>
    </w:p>
    <w:p w14:paraId="62858D08" w14:textId="705B75D7" w:rsidR="0057506C" w:rsidRDefault="00952773" w:rsidP="00296BA0">
      <w:pPr>
        <w:pStyle w:val="ListParagraph"/>
        <w:numPr>
          <w:ilvl w:val="0"/>
          <w:numId w:val="1"/>
        </w:numPr>
      </w:pPr>
      <w:r w:rsidRPr="00952773">
        <w:t>Prior to the commencement of mining</w:t>
      </w:r>
      <w:r w:rsidR="00CC03AF">
        <w:t xml:space="preserve"> (including construction of mining infrastructure)</w:t>
      </w:r>
      <w:r w:rsidRPr="00952773">
        <w:t xml:space="preserve">, </w:t>
      </w:r>
      <w:r w:rsidR="005F17E4">
        <w:t xml:space="preserve">the Licensee must develop </w:t>
      </w:r>
      <w:r w:rsidRPr="00952773">
        <w:t>E</w:t>
      </w:r>
      <w:r w:rsidR="00CC03AF">
        <w:t>nvironment</w:t>
      </w:r>
      <w:r w:rsidR="00CE61BD">
        <w:t>al</w:t>
      </w:r>
      <w:r w:rsidR="00CC03AF">
        <w:t xml:space="preserve"> </w:t>
      </w:r>
      <w:r w:rsidRPr="00952773">
        <w:t>Q</w:t>
      </w:r>
      <w:r w:rsidR="00CC03AF">
        <w:t xml:space="preserve">uality </w:t>
      </w:r>
      <w:r w:rsidRPr="00952773">
        <w:t>O</w:t>
      </w:r>
      <w:r w:rsidR="00CC03AF">
        <w:t>bjective</w:t>
      </w:r>
      <w:r w:rsidRPr="00952773">
        <w:t>s</w:t>
      </w:r>
      <w:r w:rsidR="00CC03AF">
        <w:t xml:space="preserve"> (EQOs)</w:t>
      </w:r>
      <w:r w:rsidR="001D5B84" w:rsidRPr="001D5B84">
        <w:t xml:space="preserve"> not greater than background concentration</w:t>
      </w:r>
      <w:r w:rsidR="00CE61BD">
        <w:t>s</w:t>
      </w:r>
      <w:r w:rsidR="001D5B84" w:rsidRPr="001D5B84">
        <w:t xml:space="preserve"> in the Tambo River</w:t>
      </w:r>
      <w:r w:rsidR="001D5B84">
        <w:t>. This must be done</w:t>
      </w:r>
      <w:r w:rsidR="00CB7293" w:rsidRPr="00952773">
        <w:t xml:space="preserve"> </w:t>
      </w:r>
      <w:r w:rsidR="00CB7293">
        <w:t>in consultation with the Environment Protection Authority and East Gippsland Water</w:t>
      </w:r>
      <w:r w:rsidR="002B0A8F">
        <w:t xml:space="preserve">. </w:t>
      </w:r>
    </w:p>
    <w:p w14:paraId="37445C44" w14:textId="44621DC8" w:rsidR="00126812" w:rsidRDefault="002B0A8F" w:rsidP="00265508">
      <w:pPr>
        <w:pStyle w:val="ListParagraph"/>
        <w:keepLines/>
        <w:numPr>
          <w:ilvl w:val="0"/>
          <w:numId w:val="1"/>
        </w:numPr>
        <w:ind w:left="714" w:hanging="357"/>
      </w:pPr>
      <w:r>
        <w:t>The Licensee must</w:t>
      </w:r>
      <w:r w:rsidR="00CC03AF">
        <w:t xml:space="preserve"> incorporate</w:t>
      </w:r>
      <w:r w:rsidR="005F17E4">
        <w:t xml:space="preserve"> the</w:t>
      </w:r>
      <w:r w:rsidR="00CE7167">
        <w:t xml:space="preserve"> EQOs</w:t>
      </w:r>
      <w:r w:rsidR="005F17E4">
        <w:t xml:space="preserve"> </w:t>
      </w:r>
      <w:r w:rsidR="00CC03AF">
        <w:t>into the Water Management Plan (and associated monitoring plans) and the Rehabilitation Plan</w:t>
      </w:r>
      <w:r w:rsidR="0032209C">
        <w:t xml:space="preserve">. </w:t>
      </w:r>
      <w:r w:rsidR="00293C27">
        <w:t>The updated Water Management Plan and Rehabilitation Plan incorporating the EQOs must be submitted to the Department as a work plan variation for approval</w:t>
      </w:r>
      <w:r w:rsidR="00366016">
        <w:t xml:space="preserve"> under section 41 of the </w:t>
      </w:r>
      <w:r w:rsidR="00366016" w:rsidRPr="00365600">
        <w:rPr>
          <w:i/>
        </w:rPr>
        <w:t>Mineral Resources (Sustainable Development) Act, 1990</w:t>
      </w:r>
      <w:r w:rsidR="00366016">
        <w:t xml:space="preserve"> (the Act)</w:t>
      </w:r>
      <w:r w:rsidR="00293C27">
        <w:t>,</w:t>
      </w:r>
      <w:r w:rsidR="00293C27" w:rsidRPr="008154C3">
        <w:t xml:space="preserve"> </w:t>
      </w:r>
      <w:r w:rsidR="00293C27">
        <w:t>p</w:t>
      </w:r>
      <w:r w:rsidR="00293C27" w:rsidRPr="00952773">
        <w:t xml:space="preserve">rior </w:t>
      </w:r>
      <w:r w:rsidR="002625D1" w:rsidRPr="00952773">
        <w:t>to the commencement of mining</w:t>
      </w:r>
      <w:r w:rsidR="002625D1">
        <w:t xml:space="preserve"> (including construction of mining infrastructure)</w:t>
      </w:r>
      <w:r w:rsidR="002625D1" w:rsidRPr="00952773">
        <w:t>.</w:t>
      </w:r>
    </w:p>
    <w:p w14:paraId="53F22521" w14:textId="3AE3D385" w:rsidR="00615BB1" w:rsidRPr="00A84EE1" w:rsidRDefault="00DC1BC7" w:rsidP="00A9080B">
      <w:pPr>
        <w:pStyle w:val="ListParagraph"/>
        <w:keepLines/>
        <w:numPr>
          <w:ilvl w:val="0"/>
          <w:numId w:val="1"/>
        </w:numPr>
        <w:ind w:left="714" w:hanging="357"/>
        <w:rPr>
          <w:sz w:val="20"/>
        </w:rPr>
      </w:pPr>
      <w:r w:rsidRPr="00A84EE1">
        <w:rPr>
          <w:rFonts w:eastAsia="Times New Roman"/>
          <w:szCs w:val="24"/>
        </w:rPr>
        <w:t>Prior to the commencement of mining (including construction of mining infrastructure), the Licensee must have submitted documentation including necessary drawings</w:t>
      </w:r>
      <w:r w:rsidR="00F7062A" w:rsidRPr="00A84EE1">
        <w:rPr>
          <w:rFonts w:eastAsia="Times New Roman"/>
          <w:szCs w:val="24"/>
        </w:rPr>
        <w:t xml:space="preserve">, </w:t>
      </w:r>
      <w:r w:rsidRPr="00A84EE1">
        <w:rPr>
          <w:rFonts w:eastAsia="Times New Roman"/>
          <w:szCs w:val="24"/>
        </w:rPr>
        <w:t>that demonstrates the collection, transfer, storage, management and monitoring of mine affected waters</w:t>
      </w:r>
      <w:r w:rsidR="001D5B84" w:rsidRPr="00A84EE1">
        <w:rPr>
          <w:rFonts w:eastAsia="Times New Roman"/>
          <w:szCs w:val="24"/>
        </w:rPr>
        <w:t>,</w:t>
      </w:r>
      <w:r w:rsidR="00F7062A" w:rsidRPr="00A84EE1">
        <w:rPr>
          <w:rFonts w:eastAsia="Times New Roman"/>
          <w:szCs w:val="24"/>
        </w:rPr>
        <w:t xml:space="preserve"> </w:t>
      </w:r>
      <w:r w:rsidRPr="00A84EE1">
        <w:rPr>
          <w:rFonts w:eastAsia="Times New Roman"/>
          <w:szCs w:val="24"/>
        </w:rPr>
        <w:t>particularly for Run-of-Mine areas where Potentially Acid Forming material will be stored.</w:t>
      </w:r>
    </w:p>
    <w:p w14:paraId="54946096" w14:textId="77777777" w:rsidR="00126812" w:rsidRDefault="00126812" w:rsidP="00AF4893">
      <w:pPr>
        <w:keepNext/>
        <w:rPr>
          <w:b/>
        </w:rPr>
      </w:pPr>
      <w:r w:rsidRPr="00126812">
        <w:rPr>
          <w:b/>
        </w:rPr>
        <w:lastRenderedPageBreak/>
        <w:t>TSF Design, Construction, Maintenance and Monitoring</w:t>
      </w:r>
    </w:p>
    <w:p w14:paraId="062D03B7" w14:textId="38E02572" w:rsidR="0024099D" w:rsidRDefault="0024099D" w:rsidP="008A5431">
      <w:pPr>
        <w:pStyle w:val="ListParagraph"/>
        <w:keepLines/>
        <w:numPr>
          <w:ilvl w:val="0"/>
          <w:numId w:val="1"/>
        </w:numPr>
        <w:ind w:left="714" w:hanging="357"/>
      </w:pPr>
      <w:r>
        <w:t>The Licensee must e</w:t>
      </w:r>
      <w:r w:rsidRPr="003C63E9">
        <w:t>stablish an independent technical peer review and auditing process</w:t>
      </w:r>
      <w:r w:rsidR="00871825" w:rsidRPr="00871825">
        <w:t xml:space="preserve"> </w:t>
      </w:r>
      <w:r w:rsidR="00871825">
        <w:t>for the design, construction, maintenance and monitoring of the TSF</w:t>
      </w:r>
      <w:r>
        <w:t>, approved by the ITR Panel</w:t>
      </w:r>
      <w:r w:rsidR="00871825">
        <w:t>. This must be completed</w:t>
      </w:r>
      <w:r w:rsidRPr="003C63E9">
        <w:t xml:space="preserve"> prior to the construction </w:t>
      </w:r>
      <w:r w:rsidR="00CB7293">
        <w:t xml:space="preserve">of mining infrastructure </w:t>
      </w:r>
      <w:r w:rsidRPr="003C63E9">
        <w:t>to enable in principle demonstration of achievement of outcomes throughout the life of the mine.</w:t>
      </w:r>
      <w:r>
        <w:t xml:space="preserve"> </w:t>
      </w:r>
      <w:r w:rsidRPr="00C82A01">
        <w:t xml:space="preserve">A copy of the document outlining the technical peer review and auditing process for each of the TSF lift(s) must be provided to the Chief Inspector for approval </w:t>
      </w:r>
      <w:r w:rsidR="00CB7293" w:rsidRPr="00CB7293">
        <w:t xml:space="preserve">at least </w:t>
      </w:r>
      <w:r w:rsidR="00153AFF">
        <w:t xml:space="preserve">20 </w:t>
      </w:r>
      <w:r w:rsidR="00CB7293" w:rsidRPr="00CB7293">
        <w:t xml:space="preserve">business days </w:t>
      </w:r>
      <w:r w:rsidRPr="00C82A01">
        <w:t>prior to the commencement of construction.</w:t>
      </w:r>
      <w:r w:rsidR="00787978">
        <w:t xml:space="preserve"> </w:t>
      </w:r>
    </w:p>
    <w:p w14:paraId="07F43084" w14:textId="47F944E9" w:rsidR="0024099D" w:rsidRDefault="0024099D" w:rsidP="00296BA0">
      <w:pPr>
        <w:pStyle w:val="ListParagraph"/>
        <w:numPr>
          <w:ilvl w:val="0"/>
          <w:numId w:val="1"/>
        </w:numPr>
      </w:pPr>
      <w:r w:rsidRPr="001D5702">
        <w:t xml:space="preserve">The </w:t>
      </w:r>
      <w:r w:rsidR="0057506C">
        <w:t>TSF</w:t>
      </w:r>
      <w:r w:rsidR="0057506C" w:rsidRPr="001D5702">
        <w:t xml:space="preserve"> </w:t>
      </w:r>
      <w:r w:rsidRPr="001D5702">
        <w:t xml:space="preserve">and associated works must not be made operational until the Chief Inspector </w:t>
      </w:r>
      <w:r w:rsidR="00C82A01">
        <w:t>has been provided</w:t>
      </w:r>
      <w:r w:rsidRPr="001D5702">
        <w:t xml:space="preserve"> a</w:t>
      </w:r>
      <w:r>
        <w:t xml:space="preserve"> </w:t>
      </w:r>
      <w:r w:rsidR="0057506C">
        <w:t xml:space="preserve">TSF </w:t>
      </w:r>
      <w:r>
        <w:t>construction completion report that has been prepared by a suitably qualified engineer and accompanying review report by the Independent Technical Review Panel (or suitability qualified panel member)</w:t>
      </w:r>
      <w:r w:rsidRPr="001D5702">
        <w:t>.</w:t>
      </w:r>
      <w:r w:rsidR="00203AEA">
        <w:t xml:space="preserve">  The Licensee must provide the completion report and </w:t>
      </w:r>
      <w:r w:rsidR="005D1623">
        <w:t xml:space="preserve">the </w:t>
      </w:r>
      <w:r w:rsidR="00203AEA">
        <w:t xml:space="preserve">ITR </w:t>
      </w:r>
      <w:r w:rsidR="005D1623">
        <w:t xml:space="preserve">must provide the </w:t>
      </w:r>
      <w:r w:rsidR="00203AEA">
        <w:t xml:space="preserve">review report at least </w:t>
      </w:r>
      <w:r w:rsidR="00153AFF">
        <w:t xml:space="preserve">20 </w:t>
      </w:r>
      <w:r w:rsidR="00CB7293">
        <w:t>business</w:t>
      </w:r>
      <w:r w:rsidR="00203AEA">
        <w:t xml:space="preserve"> days prior to the </w:t>
      </w:r>
      <w:r w:rsidR="0057506C">
        <w:t xml:space="preserve">TSF </w:t>
      </w:r>
      <w:r w:rsidR="00203AEA">
        <w:t xml:space="preserve">and associated works being made operational. </w:t>
      </w:r>
    </w:p>
    <w:p w14:paraId="3DF5F1CC" w14:textId="4B76A2AA" w:rsidR="0024099D" w:rsidRPr="0024099D" w:rsidRDefault="0024099D" w:rsidP="004C1704">
      <w:pPr>
        <w:pStyle w:val="ListParagraph"/>
        <w:numPr>
          <w:ilvl w:val="0"/>
          <w:numId w:val="1"/>
        </w:numPr>
      </w:pPr>
      <w:r w:rsidRPr="00126812">
        <w:t>All</w:t>
      </w:r>
      <w:r w:rsidR="00B42C78">
        <w:t xml:space="preserve"> design,</w:t>
      </w:r>
      <w:r w:rsidRPr="00126812">
        <w:t xml:space="preserve"> inspection</w:t>
      </w:r>
      <w:r>
        <w:t xml:space="preserve"> and monitoring</w:t>
      </w:r>
      <w:r w:rsidRPr="00126812">
        <w:t xml:space="preserve"> reports </w:t>
      </w:r>
      <w:r w:rsidR="00B42C78">
        <w:t>prepared in accordance with</w:t>
      </w:r>
      <w:r w:rsidRPr="00126812">
        <w:t xml:space="preserve"> the</w:t>
      </w:r>
      <w:r>
        <w:t xml:space="preserve"> </w:t>
      </w:r>
      <w:r w:rsidR="00050CE8">
        <w:t>Australian National Committee on Large Dams (</w:t>
      </w:r>
      <w:r w:rsidRPr="00126812">
        <w:t>ANCOLD</w:t>
      </w:r>
      <w:r w:rsidR="00050CE8">
        <w:t>)</w:t>
      </w:r>
      <w:r w:rsidRPr="00126812">
        <w:t xml:space="preserve"> Guidelines</w:t>
      </w:r>
      <w:r>
        <w:t xml:space="preserve"> </w:t>
      </w:r>
      <w:r w:rsidR="000537B5">
        <w:t xml:space="preserve">(including, but </w:t>
      </w:r>
      <w:r w:rsidR="00A84EE1">
        <w:t>not</w:t>
      </w:r>
      <w:r w:rsidR="003E3564">
        <w:t xml:space="preserve"> </w:t>
      </w:r>
      <w:r w:rsidR="000537B5">
        <w:t xml:space="preserve">limited to, </w:t>
      </w:r>
      <w:r w:rsidR="004C1704" w:rsidRPr="004C1704">
        <w:rPr>
          <w:i/>
        </w:rPr>
        <w:t>Guidelines on Dam Safety Management</w:t>
      </w:r>
      <w:r w:rsidR="004C1704">
        <w:rPr>
          <w:i/>
        </w:rPr>
        <w:t>, 2003</w:t>
      </w:r>
      <w:r w:rsidR="000537B5">
        <w:t xml:space="preserve"> and </w:t>
      </w:r>
      <w:r w:rsidR="004C1704" w:rsidRPr="004C1704">
        <w:rPr>
          <w:i/>
        </w:rPr>
        <w:t>Guidelines on</w:t>
      </w:r>
      <w:r w:rsidR="004C1704">
        <w:t xml:space="preserve"> </w:t>
      </w:r>
      <w:r w:rsidR="004C1704" w:rsidRPr="004C1704">
        <w:rPr>
          <w:i/>
        </w:rPr>
        <w:t>Tailings Dams – Planning, Design, Construction, Operation and Closure, May 2012</w:t>
      </w:r>
      <w:r w:rsidR="000537B5">
        <w:t>)</w:t>
      </w:r>
      <w:r w:rsidRPr="00126812">
        <w:t xml:space="preserve">, </w:t>
      </w:r>
      <w:r>
        <w:t xml:space="preserve">must </w:t>
      </w:r>
      <w:r w:rsidRPr="00126812">
        <w:t>be independently reviewed by the ITR</w:t>
      </w:r>
      <w:r>
        <w:t xml:space="preserve"> Panel</w:t>
      </w:r>
      <w:r w:rsidR="00B42C78">
        <w:t>. C</w:t>
      </w:r>
      <w:r w:rsidRPr="00126812">
        <w:t xml:space="preserve">opies of </w:t>
      </w:r>
      <w:r w:rsidR="00B42C78">
        <w:t xml:space="preserve">the </w:t>
      </w:r>
      <w:r w:rsidRPr="00126812">
        <w:t>reports</w:t>
      </w:r>
      <w:r>
        <w:t xml:space="preserve"> </w:t>
      </w:r>
      <w:r w:rsidR="00F243A9">
        <w:t>are</w:t>
      </w:r>
      <w:r w:rsidRPr="00126812">
        <w:t xml:space="preserve"> to be provided to </w:t>
      </w:r>
      <w:r w:rsidR="00A84EE1">
        <w:t>Earth Resources Regulation</w:t>
      </w:r>
      <w:r w:rsidR="002D40A5">
        <w:t>’s</w:t>
      </w:r>
      <w:r w:rsidR="00A84EE1">
        <w:t xml:space="preserve"> (ERR) </w:t>
      </w:r>
      <w:r w:rsidR="00F25746">
        <w:t>Regional Manager</w:t>
      </w:r>
      <w:r w:rsidR="00EE47F7">
        <w:t>, Gippsland,</w:t>
      </w:r>
      <w:r w:rsidR="00F25746" w:rsidRPr="00126812">
        <w:t xml:space="preserve"> </w:t>
      </w:r>
      <w:r w:rsidRPr="00126812">
        <w:t xml:space="preserve">within one month </w:t>
      </w:r>
      <w:r w:rsidR="00B42C78">
        <w:t>being finalised</w:t>
      </w:r>
      <w:r w:rsidRPr="0024099D">
        <w:t>.</w:t>
      </w:r>
    </w:p>
    <w:p w14:paraId="752DC4F2" w14:textId="40D57590" w:rsidR="0024099D" w:rsidRPr="0024099D" w:rsidRDefault="0024099D" w:rsidP="00296BA0">
      <w:pPr>
        <w:pStyle w:val="ListParagraph"/>
        <w:numPr>
          <w:ilvl w:val="0"/>
          <w:numId w:val="1"/>
        </w:numPr>
      </w:pPr>
      <w:r w:rsidRPr="0024099D">
        <w:t xml:space="preserve">The </w:t>
      </w:r>
      <w:r w:rsidR="00C252B5">
        <w:t>Dam Safety Emergency Plan</w:t>
      </w:r>
      <w:r w:rsidRPr="0024099D">
        <w:t xml:space="preserve"> </w:t>
      </w:r>
      <w:r w:rsidR="00C252B5">
        <w:t xml:space="preserve">(DSEP) </w:t>
      </w:r>
      <w:r w:rsidRPr="0024099D">
        <w:t>and O</w:t>
      </w:r>
      <w:r w:rsidR="00C252B5">
        <w:t>peration, Maintenance and Surveillance</w:t>
      </w:r>
      <w:r w:rsidRPr="0024099D">
        <w:t xml:space="preserve"> </w:t>
      </w:r>
      <w:r w:rsidR="00C252B5">
        <w:t xml:space="preserve">(OMS) </w:t>
      </w:r>
      <w:r w:rsidRPr="0024099D">
        <w:t xml:space="preserve">Manual must be developed in accordance with ANCOLD guidelines. The DSEP must include actions to be taken by the Licensee that provide effective and timely warnings to potentially impacted downstream communities, Victoria Police, Victoria State Emergency Service, the Department of Environment, Land, Water and Planning </w:t>
      </w:r>
      <w:r w:rsidR="00F243A9">
        <w:t xml:space="preserve">(DELWP) </w:t>
      </w:r>
      <w:r w:rsidRPr="0024099D">
        <w:t xml:space="preserve">and the Department in the event of a possible or actual </w:t>
      </w:r>
      <w:r w:rsidR="00875ACF">
        <w:t>TSF</w:t>
      </w:r>
      <w:r w:rsidR="00875ACF" w:rsidRPr="0024099D">
        <w:t xml:space="preserve"> </w:t>
      </w:r>
      <w:r w:rsidRPr="0024099D">
        <w:t xml:space="preserve">failure. </w:t>
      </w:r>
    </w:p>
    <w:p w14:paraId="77E965FB" w14:textId="47E389DA" w:rsidR="0024099D" w:rsidRPr="0024099D" w:rsidRDefault="0024099D" w:rsidP="00485180">
      <w:pPr>
        <w:pStyle w:val="ListParagraph"/>
        <w:keepLines/>
        <w:numPr>
          <w:ilvl w:val="0"/>
          <w:numId w:val="1"/>
        </w:numPr>
        <w:ind w:left="714" w:hanging="357"/>
      </w:pPr>
      <w:r w:rsidRPr="0024099D">
        <w:t xml:space="preserve">The </w:t>
      </w:r>
      <w:r w:rsidR="00875ACF">
        <w:t>OMS Manual</w:t>
      </w:r>
      <w:r w:rsidRPr="0024099D">
        <w:t xml:space="preserve"> </w:t>
      </w:r>
      <w:r w:rsidR="00F243A9">
        <w:t>must</w:t>
      </w:r>
      <w:r w:rsidR="00F243A9" w:rsidRPr="0024099D">
        <w:t xml:space="preserve"> </w:t>
      </w:r>
      <w:r w:rsidRPr="0024099D">
        <w:t xml:space="preserve">specifically highlight all design requirements for operation and response actions that must be met to ensure the ongoing safety and stability of the </w:t>
      </w:r>
      <w:r w:rsidR="00875ACF">
        <w:t xml:space="preserve">TSF. The OMS Manual </w:t>
      </w:r>
      <w:r w:rsidR="00F243A9">
        <w:t xml:space="preserve">must </w:t>
      </w:r>
      <w:r w:rsidRPr="0024099D">
        <w:t>be updated at least every two years</w:t>
      </w:r>
      <w:r w:rsidR="00F243A9">
        <w:t>. Each update</w:t>
      </w:r>
      <w:r w:rsidRPr="0024099D">
        <w:t xml:space="preserve"> </w:t>
      </w:r>
      <w:r w:rsidR="00F243A9">
        <w:t>must</w:t>
      </w:r>
      <w:r w:rsidR="00F243A9" w:rsidRPr="0024099D">
        <w:t xml:space="preserve"> </w:t>
      </w:r>
      <w:r w:rsidRPr="0024099D">
        <w:t xml:space="preserve">include a review of the whole </w:t>
      </w:r>
      <w:r w:rsidR="00F243A9">
        <w:t xml:space="preserve">TSF </w:t>
      </w:r>
      <w:r w:rsidRPr="0024099D">
        <w:t>management strategy.</w:t>
      </w:r>
    </w:p>
    <w:p w14:paraId="4FFA47F1" w14:textId="37E8B893" w:rsidR="0024099D" w:rsidRPr="0024099D" w:rsidRDefault="0024099D" w:rsidP="00296BA0">
      <w:pPr>
        <w:pStyle w:val="ListParagraph"/>
        <w:numPr>
          <w:ilvl w:val="0"/>
          <w:numId w:val="1"/>
        </w:numPr>
      </w:pPr>
      <w:r w:rsidRPr="0024099D">
        <w:t xml:space="preserve">The </w:t>
      </w:r>
      <w:r w:rsidR="00875ACF">
        <w:t>DSEP</w:t>
      </w:r>
      <w:r w:rsidRPr="0024099D">
        <w:t xml:space="preserve"> and </w:t>
      </w:r>
      <w:r w:rsidR="00875ACF">
        <w:t>OMS</w:t>
      </w:r>
      <w:r w:rsidRPr="0024099D">
        <w:t xml:space="preserve"> Manual must be </w:t>
      </w:r>
      <w:r w:rsidR="00875ACF">
        <w:t>certified</w:t>
      </w:r>
      <w:r w:rsidRPr="0024099D">
        <w:t xml:space="preserve"> by a suitably qualified engineer</w:t>
      </w:r>
      <w:r w:rsidR="00A5668E">
        <w:t xml:space="preserve"> as meeting the requirement of ANCOLD guidelines</w:t>
      </w:r>
      <w:r w:rsidRPr="0024099D">
        <w:t xml:space="preserve"> and reviewed by the </w:t>
      </w:r>
      <w:r w:rsidR="00F243A9">
        <w:t>ITR</w:t>
      </w:r>
      <w:r w:rsidRPr="0024099D">
        <w:t xml:space="preserve"> Panel.</w:t>
      </w:r>
    </w:p>
    <w:p w14:paraId="4EB806EB" w14:textId="1F71BF62" w:rsidR="00DD1DFF" w:rsidRPr="0024099D" w:rsidRDefault="00366016" w:rsidP="00296BA0">
      <w:pPr>
        <w:pStyle w:val="ListParagraph"/>
        <w:keepLines/>
        <w:numPr>
          <w:ilvl w:val="0"/>
          <w:numId w:val="1"/>
        </w:numPr>
      </w:pPr>
      <w:r w:rsidRPr="00366016">
        <w:t>Prior to the commencement of mining (including construction of mining infrastructure), the Licensee must submit the DSEP and OMS Manual to the Department as a work plan variation for approval, under section 41 of the Act.</w:t>
      </w:r>
    </w:p>
    <w:p w14:paraId="4FA6C8D5" w14:textId="6E111C95" w:rsidR="0024099D" w:rsidRPr="0024099D" w:rsidRDefault="00C72ABD" w:rsidP="00296BA0">
      <w:pPr>
        <w:pStyle w:val="ListParagraph"/>
        <w:numPr>
          <w:ilvl w:val="0"/>
          <w:numId w:val="1"/>
        </w:numPr>
      </w:pPr>
      <w:r>
        <w:t>Once approved, t</w:t>
      </w:r>
      <w:r w:rsidR="0024099D" w:rsidRPr="0024099D">
        <w:t>he Licensee must lodge one copy</w:t>
      </w:r>
      <w:r>
        <w:t xml:space="preserve"> of the DESP with</w:t>
      </w:r>
      <w:r w:rsidR="0024099D" w:rsidRPr="0024099D">
        <w:t xml:space="preserve"> the </w:t>
      </w:r>
      <w:r w:rsidR="00F243A9">
        <w:t xml:space="preserve">Emergency Management Victoria </w:t>
      </w:r>
      <w:r w:rsidR="0024099D" w:rsidRPr="0024099D">
        <w:t>State Control Centre.</w:t>
      </w:r>
    </w:p>
    <w:p w14:paraId="4C737CE1" w14:textId="21826CDA" w:rsidR="0024099D" w:rsidRPr="0024099D" w:rsidRDefault="0024099D" w:rsidP="008A5431">
      <w:pPr>
        <w:pStyle w:val="ListParagraph"/>
        <w:keepLines/>
        <w:numPr>
          <w:ilvl w:val="0"/>
          <w:numId w:val="1"/>
        </w:numPr>
        <w:ind w:left="714" w:hanging="357"/>
      </w:pPr>
      <w:r w:rsidRPr="0024099D">
        <w:lastRenderedPageBreak/>
        <w:t>The Licensee must provide the Department with the inspection records and monitoring results, which will include the interpretation of these records and results,</w:t>
      </w:r>
      <w:r w:rsidR="00C72ABD">
        <w:t xml:space="preserve"> required by</w:t>
      </w:r>
      <w:r w:rsidRPr="0024099D">
        <w:t xml:space="preserve"> the </w:t>
      </w:r>
      <w:r w:rsidR="00875ACF">
        <w:t>OMS</w:t>
      </w:r>
      <w:r w:rsidR="00C252B5" w:rsidRPr="0024099D">
        <w:t xml:space="preserve"> </w:t>
      </w:r>
      <w:r w:rsidRPr="0024099D">
        <w:t xml:space="preserve">Manual within 12 months </w:t>
      </w:r>
      <w:r w:rsidR="00875ACF">
        <w:t>commencement of operation of the TSF</w:t>
      </w:r>
      <w:r w:rsidRPr="0024099D">
        <w:t xml:space="preserve"> and thereafter on a </w:t>
      </w:r>
      <w:r w:rsidR="0018287B">
        <w:t>yearly</w:t>
      </w:r>
      <w:r w:rsidRPr="0024099D">
        <w:t xml:space="preserve"> basis. Inspection records and monitoring results (and the interpretation of these records and results by the licensee) can be requested at any other time by the Chief Inspector.</w:t>
      </w:r>
    </w:p>
    <w:p w14:paraId="058A93FE" w14:textId="69C7DFED" w:rsidR="0024099D" w:rsidRPr="0024099D" w:rsidRDefault="002E044E" w:rsidP="00296BA0">
      <w:pPr>
        <w:pStyle w:val="ListParagraph"/>
        <w:numPr>
          <w:ilvl w:val="0"/>
          <w:numId w:val="1"/>
        </w:numPr>
      </w:pPr>
      <w:r>
        <w:t>Where the Chief Inspect</w:t>
      </w:r>
      <w:r w:rsidR="00293C27">
        <w:t>or</w:t>
      </w:r>
      <w:r>
        <w:t xml:space="preserve"> has reasonable grounds to believe that there is an increased risk to public safety, the environment</w:t>
      </w:r>
      <w:r w:rsidR="00293C27">
        <w:t>,</w:t>
      </w:r>
      <w:r>
        <w:t xml:space="preserve"> </w:t>
      </w:r>
      <w:r w:rsidR="00293C27">
        <w:t>l</w:t>
      </w:r>
      <w:r>
        <w:t xml:space="preserve">and, property or infrastructure, the </w:t>
      </w:r>
      <w:r w:rsidR="0024099D" w:rsidRPr="0024099D">
        <w:t xml:space="preserve">Licensee must amend the </w:t>
      </w:r>
      <w:r w:rsidR="000537B5">
        <w:t>DSEP</w:t>
      </w:r>
      <w:r w:rsidR="0024099D" w:rsidRPr="0024099D">
        <w:t xml:space="preserve"> and</w:t>
      </w:r>
      <w:r w:rsidR="00F514A0">
        <w:t>/or</w:t>
      </w:r>
      <w:r w:rsidR="0024099D" w:rsidRPr="0024099D">
        <w:t xml:space="preserve"> </w:t>
      </w:r>
      <w:r w:rsidR="000537B5">
        <w:t>OMS</w:t>
      </w:r>
      <w:r w:rsidR="0024099D" w:rsidRPr="0024099D">
        <w:t xml:space="preserve"> </w:t>
      </w:r>
      <w:r w:rsidR="004C2C8A" w:rsidRPr="0024099D">
        <w:t>Manual</w:t>
      </w:r>
      <w:r w:rsidR="004C2C8A">
        <w:t xml:space="preserve"> and</w:t>
      </w:r>
      <w:r w:rsidR="00366016" w:rsidRPr="00366016">
        <w:t xml:space="preserve"> submit the amendment to the OMS Manual and/or DSEP for approval by the Department as a work plan variation under section 41 of the Act</w:t>
      </w:r>
      <w:r w:rsidR="00366016">
        <w:t>,</w:t>
      </w:r>
      <w:r w:rsidR="0024099D" w:rsidRPr="0024099D">
        <w:t xml:space="preserve"> </w:t>
      </w:r>
      <w:r w:rsidR="00F514A0">
        <w:t>to address the risk</w:t>
      </w:r>
      <w:r w:rsidR="0024099D" w:rsidRPr="0024099D">
        <w:t>.</w:t>
      </w:r>
    </w:p>
    <w:p w14:paraId="305C18FE" w14:textId="64A7D128" w:rsidR="0024099D" w:rsidRPr="0024099D" w:rsidRDefault="0024099D" w:rsidP="00296BA0">
      <w:pPr>
        <w:pStyle w:val="ListParagraph"/>
        <w:numPr>
          <w:ilvl w:val="0"/>
          <w:numId w:val="1"/>
        </w:numPr>
      </w:pPr>
      <w:r w:rsidRPr="0024099D">
        <w:t xml:space="preserve">If a deficiency is found in the structure of the </w:t>
      </w:r>
      <w:r w:rsidR="00875ACF">
        <w:t>TSF</w:t>
      </w:r>
      <w:r w:rsidR="00875ACF" w:rsidRPr="0024099D">
        <w:t xml:space="preserve"> </w:t>
      </w:r>
      <w:r w:rsidRPr="0024099D">
        <w:t xml:space="preserve">that </w:t>
      </w:r>
      <w:r w:rsidR="008D742A">
        <w:t>may</w:t>
      </w:r>
      <w:r w:rsidRPr="0024099D">
        <w:t xml:space="preserve"> to lead to an uncontrolled flow of water or tailings from the </w:t>
      </w:r>
      <w:r w:rsidR="00875ACF">
        <w:t>TSF</w:t>
      </w:r>
      <w:r w:rsidR="00875ACF" w:rsidRPr="0024099D">
        <w:t xml:space="preserve"> </w:t>
      </w:r>
      <w:r w:rsidRPr="0024099D">
        <w:t xml:space="preserve">and associated infrastructure, the </w:t>
      </w:r>
      <w:r w:rsidR="00D469B4">
        <w:t>Licensee</w:t>
      </w:r>
      <w:r w:rsidRPr="0024099D">
        <w:t xml:space="preserve"> must immediately </w:t>
      </w:r>
      <w:r w:rsidR="006767AF">
        <w:t>notify</w:t>
      </w:r>
      <w:r w:rsidR="006767AF" w:rsidRPr="0024099D">
        <w:t xml:space="preserve"> </w:t>
      </w:r>
      <w:r w:rsidRPr="0024099D">
        <w:t xml:space="preserve">the Department </w:t>
      </w:r>
      <w:r w:rsidR="006767AF">
        <w:t xml:space="preserve">in writing </w:t>
      </w:r>
      <w:r w:rsidRPr="0024099D">
        <w:t xml:space="preserve">of the nature of the deficiency and engage a suitably qualified engineer to propose a </w:t>
      </w:r>
      <w:r w:rsidR="00485AA9" w:rsidRPr="0024099D">
        <w:t xml:space="preserve">corrective action plan </w:t>
      </w:r>
      <w:r w:rsidRPr="0024099D">
        <w:t>to rectify it. The License</w:t>
      </w:r>
      <w:r w:rsidR="005D1623">
        <w:t>e</w:t>
      </w:r>
      <w:r w:rsidRPr="0024099D">
        <w:t xml:space="preserve"> must provide the Department with </w:t>
      </w:r>
      <w:r w:rsidR="00485AA9">
        <w:t>the</w:t>
      </w:r>
      <w:r w:rsidRPr="0024099D">
        <w:t xml:space="preserve"> corrective action plan within </w:t>
      </w:r>
      <w:r w:rsidR="006767AF">
        <w:t>7</w:t>
      </w:r>
      <w:r w:rsidR="006767AF" w:rsidRPr="0024099D">
        <w:t xml:space="preserve"> </w:t>
      </w:r>
      <w:r w:rsidRPr="0024099D">
        <w:t xml:space="preserve">days of the initial notification, </w:t>
      </w:r>
      <w:r w:rsidR="00F243A9">
        <w:t>including</w:t>
      </w:r>
      <w:r w:rsidRPr="0024099D">
        <w:t xml:space="preserve"> any immediate action </w:t>
      </w:r>
      <w:r w:rsidR="006767AF">
        <w:t>required</w:t>
      </w:r>
      <w:r w:rsidRPr="0024099D">
        <w:t xml:space="preserve">, a risk </w:t>
      </w:r>
      <w:r w:rsidR="00485AA9">
        <w:t>analysis</w:t>
      </w:r>
      <w:r w:rsidR="00485AA9" w:rsidRPr="0024099D">
        <w:t xml:space="preserve"> </w:t>
      </w:r>
      <w:r w:rsidRPr="0024099D">
        <w:t>and a program setting out how the deficiency will be rectified.</w:t>
      </w:r>
    </w:p>
    <w:p w14:paraId="67D1D589" w14:textId="150FD0D6" w:rsidR="0024099D" w:rsidRDefault="0024099D" w:rsidP="00296BA0">
      <w:pPr>
        <w:pStyle w:val="ListParagraph"/>
        <w:numPr>
          <w:ilvl w:val="0"/>
          <w:numId w:val="1"/>
        </w:numPr>
      </w:pPr>
      <w:r w:rsidRPr="0024099D">
        <w:t xml:space="preserve">The </w:t>
      </w:r>
      <w:r w:rsidR="00875ACF">
        <w:t>TSF</w:t>
      </w:r>
      <w:r w:rsidR="00875ACF" w:rsidRPr="0024099D">
        <w:t xml:space="preserve"> </w:t>
      </w:r>
      <w:r w:rsidRPr="0024099D">
        <w:t>and associated works must not be altered</w:t>
      </w:r>
      <w:r w:rsidR="00875ACF">
        <w:t xml:space="preserve"> in a manner that is inconsistent with the approved design for the TSF</w:t>
      </w:r>
      <w:r w:rsidRPr="0024099D">
        <w:t xml:space="preserve">, removed or decommissioned without written approval from the </w:t>
      </w:r>
      <w:r w:rsidR="00855AEF">
        <w:t>Department</w:t>
      </w:r>
      <w:r w:rsidRPr="0024099D">
        <w:t>.</w:t>
      </w:r>
    </w:p>
    <w:p w14:paraId="2004E0B5" w14:textId="66F464E9" w:rsidR="001B3496" w:rsidRPr="0024099D" w:rsidRDefault="00FE0C31" w:rsidP="00296BA0">
      <w:pPr>
        <w:pStyle w:val="ListParagraph"/>
        <w:numPr>
          <w:ilvl w:val="0"/>
          <w:numId w:val="1"/>
        </w:numPr>
      </w:pPr>
      <w:r>
        <w:t xml:space="preserve">The elevation of tailings </w:t>
      </w:r>
      <w:r w:rsidR="00C72ABD">
        <w:t xml:space="preserve">stored in the TSF </w:t>
      </w:r>
      <w:r>
        <w:t>must not exceed 1177mRL.</w:t>
      </w:r>
      <w:r w:rsidR="008D742A">
        <w:t xml:space="preserve"> The elevation of the tailings, at its highest elevation, must be reported to </w:t>
      </w:r>
      <w:r w:rsidR="00A84EE1">
        <w:t>ERR</w:t>
      </w:r>
      <w:r w:rsidR="002D40A5">
        <w:t>’s</w:t>
      </w:r>
      <w:r w:rsidR="00A84EE1">
        <w:t xml:space="preserve"> </w:t>
      </w:r>
      <w:r w:rsidR="00855AEF">
        <w:t>Regional Manager</w:t>
      </w:r>
      <w:r w:rsidR="00124B4F">
        <w:t>, Gippsland,</w:t>
      </w:r>
      <w:r w:rsidR="00855AEF">
        <w:t xml:space="preserve"> </w:t>
      </w:r>
      <w:r w:rsidR="00293C27">
        <w:t>at 1174mRL, 1175.50mRL, 1176mRL and at 1176.5mRL.</w:t>
      </w:r>
    </w:p>
    <w:p w14:paraId="45DF12FF" w14:textId="77777777" w:rsidR="0024099D" w:rsidRDefault="0024099D" w:rsidP="006864D4">
      <w:pPr>
        <w:keepNext/>
        <w:keepLines/>
        <w:rPr>
          <w:b/>
        </w:rPr>
      </w:pPr>
      <w:r>
        <w:rPr>
          <w:b/>
        </w:rPr>
        <w:t>Ground Control</w:t>
      </w:r>
    </w:p>
    <w:p w14:paraId="19E89815" w14:textId="7292DB5A" w:rsidR="0024099D" w:rsidRPr="0024099D" w:rsidRDefault="001455B2" w:rsidP="00296BA0">
      <w:pPr>
        <w:pStyle w:val="ListParagraph"/>
        <w:keepLines/>
        <w:numPr>
          <w:ilvl w:val="0"/>
          <w:numId w:val="1"/>
        </w:numPr>
      </w:pPr>
      <w:r>
        <w:t>T</w:t>
      </w:r>
      <w:r w:rsidR="0024099D" w:rsidRPr="0024099D">
        <w:t>he Licensee must</w:t>
      </w:r>
      <w:r w:rsidR="0026498D">
        <w:t xml:space="preserve"> submit</w:t>
      </w:r>
      <w:r w:rsidR="0024099D" w:rsidRPr="0024099D">
        <w:t xml:space="preserve"> a Ground Control Management Plan, which includes management of ground support and paste fill operations, </w:t>
      </w:r>
      <w:r w:rsidRPr="001455B2">
        <w:t>to the Chief Inspector at least 20</w:t>
      </w:r>
      <w:r>
        <w:t> </w:t>
      </w:r>
      <w:r w:rsidRPr="001455B2">
        <w:t xml:space="preserve">business days prior to the proposed commencement of </w:t>
      </w:r>
      <w:r>
        <w:t>underground mining operations</w:t>
      </w:r>
      <w:r w:rsidRPr="001455B2">
        <w:t>.</w:t>
      </w:r>
    </w:p>
    <w:p w14:paraId="22663BB3" w14:textId="151F8534" w:rsidR="00E9669E" w:rsidRPr="005A70A5" w:rsidRDefault="005A70A5" w:rsidP="001A594F">
      <w:pPr>
        <w:keepNext/>
      </w:pPr>
      <w:r>
        <w:rPr>
          <w:b/>
        </w:rPr>
        <w:t>Tailings Paste Fill</w:t>
      </w:r>
    </w:p>
    <w:p w14:paraId="5D6B9775" w14:textId="49EE7503" w:rsidR="005A70A5" w:rsidRPr="005A70A5" w:rsidRDefault="0083601D" w:rsidP="00296BA0">
      <w:pPr>
        <w:pStyle w:val="ListParagraph"/>
        <w:numPr>
          <w:ilvl w:val="0"/>
          <w:numId w:val="1"/>
        </w:numPr>
      </w:pPr>
      <w:r>
        <w:t xml:space="preserve">The Licensee </w:t>
      </w:r>
      <w:r w:rsidR="004C198F">
        <w:t xml:space="preserve">must not commence disposal of tailings underground until that activity is approved </w:t>
      </w:r>
      <w:r w:rsidR="00F243A9">
        <w:t xml:space="preserve">as a </w:t>
      </w:r>
      <w:r w:rsidR="004C198F">
        <w:t>variation to th</w:t>
      </w:r>
      <w:r w:rsidR="00F243A9">
        <w:t>e</w:t>
      </w:r>
      <w:r w:rsidR="004C198F">
        <w:t xml:space="preserve"> work plan. </w:t>
      </w:r>
    </w:p>
    <w:p w14:paraId="2D741828" w14:textId="571EC86E" w:rsidR="00D93FF4" w:rsidRDefault="00D93FF4" w:rsidP="003D0DF8">
      <w:pPr>
        <w:keepNext/>
        <w:rPr>
          <w:b/>
        </w:rPr>
      </w:pPr>
      <w:r>
        <w:rPr>
          <w:b/>
        </w:rPr>
        <w:lastRenderedPageBreak/>
        <w:t>Flora and Fauna</w:t>
      </w:r>
    </w:p>
    <w:p w14:paraId="1B2ACAF4" w14:textId="3ADAA79B" w:rsidR="002E564F" w:rsidRDefault="00F40F99" w:rsidP="008A5431">
      <w:pPr>
        <w:pStyle w:val="ListParagraph"/>
        <w:keepNext/>
        <w:numPr>
          <w:ilvl w:val="0"/>
          <w:numId w:val="1"/>
        </w:numPr>
        <w:ind w:left="714" w:hanging="357"/>
      </w:pPr>
      <w:r>
        <w:t xml:space="preserve">Prior to the commencement of </w:t>
      </w:r>
      <w:r w:rsidR="0044703C">
        <w:t xml:space="preserve">removal of native vegetation, </w:t>
      </w:r>
      <w:r w:rsidR="0083601D">
        <w:t xml:space="preserve">the Licensee must </w:t>
      </w:r>
      <w:r w:rsidR="00214AD9">
        <w:t xml:space="preserve">provide the Department with a </w:t>
      </w:r>
      <w:r w:rsidR="00213657">
        <w:t xml:space="preserve">letter from </w:t>
      </w:r>
      <w:r w:rsidR="0083601D">
        <w:t>its</w:t>
      </w:r>
      <w:r w:rsidR="00213657">
        <w:t xml:space="preserve"> Chief Executive Officer (or </w:t>
      </w:r>
      <w:r w:rsidR="0065791E">
        <w:t>duly authorised representative</w:t>
      </w:r>
      <w:r w:rsidR="00213657">
        <w:t xml:space="preserve">) </w:t>
      </w:r>
      <w:r w:rsidR="00B60B09">
        <w:t>confirming tha</w:t>
      </w:r>
      <w:r w:rsidR="004371AD">
        <w:t>t</w:t>
      </w:r>
      <w:r w:rsidR="002E564F">
        <w:t>:</w:t>
      </w:r>
    </w:p>
    <w:p w14:paraId="08064966" w14:textId="5997D61F" w:rsidR="00765602" w:rsidRDefault="00765602" w:rsidP="008A5431">
      <w:pPr>
        <w:pStyle w:val="ListParagraph"/>
        <w:keepNext/>
        <w:numPr>
          <w:ilvl w:val="1"/>
          <w:numId w:val="4"/>
        </w:numPr>
        <w:ind w:left="1134" w:hanging="425"/>
      </w:pPr>
      <w:r>
        <w:t xml:space="preserve">the </w:t>
      </w:r>
      <w:r w:rsidRPr="00E44CD8">
        <w:t>Offset Management Plan has been approved by DELWP</w:t>
      </w:r>
      <w:r>
        <w:t>;</w:t>
      </w:r>
    </w:p>
    <w:p w14:paraId="3E26C639" w14:textId="77777777" w:rsidR="00293C27" w:rsidRDefault="00293C27" w:rsidP="008A5431">
      <w:pPr>
        <w:pStyle w:val="ListParagraph"/>
        <w:keepNext/>
        <w:numPr>
          <w:ilvl w:val="1"/>
          <w:numId w:val="4"/>
        </w:numPr>
        <w:ind w:left="1134" w:hanging="425"/>
      </w:pPr>
      <w:r>
        <w:t xml:space="preserve">that the </w:t>
      </w:r>
      <w:bookmarkStart w:id="0" w:name="_GoBack"/>
      <w:bookmarkEnd w:id="0"/>
      <w:r>
        <w:t xml:space="preserve">approved Offset Management Plan (including associated management measures and progress reports) have been or will be published on the Licensee’s website; and </w:t>
      </w:r>
    </w:p>
    <w:p w14:paraId="743A8EA4" w14:textId="3513C71C" w:rsidR="00765602" w:rsidRDefault="0065791E" w:rsidP="00744190">
      <w:pPr>
        <w:pStyle w:val="ListParagraph"/>
        <w:numPr>
          <w:ilvl w:val="1"/>
          <w:numId w:val="4"/>
        </w:numPr>
        <w:ind w:left="1134" w:hanging="425"/>
      </w:pPr>
      <w:r w:rsidRPr="00E44CD8">
        <w:t>offsets set out in this plan have been secured</w:t>
      </w:r>
      <w:r>
        <w:t xml:space="preserve"> under either </w:t>
      </w:r>
      <w:r w:rsidR="00765602">
        <w:t xml:space="preserve">a security agreement under s. </w:t>
      </w:r>
      <w:r>
        <w:t xml:space="preserve">69 </w:t>
      </w:r>
      <w:r w:rsidR="00765602">
        <w:t xml:space="preserve">of the </w:t>
      </w:r>
      <w:r w:rsidR="00765602" w:rsidRPr="00296BA0">
        <w:rPr>
          <w:i/>
        </w:rPr>
        <w:t>Conservation Forests and Land Act 1987</w:t>
      </w:r>
      <w:r w:rsidR="00765602">
        <w:t xml:space="preserve"> or an agreement under s. 1</w:t>
      </w:r>
      <w:r w:rsidR="00A41EDC">
        <w:t>7</w:t>
      </w:r>
      <w:r w:rsidR="00765602">
        <w:t xml:space="preserve">3 of the </w:t>
      </w:r>
      <w:r w:rsidR="00765602" w:rsidRPr="00296BA0">
        <w:rPr>
          <w:i/>
        </w:rPr>
        <w:t>Planning and Environment Act 1987</w:t>
      </w:r>
      <w:r w:rsidR="00765602">
        <w:t>;</w:t>
      </w:r>
      <w:r w:rsidR="0006655D">
        <w:t xml:space="preserve"> and</w:t>
      </w:r>
    </w:p>
    <w:p w14:paraId="2F340048" w14:textId="2952BB5F" w:rsidR="00765602" w:rsidRPr="00AB567F" w:rsidRDefault="00765602" w:rsidP="0065791E">
      <w:pPr>
        <w:pStyle w:val="ListParagraph"/>
        <w:numPr>
          <w:ilvl w:val="0"/>
          <w:numId w:val="1"/>
        </w:numPr>
      </w:pPr>
      <w:r w:rsidRPr="00E44CD8">
        <w:t>Prior to the commencement of mining (including construction of mining infrastructure) the Licensee must, in consultation with</w:t>
      </w:r>
      <w:r>
        <w:t xml:space="preserve"> the relevant areas of</w:t>
      </w:r>
      <w:r w:rsidRPr="00E44CD8">
        <w:t xml:space="preserve"> DELWP, </w:t>
      </w:r>
      <w:r w:rsidRPr="00145D67">
        <w:t xml:space="preserve">review the </w:t>
      </w:r>
      <w:r w:rsidR="00A41EDC" w:rsidRPr="00145D67">
        <w:t>Protection of Flora and Fauna Management Plan</w:t>
      </w:r>
      <w:r w:rsidR="00145D67">
        <w:t xml:space="preserve"> and </w:t>
      </w:r>
      <w:r w:rsidR="002C21B5">
        <w:t xml:space="preserve">the </w:t>
      </w:r>
      <w:r w:rsidR="00145D67">
        <w:t>Land Access and Clea</w:t>
      </w:r>
      <w:r w:rsidR="00B40CE9">
        <w:t>ring Management Plan</w:t>
      </w:r>
      <w:r w:rsidRPr="00145D67">
        <w:t>, following completion of pre-constru</w:t>
      </w:r>
      <w:r>
        <w:t>ction surveys, to ensure it has addressed the recommendation of the Minister</w:t>
      </w:r>
      <w:r w:rsidR="002C21B5">
        <w:t xml:space="preserve">’s Assessment </w:t>
      </w:r>
      <w:r>
        <w:t>in relation to protection of flora and fauna</w:t>
      </w:r>
      <w:r w:rsidRPr="00E44CD8">
        <w:t xml:space="preserve">. The </w:t>
      </w:r>
      <w:r>
        <w:t xml:space="preserve">management </w:t>
      </w:r>
      <w:r w:rsidR="002C21B5">
        <w:t>plan</w:t>
      </w:r>
      <w:r w:rsidR="00296BA0">
        <w:t>s</w:t>
      </w:r>
      <w:r w:rsidR="002C21B5">
        <w:t xml:space="preserve"> </w:t>
      </w:r>
      <w:r w:rsidRPr="00E44CD8">
        <w:t xml:space="preserve">must be provided to </w:t>
      </w:r>
      <w:r w:rsidR="00A84EE1">
        <w:t>ERR</w:t>
      </w:r>
      <w:r w:rsidR="002D40A5">
        <w:t>’s</w:t>
      </w:r>
      <w:r w:rsidR="00A84EE1">
        <w:t xml:space="preserve"> </w:t>
      </w:r>
      <w:r w:rsidRPr="00E44CD8">
        <w:t>Regional Manager, Gippsland, accompanied by evidence of consultation with</w:t>
      </w:r>
      <w:r>
        <w:t xml:space="preserve"> the relevant areas of</w:t>
      </w:r>
      <w:r w:rsidRPr="00E44CD8">
        <w:t xml:space="preserve"> DELWP, including that the Licens</w:t>
      </w:r>
      <w:r>
        <w:t>ee has responded to concerns raised.</w:t>
      </w:r>
    </w:p>
    <w:p w14:paraId="45EA4584" w14:textId="2977A697" w:rsidR="008878DC" w:rsidRPr="00AB567F" w:rsidRDefault="00944B51" w:rsidP="00296BA0">
      <w:pPr>
        <w:pStyle w:val="ListParagraph"/>
        <w:numPr>
          <w:ilvl w:val="0"/>
          <w:numId w:val="1"/>
        </w:numPr>
      </w:pPr>
      <w:r w:rsidRPr="00E44CD8">
        <w:t>Prior to the commencement of mining (including construction of mining infrastructure)</w:t>
      </w:r>
      <w:r w:rsidR="005B3D57" w:rsidRPr="00AB567F">
        <w:t xml:space="preserve">, provide </w:t>
      </w:r>
      <w:r w:rsidR="00A84EE1">
        <w:t>to ERR</w:t>
      </w:r>
      <w:r w:rsidR="002D40A5">
        <w:t>’s</w:t>
      </w:r>
      <w:r w:rsidR="00A84EE1">
        <w:t xml:space="preserve"> </w:t>
      </w:r>
      <w:r w:rsidR="00124B4F">
        <w:t>Regional Manager, Gippsland,</w:t>
      </w:r>
      <w:r w:rsidR="00124B4F" w:rsidRPr="00AB567F">
        <w:t xml:space="preserve"> </w:t>
      </w:r>
      <w:r w:rsidR="008878DC" w:rsidRPr="00AB567F">
        <w:t xml:space="preserve">a copy of the Feral Animal Management Plan </w:t>
      </w:r>
      <w:r w:rsidR="0099670A" w:rsidRPr="00AB567F">
        <w:t>that satisfie</w:t>
      </w:r>
      <w:r w:rsidR="0045645A" w:rsidRPr="00AB567F">
        <w:t>s</w:t>
      </w:r>
      <w:r w:rsidR="00D5131D" w:rsidRPr="00AB567F">
        <w:t xml:space="preserve"> the</w:t>
      </w:r>
      <w:r w:rsidR="0045645A" w:rsidRPr="00AB567F">
        <w:t xml:space="preserve"> </w:t>
      </w:r>
      <w:r w:rsidR="002F7E3A" w:rsidRPr="00AB567F">
        <w:t xml:space="preserve">recommendations </w:t>
      </w:r>
      <w:r w:rsidR="00D5131D" w:rsidRPr="00AB567F">
        <w:t>set out in the Minister</w:t>
      </w:r>
      <w:r w:rsidR="007E34F1" w:rsidRPr="00AB567F">
        <w:t>’s</w:t>
      </w:r>
      <w:r w:rsidR="00D5131D" w:rsidRPr="00AB567F">
        <w:t xml:space="preserve"> Assessment </w:t>
      </w:r>
      <w:r w:rsidR="008878DC" w:rsidRPr="00AB567F">
        <w:t>accompanied by evidence of consultation with DELWP</w:t>
      </w:r>
      <w:r w:rsidR="004C198F">
        <w:t xml:space="preserve">, including that the Licensee has </w:t>
      </w:r>
      <w:r>
        <w:t>addressed any</w:t>
      </w:r>
      <w:r w:rsidR="004C198F">
        <w:t xml:space="preserve"> concerns raised by DELWP</w:t>
      </w:r>
      <w:r w:rsidR="008878DC" w:rsidRPr="00AB567F">
        <w:t xml:space="preserve">. </w:t>
      </w:r>
    </w:p>
    <w:p w14:paraId="13CF7C26" w14:textId="5C0BC144" w:rsidR="006954CB" w:rsidRPr="00AB567F" w:rsidRDefault="006954CB" w:rsidP="00296BA0">
      <w:pPr>
        <w:pStyle w:val="ListParagraph"/>
        <w:numPr>
          <w:ilvl w:val="0"/>
          <w:numId w:val="1"/>
        </w:numPr>
      </w:pPr>
      <w:r w:rsidRPr="00AB567F">
        <w:t>Any consequential loss of native vegetation resulting</w:t>
      </w:r>
      <w:r w:rsidR="002F57B0" w:rsidRPr="00AB567F">
        <w:t xml:space="preserve"> </w:t>
      </w:r>
      <w:r w:rsidR="008F1B6C" w:rsidRPr="00AB567F">
        <w:t xml:space="preserve">from the </w:t>
      </w:r>
      <w:r w:rsidR="002F57B0" w:rsidRPr="00AB567F">
        <w:t>operation</w:t>
      </w:r>
      <w:r w:rsidR="001B69E9" w:rsidRPr="00AB567F">
        <w:t>al</w:t>
      </w:r>
      <w:r w:rsidR="002F57B0" w:rsidRPr="00AB567F">
        <w:t xml:space="preserve"> activi</w:t>
      </w:r>
      <w:r w:rsidR="007811EB" w:rsidRPr="00AB567F">
        <w:t>ti</w:t>
      </w:r>
      <w:r w:rsidR="002F57B0" w:rsidRPr="00AB567F">
        <w:t>es</w:t>
      </w:r>
      <w:r w:rsidR="008207CA" w:rsidRPr="00AB567F">
        <w:t xml:space="preserve"> must be reported to the Department</w:t>
      </w:r>
      <w:r w:rsidR="001B69E9" w:rsidRPr="00AB567F">
        <w:t xml:space="preserve"> </w:t>
      </w:r>
      <w:r w:rsidR="007F7416" w:rsidRPr="00AB567F">
        <w:t xml:space="preserve">within </w:t>
      </w:r>
      <w:r w:rsidR="0009695F">
        <w:t>7</w:t>
      </w:r>
      <w:r w:rsidR="0009695F" w:rsidRPr="00AB567F">
        <w:t xml:space="preserve"> </w:t>
      </w:r>
      <w:r w:rsidR="007F7416" w:rsidRPr="00AB567F">
        <w:t xml:space="preserve">days of </w:t>
      </w:r>
      <w:r w:rsidR="007A3669" w:rsidRPr="00AB567F">
        <w:t xml:space="preserve">identification </w:t>
      </w:r>
      <w:r w:rsidR="001B69E9" w:rsidRPr="00AB567F">
        <w:t>and</w:t>
      </w:r>
      <w:r w:rsidR="00072902" w:rsidRPr="00AB567F">
        <w:t xml:space="preserve"> the</w:t>
      </w:r>
      <w:r w:rsidR="001B69E9" w:rsidRPr="00AB567F">
        <w:t xml:space="preserve"> appropriate </w:t>
      </w:r>
      <w:r w:rsidR="00315B8A" w:rsidRPr="00AB567F">
        <w:t xml:space="preserve">native vegetation </w:t>
      </w:r>
      <w:r w:rsidR="001B69E9" w:rsidRPr="00AB567F">
        <w:t>offsets obtained</w:t>
      </w:r>
      <w:r w:rsidR="007E34F1" w:rsidRPr="00AB567F">
        <w:t xml:space="preserve"> (within 6 months)</w:t>
      </w:r>
      <w:r w:rsidR="00315B8A" w:rsidRPr="00AB567F">
        <w:t>, where these areas were not accounted for in existing offset arrangements.</w:t>
      </w:r>
    </w:p>
    <w:p w14:paraId="371908CE" w14:textId="2A1023FB" w:rsidR="00CC03AF" w:rsidRPr="00CC03AF" w:rsidRDefault="00CC03AF" w:rsidP="00296BA0">
      <w:pPr>
        <w:pStyle w:val="ListParagraph"/>
        <w:numPr>
          <w:ilvl w:val="0"/>
          <w:numId w:val="1"/>
        </w:numPr>
      </w:pPr>
      <w:r w:rsidRPr="00AB567F">
        <w:t xml:space="preserve">Prior to the submission of </w:t>
      </w:r>
      <w:r w:rsidR="00F243A9">
        <w:t xml:space="preserve">the </w:t>
      </w:r>
      <w:r w:rsidRPr="00AB567F">
        <w:t xml:space="preserve">work plan variation for </w:t>
      </w:r>
      <w:r w:rsidRPr="00CC03AF">
        <w:t xml:space="preserve">Stage 2 of the </w:t>
      </w:r>
      <w:r w:rsidR="0065791E">
        <w:t>TSF</w:t>
      </w:r>
      <w:r w:rsidRPr="00CC03AF">
        <w:t>, the Licensee must develop appropriate measure</w:t>
      </w:r>
      <w:r w:rsidR="007E34F1">
        <w:t>/s</w:t>
      </w:r>
      <w:r w:rsidRPr="00CC03AF">
        <w:t xml:space="preserve"> to provide stream flow for the 0.75km section of Straights Creek that will be bypassed by the relocation of the spillway north of Monkey’s Knob.</w:t>
      </w:r>
    </w:p>
    <w:p w14:paraId="7AF3B969" w14:textId="628FF35D" w:rsidR="00891CDC" w:rsidRDefault="00891CDC" w:rsidP="008A0075">
      <w:pPr>
        <w:keepNext/>
        <w:rPr>
          <w:b/>
        </w:rPr>
      </w:pPr>
      <w:r>
        <w:rPr>
          <w:b/>
        </w:rPr>
        <w:t xml:space="preserve">Fire </w:t>
      </w:r>
    </w:p>
    <w:p w14:paraId="4778126C" w14:textId="6E3EC0E6" w:rsidR="00891CDC" w:rsidRPr="00891CDC" w:rsidRDefault="007E34F1" w:rsidP="00296BA0">
      <w:pPr>
        <w:pStyle w:val="ListParagraph"/>
        <w:numPr>
          <w:ilvl w:val="0"/>
          <w:numId w:val="1"/>
        </w:numPr>
      </w:pPr>
      <w:r w:rsidRPr="00952773">
        <w:t>Prior to the commencement of mining</w:t>
      </w:r>
      <w:r>
        <w:t xml:space="preserve"> (including construction of mining infrastructure)</w:t>
      </w:r>
      <w:r w:rsidR="00C869E7">
        <w:t xml:space="preserve">, </w:t>
      </w:r>
      <w:r w:rsidR="00B93BBD">
        <w:t xml:space="preserve">the Licensee must </w:t>
      </w:r>
      <w:r w:rsidR="00C869E7">
        <w:t xml:space="preserve">provide the Department with a copy of the </w:t>
      </w:r>
      <w:r w:rsidR="00884822">
        <w:t xml:space="preserve">Bushfire Management Plan </w:t>
      </w:r>
      <w:r w:rsidR="00C869E7" w:rsidRPr="00C869E7">
        <w:t xml:space="preserve">accompanied by evidence of consultation with </w:t>
      </w:r>
      <w:r w:rsidR="00C869E7">
        <w:t xml:space="preserve">Country Fire Authority </w:t>
      </w:r>
      <w:r w:rsidR="00AD74E9">
        <w:t xml:space="preserve">and </w:t>
      </w:r>
      <w:r w:rsidR="00E94D0D">
        <w:t>DELWP</w:t>
      </w:r>
      <w:r w:rsidR="00AD74E9">
        <w:t xml:space="preserve">, including that the Licensee has </w:t>
      </w:r>
      <w:r w:rsidR="00944B51">
        <w:t>addressed any</w:t>
      </w:r>
      <w:r w:rsidR="00AD74E9">
        <w:t xml:space="preserve"> concerns raised by the Country Fire Authority and DELWP</w:t>
      </w:r>
      <w:r w:rsidR="00E94D0D">
        <w:t>.</w:t>
      </w:r>
    </w:p>
    <w:p w14:paraId="2DD408EC" w14:textId="01646977" w:rsidR="00E94D0D" w:rsidRDefault="00E94D0D" w:rsidP="00AF4893">
      <w:pPr>
        <w:keepNext/>
        <w:rPr>
          <w:b/>
        </w:rPr>
      </w:pPr>
      <w:r>
        <w:rPr>
          <w:b/>
        </w:rPr>
        <w:lastRenderedPageBreak/>
        <w:t>Traffic</w:t>
      </w:r>
    </w:p>
    <w:p w14:paraId="042E98F4" w14:textId="3F27C72E" w:rsidR="00E94D0D" w:rsidRPr="00E94D0D" w:rsidRDefault="007E34F1" w:rsidP="003D0DF8">
      <w:pPr>
        <w:pStyle w:val="ListParagraph"/>
        <w:keepLines/>
        <w:numPr>
          <w:ilvl w:val="0"/>
          <w:numId w:val="1"/>
        </w:numPr>
        <w:ind w:left="714" w:hanging="357"/>
      </w:pPr>
      <w:r w:rsidRPr="00952773">
        <w:t>Prior to the commencement of mining</w:t>
      </w:r>
      <w:r>
        <w:t xml:space="preserve"> (including construction of mining infrastructure)</w:t>
      </w:r>
      <w:r w:rsidR="00E94D0D">
        <w:t xml:space="preserve">, </w:t>
      </w:r>
      <w:r w:rsidR="0083601D">
        <w:t xml:space="preserve">the Licensee must </w:t>
      </w:r>
      <w:r w:rsidR="00716ACB">
        <w:t xml:space="preserve">provide the </w:t>
      </w:r>
      <w:r w:rsidR="00AA4139">
        <w:t xml:space="preserve">Department with a letter from its Chief Executive Officer (or duly authorised representative) confirming that that an </w:t>
      </w:r>
      <w:r w:rsidR="00A51CB5">
        <w:t>Integrated Traffic Management Plan</w:t>
      </w:r>
      <w:r w:rsidR="00AD74E9">
        <w:t xml:space="preserve"> </w:t>
      </w:r>
      <w:r w:rsidR="00AA4139">
        <w:t>has been developed to the satisfaction of the East Gippsland Shire Council, in</w:t>
      </w:r>
      <w:r w:rsidR="00AD74E9">
        <w:t xml:space="preserve"> consultation with </w:t>
      </w:r>
      <w:r w:rsidR="00716ACB">
        <w:t xml:space="preserve">VicRoads and </w:t>
      </w:r>
      <w:r w:rsidR="00AA4139">
        <w:t>relevant emergency services</w:t>
      </w:r>
      <w:r w:rsidR="00716ACB">
        <w:t>.</w:t>
      </w:r>
    </w:p>
    <w:p w14:paraId="3B1E6403" w14:textId="5A4899E4" w:rsidR="007A6AD9" w:rsidRPr="006D0B2D" w:rsidRDefault="007A6AD9" w:rsidP="00AF4893">
      <w:pPr>
        <w:keepNext/>
        <w:rPr>
          <w:b/>
        </w:rPr>
      </w:pPr>
      <w:r w:rsidRPr="006D0B2D">
        <w:rPr>
          <w:b/>
        </w:rPr>
        <w:t>Rehabilitation</w:t>
      </w:r>
    </w:p>
    <w:p w14:paraId="6A9361DD" w14:textId="014DA0E2" w:rsidR="00765602" w:rsidRDefault="00895F98" w:rsidP="009E0C96">
      <w:pPr>
        <w:pStyle w:val="ListParagraph"/>
        <w:keepNext/>
        <w:keepLines/>
        <w:numPr>
          <w:ilvl w:val="0"/>
          <w:numId w:val="1"/>
        </w:numPr>
      </w:pPr>
      <w:r>
        <w:t xml:space="preserve">Within 2 years </w:t>
      </w:r>
      <w:r w:rsidR="002B0A8F">
        <w:t>of</w:t>
      </w:r>
      <w:r>
        <w:t xml:space="preserve"> the commencement of </w:t>
      </w:r>
      <w:r w:rsidR="009D1834">
        <w:t xml:space="preserve">underground </w:t>
      </w:r>
      <w:r>
        <w:t>mining</w:t>
      </w:r>
      <w:r w:rsidR="008D742A">
        <w:t xml:space="preserve"> </w:t>
      </w:r>
      <w:r w:rsidR="00296BA0">
        <w:t>and every 3 years thereafter</w:t>
      </w:r>
      <w:r>
        <w:t xml:space="preserve">, the </w:t>
      </w:r>
      <w:r w:rsidR="009D1834">
        <w:t xml:space="preserve">Licensee </w:t>
      </w:r>
      <w:r>
        <w:t xml:space="preserve">must </w:t>
      </w:r>
      <w:r w:rsidR="00B33D0E">
        <w:t>submit to the Department</w:t>
      </w:r>
      <w:r w:rsidR="00EB5D49">
        <w:t xml:space="preserve"> </w:t>
      </w:r>
      <w:r w:rsidR="00B33D0E">
        <w:t xml:space="preserve">a </w:t>
      </w:r>
      <w:r w:rsidR="004B2B0C">
        <w:t>R</w:t>
      </w:r>
      <w:r>
        <w:t xml:space="preserve">ehabilitation </w:t>
      </w:r>
      <w:r w:rsidR="00A41EDC">
        <w:t xml:space="preserve">and Closure </w:t>
      </w:r>
      <w:r w:rsidR="004B2B0C">
        <w:t>P</w:t>
      </w:r>
      <w:r>
        <w:t>lan</w:t>
      </w:r>
      <w:r w:rsidR="00A41EDC">
        <w:t xml:space="preserve"> (RCP)</w:t>
      </w:r>
      <w:r w:rsidR="009C752A">
        <w:t>, prepared by a suitab</w:t>
      </w:r>
      <w:r w:rsidR="00296BA0">
        <w:t>ly</w:t>
      </w:r>
      <w:r w:rsidR="009C752A">
        <w:t xml:space="preserve"> </w:t>
      </w:r>
      <w:r w:rsidR="000537B5">
        <w:t xml:space="preserve">qualified and </w:t>
      </w:r>
      <w:r w:rsidR="009C752A">
        <w:t>experience</w:t>
      </w:r>
      <w:r w:rsidR="00296BA0">
        <w:t>d</w:t>
      </w:r>
      <w:r w:rsidR="009C752A">
        <w:t xml:space="preserve"> </w:t>
      </w:r>
      <w:r w:rsidR="000537B5">
        <w:t>person</w:t>
      </w:r>
      <w:r w:rsidR="00EB5D49">
        <w:t xml:space="preserve">. </w:t>
      </w:r>
      <w:r w:rsidR="000537B5">
        <w:t>T</w:t>
      </w:r>
      <w:r w:rsidR="009C752A">
        <w:t>he RCP must be reviewed by the ITR panel and any issues addressed and documented</w:t>
      </w:r>
      <w:r w:rsidR="000537B5">
        <w:t xml:space="preserve"> prior to the RCP being submitted to the Department</w:t>
      </w:r>
      <w:r w:rsidR="009C752A">
        <w:t xml:space="preserve">. </w:t>
      </w:r>
      <w:r w:rsidR="008D742A">
        <w:t>T</w:t>
      </w:r>
      <w:r w:rsidR="00FB3672">
        <w:t xml:space="preserve">he </w:t>
      </w:r>
      <w:r w:rsidR="00A41EDC">
        <w:t>RCP</w:t>
      </w:r>
      <w:r w:rsidR="00FB3672">
        <w:t xml:space="preserve"> </w:t>
      </w:r>
      <w:r w:rsidR="00D14DB2">
        <w:t xml:space="preserve">must </w:t>
      </w:r>
      <w:r w:rsidR="00F82CAF">
        <w:t>be submitted to the Department as a work plan variation for approval</w:t>
      </w:r>
      <w:r w:rsidR="00366016">
        <w:t xml:space="preserve"> under section 41 of the Act</w:t>
      </w:r>
      <w:r w:rsidR="00F82CAF">
        <w:t>.</w:t>
      </w:r>
    </w:p>
    <w:p w14:paraId="62EB073B" w14:textId="305BEE65" w:rsidR="00AE4BFD" w:rsidRDefault="00AE4BFD" w:rsidP="009E0C96">
      <w:pPr>
        <w:pStyle w:val="ListParagraph"/>
        <w:keepLines/>
        <w:numPr>
          <w:ilvl w:val="0"/>
          <w:numId w:val="1"/>
        </w:numPr>
      </w:pPr>
      <w:r>
        <w:t xml:space="preserve">The </w:t>
      </w:r>
      <w:r w:rsidR="009C752A">
        <w:t>RCP</w:t>
      </w:r>
      <w:r>
        <w:t xml:space="preserve"> must </w:t>
      </w:r>
      <w:r w:rsidR="006727B1">
        <w:t>include</w:t>
      </w:r>
      <w:r w:rsidR="00654A46">
        <w:t xml:space="preserve"> </w:t>
      </w:r>
      <w:r w:rsidR="00BE5E98">
        <w:t xml:space="preserve">post closure management </w:t>
      </w:r>
      <w:r w:rsidR="000537B5">
        <w:t>of all residual environmental risks arising from the Licensee’s mining operation</w:t>
      </w:r>
      <w:r w:rsidR="00765602">
        <w:t xml:space="preserve">, including but not limited to the long-term monitoring regime for the Wilga and Currawong underground, to verify </w:t>
      </w:r>
      <w:r w:rsidR="000537B5">
        <w:t>any potential</w:t>
      </w:r>
      <w:r w:rsidR="00765602">
        <w:t xml:space="preserve"> impact of groundwater recharge</w:t>
      </w:r>
      <w:r w:rsidR="000537B5">
        <w:t xml:space="preserve"> and on water quality in the Tambo River</w:t>
      </w:r>
      <w:r w:rsidR="00765602">
        <w:t>.</w:t>
      </w:r>
    </w:p>
    <w:p w14:paraId="42540F1B" w14:textId="50380B38" w:rsidR="00CC03AF" w:rsidRDefault="00473159" w:rsidP="009E0C96">
      <w:pPr>
        <w:pStyle w:val="ListParagraph"/>
        <w:keepLines/>
        <w:numPr>
          <w:ilvl w:val="0"/>
          <w:numId w:val="1"/>
        </w:numPr>
      </w:pPr>
      <w:r w:rsidRPr="000F6A86">
        <w:t xml:space="preserve">The Licensee is required to engage an auditor to certify that land has been rehabilitated in accordance with the approved rehabilitation plan </w:t>
      </w:r>
      <w:proofErr w:type="gramStart"/>
      <w:r w:rsidRPr="000F6A86">
        <w:t>for the purpose of</w:t>
      </w:r>
      <w:proofErr w:type="gramEnd"/>
      <w:r w:rsidRPr="000F6A86">
        <w:t xml:space="preserve"> deciding whether to return the rehabilitation </w:t>
      </w:r>
      <w:r w:rsidR="00B93BBD">
        <w:t>bond</w:t>
      </w:r>
      <w:r w:rsidR="00B93BBD" w:rsidRPr="000F6A86">
        <w:t xml:space="preserve"> </w:t>
      </w:r>
      <w:r w:rsidRPr="000F6A86">
        <w:t xml:space="preserve">under s. 82 of the </w:t>
      </w:r>
      <w:r w:rsidRPr="004758DC">
        <w:rPr>
          <w:i/>
        </w:rPr>
        <w:t>Mineral Resources (Sustainable Development) Act, 1990</w:t>
      </w:r>
      <w:r w:rsidRPr="000F6A86">
        <w:t xml:space="preserve">. </w:t>
      </w:r>
    </w:p>
    <w:p w14:paraId="315C709E" w14:textId="77777777" w:rsidR="00D34953" w:rsidRPr="00D34953" w:rsidRDefault="00D34953" w:rsidP="00D34953">
      <w:pPr>
        <w:keepNext/>
        <w:keepLines/>
        <w:rPr>
          <w:b/>
        </w:rPr>
      </w:pPr>
      <w:r w:rsidRPr="00D34953">
        <w:rPr>
          <w:b/>
        </w:rPr>
        <w:t>Stockman Project Post Closure Deed</w:t>
      </w:r>
    </w:p>
    <w:p w14:paraId="425936F0" w14:textId="17ED2725" w:rsidR="00D34953" w:rsidRPr="00473159" w:rsidRDefault="00D34953" w:rsidP="009E0C96">
      <w:pPr>
        <w:pStyle w:val="ListParagraph"/>
        <w:keepNext/>
        <w:keepLines/>
        <w:numPr>
          <w:ilvl w:val="0"/>
          <w:numId w:val="1"/>
        </w:numPr>
      </w:pPr>
      <w:r>
        <w:t xml:space="preserve">The Licensee must </w:t>
      </w:r>
      <w:r w:rsidR="00B93BBD">
        <w:t xml:space="preserve">ensure </w:t>
      </w:r>
      <w:r>
        <w:t>that the Closure Expert, as defined in the Stockman Project Post Closure Deed, provides the Post Closure Management Plan to the Independent Technical Review P</w:t>
      </w:r>
      <w:r w:rsidR="004758DC">
        <w:t>anel</w:t>
      </w:r>
      <w:r>
        <w:t xml:space="preserve"> for review in accordance with requirements set out in s. 4.2(b) of the Deed.</w:t>
      </w:r>
    </w:p>
    <w:p w14:paraId="5F8C29A2" w14:textId="77777777" w:rsidR="00D34953" w:rsidRPr="00473159" w:rsidRDefault="00D34953" w:rsidP="00D34953">
      <w:pPr>
        <w:keepLines/>
      </w:pPr>
    </w:p>
    <w:sectPr w:rsidR="00D34953" w:rsidRPr="004731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0155" w14:textId="77777777" w:rsidR="00263954" w:rsidRDefault="00263954" w:rsidP="009134B5">
      <w:pPr>
        <w:spacing w:after="0" w:line="240" w:lineRule="auto"/>
      </w:pPr>
      <w:r>
        <w:separator/>
      </w:r>
    </w:p>
  </w:endnote>
  <w:endnote w:type="continuationSeparator" w:id="0">
    <w:p w14:paraId="7105F813" w14:textId="77777777" w:rsidR="00263954" w:rsidRDefault="00263954" w:rsidP="0091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353646"/>
      <w:docPartObj>
        <w:docPartGallery w:val="Page Numbers (Bottom of Page)"/>
        <w:docPartUnique/>
      </w:docPartObj>
    </w:sdtPr>
    <w:sdtEndPr/>
    <w:sdtContent>
      <w:sdt>
        <w:sdtPr>
          <w:id w:val="-1769616900"/>
          <w:docPartObj>
            <w:docPartGallery w:val="Page Numbers (Top of Page)"/>
            <w:docPartUnique/>
          </w:docPartObj>
        </w:sdtPr>
        <w:sdtEndPr/>
        <w:sdtContent>
          <w:p w14:paraId="166DF235" w14:textId="250E45F0" w:rsidR="00C1131D" w:rsidRPr="00C1131D" w:rsidRDefault="00C1131D" w:rsidP="000B0D0F">
            <w:pPr>
              <w:pStyle w:val="Footer"/>
            </w:pPr>
            <w:r w:rsidRPr="00C1131D">
              <w:tab/>
              <w:t xml:space="preserve">Page </w:t>
            </w:r>
            <w:r w:rsidRPr="000B0D0F">
              <w:rPr>
                <w:b/>
                <w:bCs/>
              </w:rPr>
              <w:fldChar w:fldCharType="begin"/>
            </w:r>
            <w:r w:rsidRPr="000B0D0F">
              <w:rPr>
                <w:b/>
                <w:bCs/>
              </w:rPr>
              <w:instrText xml:space="preserve"> PAGE </w:instrText>
            </w:r>
            <w:r w:rsidRPr="000B0D0F">
              <w:rPr>
                <w:b/>
                <w:bCs/>
              </w:rPr>
              <w:fldChar w:fldCharType="separate"/>
            </w:r>
            <w:r w:rsidRPr="000B0D0F">
              <w:rPr>
                <w:b/>
                <w:bCs/>
                <w:noProof/>
              </w:rPr>
              <w:t>2</w:t>
            </w:r>
            <w:r w:rsidRPr="000B0D0F">
              <w:rPr>
                <w:b/>
                <w:bCs/>
              </w:rPr>
              <w:fldChar w:fldCharType="end"/>
            </w:r>
            <w:r w:rsidRPr="00C1131D">
              <w:t xml:space="preserve"> of </w:t>
            </w:r>
            <w:r w:rsidRPr="000B0D0F">
              <w:rPr>
                <w:b/>
                <w:bCs/>
              </w:rPr>
              <w:fldChar w:fldCharType="begin"/>
            </w:r>
            <w:r w:rsidRPr="000B0D0F">
              <w:rPr>
                <w:b/>
                <w:bCs/>
              </w:rPr>
              <w:instrText xml:space="preserve"> NUMPAGES  </w:instrText>
            </w:r>
            <w:r w:rsidRPr="000B0D0F">
              <w:rPr>
                <w:b/>
                <w:bCs/>
              </w:rPr>
              <w:fldChar w:fldCharType="separate"/>
            </w:r>
            <w:r w:rsidRPr="000B0D0F">
              <w:rPr>
                <w:b/>
                <w:bCs/>
                <w:noProof/>
              </w:rPr>
              <w:t>2</w:t>
            </w:r>
            <w:r w:rsidRPr="000B0D0F">
              <w:rPr>
                <w:b/>
                <w:bCs/>
              </w:rPr>
              <w:fldChar w:fldCharType="end"/>
            </w:r>
          </w:p>
        </w:sdtContent>
      </w:sdt>
    </w:sdtContent>
  </w:sdt>
  <w:p w14:paraId="1C7635F8" w14:textId="42CE478C" w:rsidR="00D37579" w:rsidRDefault="00D3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C282" w14:textId="77777777" w:rsidR="00263954" w:rsidRDefault="00263954" w:rsidP="009134B5">
      <w:pPr>
        <w:spacing w:after="0" w:line="240" w:lineRule="auto"/>
      </w:pPr>
      <w:r>
        <w:separator/>
      </w:r>
    </w:p>
  </w:footnote>
  <w:footnote w:type="continuationSeparator" w:id="0">
    <w:p w14:paraId="3B2D6C78" w14:textId="77777777" w:rsidR="00263954" w:rsidRDefault="00263954" w:rsidP="0091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9EBF" w14:textId="77777777" w:rsidR="00A9080B" w:rsidRDefault="00A9080B" w:rsidP="00A9080B">
    <w:pPr>
      <w:jc w:val="center"/>
      <w:rPr>
        <w:b/>
        <w:sz w:val="28"/>
      </w:rPr>
    </w:pPr>
  </w:p>
  <w:p w14:paraId="5D7CC6AB" w14:textId="6FC53D53" w:rsidR="00A9080B" w:rsidRDefault="00A9080B" w:rsidP="00A9080B">
    <w:pPr>
      <w:jc w:val="center"/>
      <w:rPr>
        <w:b/>
        <w:sz w:val="28"/>
      </w:rPr>
    </w:pPr>
    <w:r w:rsidRPr="009C1409">
      <w:rPr>
        <w:b/>
        <w:sz w:val="28"/>
      </w:rPr>
      <w:t>Work Plan Conditions</w:t>
    </w:r>
  </w:p>
  <w:p w14:paraId="3D1D9BAC" w14:textId="61888612" w:rsidR="00A9080B" w:rsidRDefault="00A9080B" w:rsidP="00A9080B">
    <w:pPr>
      <w:pStyle w:val="Header"/>
      <w:pBdr>
        <w:bottom w:val="single" w:sz="12" w:space="1" w:color="auto"/>
      </w:pBdr>
      <w:jc w:val="center"/>
      <w:rPr>
        <w:b/>
        <w:sz w:val="28"/>
      </w:rPr>
    </w:pPr>
    <w:r>
      <w:rPr>
        <w:b/>
        <w:sz w:val="28"/>
      </w:rPr>
      <w:t>Mining Licences - MIN5523 &amp; MIN006642</w:t>
    </w:r>
  </w:p>
  <w:p w14:paraId="4D8C3B47" w14:textId="77777777" w:rsidR="00265508" w:rsidRDefault="00265508" w:rsidP="00A9080B">
    <w:pPr>
      <w:pStyle w:val="Header"/>
      <w:pBdr>
        <w:bottom w:val="single" w:sz="12" w:space="1" w:color="auto"/>
      </w:pBdr>
      <w:jc w:val="center"/>
      <w:rPr>
        <w:b/>
        <w:sz w:val="28"/>
      </w:rPr>
    </w:pPr>
  </w:p>
  <w:p w14:paraId="57B8A46B" w14:textId="77777777" w:rsidR="00265508" w:rsidRDefault="00265508" w:rsidP="00A9080B">
    <w:pPr>
      <w:pStyle w:val="Header"/>
      <w:jc w:val="center"/>
      <w:rPr>
        <w:b/>
        <w:sz w:val="28"/>
      </w:rPr>
    </w:pPr>
  </w:p>
  <w:p w14:paraId="080E9C30" w14:textId="77777777" w:rsidR="00A9080B" w:rsidRDefault="00A9080B" w:rsidP="00265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5402"/>
    <w:multiLevelType w:val="hybridMultilevel"/>
    <w:tmpl w:val="5A5844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6B0586"/>
    <w:multiLevelType w:val="hybridMultilevel"/>
    <w:tmpl w:val="2EB89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EC33CA"/>
    <w:multiLevelType w:val="hybridMultilevel"/>
    <w:tmpl w:val="7C6A7C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143C55"/>
    <w:multiLevelType w:val="hybridMultilevel"/>
    <w:tmpl w:val="DB3E65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140168"/>
    <w:multiLevelType w:val="hybridMultilevel"/>
    <w:tmpl w:val="5A5844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CF4AF2"/>
    <w:multiLevelType w:val="hybridMultilevel"/>
    <w:tmpl w:val="05E46C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12"/>
    <w:rsid w:val="0000577A"/>
    <w:rsid w:val="00006337"/>
    <w:rsid w:val="000323BC"/>
    <w:rsid w:val="00034E7E"/>
    <w:rsid w:val="00045098"/>
    <w:rsid w:val="00050CE8"/>
    <w:rsid w:val="000537B5"/>
    <w:rsid w:val="00060E7B"/>
    <w:rsid w:val="00061949"/>
    <w:rsid w:val="0006655D"/>
    <w:rsid w:val="00072902"/>
    <w:rsid w:val="00086605"/>
    <w:rsid w:val="0008701F"/>
    <w:rsid w:val="0009695F"/>
    <w:rsid w:val="000B0D0F"/>
    <w:rsid w:val="000D1270"/>
    <w:rsid w:val="000E0F93"/>
    <w:rsid w:val="000F6A86"/>
    <w:rsid w:val="001056FA"/>
    <w:rsid w:val="00124B4F"/>
    <w:rsid w:val="00126812"/>
    <w:rsid w:val="00134A81"/>
    <w:rsid w:val="001455B2"/>
    <w:rsid w:val="00145D67"/>
    <w:rsid w:val="00151521"/>
    <w:rsid w:val="00153AFF"/>
    <w:rsid w:val="00172A9F"/>
    <w:rsid w:val="001747E9"/>
    <w:rsid w:val="0018287B"/>
    <w:rsid w:val="001832CD"/>
    <w:rsid w:val="001A1A81"/>
    <w:rsid w:val="001A594F"/>
    <w:rsid w:val="001B0B54"/>
    <w:rsid w:val="001B3496"/>
    <w:rsid w:val="001B69E9"/>
    <w:rsid w:val="001D5702"/>
    <w:rsid w:val="001D5B2F"/>
    <w:rsid w:val="001D5B84"/>
    <w:rsid w:val="001E24D6"/>
    <w:rsid w:val="00200FF2"/>
    <w:rsid w:val="00203AEA"/>
    <w:rsid w:val="00213657"/>
    <w:rsid w:val="00213E41"/>
    <w:rsid w:val="00214AD9"/>
    <w:rsid w:val="002171D8"/>
    <w:rsid w:val="002226F5"/>
    <w:rsid w:val="00223686"/>
    <w:rsid w:val="00224D66"/>
    <w:rsid w:val="0024099D"/>
    <w:rsid w:val="0024102D"/>
    <w:rsid w:val="002625D1"/>
    <w:rsid w:val="00263954"/>
    <w:rsid w:val="0026498D"/>
    <w:rsid w:val="00265508"/>
    <w:rsid w:val="00293C27"/>
    <w:rsid w:val="002943D8"/>
    <w:rsid w:val="00296BA0"/>
    <w:rsid w:val="002A0254"/>
    <w:rsid w:val="002A2551"/>
    <w:rsid w:val="002B0A8F"/>
    <w:rsid w:val="002B1ED1"/>
    <w:rsid w:val="002C21B5"/>
    <w:rsid w:val="002D0605"/>
    <w:rsid w:val="002D40A5"/>
    <w:rsid w:val="002E044E"/>
    <w:rsid w:val="002E564F"/>
    <w:rsid w:val="002F079A"/>
    <w:rsid w:val="002F57B0"/>
    <w:rsid w:val="002F7E3A"/>
    <w:rsid w:val="0030625F"/>
    <w:rsid w:val="00312DDA"/>
    <w:rsid w:val="00315B8A"/>
    <w:rsid w:val="0032209C"/>
    <w:rsid w:val="00324D8E"/>
    <w:rsid w:val="00365600"/>
    <w:rsid w:val="00366016"/>
    <w:rsid w:val="00375578"/>
    <w:rsid w:val="003823D3"/>
    <w:rsid w:val="003C63E9"/>
    <w:rsid w:val="003D0DF8"/>
    <w:rsid w:val="003D2324"/>
    <w:rsid w:val="003E3564"/>
    <w:rsid w:val="00406270"/>
    <w:rsid w:val="004067F8"/>
    <w:rsid w:val="004371AD"/>
    <w:rsid w:val="00437CB1"/>
    <w:rsid w:val="00446BCC"/>
    <w:rsid w:val="0044703C"/>
    <w:rsid w:val="0045645A"/>
    <w:rsid w:val="0046247B"/>
    <w:rsid w:val="00473159"/>
    <w:rsid w:val="00473E4B"/>
    <w:rsid w:val="004758DC"/>
    <w:rsid w:val="0047601F"/>
    <w:rsid w:val="00485180"/>
    <w:rsid w:val="00485AA9"/>
    <w:rsid w:val="004A35B9"/>
    <w:rsid w:val="004A675A"/>
    <w:rsid w:val="004B2B0C"/>
    <w:rsid w:val="004B2CE5"/>
    <w:rsid w:val="004C1704"/>
    <w:rsid w:val="004C198F"/>
    <w:rsid w:val="004C2C8A"/>
    <w:rsid w:val="004F7058"/>
    <w:rsid w:val="005102C7"/>
    <w:rsid w:val="00536461"/>
    <w:rsid w:val="00556F82"/>
    <w:rsid w:val="00567629"/>
    <w:rsid w:val="005746C3"/>
    <w:rsid w:val="0057506C"/>
    <w:rsid w:val="005A1F5A"/>
    <w:rsid w:val="005A6A72"/>
    <w:rsid w:val="005A70A5"/>
    <w:rsid w:val="005B3D57"/>
    <w:rsid w:val="005C17E2"/>
    <w:rsid w:val="005D1623"/>
    <w:rsid w:val="005F17E4"/>
    <w:rsid w:val="00602520"/>
    <w:rsid w:val="00615BB1"/>
    <w:rsid w:val="006171C6"/>
    <w:rsid w:val="00633452"/>
    <w:rsid w:val="00654A46"/>
    <w:rsid w:val="0065791E"/>
    <w:rsid w:val="006667F5"/>
    <w:rsid w:val="006727B1"/>
    <w:rsid w:val="006767AF"/>
    <w:rsid w:val="006864D4"/>
    <w:rsid w:val="006954CB"/>
    <w:rsid w:val="006A4A8F"/>
    <w:rsid w:val="006B3C4E"/>
    <w:rsid w:val="006B4B7A"/>
    <w:rsid w:val="006C4915"/>
    <w:rsid w:val="006C4E00"/>
    <w:rsid w:val="006D0B2D"/>
    <w:rsid w:val="006F37EB"/>
    <w:rsid w:val="00700182"/>
    <w:rsid w:val="007017B7"/>
    <w:rsid w:val="00712935"/>
    <w:rsid w:val="007134BC"/>
    <w:rsid w:val="00716ACB"/>
    <w:rsid w:val="00730E10"/>
    <w:rsid w:val="00736DF6"/>
    <w:rsid w:val="0074000F"/>
    <w:rsid w:val="00741428"/>
    <w:rsid w:val="00744190"/>
    <w:rsid w:val="0075218D"/>
    <w:rsid w:val="00765602"/>
    <w:rsid w:val="00771042"/>
    <w:rsid w:val="007811EB"/>
    <w:rsid w:val="00781D91"/>
    <w:rsid w:val="00787978"/>
    <w:rsid w:val="00790B7B"/>
    <w:rsid w:val="007A0ECF"/>
    <w:rsid w:val="007A3669"/>
    <w:rsid w:val="007A6AD9"/>
    <w:rsid w:val="007B04FA"/>
    <w:rsid w:val="007C05DB"/>
    <w:rsid w:val="007C22D0"/>
    <w:rsid w:val="007C4A1E"/>
    <w:rsid w:val="007E34F1"/>
    <w:rsid w:val="007F4155"/>
    <w:rsid w:val="007F7416"/>
    <w:rsid w:val="008154C3"/>
    <w:rsid w:val="008207CA"/>
    <w:rsid w:val="00825871"/>
    <w:rsid w:val="0083601D"/>
    <w:rsid w:val="00855AEF"/>
    <w:rsid w:val="008643B2"/>
    <w:rsid w:val="00871825"/>
    <w:rsid w:val="00875ACF"/>
    <w:rsid w:val="0087689C"/>
    <w:rsid w:val="00884822"/>
    <w:rsid w:val="008878DC"/>
    <w:rsid w:val="00891CDC"/>
    <w:rsid w:val="00895F98"/>
    <w:rsid w:val="008976A9"/>
    <w:rsid w:val="008A0075"/>
    <w:rsid w:val="008A2B6A"/>
    <w:rsid w:val="008A51CC"/>
    <w:rsid w:val="008A5431"/>
    <w:rsid w:val="008D1CFA"/>
    <w:rsid w:val="008D742A"/>
    <w:rsid w:val="008F1B6C"/>
    <w:rsid w:val="009134B5"/>
    <w:rsid w:val="00916C7C"/>
    <w:rsid w:val="009228F0"/>
    <w:rsid w:val="0092400F"/>
    <w:rsid w:val="00927334"/>
    <w:rsid w:val="00944B51"/>
    <w:rsid w:val="009505A1"/>
    <w:rsid w:val="00951549"/>
    <w:rsid w:val="00952773"/>
    <w:rsid w:val="00976D78"/>
    <w:rsid w:val="00983D94"/>
    <w:rsid w:val="0099670A"/>
    <w:rsid w:val="009A1C49"/>
    <w:rsid w:val="009C1409"/>
    <w:rsid w:val="009C4373"/>
    <w:rsid w:val="009C752A"/>
    <w:rsid w:val="009D1834"/>
    <w:rsid w:val="009E0C96"/>
    <w:rsid w:val="00A006B4"/>
    <w:rsid w:val="00A036AD"/>
    <w:rsid w:val="00A21D3D"/>
    <w:rsid w:val="00A2784A"/>
    <w:rsid w:val="00A36D47"/>
    <w:rsid w:val="00A41EDC"/>
    <w:rsid w:val="00A51CB5"/>
    <w:rsid w:val="00A5668E"/>
    <w:rsid w:val="00A62A46"/>
    <w:rsid w:val="00A84EE1"/>
    <w:rsid w:val="00A9080B"/>
    <w:rsid w:val="00AA4139"/>
    <w:rsid w:val="00AB567F"/>
    <w:rsid w:val="00AC3CD3"/>
    <w:rsid w:val="00AD74E9"/>
    <w:rsid w:val="00AE4070"/>
    <w:rsid w:val="00AE4BFD"/>
    <w:rsid w:val="00AF4893"/>
    <w:rsid w:val="00B0594C"/>
    <w:rsid w:val="00B2276B"/>
    <w:rsid w:val="00B33D0E"/>
    <w:rsid w:val="00B35C0E"/>
    <w:rsid w:val="00B40CE9"/>
    <w:rsid w:val="00B42C78"/>
    <w:rsid w:val="00B46BF8"/>
    <w:rsid w:val="00B60B09"/>
    <w:rsid w:val="00B60CC4"/>
    <w:rsid w:val="00B77B4C"/>
    <w:rsid w:val="00B93928"/>
    <w:rsid w:val="00B93BBD"/>
    <w:rsid w:val="00B9682B"/>
    <w:rsid w:val="00BB2FB9"/>
    <w:rsid w:val="00BE5E98"/>
    <w:rsid w:val="00BE7E01"/>
    <w:rsid w:val="00BF3BD0"/>
    <w:rsid w:val="00C005E8"/>
    <w:rsid w:val="00C1131D"/>
    <w:rsid w:val="00C134A7"/>
    <w:rsid w:val="00C15C7B"/>
    <w:rsid w:val="00C2147A"/>
    <w:rsid w:val="00C252B5"/>
    <w:rsid w:val="00C36073"/>
    <w:rsid w:val="00C6196F"/>
    <w:rsid w:val="00C6470A"/>
    <w:rsid w:val="00C65B56"/>
    <w:rsid w:val="00C72ABD"/>
    <w:rsid w:val="00C75CE0"/>
    <w:rsid w:val="00C82A01"/>
    <w:rsid w:val="00C8485C"/>
    <w:rsid w:val="00C85D5A"/>
    <w:rsid w:val="00C869E7"/>
    <w:rsid w:val="00C92511"/>
    <w:rsid w:val="00CA2BEC"/>
    <w:rsid w:val="00CB7293"/>
    <w:rsid w:val="00CC03AF"/>
    <w:rsid w:val="00CD5E5C"/>
    <w:rsid w:val="00CE30E9"/>
    <w:rsid w:val="00CE61BD"/>
    <w:rsid w:val="00CE7167"/>
    <w:rsid w:val="00CF3A49"/>
    <w:rsid w:val="00CF4D92"/>
    <w:rsid w:val="00D020CF"/>
    <w:rsid w:val="00D04C05"/>
    <w:rsid w:val="00D07C6B"/>
    <w:rsid w:val="00D13F79"/>
    <w:rsid w:val="00D14DB2"/>
    <w:rsid w:val="00D20F78"/>
    <w:rsid w:val="00D34953"/>
    <w:rsid w:val="00D37579"/>
    <w:rsid w:val="00D40D02"/>
    <w:rsid w:val="00D41471"/>
    <w:rsid w:val="00D469B4"/>
    <w:rsid w:val="00D50BB4"/>
    <w:rsid w:val="00D5131D"/>
    <w:rsid w:val="00D936A8"/>
    <w:rsid w:val="00D93FF4"/>
    <w:rsid w:val="00DA26FC"/>
    <w:rsid w:val="00DA63A4"/>
    <w:rsid w:val="00DC1BC7"/>
    <w:rsid w:val="00DC4947"/>
    <w:rsid w:val="00DD1DFF"/>
    <w:rsid w:val="00DD2A2B"/>
    <w:rsid w:val="00DD476F"/>
    <w:rsid w:val="00E1014D"/>
    <w:rsid w:val="00E432CB"/>
    <w:rsid w:val="00E762B9"/>
    <w:rsid w:val="00E86FF6"/>
    <w:rsid w:val="00E94C36"/>
    <w:rsid w:val="00E94D0D"/>
    <w:rsid w:val="00E9669E"/>
    <w:rsid w:val="00EA7F89"/>
    <w:rsid w:val="00EB5D49"/>
    <w:rsid w:val="00ED0998"/>
    <w:rsid w:val="00ED1DF5"/>
    <w:rsid w:val="00EE47F7"/>
    <w:rsid w:val="00EF5B5E"/>
    <w:rsid w:val="00F00E57"/>
    <w:rsid w:val="00F243A9"/>
    <w:rsid w:val="00F25746"/>
    <w:rsid w:val="00F2741B"/>
    <w:rsid w:val="00F40F99"/>
    <w:rsid w:val="00F4149F"/>
    <w:rsid w:val="00F514A0"/>
    <w:rsid w:val="00F51B4E"/>
    <w:rsid w:val="00F520AB"/>
    <w:rsid w:val="00F55A96"/>
    <w:rsid w:val="00F6721F"/>
    <w:rsid w:val="00F7062A"/>
    <w:rsid w:val="00F7686A"/>
    <w:rsid w:val="00F77038"/>
    <w:rsid w:val="00F82CAF"/>
    <w:rsid w:val="00F83F95"/>
    <w:rsid w:val="00F84347"/>
    <w:rsid w:val="00F961D1"/>
    <w:rsid w:val="00F97AE0"/>
    <w:rsid w:val="00FA6C17"/>
    <w:rsid w:val="00FB0DCF"/>
    <w:rsid w:val="00FB3672"/>
    <w:rsid w:val="00FE0C31"/>
    <w:rsid w:val="00FF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DD227"/>
  <w15:chartTrackingRefBased/>
  <w15:docId w15:val="{53393806-B7ED-4CFF-AFEF-1E49385B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12"/>
    <w:pPr>
      <w:ind w:left="720"/>
      <w:contextualSpacing/>
    </w:pPr>
  </w:style>
  <w:style w:type="paragraph" w:styleId="BalloonText">
    <w:name w:val="Balloon Text"/>
    <w:basedOn w:val="Normal"/>
    <w:link w:val="BalloonTextChar"/>
    <w:uiPriority w:val="99"/>
    <w:semiHidden/>
    <w:unhideWhenUsed/>
    <w:rsid w:val="0012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12"/>
    <w:rPr>
      <w:rFonts w:ascii="Segoe UI" w:hAnsi="Segoe UI" w:cs="Segoe UI"/>
      <w:sz w:val="18"/>
      <w:szCs w:val="18"/>
    </w:rPr>
  </w:style>
  <w:style w:type="character" w:styleId="CommentReference">
    <w:name w:val="annotation reference"/>
    <w:basedOn w:val="DefaultParagraphFont"/>
    <w:uiPriority w:val="99"/>
    <w:semiHidden/>
    <w:unhideWhenUsed/>
    <w:rsid w:val="005C17E2"/>
    <w:rPr>
      <w:sz w:val="16"/>
      <w:szCs w:val="16"/>
    </w:rPr>
  </w:style>
  <w:style w:type="paragraph" w:styleId="CommentText">
    <w:name w:val="annotation text"/>
    <w:basedOn w:val="Normal"/>
    <w:link w:val="CommentTextChar"/>
    <w:uiPriority w:val="99"/>
    <w:unhideWhenUsed/>
    <w:rsid w:val="005C17E2"/>
    <w:pPr>
      <w:spacing w:line="240" w:lineRule="auto"/>
    </w:pPr>
    <w:rPr>
      <w:sz w:val="20"/>
      <w:szCs w:val="20"/>
    </w:rPr>
  </w:style>
  <w:style w:type="character" w:customStyle="1" w:styleId="CommentTextChar">
    <w:name w:val="Comment Text Char"/>
    <w:basedOn w:val="DefaultParagraphFont"/>
    <w:link w:val="CommentText"/>
    <w:uiPriority w:val="99"/>
    <w:rsid w:val="005C17E2"/>
    <w:rPr>
      <w:sz w:val="20"/>
      <w:szCs w:val="20"/>
    </w:rPr>
  </w:style>
  <w:style w:type="paragraph" w:styleId="CommentSubject">
    <w:name w:val="annotation subject"/>
    <w:basedOn w:val="CommentText"/>
    <w:next w:val="CommentText"/>
    <w:link w:val="CommentSubjectChar"/>
    <w:uiPriority w:val="99"/>
    <w:semiHidden/>
    <w:unhideWhenUsed/>
    <w:rsid w:val="005C17E2"/>
    <w:rPr>
      <w:b/>
      <w:bCs/>
    </w:rPr>
  </w:style>
  <w:style w:type="character" w:customStyle="1" w:styleId="CommentSubjectChar">
    <w:name w:val="Comment Subject Char"/>
    <w:basedOn w:val="CommentTextChar"/>
    <w:link w:val="CommentSubject"/>
    <w:uiPriority w:val="99"/>
    <w:semiHidden/>
    <w:rsid w:val="005C17E2"/>
    <w:rPr>
      <w:b/>
      <w:bCs/>
      <w:sz w:val="20"/>
      <w:szCs w:val="20"/>
    </w:rPr>
  </w:style>
  <w:style w:type="paragraph" w:styleId="Header">
    <w:name w:val="header"/>
    <w:basedOn w:val="Normal"/>
    <w:link w:val="HeaderChar"/>
    <w:uiPriority w:val="99"/>
    <w:unhideWhenUsed/>
    <w:rsid w:val="00913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B5"/>
  </w:style>
  <w:style w:type="paragraph" w:styleId="Footer">
    <w:name w:val="footer"/>
    <w:basedOn w:val="Normal"/>
    <w:link w:val="FooterChar"/>
    <w:uiPriority w:val="99"/>
    <w:unhideWhenUsed/>
    <w:rsid w:val="00913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B5"/>
  </w:style>
  <w:style w:type="paragraph" w:styleId="Revision">
    <w:name w:val="Revision"/>
    <w:hidden/>
    <w:uiPriority w:val="99"/>
    <w:semiHidden/>
    <w:rsid w:val="00AC3CD3"/>
    <w:pPr>
      <w:spacing w:after="0" w:line="240" w:lineRule="auto"/>
    </w:pPr>
  </w:style>
  <w:style w:type="paragraph" w:styleId="Title">
    <w:name w:val="Title"/>
    <w:basedOn w:val="Normal"/>
    <w:next w:val="Normal"/>
    <w:link w:val="TitleChar"/>
    <w:uiPriority w:val="10"/>
    <w:qFormat/>
    <w:rsid w:val="00045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0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6E90-DFF4-47BD-9B03-4A772B10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Guaraldo (DEDJTR)</dc:creator>
  <cp:keywords/>
  <dc:description/>
  <cp:lastModifiedBy>Leonardo Guaraldo (DEDJTR)</cp:lastModifiedBy>
  <cp:revision>3</cp:revision>
  <dcterms:created xsi:type="dcterms:W3CDTF">2019-04-12T02:58:00Z</dcterms:created>
  <dcterms:modified xsi:type="dcterms:W3CDTF">2019-04-17T00:43:00Z</dcterms:modified>
</cp:coreProperties>
</file>