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4AE1" w:rsidRDefault="006E1B3A" w:rsidP="006F3B79">
      <w:pPr>
        <w:pStyle w:val="heading1blue"/>
      </w:pPr>
      <w:r>
        <w:rPr>
          <w:noProof/>
        </w:rPr>
        <w:drawing>
          <wp:anchor distT="0" distB="0" distL="114300" distR="114300" simplePos="0" relativeHeight="251660288" behindDoc="0" locked="0" layoutInCell="1" allowOverlap="1">
            <wp:simplePos x="0" y="0"/>
            <mc:AlternateContent>
              <mc:Choice Requires="wp14">
                <wp:positionH relativeFrom="page">
                  <wp14:pctPosHOffset>-1000100</wp14:pctPosHOffset>
                </wp:positionH>
              </mc:Choice>
              <mc:Fallback>
                <wp:positionH relativeFrom="page">
                  <wp:posOffset>0</wp:posOffset>
                </wp:positionH>
              </mc:Fallback>
            </mc:AlternateContent>
            <wp:positionV relativeFrom="paragraph">
              <wp:posOffset>-180340</wp:posOffset>
            </wp:positionV>
            <wp:extent cx="7642800" cy="52632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2437-8GL-A-H.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42800" cy="5263200"/>
                    </a:xfrm>
                    <a:prstGeom prst="rect">
                      <a:avLst/>
                    </a:prstGeom>
                  </pic:spPr>
                </pic:pic>
              </a:graphicData>
            </a:graphic>
            <wp14:sizeRelH relativeFrom="margin">
              <wp14:pctWidth>0</wp14:pctWidth>
            </wp14:sizeRelH>
            <wp14:sizeRelV relativeFrom="margin">
              <wp14:pctHeight>0</wp14:pctHeight>
            </wp14:sizeRelV>
          </wp:anchor>
        </w:drawing>
      </w:r>
    </w:p>
    <w:p w:rsidR="00C879A3" w:rsidRDefault="00C879A3" w:rsidP="006F3B79">
      <w:pPr>
        <w:pStyle w:val="heading1blue"/>
      </w:pPr>
    </w:p>
    <w:p w:rsidR="00BD3F3F" w:rsidRDefault="00BD3F3F">
      <w:pPr>
        <w:rPr>
          <w:rFonts w:cs="Arial"/>
          <w:color w:val="064EA8"/>
          <w:spacing w:val="-10"/>
          <w:sz w:val="28"/>
        </w:rPr>
      </w:pPr>
      <w:r>
        <w:br w:type="page"/>
      </w:r>
    </w:p>
    <w:sdt>
      <w:sdtPr>
        <w:rPr>
          <w:b w:val="0"/>
          <w:bCs w:val="0"/>
          <w:caps w:val="0"/>
          <w:color w:val="auto"/>
          <w:spacing w:val="0"/>
          <w:sz w:val="20"/>
          <w:szCs w:val="20"/>
          <w:lang w:bidi="ar-SA"/>
        </w:rPr>
        <w:id w:val="1308281869"/>
        <w:docPartObj>
          <w:docPartGallery w:val="Table of Contents"/>
          <w:docPartUnique/>
        </w:docPartObj>
      </w:sdtPr>
      <w:sdtEndPr>
        <w:rPr>
          <w:noProof/>
        </w:rPr>
      </w:sdtEndPr>
      <w:sdtContent>
        <w:p w:rsidR="002167F2" w:rsidRDefault="002167F2">
          <w:pPr>
            <w:pStyle w:val="TOCHeading"/>
          </w:pPr>
          <w:r>
            <w:t>Table of Contents</w:t>
          </w:r>
        </w:p>
        <w:p w:rsidR="00C84DE9" w:rsidRDefault="002167F2">
          <w:pPr>
            <w:pStyle w:val="TOC1"/>
            <w:tabs>
              <w:tab w:val="right" w:leader="dot" w:pos="9016"/>
            </w:tabs>
            <w:rPr>
              <w:noProof/>
              <w:sz w:val="22"/>
              <w:szCs w:val="22"/>
            </w:rPr>
          </w:pPr>
          <w:r>
            <w:fldChar w:fldCharType="begin"/>
          </w:r>
          <w:r>
            <w:instrText xml:space="preserve"> TOC \o "1-3" \h \z \u </w:instrText>
          </w:r>
          <w:r>
            <w:fldChar w:fldCharType="separate"/>
          </w:r>
          <w:hyperlink w:anchor="_Toc456261049" w:history="1">
            <w:r w:rsidR="00C84DE9" w:rsidRPr="00892C70">
              <w:rPr>
                <w:rStyle w:val="Hyperlink"/>
                <w:noProof/>
              </w:rPr>
              <w:t>Executive Summary</w:t>
            </w:r>
            <w:r w:rsidR="00C84DE9">
              <w:rPr>
                <w:noProof/>
                <w:webHidden/>
              </w:rPr>
              <w:tab/>
            </w:r>
            <w:r w:rsidR="00C84DE9">
              <w:rPr>
                <w:noProof/>
                <w:webHidden/>
              </w:rPr>
              <w:fldChar w:fldCharType="begin"/>
            </w:r>
            <w:r w:rsidR="00C84DE9">
              <w:rPr>
                <w:noProof/>
                <w:webHidden/>
              </w:rPr>
              <w:instrText xml:space="preserve"> PAGEREF _Toc456261049 \h </w:instrText>
            </w:r>
            <w:r w:rsidR="00C84DE9">
              <w:rPr>
                <w:noProof/>
                <w:webHidden/>
              </w:rPr>
            </w:r>
            <w:r w:rsidR="00C84DE9">
              <w:rPr>
                <w:noProof/>
                <w:webHidden/>
              </w:rPr>
              <w:fldChar w:fldCharType="separate"/>
            </w:r>
            <w:r w:rsidR="003A710F">
              <w:rPr>
                <w:noProof/>
                <w:webHidden/>
              </w:rPr>
              <w:t>3</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50" w:history="1">
            <w:r w:rsidR="00C84DE9" w:rsidRPr="00892C70">
              <w:rPr>
                <w:rStyle w:val="Hyperlink"/>
                <w:noProof/>
              </w:rPr>
              <w:t>Introduction</w:t>
            </w:r>
            <w:r w:rsidR="00C84DE9">
              <w:rPr>
                <w:noProof/>
                <w:webHidden/>
              </w:rPr>
              <w:tab/>
            </w:r>
            <w:r w:rsidR="00C84DE9">
              <w:rPr>
                <w:noProof/>
                <w:webHidden/>
              </w:rPr>
              <w:fldChar w:fldCharType="begin"/>
            </w:r>
            <w:r w:rsidR="00C84DE9">
              <w:rPr>
                <w:noProof/>
                <w:webHidden/>
              </w:rPr>
              <w:instrText xml:space="preserve"> PAGEREF _Toc456261050 \h </w:instrText>
            </w:r>
            <w:r w:rsidR="00C84DE9">
              <w:rPr>
                <w:noProof/>
                <w:webHidden/>
              </w:rPr>
            </w:r>
            <w:r w:rsidR="00C84DE9">
              <w:rPr>
                <w:noProof/>
                <w:webHidden/>
              </w:rPr>
              <w:fldChar w:fldCharType="separate"/>
            </w:r>
            <w:r>
              <w:rPr>
                <w:noProof/>
                <w:webHidden/>
              </w:rPr>
              <w:t>4</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51" w:history="1">
            <w:r w:rsidR="00C84DE9" w:rsidRPr="00892C70">
              <w:rPr>
                <w:rStyle w:val="Hyperlink"/>
                <w:noProof/>
              </w:rPr>
              <w:t>Petroleum, Geothermal and Pipelines</w:t>
            </w:r>
            <w:r w:rsidR="00C84DE9">
              <w:rPr>
                <w:noProof/>
                <w:webHidden/>
              </w:rPr>
              <w:tab/>
            </w:r>
            <w:r w:rsidR="00C84DE9">
              <w:rPr>
                <w:noProof/>
                <w:webHidden/>
              </w:rPr>
              <w:fldChar w:fldCharType="begin"/>
            </w:r>
            <w:r w:rsidR="00C84DE9">
              <w:rPr>
                <w:noProof/>
                <w:webHidden/>
              </w:rPr>
              <w:instrText xml:space="preserve"> PAGEREF _Toc456261051 \h </w:instrText>
            </w:r>
            <w:r w:rsidR="00C84DE9">
              <w:rPr>
                <w:noProof/>
                <w:webHidden/>
              </w:rPr>
            </w:r>
            <w:r w:rsidR="00C84DE9">
              <w:rPr>
                <w:noProof/>
                <w:webHidden/>
              </w:rPr>
              <w:fldChar w:fldCharType="separate"/>
            </w:r>
            <w:r>
              <w:rPr>
                <w:noProof/>
                <w:webHidden/>
              </w:rPr>
              <w:t>5</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52" w:history="1">
            <w:r w:rsidR="00C84DE9" w:rsidRPr="00892C70">
              <w:rPr>
                <w:rStyle w:val="Hyperlink"/>
                <w:noProof/>
              </w:rPr>
              <w:t>Petroleum</w:t>
            </w:r>
            <w:r w:rsidR="00C84DE9">
              <w:rPr>
                <w:noProof/>
                <w:webHidden/>
              </w:rPr>
              <w:tab/>
            </w:r>
            <w:r w:rsidR="00C84DE9">
              <w:rPr>
                <w:noProof/>
                <w:webHidden/>
              </w:rPr>
              <w:fldChar w:fldCharType="begin"/>
            </w:r>
            <w:r w:rsidR="00C84DE9">
              <w:rPr>
                <w:noProof/>
                <w:webHidden/>
              </w:rPr>
              <w:instrText xml:space="preserve"> PAGEREF _Toc456261052 \h </w:instrText>
            </w:r>
            <w:r w:rsidR="00C84DE9">
              <w:rPr>
                <w:noProof/>
                <w:webHidden/>
              </w:rPr>
            </w:r>
            <w:r w:rsidR="00C84DE9">
              <w:rPr>
                <w:noProof/>
                <w:webHidden/>
              </w:rPr>
              <w:fldChar w:fldCharType="separate"/>
            </w:r>
            <w:r>
              <w:rPr>
                <w:noProof/>
                <w:webHidden/>
              </w:rPr>
              <w:t>5</w:t>
            </w:r>
            <w:r w:rsidR="00C84DE9">
              <w:rPr>
                <w:noProof/>
                <w:webHidden/>
              </w:rPr>
              <w:fldChar w:fldCharType="end"/>
            </w:r>
          </w:hyperlink>
        </w:p>
        <w:p w:rsidR="00C84DE9" w:rsidRDefault="003A710F">
          <w:pPr>
            <w:pStyle w:val="TOC3"/>
            <w:tabs>
              <w:tab w:val="right" w:leader="dot" w:pos="9016"/>
            </w:tabs>
            <w:rPr>
              <w:noProof/>
              <w:sz w:val="22"/>
              <w:szCs w:val="22"/>
            </w:rPr>
          </w:pPr>
          <w:hyperlink w:anchor="_Toc456261053" w:history="1">
            <w:r w:rsidR="00C84DE9" w:rsidRPr="00892C70">
              <w:rPr>
                <w:rStyle w:val="Hyperlink"/>
                <w:noProof/>
              </w:rPr>
              <w:t>Petroleum Tenements</w:t>
            </w:r>
            <w:r w:rsidR="00C84DE9">
              <w:rPr>
                <w:noProof/>
                <w:webHidden/>
              </w:rPr>
              <w:tab/>
            </w:r>
            <w:r w:rsidR="00C84DE9">
              <w:rPr>
                <w:noProof/>
                <w:webHidden/>
              </w:rPr>
              <w:fldChar w:fldCharType="begin"/>
            </w:r>
            <w:r w:rsidR="00C84DE9">
              <w:rPr>
                <w:noProof/>
                <w:webHidden/>
              </w:rPr>
              <w:instrText xml:space="preserve"> PAGEREF _Toc456261053 \h </w:instrText>
            </w:r>
            <w:r w:rsidR="00C84DE9">
              <w:rPr>
                <w:noProof/>
                <w:webHidden/>
              </w:rPr>
            </w:r>
            <w:r w:rsidR="00C84DE9">
              <w:rPr>
                <w:noProof/>
                <w:webHidden/>
              </w:rPr>
              <w:fldChar w:fldCharType="separate"/>
            </w:r>
            <w:r>
              <w:rPr>
                <w:noProof/>
                <w:webHidden/>
              </w:rPr>
              <w:t>5</w:t>
            </w:r>
            <w:r w:rsidR="00C84DE9">
              <w:rPr>
                <w:noProof/>
                <w:webHidden/>
              </w:rPr>
              <w:fldChar w:fldCharType="end"/>
            </w:r>
          </w:hyperlink>
        </w:p>
        <w:p w:rsidR="00C84DE9" w:rsidRDefault="003A710F">
          <w:pPr>
            <w:pStyle w:val="TOC3"/>
            <w:tabs>
              <w:tab w:val="right" w:leader="dot" w:pos="9016"/>
            </w:tabs>
            <w:rPr>
              <w:noProof/>
              <w:sz w:val="22"/>
              <w:szCs w:val="22"/>
            </w:rPr>
          </w:pPr>
          <w:hyperlink w:anchor="_Toc456261054" w:history="1">
            <w:r w:rsidR="00C84DE9" w:rsidRPr="00892C70">
              <w:rPr>
                <w:rStyle w:val="Hyperlink"/>
                <w:noProof/>
              </w:rPr>
              <w:t>Petroleum Exploration and Development</w:t>
            </w:r>
            <w:r w:rsidR="00C84DE9">
              <w:rPr>
                <w:noProof/>
                <w:webHidden/>
              </w:rPr>
              <w:tab/>
            </w:r>
            <w:r w:rsidR="00C84DE9">
              <w:rPr>
                <w:noProof/>
                <w:webHidden/>
              </w:rPr>
              <w:fldChar w:fldCharType="begin"/>
            </w:r>
            <w:r w:rsidR="00C84DE9">
              <w:rPr>
                <w:noProof/>
                <w:webHidden/>
              </w:rPr>
              <w:instrText xml:space="preserve"> PAGEREF _Toc456261054 \h </w:instrText>
            </w:r>
            <w:r w:rsidR="00C84DE9">
              <w:rPr>
                <w:noProof/>
                <w:webHidden/>
              </w:rPr>
            </w:r>
            <w:r w:rsidR="00C84DE9">
              <w:rPr>
                <w:noProof/>
                <w:webHidden/>
              </w:rPr>
              <w:fldChar w:fldCharType="separate"/>
            </w:r>
            <w:r>
              <w:rPr>
                <w:noProof/>
                <w:webHidden/>
              </w:rPr>
              <w:t>7</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55" w:history="1">
            <w:r w:rsidR="00C84DE9" w:rsidRPr="00892C70">
              <w:rPr>
                <w:rStyle w:val="Hyperlink"/>
                <w:noProof/>
                <w:lang w:eastAsia="en-US"/>
              </w:rPr>
              <w:t>Geothermal Energy</w:t>
            </w:r>
            <w:r w:rsidR="00C84DE9">
              <w:rPr>
                <w:noProof/>
                <w:webHidden/>
              </w:rPr>
              <w:tab/>
            </w:r>
            <w:r w:rsidR="00C84DE9">
              <w:rPr>
                <w:noProof/>
                <w:webHidden/>
              </w:rPr>
              <w:fldChar w:fldCharType="begin"/>
            </w:r>
            <w:r w:rsidR="00C84DE9">
              <w:rPr>
                <w:noProof/>
                <w:webHidden/>
              </w:rPr>
              <w:instrText xml:space="preserve"> PAGEREF _Toc456261055 \h </w:instrText>
            </w:r>
            <w:r w:rsidR="00C84DE9">
              <w:rPr>
                <w:noProof/>
                <w:webHidden/>
              </w:rPr>
            </w:r>
            <w:r w:rsidR="00C84DE9">
              <w:rPr>
                <w:noProof/>
                <w:webHidden/>
              </w:rPr>
              <w:fldChar w:fldCharType="separate"/>
            </w:r>
            <w:r>
              <w:rPr>
                <w:noProof/>
                <w:webHidden/>
              </w:rPr>
              <w:t>8</w:t>
            </w:r>
            <w:r w:rsidR="00C84DE9">
              <w:rPr>
                <w:noProof/>
                <w:webHidden/>
              </w:rPr>
              <w:fldChar w:fldCharType="end"/>
            </w:r>
          </w:hyperlink>
        </w:p>
        <w:p w:rsidR="00C84DE9" w:rsidRDefault="003A710F">
          <w:pPr>
            <w:pStyle w:val="TOC3"/>
            <w:tabs>
              <w:tab w:val="right" w:leader="dot" w:pos="9016"/>
            </w:tabs>
            <w:rPr>
              <w:noProof/>
              <w:sz w:val="22"/>
              <w:szCs w:val="22"/>
            </w:rPr>
          </w:pPr>
          <w:hyperlink w:anchor="_Toc456261056" w:history="1">
            <w:r w:rsidR="00C84DE9" w:rsidRPr="00892C70">
              <w:rPr>
                <w:rStyle w:val="Hyperlink"/>
                <w:noProof/>
              </w:rPr>
              <w:t>Geothermal Energy Tenements</w:t>
            </w:r>
            <w:r w:rsidR="00C84DE9">
              <w:rPr>
                <w:noProof/>
                <w:webHidden/>
              </w:rPr>
              <w:tab/>
            </w:r>
            <w:r w:rsidR="00C84DE9">
              <w:rPr>
                <w:noProof/>
                <w:webHidden/>
              </w:rPr>
              <w:fldChar w:fldCharType="begin"/>
            </w:r>
            <w:r w:rsidR="00C84DE9">
              <w:rPr>
                <w:noProof/>
                <w:webHidden/>
              </w:rPr>
              <w:instrText xml:space="preserve"> PAGEREF _Toc456261056 \h </w:instrText>
            </w:r>
            <w:r w:rsidR="00C84DE9">
              <w:rPr>
                <w:noProof/>
                <w:webHidden/>
              </w:rPr>
            </w:r>
            <w:r w:rsidR="00C84DE9">
              <w:rPr>
                <w:noProof/>
                <w:webHidden/>
              </w:rPr>
              <w:fldChar w:fldCharType="separate"/>
            </w:r>
            <w:r>
              <w:rPr>
                <w:noProof/>
                <w:webHidden/>
              </w:rPr>
              <w:t>8</w:t>
            </w:r>
            <w:r w:rsidR="00C84DE9">
              <w:rPr>
                <w:noProof/>
                <w:webHidden/>
              </w:rPr>
              <w:fldChar w:fldCharType="end"/>
            </w:r>
          </w:hyperlink>
        </w:p>
        <w:p w:rsidR="00C84DE9" w:rsidRDefault="003A710F">
          <w:pPr>
            <w:pStyle w:val="TOC3"/>
            <w:tabs>
              <w:tab w:val="right" w:leader="dot" w:pos="9016"/>
            </w:tabs>
            <w:rPr>
              <w:noProof/>
              <w:sz w:val="22"/>
              <w:szCs w:val="22"/>
            </w:rPr>
          </w:pPr>
          <w:hyperlink w:anchor="_Toc456261057" w:history="1">
            <w:r w:rsidR="00C84DE9" w:rsidRPr="00892C70">
              <w:rPr>
                <w:rStyle w:val="Hyperlink"/>
                <w:noProof/>
              </w:rPr>
              <w:t>Geothermal Energy Exploration</w:t>
            </w:r>
            <w:r w:rsidR="00C84DE9">
              <w:rPr>
                <w:noProof/>
                <w:webHidden/>
              </w:rPr>
              <w:tab/>
            </w:r>
            <w:r w:rsidR="00C84DE9">
              <w:rPr>
                <w:noProof/>
                <w:webHidden/>
              </w:rPr>
              <w:fldChar w:fldCharType="begin"/>
            </w:r>
            <w:r w:rsidR="00C84DE9">
              <w:rPr>
                <w:noProof/>
                <w:webHidden/>
              </w:rPr>
              <w:instrText xml:space="preserve"> PAGEREF _Toc456261057 \h </w:instrText>
            </w:r>
            <w:r w:rsidR="00C84DE9">
              <w:rPr>
                <w:noProof/>
                <w:webHidden/>
              </w:rPr>
            </w:r>
            <w:r w:rsidR="00C84DE9">
              <w:rPr>
                <w:noProof/>
                <w:webHidden/>
              </w:rPr>
              <w:fldChar w:fldCharType="separate"/>
            </w:r>
            <w:r>
              <w:rPr>
                <w:noProof/>
                <w:webHidden/>
              </w:rPr>
              <w:t>8</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58" w:history="1">
            <w:r w:rsidR="00C84DE9" w:rsidRPr="00892C70">
              <w:rPr>
                <w:rStyle w:val="Hyperlink"/>
                <w:noProof/>
              </w:rPr>
              <w:t>Pipelines</w:t>
            </w:r>
            <w:r w:rsidR="00C84DE9">
              <w:rPr>
                <w:noProof/>
                <w:webHidden/>
              </w:rPr>
              <w:tab/>
            </w:r>
            <w:r w:rsidR="00C84DE9">
              <w:rPr>
                <w:noProof/>
                <w:webHidden/>
              </w:rPr>
              <w:fldChar w:fldCharType="begin"/>
            </w:r>
            <w:r w:rsidR="00C84DE9">
              <w:rPr>
                <w:noProof/>
                <w:webHidden/>
              </w:rPr>
              <w:instrText xml:space="preserve"> PAGEREF _Toc456261058 \h </w:instrText>
            </w:r>
            <w:r w:rsidR="00C84DE9">
              <w:rPr>
                <w:noProof/>
                <w:webHidden/>
              </w:rPr>
            </w:r>
            <w:r w:rsidR="00C84DE9">
              <w:rPr>
                <w:noProof/>
                <w:webHidden/>
              </w:rPr>
              <w:fldChar w:fldCharType="separate"/>
            </w:r>
            <w:r>
              <w:rPr>
                <w:noProof/>
                <w:webHidden/>
              </w:rPr>
              <w:t>9</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59" w:history="1">
            <w:r w:rsidR="00C84DE9" w:rsidRPr="00892C70">
              <w:rPr>
                <w:rStyle w:val="Hyperlink"/>
                <w:noProof/>
              </w:rPr>
              <w:t>Minerals</w:t>
            </w:r>
            <w:r w:rsidR="00C84DE9">
              <w:rPr>
                <w:noProof/>
                <w:webHidden/>
              </w:rPr>
              <w:tab/>
            </w:r>
            <w:r w:rsidR="00C84DE9">
              <w:rPr>
                <w:noProof/>
                <w:webHidden/>
              </w:rPr>
              <w:fldChar w:fldCharType="begin"/>
            </w:r>
            <w:r w:rsidR="00C84DE9">
              <w:rPr>
                <w:noProof/>
                <w:webHidden/>
              </w:rPr>
              <w:instrText xml:space="preserve"> PAGEREF _Toc456261059 \h </w:instrText>
            </w:r>
            <w:r w:rsidR="00C84DE9">
              <w:rPr>
                <w:noProof/>
                <w:webHidden/>
              </w:rPr>
            </w:r>
            <w:r w:rsidR="00C84DE9">
              <w:rPr>
                <w:noProof/>
                <w:webHidden/>
              </w:rPr>
              <w:fldChar w:fldCharType="separate"/>
            </w:r>
            <w:r>
              <w:rPr>
                <w:noProof/>
                <w:webHidden/>
              </w:rPr>
              <w:t>10</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60" w:history="1">
            <w:r w:rsidR="00C84DE9" w:rsidRPr="00892C70">
              <w:rPr>
                <w:rStyle w:val="Hyperlink"/>
                <w:noProof/>
              </w:rPr>
              <w:t>Mineral Tenements</w:t>
            </w:r>
            <w:r w:rsidR="00C84DE9">
              <w:rPr>
                <w:noProof/>
                <w:webHidden/>
              </w:rPr>
              <w:tab/>
            </w:r>
            <w:r w:rsidR="00C84DE9">
              <w:rPr>
                <w:noProof/>
                <w:webHidden/>
              </w:rPr>
              <w:fldChar w:fldCharType="begin"/>
            </w:r>
            <w:r w:rsidR="00C84DE9">
              <w:rPr>
                <w:noProof/>
                <w:webHidden/>
              </w:rPr>
              <w:instrText xml:space="preserve"> PAGEREF _Toc456261060 \h </w:instrText>
            </w:r>
            <w:r w:rsidR="00C84DE9">
              <w:rPr>
                <w:noProof/>
                <w:webHidden/>
              </w:rPr>
            </w:r>
            <w:r w:rsidR="00C84DE9">
              <w:rPr>
                <w:noProof/>
                <w:webHidden/>
              </w:rPr>
              <w:fldChar w:fldCharType="separate"/>
            </w:r>
            <w:r>
              <w:rPr>
                <w:noProof/>
                <w:webHidden/>
              </w:rPr>
              <w:t>10</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61" w:history="1">
            <w:r w:rsidR="00C84DE9" w:rsidRPr="00892C70">
              <w:rPr>
                <w:rStyle w:val="Hyperlink"/>
                <w:noProof/>
              </w:rPr>
              <w:t>Mineral Exploration and Mining Expenditure</w:t>
            </w:r>
            <w:r w:rsidR="00C84DE9">
              <w:rPr>
                <w:noProof/>
                <w:webHidden/>
              </w:rPr>
              <w:tab/>
            </w:r>
            <w:r w:rsidR="00C84DE9">
              <w:rPr>
                <w:noProof/>
                <w:webHidden/>
              </w:rPr>
              <w:fldChar w:fldCharType="begin"/>
            </w:r>
            <w:r w:rsidR="00C84DE9">
              <w:rPr>
                <w:noProof/>
                <w:webHidden/>
              </w:rPr>
              <w:instrText xml:space="preserve"> PAGEREF _Toc456261061 \h </w:instrText>
            </w:r>
            <w:r w:rsidR="00C84DE9">
              <w:rPr>
                <w:noProof/>
                <w:webHidden/>
              </w:rPr>
            </w:r>
            <w:r w:rsidR="00C84DE9">
              <w:rPr>
                <w:noProof/>
                <w:webHidden/>
              </w:rPr>
              <w:fldChar w:fldCharType="separate"/>
            </w:r>
            <w:r>
              <w:rPr>
                <w:noProof/>
                <w:webHidden/>
              </w:rPr>
              <w:t>13</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62" w:history="1">
            <w:r w:rsidR="00C84DE9" w:rsidRPr="00892C70">
              <w:rPr>
                <w:rStyle w:val="Hyperlink"/>
                <w:noProof/>
              </w:rPr>
              <w:t>Mineral Production</w:t>
            </w:r>
            <w:r w:rsidR="00C84DE9">
              <w:rPr>
                <w:noProof/>
                <w:webHidden/>
              </w:rPr>
              <w:tab/>
            </w:r>
            <w:r w:rsidR="00C84DE9">
              <w:rPr>
                <w:noProof/>
                <w:webHidden/>
              </w:rPr>
              <w:fldChar w:fldCharType="begin"/>
            </w:r>
            <w:r w:rsidR="00C84DE9">
              <w:rPr>
                <w:noProof/>
                <w:webHidden/>
              </w:rPr>
              <w:instrText xml:space="preserve"> PAGEREF _Toc456261062 \h </w:instrText>
            </w:r>
            <w:r w:rsidR="00C84DE9">
              <w:rPr>
                <w:noProof/>
                <w:webHidden/>
              </w:rPr>
            </w:r>
            <w:r w:rsidR="00C84DE9">
              <w:rPr>
                <w:noProof/>
                <w:webHidden/>
              </w:rPr>
              <w:fldChar w:fldCharType="separate"/>
            </w:r>
            <w:r>
              <w:rPr>
                <w:noProof/>
                <w:webHidden/>
              </w:rPr>
              <w:t>15</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63" w:history="1">
            <w:r w:rsidR="00C84DE9" w:rsidRPr="00892C70">
              <w:rPr>
                <w:rStyle w:val="Hyperlink"/>
                <w:noProof/>
              </w:rPr>
              <w:t>Extractive industry</w:t>
            </w:r>
            <w:r w:rsidR="00C84DE9">
              <w:rPr>
                <w:noProof/>
                <w:webHidden/>
              </w:rPr>
              <w:tab/>
            </w:r>
            <w:r w:rsidR="00C84DE9">
              <w:rPr>
                <w:noProof/>
                <w:webHidden/>
              </w:rPr>
              <w:fldChar w:fldCharType="begin"/>
            </w:r>
            <w:r w:rsidR="00C84DE9">
              <w:rPr>
                <w:noProof/>
                <w:webHidden/>
              </w:rPr>
              <w:instrText xml:space="preserve"> PAGEREF _Toc456261063 \h </w:instrText>
            </w:r>
            <w:r w:rsidR="00C84DE9">
              <w:rPr>
                <w:noProof/>
                <w:webHidden/>
              </w:rPr>
            </w:r>
            <w:r w:rsidR="00C84DE9">
              <w:rPr>
                <w:noProof/>
                <w:webHidden/>
              </w:rPr>
              <w:fldChar w:fldCharType="separate"/>
            </w:r>
            <w:r>
              <w:rPr>
                <w:noProof/>
                <w:webHidden/>
              </w:rPr>
              <w:t>18</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64" w:history="1">
            <w:r w:rsidR="00C84DE9" w:rsidRPr="00892C70">
              <w:rPr>
                <w:rStyle w:val="Hyperlink"/>
                <w:noProof/>
              </w:rPr>
              <w:t>Revenue and Bonds</w:t>
            </w:r>
            <w:r w:rsidR="00C84DE9">
              <w:rPr>
                <w:noProof/>
                <w:webHidden/>
              </w:rPr>
              <w:tab/>
            </w:r>
            <w:r w:rsidR="00C84DE9">
              <w:rPr>
                <w:noProof/>
                <w:webHidden/>
              </w:rPr>
              <w:fldChar w:fldCharType="begin"/>
            </w:r>
            <w:r w:rsidR="00C84DE9">
              <w:rPr>
                <w:noProof/>
                <w:webHidden/>
              </w:rPr>
              <w:instrText xml:space="preserve"> PAGEREF _Toc456261064 \h </w:instrText>
            </w:r>
            <w:r w:rsidR="00C84DE9">
              <w:rPr>
                <w:noProof/>
                <w:webHidden/>
              </w:rPr>
            </w:r>
            <w:r w:rsidR="00C84DE9">
              <w:rPr>
                <w:noProof/>
                <w:webHidden/>
              </w:rPr>
              <w:fldChar w:fldCharType="separate"/>
            </w:r>
            <w:r>
              <w:rPr>
                <w:noProof/>
                <w:webHidden/>
              </w:rPr>
              <w:t>20</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65" w:history="1">
            <w:r w:rsidR="00C84DE9" w:rsidRPr="00892C70">
              <w:rPr>
                <w:rStyle w:val="Hyperlink"/>
                <w:noProof/>
              </w:rPr>
              <w:t>Revenue</w:t>
            </w:r>
            <w:r w:rsidR="00C84DE9">
              <w:rPr>
                <w:noProof/>
                <w:webHidden/>
              </w:rPr>
              <w:tab/>
            </w:r>
            <w:r w:rsidR="00C84DE9">
              <w:rPr>
                <w:noProof/>
                <w:webHidden/>
              </w:rPr>
              <w:fldChar w:fldCharType="begin"/>
            </w:r>
            <w:r w:rsidR="00C84DE9">
              <w:rPr>
                <w:noProof/>
                <w:webHidden/>
              </w:rPr>
              <w:instrText xml:space="preserve"> PAGEREF _Toc456261065 \h </w:instrText>
            </w:r>
            <w:r w:rsidR="00C84DE9">
              <w:rPr>
                <w:noProof/>
                <w:webHidden/>
              </w:rPr>
            </w:r>
            <w:r w:rsidR="00C84DE9">
              <w:rPr>
                <w:noProof/>
                <w:webHidden/>
              </w:rPr>
              <w:fldChar w:fldCharType="separate"/>
            </w:r>
            <w:r>
              <w:rPr>
                <w:noProof/>
                <w:webHidden/>
              </w:rPr>
              <w:t>20</w:t>
            </w:r>
            <w:r w:rsidR="00C84DE9">
              <w:rPr>
                <w:noProof/>
                <w:webHidden/>
              </w:rPr>
              <w:fldChar w:fldCharType="end"/>
            </w:r>
          </w:hyperlink>
        </w:p>
        <w:p w:rsidR="00C84DE9" w:rsidRDefault="003A710F">
          <w:pPr>
            <w:pStyle w:val="TOC2"/>
            <w:tabs>
              <w:tab w:val="right" w:leader="dot" w:pos="9016"/>
            </w:tabs>
            <w:rPr>
              <w:noProof/>
              <w:sz w:val="22"/>
              <w:szCs w:val="22"/>
            </w:rPr>
          </w:pPr>
          <w:hyperlink w:anchor="_Toc456261066" w:history="1">
            <w:r w:rsidR="00C84DE9" w:rsidRPr="00892C70">
              <w:rPr>
                <w:rStyle w:val="Hyperlink"/>
                <w:noProof/>
              </w:rPr>
              <w:t>Rehabilitation Bonds</w:t>
            </w:r>
            <w:r w:rsidR="00C84DE9">
              <w:rPr>
                <w:noProof/>
                <w:webHidden/>
              </w:rPr>
              <w:tab/>
            </w:r>
            <w:r w:rsidR="00C84DE9">
              <w:rPr>
                <w:noProof/>
                <w:webHidden/>
              </w:rPr>
              <w:fldChar w:fldCharType="begin"/>
            </w:r>
            <w:r w:rsidR="00C84DE9">
              <w:rPr>
                <w:noProof/>
                <w:webHidden/>
              </w:rPr>
              <w:instrText xml:space="preserve"> PAGEREF _Toc456261066 \h </w:instrText>
            </w:r>
            <w:r w:rsidR="00C84DE9">
              <w:rPr>
                <w:noProof/>
                <w:webHidden/>
              </w:rPr>
            </w:r>
            <w:r w:rsidR="00C84DE9">
              <w:rPr>
                <w:noProof/>
                <w:webHidden/>
              </w:rPr>
              <w:fldChar w:fldCharType="separate"/>
            </w:r>
            <w:r>
              <w:rPr>
                <w:noProof/>
                <w:webHidden/>
              </w:rPr>
              <w:t>21</w:t>
            </w:r>
            <w:r w:rsidR="00C84DE9">
              <w:rPr>
                <w:noProof/>
                <w:webHidden/>
              </w:rPr>
              <w:fldChar w:fldCharType="end"/>
            </w:r>
          </w:hyperlink>
        </w:p>
        <w:p w:rsidR="00C84DE9" w:rsidRDefault="003A710F">
          <w:pPr>
            <w:pStyle w:val="TOC1"/>
            <w:tabs>
              <w:tab w:val="right" w:leader="dot" w:pos="9016"/>
            </w:tabs>
            <w:rPr>
              <w:noProof/>
              <w:sz w:val="22"/>
              <w:szCs w:val="22"/>
            </w:rPr>
          </w:pPr>
          <w:hyperlink w:anchor="_Toc456261067" w:history="1">
            <w:r w:rsidR="00C84DE9" w:rsidRPr="00892C70">
              <w:rPr>
                <w:rStyle w:val="Hyperlink"/>
                <w:noProof/>
              </w:rPr>
              <w:t>Monitoring, Compliance and Enforcement</w:t>
            </w:r>
            <w:r w:rsidR="00C84DE9">
              <w:rPr>
                <w:noProof/>
                <w:webHidden/>
              </w:rPr>
              <w:tab/>
            </w:r>
            <w:r w:rsidR="00C84DE9">
              <w:rPr>
                <w:noProof/>
                <w:webHidden/>
              </w:rPr>
              <w:fldChar w:fldCharType="begin"/>
            </w:r>
            <w:r w:rsidR="00C84DE9">
              <w:rPr>
                <w:noProof/>
                <w:webHidden/>
              </w:rPr>
              <w:instrText xml:space="preserve"> PAGEREF _Toc456261067 \h </w:instrText>
            </w:r>
            <w:r w:rsidR="00C84DE9">
              <w:rPr>
                <w:noProof/>
                <w:webHidden/>
              </w:rPr>
            </w:r>
            <w:r w:rsidR="00C84DE9">
              <w:rPr>
                <w:noProof/>
                <w:webHidden/>
              </w:rPr>
              <w:fldChar w:fldCharType="separate"/>
            </w:r>
            <w:r>
              <w:rPr>
                <w:noProof/>
                <w:webHidden/>
              </w:rPr>
              <w:t>23</w:t>
            </w:r>
            <w:r w:rsidR="00C84DE9">
              <w:rPr>
                <w:noProof/>
                <w:webHidden/>
              </w:rPr>
              <w:fldChar w:fldCharType="end"/>
            </w:r>
          </w:hyperlink>
        </w:p>
        <w:p w:rsidR="002167F2" w:rsidRDefault="002167F2">
          <w:r>
            <w:rPr>
              <w:b/>
              <w:bCs/>
              <w:noProof/>
            </w:rPr>
            <w:fldChar w:fldCharType="end"/>
          </w:r>
        </w:p>
      </w:sdtContent>
    </w:sdt>
    <w:p w:rsidR="00BD3F3F" w:rsidRDefault="00BD3F3F">
      <w:pPr>
        <w:rPr>
          <w:rFonts w:cs="Arial"/>
          <w:color w:val="064EA8"/>
          <w:spacing w:val="-10"/>
          <w:sz w:val="28"/>
        </w:rPr>
      </w:pPr>
      <w:r>
        <w:br w:type="page"/>
      </w:r>
    </w:p>
    <w:p w:rsidR="002167F2" w:rsidRPr="00DB0772" w:rsidRDefault="002167F2" w:rsidP="00684C16">
      <w:pPr>
        <w:pStyle w:val="Heading1"/>
      </w:pPr>
      <w:bookmarkStart w:id="0" w:name="_Toc456261049"/>
      <w:bookmarkStart w:id="1" w:name="_GoBack"/>
      <w:bookmarkEnd w:id="1"/>
      <w:r>
        <w:lastRenderedPageBreak/>
        <w:t>Executive Summary</w:t>
      </w:r>
      <w:bookmarkEnd w:id="0"/>
    </w:p>
    <w:p w:rsidR="002167F2" w:rsidRPr="002167F2" w:rsidRDefault="002167F2" w:rsidP="002167F2">
      <w:pPr>
        <w:pStyle w:val="BodyText"/>
        <w:spacing w:before="0" w:line="240" w:lineRule="auto"/>
        <w:rPr>
          <w:sz w:val="20"/>
        </w:rPr>
      </w:pPr>
      <w:r w:rsidRPr="002167F2">
        <w:rPr>
          <w:sz w:val="20"/>
        </w:rPr>
        <w:t xml:space="preserve">In the 2014/15 financial year, activity and investment in the earth resources industries </w:t>
      </w:r>
      <w:r w:rsidR="00412C52">
        <w:rPr>
          <w:sz w:val="20"/>
        </w:rPr>
        <w:t xml:space="preserve">continued consistent with the trend of previous financial years. </w:t>
      </w:r>
      <w:r w:rsidRPr="002167F2">
        <w:rPr>
          <w:sz w:val="20"/>
        </w:rPr>
        <w:t xml:space="preserve">The petroleum and geothermal sector </w:t>
      </w:r>
      <w:r w:rsidR="006F0F33">
        <w:rPr>
          <w:sz w:val="20"/>
        </w:rPr>
        <w:t>showed a decrease in</w:t>
      </w:r>
      <w:r w:rsidRPr="002167F2">
        <w:rPr>
          <w:sz w:val="20"/>
        </w:rPr>
        <w:t xml:space="preserve"> activity, and mineral exploration expenditure </w:t>
      </w:r>
      <w:r w:rsidR="006F0F33">
        <w:rPr>
          <w:sz w:val="20"/>
        </w:rPr>
        <w:t>increased by 5.9% in 2014/15</w:t>
      </w:r>
      <w:r w:rsidRPr="002167F2">
        <w:rPr>
          <w:sz w:val="20"/>
        </w:rPr>
        <w:t>. Brown coal production remained relatively stable, showing a slight increase in production.</w:t>
      </w:r>
    </w:p>
    <w:p w:rsidR="002167F2" w:rsidRPr="002167F2" w:rsidRDefault="002167F2" w:rsidP="002167F2">
      <w:pPr>
        <w:pStyle w:val="BodyText"/>
        <w:numPr>
          <w:ilvl w:val="0"/>
          <w:numId w:val="0"/>
        </w:numPr>
        <w:spacing w:before="0" w:line="240" w:lineRule="auto"/>
        <w:rPr>
          <w:sz w:val="20"/>
        </w:rPr>
      </w:pPr>
      <w:r w:rsidRPr="002167F2">
        <w:rPr>
          <w:sz w:val="20"/>
        </w:rPr>
        <w:t>In the petroleum sector, production remained limited to production and injection at the Iona gas storage facility and carbon dioxide production at Boggy Creek, both of which are located in the onshore Otway Basin area.  A hydrocarbon discovery was reported within the area contained within Offshore Petroleum Production Licence VIC/L1 (V).</w:t>
      </w:r>
    </w:p>
    <w:p w:rsidR="002167F2" w:rsidRPr="002167F2" w:rsidRDefault="002167F2" w:rsidP="002167F2">
      <w:pPr>
        <w:pStyle w:val="BodyText"/>
        <w:numPr>
          <w:ilvl w:val="0"/>
          <w:numId w:val="0"/>
        </w:numPr>
        <w:spacing w:before="0" w:line="240" w:lineRule="auto"/>
        <w:rPr>
          <w:sz w:val="20"/>
        </w:rPr>
      </w:pPr>
      <w:r w:rsidRPr="002167F2">
        <w:rPr>
          <w:sz w:val="20"/>
        </w:rPr>
        <w:t xml:space="preserve">Investment in geothermal energy resource exploration </w:t>
      </w:r>
      <w:r w:rsidR="006F0F33">
        <w:rPr>
          <w:sz w:val="20"/>
        </w:rPr>
        <w:t xml:space="preserve">totalled $621,087. </w:t>
      </w:r>
      <w:r w:rsidRPr="002167F2">
        <w:rPr>
          <w:sz w:val="20"/>
        </w:rPr>
        <w:t>No wells were drilled during the</w:t>
      </w:r>
      <w:r w:rsidR="00C12B3C">
        <w:rPr>
          <w:sz w:val="20"/>
        </w:rPr>
        <w:t xml:space="preserve"> financial</w:t>
      </w:r>
      <w:r w:rsidRPr="002167F2">
        <w:rPr>
          <w:sz w:val="20"/>
        </w:rPr>
        <w:t xml:space="preserve"> year due to the continuing moratorium on fracking and onshore natural gas exploration. There was no geothermal energy production.</w:t>
      </w:r>
    </w:p>
    <w:p w:rsidR="002167F2" w:rsidRPr="002167F2" w:rsidRDefault="002167F2" w:rsidP="002167F2">
      <w:pPr>
        <w:pStyle w:val="BodyText"/>
        <w:numPr>
          <w:ilvl w:val="0"/>
          <w:numId w:val="0"/>
        </w:numPr>
        <w:spacing w:before="0" w:line="240" w:lineRule="auto"/>
        <w:rPr>
          <w:sz w:val="20"/>
        </w:rPr>
      </w:pPr>
      <w:r w:rsidRPr="002167F2">
        <w:rPr>
          <w:sz w:val="20"/>
        </w:rPr>
        <w:t xml:space="preserve">The number of licence applications received </w:t>
      </w:r>
      <w:r w:rsidR="00C12B3C">
        <w:rPr>
          <w:sz w:val="20"/>
        </w:rPr>
        <w:t>by ERR fell in the 2014/15 financial year.</w:t>
      </w:r>
      <w:r w:rsidRPr="002167F2">
        <w:rPr>
          <w:sz w:val="20"/>
        </w:rPr>
        <w:t xml:space="preserve"> </w:t>
      </w:r>
      <w:r w:rsidR="00C12B3C">
        <w:rPr>
          <w:sz w:val="20"/>
        </w:rPr>
        <w:t>T</w:t>
      </w:r>
      <w:r w:rsidRPr="002167F2">
        <w:rPr>
          <w:sz w:val="20"/>
        </w:rPr>
        <w:t xml:space="preserve">he number of licences granted and renewed fell in the </w:t>
      </w:r>
      <w:r w:rsidR="00C12B3C">
        <w:rPr>
          <w:sz w:val="20"/>
        </w:rPr>
        <w:t xml:space="preserve">2014/15 </w:t>
      </w:r>
      <w:r w:rsidRPr="002167F2">
        <w:rPr>
          <w:sz w:val="20"/>
        </w:rPr>
        <w:t>financial year. The total number of</w:t>
      </w:r>
      <w:r w:rsidR="00C12B3C">
        <w:rPr>
          <w:sz w:val="20"/>
        </w:rPr>
        <w:t xml:space="preserve"> active</w:t>
      </w:r>
      <w:r w:rsidRPr="002167F2">
        <w:rPr>
          <w:sz w:val="20"/>
        </w:rPr>
        <w:t xml:space="preserve"> licences at </w:t>
      </w:r>
      <w:r w:rsidR="00C12B3C">
        <w:rPr>
          <w:sz w:val="20"/>
        </w:rPr>
        <w:t xml:space="preserve">30 </w:t>
      </w:r>
      <w:r w:rsidRPr="002167F2">
        <w:rPr>
          <w:sz w:val="20"/>
        </w:rPr>
        <w:t>June 2015 fell by 5.5</w:t>
      </w:r>
      <w:r w:rsidR="005F4F91">
        <w:rPr>
          <w:sz w:val="20"/>
        </w:rPr>
        <w:t>%</w:t>
      </w:r>
      <w:r w:rsidRPr="002167F2">
        <w:rPr>
          <w:sz w:val="20"/>
        </w:rPr>
        <w:t xml:space="preserve"> from 494 to 467</w:t>
      </w:r>
      <w:r w:rsidR="00C12B3C">
        <w:rPr>
          <w:sz w:val="20"/>
        </w:rPr>
        <w:t xml:space="preserve"> as compared to 30 June 2014</w:t>
      </w:r>
      <w:r w:rsidRPr="002167F2">
        <w:rPr>
          <w:sz w:val="20"/>
        </w:rPr>
        <w:t>.</w:t>
      </w:r>
    </w:p>
    <w:p w:rsidR="002167F2" w:rsidRPr="002167F2" w:rsidRDefault="002167F2" w:rsidP="002167F2">
      <w:pPr>
        <w:pStyle w:val="BodyText"/>
        <w:numPr>
          <w:ilvl w:val="0"/>
          <w:numId w:val="0"/>
        </w:numPr>
        <w:spacing w:before="0" w:line="240" w:lineRule="auto"/>
        <w:rPr>
          <w:sz w:val="20"/>
        </w:rPr>
      </w:pPr>
      <w:r w:rsidRPr="002167F2">
        <w:rPr>
          <w:sz w:val="20"/>
        </w:rPr>
        <w:t xml:space="preserve">The minerals sector continued to reflect the trend of the past 5 years that shows that there has been a fluctuating demand for minerals. Production of brown coal showed a marginal increase in production. Gold production volume decreased by almost 12% from 225,168 ounces to 198,387 ounces. Gold production value also fell as a result from $303.4 million to $286.9 million, a 5.4% reduction in production value. </w:t>
      </w:r>
    </w:p>
    <w:p w:rsidR="002167F2" w:rsidRPr="002167F2" w:rsidRDefault="002167F2" w:rsidP="002167F2">
      <w:pPr>
        <w:pStyle w:val="BodyText"/>
        <w:numPr>
          <w:ilvl w:val="0"/>
          <w:numId w:val="0"/>
        </w:numPr>
        <w:spacing w:before="0" w:line="240" w:lineRule="auto"/>
        <w:rPr>
          <w:sz w:val="20"/>
        </w:rPr>
      </w:pPr>
      <w:r w:rsidRPr="002167F2">
        <w:rPr>
          <w:sz w:val="20"/>
        </w:rPr>
        <w:t>Minera</w:t>
      </w:r>
      <w:r w:rsidR="00C12B3C">
        <w:rPr>
          <w:sz w:val="20"/>
        </w:rPr>
        <w:t xml:space="preserve">l exploration expenditure rose </w:t>
      </w:r>
      <w:r w:rsidRPr="002167F2">
        <w:rPr>
          <w:sz w:val="20"/>
        </w:rPr>
        <w:t xml:space="preserve">with a reduction in mining expenditure.  Mining expenditure rose in relation to brown coal yet declined in relation to gold and heavy mineral sands. Exploration expenditure </w:t>
      </w:r>
      <w:r w:rsidR="00315102">
        <w:rPr>
          <w:sz w:val="20"/>
        </w:rPr>
        <w:t>increased</w:t>
      </w:r>
      <w:r w:rsidRPr="002167F2">
        <w:rPr>
          <w:sz w:val="20"/>
        </w:rPr>
        <w:t xml:space="preserve"> in relation to all mineral resources.</w:t>
      </w:r>
    </w:p>
    <w:p w:rsidR="002167F2" w:rsidRPr="002167F2" w:rsidRDefault="002167F2" w:rsidP="002167F2">
      <w:pPr>
        <w:pStyle w:val="BodyText"/>
        <w:numPr>
          <w:ilvl w:val="0"/>
          <w:numId w:val="0"/>
        </w:numPr>
        <w:spacing w:before="0" w:line="240" w:lineRule="auto"/>
        <w:rPr>
          <w:sz w:val="20"/>
        </w:rPr>
      </w:pPr>
      <w:r w:rsidRPr="002167F2">
        <w:rPr>
          <w:sz w:val="20"/>
        </w:rPr>
        <w:t>Value sales of extractive industry products increased</w:t>
      </w:r>
      <w:r w:rsidR="005F4F91">
        <w:rPr>
          <w:sz w:val="20"/>
        </w:rPr>
        <w:t xml:space="preserve"> by $75.</w:t>
      </w:r>
      <w:r w:rsidR="00451340">
        <w:rPr>
          <w:sz w:val="20"/>
        </w:rPr>
        <w:t>3</w:t>
      </w:r>
      <w:r w:rsidR="005F4F91">
        <w:rPr>
          <w:sz w:val="20"/>
        </w:rPr>
        <w:t>5 million in 2014/15</w:t>
      </w:r>
      <w:r w:rsidR="00451340">
        <w:rPr>
          <w:sz w:val="20"/>
        </w:rPr>
        <w:t>, an increase of 11.1</w:t>
      </w:r>
      <w:r w:rsidRPr="002167F2">
        <w:rPr>
          <w:sz w:val="20"/>
        </w:rPr>
        <w:t xml:space="preserve">%. Volume sales increased </w:t>
      </w:r>
      <w:r w:rsidR="00217D37">
        <w:rPr>
          <w:sz w:val="20"/>
        </w:rPr>
        <w:t>from 40.3</w:t>
      </w:r>
      <w:r w:rsidR="00451340">
        <w:rPr>
          <w:sz w:val="20"/>
        </w:rPr>
        <w:t xml:space="preserve"> million tonnes to 50.0</w:t>
      </w:r>
      <w:r w:rsidRPr="002167F2">
        <w:rPr>
          <w:sz w:val="20"/>
        </w:rPr>
        <w:t xml:space="preserve"> m</w:t>
      </w:r>
      <w:r w:rsidR="009F7598">
        <w:rPr>
          <w:sz w:val="20"/>
        </w:rPr>
        <w:t xml:space="preserve">illion tonnes, an increase of </w:t>
      </w:r>
      <w:r w:rsidR="00217D37">
        <w:rPr>
          <w:sz w:val="20"/>
        </w:rPr>
        <w:t>24.1</w:t>
      </w:r>
      <w:r w:rsidRPr="002167F2">
        <w:rPr>
          <w:sz w:val="20"/>
        </w:rPr>
        <w:t>%.</w:t>
      </w:r>
    </w:p>
    <w:p w:rsidR="002167F2" w:rsidRPr="002167F2" w:rsidRDefault="002167F2" w:rsidP="002167F2">
      <w:pPr>
        <w:pStyle w:val="BodyText"/>
        <w:numPr>
          <w:ilvl w:val="0"/>
          <w:numId w:val="0"/>
        </w:numPr>
        <w:spacing w:before="0" w:line="240" w:lineRule="auto"/>
        <w:rPr>
          <w:sz w:val="20"/>
        </w:rPr>
      </w:pPr>
      <w:r w:rsidRPr="002167F2">
        <w:rPr>
          <w:sz w:val="20"/>
        </w:rPr>
        <w:t>In 2014/15, state revenue (rent, royalty and administrative charges) derived from the earth resources sector totalled $51.8</w:t>
      </w:r>
      <w:r w:rsidR="000E1E7F">
        <w:rPr>
          <w:sz w:val="20"/>
        </w:rPr>
        <w:t xml:space="preserve"> million</w:t>
      </w:r>
      <w:r w:rsidR="00315102">
        <w:rPr>
          <w:sz w:val="20"/>
        </w:rPr>
        <w:t>,</w:t>
      </w:r>
      <w:r w:rsidRPr="002167F2">
        <w:rPr>
          <w:sz w:val="20"/>
        </w:rPr>
        <w:t xml:space="preserve"> an increase of $1.7 million or 3.3%. The amounts collected in relation to rent and fees &amp; charges fell while amounts collected in relation to royalty and mine stability levy increased.  </w:t>
      </w:r>
    </w:p>
    <w:p w:rsidR="002167F2" w:rsidRDefault="002167F2">
      <w:pPr>
        <w:rPr>
          <w:rFonts w:cs="Arial"/>
          <w:color w:val="064EA8"/>
          <w:spacing w:val="-10"/>
          <w:sz w:val="28"/>
        </w:rPr>
      </w:pPr>
      <w:r>
        <w:br w:type="page"/>
      </w:r>
    </w:p>
    <w:p w:rsidR="00DB0772" w:rsidRPr="002167F2" w:rsidRDefault="00BD3F3F" w:rsidP="00684C16">
      <w:pPr>
        <w:pStyle w:val="Heading1"/>
      </w:pPr>
      <w:bookmarkStart w:id="2" w:name="_Toc456261050"/>
      <w:r w:rsidRPr="002167F2">
        <w:lastRenderedPageBreak/>
        <w:t>Introduction</w:t>
      </w:r>
      <w:bookmarkEnd w:id="2"/>
    </w:p>
    <w:p w:rsidR="00BD3F3F" w:rsidRPr="005955E6" w:rsidRDefault="00BD3F3F" w:rsidP="00BD3F3F">
      <w:pPr>
        <w:jc w:val="both"/>
        <w:rPr>
          <w:rFonts w:ascii="Calibri" w:hAnsi="Calibri"/>
        </w:rPr>
      </w:pPr>
      <w:r w:rsidRPr="005955E6">
        <w:rPr>
          <w:rFonts w:ascii="Calibri" w:hAnsi="Calibri"/>
        </w:rPr>
        <w:t>The Statistical Report is a compilation of data as reported by Victoria’s earth resources industry. The report includes data on production, exploration, expenditure, licensing, revenues and regulatory actions.</w:t>
      </w:r>
    </w:p>
    <w:p w:rsidR="00BD3F3F" w:rsidRPr="005955E6" w:rsidRDefault="00BD3F3F" w:rsidP="00BD3F3F">
      <w:pPr>
        <w:jc w:val="both"/>
        <w:rPr>
          <w:rFonts w:ascii="Calibri" w:hAnsi="Calibri"/>
        </w:rPr>
      </w:pPr>
      <w:r w:rsidRPr="005955E6">
        <w:rPr>
          <w:rFonts w:ascii="Calibri" w:hAnsi="Calibri"/>
        </w:rPr>
        <w:t>Victoria’s earth resource industry production includes:</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gas and carbon dioxide – from onshore;</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brown coal – used almost exclusively for power generation;</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gold;</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antimony;</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industrial minerals – including gypsum, feldspar, rutile, zircon, ilmenite and kaolin; and</w:t>
      </w:r>
    </w:p>
    <w:p w:rsidR="00BD3F3F" w:rsidRPr="005955E6" w:rsidRDefault="00BD3F3F" w:rsidP="00BD3F3F">
      <w:pPr>
        <w:pStyle w:val="ListParagraph"/>
        <w:numPr>
          <w:ilvl w:val="0"/>
          <w:numId w:val="3"/>
        </w:numPr>
        <w:jc w:val="both"/>
        <w:rPr>
          <w:rFonts w:ascii="Calibri" w:hAnsi="Calibri"/>
        </w:rPr>
      </w:pPr>
      <w:r w:rsidRPr="005955E6">
        <w:rPr>
          <w:rFonts w:ascii="Calibri" w:hAnsi="Calibri"/>
        </w:rPr>
        <w:t>rock, sand and clay – used mainly for building and road construction.</w:t>
      </w:r>
    </w:p>
    <w:p w:rsidR="00BD3F3F" w:rsidRPr="005955E6" w:rsidRDefault="00BD3F3F" w:rsidP="00BD3F3F">
      <w:pPr>
        <w:jc w:val="both"/>
        <w:rPr>
          <w:rFonts w:ascii="Calibri" w:hAnsi="Calibri"/>
        </w:rPr>
      </w:pPr>
      <w:r w:rsidRPr="005955E6">
        <w:rPr>
          <w:rFonts w:ascii="Calibri" w:hAnsi="Calibri"/>
        </w:rPr>
        <w:t>Earth Resources Regulation Branch in the Department of Economic Development, Jobs, Transport and Resources (</w:t>
      </w:r>
      <w:r>
        <w:rPr>
          <w:rFonts w:ascii="Calibri" w:hAnsi="Calibri"/>
        </w:rPr>
        <w:t>DEDJTR)</w:t>
      </w:r>
      <w:r w:rsidRPr="005955E6">
        <w:rPr>
          <w:rFonts w:ascii="Calibri" w:hAnsi="Calibri"/>
        </w:rPr>
        <w:t xml:space="preserve"> - is responsible for the </w:t>
      </w:r>
      <w:r w:rsidR="00DB7DC9">
        <w:rPr>
          <w:rFonts w:ascii="Calibri" w:hAnsi="Calibri"/>
        </w:rPr>
        <w:t>r</w:t>
      </w:r>
      <w:r w:rsidRPr="005955E6">
        <w:rPr>
          <w:rFonts w:ascii="Calibri" w:hAnsi="Calibri"/>
        </w:rPr>
        <w:t>egulation of the minerals, extractives, petroleum, pipelines, geothermal and carbon storage industries in Victoria and offshore (Victorian) waters. The Branch provides a consistent and transparent tenement management regime, together with monitoring and enforcement that ensure these industries comply with their</w:t>
      </w:r>
      <w:r w:rsidR="00DB7DC9">
        <w:rPr>
          <w:rFonts w:ascii="Calibri" w:hAnsi="Calibri"/>
        </w:rPr>
        <w:t xml:space="preserve"> statutory</w:t>
      </w:r>
      <w:r w:rsidRPr="005955E6">
        <w:rPr>
          <w:rFonts w:ascii="Calibri" w:hAnsi="Calibri"/>
        </w:rPr>
        <w:t xml:space="preserve"> obligations and meet community expectations.</w:t>
      </w:r>
    </w:p>
    <w:p w:rsidR="00BD3F3F" w:rsidRPr="005955E6" w:rsidRDefault="00BD3F3F" w:rsidP="00BD3F3F">
      <w:pPr>
        <w:jc w:val="both"/>
        <w:rPr>
          <w:rFonts w:ascii="Calibri" w:hAnsi="Calibri"/>
        </w:rPr>
      </w:pPr>
      <w:r w:rsidRPr="005955E6">
        <w:rPr>
          <w:rFonts w:ascii="Calibri" w:hAnsi="Calibri"/>
        </w:rPr>
        <w:t>Earth Resources Regulation Branch administers the following Acts:</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 xml:space="preserve">Mineral Resources (Sustainable Development) Act </w:t>
      </w:r>
      <w:r w:rsidRPr="007D19C5">
        <w:rPr>
          <w:rFonts w:ascii="Calibri" w:hAnsi="Calibri"/>
          <w:i/>
        </w:rPr>
        <w:t>1990</w:t>
      </w:r>
      <w:r w:rsidRPr="005955E6">
        <w:rPr>
          <w:rFonts w:ascii="Calibri" w:hAnsi="Calibri"/>
        </w:rPr>
        <w:t xml:space="preserve"> (MRSDA) (mineral exploration, mining and quarrying);</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Offshore Petroleum and Greenhouse Gas Storage Act</w:t>
      </w:r>
      <w:r w:rsidRPr="005955E6">
        <w:rPr>
          <w:rFonts w:ascii="Calibri" w:hAnsi="Calibri"/>
        </w:rPr>
        <w:t xml:space="preserve"> </w:t>
      </w:r>
      <w:r w:rsidRPr="007D19C5">
        <w:rPr>
          <w:rFonts w:ascii="Calibri" w:hAnsi="Calibri"/>
          <w:i/>
        </w:rPr>
        <w:t>2010</w:t>
      </w:r>
      <w:r w:rsidRPr="005955E6">
        <w:rPr>
          <w:rFonts w:ascii="Calibri" w:hAnsi="Calibri"/>
        </w:rPr>
        <w:t xml:space="preserve"> (OPGGSA) (petroleum exploration and development, greenhouse gas storage and pipelines in the Victorian offshore waters);</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Petroleum Act</w:t>
      </w:r>
      <w:r w:rsidRPr="005955E6">
        <w:rPr>
          <w:rFonts w:ascii="Calibri" w:hAnsi="Calibri"/>
        </w:rPr>
        <w:t xml:space="preserve"> </w:t>
      </w:r>
      <w:r w:rsidRPr="007D19C5">
        <w:rPr>
          <w:rFonts w:ascii="Calibri" w:hAnsi="Calibri"/>
          <w:i/>
        </w:rPr>
        <w:t>1998</w:t>
      </w:r>
      <w:r w:rsidRPr="005955E6">
        <w:rPr>
          <w:rFonts w:ascii="Calibri" w:hAnsi="Calibri"/>
        </w:rPr>
        <w:t xml:space="preserve"> (petroleum exploration and development onshore);</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Pipelines Act</w:t>
      </w:r>
      <w:r w:rsidRPr="005955E6">
        <w:rPr>
          <w:rFonts w:ascii="Calibri" w:hAnsi="Calibri"/>
        </w:rPr>
        <w:t xml:space="preserve"> </w:t>
      </w:r>
      <w:r w:rsidRPr="007D19C5">
        <w:rPr>
          <w:rFonts w:ascii="Calibri" w:hAnsi="Calibri"/>
          <w:i/>
        </w:rPr>
        <w:t>2005</w:t>
      </w:r>
      <w:r w:rsidRPr="005955E6">
        <w:rPr>
          <w:rFonts w:ascii="Calibri" w:hAnsi="Calibri"/>
        </w:rPr>
        <w:t xml:space="preserve"> (licensing and regulation of high pressure pipelines onshore);</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Geothermal Energy Resources Act</w:t>
      </w:r>
      <w:r w:rsidRPr="005955E6">
        <w:rPr>
          <w:rFonts w:ascii="Calibri" w:hAnsi="Calibri"/>
        </w:rPr>
        <w:t xml:space="preserve"> </w:t>
      </w:r>
      <w:r w:rsidRPr="007D19C5">
        <w:rPr>
          <w:rFonts w:ascii="Calibri" w:hAnsi="Calibri"/>
          <w:i/>
        </w:rPr>
        <w:t>2005</w:t>
      </w:r>
      <w:r w:rsidRPr="005955E6">
        <w:rPr>
          <w:rFonts w:ascii="Calibri" w:hAnsi="Calibri"/>
        </w:rPr>
        <w:t xml:space="preserve"> (geothermal energy exploration and development); and</w:t>
      </w:r>
    </w:p>
    <w:p w:rsidR="00BD3F3F" w:rsidRPr="005955E6" w:rsidRDefault="00BD3F3F" w:rsidP="00BD3F3F">
      <w:pPr>
        <w:pStyle w:val="ListParagraph"/>
        <w:numPr>
          <w:ilvl w:val="0"/>
          <w:numId w:val="4"/>
        </w:numPr>
        <w:jc w:val="both"/>
        <w:rPr>
          <w:rFonts w:ascii="Calibri" w:hAnsi="Calibri"/>
        </w:rPr>
      </w:pPr>
      <w:r w:rsidRPr="005955E6">
        <w:rPr>
          <w:rFonts w:ascii="Calibri" w:hAnsi="Calibri"/>
          <w:i/>
        </w:rPr>
        <w:t>Greenhouse Gas Geological Sequestration Act</w:t>
      </w:r>
      <w:r w:rsidRPr="005955E6">
        <w:rPr>
          <w:rFonts w:ascii="Calibri" w:hAnsi="Calibri"/>
        </w:rPr>
        <w:t xml:space="preserve"> </w:t>
      </w:r>
      <w:r w:rsidRPr="007D19C5">
        <w:rPr>
          <w:rFonts w:ascii="Calibri" w:hAnsi="Calibri"/>
          <w:i/>
        </w:rPr>
        <w:t>2008</w:t>
      </w:r>
      <w:r w:rsidRPr="005955E6">
        <w:rPr>
          <w:rFonts w:ascii="Calibri" w:hAnsi="Calibri"/>
        </w:rPr>
        <w:t xml:space="preserve"> (greenhouse gas storage onshore).</w:t>
      </w:r>
    </w:p>
    <w:p w:rsidR="001D78C9" w:rsidRPr="001D78C9" w:rsidRDefault="001D78C9" w:rsidP="001D78C9">
      <w:pPr>
        <w:pStyle w:val="bodycopy"/>
      </w:pPr>
    </w:p>
    <w:p w:rsidR="002167F2" w:rsidRDefault="002167F2">
      <w:pPr>
        <w:rPr>
          <w:rFonts w:cs="Arial"/>
          <w:color w:val="064EA8"/>
          <w:sz w:val="24"/>
        </w:rPr>
      </w:pPr>
      <w:r>
        <w:br w:type="page"/>
      </w:r>
    </w:p>
    <w:p w:rsidR="002167F2" w:rsidRDefault="002167F2" w:rsidP="00684C16">
      <w:pPr>
        <w:pStyle w:val="Heading1"/>
      </w:pPr>
      <w:bookmarkStart w:id="3" w:name="_Toc454977054"/>
      <w:bookmarkStart w:id="4" w:name="_Toc456261051"/>
      <w:r w:rsidRPr="002167F2">
        <w:lastRenderedPageBreak/>
        <w:t>Petroleum, Geothermal and Pipelines</w:t>
      </w:r>
      <w:bookmarkEnd w:id="3"/>
      <w:bookmarkEnd w:id="4"/>
    </w:p>
    <w:p w:rsidR="00684C16" w:rsidRDefault="00684C16" w:rsidP="00684C16">
      <w:pPr>
        <w:pStyle w:val="Heading2"/>
      </w:pPr>
      <w:bookmarkStart w:id="5" w:name="_Toc456261052"/>
      <w:r>
        <w:t>Petroleum</w:t>
      </w:r>
      <w:bookmarkEnd w:id="5"/>
    </w:p>
    <w:p w:rsidR="00527C5F" w:rsidRPr="00527C5F" w:rsidRDefault="00527C5F" w:rsidP="00527C5F">
      <w:pPr>
        <w:pStyle w:val="BodyText"/>
        <w:spacing w:before="0" w:line="240" w:lineRule="auto"/>
        <w:rPr>
          <w:sz w:val="20"/>
        </w:rPr>
      </w:pPr>
      <w:r w:rsidRPr="00527C5F">
        <w:rPr>
          <w:sz w:val="20"/>
        </w:rPr>
        <w:t xml:space="preserve">Victoria’s petroleum exploration is concentrated in the Otway and Gippsland Basins, with activities undertaken onshore and </w:t>
      </w:r>
      <w:r w:rsidR="00E57F5D">
        <w:rPr>
          <w:sz w:val="20"/>
        </w:rPr>
        <w:t xml:space="preserve">within </w:t>
      </w:r>
      <w:r w:rsidRPr="00527C5F">
        <w:rPr>
          <w:sz w:val="20"/>
        </w:rPr>
        <w:t>Victorian offshore waters.  Production activity is limited to the Otway Basin.</w:t>
      </w:r>
    </w:p>
    <w:p w:rsidR="00527C5F" w:rsidRDefault="00527C5F" w:rsidP="00527C5F">
      <w:pPr>
        <w:pStyle w:val="BodyText"/>
        <w:numPr>
          <w:ilvl w:val="0"/>
          <w:numId w:val="0"/>
        </w:numPr>
        <w:spacing w:before="0"/>
        <w:rPr>
          <w:sz w:val="20"/>
        </w:rPr>
      </w:pPr>
      <w:r w:rsidRPr="00527C5F">
        <w:rPr>
          <w:sz w:val="20"/>
        </w:rPr>
        <w:t>Offshore activities concern waters effectively within three nautical miles of the coast, as covered by Victorian legislation. Waters greater than three nautical miles offshore from the coast are Commonwealth waters and are as such covered by Commonwealth legislation and therefore not included in this report.</w:t>
      </w:r>
    </w:p>
    <w:p w:rsidR="00527C5F" w:rsidRDefault="00527C5F" w:rsidP="00BB1502">
      <w:pPr>
        <w:pStyle w:val="Heading3"/>
        <w:spacing w:before="0"/>
      </w:pPr>
      <w:bookmarkStart w:id="6" w:name="_Toc456261053"/>
      <w:r>
        <w:t>Petroleum Tenements</w:t>
      </w:r>
      <w:bookmarkEnd w:id="6"/>
    </w:p>
    <w:p w:rsidR="00315102" w:rsidRPr="00315102" w:rsidRDefault="00315102" w:rsidP="00315102">
      <w:r>
        <w:t>In 2014/15, no</w:t>
      </w:r>
      <w:r w:rsidRPr="00527C5F">
        <w:t xml:space="preserve"> offshore petroleum production licence applications were received</w:t>
      </w:r>
      <w:r>
        <w:t>.</w:t>
      </w:r>
      <w:r w:rsidRPr="00527C5F">
        <w:t xml:space="preserve"> </w:t>
      </w:r>
      <w:r w:rsidR="00AC099D" w:rsidRPr="00527C5F">
        <w:t xml:space="preserve">One offshore petroleum production licence </w:t>
      </w:r>
      <w:r w:rsidR="00133388">
        <w:t xml:space="preserve">received in the last financial year, </w:t>
      </w:r>
      <w:r w:rsidR="00AC099D" w:rsidRPr="00527C5F">
        <w:t xml:space="preserve">was </w:t>
      </w:r>
      <w:r w:rsidR="00133388">
        <w:t xml:space="preserve">granted. </w:t>
      </w:r>
      <w:r>
        <w:t xml:space="preserve">Two </w:t>
      </w:r>
      <w:r w:rsidRPr="00527C5F">
        <w:t>offshore petroleum exploration permits were granted</w:t>
      </w:r>
      <w:r>
        <w:t>, these applications were made in the previous financial year</w:t>
      </w:r>
      <w:r w:rsidRPr="00527C5F">
        <w:t>.</w:t>
      </w:r>
      <w:r>
        <w:t xml:space="preserve"> No</w:t>
      </w:r>
      <w:r w:rsidRPr="00527C5F">
        <w:t xml:space="preserve"> offshore petroleum reten</w:t>
      </w:r>
      <w:r>
        <w:t>tion leases were granted and no</w:t>
      </w:r>
      <w:r w:rsidRPr="00527C5F">
        <w:t xml:space="preserve"> applications were received. </w:t>
      </w:r>
    </w:p>
    <w:p w:rsidR="00315102" w:rsidRPr="005A0C45" w:rsidRDefault="00315102" w:rsidP="00315102">
      <w:pPr>
        <w:spacing w:before="0" w:after="0" w:line="240" w:lineRule="auto"/>
        <w:jc w:val="both"/>
        <w:rPr>
          <w:rFonts w:ascii="Calibri" w:eastAsia="Times New Roman" w:hAnsi="Calibri" w:cs="Mangal"/>
          <w:b/>
          <w:szCs w:val="24"/>
        </w:rPr>
      </w:pPr>
      <w:r w:rsidRPr="005A0C45">
        <w:rPr>
          <w:rFonts w:ascii="Calibri" w:eastAsia="Times New Roman" w:hAnsi="Calibri" w:cs="Mangal"/>
          <w:b/>
          <w:szCs w:val="24"/>
        </w:rPr>
        <w:t xml:space="preserve">Table </w:t>
      </w:r>
      <w:r w:rsidR="007D19C5">
        <w:rPr>
          <w:rFonts w:ascii="Calibri" w:eastAsia="Times New Roman" w:hAnsi="Calibri" w:cs="Mangal"/>
          <w:b/>
          <w:szCs w:val="24"/>
        </w:rPr>
        <w:t>1</w:t>
      </w:r>
      <w:r w:rsidRPr="005A0C45">
        <w:rPr>
          <w:rFonts w:ascii="Calibri" w:eastAsia="Times New Roman" w:hAnsi="Calibri" w:cs="Mangal"/>
          <w:b/>
          <w:szCs w:val="24"/>
        </w:rPr>
        <w:t>.1 Overview of petroleum tenements current as at 30 June 2015</w:t>
      </w:r>
    </w:p>
    <w:tbl>
      <w:tblPr>
        <w:tblStyle w:val="LightShading-Accent1"/>
        <w:tblW w:w="5000" w:type="pct"/>
        <w:tblLook w:val="04A0" w:firstRow="1" w:lastRow="0" w:firstColumn="1" w:lastColumn="0" w:noHBand="0" w:noVBand="1"/>
      </w:tblPr>
      <w:tblGrid>
        <w:gridCol w:w="1292"/>
        <w:gridCol w:w="3206"/>
        <w:gridCol w:w="2981"/>
        <w:gridCol w:w="3203"/>
      </w:tblGrid>
      <w:tr w:rsidR="00315102" w:rsidRPr="005A0C45" w:rsidTr="00F3368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749" w:type="pct"/>
            <w:noWrap/>
            <w:hideMark/>
          </w:tcPr>
          <w:p w:rsidR="00315102" w:rsidRPr="005A0C45" w:rsidRDefault="00315102" w:rsidP="00F33682">
            <w:pPr>
              <w:jc w:val="both"/>
              <w:rPr>
                <w:rFonts w:ascii="Calibri" w:eastAsia="Times New Roman" w:hAnsi="Calibri" w:cs="Mangal"/>
                <w:b w:val="0"/>
                <w:color w:val="000000"/>
                <w:szCs w:val="24"/>
              </w:rPr>
            </w:pPr>
            <w:r w:rsidRPr="005A0C45">
              <w:rPr>
                <w:rFonts w:ascii="Calibri" w:eastAsia="Times New Roman" w:hAnsi="Calibri" w:cs="Mangal"/>
                <w:color w:val="000000"/>
                <w:szCs w:val="24"/>
              </w:rPr>
              <w:t> </w:t>
            </w:r>
          </w:p>
        </w:tc>
        <w:tc>
          <w:tcPr>
            <w:tcW w:w="1369" w:type="pct"/>
            <w:noWrap/>
            <w:vAlign w:val="center"/>
            <w:hideMark/>
          </w:tcPr>
          <w:p w:rsidR="00315102" w:rsidRPr="005A0C45" w:rsidRDefault="00315102" w:rsidP="00F3368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szCs w:val="24"/>
              </w:rPr>
            </w:pPr>
            <w:r w:rsidRPr="005A0C45">
              <w:rPr>
                <w:rFonts w:ascii="Calibri" w:eastAsia="Times New Roman" w:hAnsi="Calibri" w:cs="Mangal"/>
                <w:color w:val="000000"/>
                <w:szCs w:val="24"/>
              </w:rPr>
              <w:t>Petroleum Exploration Permits (PEPs)</w:t>
            </w:r>
          </w:p>
        </w:tc>
        <w:tc>
          <w:tcPr>
            <w:tcW w:w="1390" w:type="pct"/>
            <w:noWrap/>
            <w:vAlign w:val="center"/>
            <w:hideMark/>
          </w:tcPr>
          <w:p w:rsidR="00315102" w:rsidRPr="005A0C45" w:rsidRDefault="00315102" w:rsidP="00F3368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szCs w:val="24"/>
              </w:rPr>
            </w:pPr>
            <w:r w:rsidRPr="005A0C45">
              <w:rPr>
                <w:rFonts w:ascii="Calibri" w:eastAsia="Times New Roman" w:hAnsi="Calibri" w:cs="Mangal"/>
                <w:color w:val="000000"/>
                <w:szCs w:val="24"/>
              </w:rPr>
              <w:t>Petroleum Retention Leases (PRLs)</w:t>
            </w:r>
          </w:p>
        </w:tc>
        <w:tc>
          <w:tcPr>
            <w:tcW w:w="1492" w:type="pct"/>
            <w:noWrap/>
            <w:vAlign w:val="center"/>
            <w:hideMark/>
          </w:tcPr>
          <w:p w:rsidR="00315102" w:rsidRPr="005A0C45" w:rsidRDefault="00315102" w:rsidP="00F3368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szCs w:val="24"/>
              </w:rPr>
            </w:pPr>
            <w:r w:rsidRPr="005A0C45">
              <w:rPr>
                <w:rFonts w:ascii="Calibri" w:eastAsia="Times New Roman" w:hAnsi="Calibri" w:cs="Mangal"/>
                <w:color w:val="000000"/>
                <w:szCs w:val="24"/>
              </w:rPr>
              <w:t>Petroleum Production Licences (PPLs)</w:t>
            </w:r>
          </w:p>
        </w:tc>
      </w:tr>
      <w:tr w:rsidR="00315102" w:rsidRPr="005A0C45" w:rsidTr="00F3368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9" w:type="pct"/>
            <w:noWrap/>
            <w:vAlign w:val="center"/>
            <w:hideMark/>
          </w:tcPr>
          <w:p w:rsidR="00315102" w:rsidRPr="000001E9" w:rsidRDefault="00315102" w:rsidP="00F33682">
            <w:pPr>
              <w:rPr>
                <w:rFonts w:ascii="Calibri" w:eastAsia="Times New Roman" w:hAnsi="Calibri" w:cs="Mangal"/>
                <w:b w:val="0"/>
                <w:color w:val="000000"/>
                <w:szCs w:val="24"/>
              </w:rPr>
            </w:pPr>
            <w:r w:rsidRPr="000001E9">
              <w:rPr>
                <w:rFonts w:ascii="Calibri" w:eastAsia="Times New Roman" w:hAnsi="Calibri" w:cs="Mangal"/>
                <w:b w:val="0"/>
                <w:color w:val="000000"/>
                <w:szCs w:val="24"/>
              </w:rPr>
              <w:t>Onshore</w:t>
            </w:r>
          </w:p>
        </w:tc>
        <w:tc>
          <w:tcPr>
            <w:tcW w:w="1369" w:type="pct"/>
            <w:noWrap/>
            <w:vAlign w:val="center"/>
          </w:tcPr>
          <w:p w:rsidR="00315102" w:rsidRPr="005A0C45" w:rsidRDefault="00315102" w:rsidP="00F3368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11</w:t>
            </w:r>
          </w:p>
        </w:tc>
        <w:tc>
          <w:tcPr>
            <w:tcW w:w="1390" w:type="pct"/>
            <w:noWrap/>
            <w:vAlign w:val="center"/>
          </w:tcPr>
          <w:p w:rsidR="00315102" w:rsidRPr="005A0C45" w:rsidRDefault="00315102" w:rsidP="00F3368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3</w:t>
            </w:r>
          </w:p>
        </w:tc>
        <w:tc>
          <w:tcPr>
            <w:tcW w:w="1492" w:type="pct"/>
            <w:noWrap/>
            <w:vAlign w:val="center"/>
          </w:tcPr>
          <w:p w:rsidR="00315102" w:rsidRPr="005A0C45" w:rsidRDefault="00315102" w:rsidP="00F3368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13</w:t>
            </w:r>
          </w:p>
        </w:tc>
      </w:tr>
      <w:tr w:rsidR="00315102" w:rsidRPr="005A0C45" w:rsidTr="00F33682">
        <w:trPr>
          <w:trHeight w:val="300"/>
        </w:trPr>
        <w:tc>
          <w:tcPr>
            <w:cnfStyle w:val="001000000000" w:firstRow="0" w:lastRow="0" w:firstColumn="1" w:lastColumn="0" w:oddVBand="0" w:evenVBand="0" w:oddHBand="0" w:evenHBand="0" w:firstRowFirstColumn="0" w:firstRowLastColumn="0" w:lastRowFirstColumn="0" w:lastRowLastColumn="0"/>
            <w:tcW w:w="749" w:type="pct"/>
            <w:noWrap/>
            <w:vAlign w:val="center"/>
            <w:hideMark/>
          </w:tcPr>
          <w:p w:rsidR="00315102" w:rsidRPr="000001E9" w:rsidRDefault="00315102" w:rsidP="00F33682">
            <w:pPr>
              <w:rPr>
                <w:rFonts w:ascii="Calibri" w:eastAsia="Times New Roman" w:hAnsi="Calibri" w:cs="Mangal"/>
                <w:b w:val="0"/>
                <w:color w:val="000000"/>
                <w:szCs w:val="24"/>
              </w:rPr>
            </w:pPr>
            <w:r w:rsidRPr="000001E9">
              <w:rPr>
                <w:rFonts w:ascii="Calibri" w:eastAsia="Times New Roman" w:hAnsi="Calibri" w:cs="Mangal"/>
                <w:b w:val="0"/>
                <w:color w:val="000000"/>
                <w:szCs w:val="24"/>
              </w:rPr>
              <w:t>Offshore (Vic)</w:t>
            </w:r>
          </w:p>
        </w:tc>
        <w:tc>
          <w:tcPr>
            <w:tcW w:w="1369" w:type="pct"/>
            <w:noWrap/>
            <w:vAlign w:val="center"/>
          </w:tcPr>
          <w:p w:rsidR="00315102" w:rsidRPr="005A0C45" w:rsidRDefault="00315102" w:rsidP="00F3368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3</w:t>
            </w:r>
          </w:p>
        </w:tc>
        <w:tc>
          <w:tcPr>
            <w:tcW w:w="1390" w:type="pct"/>
            <w:noWrap/>
            <w:vAlign w:val="center"/>
          </w:tcPr>
          <w:p w:rsidR="00315102" w:rsidRPr="005A0C45" w:rsidRDefault="00315102" w:rsidP="00F3368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1</w:t>
            </w:r>
          </w:p>
        </w:tc>
        <w:tc>
          <w:tcPr>
            <w:tcW w:w="1492" w:type="pct"/>
            <w:noWrap/>
            <w:vAlign w:val="center"/>
          </w:tcPr>
          <w:p w:rsidR="00315102" w:rsidRPr="005A0C45" w:rsidRDefault="00315102" w:rsidP="00F3368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sz w:val="22"/>
                <w:szCs w:val="22"/>
              </w:rPr>
            </w:pPr>
            <w:r w:rsidRPr="005A0C45">
              <w:rPr>
                <w:rFonts w:ascii="Calibri" w:eastAsia="Times New Roman" w:hAnsi="Calibri" w:cs="Mangal"/>
                <w:color w:val="000000"/>
                <w:sz w:val="22"/>
                <w:szCs w:val="22"/>
              </w:rPr>
              <w:t>1</w:t>
            </w:r>
          </w:p>
        </w:tc>
      </w:tr>
    </w:tbl>
    <w:p w:rsidR="00315102" w:rsidRPr="005A0C45" w:rsidRDefault="00315102" w:rsidP="00315102">
      <w:pPr>
        <w:spacing w:before="0" w:after="0" w:line="240" w:lineRule="auto"/>
        <w:jc w:val="both"/>
        <w:rPr>
          <w:rFonts w:ascii="Calibri" w:eastAsia="Times New Roman" w:hAnsi="Calibri" w:cs="Mangal"/>
          <w:sz w:val="16"/>
          <w:szCs w:val="24"/>
        </w:rPr>
      </w:pPr>
      <w:r w:rsidRPr="005A0C45">
        <w:rPr>
          <w:rFonts w:ascii="Calibri" w:eastAsia="Times New Roman" w:hAnsi="Calibri" w:cs="Mangal"/>
          <w:sz w:val="16"/>
          <w:szCs w:val="24"/>
        </w:rPr>
        <w:t>Source: DEDJTR</w:t>
      </w:r>
    </w:p>
    <w:p w:rsidR="005A0C45" w:rsidRDefault="005A0C45" w:rsidP="002F623A">
      <w:pPr>
        <w:pStyle w:val="Heading4"/>
      </w:pPr>
      <w:r w:rsidRPr="002F623A">
        <w:t>Onshore</w:t>
      </w:r>
    </w:p>
    <w:p w:rsidR="005A0C45" w:rsidRPr="005A0C45" w:rsidRDefault="00BB1502" w:rsidP="005A0C45">
      <w:pPr>
        <w:pStyle w:val="BodyText"/>
        <w:spacing w:before="0" w:line="240" w:lineRule="auto"/>
        <w:rPr>
          <w:sz w:val="20"/>
        </w:rPr>
      </w:pPr>
      <w:r>
        <w:rPr>
          <w:sz w:val="20"/>
        </w:rPr>
        <w:t>No</w:t>
      </w:r>
      <w:r w:rsidR="005A0C45" w:rsidRPr="005A0C45">
        <w:rPr>
          <w:sz w:val="20"/>
        </w:rPr>
        <w:t xml:space="preserve"> onshore petroleum retention licence applications were received or granted. </w:t>
      </w:r>
      <w:r w:rsidR="00DB7DC9">
        <w:rPr>
          <w:sz w:val="20"/>
        </w:rPr>
        <w:t xml:space="preserve">No </w:t>
      </w:r>
      <w:r w:rsidR="005A0C45" w:rsidRPr="005A0C45">
        <w:rPr>
          <w:sz w:val="20"/>
        </w:rPr>
        <w:t>onshore petroleum explorati</w:t>
      </w:r>
      <w:r>
        <w:rPr>
          <w:sz w:val="20"/>
        </w:rPr>
        <w:t>on permits were granted with no</w:t>
      </w:r>
      <w:r w:rsidR="005A0C45" w:rsidRPr="005A0C45">
        <w:rPr>
          <w:sz w:val="20"/>
        </w:rPr>
        <w:t xml:space="preserve"> applications received. </w:t>
      </w:r>
    </w:p>
    <w:p w:rsidR="005A0C45" w:rsidRPr="005955E6" w:rsidRDefault="005A0C45" w:rsidP="005A0C45">
      <w:pPr>
        <w:spacing w:after="0"/>
        <w:jc w:val="both"/>
        <w:rPr>
          <w:rFonts w:ascii="Calibri" w:hAnsi="Calibri"/>
          <w:b/>
        </w:rPr>
      </w:pPr>
      <w:r w:rsidRPr="005955E6">
        <w:rPr>
          <w:rFonts w:ascii="Calibri" w:hAnsi="Calibri"/>
          <w:b/>
        </w:rPr>
        <w:t xml:space="preserve">Table </w:t>
      </w:r>
      <w:r w:rsidR="007D19C5">
        <w:rPr>
          <w:rFonts w:ascii="Calibri" w:hAnsi="Calibri"/>
          <w:b/>
        </w:rPr>
        <w:t>1</w:t>
      </w:r>
      <w:r w:rsidRPr="005955E6">
        <w:rPr>
          <w:rFonts w:ascii="Calibri" w:hAnsi="Calibri"/>
          <w:b/>
        </w:rPr>
        <w:t>.2 Overview of onshore petroleum exploration permits (PEPs)</w:t>
      </w:r>
    </w:p>
    <w:tbl>
      <w:tblPr>
        <w:tblW w:w="5000" w:type="pct"/>
        <w:shd w:val="clear" w:color="auto" w:fill="FFFFFF" w:themeFill="background1"/>
        <w:tblLook w:val="0000" w:firstRow="0" w:lastRow="0" w:firstColumn="0" w:lastColumn="0" w:noHBand="0" w:noVBand="0"/>
      </w:tblPr>
      <w:tblGrid>
        <w:gridCol w:w="1435"/>
        <w:gridCol w:w="233"/>
        <w:gridCol w:w="929"/>
        <w:gridCol w:w="1156"/>
        <w:gridCol w:w="1156"/>
        <w:gridCol w:w="1156"/>
        <w:gridCol w:w="1156"/>
        <w:gridCol w:w="1156"/>
        <w:gridCol w:w="1156"/>
        <w:gridCol w:w="1149"/>
      </w:tblGrid>
      <w:tr w:rsidR="00775B32" w:rsidRPr="00E84E0A" w:rsidTr="000001E9">
        <w:trPr>
          <w:trHeight w:val="270"/>
          <w:tblHeader/>
        </w:trPr>
        <w:tc>
          <w:tcPr>
            <w:tcW w:w="672" w:type="pct"/>
            <w:tcBorders>
              <w:top w:val="single" w:sz="8" w:space="0" w:color="4F81BD" w:themeColor="accent1"/>
              <w:bottom w:val="single" w:sz="8" w:space="0" w:color="4F81BD" w:themeColor="accent1"/>
            </w:tcBorders>
            <w:shd w:val="clear" w:color="auto" w:fill="FFFFFF" w:themeFill="background1"/>
            <w:noWrap/>
          </w:tcPr>
          <w:p w:rsidR="005A0C45" w:rsidRPr="005955E6" w:rsidRDefault="005A0C45" w:rsidP="006F5644">
            <w:pPr>
              <w:spacing w:before="0" w:after="0"/>
              <w:jc w:val="both"/>
              <w:rPr>
                <w:rFonts w:ascii="Calibri" w:hAnsi="Calibri"/>
                <w:b/>
              </w:rPr>
            </w:pPr>
          </w:p>
        </w:tc>
        <w:tc>
          <w:tcPr>
            <w:tcW w:w="544" w:type="pct"/>
            <w:gridSpan w:val="2"/>
            <w:tcBorders>
              <w:top w:val="single" w:sz="8" w:space="0" w:color="4F81BD" w:themeColor="accent1"/>
              <w:bottom w:val="single" w:sz="8" w:space="0" w:color="4F81BD" w:themeColor="accent1"/>
            </w:tcBorders>
            <w:shd w:val="clear" w:color="auto" w:fill="FFFFFF" w:themeFill="background1"/>
            <w:noWrap/>
          </w:tcPr>
          <w:p w:rsidR="005A0C45" w:rsidRPr="005955E6" w:rsidRDefault="005A0C45" w:rsidP="006F5644">
            <w:pPr>
              <w:spacing w:before="0" w:after="0"/>
              <w:jc w:val="center"/>
              <w:rPr>
                <w:rFonts w:ascii="Calibri" w:hAnsi="Calibri"/>
                <w:b/>
              </w:rPr>
            </w:pPr>
            <w:r w:rsidRPr="005955E6">
              <w:rPr>
                <w:rFonts w:ascii="Calibri" w:hAnsi="Calibri"/>
                <w:b/>
              </w:rPr>
              <w:t>2007/08</w:t>
            </w:r>
          </w:p>
        </w:tc>
        <w:tc>
          <w:tcPr>
            <w:tcW w:w="541" w:type="pct"/>
            <w:tcBorders>
              <w:top w:val="single" w:sz="8" w:space="0" w:color="4F81BD" w:themeColor="accent1"/>
              <w:bottom w:val="single" w:sz="8" w:space="0" w:color="4F81BD" w:themeColor="accent1"/>
            </w:tcBorders>
            <w:shd w:val="clear" w:color="auto" w:fill="FFFFFF" w:themeFill="background1"/>
            <w:noWrap/>
          </w:tcPr>
          <w:p w:rsidR="005A0C45" w:rsidRPr="005955E6" w:rsidRDefault="005A0C45" w:rsidP="006F5644">
            <w:pPr>
              <w:spacing w:before="0" w:after="0"/>
              <w:jc w:val="center"/>
              <w:rPr>
                <w:rFonts w:ascii="Calibri" w:hAnsi="Calibri"/>
                <w:b/>
              </w:rPr>
            </w:pPr>
            <w:r w:rsidRPr="005955E6">
              <w:rPr>
                <w:rFonts w:ascii="Calibri" w:hAnsi="Calibri"/>
                <w:b/>
              </w:rPr>
              <w:t>2008/09</w:t>
            </w:r>
          </w:p>
        </w:tc>
        <w:tc>
          <w:tcPr>
            <w:tcW w:w="541" w:type="pct"/>
            <w:tcBorders>
              <w:top w:val="single" w:sz="8" w:space="0" w:color="4F81BD" w:themeColor="accent1"/>
              <w:bottom w:val="single" w:sz="8" w:space="0" w:color="4F81BD" w:themeColor="accent1"/>
            </w:tcBorders>
            <w:shd w:val="clear" w:color="auto" w:fill="FFFFFF" w:themeFill="background1"/>
            <w:noWrap/>
          </w:tcPr>
          <w:p w:rsidR="005A0C45" w:rsidRPr="005955E6" w:rsidRDefault="005A0C45" w:rsidP="006F5644">
            <w:pPr>
              <w:spacing w:before="0" w:after="0"/>
              <w:jc w:val="center"/>
              <w:rPr>
                <w:rFonts w:ascii="Calibri" w:hAnsi="Calibri"/>
                <w:b/>
              </w:rPr>
            </w:pPr>
            <w:r w:rsidRPr="005955E6">
              <w:rPr>
                <w:rFonts w:ascii="Calibri" w:hAnsi="Calibri"/>
                <w:b/>
              </w:rPr>
              <w:t>2009/10</w:t>
            </w:r>
          </w:p>
        </w:tc>
        <w:tc>
          <w:tcPr>
            <w:tcW w:w="541" w:type="pct"/>
            <w:tcBorders>
              <w:top w:val="single" w:sz="8" w:space="0" w:color="4F81BD" w:themeColor="accent1"/>
              <w:bottom w:val="single" w:sz="8" w:space="0" w:color="4F81BD" w:themeColor="accent1"/>
            </w:tcBorders>
            <w:shd w:val="clear" w:color="auto" w:fill="FFFFFF" w:themeFill="background1"/>
          </w:tcPr>
          <w:p w:rsidR="005A0C45" w:rsidRPr="005955E6" w:rsidRDefault="005A0C45" w:rsidP="006F5644">
            <w:pPr>
              <w:spacing w:before="0" w:after="0"/>
              <w:jc w:val="center"/>
              <w:rPr>
                <w:rFonts w:ascii="Calibri" w:hAnsi="Calibri"/>
                <w:b/>
              </w:rPr>
            </w:pPr>
            <w:r w:rsidRPr="005955E6">
              <w:rPr>
                <w:rFonts w:ascii="Calibri" w:hAnsi="Calibri"/>
                <w:b/>
              </w:rPr>
              <w:t>2010/11</w:t>
            </w:r>
          </w:p>
        </w:tc>
        <w:tc>
          <w:tcPr>
            <w:tcW w:w="541" w:type="pct"/>
            <w:tcBorders>
              <w:top w:val="single" w:sz="8" w:space="0" w:color="4F81BD" w:themeColor="accent1"/>
              <w:bottom w:val="single" w:sz="8" w:space="0" w:color="4F81BD" w:themeColor="accent1"/>
            </w:tcBorders>
            <w:shd w:val="clear" w:color="auto" w:fill="FFFFFF" w:themeFill="background1"/>
          </w:tcPr>
          <w:p w:rsidR="005A0C45" w:rsidRPr="005955E6" w:rsidRDefault="005A0C45" w:rsidP="006F5644">
            <w:pPr>
              <w:spacing w:before="0" w:after="0"/>
              <w:jc w:val="center"/>
              <w:rPr>
                <w:rFonts w:ascii="Calibri" w:hAnsi="Calibri"/>
                <w:b/>
              </w:rPr>
            </w:pPr>
            <w:r w:rsidRPr="005955E6">
              <w:rPr>
                <w:rFonts w:ascii="Calibri" w:hAnsi="Calibri"/>
                <w:b/>
              </w:rPr>
              <w:t>2011/12</w:t>
            </w:r>
          </w:p>
        </w:tc>
        <w:tc>
          <w:tcPr>
            <w:tcW w:w="541" w:type="pct"/>
            <w:tcBorders>
              <w:top w:val="single" w:sz="8" w:space="0" w:color="4F81BD" w:themeColor="accent1"/>
              <w:bottom w:val="single" w:sz="8" w:space="0" w:color="4F81BD" w:themeColor="accent1"/>
            </w:tcBorders>
            <w:shd w:val="clear" w:color="auto" w:fill="FFFFFF" w:themeFill="background1"/>
          </w:tcPr>
          <w:p w:rsidR="005A0C45" w:rsidRPr="005955E6" w:rsidRDefault="005A0C45" w:rsidP="006F5644">
            <w:pPr>
              <w:spacing w:before="0" w:after="0"/>
              <w:jc w:val="center"/>
              <w:rPr>
                <w:rFonts w:ascii="Calibri" w:hAnsi="Calibri"/>
                <w:b/>
              </w:rPr>
            </w:pPr>
            <w:r w:rsidRPr="005955E6">
              <w:rPr>
                <w:rFonts w:ascii="Calibri" w:hAnsi="Calibri"/>
                <w:b/>
              </w:rPr>
              <w:t>2012/13</w:t>
            </w:r>
          </w:p>
        </w:tc>
        <w:tc>
          <w:tcPr>
            <w:tcW w:w="541" w:type="pct"/>
            <w:tcBorders>
              <w:top w:val="single" w:sz="8" w:space="0" w:color="4F81BD" w:themeColor="accent1"/>
              <w:bottom w:val="single" w:sz="8" w:space="0" w:color="4F81BD" w:themeColor="accent1"/>
            </w:tcBorders>
            <w:shd w:val="clear" w:color="auto" w:fill="FFFFFF" w:themeFill="background1"/>
          </w:tcPr>
          <w:p w:rsidR="005A0C45" w:rsidRPr="005955E6" w:rsidRDefault="005A0C45" w:rsidP="006F5644">
            <w:pPr>
              <w:spacing w:before="0" w:after="0"/>
              <w:jc w:val="center"/>
              <w:rPr>
                <w:rFonts w:ascii="Calibri" w:hAnsi="Calibri"/>
                <w:b/>
              </w:rPr>
            </w:pPr>
            <w:r w:rsidRPr="005955E6">
              <w:rPr>
                <w:rFonts w:ascii="Calibri" w:hAnsi="Calibri"/>
                <w:b/>
              </w:rPr>
              <w:t>2013/14</w:t>
            </w:r>
          </w:p>
        </w:tc>
        <w:tc>
          <w:tcPr>
            <w:tcW w:w="538" w:type="pct"/>
            <w:tcBorders>
              <w:top w:val="single" w:sz="8" w:space="0" w:color="4F81BD" w:themeColor="accent1"/>
              <w:bottom w:val="single" w:sz="8" w:space="0" w:color="4F81BD" w:themeColor="accent1"/>
            </w:tcBorders>
            <w:shd w:val="clear" w:color="auto" w:fill="FFFFFF" w:themeFill="background1"/>
          </w:tcPr>
          <w:p w:rsidR="005A0C45" w:rsidRPr="005955E6" w:rsidRDefault="005A0C45" w:rsidP="006F5644">
            <w:pPr>
              <w:spacing w:before="0" w:after="0"/>
              <w:jc w:val="center"/>
              <w:rPr>
                <w:rFonts w:ascii="Calibri" w:hAnsi="Calibri"/>
                <w:b/>
              </w:rPr>
            </w:pPr>
            <w:r>
              <w:rPr>
                <w:rFonts w:ascii="Calibri" w:hAnsi="Calibri"/>
                <w:b/>
              </w:rPr>
              <w:t>2014/15</w:t>
            </w:r>
          </w:p>
        </w:tc>
      </w:tr>
      <w:tr w:rsidR="00775B32" w:rsidRPr="008F5AFD" w:rsidTr="000001E9">
        <w:trPr>
          <w:trHeight w:val="650"/>
        </w:trPr>
        <w:tc>
          <w:tcPr>
            <w:tcW w:w="781" w:type="pct"/>
            <w:gridSpan w:val="2"/>
            <w:tcBorders>
              <w:top w:val="single" w:sz="8" w:space="0" w:color="4F81BD" w:themeColor="accent1"/>
            </w:tcBorders>
            <w:shd w:val="clear" w:color="auto" w:fill="DBE5F1" w:themeFill="accent1" w:themeFillTint="33"/>
            <w:vAlign w:val="center"/>
          </w:tcPr>
          <w:p w:rsidR="005A0C45" w:rsidRPr="000001E9" w:rsidRDefault="000001E9" w:rsidP="000001E9">
            <w:pPr>
              <w:spacing w:before="0" w:after="0" w:line="240" w:lineRule="auto"/>
              <w:rPr>
                <w:rFonts w:ascii="Calibri" w:hAnsi="Calibri"/>
                <w:sz w:val="18"/>
                <w:szCs w:val="18"/>
              </w:rPr>
            </w:pPr>
            <w:r w:rsidRPr="000001E9">
              <w:rPr>
                <w:rFonts w:ascii="Calibri" w:hAnsi="Calibri"/>
                <w:sz w:val="18"/>
                <w:szCs w:val="18"/>
              </w:rPr>
              <w:t xml:space="preserve">PEP </w:t>
            </w:r>
            <w:r w:rsidR="005A0C45" w:rsidRPr="000001E9">
              <w:rPr>
                <w:rFonts w:ascii="Calibri" w:hAnsi="Calibri"/>
                <w:sz w:val="18"/>
                <w:szCs w:val="18"/>
              </w:rPr>
              <w:t>Application Received</w:t>
            </w:r>
          </w:p>
        </w:tc>
        <w:tc>
          <w:tcPr>
            <w:tcW w:w="435" w:type="pct"/>
            <w:tcBorders>
              <w:top w:val="single" w:sz="8" w:space="0" w:color="4F81BD" w:themeColor="accent1"/>
            </w:tcBorders>
            <w:shd w:val="clear" w:color="auto" w:fill="DBE5F1" w:themeFill="accent1" w:themeFillTint="33"/>
            <w:noWrap/>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top w:val="single" w:sz="8" w:space="0" w:color="4F81BD" w:themeColor="accent1"/>
            </w:tcBorders>
            <w:shd w:val="clear" w:color="auto" w:fill="DBE5F1" w:themeFill="accent1" w:themeFillTint="33"/>
            <w:noWrap/>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top w:val="single" w:sz="8" w:space="0" w:color="4F81BD" w:themeColor="accent1"/>
            </w:tcBorders>
            <w:shd w:val="clear" w:color="auto" w:fill="DBE5F1" w:themeFill="accent1" w:themeFillTint="33"/>
            <w:noWrap/>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top w:val="single" w:sz="8" w:space="0" w:color="4F81BD" w:themeColor="accent1"/>
            </w:tcBorders>
            <w:shd w:val="clear" w:color="auto" w:fill="DBE5F1" w:themeFill="accent1" w:themeFillTint="33"/>
            <w:vAlign w:val="center"/>
          </w:tcPr>
          <w:p w:rsidR="005A0C45" w:rsidRPr="005955E6" w:rsidRDefault="005A0C45" w:rsidP="000001E9">
            <w:pPr>
              <w:spacing w:before="0" w:after="0"/>
              <w:jc w:val="center"/>
              <w:rPr>
                <w:rFonts w:ascii="Calibri" w:hAnsi="Calibri"/>
              </w:rPr>
            </w:pPr>
            <w:r w:rsidRPr="005955E6">
              <w:rPr>
                <w:rFonts w:ascii="Calibri" w:hAnsi="Calibri"/>
              </w:rPr>
              <w:t>4</w:t>
            </w:r>
          </w:p>
        </w:tc>
        <w:tc>
          <w:tcPr>
            <w:tcW w:w="541" w:type="pct"/>
            <w:tcBorders>
              <w:top w:val="single" w:sz="8" w:space="0" w:color="4F81BD" w:themeColor="accent1"/>
            </w:tcBorders>
            <w:shd w:val="clear" w:color="auto" w:fill="DBE5F1" w:themeFill="accent1" w:themeFillTint="33"/>
            <w:vAlign w:val="center"/>
          </w:tcPr>
          <w:p w:rsidR="005A0C45" w:rsidRPr="005955E6" w:rsidRDefault="005A0C45" w:rsidP="000001E9">
            <w:pPr>
              <w:spacing w:before="0" w:after="0"/>
              <w:jc w:val="center"/>
              <w:rPr>
                <w:rFonts w:ascii="Calibri" w:hAnsi="Calibri"/>
              </w:rPr>
            </w:pPr>
            <w:r w:rsidRPr="005955E6">
              <w:rPr>
                <w:rFonts w:ascii="Calibri" w:hAnsi="Calibri"/>
              </w:rPr>
              <w:t>1</w:t>
            </w:r>
          </w:p>
        </w:tc>
        <w:tc>
          <w:tcPr>
            <w:tcW w:w="541" w:type="pct"/>
            <w:tcBorders>
              <w:top w:val="single" w:sz="8" w:space="0" w:color="4F81BD" w:themeColor="accent1"/>
            </w:tcBorders>
            <w:shd w:val="clear" w:color="auto" w:fill="DBE5F1" w:themeFill="accent1" w:themeFillTint="33"/>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top w:val="single" w:sz="8" w:space="0" w:color="4F81BD" w:themeColor="accent1"/>
            </w:tcBorders>
            <w:shd w:val="clear" w:color="auto" w:fill="DBE5F1" w:themeFill="accent1" w:themeFillTint="33"/>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38" w:type="pct"/>
            <w:tcBorders>
              <w:top w:val="single" w:sz="8" w:space="0" w:color="4F81BD" w:themeColor="accent1"/>
            </w:tcBorders>
            <w:shd w:val="clear" w:color="auto" w:fill="DBE5F1" w:themeFill="accent1" w:themeFillTint="33"/>
            <w:vAlign w:val="center"/>
          </w:tcPr>
          <w:p w:rsidR="005A0C45" w:rsidRPr="005955E6" w:rsidRDefault="005A0C45" w:rsidP="000001E9">
            <w:pPr>
              <w:spacing w:before="0" w:after="0"/>
              <w:jc w:val="center"/>
              <w:rPr>
                <w:rFonts w:ascii="Calibri" w:hAnsi="Calibri"/>
              </w:rPr>
            </w:pPr>
            <w:r w:rsidRPr="005955E6">
              <w:rPr>
                <w:rFonts w:ascii="Calibri" w:hAnsi="Calibri"/>
              </w:rPr>
              <w:t>0</w:t>
            </w:r>
          </w:p>
        </w:tc>
      </w:tr>
      <w:tr w:rsidR="00775B32" w:rsidRPr="008F5AFD" w:rsidTr="000001E9">
        <w:trPr>
          <w:trHeight w:val="376"/>
        </w:trPr>
        <w:tc>
          <w:tcPr>
            <w:tcW w:w="781" w:type="pct"/>
            <w:gridSpan w:val="2"/>
            <w:tcBorders>
              <w:bottom w:val="single" w:sz="8" w:space="0" w:color="4F81BD" w:themeColor="accent1"/>
            </w:tcBorders>
            <w:shd w:val="clear" w:color="auto" w:fill="FFFFFF" w:themeFill="background1"/>
            <w:vAlign w:val="center"/>
          </w:tcPr>
          <w:p w:rsidR="005A0C45" w:rsidRPr="000001E9" w:rsidRDefault="005A0C45" w:rsidP="000001E9">
            <w:pPr>
              <w:spacing w:before="0" w:after="0"/>
              <w:rPr>
                <w:rFonts w:ascii="Calibri" w:hAnsi="Calibri"/>
                <w:sz w:val="18"/>
                <w:szCs w:val="18"/>
              </w:rPr>
            </w:pPr>
            <w:r w:rsidRPr="000001E9">
              <w:rPr>
                <w:rFonts w:ascii="Calibri" w:hAnsi="Calibri"/>
                <w:sz w:val="18"/>
                <w:szCs w:val="18"/>
              </w:rPr>
              <w:t>PEP Granted</w:t>
            </w:r>
          </w:p>
        </w:tc>
        <w:tc>
          <w:tcPr>
            <w:tcW w:w="435" w:type="pct"/>
            <w:tcBorders>
              <w:bottom w:val="single" w:sz="8" w:space="0" w:color="4F81BD" w:themeColor="accent1"/>
            </w:tcBorders>
            <w:shd w:val="clear" w:color="auto" w:fill="FFFFFF" w:themeFill="background1"/>
            <w:noWrap/>
            <w:vAlign w:val="center"/>
          </w:tcPr>
          <w:p w:rsidR="005A0C45" w:rsidRPr="005955E6" w:rsidRDefault="005A0C45" w:rsidP="000001E9">
            <w:pPr>
              <w:spacing w:before="0" w:after="0"/>
              <w:jc w:val="center"/>
              <w:rPr>
                <w:rFonts w:ascii="Calibri" w:hAnsi="Calibri"/>
              </w:rPr>
            </w:pPr>
            <w:r w:rsidRPr="005955E6">
              <w:rPr>
                <w:rFonts w:ascii="Calibri" w:hAnsi="Calibri"/>
              </w:rPr>
              <w:t>1</w:t>
            </w:r>
          </w:p>
        </w:tc>
        <w:tc>
          <w:tcPr>
            <w:tcW w:w="541" w:type="pct"/>
            <w:tcBorders>
              <w:bottom w:val="single" w:sz="8" w:space="0" w:color="4F81BD" w:themeColor="accent1"/>
            </w:tcBorders>
            <w:shd w:val="clear" w:color="auto" w:fill="FFFFFF" w:themeFill="background1"/>
            <w:noWrap/>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bottom w:val="single" w:sz="8" w:space="0" w:color="4F81BD" w:themeColor="accent1"/>
            </w:tcBorders>
            <w:shd w:val="clear" w:color="auto" w:fill="FFFFFF" w:themeFill="background1"/>
            <w:noWrap/>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bottom w:val="single" w:sz="8" w:space="0" w:color="4F81BD" w:themeColor="accent1"/>
            </w:tcBorders>
            <w:shd w:val="clear" w:color="auto" w:fill="FFFFFF" w:themeFill="background1"/>
            <w:vAlign w:val="center"/>
          </w:tcPr>
          <w:p w:rsidR="005A0C45" w:rsidRPr="005955E6" w:rsidRDefault="005A0C45" w:rsidP="000001E9">
            <w:pPr>
              <w:spacing w:before="0" w:after="0"/>
              <w:jc w:val="center"/>
              <w:rPr>
                <w:rFonts w:ascii="Calibri" w:hAnsi="Calibri"/>
              </w:rPr>
            </w:pPr>
            <w:r w:rsidRPr="005955E6">
              <w:rPr>
                <w:rFonts w:ascii="Calibri" w:hAnsi="Calibri"/>
              </w:rPr>
              <w:t>1</w:t>
            </w:r>
          </w:p>
        </w:tc>
        <w:tc>
          <w:tcPr>
            <w:tcW w:w="541" w:type="pct"/>
            <w:tcBorders>
              <w:bottom w:val="single" w:sz="8" w:space="0" w:color="4F81BD" w:themeColor="accent1"/>
            </w:tcBorders>
            <w:shd w:val="clear" w:color="auto" w:fill="FFFFFF" w:themeFill="background1"/>
            <w:vAlign w:val="center"/>
          </w:tcPr>
          <w:p w:rsidR="005A0C45" w:rsidRPr="005955E6" w:rsidRDefault="005A0C45" w:rsidP="000001E9">
            <w:pPr>
              <w:spacing w:before="0" w:after="0"/>
              <w:jc w:val="center"/>
              <w:rPr>
                <w:rFonts w:ascii="Calibri" w:hAnsi="Calibri"/>
              </w:rPr>
            </w:pPr>
            <w:r w:rsidRPr="005955E6">
              <w:rPr>
                <w:rFonts w:ascii="Calibri" w:hAnsi="Calibri"/>
              </w:rPr>
              <w:t>0</w:t>
            </w:r>
          </w:p>
        </w:tc>
        <w:tc>
          <w:tcPr>
            <w:tcW w:w="541" w:type="pct"/>
            <w:tcBorders>
              <w:bottom w:val="single" w:sz="8" w:space="0" w:color="4F81BD" w:themeColor="accent1"/>
            </w:tcBorders>
            <w:shd w:val="clear" w:color="auto" w:fill="FFFFFF" w:themeFill="background1"/>
            <w:vAlign w:val="center"/>
          </w:tcPr>
          <w:p w:rsidR="005A0C45" w:rsidRPr="005955E6" w:rsidRDefault="005A0C45" w:rsidP="000001E9">
            <w:pPr>
              <w:spacing w:before="0" w:after="0"/>
              <w:jc w:val="center"/>
              <w:rPr>
                <w:rFonts w:ascii="Calibri" w:hAnsi="Calibri"/>
              </w:rPr>
            </w:pPr>
            <w:r w:rsidRPr="005955E6">
              <w:rPr>
                <w:rFonts w:ascii="Calibri" w:hAnsi="Calibri"/>
              </w:rPr>
              <w:t>2</w:t>
            </w:r>
          </w:p>
        </w:tc>
        <w:tc>
          <w:tcPr>
            <w:tcW w:w="541" w:type="pct"/>
            <w:tcBorders>
              <w:bottom w:val="single" w:sz="8" w:space="0" w:color="4F81BD" w:themeColor="accent1"/>
            </w:tcBorders>
            <w:shd w:val="clear" w:color="auto" w:fill="FFFFFF" w:themeFill="background1"/>
            <w:vAlign w:val="center"/>
          </w:tcPr>
          <w:p w:rsidR="005A0C45" w:rsidRPr="005955E6" w:rsidRDefault="005A0C45" w:rsidP="000001E9">
            <w:pPr>
              <w:spacing w:before="0" w:after="0"/>
              <w:jc w:val="center"/>
              <w:rPr>
                <w:rFonts w:ascii="Calibri" w:hAnsi="Calibri"/>
              </w:rPr>
            </w:pPr>
            <w:r w:rsidRPr="005955E6">
              <w:rPr>
                <w:rFonts w:ascii="Calibri" w:hAnsi="Calibri"/>
              </w:rPr>
              <w:t>2</w:t>
            </w:r>
          </w:p>
        </w:tc>
        <w:tc>
          <w:tcPr>
            <w:tcW w:w="538" w:type="pct"/>
            <w:tcBorders>
              <w:bottom w:val="single" w:sz="8" w:space="0" w:color="4F81BD" w:themeColor="accent1"/>
            </w:tcBorders>
            <w:shd w:val="clear" w:color="auto" w:fill="FFFFFF" w:themeFill="background1"/>
            <w:vAlign w:val="center"/>
          </w:tcPr>
          <w:p w:rsidR="005A0C45" w:rsidRPr="005955E6" w:rsidRDefault="005A0C45" w:rsidP="000001E9">
            <w:pPr>
              <w:spacing w:before="0" w:after="0"/>
              <w:jc w:val="center"/>
              <w:rPr>
                <w:rFonts w:ascii="Calibri" w:hAnsi="Calibri"/>
              </w:rPr>
            </w:pPr>
            <w:r w:rsidRPr="005955E6">
              <w:rPr>
                <w:rFonts w:ascii="Calibri" w:hAnsi="Calibri"/>
              </w:rPr>
              <w:t>0</w:t>
            </w:r>
          </w:p>
        </w:tc>
      </w:tr>
    </w:tbl>
    <w:p w:rsidR="005A0C45" w:rsidRDefault="005A0C45" w:rsidP="005D2362">
      <w:pPr>
        <w:spacing w:before="0"/>
        <w:jc w:val="both"/>
        <w:rPr>
          <w:rFonts w:ascii="Calibri" w:hAnsi="Calibri"/>
          <w:b/>
        </w:rPr>
      </w:pPr>
      <w:r w:rsidRPr="0069133E">
        <w:rPr>
          <w:rFonts w:ascii="Calibri" w:hAnsi="Calibri"/>
          <w:sz w:val="16"/>
        </w:rPr>
        <w:t>Source: DEDJTR</w:t>
      </w:r>
    </w:p>
    <w:p w:rsidR="005A0C45" w:rsidRPr="005955E6" w:rsidRDefault="005A0C45" w:rsidP="005A0C45">
      <w:pPr>
        <w:spacing w:after="0"/>
        <w:jc w:val="both"/>
        <w:rPr>
          <w:rFonts w:ascii="Calibri" w:hAnsi="Calibri"/>
          <w:b/>
        </w:rPr>
      </w:pPr>
      <w:r w:rsidRPr="005955E6">
        <w:rPr>
          <w:rFonts w:ascii="Calibri" w:hAnsi="Calibri"/>
          <w:b/>
        </w:rPr>
        <w:t xml:space="preserve">Table </w:t>
      </w:r>
      <w:r w:rsidR="007D19C5">
        <w:rPr>
          <w:rFonts w:ascii="Calibri" w:hAnsi="Calibri"/>
          <w:b/>
        </w:rPr>
        <w:t>1</w:t>
      </w:r>
      <w:r w:rsidRPr="005955E6">
        <w:rPr>
          <w:rFonts w:ascii="Calibri" w:hAnsi="Calibri"/>
          <w:b/>
        </w:rPr>
        <w:t>.3 Overview of onshore petroleum retention licences (PRLs)</w:t>
      </w:r>
    </w:p>
    <w:tbl>
      <w:tblPr>
        <w:tblStyle w:val="LightShading-Accent1"/>
        <w:tblW w:w="5000" w:type="pct"/>
        <w:tblLook w:val="0000" w:firstRow="0" w:lastRow="0" w:firstColumn="0" w:lastColumn="0" w:noHBand="0" w:noVBand="0"/>
      </w:tblPr>
      <w:tblGrid>
        <w:gridCol w:w="1629"/>
        <w:gridCol w:w="1131"/>
        <w:gridCol w:w="1131"/>
        <w:gridCol w:w="1133"/>
        <w:gridCol w:w="1130"/>
        <w:gridCol w:w="1130"/>
        <w:gridCol w:w="1130"/>
        <w:gridCol w:w="1134"/>
        <w:gridCol w:w="1134"/>
      </w:tblGrid>
      <w:tr w:rsidR="005A0C45" w:rsidRPr="00E84E0A" w:rsidTr="000001E9">
        <w:trPr>
          <w:trHeight w:val="270"/>
          <w:tblHeader/>
        </w:trPr>
        <w:tc>
          <w:tcPr>
            <w:cnfStyle w:val="000010000000" w:firstRow="0" w:lastRow="0" w:firstColumn="0" w:lastColumn="0" w:oddVBand="1" w:evenVBand="0" w:oddHBand="0" w:evenHBand="0" w:firstRowFirstColumn="0" w:firstRowLastColumn="0" w:lastRowFirstColumn="0" w:lastRowLastColumn="0"/>
            <w:tcW w:w="762"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both"/>
              <w:rPr>
                <w:rFonts w:ascii="Calibri" w:hAnsi="Calibri"/>
                <w:b/>
                <w:color w:val="000000" w:themeColor="text1"/>
              </w:rPr>
            </w:pPr>
          </w:p>
        </w:tc>
        <w:tc>
          <w:tcPr>
            <w:tcW w:w="529"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2007/08</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2008/09</w:t>
            </w:r>
          </w:p>
        </w:tc>
        <w:tc>
          <w:tcPr>
            <w:tcW w:w="530"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2009/10</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2010/11</w:t>
            </w:r>
          </w:p>
        </w:tc>
        <w:tc>
          <w:tcPr>
            <w:tcW w:w="529"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2011/12</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2012/13</w:t>
            </w:r>
          </w:p>
        </w:tc>
        <w:tc>
          <w:tcPr>
            <w:tcW w:w="531"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2013/14</w:t>
            </w:r>
          </w:p>
        </w:tc>
        <w:tc>
          <w:tcPr>
            <w:cnfStyle w:val="000010000000" w:firstRow="0" w:lastRow="0" w:firstColumn="0" w:lastColumn="0" w:oddVBand="1" w:evenVBand="0" w:oddHBand="0" w:evenHBand="0" w:firstRowFirstColumn="0" w:firstRowLastColumn="0" w:lastRowFirstColumn="0" w:lastRowLastColumn="0"/>
            <w:tcW w:w="531"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2014/15</w:t>
            </w:r>
          </w:p>
        </w:tc>
      </w:tr>
      <w:tr w:rsidR="005A0C45"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762" w:type="pct"/>
            <w:tcBorders>
              <w:top w:val="single" w:sz="8" w:space="0" w:color="4F81BD" w:themeColor="accent1"/>
            </w:tcBorders>
            <w:shd w:val="clear" w:color="auto" w:fill="DBE5F1" w:themeFill="accent1" w:themeFillTint="33"/>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PRL Application Received</w:t>
            </w:r>
          </w:p>
        </w:tc>
        <w:tc>
          <w:tcPr>
            <w:tcW w:w="529" w:type="pct"/>
            <w:tcBorders>
              <w:top w:val="single" w:sz="8" w:space="0" w:color="4F81BD" w:themeColor="accent1"/>
              <w:bottom w:val="nil"/>
            </w:tcBorders>
            <w:shd w:val="clear" w:color="auto" w:fill="DBE5F1" w:themeFill="accent1" w:themeFillTint="33"/>
            <w:noWrap/>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tcBorders>
            <w:shd w:val="clear" w:color="auto" w:fill="DBE5F1" w:themeFill="accent1" w:themeFillTint="33"/>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30" w:type="pct"/>
            <w:tcBorders>
              <w:top w:val="single" w:sz="8" w:space="0" w:color="4F81BD" w:themeColor="accent1"/>
              <w:bottom w:val="nil"/>
            </w:tcBorders>
            <w:shd w:val="clear" w:color="auto" w:fill="DBE5F1" w:themeFill="accent1" w:themeFillTint="33"/>
            <w:noWrap/>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29"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29"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31"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31"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r>
      <w:tr w:rsidR="005A0C45"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762" w:type="pct"/>
            <w:tcBorders>
              <w:top w:val="nil"/>
              <w:bottom w:val="single" w:sz="8" w:space="0" w:color="4F81BD" w:themeColor="accent1"/>
            </w:tcBorders>
            <w:shd w:val="clear" w:color="auto" w:fill="FFFFFF" w:themeFill="background1"/>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PRL  Granted</w:t>
            </w:r>
          </w:p>
        </w:tc>
        <w:tc>
          <w:tcPr>
            <w:tcW w:w="529" w:type="pct"/>
            <w:tcBorders>
              <w:top w:val="nil"/>
              <w:bottom w:val="single" w:sz="8" w:space="0" w:color="4F81BD" w:themeColor="accent1"/>
            </w:tcBorders>
            <w:shd w:val="clear" w:color="auto" w:fill="FFFFFF" w:themeFill="background1"/>
            <w:noWrap/>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529" w:type="pct"/>
            <w:tcBorders>
              <w:top w:val="nil"/>
              <w:bottom w:val="single" w:sz="8" w:space="0" w:color="4F81BD" w:themeColor="accent1"/>
            </w:tcBorders>
            <w:shd w:val="clear" w:color="auto" w:fill="FFFFFF" w:themeFill="background1"/>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30" w:type="pct"/>
            <w:tcBorders>
              <w:top w:val="nil"/>
              <w:bottom w:val="single" w:sz="8" w:space="0" w:color="4F81BD" w:themeColor="accent1"/>
            </w:tcBorders>
            <w:shd w:val="clear" w:color="auto" w:fill="FFFFFF" w:themeFill="background1"/>
            <w:noWrap/>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29" w:type="pct"/>
            <w:tcBorders>
              <w:top w:val="nil"/>
              <w:bottom w:val="single" w:sz="8" w:space="0" w:color="4F81BD" w:themeColor="accent1"/>
            </w:tcBorders>
            <w:shd w:val="clear" w:color="auto" w:fill="FFFFFF" w:themeFill="background1"/>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29" w:type="pct"/>
            <w:tcBorders>
              <w:top w:val="nil"/>
              <w:bottom w:val="single" w:sz="8" w:space="0" w:color="4F81BD" w:themeColor="accent1"/>
            </w:tcBorders>
            <w:shd w:val="clear" w:color="auto" w:fill="FFFFFF" w:themeFill="background1"/>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29" w:type="pct"/>
            <w:tcBorders>
              <w:top w:val="nil"/>
              <w:bottom w:val="single" w:sz="8" w:space="0" w:color="4F81BD" w:themeColor="accent1"/>
            </w:tcBorders>
            <w:shd w:val="clear" w:color="auto" w:fill="FFFFFF" w:themeFill="background1"/>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31" w:type="pct"/>
            <w:tcBorders>
              <w:top w:val="nil"/>
              <w:bottom w:val="single" w:sz="8" w:space="0" w:color="4F81BD" w:themeColor="accent1"/>
            </w:tcBorders>
            <w:shd w:val="clear" w:color="auto" w:fill="FFFFFF" w:themeFill="background1"/>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31" w:type="pct"/>
            <w:tcBorders>
              <w:top w:val="nil"/>
              <w:bottom w:val="single" w:sz="8" w:space="0" w:color="4F81BD" w:themeColor="accent1"/>
            </w:tcBorders>
            <w:shd w:val="clear" w:color="auto" w:fill="FFFFFF" w:themeFill="background1"/>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r>
    </w:tbl>
    <w:p w:rsidR="005A0C45" w:rsidRDefault="005A0C45" w:rsidP="005A0C45">
      <w:pPr>
        <w:spacing w:before="0"/>
        <w:jc w:val="both"/>
        <w:rPr>
          <w:rFonts w:ascii="Calibri" w:hAnsi="Calibri"/>
          <w:sz w:val="16"/>
        </w:rPr>
      </w:pPr>
      <w:r w:rsidRPr="00C72BE1">
        <w:rPr>
          <w:rFonts w:ascii="Calibri" w:hAnsi="Calibri"/>
          <w:sz w:val="16"/>
        </w:rPr>
        <w:t>Source: DEDJTR</w:t>
      </w:r>
    </w:p>
    <w:p w:rsidR="00AC3257" w:rsidRDefault="00AC3257">
      <w:pPr>
        <w:rPr>
          <w:caps/>
          <w:color w:val="365F91" w:themeColor="accent1" w:themeShade="BF"/>
          <w:spacing w:val="10"/>
          <w:sz w:val="22"/>
          <w:szCs w:val="22"/>
        </w:rPr>
      </w:pPr>
      <w:r>
        <w:br w:type="page"/>
      </w:r>
    </w:p>
    <w:p w:rsidR="005A0C45" w:rsidRDefault="005A0C45" w:rsidP="002F623A">
      <w:pPr>
        <w:pStyle w:val="Heading4"/>
      </w:pPr>
      <w:r w:rsidRPr="002F623A">
        <w:lastRenderedPageBreak/>
        <w:t>Offshore (State Waters)</w:t>
      </w:r>
    </w:p>
    <w:p w:rsidR="005A0C45" w:rsidRPr="005A0C45" w:rsidRDefault="005A0C45" w:rsidP="005A0C45">
      <w:pPr>
        <w:pStyle w:val="BodyText"/>
        <w:spacing w:before="0" w:line="240" w:lineRule="auto"/>
        <w:rPr>
          <w:sz w:val="20"/>
        </w:rPr>
      </w:pPr>
      <w:r w:rsidRPr="005A0C45">
        <w:rPr>
          <w:sz w:val="20"/>
        </w:rPr>
        <w:t>Two offshore petroleum explorati</w:t>
      </w:r>
      <w:r w:rsidR="00BB1502">
        <w:rPr>
          <w:sz w:val="20"/>
        </w:rPr>
        <w:t>on permits were granted with no applications received. No</w:t>
      </w:r>
      <w:r w:rsidRPr="005A0C45">
        <w:rPr>
          <w:sz w:val="20"/>
        </w:rPr>
        <w:t xml:space="preserve"> applications for offshore petroleum retention licences were received nor were any granted. One offshore petroleum product</w:t>
      </w:r>
      <w:r w:rsidR="00BB1502">
        <w:rPr>
          <w:sz w:val="20"/>
        </w:rPr>
        <w:t>ion licence was granted with no</w:t>
      </w:r>
      <w:r w:rsidRPr="005A0C45">
        <w:rPr>
          <w:sz w:val="20"/>
        </w:rPr>
        <w:t xml:space="preserve"> applications received.</w:t>
      </w:r>
    </w:p>
    <w:p w:rsidR="005A0C45" w:rsidRPr="005A0C45" w:rsidRDefault="005A0C45" w:rsidP="005A0C45">
      <w:pPr>
        <w:pStyle w:val="BodyText"/>
        <w:spacing w:after="0"/>
        <w:rPr>
          <w:b/>
          <w:sz w:val="20"/>
        </w:rPr>
      </w:pPr>
      <w:r w:rsidRPr="005A0C45">
        <w:rPr>
          <w:b/>
          <w:sz w:val="20"/>
        </w:rPr>
        <w:t xml:space="preserve">Table </w:t>
      </w:r>
      <w:r w:rsidR="00133388">
        <w:rPr>
          <w:b/>
          <w:sz w:val="20"/>
        </w:rPr>
        <w:t>1</w:t>
      </w:r>
      <w:r w:rsidRPr="005A0C45">
        <w:rPr>
          <w:b/>
          <w:sz w:val="20"/>
        </w:rPr>
        <w:t>.4 Overview of offshore petroleum exploration permits (VIC/P(V)s)</w:t>
      </w:r>
    </w:p>
    <w:tbl>
      <w:tblPr>
        <w:tblStyle w:val="LightShading-Accent1"/>
        <w:tblW w:w="5000" w:type="pct"/>
        <w:tblLook w:val="0000" w:firstRow="0" w:lastRow="0" w:firstColumn="0" w:lastColumn="0" w:noHBand="0" w:noVBand="0"/>
      </w:tblPr>
      <w:tblGrid>
        <w:gridCol w:w="1388"/>
        <w:gridCol w:w="1326"/>
        <w:gridCol w:w="1327"/>
        <w:gridCol w:w="1327"/>
        <w:gridCol w:w="1455"/>
        <w:gridCol w:w="1201"/>
        <w:gridCol w:w="1329"/>
        <w:gridCol w:w="1329"/>
      </w:tblGrid>
      <w:tr w:rsidR="005A0C45" w:rsidRPr="008F5AFD" w:rsidTr="000001E9">
        <w:trPr>
          <w:trHeight w:val="270"/>
          <w:tblHeader/>
        </w:trPr>
        <w:tc>
          <w:tcPr>
            <w:cnfStyle w:val="000010000000" w:firstRow="0" w:lastRow="0" w:firstColumn="0" w:lastColumn="0" w:oddVBand="1" w:evenVBand="0" w:oddHBand="0" w:evenHBand="0" w:firstRowFirstColumn="0" w:firstRowLastColumn="0" w:lastRowFirstColumn="0" w:lastRowLastColumn="0"/>
            <w:tcW w:w="650"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both"/>
              <w:rPr>
                <w:rFonts w:ascii="Calibri" w:hAnsi="Calibri"/>
                <w:color w:val="000000" w:themeColor="text1"/>
              </w:rPr>
            </w:pPr>
          </w:p>
        </w:tc>
        <w:tc>
          <w:tcPr>
            <w:tcW w:w="621"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2008/09</w:t>
            </w:r>
          </w:p>
        </w:tc>
        <w:tc>
          <w:tcPr>
            <w:cnfStyle w:val="000010000000" w:firstRow="0" w:lastRow="0" w:firstColumn="0" w:lastColumn="0" w:oddVBand="1" w:evenVBand="0" w:oddHBand="0" w:evenHBand="0" w:firstRowFirstColumn="0" w:firstRowLastColumn="0" w:lastRowFirstColumn="0" w:lastRowLastColumn="0"/>
            <w:tcW w:w="621"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2009/10</w:t>
            </w:r>
          </w:p>
        </w:tc>
        <w:tc>
          <w:tcPr>
            <w:tcW w:w="621"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2010/11</w:t>
            </w:r>
          </w:p>
        </w:tc>
        <w:tc>
          <w:tcPr>
            <w:cnfStyle w:val="000010000000" w:firstRow="0" w:lastRow="0" w:firstColumn="0" w:lastColumn="0" w:oddVBand="1" w:evenVBand="0" w:oddHBand="0" w:evenHBand="0" w:firstRowFirstColumn="0" w:firstRowLastColumn="0" w:lastRowFirstColumn="0" w:lastRowLastColumn="0"/>
            <w:tcW w:w="681"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2011/12</w:t>
            </w:r>
          </w:p>
        </w:tc>
        <w:tc>
          <w:tcPr>
            <w:tcW w:w="562"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2012/13</w:t>
            </w:r>
          </w:p>
        </w:tc>
        <w:tc>
          <w:tcPr>
            <w:cnfStyle w:val="000010000000" w:firstRow="0" w:lastRow="0" w:firstColumn="0" w:lastColumn="0" w:oddVBand="1" w:evenVBand="0" w:oddHBand="0" w:evenHBand="0" w:firstRowFirstColumn="0" w:firstRowLastColumn="0" w:lastRowFirstColumn="0" w:lastRowLastColumn="0"/>
            <w:tcW w:w="622"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2013/14</w:t>
            </w:r>
          </w:p>
        </w:tc>
        <w:tc>
          <w:tcPr>
            <w:tcW w:w="622"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2014/15</w:t>
            </w:r>
          </w:p>
        </w:tc>
      </w:tr>
      <w:tr w:rsidR="00045289"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50" w:type="pct"/>
            <w:tcBorders>
              <w:top w:val="single" w:sz="8" w:space="0" w:color="4F81BD" w:themeColor="accent1"/>
            </w:tcBorders>
            <w:shd w:val="clear" w:color="auto" w:fill="DBE5F1" w:themeFill="accent1" w:themeFillTint="33"/>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VIC/P(V)  Application Received</w:t>
            </w:r>
          </w:p>
        </w:tc>
        <w:tc>
          <w:tcPr>
            <w:tcW w:w="621" w:type="pct"/>
            <w:tcBorders>
              <w:top w:val="single" w:sz="8" w:space="0" w:color="4F81BD" w:themeColor="accent1"/>
              <w:bottom w:val="nil"/>
            </w:tcBorders>
            <w:shd w:val="clear" w:color="auto" w:fill="DBE5F1" w:themeFill="accent1" w:themeFillTint="33"/>
            <w:noWrap/>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21" w:type="pct"/>
            <w:tcBorders>
              <w:top w:val="single" w:sz="8" w:space="0" w:color="4F81BD" w:themeColor="accent1"/>
            </w:tcBorders>
            <w:shd w:val="clear" w:color="auto" w:fill="DBE5F1" w:themeFill="accent1" w:themeFillTint="33"/>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1"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681"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62"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22"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2</w:t>
            </w:r>
          </w:p>
        </w:tc>
        <w:tc>
          <w:tcPr>
            <w:tcW w:w="622"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r>
      <w:tr w:rsidR="005A0C45"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650" w:type="pct"/>
            <w:tcBorders>
              <w:top w:val="nil"/>
              <w:bottom w:val="single" w:sz="8" w:space="0" w:color="4F81BD" w:themeColor="accent1"/>
            </w:tcBorders>
            <w:shd w:val="clear" w:color="auto" w:fill="auto"/>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VIC/P(V)  Granted</w:t>
            </w:r>
          </w:p>
        </w:tc>
        <w:tc>
          <w:tcPr>
            <w:tcW w:w="621" w:type="pct"/>
            <w:tcBorders>
              <w:top w:val="nil"/>
              <w:bottom w:val="single" w:sz="8" w:space="0" w:color="4F81BD" w:themeColor="accent1"/>
            </w:tcBorders>
            <w:shd w:val="clear" w:color="auto" w:fill="auto"/>
            <w:noWrap/>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21" w:type="pct"/>
            <w:tcBorders>
              <w:top w:val="nil"/>
              <w:bottom w:val="single" w:sz="8" w:space="0" w:color="4F81BD" w:themeColor="accent1"/>
            </w:tcBorders>
            <w:shd w:val="clear" w:color="auto" w:fill="auto"/>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1"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81"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1</w:t>
            </w:r>
          </w:p>
        </w:tc>
        <w:tc>
          <w:tcPr>
            <w:tcW w:w="562"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22"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2"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2</w:t>
            </w:r>
          </w:p>
        </w:tc>
      </w:tr>
    </w:tbl>
    <w:p w:rsidR="005A0C45" w:rsidRDefault="005A0C45" w:rsidP="005A0C45">
      <w:pPr>
        <w:pStyle w:val="BodyText"/>
        <w:spacing w:before="0" w:after="0"/>
      </w:pPr>
      <w:r w:rsidRPr="00C72BE1">
        <w:t>Source: DEDJTR</w:t>
      </w:r>
    </w:p>
    <w:p w:rsidR="005A0C45" w:rsidRPr="005A0C45" w:rsidRDefault="005A0C45" w:rsidP="005A0C45">
      <w:pPr>
        <w:pStyle w:val="BodyText"/>
        <w:spacing w:after="0"/>
        <w:rPr>
          <w:b/>
          <w:sz w:val="20"/>
        </w:rPr>
      </w:pPr>
      <w:r w:rsidRPr="005A0C45">
        <w:rPr>
          <w:b/>
          <w:sz w:val="20"/>
        </w:rPr>
        <w:t xml:space="preserve">Table </w:t>
      </w:r>
      <w:r w:rsidR="00133388">
        <w:rPr>
          <w:b/>
          <w:sz w:val="20"/>
        </w:rPr>
        <w:t>1</w:t>
      </w:r>
      <w:r w:rsidRPr="005A0C45">
        <w:rPr>
          <w:b/>
          <w:sz w:val="20"/>
        </w:rPr>
        <w:t>.5 Overview of offshore petroleum retention leases (VIC/RL(V)s)</w:t>
      </w:r>
    </w:p>
    <w:tbl>
      <w:tblPr>
        <w:tblStyle w:val="LightShading-Accent1"/>
        <w:tblW w:w="5000" w:type="pct"/>
        <w:tblLook w:val="0000" w:firstRow="0" w:lastRow="0" w:firstColumn="0" w:lastColumn="0" w:noHBand="0" w:noVBand="0"/>
      </w:tblPr>
      <w:tblGrid>
        <w:gridCol w:w="1405"/>
        <w:gridCol w:w="1339"/>
        <w:gridCol w:w="1339"/>
        <w:gridCol w:w="1342"/>
        <w:gridCol w:w="1470"/>
        <w:gridCol w:w="1325"/>
        <w:gridCol w:w="1231"/>
        <w:gridCol w:w="1231"/>
      </w:tblGrid>
      <w:tr w:rsidR="005A0C45" w:rsidRPr="008F5AFD" w:rsidTr="00DB6C71">
        <w:trPr>
          <w:trHeight w:val="270"/>
          <w:tblHeader/>
        </w:trPr>
        <w:tc>
          <w:tcPr>
            <w:cnfStyle w:val="000010000000" w:firstRow="0" w:lastRow="0" w:firstColumn="0" w:lastColumn="0" w:oddVBand="1" w:evenVBand="0" w:oddHBand="0" w:evenHBand="0" w:firstRowFirstColumn="0" w:firstRowLastColumn="0" w:lastRowFirstColumn="0" w:lastRowLastColumn="0"/>
            <w:tcW w:w="658" w:type="pct"/>
            <w:tcBorders>
              <w:top w:val="single" w:sz="8" w:space="0" w:color="4F81BD" w:themeColor="accent1"/>
              <w:bottom w:val="single" w:sz="8" w:space="0" w:color="4F81BD" w:themeColor="accent1"/>
            </w:tcBorders>
            <w:shd w:val="clear" w:color="auto" w:fill="auto"/>
            <w:noWrap/>
          </w:tcPr>
          <w:p w:rsidR="005A0C45" w:rsidRPr="00045289" w:rsidRDefault="005A0C45" w:rsidP="00553748">
            <w:pPr>
              <w:jc w:val="center"/>
              <w:rPr>
                <w:rFonts w:ascii="Calibri" w:hAnsi="Calibri"/>
                <w:color w:val="000000" w:themeColor="text1"/>
              </w:rPr>
            </w:pPr>
          </w:p>
        </w:tc>
        <w:tc>
          <w:tcPr>
            <w:tcW w:w="627" w:type="pct"/>
            <w:tcBorders>
              <w:top w:val="single" w:sz="8" w:space="0" w:color="4F81BD" w:themeColor="accent1"/>
              <w:bottom w:val="single" w:sz="8" w:space="0" w:color="4F81BD" w:themeColor="accent1"/>
            </w:tcBorders>
            <w:shd w:val="clear" w:color="auto" w:fill="auto"/>
            <w:noWrap/>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2008/09</w:t>
            </w:r>
          </w:p>
        </w:tc>
        <w:tc>
          <w:tcPr>
            <w:cnfStyle w:val="000010000000" w:firstRow="0" w:lastRow="0" w:firstColumn="0" w:lastColumn="0" w:oddVBand="1" w:evenVBand="0" w:oddHBand="0" w:evenHBand="0" w:firstRowFirstColumn="0" w:firstRowLastColumn="0" w:lastRowFirstColumn="0" w:lastRowLastColumn="0"/>
            <w:tcW w:w="627" w:type="pct"/>
            <w:tcBorders>
              <w:top w:val="single" w:sz="8" w:space="0" w:color="4F81BD" w:themeColor="accent1"/>
              <w:bottom w:val="single" w:sz="8" w:space="0" w:color="4F81BD" w:themeColor="accent1"/>
            </w:tcBorders>
            <w:shd w:val="clear" w:color="auto" w:fill="auto"/>
            <w:noWrap/>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2009/10</w:t>
            </w:r>
          </w:p>
        </w:tc>
        <w:tc>
          <w:tcPr>
            <w:tcW w:w="628" w:type="pct"/>
            <w:tcBorders>
              <w:top w:val="single" w:sz="8" w:space="0" w:color="4F81BD" w:themeColor="accent1"/>
              <w:bottom w:val="single" w:sz="8" w:space="0" w:color="4F81BD" w:themeColor="accent1"/>
            </w:tcBorders>
            <w:shd w:val="clear" w:color="auto" w:fill="auto"/>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2010/11</w:t>
            </w:r>
          </w:p>
        </w:tc>
        <w:tc>
          <w:tcPr>
            <w:cnfStyle w:val="000010000000" w:firstRow="0" w:lastRow="0" w:firstColumn="0" w:lastColumn="0" w:oddVBand="1" w:evenVBand="0" w:oddHBand="0" w:evenHBand="0" w:firstRowFirstColumn="0" w:firstRowLastColumn="0" w:lastRowFirstColumn="0" w:lastRowLastColumn="0"/>
            <w:tcW w:w="688" w:type="pct"/>
            <w:tcBorders>
              <w:top w:val="single" w:sz="8" w:space="0" w:color="4F81BD" w:themeColor="accent1"/>
              <w:bottom w:val="single" w:sz="8" w:space="0" w:color="4F81BD" w:themeColor="accent1"/>
            </w:tcBorders>
            <w:shd w:val="clear" w:color="auto" w:fill="auto"/>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2011/12</w:t>
            </w:r>
          </w:p>
        </w:tc>
        <w:tc>
          <w:tcPr>
            <w:tcW w:w="620" w:type="pct"/>
            <w:tcBorders>
              <w:top w:val="single" w:sz="8" w:space="0" w:color="4F81BD" w:themeColor="accent1"/>
              <w:bottom w:val="single" w:sz="8" w:space="0" w:color="4F81BD" w:themeColor="accent1"/>
            </w:tcBorders>
            <w:shd w:val="clear" w:color="auto" w:fill="auto"/>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2012/13</w:t>
            </w:r>
          </w:p>
        </w:tc>
        <w:tc>
          <w:tcPr>
            <w:cnfStyle w:val="000010000000" w:firstRow="0" w:lastRow="0" w:firstColumn="0" w:lastColumn="0" w:oddVBand="1" w:evenVBand="0" w:oddHBand="0" w:evenHBand="0" w:firstRowFirstColumn="0" w:firstRowLastColumn="0" w:lastRowFirstColumn="0" w:lastRowLastColumn="0"/>
            <w:tcW w:w="576" w:type="pct"/>
            <w:tcBorders>
              <w:top w:val="single" w:sz="8" w:space="0" w:color="4F81BD" w:themeColor="accent1"/>
              <w:bottom w:val="single" w:sz="8" w:space="0" w:color="4F81BD" w:themeColor="accent1"/>
            </w:tcBorders>
            <w:shd w:val="clear" w:color="auto" w:fill="auto"/>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2013/14</w:t>
            </w:r>
          </w:p>
        </w:tc>
        <w:tc>
          <w:tcPr>
            <w:tcW w:w="576" w:type="pct"/>
            <w:tcBorders>
              <w:top w:val="single" w:sz="8" w:space="0" w:color="4F81BD" w:themeColor="accent1"/>
              <w:bottom w:val="single" w:sz="8" w:space="0" w:color="4F81BD" w:themeColor="accent1"/>
            </w:tcBorders>
            <w:shd w:val="clear" w:color="auto" w:fill="auto"/>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2014/15</w:t>
            </w:r>
          </w:p>
        </w:tc>
      </w:tr>
      <w:tr w:rsidR="005A0C45"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58" w:type="pct"/>
            <w:tcBorders>
              <w:top w:val="single" w:sz="8" w:space="0" w:color="4F81BD" w:themeColor="accent1"/>
            </w:tcBorders>
            <w:shd w:val="clear" w:color="auto" w:fill="DBE5F1" w:themeFill="accent1" w:themeFillTint="33"/>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VIC/RL(V)  Application Received</w:t>
            </w:r>
          </w:p>
        </w:tc>
        <w:tc>
          <w:tcPr>
            <w:tcW w:w="627" w:type="pct"/>
            <w:tcBorders>
              <w:top w:val="single" w:sz="8" w:space="0" w:color="4F81BD" w:themeColor="accent1"/>
              <w:bottom w:val="nil"/>
            </w:tcBorders>
            <w:shd w:val="clear" w:color="auto" w:fill="DBE5F1" w:themeFill="accent1" w:themeFillTint="33"/>
            <w:noWrap/>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627" w:type="pct"/>
            <w:tcBorders>
              <w:top w:val="single" w:sz="8" w:space="0" w:color="4F81BD" w:themeColor="accent1"/>
            </w:tcBorders>
            <w:shd w:val="clear" w:color="auto" w:fill="DBE5F1" w:themeFill="accent1" w:themeFillTint="33"/>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8"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88"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0"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76"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76"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r>
      <w:tr w:rsidR="005A0C45"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658" w:type="pct"/>
            <w:tcBorders>
              <w:top w:val="nil"/>
              <w:bottom w:val="single" w:sz="8" w:space="0" w:color="4F81BD" w:themeColor="accent1"/>
            </w:tcBorders>
            <w:shd w:val="clear" w:color="auto" w:fill="auto"/>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VIC/RL(V)  Granted</w:t>
            </w:r>
          </w:p>
        </w:tc>
        <w:tc>
          <w:tcPr>
            <w:tcW w:w="627" w:type="pct"/>
            <w:tcBorders>
              <w:top w:val="nil"/>
              <w:bottom w:val="single" w:sz="8" w:space="0" w:color="4F81BD" w:themeColor="accent1"/>
            </w:tcBorders>
            <w:shd w:val="clear" w:color="auto" w:fill="auto"/>
            <w:noWrap/>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627" w:type="pct"/>
            <w:tcBorders>
              <w:top w:val="nil"/>
              <w:bottom w:val="single" w:sz="8" w:space="0" w:color="4F81BD" w:themeColor="accent1"/>
            </w:tcBorders>
            <w:shd w:val="clear" w:color="auto" w:fill="auto"/>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8"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88"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0"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76"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76"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r>
    </w:tbl>
    <w:p w:rsidR="00775B32" w:rsidRPr="005D2362" w:rsidRDefault="005A0C45" w:rsidP="005D2362">
      <w:pPr>
        <w:pStyle w:val="BodyText"/>
        <w:spacing w:before="0"/>
        <w:rPr>
          <w:b/>
        </w:rPr>
      </w:pPr>
      <w:r w:rsidRPr="00C72BE1">
        <w:t>Source: DEDJTR</w:t>
      </w:r>
    </w:p>
    <w:p w:rsidR="005A0C45" w:rsidRPr="005A0C45" w:rsidRDefault="005A0C45" w:rsidP="005A0C45">
      <w:pPr>
        <w:pStyle w:val="BodyText"/>
        <w:numPr>
          <w:ilvl w:val="0"/>
          <w:numId w:val="0"/>
        </w:numPr>
        <w:spacing w:before="0" w:after="0"/>
        <w:rPr>
          <w:b/>
          <w:sz w:val="20"/>
        </w:rPr>
      </w:pPr>
      <w:r w:rsidRPr="005A0C45">
        <w:rPr>
          <w:b/>
          <w:sz w:val="20"/>
        </w:rPr>
        <w:t xml:space="preserve">Table </w:t>
      </w:r>
      <w:r w:rsidR="00133388">
        <w:rPr>
          <w:b/>
          <w:sz w:val="20"/>
        </w:rPr>
        <w:t>1</w:t>
      </w:r>
      <w:r w:rsidRPr="005A0C45">
        <w:rPr>
          <w:b/>
          <w:sz w:val="20"/>
        </w:rPr>
        <w:t>.6 Overview of offshore petroleum production licences (VIC/L(V)s)</w:t>
      </w:r>
    </w:p>
    <w:tbl>
      <w:tblPr>
        <w:tblStyle w:val="LightShading-Accent1"/>
        <w:tblW w:w="5000" w:type="pct"/>
        <w:tblLook w:val="0000" w:firstRow="0" w:lastRow="0" w:firstColumn="0" w:lastColumn="0" w:noHBand="0" w:noVBand="0"/>
      </w:tblPr>
      <w:tblGrid>
        <w:gridCol w:w="1449"/>
        <w:gridCol w:w="1323"/>
        <w:gridCol w:w="1322"/>
        <w:gridCol w:w="1408"/>
        <w:gridCol w:w="1401"/>
        <w:gridCol w:w="1325"/>
        <w:gridCol w:w="1228"/>
        <w:gridCol w:w="1226"/>
      </w:tblGrid>
      <w:tr w:rsidR="005A0C45" w:rsidRPr="008F5AFD" w:rsidTr="000001E9">
        <w:trPr>
          <w:trHeight w:val="270"/>
          <w:tblHeader/>
        </w:trPr>
        <w:tc>
          <w:tcPr>
            <w:cnfStyle w:val="000010000000" w:firstRow="0" w:lastRow="0" w:firstColumn="0" w:lastColumn="0" w:oddVBand="1" w:evenVBand="0" w:oddHBand="0" w:evenHBand="0" w:firstRowFirstColumn="0" w:firstRowLastColumn="0" w:lastRowFirstColumn="0" w:lastRowLastColumn="0"/>
            <w:tcW w:w="678"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both"/>
              <w:rPr>
                <w:rFonts w:ascii="Calibri" w:hAnsi="Calibri"/>
                <w:color w:val="000000" w:themeColor="text1"/>
              </w:rPr>
            </w:pPr>
          </w:p>
        </w:tc>
        <w:tc>
          <w:tcPr>
            <w:tcW w:w="619"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2008/09</w:t>
            </w:r>
          </w:p>
        </w:tc>
        <w:tc>
          <w:tcPr>
            <w:cnfStyle w:val="000010000000" w:firstRow="0" w:lastRow="0" w:firstColumn="0" w:lastColumn="0" w:oddVBand="1" w:evenVBand="0" w:oddHBand="0" w:evenHBand="0" w:firstRowFirstColumn="0" w:firstRowLastColumn="0" w:lastRowFirstColumn="0" w:lastRowLastColumn="0"/>
            <w:tcW w:w="619" w:type="pct"/>
            <w:tcBorders>
              <w:top w:val="single" w:sz="8" w:space="0" w:color="4F81BD" w:themeColor="accent1"/>
              <w:bottom w:val="single" w:sz="8" w:space="0" w:color="4F81BD" w:themeColor="accent1"/>
            </w:tcBorders>
            <w:shd w:val="clear" w:color="auto" w:fill="FFFFFF" w:themeFill="background1"/>
            <w:noWrap/>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2009/10</w:t>
            </w:r>
          </w:p>
        </w:tc>
        <w:tc>
          <w:tcPr>
            <w:tcW w:w="659"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2010/11</w:t>
            </w:r>
          </w:p>
        </w:tc>
        <w:tc>
          <w:tcPr>
            <w:cnfStyle w:val="000010000000" w:firstRow="0" w:lastRow="0" w:firstColumn="0" w:lastColumn="0" w:oddVBand="1" w:evenVBand="0" w:oddHBand="0" w:evenHBand="0" w:firstRowFirstColumn="0" w:firstRowLastColumn="0" w:lastRowFirstColumn="0" w:lastRowLastColumn="0"/>
            <w:tcW w:w="656"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2011/12</w:t>
            </w:r>
          </w:p>
        </w:tc>
        <w:tc>
          <w:tcPr>
            <w:tcW w:w="620"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2012/13</w:t>
            </w:r>
          </w:p>
        </w:tc>
        <w:tc>
          <w:tcPr>
            <w:cnfStyle w:val="000010000000" w:firstRow="0" w:lastRow="0" w:firstColumn="0" w:lastColumn="0" w:oddVBand="1" w:evenVBand="0" w:oddHBand="0" w:evenHBand="0" w:firstRowFirstColumn="0" w:firstRowLastColumn="0" w:lastRowFirstColumn="0" w:lastRowLastColumn="0"/>
            <w:tcW w:w="575"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rPr>
                <w:rFonts w:ascii="Calibri" w:hAnsi="Calibri"/>
                <w:b/>
                <w:color w:val="000000" w:themeColor="text1"/>
              </w:rPr>
            </w:pPr>
            <w:r w:rsidRPr="00045289">
              <w:rPr>
                <w:rFonts w:ascii="Calibri" w:hAnsi="Calibri"/>
                <w:b/>
                <w:color w:val="000000" w:themeColor="text1"/>
              </w:rPr>
              <w:t>2013/14</w:t>
            </w:r>
          </w:p>
        </w:tc>
        <w:tc>
          <w:tcPr>
            <w:tcW w:w="574" w:type="pct"/>
            <w:tcBorders>
              <w:top w:val="single" w:sz="8" w:space="0" w:color="4F81BD" w:themeColor="accent1"/>
              <w:bottom w:val="single" w:sz="8" w:space="0" w:color="4F81BD" w:themeColor="accent1"/>
            </w:tcBorders>
            <w:shd w:val="clear" w:color="auto" w:fill="FFFFFF" w:themeFill="background1"/>
          </w:tcPr>
          <w:p w:rsidR="005A0C45" w:rsidRPr="00045289" w:rsidRDefault="005A0C45" w:rsidP="00553748">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2014/15</w:t>
            </w:r>
          </w:p>
        </w:tc>
      </w:tr>
      <w:tr w:rsidR="005A0C45"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78" w:type="pct"/>
            <w:tcBorders>
              <w:top w:val="single" w:sz="8" w:space="0" w:color="4F81BD" w:themeColor="accent1"/>
            </w:tcBorders>
            <w:shd w:val="clear" w:color="auto" w:fill="DBE5F1" w:themeFill="accent1" w:themeFillTint="33"/>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VIC/L(V)  Application Received</w:t>
            </w:r>
          </w:p>
        </w:tc>
        <w:tc>
          <w:tcPr>
            <w:tcW w:w="619" w:type="pct"/>
            <w:tcBorders>
              <w:top w:val="single" w:sz="8" w:space="0" w:color="4F81BD" w:themeColor="accent1"/>
              <w:bottom w:val="nil"/>
            </w:tcBorders>
            <w:shd w:val="clear" w:color="auto" w:fill="DBE5F1" w:themeFill="accent1" w:themeFillTint="33"/>
            <w:noWrap/>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19" w:type="pct"/>
            <w:tcBorders>
              <w:top w:val="single" w:sz="8" w:space="0" w:color="4F81BD" w:themeColor="accent1"/>
            </w:tcBorders>
            <w:shd w:val="clear" w:color="auto" w:fill="DBE5F1" w:themeFill="accent1" w:themeFillTint="33"/>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59"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56"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0"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75" w:type="pct"/>
            <w:tcBorders>
              <w:top w:val="single" w:sz="8" w:space="0" w:color="4F81BD" w:themeColor="accent1"/>
            </w:tcBorders>
            <w:shd w:val="clear" w:color="auto" w:fill="DBE5F1" w:themeFill="accent1" w:themeFillTint="33"/>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1</w:t>
            </w:r>
          </w:p>
        </w:tc>
        <w:tc>
          <w:tcPr>
            <w:tcW w:w="574" w:type="pct"/>
            <w:tcBorders>
              <w:top w:val="single" w:sz="8" w:space="0" w:color="4F81BD" w:themeColor="accent1"/>
              <w:bottom w:val="nil"/>
            </w:tcBorders>
            <w:shd w:val="clear" w:color="auto" w:fill="DBE5F1" w:themeFill="accent1" w:themeFillTint="33"/>
            <w:vAlign w:val="center"/>
          </w:tcPr>
          <w:p w:rsidR="005A0C45" w:rsidRPr="00045289" w:rsidRDefault="005A0C45"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r>
      <w:tr w:rsidR="005A0C45"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678" w:type="pct"/>
            <w:tcBorders>
              <w:top w:val="nil"/>
              <w:bottom w:val="single" w:sz="8" w:space="0" w:color="4F81BD" w:themeColor="accent1"/>
            </w:tcBorders>
            <w:shd w:val="clear" w:color="auto" w:fill="auto"/>
            <w:vAlign w:val="center"/>
          </w:tcPr>
          <w:p w:rsidR="005A0C45" w:rsidRPr="00045289" w:rsidRDefault="005A0C45" w:rsidP="000001E9">
            <w:pPr>
              <w:rPr>
                <w:rFonts w:ascii="Calibri" w:hAnsi="Calibri"/>
                <w:color w:val="000000" w:themeColor="text1"/>
              </w:rPr>
            </w:pPr>
            <w:r w:rsidRPr="00045289">
              <w:rPr>
                <w:rFonts w:ascii="Calibri" w:hAnsi="Calibri"/>
                <w:color w:val="000000" w:themeColor="text1"/>
              </w:rPr>
              <w:t>VIC/L(V)  Granted</w:t>
            </w:r>
          </w:p>
        </w:tc>
        <w:tc>
          <w:tcPr>
            <w:tcW w:w="619" w:type="pct"/>
            <w:tcBorders>
              <w:top w:val="nil"/>
              <w:bottom w:val="single" w:sz="8" w:space="0" w:color="4F81BD" w:themeColor="accent1"/>
            </w:tcBorders>
            <w:shd w:val="clear" w:color="auto" w:fill="auto"/>
            <w:noWrap/>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19" w:type="pct"/>
            <w:tcBorders>
              <w:top w:val="nil"/>
              <w:bottom w:val="single" w:sz="8" w:space="0" w:color="4F81BD" w:themeColor="accent1"/>
            </w:tcBorders>
            <w:shd w:val="clear" w:color="auto" w:fill="auto"/>
            <w:noWrap/>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59"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656"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620"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75" w:type="pct"/>
            <w:tcBorders>
              <w:top w:val="nil"/>
              <w:bottom w:val="single" w:sz="8" w:space="0" w:color="4F81BD" w:themeColor="accent1"/>
            </w:tcBorders>
            <w:shd w:val="clear" w:color="auto" w:fill="auto"/>
            <w:vAlign w:val="center"/>
          </w:tcPr>
          <w:p w:rsidR="005A0C45" w:rsidRPr="00045289" w:rsidRDefault="005A0C45" w:rsidP="000001E9">
            <w:pPr>
              <w:jc w:val="center"/>
              <w:rPr>
                <w:rFonts w:ascii="Calibri" w:hAnsi="Calibri"/>
                <w:color w:val="000000" w:themeColor="text1"/>
              </w:rPr>
            </w:pPr>
            <w:r w:rsidRPr="00045289">
              <w:rPr>
                <w:rFonts w:ascii="Calibri" w:hAnsi="Calibri"/>
                <w:color w:val="000000" w:themeColor="text1"/>
              </w:rPr>
              <w:t>0</w:t>
            </w:r>
          </w:p>
        </w:tc>
        <w:tc>
          <w:tcPr>
            <w:tcW w:w="574" w:type="pct"/>
            <w:tcBorders>
              <w:top w:val="nil"/>
              <w:bottom w:val="single" w:sz="8" w:space="0" w:color="4F81BD" w:themeColor="accent1"/>
            </w:tcBorders>
            <w:shd w:val="clear" w:color="auto" w:fill="auto"/>
            <w:vAlign w:val="center"/>
          </w:tcPr>
          <w:p w:rsidR="005A0C45" w:rsidRPr="00045289" w:rsidRDefault="005A0C45"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r>
    </w:tbl>
    <w:p w:rsidR="005A0C45" w:rsidRDefault="005A0C45" w:rsidP="00775B32">
      <w:pPr>
        <w:pStyle w:val="BodyText"/>
        <w:spacing w:before="0" w:after="0"/>
      </w:pPr>
      <w:r w:rsidRPr="00C72BE1">
        <w:t>Source: DEDJTR</w:t>
      </w:r>
    </w:p>
    <w:p w:rsidR="00133388" w:rsidRDefault="00133388">
      <w:pPr>
        <w:rPr>
          <w:caps/>
          <w:color w:val="243F60" w:themeColor="accent1" w:themeShade="7F"/>
          <w:spacing w:val="15"/>
          <w:sz w:val="22"/>
          <w:szCs w:val="22"/>
        </w:rPr>
      </w:pPr>
      <w:bookmarkStart w:id="7" w:name="_Toc456261054"/>
      <w:r>
        <w:br w:type="page"/>
      </w:r>
    </w:p>
    <w:p w:rsidR="005A0C45" w:rsidRDefault="00775B32" w:rsidP="00775B32">
      <w:pPr>
        <w:pStyle w:val="Heading3"/>
      </w:pPr>
      <w:r>
        <w:lastRenderedPageBreak/>
        <w:t>Petroleum Exploration and Development</w:t>
      </w:r>
      <w:bookmarkEnd w:id="7"/>
    </w:p>
    <w:p w:rsidR="00133388" w:rsidRDefault="00775B32" w:rsidP="00133388">
      <w:pPr>
        <w:spacing w:before="0" w:after="0"/>
      </w:pPr>
      <w:r w:rsidRPr="00217B81">
        <w:t>No drilling or seismic activities occurred in Victoria.</w:t>
      </w:r>
      <w:r w:rsidR="00315102">
        <w:t xml:space="preserve"> </w:t>
      </w:r>
      <w:r w:rsidRPr="00217B81">
        <w:t>$1,525,134 in expenditure was reported on onshore petroleum exploration permits and retention leases. The majority of this expenditure was spent on geophysical studies, geophysical logging and administration.</w:t>
      </w:r>
      <w:r w:rsidR="00A012D2">
        <w:t xml:space="preserve"> </w:t>
      </w:r>
    </w:p>
    <w:p w:rsidR="00133388" w:rsidRDefault="00133388" w:rsidP="00133388">
      <w:pPr>
        <w:spacing w:before="0" w:after="0"/>
      </w:pPr>
    </w:p>
    <w:p w:rsidR="00DB7DC9" w:rsidRDefault="00775B32" w:rsidP="00133388">
      <w:pPr>
        <w:spacing w:before="0" w:after="0"/>
        <w:rPr>
          <w:caps/>
          <w:color w:val="365F91" w:themeColor="accent1" w:themeShade="BF"/>
          <w:spacing w:val="10"/>
          <w:sz w:val="22"/>
          <w:szCs w:val="22"/>
        </w:rPr>
      </w:pPr>
      <w:r w:rsidRPr="00217B81">
        <w:t>$2,645,908 in expenditure was reported on offshore tenements.</w:t>
      </w:r>
      <w:r w:rsidR="00E57F5D">
        <w:t xml:space="preserve"> N</w:t>
      </w:r>
      <w:r w:rsidRPr="00217B81">
        <w:t xml:space="preserve">o wells </w:t>
      </w:r>
      <w:r w:rsidR="00E57F5D">
        <w:t xml:space="preserve">were </w:t>
      </w:r>
      <w:r w:rsidRPr="00217B81">
        <w:t>drilled</w:t>
      </w:r>
      <w:r w:rsidR="00E57F5D">
        <w:t>,</w:t>
      </w:r>
      <w:r w:rsidRPr="00217B81">
        <w:t xml:space="preserve"> nor any seismic surveys undertaken, the majority of expenditure was represented by geological studies, studies on licen</w:t>
      </w:r>
      <w:r w:rsidR="00315102">
        <w:t>s</w:t>
      </w:r>
      <w:r w:rsidRPr="00217B81">
        <w:t>ing and permits, ongoing capital appraisal work and market studies.</w:t>
      </w:r>
    </w:p>
    <w:p w:rsidR="00775B32" w:rsidRDefault="00775B32" w:rsidP="00DB45BC">
      <w:pPr>
        <w:pStyle w:val="Heading4"/>
      </w:pPr>
      <w:r w:rsidRPr="00DB45BC">
        <w:t>Drilling</w:t>
      </w:r>
    </w:p>
    <w:p w:rsidR="00133388" w:rsidRDefault="00775B32" w:rsidP="00133388">
      <w:pPr>
        <w:spacing w:before="0" w:after="0"/>
        <w:jc w:val="both"/>
        <w:rPr>
          <w:rFonts w:ascii="Calibri" w:hAnsi="Calibri"/>
        </w:rPr>
      </w:pPr>
      <w:r w:rsidRPr="00AE3E1A">
        <w:rPr>
          <w:rFonts w:ascii="Calibri" w:hAnsi="Calibri"/>
        </w:rPr>
        <w:t>In the course of 2014/15, no onshore wells were drilled in Victoria as a result of the moratorium on onshore natural gas and hydraulic fracturing.</w:t>
      </w:r>
    </w:p>
    <w:p w:rsidR="00133388" w:rsidRDefault="00133388" w:rsidP="00133388">
      <w:pPr>
        <w:spacing w:before="0" w:after="0"/>
        <w:jc w:val="both"/>
        <w:rPr>
          <w:rFonts w:ascii="Calibri" w:hAnsi="Calibri"/>
        </w:rPr>
      </w:pPr>
    </w:p>
    <w:p w:rsidR="00775B32" w:rsidRPr="005955E6" w:rsidRDefault="00775B32" w:rsidP="00133388">
      <w:pPr>
        <w:spacing w:before="0" w:after="0"/>
        <w:jc w:val="both"/>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 xml:space="preserve">.7 Number of exploration wells drilled in Victoria </w:t>
      </w:r>
    </w:p>
    <w:tbl>
      <w:tblPr>
        <w:tblStyle w:val="LightShading-Accent1"/>
        <w:tblW w:w="5000" w:type="pct"/>
        <w:tblLook w:val="0000" w:firstRow="0" w:lastRow="0" w:firstColumn="0" w:lastColumn="0" w:noHBand="0" w:noVBand="0"/>
      </w:tblPr>
      <w:tblGrid>
        <w:gridCol w:w="902"/>
        <w:gridCol w:w="2244"/>
        <w:gridCol w:w="1958"/>
        <w:gridCol w:w="1804"/>
        <w:gridCol w:w="1518"/>
        <w:gridCol w:w="1588"/>
        <w:gridCol w:w="668"/>
      </w:tblGrid>
      <w:tr w:rsidR="000001E9" w:rsidRPr="008F5AFD" w:rsidTr="000001E9">
        <w:trPr>
          <w:trHeight w:val="298"/>
          <w:tblHeader/>
        </w:trPr>
        <w:tc>
          <w:tcPr>
            <w:cnfStyle w:val="000010000000" w:firstRow="0" w:lastRow="0" w:firstColumn="0" w:lastColumn="0" w:oddVBand="1" w:evenVBand="0" w:oddHBand="0" w:evenHBand="0" w:firstRowFirstColumn="0" w:firstRowLastColumn="0" w:lastRowFirstColumn="0" w:lastRowLastColumn="0"/>
            <w:tcW w:w="422" w:type="pct"/>
            <w:tcBorders>
              <w:top w:val="single" w:sz="8" w:space="0" w:color="4F81BD" w:themeColor="accent1"/>
              <w:bottom w:val="single" w:sz="8" w:space="0" w:color="4F81BD" w:themeColor="accent1"/>
              <w:right w:val="single" w:sz="8" w:space="0" w:color="4F81BD" w:themeColor="accent1"/>
            </w:tcBorders>
            <w:shd w:val="clear" w:color="auto" w:fill="auto"/>
          </w:tcPr>
          <w:p w:rsidR="00DB6C71" w:rsidRPr="00045289" w:rsidRDefault="00DB6C71" w:rsidP="00775B32">
            <w:pPr>
              <w:jc w:val="center"/>
              <w:rPr>
                <w:rFonts w:ascii="Calibri" w:hAnsi="Calibri"/>
                <w:color w:val="000000" w:themeColor="text1"/>
              </w:rPr>
            </w:pPr>
            <w:r w:rsidRPr="00045289">
              <w:rPr>
                <w:rFonts w:ascii="Calibri" w:hAnsi="Calibri"/>
                <w:b/>
                <w:color w:val="000000" w:themeColor="text1"/>
              </w:rPr>
              <w:t>Year</w:t>
            </w:r>
          </w:p>
        </w:tc>
        <w:tc>
          <w:tcPr>
            <w:tcW w:w="1050" w:type="pct"/>
            <w:tcBorders>
              <w:top w:val="single" w:sz="8" w:space="0" w:color="4F81BD" w:themeColor="accent1"/>
              <w:left w:val="single" w:sz="8" w:space="0" w:color="4F81BD" w:themeColor="accent1"/>
              <w:bottom w:val="single" w:sz="8" w:space="0" w:color="4F81BD" w:themeColor="accent1"/>
            </w:tcBorders>
            <w:shd w:val="clear" w:color="auto" w:fill="auto"/>
            <w:noWrap/>
            <w:vAlign w:val="center"/>
          </w:tcPr>
          <w:p w:rsidR="00DB6C71" w:rsidRPr="00DB6C71"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DB6C71">
              <w:rPr>
                <w:rFonts w:ascii="Calibri" w:hAnsi="Calibri"/>
                <w:b/>
                <w:color w:val="000000" w:themeColor="text1"/>
              </w:rPr>
              <w:t>Offshore (Vic) Gippsland</w:t>
            </w:r>
          </w:p>
        </w:tc>
        <w:tc>
          <w:tcPr>
            <w:cnfStyle w:val="000010000000" w:firstRow="0" w:lastRow="0" w:firstColumn="0" w:lastColumn="0" w:oddVBand="1" w:evenVBand="0" w:oddHBand="0" w:evenHBand="0" w:firstRowFirstColumn="0" w:firstRowLastColumn="0" w:lastRowFirstColumn="0" w:lastRowLastColumn="0"/>
            <w:tcW w:w="916" w:type="pct"/>
            <w:tcBorders>
              <w:top w:val="single" w:sz="8" w:space="0" w:color="4F81BD" w:themeColor="accent1"/>
              <w:bottom w:val="single" w:sz="8" w:space="0" w:color="4F81BD" w:themeColor="accent1"/>
              <w:right w:val="single" w:sz="8" w:space="0" w:color="4F81BD" w:themeColor="accent1"/>
            </w:tcBorders>
            <w:shd w:val="clear" w:color="auto" w:fill="auto"/>
            <w:noWrap/>
            <w:vAlign w:val="center"/>
          </w:tcPr>
          <w:p w:rsidR="00DB6C71" w:rsidRPr="00DB6C71" w:rsidRDefault="00DB6C71" w:rsidP="000001E9">
            <w:pPr>
              <w:jc w:val="center"/>
              <w:rPr>
                <w:rFonts w:ascii="Calibri" w:hAnsi="Calibri"/>
                <w:b/>
                <w:color w:val="000000" w:themeColor="text1"/>
              </w:rPr>
            </w:pPr>
            <w:r w:rsidRPr="00DB6C71">
              <w:rPr>
                <w:rFonts w:ascii="Calibri" w:hAnsi="Calibri"/>
                <w:b/>
                <w:color w:val="000000" w:themeColor="text1"/>
              </w:rPr>
              <w:t>Offshore (Vic) Otway</w:t>
            </w:r>
          </w:p>
        </w:tc>
        <w:tc>
          <w:tcPr>
            <w:tcW w:w="844" w:type="pct"/>
            <w:tcBorders>
              <w:top w:val="single" w:sz="8" w:space="0" w:color="4F81BD" w:themeColor="accent1"/>
              <w:left w:val="single" w:sz="8" w:space="0" w:color="4F81BD" w:themeColor="accent1"/>
              <w:bottom w:val="single" w:sz="8" w:space="0" w:color="4F81BD" w:themeColor="accent1"/>
            </w:tcBorders>
            <w:shd w:val="clear" w:color="auto" w:fill="auto"/>
            <w:noWrap/>
            <w:vAlign w:val="center"/>
          </w:tcPr>
          <w:p w:rsidR="00DB6C71" w:rsidRPr="00DB6C71"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DB6C71">
              <w:rPr>
                <w:rFonts w:ascii="Calibri" w:hAnsi="Calibri"/>
                <w:b/>
                <w:color w:val="000000" w:themeColor="text1"/>
              </w:rPr>
              <w:t>Onshore Gippsland</w:t>
            </w:r>
          </w:p>
        </w:tc>
        <w:tc>
          <w:tcPr>
            <w:cnfStyle w:val="000010000000" w:firstRow="0" w:lastRow="0" w:firstColumn="0" w:lastColumn="0" w:oddVBand="1" w:evenVBand="0" w:oddHBand="0" w:evenHBand="0" w:firstRowFirstColumn="0" w:firstRowLastColumn="0" w:lastRowFirstColumn="0" w:lastRowLastColumn="0"/>
            <w:tcW w:w="711" w:type="pct"/>
            <w:tcBorders>
              <w:top w:val="single" w:sz="8" w:space="0" w:color="4F81BD" w:themeColor="accent1"/>
              <w:bottom w:val="single" w:sz="8" w:space="0" w:color="4F81BD" w:themeColor="accent1"/>
            </w:tcBorders>
            <w:shd w:val="clear" w:color="auto" w:fill="auto"/>
            <w:noWrap/>
            <w:vAlign w:val="center"/>
          </w:tcPr>
          <w:p w:rsidR="00DB6C71" w:rsidRPr="00DB6C71" w:rsidRDefault="00DB6C71" w:rsidP="000001E9">
            <w:pPr>
              <w:jc w:val="center"/>
              <w:rPr>
                <w:rFonts w:ascii="Calibri" w:hAnsi="Calibri"/>
                <w:b/>
                <w:color w:val="000000" w:themeColor="text1"/>
              </w:rPr>
            </w:pPr>
            <w:r w:rsidRPr="00DB6C71">
              <w:rPr>
                <w:rFonts w:ascii="Calibri" w:hAnsi="Calibri"/>
                <w:b/>
                <w:color w:val="000000" w:themeColor="text1"/>
              </w:rPr>
              <w:t>Onshore Otway</w:t>
            </w:r>
          </w:p>
        </w:tc>
        <w:tc>
          <w:tcPr>
            <w:tcW w:w="743" w:type="pct"/>
            <w:tcBorders>
              <w:top w:val="single" w:sz="8" w:space="0" w:color="4F81BD" w:themeColor="accent1"/>
              <w:bottom w:val="single" w:sz="8" w:space="0" w:color="4F81BD" w:themeColor="accent1"/>
              <w:right w:val="single" w:sz="8" w:space="0" w:color="4F81BD" w:themeColor="accent1"/>
            </w:tcBorders>
            <w:shd w:val="clear" w:color="auto" w:fill="auto"/>
            <w:noWrap/>
            <w:vAlign w:val="center"/>
          </w:tcPr>
          <w:p w:rsidR="00DB6C71" w:rsidRPr="00DB6C71"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DB6C71">
              <w:rPr>
                <w:rFonts w:ascii="Calibri" w:hAnsi="Calibri"/>
                <w:b/>
                <w:color w:val="000000" w:themeColor="text1"/>
              </w:rPr>
              <w:t>Onshore Murray</w:t>
            </w:r>
          </w:p>
        </w:tc>
        <w:tc>
          <w:tcPr>
            <w:cnfStyle w:val="000010000000" w:firstRow="0" w:lastRow="0" w:firstColumn="0" w:lastColumn="0" w:oddVBand="1" w:evenVBand="0" w:oddHBand="0" w:evenHBand="0" w:firstRowFirstColumn="0" w:firstRowLastColumn="0" w:lastRowFirstColumn="0" w:lastRowLastColumn="0"/>
            <w:tcW w:w="313" w:type="pct"/>
            <w:tcBorders>
              <w:top w:val="single" w:sz="8" w:space="0" w:color="4F81BD" w:themeColor="accent1"/>
              <w:left w:val="single" w:sz="8" w:space="0" w:color="4F81BD" w:themeColor="accent1"/>
              <w:bottom w:val="single" w:sz="8" w:space="0" w:color="4F81BD" w:themeColor="accent1"/>
            </w:tcBorders>
            <w:shd w:val="clear" w:color="auto" w:fill="auto"/>
            <w:vAlign w:val="center"/>
          </w:tcPr>
          <w:p w:rsidR="00DB6C71" w:rsidRPr="00045289" w:rsidRDefault="00DB6C71" w:rsidP="000001E9">
            <w:pPr>
              <w:jc w:val="center"/>
              <w:rPr>
                <w:rFonts w:ascii="Calibri" w:hAnsi="Calibri"/>
                <w:b/>
                <w:color w:val="000000" w:themeColor="text1"/>
              </w:rPr>
            </w:pPr>
            <w:r w:rsidRPr="00045289">
              <w:rPr>
                <w:rFonts w:ascii="Calibri" w:hAnsi="Calibri"/>
                <w:b/>
                <w:color w:val="000000" w:themeColor="text1"/>
              </w:rPr>
              <w:t>Total wells</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single" w:sz="8" w:space="0" w:color="4F81BD" w:themeColor="accent1"/>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1999/00</w:t>
            </w:r>
          </w:p>
        </w:tc>
        <w:tc>
          <w:tcPr>
            <w:tcW w:w="1050" w:type="pct"/>
            <w:tcBorders>
              <w:top w:val="single" w:sz="8" w:space="0" w:color="4F81BD" w:themeColor="accent1"/>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single" w:sz="8" w:space="0" w:color="4F81BD" w:themeColor="accent1"/>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single" w:sz="8" w:space="0" w:color="4F81BD" w:themeColor="accent1"/>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3</w:t>
            </w:r>
          </w:p>
        </w:tc>
        <w:tc>
          <w:tcPr>
            <w:cnfStyle w:val="000010000000" w:firstRow="0" w:lastRow="0" w:firstColumn="0" w:lastColumn="0" w:oddVBand="1" w:evenVBand="0" w:oddHBand="0" w:evenHBand="0" w:firstRowFirstColumn="0" w:firstRowLastColumn="0" w:lastRowFirstColumn="0" w:lastRowLastColumn="0"/>
            <w:tcW w:w="711" w:type="pct"/>
            <w:tcBorders>
              <w:top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c>
          <w:tcPr>
            <w:tcW w:w="743" w:type="pct"/>
            <w:tcBorders>
              <w:top w:val="single" w:sz="8" w:space="0" w:color="4F81BD" w:themeColor="accent1"/>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single" w:sz="8" w:space="0" w:color="4F81BD" w:themeColor="accent1"/>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5</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2000/01</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2</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5</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7</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2001/02</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4</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7</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12</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2002/03</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3</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4</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7</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2003/04</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3</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2004/05</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2</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3</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2005/06</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4</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4</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8</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2006/07</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4</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7</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2007/08</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2008/09</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2009/10</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2010/11</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2011/12</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1</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r>
      <w:tr w:rsidR="000001E9" w:rsidRPr="008F5AFD"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2012/13</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2</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2</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2013/14</w:t>
            </w:r>
          </w:p>
        </w:tc>
        <w:tc>
          <w:tcPr>
            <w:tcW w:w="1050"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r>
      <w:tr w:rsidR="000001E9" w:rsidRPr="008E76FF" w:rsidTr="000001E9">
        <w:trPr>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right w:val="single" w:sz="8" w:space="0" w:color="4F81BD" w:themeColor="accent1"/>
            </w:tcBorders>
            <w:shd w:val="clear" w:color="auto" w:fill="auto"/>
            <w:noWrap/>
            <w:vAlign w:val="center"/>
          </w:tcPr>
          <w:p w:rsidR="00DB6C71" w:rsidRPr="00045289" w:rsidRDefault="00DB6C71" w:rsidP="000001E9">
            <w:pPr>
              <w:rPr>
                <w:rFonts w:ascii="Calibri" w:hAnsi="Calibri"/>
                <w:color w:val="000000" w:themeColor="text1"/>
              </w:rPr>
            </w:pPr>
            <w:r w:rsidRPr="00045289">
              <w:rPr>
                <w:rFonts w:ascii="Calibri" w:hAnsi="Calibri"/>
                <w:color w:val="000000" w:themeColor="text1"/>
              </w:rPr>
              <w:t>2014/15</w:t>
            </w:r>
          </w:p>
        </w:tc>
        <w:tc>
          <w:tcPr>
            <w:tcW w:w="1050"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916" w:type="pct"/>
            <w:tcBorders>
              <w:top w:val="nil"/>
              <w:righ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844" w:type="pct"/>
            <w:tcBorders>
              <w:top w:val="nil"/>
              <w:left w:val="single" w:sz="8" w:space="0" w:color="4F81BD" w:themeColor="accent1"/>
              <w:bottom w:val="nil"/>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11" w:type="pct"/>
            <w:tcBorders>
              <w:top w:val="nil"/>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c>
          <w:tcPr>
            <w:tcW w:w="743" w:type="pct"/>
            <w:tcBorders>
              <w:top w:val="nil"/>
              <w:bottom w:val="nil"/>
              <w:right w:val="single" w:sz="8" w:space="0" w:color="4F81BD" w:themeColor="accent1"/>
            </w:tcBorders>
            <w:shd w:val="clear" w:color="auto" w:fill="auto"/>
            <w:noWrap/>
            <w:vAlign w:val="center"/>
          </w:tcPr>
          <w:p w:rsidR="00DB6C71" w:rsidRPr="00045289" w:rsidRDefault="00DB6C7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045289">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tcBorders>
            <w:shd w:val="clear" w:color="auto" w:fill="auto"/>
            <w:noWrap/>
            <w:vAlign w:val="center"/>
          </w:tcPr>
          <w:p w:rsidR="00DB6C71" w:rsidRPr="00045289" w:rsidRDefault="00DB6C71" w:rsidP="000001E9">
            <w:pPr>
              <w:jc w:val="center"/>
              <w:rPr>
                <w:rFonts w:ascii="Calibri" w:hAnsi="Calibri"/>
                <w:color w:val="000000" w:themeColor="text1"/>
              </w:rPr>
            </w:pPr>
            <w:r w:rsidRPr="00045289">
              <w:rPr>
                <w:rFonts w:ascii="Calibri" w:hAnsi="Calibri"/>
                <w:color w:val="000000" w:themeColor="text1"/>
              </w:rPr>
              <w:t>0</w:t>
            </w:r>
          </w:p>
        </w:tc>
      </w:tr>
      <w:tr w:rsidR="000001E9" w:rsidRPr="008E76FF" w:rsidTr="000001E9">
        <w:trPr>
          <w:cnfStyle w:val="000000100000" w:firstRow="0" w:lastRow="0" w:firstColumn="0" w:lastColumn="0" w:oddVBand="0" w:evenVBand="0" w:oddHBand="1" w:evenHBand="0" w:firstRowFirstColumn="0" w:firstRowLastColumn="0" w:lastRowFirstColumn="0" w:lastRowLastColumn="0"/>
          <w:trHeight w:val="298"/>
        </w:trPr>
        <w:tc>
          <w:tcPr>
            <w:cnfStyle w:val="000010000000" w:firstRow="0" w:lastRow="0" w:firstColumn="0" w:lastColumn="0" w:oddVBand="1" w:evenVBand="0" w:oddHBand="0" w:evenHBand="0" w:firstRowFirstColumn="0" w:firstRowLastColumn="0" w:lastRowFirstColumn="0" w:lastRowLastColumn="0"/>
            <w:tcW w:w="422" w:type="pct"/>
            <w:tcBorders>
              <w:top w:val="nil"/>
              <w:bottom w:val="single" w:sz="8" w:space="0" w:color="4F81BD" w:themeColor="accent1"/>
              <w:right w:val="single" w:sz="8" w:space="0" w:color="4F81BD" w:themeColor="accent1"/>
            </w:tcBorders>
            <w:shd w:val="clear" w:color="auto" w:fill="DBE5F1" w:themeFill="accent1" w:themeFillTint="33"/>
            <w:noWrap/>
            <w:vAlign w:val="center"/>
          </w:tcPr>
          <w:p w:rsidR="00DB6C71" w:rsidRPr="00045289" w:rsidRDefault="00DB6C71" w:rsidP="000001E9">
            <w:pPr>
              <w:rPr>
                <w:rFonts w:ascii="Calibri" w:hAnsi="Calibri"/>
                <w:b/>
                <w:color w:val="000000" w:themeColor="text1"/>
              </w:rPr>
            </w:pPr>
            <w:r w:rsidRPr="00045289">
              <w:rPr>
                <w:rFonts w:ascii="Calibri" w:hAnsi="Calibri"/>
                <w:b/>
                <w:color w:val="000000" w:themeColor="text1"/>
              </w:rPr>
              <w:t>Total</w:t>
            </w:r>
          </w:p>
        </w:tc>
        <w:tc>
          <w:tcPr>
            <w:tcW w:w="1050" w:type="pct"/>
            <w:tcBorders>
              <w:top w:val="nil"/>
              <w:left w:val="single" w:sz="8" w:space="0" w:color="4F81BD" w:themeColor="accent1"/>
              <w:bottom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1</w:t>
            </w:r>
          </w:p>
        </w:tc>
        <w:tc>
          <w:tcPr>
            <w:cnfStyle w:val="000010000000" w:firstRow="0" w:lastRow="0" w:firstColumn="0" w:lastColumn="0" w:oddVBand="1" w:evenVBand="0" w:oddHBand="0" w:evenHBand="0" w:firstRowFirstColumn="0" w:firstRowLastColumn="0" w:lastRowFirstColumn="0" w:lastRowLastColumn="0"/>
            <w:tcW w:w="916" w:type="pct"/>
            <w:tcBorders>
              <w:top w:val="nil"/>
              <w:bottom w:val="single" w:sz="8" w:space="0" w:color="4F81BD" w:themeColor="accent1"/>
              <w:right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b/>
                <w:color w:val="000000" w:themeColor="text1"/>
              </w:rPr>
            </w:pPr>
            <w:r w:rsidRPr="00045289">
              <w:rPr>
                <w:rFonts w:ascii="Calibri" w:hAnsi="Calibri"/>
                <w:b/>
                <w:color w:val="000000" w:themeColor="text1"/>
              </w:rPr>
              <w:t>1</w:t>
            </w:r>
          </w:p>
        </w:tc>
        <w:tc>
          <w:tcPr>
            <w:tcW w:w="844" w:type="pct"/>
            <w:tcBorders>
              <w:top w:val="nil"/>
              <w:left w:val="single" w:sz="8" w:space="0" w:color="4F81BD" w:themeColor="accent1"/>
              <w:bottom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27</w:t>
            </w:r>
          </w:p>
        </w:tc>
        <w:tc>
          <w:tcPr>
            <w:cnfStyle w:val="000010000000" w:firstRow="0" w:lastRow="0" w:firstColumn="0" w:lastColumn="0" w:oddVBand="1" w:evenVBand="0" w:oddHBand="0" w:evenHBand="0" w:firstRowFirstColumn="0" w:firstRowLastColumn="0" w:lastRowFirstColumn="0" w:lastRowLastColumn="0"/>
            <w:tcW w:w="711" w:type="pct"/>
            <w:tcBorders>
              <w:top w:val="nil"/>
              <w:bottom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b/>
                <w:color w:val="000000" w:themeColor="text1"/>
              </w:rPr>
            </w:pPr>
            <w:r w:rsidRPr="00045289">
              <w:rPr>
                <w:rFonts w:ascii="Calibri" w:hAnsi="Calibri"/>
                <w:b/>
                <w:color w:val="000000" w:themeColor="text1"/>
              </w:rPr>
              <w:t>30</w:t>
            </w:r>
          </w:p>
        </w:tc>
        <w:tc>
          <w:tcPr>
            <w:tcW w:w="743" w:type="pct"/>
            <w:tcBorders>
              <w:top w:val="nil"/>
              <w:bottom w:val="single" w:sz="8" w:space="0" w:color="4F81BD" w:themeColor="accent1"/>
              <w:right w:val="single" w:sz="8" w:space="0" w:color="4F81BD" w:themeColor="accent1"/>
            </w:tcBorders>
            <w:shd w:val="clear" w:color="auto" w:fill="DBE5F1" w:themeFill="accent1" w:themeFillTint="33"/>
            <w:noWrap/>
            <w:vAlign w:val="center"/>
          </w:tcPr>
          <w:p w:rsidR="00DB6C71" w:rsidRPr="00045289" w:rsidRDefault="00DB6C7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themeColor="text1"/>
              </w:rPr>
            </w:pPr>
            <w:r w:rsidRPr="00045289">
              <w:rPr>
                <w:rFonts w:ascii="Calibri" w:hAnsi="Calibri"/>
                <w:b/>
                <w:color w:val="000000" w:themeColor="text1"/>
              </w:rPr>
              <w:t>1</w:t>
            </w:r>
          </w:p>
        </w:tc>
        <w:tc>
          <w:tcPr>
            <w:cnfStyle w:val="000010000000" w:firstRow="0" w:lastRow="0" w:firstColumn="0" w:lastColumn="0" w:oddVBand="1" w:evenVBand="0" w:oddHBand="0" w:evenHBand="0" w:firstRowFirstColumn="0" w:firstRowLastColumn="0" w:lastRowFirstColumn="0" w:lastRowLastColumn="0"/>
            <w:tcW w:w="313" w:type="pct"/>
            <w:tcBorders>
              <w:top w:val="nil"/>
              <w:left w:val="single" w:sz="8" w:space="0" w:color="4F81BD" w:themeColor="accent1"/>
              <w:bottom w:val="single" w:sz="8" w:space="0" w:color="4F81BD" w:themeColor="accent1"/>
            </w:tcBorders>
            <w:shd w:val="clear" w:color="auto" w:fill="DBE5F1" w:themeFill="accent1" w:themeFillTint="33"/>
            <w:noWrap/>
            <w:vAlign w:val="center"/>
          </w:tcPr>
          <w:p w:rsidR="00DB6C71" w:rsidRPr="00045289" w:rsidRDefault="00DB6C71" w:rsidP="000001E9">
            <w:pPr>
              <w:jc w:val="center"/>
              <w:rPr>
                <w:rFonts w:ascii="Calibri" w:hAnsi="Calibri"/>
                <w:b/>
                <w:color w:val="000000" w:themeColor="text1"/>
              </w:rPr>
            </w:pPr>
            <w:r w:rsidRPr="00045289">
              <w:rPr>
                <w:rFonts w:ascii="Calibri" w:hAnsi="Calibri"/>
                <w:b/>
                <w:color w:val="000000" w:themeColor="text1"/>
              </w:rPr>
              <w:t>60</w:t>
            </w:r>
          </w:p>
        </w:tc>
      </w:tr>
    </w:tbl>
    <w:p w:rsidR="00775B32" w:rsidRPr="00C72BE1" w:rsidRDefault="00775B32" w:rsidP="00775B32">
      <w:pPr>
        <w:spacing w:before="0" w:after="0"/>
        <w:jc w:val="both"/>
        <w:rPr>
          <w:rFonts w:ascii="Calibri" w:hAnsi="Calibri"/>
          <w:sz w:val="16"/>
        </w:rPr>
      </w:pPr>
      <w:r w:rsidRPr="00C72BE1">
        <w:rPr>
          <w:rFonts w:ascii="Calibri" w:hAnsi="Calibri"/>
          <w:sz w:val="16"/>
        </w:rPr>
        <w:t>Source: DEDJTR</w:t>
      </w:r>
    </w:p>
    <w:p w:rsidR="005D2362" w:rsidRDefault="00775B32">
      <w:pPr>
        <w:rPr>
          <w:caps/>
          <w:color w:val="365F91" w:themeColor="accent1" w:themeShade="BF"/>
          <w:spacing w:val="10"/>
          <w:sz w:val="22"/>
          <w:szCs w:val="22"/>
        </w:rPr>
      </w:pPr>
      <w:r w:rsidRPr="005955E6">
        <w:rPr>
          <w:rFonts w:ascii="Calibri" w:hAnsi="Calibri"/>
          <w:b/>
        </w:rPr>
        <w:t xml:space="preserve">Graph </w:t>
      </w:r>
      <w:r w:rsidR="00133388">
        <w:rPr>
          <w:rFonts w:ascii="Calibri" w:hAnsi="Calibri"/>
          <w:b/>
        </w:rPr>
        <w:t>1</w:t>
      </w:r>
      <w:r w:rsidRPr="005955E6">
        <w:rPr>
          <w:rFonts w:ascii="Calibri" w:hAnsi="Calibri"/>
          <w:b/>
        </w:rPr>
        <w:t>.</w:t>
      </w:r>
      <w:r w:rsidR="00133388">
        <w:rPr>
          <w:rFonts w:ascii="Calibri" w:hAnsi="Calibri"/>
          <w:b/>
        </w:rPr>
        <w:t>1</w:t>
      </w:r>
      <w:r w:rsidR="006774AA">
        <w:rPr>
          <w:rFonts w:ascii="Calibri" w:hAnsi="Calibri"/>
          <w:b/>
        </w:rPr>
        <w:t xml:space="preserve"> </w:t>
      </w:r>
      <w:r w:rsidRPr="005955E6">
        <w:rPr>
          <w:rFonts w:ascii="Calibri" w:hAnsi="Calibri"/>
          <w:b/>
        </w:rPr>
        <w:t xml:space="preserve">Number of exploration wells drilled </w:t>
      </w:r>
      <w:r>
        <w:rPr>
          <w:noProof/>
        </w:rPr>
        <w:drawing>
          <wp:inline distT="0" distB="0" distL="0" distR="0" wp14:anchorId="2A067462" wp14:editId="54AB9BC2">
            <wp:extent cx="6648450" cy="2466975"/>
            <wp:effectExtent l="0" t="0" r="19050" b="9525"/>
            <wp:docPr id="4" name="Chart 4" descr="This graph outlines the number of exploration wells drilled since the 1999/2000 financial year to the 2014/2015 financial year.&#10;&#10;There were nil exploration wells drilled in the 2014/2015 financial year." title="Number of exploration wells drilled"/>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C72BE1">
        <w:rPr>
          <w:rFonts w:ascii="Calibri" w:hAnsi="Calibri"/>
          <w:sz w:val="16"/>
        </w:rPr>
        <w:t>Source: DEDJTR</w:t>
      </w:r>
    </w:p>
    <w:p w:rsidR="00775B32" w:rsidRDefault="00DB7DC9" w:rsidP="00133388">
      <w:pPr>
        <w:pStyle w:val="Heading4"/>
      </w:pPr>
      <w:r>
        <w:br w:type="page"/>
      </w:r>
      <w:r w:rsidR="00775B32" w:rsidRPr="00DB45BC">
        <w:lastRenderedPageBreak/>
        <w:t>Geophysical Surveys</w:t>
      </w:r>
    </w:p>
    <w:p w:rsidR="00775B32" w:rsidRDefault="00775B32" w:rsidP="005D2362">
      <w:pPr>
        <w:pStyle w:val="bodycopy"/>
        <w:spacing w:before="0"/>
      </w:pPr>
      <w:r w:rsidRPr="00775B32">
        <w:t>No geophysical surveys were conducted in 2014/15.</w:t>
      </w:r>
      <w:r>
        <w:t xml:space="preserve"> </w:t>
      </w:r>
    </w:p>
    <w:p w:rsidR="00775B32" w:rsidRDefault="00775B32" w:rsidP="00DB45BC">
      <w:pPr>
        <w:pStyle w:val="Heading4"/>
      </w:pPr>
      <w:r w:rsidRPr="00DB45BC">
        <w:t>Hydrocarbon Discoveries</w:t>
      </w:r>
    </w:p>
    <w:p w:rsidR="00775B32" w:rsidRDefault="00775B32" w:rsidP="00775B32">
      <w:pPr>
        <w:jc w:val="both"/>
      </w:pPr>
      <w:r w:rsidRPr="00775B32">
        <w:t>There was one hydrocarbon discovery made by Origin Energy Resources Pty Ltd, in an offshore area on 9 December 2014 within the area contained in Offshore Petroleum Production Licence VIC/L1 (V).</w:t>
      </w:r>
    </w:p>
    <w:p w:rsidR="00775B32" w:rsidRDefault="005449C7" w:rsidP="00DB45BC">
      <w:pPr>
        <w:pStyle w:val="Heading4"/>
      </w:pPr>
      <w:r w:rsidRPr="00DB45BC">
        <w:t>Production</w:t>
      </w:r>
    </w:p>
    <w:p w:rsidR="005449C7" w:rsidRPr="005449C7" w:rsidRDefault="005449C7" w:rsidP="005449C7">
      <w:pPr>
        <w:pStyle w:val="BodyText"/>
        <w:spacing w:before="0" w:line="240" w:lineRule="auto"/>
        <w:rPr>
          <w:sz w:val="20"/>
        </w:rPr>
      </w:pPr>
      <w:r w:rsidRPr="005449C7">
        <w:rPr>
          <w:sz w:val="20"/>
        </w:rPr>
        <w:t>Production is currently limited to carbon dioxide production at Boggy Creek and gas injection and production at the Iona gas storage facility which are both onshore facilities located in the Otway basin.</w:t>
      </w:r>
    </w:p>
    <w:p w:rsidR="005449C7" w:rsidRPr="005955E6" w:rsidRDefault="005449C7" w:rsidP="005449C7">
      <w:pPr>
        <w:spacing w:before="0" w:after="0"/>
        <w:jc w:val="both"/>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 xml:space="preserve">.8: Otway onshore </w:t>
      </w:r>
      <w:r>
        <w:rPr>
          <w:rFonts w:ascii="Calibri" w:hAnsi="Calibri"/>
          <w:b/>
        </w:rPr>
        <w:t>production and injection 2014/15</w:t>
      </w:r>
    </w:p>
    <w:tbl>
      <w:tblPr>
        <w:tblStyle w:val="LightShading-Accent1"/>
        <w:tblW w:w="5000" w:type="pct"/>
        <w:tblLook w:val="01E0" w:firstRow="1" w:lastRow="1" w:firstColumn="1" w:lastColumn="1" w:noHBand="0" w:noVBand="0"/>
      </w:tblPr>
      <w:tblGrid>
        <w:gridCol w:w="1217"/>
        <w:gridCol w:w="1730"/>
        <w:gridCol w:w="2418"/>
        <w:gridCol w:w="1786"/>
        <w:gridCol w:w="2036"/>
        <w:gridCol w:w="1495"/>
      </w:tblGrid>
      <w:tr w:rsidR="00B119D5" w:rsidRPr="00B119D5" w:rsidTr="000001E9">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569" w:type="pct"/>
            <w:shd w:val="clear" w:color="auto" w:fill="auto"/>
            <w:vAlign w:val="center"/>
          </w:tcPr>
          <w:p w:rsidR="005449C7" w:rsidRPr="000001E9" w:rsidRDefault="005449C7" w:rsidP="000001E9">
            <w:pPr>
              <w:rPr>
                <w:rFonts w:ascii="Calibri" w:hAnsi="Calibri"/>
                <w:color w:val="000000" w:themeColor="text1"/>
              </w:rPr>
            </w:pPr>
            <w:r w:rsidRPr="000001E9">
              <w:rPr>
                <w:rFonts w:ascii="Calibri" w:hAnsi="Calibri"/>
                <w:color w:val="000000" w:themeColor="text1"/>
              </w:rPr>
              <w:t>Field</w:t>
            </w:r>
          </w:p>
        </w:tc>
        <w:tc>
          <w:tcPr>
            <w:cnfStyle w:val="000010000000" w:firstRow="0" w:lastRow="0" w:firstColumn="0" w:lastColumn="0" w:oddVBand="1" w:evenVBand="0" w:oddHBand="0" w:evenHBand="0" w:firstRowFirstColumn="0" w:firstRowLastColumn="0" w:lastRowFirstColumn="0" w:lastRowLastColumn="0"/>
            <w:tcW w:w="810" w:type="pct"/>
            <w:shd w:val="clear" w:color="auto" w:fill="auto"/>
            <w:vAlign w:val="center"/>
          </w:tcPr>
          <w:p w:rsidR="005449C7" w:rsidRPr="000001E9" w:rsidRDefault="005449C7" w:rsidP="000001E9">
            <w:pPr>
              <w:jc w:val="center"/>
              <w:rPr>
                <w:rFonts w:ascii="Calibri" w:hAnsi="Calibri"/>
                <w:color w:val="000000" w:themeColor="text1"/>
              </w:rPr>
            </w:pPr>
            <w:r w:rsidRPr="000001E9">
              <w:rPr>
                <w:rFonts w:ascii="Calibri" w:hAnsi="Calibri"/>
                <w:color w:val="000000" w:themeColor="text1"/>
              </w:rPr>
              <w:t>Condensate (bbl*)</w:t>
            </w:r>
          </w:p>
        </w:tc>
        <w:tc>
          <w:tcPr>
            <w:tcW w:w="1132" w:type="pct"/>
            <w:shd w:val="clear" w:color="auto" w:fill="auto"/>
            <w:vAlign w:val="center"/>
          </w:tcPr>
          <w:p w:rsidR="005449C7" w:rsidRPr="000001E9" w:rsidRDefault="005449C7"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themeColor="text1"/>
              </w:rPr>
            </w:pPr>
            <w:r w:rsidRPr="000001E9">
              <w:rPr>
                <w:rFonts w:ascii="Calibri" w:hAnsi="Calibri"/>
                <w:color w:val="000000" w:themeColor="text1"/>
              </w:rPr>
              <w:t>Gas Production (MMscf**)</w:t>
            </w:r>
          </w:p>
        </w:tc>
        <w:tc>
          <w:tcPr>
            <w:cnfStyle w:val="000010000000" w:firstRow="0" w:lastRow="0" w:firstColumn="0" w:lastColumn="0" w:oddVBand="1" w:evenVBand="0" w:oddHBand="0" w:evenHBand="0" w:firstRowFirstColumn="0" w:firstRowLastColumn="0" w:lastRowFirstColumn="0" w:lastRowLastColumn="0"/>
            <w:tcW w:w="836" w:type="pct"/>
            <w:shd w:val="clear" w:color="auto" w:fill="auto"/>
            <w:vAlign w:val="center"/>
          </w:tcPr>
          <w:p w:rsidR="005449C7" w:rsidRPr="000001E9" w:rsidRDefault="005449C7" w:rsidP="000001E9">
            <w:pPr>
              <w:jc w:val="center"/>
              <w:rPr>
                <w:rFonts w:ascii="Calibri" w:hAnsi="Calibri"/>
                <w:color w:val="000000" w:themeColor="text1"/>
              </w:rPr>
            </w:pPr>
            <w:r w:rsidRPr="000001E9">
              <w:rPr>
                <w:rFonts w:ascii="Calibri" w:hAnsi="Calibri"/>
                <w:color w:val="000000" w:themeColor="text1"/>
              </w:rPr>
              <w:t>CO2 Prod. (tonnes)</w:t>
            </w:r>
          </w:p>
        </w:tc>
        <w:tc>
          <w:tcPr>
            <w:tcW w:w="953" w:type="pct"/>
            <w:shd w:val="clear" w:color="auto" w:fill="auto"/>
            <w:vAlign w:val="center"/>
          </w:tcPr>
          <w:p w:rsidR="005449C7" w:rsidRPr="000001E9" w:rsidRDefault="005449C7"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themeColor="text1"/>
              </w:rPr>
            </w:pPr>
            <w:r w:rsidRPr="000001E9">
              <w:rPr>
                <w:rFonts w:ascii="Calibri" w:hAnsi="Calibri"/>
                <w:color w:val="000000" w:themeColor="text1"/>
              </w:rPr>
              <w:t>Gas Injection (MMscf)</w:t>
            </w:r>
          </w:p>
        </w:tc>
        <w:tc>
          <w:tcPr>
            <w:cnfStyle w:val="000100000000" w:firstRow="0" w:lastRow="0" w:firstColumn="0" w:lastColumn="1" w:oddVBand="0" w:evenVBand="0" w:oddHBand="0" w:evenHBand="0" w:firstRowFirstColumn="0" w:firstRowLastColumn="0" w:lastRowFirstColumn="0" w:lastRowLastColumn="0"/>
            <w:tcW w:w="700" w:type="pct"/>
            <w:shd w:val="clear" w:color="auto" w:fill="auto"/>
            <w:vAlign w:val="center"/>
          </w:tcPr>
          <w:p w:rsidR="005449C7" w:rsidRPr="000001E9" w:rsidRDefault="005449C7" w:rsidP="000001E9">
            <w:pPr>
              <w:jc w:val="center"/>
              <w:rPr>
                <w:rFonts w:ascii="Calibri" w:hAnsi="Calibri"/>
                <w:color w:val="000000" w:themeColor="text1"/>
              </w:rPr>
            </w:pPr>
            <w:r w:rsidRPr="000001E9">
              <w:rPr>
                <w:rFonts w:ascii="Calibri" w:hAnsi="Calibri"/>
                <w:color w:val="000000" w:themeColor="text1"/>
              </w:rPr>
              <w:t>Comments</w:t>
            </w:r>
          </w:p>
        </w:tc>
      </w:tr>
      <w:tr w:rsidR="00B119D5" w:rsidRPr="00B119D5" w:rsidTr="000001E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9"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rPr>
                <w:rFonts w:ascii="Calibri" w:hAnsi="Calibri"/>
                <w:b w:val="0"/>
                <w:color w:val="000000" w:themeColor="text1"/>
              </w:rPr>
            </w:pPr>
            <w:r w:rsidRPr="00B119D5">
              <w:rPr>
                <w:rFonts w:ascii="Calibri" w:hAnsi="Calibri"/>
                <w:b w:val="0"/>
                <w:color w:val="000000" w:themeColor="text1"/>
              </w:rPr>
              <w:t xml:space="preserve">Iona </w:t>
            </w:r>
          </w:p>
        </w:tc>
        <w:tc>
          <w:tcPr>
            <w:cnfStyle w:val="000010000000" w:firstRow="0" w:lastRow="0" w:firstColumn="0" w:lastColumn="0" w:oddVBand="1" w:evenVBand="0" w:oddHBand="0" w:evenHBand="0" w:firstRowFirstColumn="0" w:firstRowLastColumn="0" w:lastRowFirstColumn="0" w:lastRowLastColumn="0"/>
            <w:tcW w:w="810" w:type="pct"/>
            <w:tcBorders>
              <w:top w:val="single" w:sz="8" w:space="0" w:color="4F81BD" w:themeColor="accent1"/>
            </w:tcBorders>
            <w:shd w:val="clear" w:color="auto" w:fill="DBE5F1" w:themeFill="accent1" w:themeFillTint="33"/>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669.82</w:t>
            </w:r>
          </w:p>
        </w:tc>
        <w:tc>
          <w:tcPr>
            <w:tcW w:w="1132"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10,290.98</w:t>
            </w:r>
          </w:p>
        </w:tc>
        <w:tc>
          <w:tcPr>
            <w:cnfStyle w:val="000010000000" w:firstRow="0" w:lastRow="0" w:firstColumn="0" w:lastColumn="0" w:oddVBand="1" w:evenVBand="0" w:oddHBand="0" w:evenHBand="0" w:firstRowFirstColumn="0" w:firstRowLastColumn="0" w:lastRowFirstColumn="0" w:lastRowLastColumn="0"/>
            <w:tcW w:w="836" w:type="pct"/>
            <w:tcBorders>
              <w:top w:val="single" w:sz="8" w:space="0" w:color="4F81BD" w:themeColor="accent1"/>
            </w:tcBorders>
            <w:shd w:val="clear" w:color="auto" w:fill="DBE5F1" w:themeFill="accent1" w:themeFillTint="33"/>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w:t>
            </w:r>
          </w:p>
        </w:tc>
        <w:tc>
          <w:tcPr>
            <w:tcW w:w="953"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11,797.26</w:t>
            </w:r>
          </w:p>
        </w:tc>
        <w:tc>
          <w:tcPr>
            <w:cnfStyle w:val="000100000000" w:firstRow="0" w:lastRow="0" w:firstColumn="0" w:lastColumn="1" w:oddVBand="0" w:evenVBand="0" w:oddHBand="0" w:evenHBand="0" w:firstRowFirstColumn="0" w:firstRowLastColumn="0" w:lastRowFirstColumn="0" w:lastRowLastColumn="0"/>
            <w:tcW w:w="700"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jc w:val="center"/>
              <w:rPr>
                <w:rFonts w:ascii="Calibri" w:hAnsi="Calibri"/>
                <w:b w:val="0"/>
                <w:color w:val="000000" w:themeColor="text1"/>
              </w:rPr>
            </w:pPr>
            <w:r w:rsidRPr="00B119D5">
              <w:rPr>
                <w:rFonts w:ascii="Calibri" w:hAnsi="Calibri"/>
                <w:b w:val="0"/>
                <w:color w:val="000000" w:themeColor="text1"/>
              </w:rPr>
              <w:t>Gas Storage</w:t>
            </w:r>
          </w:p>
        </w:tc>
      </w:tr>
      <w:tr w:rsidR="00B119D5" w:rsidRPr="00B119D5" w:rsidTr="000001E9">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9" w:type="pct"/>
            <w:tcBorders>
              <w:top w:val="nil"/>
            </w:tcBorders>
            <w:shd w:val="clear" w:color="auto" w:fill="auto"/>
            <w:vAlign w:val="center"/>
          </w:tcPr>
          <w:p w:rsidR="005449C7" w:rsidRPr="00B119D5" w:rsidRDefault="005449C7" w:rsidP="000001E9">
            <w:pPr>
              <w:rPr>
                <w:rFonts w:ascii="Calibri" w:hAnsi="Calibri"/>
                <w:b w:val="0"/>
                <w:color w:val="000000" w:themeColor="text1"/>
              </w:rPr>
            </w:pPr>
            <w:r w:rsidRPr="00B119D5">
              <w:rPr>
                <w:rFonts w:ascii="Calibri" w:hAnsi="Calibri"/>
                <w:b w:val="0"/>
                <w:color w:val="000000" w:themeColor="text1"/>
              </w:rPr>
              <w:t xml:space="preserve">Boggy Creek </w:t>
            </w:r>
          </w:p>
        </w:tc>
        <w:tc>
          <w:tcPr>
            <w:cnfStyle w:val="000010000000" w:firstRow="0" w:lastRow="0" w:firstColumn="0" w:lastColumn="0" w:oddVBand="1" w:evenVBand="0" w:oddHBand="0" w:evenHBand="0" w:firstRowFirstColumn="0" w:firstRowLastColumn="0" w:lastRowFirstColumn="0" w:lastRowLastColumn="0"/>
            <w:tcW w:w="810" w:type="pct"/>
            <w:tcBorders>
              <w:top w:val="nil"/>
            </w:tcBorders>
            <w:shd w:val="clear" w:color="auto" w:fill="auto"/>
            <w:vAlign w:val="center"/>
          </w:tcPr>
          <w:p w:rsidR="005449C7" w:rsidRPr="00B119D5" w:rsidRDefault="005449C7" w:rsidP="000001E9">
            <w:pPr>
              <w:jc w:val="center"/>
              <w:rPr>
                <w:rFonts w:ascii="Calibri" w:hAnsi="Calibri"/>
                <w:b w:val="0"/>
                <w:color w:val="000000" w:themeColor="text1"/>
              </w:rPr>
            </w:pPr>
            <w:r w:rsidRPr="00B119D5">
              <w:rPr>
                <w:rFonts w:ascii="Calibri" w:hAnsi="Calibri"/>
                <w:b w:val="0"/>
                <w:color w:val="000000" w:themeColor="text1"/>
              </w:rPr>
              <w:t>Negligible</w:t>
            </w:r>
          </w:p>
        </w:tc>
        <w:tc>
          <w:tcPr>
            <w:tcW w:w="1132" w:type="pct"/>
            <w:tcBorders>
              <w:top w:val="nil"/>
            </w:tcBorders>
            <w:shd w:val="clear" w:color="auto" w:fill="auto"/>
            <w:vAlign w:val="center"/>
          </w:tcPr>
          <w:p w:rsidR="005449C7" w:rsidRPr="00B119D5" w:rsidRDefault="005449C7" w:rsidP="000001E9">
            <w:pPr>
              <w:jc w:val="center"/>
              <w:cnfStyle w:val="010000000000" w:firstRow="0" w:lastRow="1"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b w:val="0"/>
                <w:color w:val="000000" w:themeColor="text1"/>
              </w:rPr>
              <w:t>-</w:t>
            </w:r>
          </w:p>
        </w:tc>
        <w:tc>
          <w:tcPr>
            <w:cnfStyle w:val="000010000000" w:firstRow="0" w:lastRow="0" w:firstColumn="0" w:lastColumn="0" w:oddVBand="1" w:evenVBand="0" w:oddHBand="0" w:evenHBand="0" w:firstRowFirstColumn="0" w:firstRowLastColumn="0" w:lastRowFirstColumn="0" w:lastRowLastColumn="0"/>
            <w:tcW w:w="836" w:type="pct"/>
            <w:tcBorders>
              <w:top w:val="nil"/>
            </w:tcBorders>
            <w:shd w:val="clear" w:color="auto" w:fill="auto"/>
            <w:vAlign w:val="center"/>
          </w:tcPr>
          <w:p w:rsidR="005449C7" w:rsidRPr="00B119D5" w:rsidRDefault="005449C7" w:rsidP="000001E9">
            <w:pPr>
              <w:jc w:val="center"/>
              <w:rPr>
                <w:rFonts w:ascii="Calibri" w:hAnsi="Calibri"/>
                <w:b w:val="0"/>
                <w:color w:val="000000" w:themeColor="text1"/>
              </w:rPr>
            </w:pPr>
            <w:r w:rsidRPr="00B119D5">
              <w:rPr>
                <w:rFonts w:ascii="Calibri" w:hAnsi="Calibri"/>
                <w:b w:val="0"/>
                <w:color w:val="000000" w:themeColor="text1"/>
              </w:rPr>
              <w:t>35,103.20</w:t>
            </w:r>
          </w:p>
        </w:tc>
        <w:tc>
          <w:tcPr>
            <w:tcW w:w="953" w:type="pct"/>
            <w:tcBorders>
              <w:top w:val="nil"/>
            </w:tcBorders>
            <w:shd w:val="clear" w:color="auto" w:fill="auto"/>
            <w:vAlign w:val="center"/>
          </w:tcPr>
          <w:p w:rsidR="005449C7" w:rsidRPr="00B119D5" w:rsidRDefault="005449C7" w:rsidP="000001E9">
            <w:pPr>
              <w:jc w:val="center"/>
              <w:cnfStyle w:val="010000000000" w:firstRow="0" w:lastRow="1"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b w:val="0"/>
                <w:color w:val="000000" w:themeColor="text1"/>
              </w:rPr>
              <w:t>-</w:t>
            </w:r>
          </w:p>
        </w:tc>
        <w:tc>
          <w:tcPr>
            <w:cnfStyle w:val="000100000000" w:firstRow="0" w:lastRow="0" w:firstColumn="0" w:lastColumn="1" w:oddVBand="0" w:evenVBand="0" w:oddHBand="0" w:evenHBand="0" w:firstRowFirstColumn="0" w:firstRowLastColumn="0" w:lastRowFirstColumn="0" w:lastRowLastColumn="0"/>
            <w:tcW w:w="700" w:type="pct"/>
            <w:tcBorders>
              <w:top w:val="nil"/>
            </w:tcBorders>
            <w:shd w:val="clear" w:color="auto" w:fill="auto"/>
            <w:vAlign w:val="center"/>
          </w:tcPr>
          <w:p w:rsidR="005449C7" w:rsidRPr="00B119D5" w:rsidRDefault="005449C7" w:rsidP="000001E9">
            <w:pPr>
              <w:jc w:val="center"/>
              <w:rPr>
                <w:rFonts w:ascii="Calibri" w:hAnsi="Calibri"/>
                <w:b w:val="0"/>
                <w:color w:val="000000" w:themeColor="text1"/>
              </w:rPr>
            </w:pPr>
            <w:r w:rsidRPr="00B119D5">
              <w:rPr>
                <w:rFonts w:ascii="Calibri" w:hAnsi="Calibri"/>
                <w:b w:val="0"/>
                <w:color w:val="000000" w:themeColor="text1"/>
              </w:rPr>
              <w:t>CO2 Production</w:t>
            </w:r>
          </w:p>
        </w:tc>
      </w:tr>
    </w:tbl>
    <w:p w:rsidR="005449C7" w:rsidRPr="00B119D5" w:rsidRDefault="005449C7" w:rsidP="005449C7">
      <w:pPr>
        <w:spacing w:before="0" w:after="0"/>
        <w:jc w:val="both"/>
        <w:rPr>
          <w:rFonts w:ascii="Calibri" w:hAnsi="Calibri"/>
          <w:color w:val="000000" w:themeColor="text1"/>
          <w:sz w:val="16"/>
        </w:rPr>
      </w:pPr>
      <w:r w:rsidRPr="00B119D5">
        <w:rPr>
          <w:rFonts w:ascii="Calibri" w:hAnsi="Calibri"/>
          <w:color w:val="000000" w:themeColor="text1"/>
          <w:sz w:val="16"/>
        </w:rPr>
        <w:t>Source: DEDJTR</w:t>
      </w:r>
    </w:p>
    <w:p w:rsidR="007C3A8F" w:rsidRDefault="005449C7" w:rsidP="005449C7">
      <w:pPr>
        <w:spacing w:before="0" w:after="0"/>
        <w:jc w:val="both"/>
        <w:rPr>
          <w:rFonts w:ascii="Calibri" w:hAnsi="Calibri"/>
          <w:sz w:val="16"/>
        </w:rPr>
      </w:pPr>
      <w:r w:rsidRPr="00534FFE">
        <w:rPr>
          <w:rFonts w:ascii="Calibri" w:hAnsi="Calibri"/>
          <w:sz w:val="16"/>
        </w:rPr>
        <w:t>*bbl = barrels</w:t>
      </w:r>
      <w:r>
        <w:rPr>
          <w:rFonts w:ascii="Calibri" w:hAnsi="Calibri"/>
          <w:sz w:val="16"/>
        </w:rPr>
        <w:t xml:space="preserve"> </w:t>
      </w:r>
      <w:r w:rsidRPr="00534FFE">
        <w:rPr>
          <w:rFonts w:ascii="Calibri" w:hAnsi="Calibri"/>
          <w:sz w:val="16"/>
        </w:rPr>
        <w:t xml:space="preserve">**MMscf = million standard cubic feet </w:t>
      </w:r>
    </w:p>
    <w:p w:rsidR="00775B32" w:rsidRPr="00775B32" w:rsidRDefault="005449C7" w:rsidP="005449C7">
      <w:pPr>
        <w:pStyle w:val="Heading2"/>
        <w:rPr>
          <w:sz w:val="20"/>
          <w:szCs w:val="20"/>
          <w:lang w:eastAsia="en-US"/>
        </w:rPr>
      </w:pPr>
      <w:bookmarkStart w:id="8" w:name="_Toc456261055"/>
      <w:r>
        <w:rPr>
          <w:lang w:eastAsia="en-US"/>
        </w:rPr>
        <w:t>Geothermal Energy</w:t>
      </w:r>
      <w:bookmarkEnd w:id="8"/>
    </w:p>
    <w:p w:rsidR="005449C7" w:rsidRPr="005449C7" w:rsidRDefault="005449C7" w:rsidP="005449C7">
      <w:pPr>
        <w:pStyle w:val="bodycopy"/>
      </w:pPr>
      <w:r w:rsidRPr="005449C7">
        <w:t xml:space="preserve">As at 30 June 2015, six geothermal energy exploration permits were current, following the surrender of seven permits in 2013/14. There were no granted geothermal energy retention leases or production licences. Any geothermal energy activities in Victoria remain limited to exploration. </w:t>
      </w:r>
    </w:p>
    <w:p w:rsidR="00775B32" w:rsidRDefault="005449C7" w:rsidP="005449C7">
      <w:pPr>
        <w:pStyle w:val="Heading3"/>
      </w:pPr>
      <w:bookmarkStart w:id="9" w:name="_Toc456261056"/>
      <w:r>
        <w:t>Geothermal Energy Tenements</w:t>
      </w:r>
      <w:bookmarkEnd w:id="9"/>
    </w:p>
    <w:p w:rsidR="005449C7" w:rsidRDefault="005449C7" w:rsidP="005449C7">
      <w:pPr>
        <w:jc w:val="both"/>
        <w:rPr>
          <w:rFonts w:ascii="Calibri" w:hAnsi="Calibri"/>
        </w:rPr>
      </w:pPr>
      <w:r w:rsidRPr="00E14B4E">
        <w:rPr>
          <w:rFonts w:ascii="Calibri" w:hAnsi="Calibri"/>
        </w:rPr>
        <w:t>No geothermal energy tenements were applied for or granted in 2014</w:t>
      </w:r>
      <w:r>
        <w:rPr>
          <w:rFonts w:ascii="Calibri" w:hAnsi="Calibri"/>
        </w:rPr>
        <w:t>/15</w:t>
      </w:r>
      <w:r w:rsidRPr="00E14B4E">
        <w:rPr>
          <w:rFonts w:ascii="Calibri" w:hAnsi="Calibri"/>
        </w:rPr>
        <w:t>.</w:t>
      </w:r>
    </w:p>
    <w:p w:rsidR="005449C7" w:rsidRPr="005955E6" w:rsidRDefault="005449C7" w:rsidP="005449C7">
      <w:pPr>
        <w:spacing w:after="0"/>
        <w:jc w:val="both"/>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.9 Overview of geothermal energy tenements</w:t>
      </w:r>
    </w:p>
    <w:tbl>
      <w:tblPr>
        <w:tblStyle w:val="LightShading-Accent1"/>
        <w:tblW w:w="5000" w:type="pct"/>
        <w:tblLook w:val="0000" w:firstRow="0" w:lastRow="0" w:firstColumn="0" w:lastColumn="0" w:noHBand="0" w:noVBand="0"/>
      </w:tblPr>
      <w:tblGrid>
        <w:gridCol w:w="2552"/>
        <w:gridCol w:w="1017"/>
        <w:gridCol w:w="1017"/>
        <w:gridCol w:w="1017"/>
        <w:gridCol w:w="1017"/>
        <w:gridCol w:w="1017"/>
        <w:gridCol w:w="1017"/>
        <w:gridCol w:w="1017"/>
        <w:gridCol w:w="1011"/>
      </w:tblGrid>
      <w:tr w:rsidR="005449C7" w:rsidRPr="008F5AFD" w:rsidTr="000001E9">
        <w:trPr>
          <w:trHeight w:val="255"/>
          <w:tblHeader/>
        </w:trPr>
        <w:tc>
          <w:tcPr>
            <w:cnfStyle w:val="000010000000" w:firstRow="0" w:lastRow="0" w:firstColumn="0" w:lastColumn="0" w:oddVBand="1" w:evenVBand="0" w:oddHBand="0" w:evenHBand="0" w:firstRowFirstColumn="0" w:firstRowLastColumn="0" w:lastRowFirstColumn="0" w:lastRowLastColumn="0"/>
            <w:tcW w:w="1195"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rPr>
                <w:rFonts w:ascii="Calibri" w:hAnsi="Calibri"/>
                <w:b/>
                <w:color w:val="000000" w:themeColor="text1"/>
              </w:rPr>
            </w:pPr>
            <w:r w:rsidRPr="00B119D5">
              <w:rPr>
                <w:rFonts w:ascii="Calibri" w:hAnsi="Calibri"/>
                <w:b/>
                <w:color w:val="000000" w:themeColor="text1"/>
              </w:rPr>
              <w:t>Description</w:t>
            </w:r>
          </w:p>
        </w:tc>
        <w:tc>
          <w:tcPr>
            <w:tcW w:w="476" w:type="pct"/>
            <w:tcBorders>
              <w:top w:val="single" w:sz="8" w:space="0" w:color="4F81BD" w:themeColor="accent1"/>
              <w:bottom w:val="single" w:sz="8" w:space="0" w:color="4F81BD" w:themeColor="accent1"/>
            </w:tcBorders>
            <w:shd w:val="clear" w:color="auto" w:fill="auto"/>
            <w:noWrap/>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2007/08</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bottom w:val="single" w:sz="8" w:space="0" w:color="4F81BD" w:themeColor="accent1"/>
            </w:tcBorders>
            <w:shd w:val="clear" w:color="auto" w:fill="auto"/>
            <w:noWrap/>
            <w:vAlign w:val="center"/>
          </w:tcPr>
          <w:p w:rsidR="005449C7" w:rsidRPr="00B119D5" w:rsidRDefault="005449C7" w:rsidP="000001E9">
            <w:pPr>
              <w:jc w:val="center"/>
              <w:rPr>
                <w:rFonts w:ascii="Calibri" w:hAnsi="Calibri"/>
                <w:b/>
                <w:color w:val="000000" w:themeColor="text1"/>
              </w:rPr>
            </w:pPr>
            <w:r w:rsidRPr="00B119D5">
              <w:rPr>
                <w:rFonts w:ascii="Calibri" w:hAnsi="Calibri"/>
                <w:b/>
                <w:color w:val="000000" w:themeColor="text1"/>
              </w:rPr>
              <w:t>2008/09</w:t>
            </w:r>
          </w:p>
        </w:tc>
        <w:tc>
          <w:tcPr>
            <w:tcW w:w="476" w:type="pct"/>
            <w:tcBorders>
              <w:top w:val="single" w:sz="8" w:space="0" w:color="4F81BD" w:themeColor="accent1"/>
              <w:bottom w:val="single" w:sz="8" w:space="0" w:color="4F81BD" w:themeColor="accent1"/>
            </w:tcBorders>
            <w:shd w:val="clear" w:color="auto" w:fill="auto"/>
            <w:noWrap/>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2009/10</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jc w:val="center"/>
              <w:rPr>
                <w:rFonts w:ascii="Calibri" w:hAnsi="Calibri"/>
                <w:b/>
                <w:color w:val="000000" w:themeColor="text1"/>
              </w:rPr>
            </w:pPr>
            <w:r w:rsidRPr="00B119D5">
              <w:rPr>
                <w:rFonts w:ascii="Calibri" w:hAnsi="Calibri"/>
                <w:b/>
                <w:color w:val="000000" w:themeColor="text1"/>
              </w:rPr>
              <w:t>2010/11</w:t>
            </w:r>
          </w:p>
        </w:tc>
        <w:tc>
          <w:tcPr>
            <w:tcW w:w="476"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2011/12</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jc w:val="center"/>
              <w:rPr>
                <w:rFonts w:ascii="Calibri" w:hAnsi="Calibri"/>
                <w:b/>
                <w:color w:val="000000" w:themeColor="text1"/>
              </w:rPr>
            </w:pPr>
            <w:r w:rsidRPr="00B119D5">
              <w:rPr>
                <w:rFonts w:ascii="Calibri" w:hAnsi="Calibri"/>
                <w:b/>
                <w:color w:val="000000" w:themeColor="text1"/>
              </w:rPr>
              <w:t>2012/13</w:t>
            </w:r>
          </w:p>
        </w:tc>
        <w:tc>
          <w:tcPr>
            <w:tcW w:w="476"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2013/14</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bottom w:val="single" w:sz="8" w:space="0" w:color="4F81BD" w:themeColor="accent1"/>
            </w:tcBorders>
            <w:shd w:val="clear" w:color="auto" w:fill="auto"/>
            <w:vAlign w:val="center"/>
          </w:tcPr>
          <w:p w:rsidR="005449C7" w:rsidRPr="00B119D5" w:rsidRDefault="005449C7" w:rsidP="000001E9">
            <w:pPr>
              <w:jc w:val="center"/>
              <w:rPr>
                <w:rFonts w:ascii="Calibri" w:hAnsi="Calibri"/>
                <w:b/>
                <w:color w:val="000000" w:themeColor="text1"/>
              </w:rPr>
            </w:pPr>
            <w:r w:rsidRPr="00B119D5">
              <w:rPr>
                <w:rFonts w:ascii="Calibri" w:hAnsi="Calibri"/>
                <w:b/>
                <w:color w:val="000000" w:themeColor="text1"/>
              </w:rPr>
              <w:t>2014/15</w:t>
            </w:r>
          </w:p>
        </w:tc>
      </w:tr>
      <w:tr w:rsidR="005449C7"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195" w:type="pct"/>
            <w:tcBorders>
              <w:top w:val="single" w:sz="8" w:space="0" w:color="4F81BD" w:themeColor="accent1"/>
            </w:tcBorders>
            <w:shd w:val="clear" w:color="auto" w:fill="DBE5F1" w:themeFill="accent1" w:themeFillTint="33"/>
            <w:vAlign w:val="center"/>
          </w:tcPr>
          <w:p w:rsidR="005449C7" w:rsidRPr="00B119D5" w:rsidRDefault="005449C7" w:rsidP="000001E9">
            <w:pPr>
              <w:rPr>
                <w:rFonts w:ascii="Calibri" w:hAnsi="Calibri"/>
                <w:color w:val="000000" w:themeColor="text1"/>
              </w:rPr>
            </w:pPr>
            <w:r w:rsidRPr="00B119D5">
              <w:rPr>
                <w:rFonts w:ascii="Calibri" w:hAnsi="Calibri"/>
                <w:color w:val="000000" w:themeColor="text1"/>
              </w:rPr>
              <w:t>GEP Application Received</w:t>
            </w:r>
          </w:p>
        </w:tc>
        <w:tc>
          <w:tcPr>
            <w:tcW w:w="476" w:type="pct"/>
            <w:tcBorders>
              <w:top w:val="single" w:sz="8" w:space="0" w:color="4F81BD" w:themeColor="accent1"/>
              <w:bottom w:val="nil"/>
            </w:tcBorders>
            <w:shd w:val="clear" w:color="auto" w:fill="DBE5F1" w:themeFill="accent1" w:themeFillTint="33"/>
            <w:noWrap/>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26</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tcBorders>
            <w:shd w:val="clear" w:color="auto" w:fill="DBE5F1" w:themeFill="accent1" w:themeFillTint="33"/>
            <w:noWrap/>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single" w:sz="8" w:space="0" w:color="4F81BD" w:themeColor="accent1"/>
              <w:bottom w:val="nil"/>
            </w:tcBorders>
            <w:shd w:val="clear" w:color="auto" w:fill="DBE5F1" w:themeFill="accent1" w:themeFillTint="33"/>
            <w:noWrap/>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tcBorders>
            <w:shd w:val="clear" w:color="auto" w:fill="DBE5F1" w:themeFill="accent1" w:themeFillTint="33"/>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tcBorders>
            <w:shd w:val="clear" w:color="auto" w:fill="DBE5F1" w:themeFill="accent1" w:themeFillTint="33"/>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single" w:sz="8" w:space="0" w:color="4F81BD" w:themeColor="accent1"/>
              <w:bottom w:val="nil"/>
            </w:tcBorders>
            <w:shd w:val="clear" w:color="auto" w:fill="DBE5F1" w:themeFill="accent1" w:themeFillTint="33"/>
            <w:vAlign w:val="center"/>
          </w:tcPr>
          <w:p w:rsidR="005449C7" w:rsidRPr="00B119D5" w:rsidRDefault="005449C7"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single" w:sz="8" w:space="0" w:color="4F81BD" w:themeColor="accent1"/>
            </w:tcBorders>
            <w:shd w:val="clear" w:color="auto" w:fill="DBE5F1" w:themeFill="accent1" w:themeFillTint="33"/>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r>
      <w:tr w:rsidR="005449C7"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1195" w:type="pct"/>
            <w:tcBorders>
              <w:top w:val="nil"/>
              <w:bottom w:val="single" w:sz="8" w:space="0" w:color="4F81BD" w:themeColor="accent1"/>
            </w:tcBorders>
            <w:shd w:val="clear" w:color="auto" w:fill="auto"/>
            <w:vAlign w:val="center"/>
          </w:tcPr>
          <w:p w:rsidR="005449C7" w:rsidRPr="00B119D5" w:rsidRDefault="005449C7" w:rsidP="000001E9">
            <w:pPr>
              <w:rPr>
                <w:rFonts w:ascii="Calibri" w:hAnsi="Calibri"/>
                <w:color w:val="000000" w:themeColor="text1"/>
              </w:rPr>
            </w:pPr>
            <w:r w:rsidRPr="00B119D5">
              <w:rPr>
                <w:rFonts w:ascii="Calibri" w:hAnsi="Calibri"/>
                <w:color w:val="000000" w:themeColor="text1"/>
              </w:rPr>
              <w:t>GEP Granted</w:t>
            </w:r>
          </w:p>
        </w:tc>
        <w:tc>
          <w:tcPr>
            <w:tcW w:w="476" w:type="pct"/>
            <w:tcBorders>
              <w:top w:val="nil"/>
              <w:bottom w:val="single" w:sz="8" w:space="0" w:color="4F81BD" w:themeColor="accent1"/>
            </w:tcBorders>
            <w:shd w:val="clear" w:color="auto" w:fill="auto"/>
            <w:noWrap/>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11</w:t>
            </w:r>
          </w:p>
        </w:tc>
        <w:tc>
          <w:tcPr>
            <w:cnfStyle w:val="000010000000" w:firstRow="0" w:lastRow="0" w:firstColumn="0" w:lastColumn="0" w:oddVBand="1" w:evenVBand="0" w:oddHBand="0" w:evenHBand="0" w:firstRowFirstColumn="0" w:firstRowLastColumn="0" w:lastRowFirstColumn="0" w:lastRowLastColumn="0"/>
            <w:tcW w:w="476" w:type="pct"/>
            <w:tcBorders>
              <w:top w:val="nil"/>
              <w:bottom w:val="single" w:sz="8" w:space="0" w:color="4F81BD" w:themeColor="accent1"/>
            </w:tcBorders>
            <w:shd w:val="clear" w:color="auto" w:fill="auto"/>
            <w:noWrap/>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nil"/>
              <w:bottom w:val="single" w:sz="8" w:space="0" w:color="4F81BD" w:themeColor="accent1"/>
            </w:tcBorders>
            <w:shd w:val="clear" w:color="auto" w:fill="auto"/>
            <w:noWrap/>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nil"/>
              <w:bottom w:val="single" w:sz="8" w:space="0" w:color="4F81BD" w:themeColor="accent1"/>
            </w:tcBorders>
            <w:shd w:val="clear" w:color="auto" w:fill="auto"/>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nil"/>
              <w:bottom w:val="single" w:sz="8" w:space="0" w:color="4F81BD" w:themeColor="accent1"/>
            </w:tcBorders>
            <w:shd w:val="clear" w:color="auto" w:fill="auto"/>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nil"/>
              <w:bottom w:val="single" w:sz="8" w:space="0" w:color="4F81BD" w:themeColor="accent1"/>
            </w:tcBorders>
            <w:shd w:val="clear" w:color="auto" w:fill="auto"/>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c>
          <w:tcPr>
            <w:tcW w:w="476" w:type="pct"/>
            <w:tcBorders>
              <w:top w:val="nil"/>
              <w:bottom w:val="single" w:sz="8" w:space="0" w:color="4F81BD" w:themeColor="accent1"/>
            </w:tcBorders>
            <w:shd w:val="clear" w:color="auto" w:fill="auto"/>
            <w:vAlign w:val="center"/>
          </w:tcPr>
          <w:p w:rsidR="005449C7" w:rsidRPr="00B119D5" w:rsidRDefault="005449C7"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76" w:type="pct"/>
            <w:tcBorders>
              <w:top w:val="nil"/>
              <w:bottom w:val="single" w:sz="8" w:space="0" w:color="4F81BD" w:themeColor="accent1"/>
            </w:tcBorders>
            <w:shd w:val="clear" w:color="auto" w:fill="auto"/>
            <w:vAlign w:val="center"/>
          </w:tcPr>
          <w:p w:rsidR="005449C7" w:rsidRPr="00B119D5" w:rsidRDefault="005449C7" w:rsidP="000001E9">
            <w:pPr>
              <w:jc w:val="center"/>
              <w:rPr>
                <w:rFonts w:ascii="Calibri" w:hAnsi="Calibri"/>
                <w:color w:val="000000" w:themeColor="text1"/>
              </w:rPr>
            </w:pPr>
            <w:r w:rsidRPr="00B119D5">
              <w:rPr>
                <w:rFonts w:ascii="Calibri" w:hAnsi="Calibri"/>
                <w:color w:val="000000" w:themeColor="text1"/>
              </w:rPr>
              <w:t>0</w:t>
            </w:r>
          </w:p>
        </w:tc>
      </w:tr>
    </w:tbl>
    <w:p w:rsidR="005449C7" w:rsidRPr="00B20C38" w:rsidRDefault="005449C7" w:rsidP="005449C7">
      <w:pPr>
        <w:spacing w:before="0" w:after="0"/>
        <w:jc w:val="both"/>
        <w:rPr>
          <w:rFonts w:ascii="Calibri" w:hAnsi="Calibri"/>
          <w:sz w:val="16"/>
        </w:rPr>
      </w:pPr>
      <w:r w:rsidRPr="00B20C38">
        <w:rPr>
          <w:rFonts w:ascii="Calibri" w:hAnsi="Calibri"/>
          <w:sz w:val="16"/>
        </w:rPr>
        <w:t>Source: DEDJTR</w:t>
      </w:r>
    </w:p>
    <w:p w:rsidR="00775B32" w:rsidRPr="00775B32" w:rsidRDefault="007C3A8F" w:rsidP="007C3A8F">
      <w:pPr>
        <w:pStyle w:val="Heading3"/>
        <w:rPr>
          <w:sz w:val="20"/>
        </w:rPr>
      </w:pPr>
      <w:bookmarkStart w:id="10" w:name="_Toc456261057"/>
      <w:r>
        <w:t>Geothermal Energy Exploration</w:t>
      </w:r>
      <w:bookmarkEnd w:id="10"/>
    </w:p>
    <w:p w:rsidR="007C3A8F" w:rsidRPr="007C3A8F" w:rsidRDefault="007C3A8F" w:rsidP="007C3A8F">
      <w:pPr>
        <w:pStyle w:val="bodycopy"/>
      </w:pPr>
      <w:r w:rsidRPr="007C3A8F">
        <w:t xml:space="preserve">There were no exploration activities that involved drilling or geophysical surveys. Most of the reported activities comprised of geological and geophysical data compilation and analysis, geothermal modelling and administration. </w:t>
      </w:r>
    </w:p>
    <w:p w:rsidR="00DB7DC9" w:rsidRDefault="00DB7DC9">
      <w:pPr>
        <w:rPr>
          <w:caps/>
          <w:spacing w:val="15"/>
          <w:sz w:val="22"/>
          <w:szCs w:val="22"/>
        </w:rPr>
      </w:pPr>
      <w:bookmarkStart w:id="11" w:name="_Toc456261058"/>
      <w:r>
        <w:br w:type="page"/>
      </w:r>
    </w:p>
    <w:p w:rsidR="00775B32" w:rsidRPr="007C381B" w:rsidRDefault="007C3A8F" w:rsidP="007C3A8F">
      <w:pPr>
        <w:pStyle w:val="Heading2"/>
        <w:rPr>
          <w:sz w:val="20"/>
        </w:rPr>
      </w:pPr>
      <w:r>
        <w:lastRenderedPageBreak/>
        <w:t>Pipelines</w:t>
      </w:r>
      <w:bookmarkEnd w:id="11"/>
    </w:p>
    <w:p w:rsidR="007C3A8F" w:rsidRPr="007C3A8F" w:rsidRDefault="007C3A8F" w:rsidP="007C3A8F">
      <w:pPr>
        <w:pStyle w:val="bodycopy"/>
      </w:pPr>
      <w:r w:rsidRPr="007C3A8F">
        <w:t xml:space="preserve">Licences are granted for the construction and operation of high pressure pipelines, primarily to convey hydrocarbons, including natural gas, crude oil and petroleum products. Pipeline licences are granted onshore under the </w:t>
      </w:r>
      <w:r w:rsidRPr="00403DC4">
        <w:rPr>
          <w:i/>
        </w:rPr>
        <w:t>Pipelines Act 2005</w:t>
      </w:r>
      <w:r w:rsidRPr="007C3A8F">
        <w:t xml:space="preserve"> and offshore in Victorian waters under the </w:t>
      </w:r>
      <w:r w:rsidRPr="00133388">
        <w:rPr>
          <w:i/>
        </w:rPr>
        <w:t>Offshore Petroleum and Greenhouse Gas Storage Act 2010</w:t>
      </w:r>
      <w:r w:rsidRPr="007C3A8F">
        <w:t>. Pipeline licences in offshore Victorian waters are used to convey onshore hydrocarbons originating from petroleum production facilities in offshore (Commonwealth) waters to onshore processing facilities.</w:t>
      </w:r>
    </w:p>
    <w:p w:rsidR="007C3A8F" w:rsidRDefault="007C3A8F" w:rsidP="007C3A8F">
      <w:pPr>
        <w:pStyle w:val="bodycopy"/>
      </w:pPr>
      <w:r w:rsidRPr="007C3A8F">
        <w:t>In 2014/15, three pipeline li</w:t>
      </w:r>
      <w:r w:rsidR="00BB1502">
        <w:t>cences were applied for, and no</w:t>
      </w:r>
      <w:r w:rsidRPr="007C3A8F">
        <w:t xml:space="preserve"> pipeline licences were granted.</w:t>
      </w:r>
      <w:r w:rsidR="00142A72">
        <w:t xml:space="preserve">  There were a total of 18 alterations to pipeline routes registered, with 11 classified as minor alterations and 7 classified as significant alterations.</w:t>
      </w:r>
    </w:p>
    <w:p w:rsidR="007C3A8F" w:rsidRDefault="007C3A8F" w:rsidP="005D2362">
      <w:pPr>
        <w:spacing w:before="0" w:after="0" w:line="240" w:lineRule="auto"/>
        <w:jc w:val="both"/>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.10 Onshore pipeline licences (PL) applications received and granted</w:t>
      </w:r>
    </w:p>
    <w:p w:rsidR="007C3A8F" w:rsidRPr="00B20C38" w:rsidRDefault="007C3A8F" w:rsidP="007C3A8F">
      <w:pPr>
        <w:spacing w:before="0" w:after="0"/>
        <w:jc w:val="both"/>
        <w:rPr>
          <w:rFonts w:ascii="Calibri" w:hAnsi="Calibri"/>
          <w:sz w:val="16"/>
        </w:rPr>
      </w:pPr>
      <w:r w:rsidRPr="00B20C38">
        <w:rPr>
          <w:rFonts w:ascii="Calibri" w:hAnsi="Calibri"/>
          <w:sz w:val="16"/>
        </w:rPr>
        <w:t>Source: DEDJTR</w:t>
      </w:r>
    </w:p>
    <w:tbl>
      <w:tblPr>
        <w:tblStyle w:val="LightShading-Accent1"/>
        <w:tblpPr w:leftFromText="180" w:rightFromText="180" w:vertAnchor="text" w:horzAnchor="margin" w:tblpY="-26"/>
        <w:tblW w:w="5000" w:type="pct"/>
        <w:tblLook w:val="0000" w:firstRow="0" w:lastRow="0" w:firstColumn="0" w:lastColumn="0" w:noHBand="0" w:noVBand="0"/>
      </w:tblPr>
      <w:tblGrid>
        <w:gridCol w:w="2433"/>
        <w:gridCol w:w="1032"/>
        <w:gridCol w:w="1032"/>
        <w:gridCol w:w="1032"/>
        <w:gridCol w:w="1032"/>
        <w:gridCol w:w="1032"/>
        <w:gridCol w:w="1032"/>
        <w:gridCol w:w="1032"/>
        <w:gridCol w:w="1025"/>
      </w:tblGrid>
      <w:tr w:rsidR="007C3A8F" w:rsidRPr="008F5AFD" w:rsidTr="000001E9">
        <w:trPr>
          <w:trHeight w:val="270"/>
          <w:tblHeader/>
        </w:trPr>
        <w:tc>
          <w:tcPr>
            <w:cnfStyle w:val="000010000000" w:firstRow="0" w:lastRow="0" w:firstColumn="0" w:lastColumn="0" w:oddVBand="1" w:evenVBand="0" w:oddHBand="0" w:evenHBand="0" w:firstRowFirstColumn="0" w:firstRowLastColumn="0" w:lastRowFirstColumn="0" w:lastRowLastColumn="0"/>
            <w:tcW w:w="1139" w:type="pct"/>
            <w:tcBorders>
              <w:top w:val="single" w:sz="8" w:space="0" w:color="4F81BD" w:themeColor="accent1"/>
              <w:bottom w:val="single" w:sz="8" w:space="0" w:color="4F81BD" w:themeColor="accent1"/>
            </w:tcBorders>
            <w:shd w:val="clear" w:color="auto" w:fill="auto"/>
            <w:noWrap/>
          </w:tcPr>
          <w:p w:rsidR="007C3A8F" w:rsidRPr="00B119D5" w:rsidRDefault="007C3A8F" w:rsidP="007C3A8F">
            <w:pPr>
              <w:jc w:val="both"/>
              <w:rPr>
                <w:rFonts w:ascii="Calibri" w:hAnsi="Calibri"/>
                <w:color w:val="000000" w:themeColor="text1"/>
              </w:rPr>
            </w:pPr>
          </w:p>
        </w:tc>
        <w:tc>
          <w:tcPr>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2007/08</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2008/09</w:t>
            </w:r>
          </w:p>
        </w:tc>
        <w:tc>
          <w:tcPr>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2009/10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2010/11</w:t>
            </w:r>
          </w:p>
        </w:tc>
        <w:tc>
          <w:tcPr>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2011/12</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2012/13</w:t>
            </w:r>
          </w:p>
        </w:tc>
        <w:tc>
          <w:tcPr>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2013/14</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2014/15</w:t>
            </w:r>
          </w:p>
        </w:tc>
      </w:tr>
      <w:tr w:rsidR="000001E9" w:rsidRPr="008F5AFD"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139" w:type="pct"/>
            <w:tcBorders>
              <w:top w:val="single" w:sz="8" w:space="0" w:color="4F81BD" w:themeColor="accent1"/>
            </w:tcBorders>
            <w:shd w:val="clear" w:color="auto" w:fill="DBE5F1" w:themeFill="accent1" w:themeFillTint="33"/>
            <w:vAlign w:val="center"/>
          </w:tcPr>
          <w:p w:rsidR="007C3A8F" w:rsidRPr="00B119D5" w:rsidRDefault="007C3A8F" w:rsidP="000001E9">
            <w:pPr>
              <w:rPr>
                <w:rFonts w:ascii="Calibri" w:hAnsi="Calibri"/>
                <w:color w:val="000000" w:themeColor="text1"/>
              </w:rPr>
            </w:pPr>
            <w:r w:rsidRPr="00B119D5">
              <w:rPr>
                <w:rFonts w:ascii="Calibri" w:hAnsi="Calibri"/>
                <w:color w:val="000000" w:themeColor="text1"/>
              </w:rPr>
              <w:t>PL Application Received</w:t>
            </w:r>
          </w:p>
        </w:tc>
        <w:tc>
          <w:tcPr>
            <w:tcW w:w="483" w:type="pct"/>
            <w:tcBorders>
              <w:top w:val="single" w:sz="8" w:space="0" w:color="4F81BD" w:themeColor="accent1"/>
              <w:bottom w:val="nil"/>
            </w:tcBorders>
            <w:shd w:val="clear" w:color="auto" w:fill="DBE5F1" w:themeFill="accent1" w:themeFillTint="33"/>
            <w:noWrap/>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noWrap/>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single" w:sz="8" w:space="0" w:color="4F81BD" w:themeColor="accent1"/>
              <w:bottom w:val="nil"/>
            </w:tcBorders>
            <w:shd w:val="clear" w:color="auto" w:fill="DBE5F1" w:themeFill="accent1" w:themeFillTint="33"/>
            <w:noWrap/>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1</w:t>
            </w:r>
          </w:p>
        </w:tc>
        <w:tc>
          <w:tcPr>
            <w:tcW w:w="483" w:type="pct"/>
            <w:tcBorders>
              <w:top w:val="single" w:sz="8" w:space="0" w:color="4F81BD" w:themeColor="accent1"/>
              <w:bottom w:val="nil"/>
            </w:tcBorders>
            <w:shd w:val="clear" w:color="auto" w:fill="DBE5F1" w:themeFill="accent1" w:themeFillTint="33"/>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single" w:sz="8" w:space="0" w:color="4F81BD" w:themeColor="accent1"/>
              <w:bottom w:val="nil"/>
            </w:tcBorders>
            <w:shd w:val="clear" w:color="auto" w:fill="DBE5F1" w:themeFill="accent1" w:themeFillTint="33"/>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3</w:t>
            </w:r>
          </w:p>
        </w:tc>
      </w:tr>
      <w:tr w:rsidR="007C3A8F" w:rsidRPr="008F5AFD" w:rsidTr="000001E9">
        <w:trPr>
          <w:trHeight w:val="270"/>
        </w:trPr>
        <w:tc>
          <w:tcPr>
            <w:cnfStyle w:val="000010000000" w:firstRow="0" w:lastRow="0" w:firstColumn="0" w:lastColumn="0" w:oddVBand="1" w:evenVBand="0" w:oddHBand="0" w:evenHBand="0" w:firstRowFirstColumn="0" w:firstRowLastColumn="0" w:lastRowFirstColumn="0" w:lastRowLastColumn="0"/>
            <w:tcW w:w="1139" w:type="pct"/>
            <w:tcBorders>
              <w:top w:val="nil"/>
              <w:bottom w:val="single" w:sz="8" w:space="0" w:color="4F81BD" w:themeColor="accent1"/>
            </w:tcBorders>
            <w:shd w:val="clear" w:color="auto" w:fill="auto"/>
            <w:vAlign w:val="center"/>
          </w:tcPr>
          <w:p w:rsidR="007C3A8F" w:rsidRPr="00B119D5" w:rsidRDefault="007C3A8F" w:rsidP="000001E9">
            <w:pPr>
              <w:rPr>
                <w:rFonts w:ascii="Calibri" w:hAnsi="Calibri"/>
                <w:color w:val="000000" w:themeColor="text1"/>
              </w:rPr>
            </w:pPr>
            <w:r w:rsidRPr="00B119D5">
              <w:rPr>
                <w:rFonts w:ascii="Calibri" w:hAnsi="Calibri"/>
                <w:color w:val="000000" w:themeColor="text1"/>
              </w:rPr>
              <w:t>PL  Granted</w:t>
            </w:r>
          </w:p>
        </w:tc>
        <w:tc>
          <w:tcPr>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1</w:t>
            </w:r>
          </w:p>
        </w:tc>
        <w:tc>
          <w:tcPr>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nil"/>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nil"/>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r>
    </w:tbl>
    <w:p w:rsidR="007C3A8F" w:rsidRPr="005955E6" w:rsidRDefault="007C3A8F" w:rsidP="00DB7DC9">
      <w:pPr>
        <w:pStyle w:val="bodycopy"/>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.11 Offshore pipeline licences (PL) applications received and granted (state waters)</w:t>
      </w:r>
    </w:p>
    <w:tbl>
      <w:tblPr>
        <w:tblStyle w:val="LightShading-Accent1"/>
        <w:tblpPr w:leftFromText="180" w:rightFromText="180" w:vertAnchor="text" w:horzAnchor="margin" w:tblpY="5"/>
        <w:tblW w:w="5000" w:type="pct"/>
        <w:tblLook w:val="0000" w:firstRow="0" w:lastRow="0" w:firstColumn="0" w:lastColumn="0" w:noHBand="0" w:noVBand="0"/>
      </w:tblPr>
      <w:tblGrid>
        <w:gridCol w:w="2433"/>
        <w:gridCol w:w="1032"/>
        <w:gridCol w:w="1032"/>
        <w:gridCol w:w="1032"/>
        <w:gridCol w:w="1032"/>
        <w:gridCol w:w="1032"/>
        <w:gridCol w:w="1032"/>
        <w:gridCol w:w="1032"/>
        <w:gridCol w:w="1025"/>
      </w:tblGrid>
      <w:tr w:rsidR="00B119D5" w:rsidRPr="00B119D5" w:rsidTr="000001E9">
        <w:trPr>
          <w:trHeight w:val="270"/>
          <w:tblHeader/>
        </w:trPr>
        <w:tc>
          <w:tcPr>
            <w:cnfStyle w:val="000010000000" w:firstRow="0" w:lastRow="0" w:firstColumn="0" w:lastColumn="0" w:oddVBand="1" w:evenVBand="0" w:oddHBand="0" w:evenHBand="0" w:firstRowFirstColumn="0" w:firstRowLastColumn="0" w:lastRowFirstColumn="0" w:lastRowLastColumn="0"/>
            <w:tcW w:w="1139" w:type="pct"/>
            <w:tcBorders>
              <w:top w:val="single" w:sz="8" w:space="0" w:color="4F81BD" w:themeColor="accent1"/>
              <w:bottom w:val="single" w:sz="8" w:space="0" w:color="4F81BD" w:themeColor="accent1"/>
            </w:tcBorders>
            <w:shd w:val="clear" w:color="auto" w:fill="auto"/>
            <w:noWrap/>
          </w:tcPr>
          <w:p w:rsidR="007C3A8F" w:rsidRPr="00B119D5" w:rsidRDefault="007C3A8F" w:rsidP="007C3A8F">
            <w:pPr>
              <w:jc w:val="both"/>
              <w:rPr>
                <w:rFonts w:ascii="Calibri" w:hAnsi="Calibri"/>
                <w:color w:val="000000" w:themeColor="text1"/>
              </w:rPr>
            </w:pPr>
          </w:p>
        </w:tc>
        <w:tc>
          <w:tcPr>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2007/08</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2008/09</w:t>
            </w:r>
          </w:p>
        </w:tc>
        <w:tc>
          <w:tcPr>
            <w:tcW w:w="48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2009/10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2010/11</w:t>
            </w:r>
          </w:p>
        </w:tc>
        <w:tc>
          <w:tcPr>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2011/12</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2012/13</w:t>
            </w:r>
          </w:p>
        </w:tc>
        <w:tc>
          <w:tcPr>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2013/14</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bottom w:val="single" w:sz="8" w:space="0" w:color="4F81BD" w:themeColor="accent1"/>
            </w:tcBorders>
            <w:shd w:val="clear" w:color="auto" w:fill="auto"/>
            <w:vAlign w:val="center"/>
          </w:tcPr>
          <w:p w:rsidR="007C3A8F" w:rsidRPr="00B119D5" w:rsidRDefault="007C3A8F" w:rsidP="000001E9">
            <w:pPr>
              <w:jc w:val="center"/>
              <w:rPr>
                <w:rFonts w:ascii="Calibri" w:hAnsi="Calibri"/>
                <w:b/>
                <w:color w:val="000000" w:themeColor="text1"/>
              </w:rPr>
            </w:pPr>
            <w:r w:rsidRPr="00B119D5">
              <w:rPr>
                <w:rFonts w:ascii="Calibri" w:hAnsi="Calibri"/>
                <w:b/>
                <w:color w:val="000000" w:themeColor="text1"/>
              </w:rPr>
              <w:t>2014/15</w:t>
            </w:r>
          </w:p>
        </w:tc>
      </w:tr>
      <w:tr w:rsidR="00B119D5" w:rsidRPr="00B119D5"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139" w:type="pct"/>
            <w:tcBorders>
              <w:top w:val="single" w:sz="8" w:space="0" w:color="4F81BD" w:themeColor="accent1"/>
            </w:tcBorders>
            <w:shd w:val="clear" w:color="auto" w:fill="DBE5F1" w:themeFill="accent1" w:themeFillTint="33"/>
            <w:vAlign w:val="center"/>
          </w:tcPr>
          <w:p w:rsidR="007C3A8F" w:rsidRPr="00B119D5" w:rsidRDefault="007C3A8F" w:rsidP="000001E9">
            <w:pPr>
              <w:rPr>
                <w:rFonts w:ascii="Calibri" w:hAnsi="Calibri"/>
                <w:color w:val="000000" w:themeColor="text1"/>
              </w:rPr>
            </w:pPr>
            <w:r w:rsidRPr="00B119D5">
              <w:rPr>
                <w:rFonts w:ascii="Calibri" w:hAnsi="Calibri"/>
                <w:color w:val="000000" w:themeColor="text1"/>
              </w:rPr>
              <w:t>PL Application Received</w:t>
            </w:r>
          </w:p>
        </w:tc>
        <w:tc>
          <w:tcPr>
            <w:tcW w:w="483" w:type="pct"/>
            <w:tcBorders>
              <w:top w:val="single" w:sz="8" w:space="0" w:color="4F81BD" w:themeColor="accent1"/>
              <w:bottom w:val="nil"/>
            </w:tcBorders>
            <w:shd w:val="clear" w:color="auto" w:fill="DBE5F1" w:themeFill="accent1" w:themeFillTint="33"/>
            <w:noWrap/>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noWrap/>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1</w:t>
            </w:r>
          </w:p>
        </w:tc>
        <w:tc>
          <w:tcPr>
            <w:tcW w:w="483" w:type="pct"/>
            <w:tcBorders>
              <w:top w:val="single" w:sz="8" w:space="0" w:color="4F81BD" w:themeColor="accent1"/>
              <w:bottom w:val="nil"/>
            </w:tcBorders>
            <w:shd w:val="clear" w:color="auto" w:fill="DBE5F1" w:themeFill="accent1" w:themeFillTint="33"/>
            <w:noWrap/>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single" w:sz="8" w:space="0" w:color="4F81BD" w:themeColor="accent1"/>
              <w:bottom w:val="nil"/>
            </w:tcBorders>
            <w:shd w:val="clear" w:color="auto" w:fill="DBE5F1" w:themeFill="accent1" w:themeFillTint="33"/>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single" w:sz="8" w:space="0" w:color="4F81BD" w:themeColor="accent1"/>
              <w:bottom w:val="nil"/>
            </w:tcBorders>
            <w:shd w:val="clear" w:color="auto" w:fill="DBE5F1" w:themeFill="accent1" w:themeFillTint="33"/>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single" w:sz="8" w:space="0" w:color="4F81BD" w:themeColor="accent1"/>
            </w:tcBorders>
            <w:shd w:val="clear" w:color="auto" w:fill="DBE5F1" w:themeFill="accent1" w:themeFillTint="33"/>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r>
      <w:tr w:rsidR="00B119D5" w:rsidRPr="00B119D5" w:rsidTr="000001E9">
        <w:trPr>
          <w:trHeight w:val="270"/>
        </w:trPr>
        <w:tc>
          <w:tcPr>
            <w:cnfStyle w:val="000010000000" w:firstRow="0" w:lastRow="0" w:firstColumn="0" w:lastColumn="0" w:oddVBand="1" w:evenVBand="0" w:oddHBand="0" w:evenHBand="0" w:firstRowFirstColumn="0" w:firstRowLastColumn="0" w:lastRowFirstColumn="0" w:lastRowLastColumn="0"/>
            <w:tcW w:w="1139" w:type="pct"/>
            <w:tcBorders>
              <w:top w:val="nil"/>
              <w:bottom w:val="single" w:sz="8" w:space="0" w:color="4F81BD" w:themeColor="accent1"/>
            </w:tcBorders>
            <w:shd w:val="clear" w:color="auto" w:fill="auto"/>
            <w:vAlign w:val="center"/>
          </w:tcPr>
          <w:p w:rsidR="007C3A8F" w:rsidRPr="00B119D5" w:rsidRDefault="007C3A8F" w:rsidP="000001E9">
            <w:pPr>
              <w:rPr>
                <w:rFonts w:ascii="Calibri" w:hAnsi="Calibri"/>
                <w:color w:val="000000" w:themeColor="text1"/>
              </w:rPr>
            </w:pPr>
            <w:r w:rsidRPr="00B119D5">
              <w:rPr>
                <w:rFonts w:ascii="Calibri" w:hAnsi="Calibri"/>
                <w:color w:val="000000" w:themeColor="text1"/>
              </w:rPr>
              <w:t>PL  Granted</w:t>
            </w:r>
          </w:p>
        </w:tc>
        <w:tc>
          <w:tcPr>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nil"/>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nil"/>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c>
          <w:tcPr>
            <w:tcW w:w="483" w:type="pct"/>
            <w:tcBorders>
              <w:top w:val="nil"/>
              <w:bottom w:val="single" w:sz="8" w:space="0" w:color="4F81BD" w:themeColor="accent1"/>
            </w:tcBorders>
            <w:shd w:val="clear" w:color="auto" w:fill="auto"/>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cnfStyle w:val="000010000000" w:firstRow="0" w:lastRow="0" w:firstColumn="0" w:lastColumn="0" w:oddVBand="1" w:evenVBand="0" w:oddHBand="0" w:evenHBand="0" w:firstRowFirstColumn="0" w:firstRowLastColumn="0" w:lastRowFirstColumn="0" w:lastRowLastColumn="0"/>
            <w:tcW w:w="483" w:type="pct"/>
            <w:tcBorders>
              <w:top w:val="nil"/>
              <w:bottom w:val="single" w:sz="8" w:space="0" w:color="4F81BD" w:themeColor="accent1"/>
            </w:tcBorders>
            <w:shd w:val="clear" w:color="auto" w:fill="auto"/>
            <w:vAlign w:val="center"/>
          </w:tcPr>
          <w:p w:rsidR="007C3A8F" w:rsidRPr="00B119D5" w:rsidRDefault="007C3A8F" w:rsidP="000001E9">
            <w:pPr>
              <w:jc w:val="center"/>
              <w:rPr>
                <w:rFonts w:ascii="Calibri" w:hAnsi="Calibri"/>
                <w:color w:val="000000" w:themeColor="text1"/>
              </w:rPr>
            </w:pPr>
            <w:r w:rsidRPr="00B119D5">
              <w:rPr>
                <w:rFonts w:ascii="Calibri" w:hAnsi="Calibri"/>
                <w:color w:val="000000" w:themeColor="text1"/>
              </w:rPr>
              <w:t>0</w:t>
            </w:r>
          </w:p>
        </w:tc>
      </w:tr>
    </w:tbl>
    <w:p w:rsidR="007C3A8F" w:rsidRPr="00B20C38" w:rsidRDefault="007C3A8F" w:rsidP="007C3A8F">
      <w:pPr>
        <w:spacing w:before="0" w:after="0"/>
        <w:jc w:val="both"/>
        <w:rPr>
          <w:rFonts w:ascii="Calibri" w:hAnsi="Calibri"/>
          <w:sz w:val="16"/>
        </w:rPr>
      </w:pPr>
      <w:r w:rsidRPr="00B20C38">
        <w:rPr>
          <w:rFonts w:ascii="Calibri" w:hAnsi="Calibri"/>
          <w:sz w:val="16"/>
        </w:rPr>
        <w:t>Source: DEDJTR</w:t>
      </w:r>
    </w:p>
    <w:p w:rsidR="007C3A8F" w:rsidRDefault="007C3A8F" w:rsidP="007C3A8F">
      <w:pPr>
        <w:spacing w:before="0" w:after="0"/>
        <w:jc w:val="both"/>
        <w:rPr>
          <w:rFonts w:ascii="Calibri" w:hAnsi="Calibri"/>
          <w:b/>
        </w:rPr>
      </w:pPr>
    </w:p>
    <w:p w:rsidR="007C3A8F" w:rsidRPr="005955E6" w:rsidRDefault="007C3A8F" w:rsidP="007C3A8F">
      <w:pPr>
        <w:spacing w:before="0" w:after="0"/>
        <w:jc w:val="both"/>
        <w:rPr>
          <w:rFonts w:ascii="Calibri" w:hAnsi="Calibri"/>
          <w:b/>
        </w:rPr>
      </w:pPr>
      <w:r w:rsidRPr="005955E6">
        <w:rPr>
          <w:rFonts w:ascii="Calibri" w:hAnsi="Calibri"/>
          <w:b/>
        </w:rPr>
        <w:t xml:space="preserve">Table </w:t>
      </w:r>
      <w:r w:rsidR="00133388">
        <w:rPr>
          <w:rFonts w:ascii="Calibri" w:hAnsi="Calibri"/>
          <w:b/>
        </w:rPr>
        <w:t>1</w:t>
      </w:r>
      <w:r w:rsidRPr="005955E6">
        <w:rPr>
          <w:rFonts w:ascii="Calibri" w:hAnsi="Calibri"/>
          <w:b/>
        </w:rPr>
        <w:t xml:space="preserve">.12 Pipeline licences </w:t>
      </w:r>
      <w:r>
        <w:rPr>
          <w:rFonts w:ascii="Calibri" w:hAnsi="Calibri"/>
          <w:b/>
        </w:rPr>
        <w:t>(PLs) current as at 30 June 2015</w:t>
      </w:r>
    </w:p>
    <w:tbl>
      <w:tblPr>
        <w:tblStyle w:val="LightShading-Accent1"/>
        <w:tblW w:w="5000" w:type="pct"/>
        <w:tblLook w:val="0000" w:firstRow="0" w:lastRow="0" w:firstColumn="0" w:lastColumn="0" w:noHBand="0" w:noVBand="0"/>
      </w:tblPr>
      <w:tblGrid>
        <w:gridCol w:w="6394"/>
        <w:gridCol w:w="4288"/>
      </w:tblGrid>
      <w:tr w:rsidR="007C3A8F" w:rsidRPr="008F5AFD" w:rsidTr="000001E9">
        <w:trPr>
          <w:trHeight w:val="255"/>
          <w:tblHeader/>
        </w:trPr>
        <w:tc>
          <w:tcPr>
            <w:cnfStyle w:val="000010000000" w:firstRow="0" w:lastRow="0" w:firstColumn="0" w:lastColumn="0" w:oddVBand="1" w:evenVBand="0" w:oddHBand="0" w:evenHBand="0" w:firstRowFirstColumn="0" w:firstRowLastColumn="0" w:lastRowFirstColumn="0" w:lastRowLastColumn="0"/>
            <w:tcW w:w="2993"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rPr>
                <w:rFonts w:ascii="Calibri" w:hAnsi="Calibri"/>
                <w:b/>
                <w:color w:val="000000" w:themeColor="text1"/>
              </w:rPr>
            </w:pPr>
            <w:r w:rsidRPr="00B119D5">
              <w:rPr>
                <w:rFonts w:ascii="Calibri" w:hAnsi="Calibri"/>
                <w:b/>
                <w:color w:val="000000" w:themeColor="text1"/>
              </w:rPr>
              <w:t>Tenement</w:t>
            </w:r>
          </w:p>
        </w:tc>
        <w:tc>
          <w:tcPr>
            <w:tcW w:w="2007" w:type="pct"/>
            <w:tcBorders>
              <w:top w:val="single" w:sz="8" w:space="0" w:color="4F81BD" w:themeColor="accent1"/>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Number of PLs</w:t>
            </w:r>
          </w:p>
        </w:tc>
      </w:tr>
      <w:tr w:rsidR="007C3A8F" w:rsidRPr="008E76FF" w:rsidTr="000001E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2993" w:type="pct"/>
            <w:tcBorders>
              <w:top w:val="single" w:sz="8" w:space="0" w:color="4F81BD" w:themeColor="accent1"/>
            </w:tcBorders>
            <w:shd w:val="clear" w:color="auto" w:fill="DBE5F1" w:themeFill="accent1" w:themeFillTint="33"/>
            <w:vAlign w:val="center"/>
          </w:tcPr>
          <w:p w:rsidR="007C3A8F" w:rsidRPr="00B119D5" w:rsidRDefault="007C3A8F" w:rsidP="000001E9">
            <w:pPr>
              <w:tabs>
                <w:tab w:val="right" w:pos="1915"/>
              </w:tabs>
              <w:rPr>
                <w:rFonts w:ascii="Calibri" w:hAnsi="Calibri"/>
                <w:color w:val="000000" w:themeColor="text1"/>
              </w:rPr>
            </w:pPr>
            <w:r w:rsidRPr="00B119D5">
              <w:rPr>
                <w:rFonts w:ascii="Calibri" w:hAnsi="Calibri"/>
                <w:color w:val="000000" w:themeColor="text1"/>
              </w:rPr>
              <w:t>Onshore</w:t>
            </w:r>
          </w:p>
        </w:tc>
        <w:tc>
          <w:tcPr>
            <w:tcW w:w="2007" w:type="pct"/>
            <w:tcBorders>
              <w:top w:val="single" w:sz="8" w:space="0" w:color="4F81BD" w:themeColor="accent1"/>
              <w:bottom w:val="nil"/>
            </w:tcBorders>
            <w:shd w:val="clear" w:color="auto" w:fill="DBE5F1" w:themeFill="accent1" w:themeFillTint="33"/>
            <w:noWrap/>
            <w:vAlign w:val="center"/>
          </w:tcPr>
          <w:p w:rsidR="007C3A8F" w:rsidRPr="00B119D5" w:rsidRDefault="007C3A8F"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214</w:t>
            </w:r>
          </w:p>
        </w:tc>
      </w:tr>
      <w:tr w:rsidR="007C3A8F" w:rsidRPr="008F5AFD" w:rsidTr="000001E9">
        <w:trPr>
          <w:trHeight w:val="255"/>
        </w:trPr>
        <w:tc>
          <w:tcPr>
            <w:cnfStyle w:val="000010000000" w:firstRow="0" w:lastRow="0" w:firstColumn="0" w:lastColumn="0" w:oddVBand="1" w:evenVBand="0" w:oddHBand="0" w:evenHBand="0" w:firstRowFirstColumn="0" w:firstRowLastColumn="0" w:lastRowFirstColumn="0" w:lastRowLastColumn="0"/>
            <w:tcW w:w="2993" w:type="pct"/>
            <w:tcBorders>
              <w:top w:val="nil"/>
              <w:bottom w:val="single" w:sz="8" w:space="0" w:color="4F81BD" w:themeColor="accent1"/>
            </w:tcBorders>
            <w:shd w:val="clear" w:color="auto" w:fill="auto"/>
            <w:vAlign w:val="center"/>
          </w:tcPr>
          <w:p w:rsidR="007C3A8F" w:rsidRPr="00B119D5" w:rsidRDefault="007C3A8F" w:rsidP="000001E9">
            <w:pPr>
              <w:rPr>
                <w:rFonts w:ascii="Calibri" w:hAnsi="Calibri"/>
                <w:color w:val="000000" w:themeColor="text1"/>
              </w:rPr>
            </w:pPr>
            <w:r w:rsidRPr="00B119D5">
              <w:rPr>
                <w:rFonts w:ascii="Calibri" w:hAnsi="Calibri"/>
                <w:color w:val="000000" w:themeColor="text1"/>
              </w:rPr>
              <w:t>Offshore (Vic)</w:t>
            </w:r>
          </w:p>
        </w:tc>
        <w:tc>
          <w:tcPr>
            <w:tcW w:w="2007" w:type="pct"/>
            <w:tcBorders>
              <w:top w:val="nil"/>
              <w:bottom w:val="single" w:sz="8" w:space="0" w:color="4F81BD" w:themeColor="accent1"/>
            </w:tcBorders>
            <w:shd w:val="clear" w:color="auto" w:fill="auto"/>
            <w:noWrap/>
            <w:vAlign w:val="center"/>
          </w:tcPr>
          <w:p w:rsidR="007C3A8F" w:rsidRPr="00B119D5" w:rsidRDefault="007C3A8F"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13</w:t>
            </w:r>
          </w:p>
        </w:tc>
      </w:tr>
    </w:tbl>
    <w:p w:rsidR="007C3A8F" w:rsidRDefault="007C3A8F" w:rsidP="007C3A8F">
      <w:pPr>
        <w:spacing w:before="0" w:after="0"/>
        <w:jc w:val="both"/>
        <w:rPr>
          <w:rFonts w:ascii="Calibri" w:hAnsi="Calibri"/>
          <w:sz w:val="16"/>
        </w:rPr>
      </w:pPr>
      <w:r w:rsidRPr="00B20C38">
        <w:rPr>
          <w:rFonts w:ascii="Calibri" w:hAnsi="Calibri"/>
          <w:sz w:val="16"/>
        </w:rPr>
        <w:t>Source: DEDJTR</w:t>
      </w:r>
    </w:p>
    <w:p w:rsidR="00142A72" w:rsidRDefault="00142A72" w:rsidP="007C3A8F">
      <w:pPr>
        <w:spacing w:before="0" w:after="0"/>
        <w:jc w:val="both"/>
        <w:rPr>
          <w:rFonts w:ascii="Calibri" w:hAnsi="Calibri"/>
          <w:sz w:val="16"/>
        </w:rPr>
      </w:pPr>
    </w:p>
    <w:p w:rsidR="00142A72" w:rsidRPr="005955E6" w:rsidRDefault="00142A72" w:rsidP="00142A72">
      <w:pPr>
        <w:spacing w:before="0" w:after="0"/>
        <w:jc w:val="both"/>
        <w:rPr>
          <w:rFonts w:ascii="Calibri" w:hAnsi="Calibri"/>
          <w:b/>
        </w:rPr>
      </w:pPr>
      <w:r>
        <w:rPr>
          <w:rFonts w:ascii="Calibri" w:hAnsi="Calibri"/>
          <w:b/>
        </w:rPr>
        <w:t xml:space="preserve">Table </w:t>
      </w:r>
      <w:r w:rsidR="00133388">
        <w:rPr>
          <w:rFonts w:ascii="Calibri" w:hAnsi="Calibri"/>
          <w:b/>
        </w:rPr>
        <w:t>1</w:t>
      </w:r>
      <w:r>
        <w:rPr>
          <w:rFonts w:ascii="Calibri" w:hAnsi="Calibri"/>
          <w:b/>
        </w:rPr>
        <w:t>.13</w:t>
      </w:r>
      <w:r w:rsidRPr="005955E6">
        <w:rPr>
          <w:rFonts w:ascii="Calibri" w:hAnsi="Calibri"/>
          <w:b/>
        </w:rPr>
        <w:t xml:space="preserve"> </w:t>
      </w:r>
      <w:r>
        <w:rPr>
          <w:rFonts w:ascii="Calibri" w:hAnsi="Calibri"/>
          <w:b/>
        </w:rPr>
        <w:t>Onshore pipeline licence alterations of route registered</w:t>
      </w:r>
    </w:p>
    <w:tbl>
      <w:tblPr>
        <w:tblStyle w:val="LightShading-Accent1"/>
        <w:tblW w:w="5000" w:type="pct"/>
        <w:tblLook w:val="0000" w:firstRow="0" w:lastRow="0" w:firstColumn="0" w:lastColumn="0" w:noHBand="0" w:noVBand="0"/>
      </w:tblPr>
      <w:tblGrid>
        <w:gridCol w:w="6394"/>
        <w:gridCol w:w="4288"/>
      </w:tblGrid>
      <w:tr w:rsidR="00142A72" w:rsidRPr="008F5AFD" w:rsidTr="00451340">
        <w:trPr>
          <w:trHeight w:val="255"/>
          <w:tblHeader/>
        </w:trPr>
        <w:tc>
          <w:tcPr>
            <w:cnfStyle w:val="000010000000" w:firstRow="0" w:lastRow="0" w:firstColumn="0" w:lastColumn="0" w:oddVBand="1" w:evenVBand="0" w:oddHBand="0" w:evenHBand="0" w:firstRowFirstColumn="0" w:firstRowLastColumn="0" w:lastRowFirstColumn="0" w:lastRowLastColumn="0"/>
            <w:tcW w:w="2993" w:type="pct"/>
            <w:tcBorders>
              <w:top w:val="single" w:sz="8" w:space="0" w:color="4F81BD" w:themeColor="accent1"/>
              <w:bottom w:val="single" w:sz="8" w:space="0" w:color="4F81BD" w:themeColor="accent1"/>
            </w:tcBorders>
            <w:shd w:val="clear" w:color="auto" w:fill="auto"/>
            <w:noWrap/>
            <w:vAlign w:val="center"/>
          </w:tcPr>
          <w:p w:rsidR="00142A72" w:rsidRPr="00B119D5" w:rsidRDefault="00142A72" w:rsidP="00142A72">
            <w:pPr>
              <w:rPr>
                <w:rFonts w:ascii="Calibri" w:hAnsi="Calibri"/>
                <w:b/>
                <w:color w:val="000000" w:themeColor="text1"/>
              </w:rPr>
            </w:pPr>
            <w:r>
              <w:rPr>
                <w:rFonts w:ascii="Calibri" w:hAnsi="Calibri"/>
                <w:b/>
                <w:color w:val="000000" w:themeColor="text1"/>
              </w:rPr>
              <w:t>Type of Alteration of Route</w:t>
            </w:r>
          </w:p>
        </w:tc>
        <w:tc>
          <w:tcPr>
            <w:tcW w:w="2007" w:type="pct"/>
            <w:tcBorders>
              <w:top w:val="single" w:sz="8" w:space="0" w:color="4F81BD" w:themeColor="accent1"/>
              <w:bottom w:val="single" w:sz="8" w:space="0" w:color="4F81BD" w:themeColor="accent1"/>
            </w:tcBorders>
            <w:shd w:val="clear" w:color="auto" w:fill="auto"/>
            <w:noWrap/>
            <w:vAlign w:val="center"/>
          </w:tcPr>
          <w:p w:rsidR="00142A72" w:rsidRPr="00B119D5" w:rsidRDefault="00142A72" w:rsidP="00142A72">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themeColor="text1"/>
              </w:rPr>
            </w:pPr>
            <w:r w:rsidRPr="00B119D5">
              <w:rPr>
                <w:rFonts w:ascii="Calibri" w:hAnsi="Calibri"/>
                <w:b/>
                <w:color w:val="000000" w:themeColor="text1"/>
              </w:rPr>
              <w:t xml:space="preserve">Number of </w:t>
            </w:r>
            <w:r>
              <w:rPr>
                <w:rFonts w:ascii="Calibri" w:hAnsi="Calibri"/>
                <w:b/>
                <w:color w:val="000000" w:themeColor="text1"/>
              </w:rPr>
              <w:t>registrations</w:t>
            </w:r>
          </w:p>
        </w:tc>
      </w:tr>
      <w:tr w:rsidR="00142A72" w:rsidRPr="008E76FF" w:rsidTr="0045134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2993" w:type="pct"/>
            <w:tcBorders>
              <w:top w:val="single" w:sz="8" w:space="0" w:color="4F81BD" w:themeColor="accent1"/>
            </w:tcBorders>
            <w:shd w:val="clear" w:color="auto" w:fill="DBE5F1" w:themeFill="accent1" w:themeFillTint="33"/>
            <w:vAlign w:val="center"/>
          </w:tcPr>
          <w:p w:rsidR="00142A72" w:rsidRPr="00B119D5" w:rsidRDefault="00142A72" w:rsidP="00451340">
            <w:pPr>
              <w:tabs>
                <w:tab w:val="right" w:pos="1915"/>
              </w:tabs>
              <w:rPr>
                <w:rFonts w:ascii="Calibri" w:hAnsi="Calibri"/>
                <w:color w:val="000000" w:themeColor="text1"/>
              </w:rPr>
            </w:pPr>
            <w:r>
              <w:rPr>
                <w:rFonts w:ascii="Calibri" w:hAnsi="Calibri"/>
                <w:color w:val="000000" w:themeColor="text1"/>
              </w:rPr>
              <w:t>Minor</w:t>
            </w:r>
          </w:p>
        </w:tc>
        <w:tc>
          <w:tcPr>
            <w:tcW w:w="2007" w:type="pct"/>
            <w:tcBorders>
              <w:top w:val="single" w:sz="8" w:space="0" w:color="4F81BD" w:themeColor="accent1"/>
              <w:bottom w:val="nil"/>
            </w:tcBorders>
            <w:shd w:val="clear" w:color="auto" w:fill="DBE5F1" w:themeFill="accent1" w:themeFillTint="33"/>
            <w:noWrap/>
            <w:vAlign w:val="center"/>
          </w:tcPr>
          <w:p w:rsidR="00142A72" w:rsidRPr="00B119D5" w:rsidRDefault="00142A72" w:rsidP="00451340">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Pr>
                <w:rFonts w:ascii="Calibri" w:hAnsi="Calibri"/>
                <w:color w:val="000000" w:themeColor="text1"/>
              </w:rPr>
              <w:t>11</w:t>
            </w:r>
          </w:p>
        </w:tc>
      </w:tr>
      <w:tr w:rsidR="00142A72" w:rsidRPr="008F5AFD" w:rsidTr="00142A72">
        <w:trPr>
          <w:trHeight w:val="255"/>
        </w:trPr>
        <w:tc>
          <w:tcPr>
            <w:cnfStyle w:val="000010000000" w:firstRow="0" w:lastRow="0" w:firstColumn="0" w:lastColumn="0" w:oddVBand="1" w:evenVBand="0" w:oddHBand="0" w:evenHBand="0" w:firstRowFirstColumn="0" w:firstRowLastColumn="0" w:lastRowFirstColumn="0" w:lastRowLastColumn="0"/>
            <w:tcW w:w="2993" w:type="pct"/>
            <w:tcBorders>
              <w:top w:val="nil"/>
            </w:tcBorders>
            <w:shd w:val="clear" w:color="auto" w:fill="auto"/>
            <w:vAlign w:val="center"/>
          </w:tcPr>
          <w:p w:rsidR="00142A72" w:rsidRPr="00B119D5" w:rsidRDefault="00142A72" w:rsidP="00451340">
            <w:pPr>
              <w:rPr>
                <w:rFonts w:ascii="Calibri" w:hAnsi="Calibri"/>
                <w:color w:val="000000" w:themeColor="text1"/>
              </w:rPr>
            </w:pPr>
            <w:r>
              <w:rPr>
                <w:rFonts w:ascii="Calibri" w:hAnsi="Calibri"/>
                <w:color w:val="000000" w:themeColor="text1"/>
              </w:rPr>
              <w:t>Significant</w:t>
            </w:r>
          </w:p>
        </w:tc>
        <w:tc>
          <w:tcPr>
            <w:tcW w:w="2007" w:type="pct"/>
            <w:tcBorders>
              <w:top w:val="nil"/>
              <w:bottom w:val="nil"/>
            </w:tcBorders>
            <w:shd w:val="clear" w:color="auto" w:fill="auto"/>
            <w:noWrap/>
            <w:vAlign w:val="center"/>
          </w:tcPr>
          <w:p w:rsidR="00142A72" w:rsidRPr="00B119D5" w:rsidRDefault="00142A72" w:rsidP="00451340">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Pr>
                <w:rFonts w:ascii="Calibri" w:hAnsi="Calibri"/>
                <w:color w:val="000000" w:themeColor="text1"/>
              </w:rPr>
              <w:t>7</w:t>
            </w:r>
          </w:p>
        </w:tc>
      </w:tr>
      <w:tr w:rsidR="00142A72" w:rsidRPr="008F5AFD" w:rsidTr="00142A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2993" w:type="pct"/>
            <w:tcBorders>
              <w:top w:val="nil"/>
              <w:bottom w:val="single" w:sz="8" w:space="0" w:color="4F81BD" w:themeColor="accent1"/>
            </w:tcBorders>
            <w:shd w:val="clear" w:color="auto" w:fill="DBE5F1" w:themeFill="accent1" w:themeFillTint="33"/>
            <w:vAlign w:val="center"/>
          </w:tcPr>
          <w:p w:rsidR="00142A72" w:rsidRPr="00142A72" w:rsidRDefault="00142A72" w:rsidP="00451340">
            <w:pPr>
              <w:rPr>
                <w:rFonts w:ascii="Calibri" w:hAnsi="Calibri"/>
                <w:b/>
                <w:color w:val="000000" w:themeColor="text1"/>
              </w:rPr>
            </w:pPr>
            <w:r w:rsidRPr="00142A72">
              <w:rPr>
                <w:rFonts w:ascii="Calibri" w:hAnsi="Calibri"/>
                <w:b/>
                <w:color w:val="000000" w:themeColor="text1"/>
              </w:rPr>
              <w:t>Total</w:t>
            </w:r>
          </w:p>
        </w:tc>
        <w:tc>
          <w:tcPr>
            <w:tcW w:w="2007" w:type="pct"/>
            <w:tcBorders>
              <w:top w:val="nil"/>
              <w:bottom w:val="single" w:sz="8" w:space="0" w:color="4F81BD" w:themeColor="accent1"/>
            </w:tcBorders>
            <w:shd w:val="clear" w:color="auto" w:fill="DBE5F1" w:themeFill="accent1" w:themeFillTint="33"/>
            <w:noWrap/>
            <w:vAlign w:val="center"/>
          </w:tcPr>
          <w:p w:rsidR="00142A72" w:rsidRPr="00142A72" w:rsidRDefault="00142A72" w:rsidP="00451340">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themeColor="text1"/>
              </w:rPr>
            </w:pPr>
            <w:r w:rsidRPr="00142A72">
              <w:rPr>
                <w:rFonts w:ascii="Calibri" w:hAnsi="Calibri"/>
                <w:b/>
                <w:color w:val="000000" w:themeColor="text1"/>
              </w:rPr>
              <w:t>18</w:t>
            </w:r>
          </w:p>
        </w:tc>
      </w:tr>
    </w:tbl>
    <w:p w:rsidR="00142A72" w:rsidRPr="00B20C38" w:rsidRDefault="00142A72" w:rsidP="00142A72">
      <w:pPr>
        <w:spacing w:before="0" w:after="0"/>
        <w:jc w:val="both"/>
        <w:rPr>
          <w:rFonts w:ascii="Calibri" w:hAnsi="Calibri"/>
          <w:sz w:val="16"/>
        </w:rPr>
      </w:pPr>
      <w:r w:rsidRPr="00B20C38">
        <w:rPr>
          <w:rFonts w:ascii="Calibri" w:hAnsi="Calibri"/>
          <w:sz w:val="16"/>
        </w:rPr>
        <w:t>Source: DEDJTR</w:t>
      </w:r>
    </w:p>
    <w:p w:rsidR="00142A72" w:rsidRPr="00B20C38" w:rsidRDefault="00142A72" w:rsidP="007C3A8F">
      <w:pPr>
        <w:spacing w:before="0" w:after="0"/>
        <w:jc w:val="both"/>
        <w:rPr>
          <w:rFonts w:ascii="Calibri" w:hAnsi="Calibri"/>
          <w:sz w:val="16"/>
        </w:rPr>
      </w:pPr>
    </w:p>
    <w:p w:rsidR="005D2362" w:rsidRDefault="005D2362">
      <w:pPr>
        <w:rPr>
          <w:b/>
          <w:bCs/>
          <w:caps/>
          <w:color w:val="FFFFFF" w:themeColor="background1"/>
          <w:spacing w:val="15"/>
          <w:sz w:val="22"/>
          <w:szCs w:val="22"/>
        </w:rPr>
      </w:pPr>
      <w:bookmarkStart w:id="12" w:name="_Toc456261059"/>
      <w:r>
        <w:br w:type="page"/>
      </w:r>
    </w:p>
    <w:p w:rsidR="007C3A8F" w:rsidRPr="007C3A8F" w:rsidRDefault="007C3A8F" w:rsidP="007C3A8F">
      <w:pPr>
        <w:pStyle w:val="Heading1"/>
      </w:pPr>
      <w:r>
        <w:lastRenderedPageBreak/>
        <w:t>Minerals</w:t>
      </w:r>
      <w:bookmarkEnd w:id="12"/>
    </w:p>
    <w:p w:rsidR="00775B32" w:rsidRPr="00775B32" w:rsidRDefault="007C3A8F" w:rsidP="007C3A8F">
      <w:pPr>
        <w:pStyle w:val="Heading2"/>
      </w:pPr>
      <w:bookmarkStart w:id="13" w:name="_Toc456261060"/>
      <w:r>
        <w:t>Mineral Tenements</w:t>
      </w:r>
      <w:bookmarkEnd w:id="13"/>
    </w:p>
    <w:p w:rsidR="007C3A8F" w:rsidRPr="007C3A8F" w:rsidRDefault="007C3A8F" w:rsidP="008429E1">
      <w:pPr>
        <w:pStyle w:val="bodycopy"/>
      </w:pPr>
      <w:r w:rsidRPr="007C3A8F">
        <w:t>The number of exploration</w:t>
      </w:r>
      <w:r w:rsidR="00DB7DC9">
        <w:t xml:space="preserve"> and</w:t>
      </w:r>
      <w:r w:rsidRPr="007C3A8F">
        <w:t xml:space="preserve"> mining licences fell in relation to the previous year due to licence expirations and surrenders as well as a reduction in the overall number of applications received for new licences. The number of current retention</w:t>
      </w:r>
      <w:r w:rsidR="00DB7DC9">
        <w:t xml:space="preserve"> and prospecting</w:t>
      </w:r>
      <w:r w:rsidRPr="007C3A8F">
        <w:t xml:space="preserve"> licences increased in comparison to 2013/14. </w:t>
      </w:r>
    </w:p>
    <w:p w:rsidR="007C3A8F" w:rsidRPr="007C3A8F" w:rsidRDefault="007C3A8F" w:rsidP="008429E1">
      <w:pPr>
        <w:pStyle w:val="bodycopy"/>
      </w:pPr>
      <w:r w:rsidRPr="007C3A8F">
        <w:t>As in the previous year, the majority of the applications for new licences under the MRSDA were made for exploration licences. The overall number of applications dropped from 151 to 130, all application types showed a decrease in the number of applications made in comparison to 2013/14.</w:t>
      </w:r>
    </w:p>
    <w:p w:rsidR="008429E1" w:rsidRPr="005955E6" w:rsidRDefault="008429E1" w:rsidP="008429E1">
      <w:pPr>
        <w:spacing w:before="0" w:after="0"/>
        <w:jc w:val="both"/>
        <w:rPr>
          <w:rFonts w:ascii="Calibri" w:hAnsi="Calibri"/>
          <w:b/>
        </w:rPr>
      </w:pPr>
      <w:r w:rsidRPr="005955E6">
        <w:rPr>
          <w:rFonts w:ascii="Calibri" w:hAnsi="Calibri"/>
          <w:b/>
        </w:rPr>
        <w:t xml:space="preserve">Table </w:t>
      </w:r>
      <w:r w:rsidR="00133388">
        <w:rPr>
          <w:rFonts w:ascii="Calibri" w:hAnsi="Calibri"/>
          <w:b/>
        </w:rPr>
        <w:t>2</w:t>
      </w:r>
      <w:r w:rsidRPr="005955E6">
        <w:rPr>
          <w:rFonts w:ascii="Calibri" w:hAnsi="Calibri"/>
          <w:b/>
        </w:rPr>
        <w:t>.1 Licences current as at 30 June</w:t>
      </w:r>
    </w:p>
    <w:tbl>
      <w:tblPr>
        <w:tblStyle w:val="LightShading-Accent1"/>
        <w:tblW w:w="4998" w:type="pct"/>
        <w:tblLayout w:type="fixed"/>
        <w:tblLook w:val="04A0" w:firstRow="1" w:lastRow="0" w:firstColumn="1" w:lastColumn="0" w:noHBand="0" w:noVBand="1"/>
      </w:tblPr>
      <w:tblGrid>
        <w:gridCol w:w="2587"/>
        <w:gridCol w:w="816"/>
        <w:gridCol w:w="935"/>
        <w:gridCol w:w="1059"/>
        <w:gridCol w:w="1059"/>
        <w:gridCol w:w="1059"/>
        <w:gridCol w:w="1059"/>
        <w:gridCol w:w="1055"/>
        <w:gridCol w:w="1049"/>
      </w:tblGrid>
      <w:tr w:rsidR="008429E1" w:rsidRPr="008F5AFD" w:rsidTr="000001E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B119D5" w:rsidRDefault="008429E1" w:rsidP="000001E9">
            <w:pPr>
              <w:rPr>
                <w:rFonts w:ascii="Calibri" w:hAnsi="Calibri"/>
                <w:b w:val="0"/>
                <w:color w:val="000000" w:themeColor="text1"/>
              </w:rPr>
            </w:pPr>
            <w:r w:rsidRPr="00B119D5">
              <w:rPr>
                <w:rFonts w:ascii="Calibri" w:hAnsi="Calibri"/>
                <w:color w:val="000000" w:themeColor="text1"/>
              </w:rPr>
              <w:t>Tenement Type</w:t>
            </w:r>
          </w:p>
        </w:tc>
        <w:tc>
          <w:tcPr>
            <w:tcW w:w="382"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2008</w:t>
            </w:r>
          </w:p>
        </w:tc>
        <w:tc>
          <w:tcPr>
            <w:tcW w:w="438"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2009</w:t>
            </w:r>
          </w:p>
        </w:tc>
        <w:tc>
          <w:tcPr>
            <w:tcW w:w="496"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2010</w:t>
            </w:r>
          </w:p>
        </w:tc>
        <w:tc>
          <w:tcPr>
            <w:tcW w:w="496"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2011</w:t>
            </w:r>
          </w:p>
        </w:tc>
        <w:tc>
          <w:tcPr>
            <w:tcW w:w="496" w:type="pct"/>
            <w:noWrap/>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2012</w:t>
            </w:r>
          </w:p>
        </w:tc>
        <w:tc>
          <w:tcPr>
            <w:tcW w:w="496"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2013</w:t>
            </w:r>
          </w:p>
        </w:tc>
        <w:tc>
          <w:tcPr>
            <w:tcW w:w="494" w:type="pct"/>
            <w:vAlign w:val="center"/>
            <w:hideMark/>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2014</w:t>
            </w:r>
          </w:p>
        </w:tc>
        <w:tc>
          <w:tcPr>
            <w:tcW w:w="492" w:type="pct"/>
            <w:vAlign w:val="center"/>
          </w:tcPr>
          <w:p w:rsidR="008429E1" w:rsidRPr="00B119D5" w:rsidRDefault="008429E1" w:rsidP="000001E9">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themeColor="text1"/>
              </w:rPr>
            </w:pPr>
            <w:r w:rsidRPr="00B119D5">
              <w:rPr>
                <w:rFonts w:ascii="Calibri" w:hAnsi="Calibri"/>
                <w:color w:val="000000" w:themeColor="text1"/>
              </w:rPr>
              <w:t>2015</w:t>
            </w:r>
          </w:p>
        </w:tc>
      </w:tr>
      <w:tr w:rsidR="008429E1" w:rsidRPr="008F5AFD" w:rsidTr="000001E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0001E9" w:rsidRDefault="008429E1" w:rsidP="000001E9">
            <w:pPr>
              <w:rPr>
                <w:rFonts w:ascii="Calibri" w:hAnsi="Calibri"/>
                <w:b w:val="0"/>
                <w:color w:val="000000" w:themeColor="text1"/>
              </w:rPr>
            </w:pPr>
            <w:r w:rsidRPr="000001E9">
              <w:rPr>
                <w:rFonts w:ascii="Calibri" w:hAnsi="Calibri"/>
                <w:b w:val="0"/>
                <w:color w:val="000000" w:themeColor="text1"/>
              </w:rPr>
              <w:t>Exploration Licences</w:t>
            </w:r>
          </w:p>
        </w:tc>
        <w:tc>
          <w:tcPr>
            <w:tcW w:w="382"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326</w:t>
            </w:r>
          </w:p>
        </w:tc>
        <w:tc>
          <w:tcPr>
            <w:tcW w:w="438"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298</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285</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302</w:t>
            </w:r>
          </w:p>
        </w:tc>
        <w:tc>
          <w:tcPr>
            <w:tcW w:w="496" w:type="pct"/>
            <w:noWrap/>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326</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311</w:t>
            </w:r>
          </w:p>
        </w:tc>
        <w:tc>
          <w:tcPr>
            <w:tcW w:w="494"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271</w:t>
            </w:r>
          </w:p>
        </w:tc>
        <w:tc>
          <w:tcPr>
            <w:tcW w:w="492" w:type="pct"/>
            <w:vAlign w:val="center"/>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247</w:t>
            </w:r>
          </w:p>
        </w:tc>
      </w:tr>
      <w:tr w:rsidR="008429E1" w:rsidRPr="008F5AFD" w:rsidTr="000001E9">
        <w:trPr>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0001E9" w:rsidRDefault="008429E1" w:rsidP="000001E9">
            <w:pPr>
              <w:rPr>
                <w:rFonts w:ascii="Calibri" w:hAnsi="Calibri"/>
                <w:b w:val="0"/>
                <w:color w:val="000000" w:themeColor="text1"/>
              </w:rPr>
            </w:pPr>
            <w:r w:rsidRPr="000001E9">
              <w:rPr>
                <w:rFonts w:ascii="Calibri" w:hAnsi="Calibri"/>
                <w:b w:val="0"/>
                <w:color w:val="000000" w:themeColor="text1"/>
              </w:rPr>
              <w:t>Mining Licences</w:t>
            </w:r>
          </w:p>
        </w:tc>
        <w:tc>
          <w:tcPr>
            <w:tcW w:w="382"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236</w:t>
            </w:r>
          </w:p>
        </w:tc>
        <w:tc>
          <w:tcPr>
            <w:tcW w:w="438"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211</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216</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218</w:t>
            </w:r>
          </w:p>
        </w:tc>
        <w:tc>
          <w:tcPr>
            <w:tcW w:w="496" w:type="pct"/>
            <w:noWrap/>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208</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212</w:t>
            </w:r>
          </w:p>
        </w:tc>
        <w:tc>
          <w:tcPr>
            <w:tcW w:w="494"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191</w:t>
            </w:r>
          </w:p>
        </w:tc>
        <w:tc>
          <w:tcPr>
            <w:tcW w:w="492" w:type="pct"/>
            <w:vAlign w:val="center"/>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171</w:t>
            </w:r>
          </w:p>
        </w:tc>
      </w:tr>
      <w:tr w:rsidR="008429E1" w:rsidRPr="008F5AFD" w:rsidTr="000001E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0001E9" w:rsidRDefault="008429E1" w:rsidP="000001E9">
            <w:pPr>
              <w:rPr>
                <w:rFonts w:ascii="Calibri" w:hAnsi="Calibri"/>
                <w:b w:val="0"/>
                <w:color w:val="000000" w:themeColor="text1"/>
              </w:rPr>
            </w:pPr>
            <w:r w:rsidRPr="000001E9">
              <w:rPr>
                <w:rFonts w:ascii="Calibri" w:hAnsi="Calibri"/>
                <w:b w:val="0"/>
                <w:color w:val="000000" w:themeColor="text1"/>
              </w:rPr>
              <w:t>Prospecting Licences</w:t>
            </w:r>
          </w:p>
        </w:tc>
        <w:tc>
          <w:tcPr>
            <w:tcW w:w="382"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38"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96" w:type="pct"/>
            <w:noWrap/>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13</w:t>
            </w:r>
          </w:p>
        </w:tc>
        <w:tc>
          <w:tcPr>
            <w:tcW w:w="494"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31</w:t>
            </w:r>
          </w:p>
        </w:tc>
        <w:tc>
          <w:tcPr>
            <w:tcW w:w="492" w:type="pct"/>
            <w:vAlign w:val="center"/>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41</w:t>
            </w:r>
          </w:p>
        </w:tc>
      </w:tr>
      <w:tr w:rsidR="008429E1" w:rsidRPr="008F5AFD" w:rsidTr="000001E9">
        <w:trPr>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0001E9" w:rsidRDefault="008429E1" w:rsidP="000001E9">
            <w:pPr>
              <w:rPr>
                <w:rFonts w:ascii="Calibri" w:hAnsi="Calibri"/>
                <w:b w:val="0"/>
                <w:color w:val="000000" w:themeColor="text1"/>
              </w:rPr>
            </w:pPr>
            <w:r w:rsidRPr="000001E9">
              <w:rPr>
                <w:rFonts w:ascii="Calibri" w:hAnsi="Calibri"/>
                <w:b w:val="0"/>
                <w:color w:val="000000" w:themeColor="text1"/>
              </w:rPr>
              <w:t>Retention Licences</w:t>
            </w:r>
          </w:p>
        </w:tc>
        <w:tc>
          <w:tcPr>
            <w:tcW w:w="382"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38"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n/a</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tcW w:w="496" w:type="pct"/>
            <w:noWrap/>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w:t>
            </w:r>
          </w:p>
        </w:tc>
        <w:tc>
          <w:tcPr>
            <w:tcW w:w="494"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w:t>
            </w:r>
          </w:p>
        </w:tc>
        <w:tc>
          <w:tcPr>
            <w:tcW w:w="492" w:type="pct"/>
            <w:vAlign w:val="center"/>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8</w:t>
            </w:r>
          </w:p>
        </w:tc>
      </w:tr>
      <w:tr w:rsidR="008429E1" w:rsidRPr="008F5AFD" w:rsidTr="000001E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B119D5" w:rsidRDefault="008429E1" w:rsidP="000001E9">
            <w:pPr>
              <w:rPr>
                <w:rFonts w:ascii="Calibri" w:hAnsi="Calibri"/>
                <w:color w:val="000000" w:themeColor="text1"/>
              </w:rPr>
            </w:pPr>
            <w:r w:rsidRPr="00B119D5">
              <w:rPr>
                <w:rFonts w:ascii="Calibri" w:hAnsi="Calibri"/>
                <w:color w:val="000000" w:themeColor="text1"/>
              </w:rPr>
              <w:t>Totals</w:t>
            </w:r>
          </w:p>
        </w:tc>
        <w:tc>
          <w:tcPr>
            <w:tcW w:w="382"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562</w:t>
            </w:r>
          </w:p>
        </w:tc>
        <w:tc>
          <w:tcPr>
            <w:tcW w:w="438"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509</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501</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520</w:t>
            </w:r>
          </w:p>
        </w:tc>
        <w:tc>
          <w:tcPr>
            <w:tcW w:w="496" w:type="pct"/>
            <w:noWrap/>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535</w:t>
            </w:r>
          </w:p>
        </w:tc>
        <w:tc>
          <w:tcPr>
            <w:tcW w:w="496"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537</w:t>
            </w:r>
          </w:p>
        </w:tc>
        <w:tc>
          <w:tcPr>
            <w:tcW w:w="494" w:type="pct"/>
            <w:vAlign w:val="center"/>
            <w:hideMark/>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494</w:t>
            </w:r>
          </w:p>
        </w:tc>
        <w:tc>
          <w:tcPr>
            <w:tcW w:w="492" w:type="pct"/>
            <w:vAlign w:val="center"/>
          </w:tcPr>
          <w:p w:rsidR="008429E1" w:rsidRPr="00B119D5" w:rsidRDefault="008429E1" w:rsidP="000001E9">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467</w:t>
            </w:r>
          </w:p>
        </w:tc>
      </w:tr>
      <w:tr w:rsidR="008429E1" w:rsidRPr="008F5AFD" w:rsidTr="000001E9">
        <w:trPr>
          <w:trHeight w:val="315"/>
        </w:trPr>
        <w:tc>
          <w:tcPr>
            <w:cnfStyle w:val="001000000000" w:firstRow="0" w:lastRow="0" w:firstColumn="1" w:lastColumn="0" w:oddVBand="0" w:evenVBand="0" w:oddHBand="0" w:evenHBand="0" w:firstRowFirstColumn="0" w:firstRowLastColumn="0" w:lastRowFirstColumn="0" w:lastRowLastColumn="0"/>
            <w:tcW w:w="1211" w:type="pct"/>
            <w:noWrap/>
            <w:vAlign w:val="center"/>
            <w:hideMark/>
          </w:tcPr>
          <w:p w:rsidR="008429E1" w:rsidRPr="00B119D5" w:rsidRDefault="008429E1" w:rsidP="000001E9">
            <w:pPr>
              <w:rPr>
                <w:rFonts w:ascii="Calibri" w:hAnsi="Calibri"/>
                <w:color w:val="000000" w:themeColor="text1"/>
              </w:rPr>
            </w:pPr>
            <w:r w:rsidRPr="00B119D5">
              <w:rPr>
                <w:rFonts w:ascii="Calibri" w:hAnsi="Calibri"/>
                <w:color w:val="000000" w:themeColor="text1"/>
              </w:rPr>
              <w:t>Change year-on-year (%)</w:t>
            </w:r>
          </w:p>
        </w:tc>
        <w:tc>
          <w:tcPr>
            <w:tcW w:w="382"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w:t>
            </w:r>
          </w:p>
        </w:tc>
        <w:tc>
          <w:tcPr>
            <w:tcW w:w="438"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-9.4</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-1.6</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3.8</w:t>
            </w:r>
          </w:p>
        </w:tc>
        <w:tc>
          <w:tcPr>
            <w:tcW w:w="496" w:type="pct"/>
            <w:noWrap/>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2.9</w:t>
            </w:r>
          </w:p>
        </w:tc>
        <w:tc>
          <w:tcPr>
            <w:tcW w:w="496"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0.4</w:t>
            </w:r>
          </w:p>
        </w:tc>
        <w:tc>
          <w:tcPr>
            <w:tcW w:w="494" w:type="pct"/>
            <w:vAlign w:val="center"/>
            <w:hideMark/>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-8.0</w:t>
            </w:r>
          </w:p>
        </w:tc>
        <w:tc>
          <w:tcPr>
            <w:tcW w:w="492" w:type="pct"/>
            <w:vAlign w:val="center"/>
          </w:tcPr>
          <w:p w:rsidR="008429E1" w:rsidRPr="00B119D5" w:rsidRDefault="008429E1" w:rsidP="000001E9">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rPr>
            </w:pPr>
            <w:r w:rsidRPr="00B119D5">
              <w:rPr>
                <w:rFonts w:ascii="Calibri" w:hAnsi="Calibri"/>
                <w:color w:val="000000" w:themeColor="text1"/>
              </w:rPr>
              <w:t>-5.5</w:t>
            </w:r>
          </w:p>
        </w:tc>
      </w:tr>
    </w:tbl>
    <w:p w:rsidR="008429E1" w:rsidRDefault="008429E1" w:rsidP="008429E1">
      <w:pPr>
        <w:spacing w:before="0" w:after="0"/>
        <w:jc w:val="both"/>
        <w:rPr>
          <w:rFonts w:ascii="Calibri" w:hAnsi="Calibri"/>
          <w:sz w:val="16"/>
        </w:rPr>
      </w:pPr>
      <w:r w:rsidRPr="00F40450">
        <w:rPr>
          <w:rFonts w:ascii="Calibri" w:hAnsi="Calibri"/>
          <w:sz w:val="16"/>
        </w:rPr>
        <w:t>Source: DEDJTR</w:t>
      </w:r>
    </w:p>
    <w:p w:rsidR="00536A60" w:rsidRDefault="00536A60" w:rsidP="008429E1">
      <w:pPr>
        <w:spacing w:before="0" w:after="0" w:line="240" w:lineRule="auto"/>
        <w:jc w:val="both"/>
        <w:rPr>
          <w:rFonts w:ascii="Calibri" w:eastAsia="Times New Roman" w:hAnsi="Calibri" w:cs="Mangal"/>
          <w:b/>
          <w:szCs w:val="24"/>
        </w:rPr>
      </w:pPr>
    </w:p>
    <w:p w:rsidR="008429E1" w:rsidRPr="008429E1" w:rsidRDefault="008429E1" w:rsidP="008429E1">
      <w:pPr>
        <w:spacing w:before="0" w:after="0" w:line="240" w:lineRule="auto"/>
        <w:jc w:val="both"/>
        <w:rPr>
          <w:rFonts w:ascii="Calibri" w:eastAsia="Times New Roman" w:hAnsi="Calibri" w:cs="Mangal"/>
          <w:b/>
          <w:szCs w:val="24"/>
        </w:rPr>
      </w:pPr>
      <w:r w:rsidRPr="008429E1">
        <w:rPr>
          <w:rFonts w:ascii="Calibri" w:eastAsia="Times New Roman" w:hAnsi="Calibri" w:cs="Mangal"/>
          <w:b/>
          <w:szCs w:val="24"/>
        </w:rPr>
        <w:t xml:space="preserve">Graph </w:t>
      </w:r>
      <w:r w:rsidR="00133388">
        <w:rPr>
          <w:rFonts w:ascii="Calibri" w:eastAsia="Times New Roman" w:hAnsi="Calibri" w:cs="Mangal"/>
          <w:b/>
          <w:szCs w:val="24"/>
        </w:rPr>
        <w:t>2</w:t>
      </w:r>
      <w:r w:rsidRPr="008429E1">
        <w:rPr>
          <w:rFonts w:ascii="Calibri" w:eastAsia="Times New Roman" w:hAnsi="Calibri" w:cs="Mangal"/>
          <w:b/>
          <w:szCs w:val="24"/>
        </w:rPr>
        <w:t>.1 Licences current as at 30 June</w:t>
      </w:r>
    </w:p>
    <w:p w:rsidR="008429E1" w:rsidRPr="008429E1" w:rsidRDefault="008429E1" w:rsidP="008429E1">
      <w:pPr>
        <w:spacing w:before="0" w:after="0" w:line="240" w:lineRule="auto"/>
        <w:jc w:val="center"/>
        <w:rPr>
          <w:rFonts w:ascii="Calibri" w:eastAsia="Times New Roman" w:hAnsi="Calibri" w:cs="Mangal"/>
          <w:szCs w:val="24"/>
        </w:rPr>
      </w:pPr>
      <w:r w:rsidRPr="008429E1">
        <w:rPr>
          <w:rFonts w:ascii="Arial" w:eastAsia="Times New Roman" w:hAnsi="Arial" w:cs="Mangal"/>
          <w:noProof/>
          <w:sz w:val="18"/>
          <w:szCs w:val="24"/>
        </w:rPr>
        <w:drawing>
          <wp:inline distT="0" distB="0" distL="0" distR="0" wp14:anchorId="62AE8EC7" wp14:editId="5DA84C2C">
            <wp:extent cx="6645600" cy="2674800"/>
            <wp:effectExtent l="0" t="0" r="22225" b="11430"/>
            <wp:docPr id="5" name="Chart 5" descr="This graph outlines the number of licences currently active as per the MRSDA in relation to minerals.&#10;&#10;As at 30 June 2015, 247 exploration licences were current, 171 mining licences were current, 41 prospecting licences were current and 8 retention licences were current.&#10;&#10;A total of 467 licences were current. This number represents a reduction of 5.5% in comparison to the number of current licences as at 30 June 2014." title="Licences current as at 30 June 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429E1" w:rsidRDefault="008429E1" w:rsidP="008429E1">
      <w:pPr>
        <w:spacing w:before="0" w:after="0" w:line="240" w:lineRule="auto"/>
        <w:jc w:val="both"/>
        <w:rPr>
          <w:rFonts w:ascii="Calibri" w:eastAsia="Times New Roman" w:hAnsi="Calibri" w:cs="Mangal"/>
          <w:sz w:val="16"/>
          <w:szCs w:val="24"/>
        </w:rPr>
      </w:pPr>
      <w:r w:rsidRPr="008429E1">
        <w:rPr>
          <w:rFonts w:ascii="Calibri" w:eastAsia="Times New Roman" w:hAnsi="Calibri" w:cs="Mangal"/>
          <w:sz w:val="16"/>
          <w:szCs w:val="24"/>
        </w:rPr>
        <w:t>Source: DEDJTR</w:t>
      </w:r>
    </w:p>
    <w:p w:rsidR="008429E1" w:rsidRPr="008429E1" w:rsidRDefault="008429E1" w:rsidP="008429E1">
      <w:pPr>
        <w:spacing w:before="0" w:after="0" w:line="240" w:lineRule="auto"/>
        <w:jc w:val="both"/>
        <w:rPr>
          <w:rFonts w:ascii="Calibri" w:eastAsia="Times New Roman" w:hAnsi="Calibri" w:cs="Mangal"/>
          <w:sz w:val="16"/>
          <w:szCs w:val="24"/>
        </w:rPr>
      </w:pPr>
    </w:p>
    <w:p w:rsidR="005D2362" w:rsidRDefault="005D2362">
      <w:pPr>
        <w:rPr>
          <w:rFonts w:ascii="Calibri" w:hAnsi="Calibri"/>
          <w:b/>
        </w:rPr>
      </w:pPr>
      <w:r>
        <w:rPr>
          <w:rFonts w:ascii="Calibri" w:hAnsi="Calibri"/>
          <w:b/>
        </w:rPr>
        <w:br w:type="page"/>
      </w:r>
    </w:p>
    <w:p w:rsidR="008429E1" w:rsidRPr="005955E6" w:rsidRDefault="008429E1" w:rsidP="008429E1">
      <w:pPr>
        <w:spacing w:before="0" w:after="0"/>
        <w:jc w:val="both"/>
        <w:rPr>
          <w:rFonts w:ascii="Calibri" w:hAnsi="Calibri"/>
          <w:b/>
        </w:rPr>
      </w:pPr>
      <w:r w:rsidRPr="005955E6">
        <w:rPr>
          <w:rFonts w:ascii="Calibri" w:hAnsi="Calibri"/>
          <w:b/>
        </w:rPr>
        <w:lastRenderedPageBreak/>
        <w:t xml:space="preserve">Table </w:t>
      </w:r>
      <w:r w:rsidR="00133388">
        <w:rPr>
          <w:rFonts w:ascii="Calibri" w:hAnsi="Calibri"/>
          <w:b/>
        </w:rPr>
        <w:t>2</w:t>
      </w:r>
      <w:r w:rsidRPr="005955E6">
        <w:rPr>
          <w:rFonts w:ascii="Calibri" w:hAnsi="Calibri"/>
          <w:b/>
        </w:rPr>
        <w:t xml:space="preserve">.2 New licence applications and licence renewals </w:t>
      </w:r>
      <w:r w:rsidR="004D0AF1">
        <w:rPr>
          <w:rFonts w:ascii="Calibri" w:hAnsi="Calibri"/>
          <w:b/>
        </w:rPr>
        <w:t xml:space="preserve"> in </w:t>
      </w:r>
      <w:r>
        <w:rPr>
          <w:rFonts w:ascii="Calibri" w:hAnsi="Calibri"/>
          <w:b/>
        </w:rPr>
        <w:t>2014/15</w:t>
      </w:r>
    </w:p>
    <w:tbl>
      <w:tblPr>
        <w:tblStyle w:val="LightShading-Accent1"/>
        <w:tblW w:w="5000" w:type="pct"/>
        <w:tblLook w:val="04A0" w:firstRow="1" w:lastRow="0" w:firstColumn="1" w:lastColumn="0" w:noHBand="0" w:noVBand="1"/>
      </w:tblPr>
      <w:tblGrid>
        <w:gridCol w:w="4576"/>
        <w:gridCol w:w="1213"/>
        <w:gridCol w:w="2327"/>
        <w:gridCol w:w="1453"/>
        <w:gridCol w:w="1113"/>
      </w:tblGrid>
      <w:tr w:rsidR="008429E1" w:rsidRPr="008F5AFD" w:rsidTr="002C2EA2">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2142" w:type="pct"/>
            <w:noWrap/>
            <w:hideMark/>
          </w:tcPr>
          <w:p w:rsidR="008429E1" w:rsidRPr="00AE3E1A" w:rsidRDefault="008429E1" w:rsidP="008429E1">
            <w:pPr>
              <w:rPr>
                <w:rFonts w:ascii="Calibri" w:hAnsi="Calibri" w:cs="Arial"/>
                <w:b w:val="0"/>
                <w:color w:val="000000"/>
                <w:szCs w:val="18"/>
              </w:rPr>
            </w:pPr>
            <w:r w:rsidRPr="00AE3E1A">
              <w:rPr>
                <w:rFonts w:ascii="Calibri" w:hAnsi="Calibri" w:cs="Arial"/>
                <w:color w:val="000000"/>
                <w:szCs w:val="18"/>
              </w:rPr>
              <w:t> </w:t>
            </w:r>
          </w:p>
        </w:tc>
        <w:tc>
          <w:tcPr>
            <w:tcW w:w="568" w:type="pct"/>
            <w:noWrap/>
            <w:vAlign w:val="center"/>
            <w:hideMark/>
          </w:tcPr>
          <w:p w:rsidR="008429E1" w:rsidRPr="00AE3E1A"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szCs w:val="18"/>
              </w:rPr>
            </w:pPr>
            <w:r w:rsidRPr="00AE3E1A">
              <w:rPr>
                <w:rFonts w:ascii="Calibri" w:hAnsi="Calibri" w:cs="Arial"/>
                <w:color w:val="000000"/>
                <w:szCs w:val="18"/>
              </w:rPr>
              <w:t>Received</w:t>
            </w:r>
          </w:p>
        </w:tc>
        <w:tc>
          <w:tcPr>
            <w:tcW w:w="1089" w:type="pct"/>
            <w:vAlign w:val="center"/>
            <w:hideMark/>
          </w:tcPr>
          <w:p w:rsidR="008429E1" w:rsidRPr="00AE3E1A"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szCs w:val="18"/>
              </w:rPr>
            </w:pPr>
            <w:r w:rsidRPr="00AE3E1A">
              <w:rPr>
                <w:rFonts w:ascii="Calibri" w:hAnsi="Calibri" w:cs="Arial"/>
                <w:color w:val="000000"/>
                <w:szCs w:val="18"/>
              </w:rPr>
              <w:t>Granted / Renewed</w:t>
            </w:r>
          </w:p>
        </w:tc>
        <w:tc>
          <w:tcPr>
            <w:tcW w:w="680" w:type="pct"/>
            <w:noWrap/>
            <w:vAlign w:val="center"/>
            <w:hideMark/>
          </w:tcPr>
          <w:p w:rsidR="008429E1" w:rsidRPr="00AE3E1A"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szCs w:val="18"/>
              </w:rPr>
            </w:pPr>
            <w:r w:rsidRPr="00AE3E1A">
              <w:rPr>
                <w:rFonts w:ascii="Calibri" w:hAnsi="Calibri" w:cs="Arial"/>
                <w:color w:val="000000"/>
                <w:szCs w:val="18"/>
              </w:rPr>
              <w:t>Withdrawn</w:t>
            </w:r>
          </w:p>
        </w:tc>
        <w:tc>
          <w:tcPr>
            <w:tcW w:w="522" w:type="pct"/>
            <w:noWrap/>
            <w:vAlign w:val="center"/>
            <w:hideMark/>
          </w:tcPr>
          <w:p w:rsidR="008429E1" w:rsidRPr="00AE3E1A"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szCs w:val="18"/>
              </w:rPr>
            </w:pPr>
            <w:r w:rsidRPr="00AE3E1A">
              <w:rPr>
                <w:rFonts w:ascii="Calibri" w:hAnsi="Calibri" w:cs="Arial"/>
                <w:color w:val="000000"/>
                <w:szCs w:val="18"/>
              </w:rPr>
              <w:t>Refused</w:t>
            </w:r>
          </w:p>
        </w:tc>
      </w:tr>
      <w:tr w:rsidR="008429E1" w:rsidRPr="008F5AFD" w:rsidTr="002C2E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New Exploration Licence Applications</w:t>
            </w:r>
          </w:p>
        </w:tc>
        <w:tc>
          <w:tcPr>
            <w:tcW w:w="568"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themeColor="text1"/>
                <w:szCs w:val="18"/>
              </w:rPr>
            </w:pPr>
            <w:r w:rsidRPr="0029262F">
              <w:rPr>
                <w:rFonts w:ascii="Calibri" w:hAnsi="Calibri" w:cs="Arial"/>
                <w:color w:val="000000" w:themeColor="text1"/>
                <w:szCs w:val="18"/>
              </w:rPr>
              <w:t>49</w:t>
            </w:r>
          </w:p>
        </w:tc>
        <w:tc>
          <w:tcPr>
            <w:tcW w:w="1089"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themeColor="text1"/>
                <w:szCs w:val="18"/>
              </w:rPr>
            </w:pPr>
            <w:r w:rsidRPr="0029262F">
              <w:rPr>
                <w:rFonts w:ascii="Calibri" w:hAnsi="Calibri" w:cs="Arial"/>
                <w:color w:val="000000" w:themeColor="text1"/>
                <w:szCs w:val="18"/>
              </w:rPr>
              <w:t>37</w:t>
            </w:r>
          </w:p>
        </w:tc>
        <w:tc>
          <w:tcPr>
            <w:tcW w:w="680"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themeColor="text1"/>
                <w:szCs w:val="18"/>
              </w:rPr>
            </w:pPr>
            <w:r w:rsidRPr="0029262F">
              <w:rPr>
                <w:rFonts w:ascii="Calibri" w:hAnsi="Calibri" w:cs="Arial"/>
                <w:color w:val="000000" w:themeColor="text1"/>
                <w:szCs w:val="18"/>
              </w:rPr>
              <w:t>14</w:t>
            </w:r>
          </w:p>
        </w:tc>
        <w:tc>
          <w:tcPr>
            <w:tcW w:w="522"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themeColor="text1"/>
                <w:szCs w:val="18"/>
              </w:rPr>
            </w:pPr>
            <w:r w:rsidRPr="0029262F">
              <w:rPr>
                <w:rFonts w:ascii="Calibri" w:hAnsi="Calibri" w:cs="Arial"/>
                <w:color w:val="000000" w:themeColor="text1"/>
                <w:szCs w:val="18"/>
              </w:rPr>
              <w:t>0</w:t>
            </w:r>
          </w:p>
        </w:tc>
      </w:tr>
      <w:tr w:rsidR="008429E1" w:rsidRPr="008F5AFD" w:rsidTr="002C2EA2">
        <w:trPr>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Renewal Exploration Licence Applications</w:t>
            </w:r>
          </w:p>
        </w:tc>
        <w:tc>
          <w:tcPr>
            <w:tcW w:w="568"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35</w:t>
            </w:r>
          </w:p>
        </w:tc>
        <w:tc>
          <w:tcPr>
            <w:tcW w:w="1089"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19</w:t>
            </w:r>
          </w:p>
        </w:tc>
        <w:tc>
          <w:tcPr>
            <w:tcW w:w="680"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3</w:t>
            </w:r>
          </w:p>
        </w:tc>
        <w:tc>
          <w:tcPr>
            <w:tcW w:w="522"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0</w:t>
            </w:r>
          </w:p>
        </w:tc>
      </w:tr>
      <w:tr w:rsidR="008429E1" w:rsidRPr="008F5AFD" w:rsidTr="002C2E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C2EA2" w:rsidRDefault="008429E1" w:rsidP="002C2EA2">
            <w:pPr>
              <w:rPr>
                <w:rFonts w:ascii="Calibri" w:hAnsi="Calibri" w:cs="Arial"/>
                <w:bCs w:val="0"/>
                <w:color w:val="000000" w:themeColor="text1"/>
                <w:szCs w:val="18"/>
              </w:rPr>
            </w:pPr>
            <w:r w:rsidRPr="002C2EA2">
              <w:rPr>
                <w:rFonts w:ascii="Calibri" w:hAnsi="Calibri" w:cs="Arial"/>
                <w:color w:val="000000" w:themeColor="text1"/>
                <w:szCs w:val="18"/>
              </w:rPr>
              <w:t>Sub Total Exploration Licence Applications</w:t>
            </w:r>
          </w:p>
        </w:tc>
        <w:tc>
          <w:tcPr>
            <w:tcW w:w="568" w:type="pct"/>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84</w:t>
            </w:r>
          </w:p>
        </w:tc>
        <w:tc>
          <w:tcPr>
            <w:tcW w:w="1089" w:type="pct"/>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56</w:t>
            </w:r>
          </w:p>
        </w:tc>
        <w:tc>
          <w:tcPr>
            <w:tcW w:w="680" w:type="pct"/>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17</w:t>
            </w:r>
          </w:p>
        </w:tc>
        <w:tc>
          <w:tcPr>
            <w:tcW w:w="522" w:type="pct"/>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0</w:t>
            </w:r>
          </w:p>
        </w:tc>
      </w:tr>
      <w:tr w:rsidR="008429E1" w:rsidRPr="008F5AFD" w:rsidTr="002C2EA2">
        <w:trPr>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New Mining Licence Applications</w:t>
            </w:r>
          </w:p>
        </w:tc>
        <w:tc>
          <w:tcPr>
            <w:tcW w:w="568"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3</w:t>
            </w:r>
          </w:p>
        </w:tc>
        <w:tc>
          <w:tcPr>
            <w:tcW w:w="1089"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3</w:t>
            </w:r>
          </w:p>
        </w:tc>
        <w:tc>
          <w:tcPr>
            <w:tcW w:w="680"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1</w:t>
            </w:r>
          </w:p>
        </w:tc>
        <w:tc>
          <w:tcPr>
            <w:tcW w:w="522" w:type="pct"/>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0</w:t>
            </w:r>
          </w:p>
        </w:tc>
      </w:tr>
      <w:tr w:rsidR="008429E1" w:rsidRPr="008F5AFD" w:rsidTr="002C2E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Renewal Mining Licence Applications</w:t>
            </w:r>
          </w:p>
        </w:tc>
        <w:tc>
          <w:tcPr>
            <w:tcW w:w="568"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20</w:t>
            </w:r>
          </w:p>
        </w:tc>
        <w:tc>
          <w:tcPr>
            <w:tcW w:w="1089"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14</w:t>
            </w:r>
          </w:p>
        </w:tc>
        <w:tc>
          <w:tcPr>
            <w:tcW w:w="680"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0</w:t>
            </w:r>
          </w:p>
        </w:tc>
        <w:tc>
          <w:tcPr>
            <w:tcW w:w="522"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0</w:t>
            </w:r>
          </w:p>
        </w:tc>
      </w:tr>
      <w:tr w:rsidR="008429E1" w:rsidRPr="008F5AFD" w:rsidTr="002C2EA2">
        <w:trPr>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C2EA2" w:rsidRDefault="008429E1" w:rsidP="002C2EA2">
            <w:pPr>
              <w:rPr>
                <w:rFonts w:ascii="Calibri" w:hAnsi="Calibri" w:cs="Arial"/>
                <w:bCs w:val="0"/>
                <w:color w:val="000000" w:themeColor="text1"/>
                <w:szCs w:val="18"/>
              </w:rPr>
            </w:pPr>
            <w:r w:rsidRPr="002C2EA2">
              <w:rPr>
                <w:rFonts w:ascii="Calibri" w:hAnsi="Calibri" w:cs="Arial"/>
                <w:color w:val="000000" w:themeColor="text1"/>
                <w:szCs w:val="18"/>
              </w:rPr>
              <w:t>Sub Total Mining Licence Applications</w:t>
            </w:r>
          </w:p>
        </w:tc>
        <w:tc>
          <w:tcPr>
            <w:tcW w:w="568" w:type="pct"/>
            <w:noWrap/>
            <w:vAlign w:val="center"/>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b/>
                <w:color w:val="000000" w:themeColor="text1"/>
                <w:szCs w:val="18"/>
              </w:rPr>
            </w:pPr>
            <w:r w:rsidRPr="002C2EA2">
              <w:rPr>
                <w:b/>
                <w:color w:val="000000" w:themeColor="text1"/>
                <w:szCs w:val="18"/>
              </w:rPr>
              <w:t>23</w:t>
            </w:r>
          </w:p>
        </w:tc>
        <w:tc>
          <w:tcPr>
            <w:tcW w:w="1089" w:type="pct"/>
            <w:noWrap/>
            <w:vAlign w:val="center"/>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b/>
                <w:color w:val="000000" w:themeColor="text1"/>
                <w:szCs w:val="18"/>
              </w:rPr>
            </w:pPr>
            <w:r w:rsidRPr="002C2EA2">
              <w:rPr>
                <w:b/>
                <w:color w:val="000000" w:themeColor="text1"/>
                <w:szCs w:val="18"/>
              </w:rPr>
              <w:t>17</w:t>
            </w:r>
          </w:p>
        </w:tc>
        <w:tc>
          <w:tcPr>
            <w:tcW w:w="680" w:type="pct"/>
            <w:noWrap/>
            <w:vAlign w:val="center"/>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b/>
                <w:color w:val="000000" w:themeColor="text1"/>
                <w:szCs w:val="18"/>
              </w:rPr>
            </w:pPr>
            <w:r w:rsidRPr="002C2EA2">
              <w:rPr>
                <w:b/>
                <w:color w:val="000000" w:themeColor="text1"/>
                <w:szCs w:val="18"/>
              </w:rPr>
              <w:t>1</w:t>
            </w:r>
          </w:p>
        </w:tc>
        <w:tc>
          <w:tcPr>
            <w:tcW w:w="522" w:type="pct"/>
            <w:noWrap/>
            <w:vAlign w:val="center"/>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b/>
                <w:color w:val="000000" w:themeColor="text1"/>
                <w:szCs w:val="18"/>
              </w:rPr>
            </w:pPr>
            <w:r w:rsidRPr="002C2EA2">
              <w:rPr>
                <w:b/>
                <w:color w:val="000000" w:themeColor="text1"/>
                <w:szCs w:val="18"/>
              </w:rPr>
              <w:t>0</w:t>
            </w:r>
          </w:p>
        </w:tc>
      </w:tr>
      <w:tr w:rsidR="008429E1" w:rsidRPr="008F5AFD" w:rsidTr="002C2E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2" w:type="pct"/>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New Prospecting Licence Applications</w:t>
            </w:r>
          </w:p>
        </w:tc>
        <w:tc>
          <w:tcPr>
            <w:tcW w:w="568"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14</w:t>
            </w:r>
          </w:p>
        </w:tc>
        <w:tc>
          <w:tcPr>
            <w:tcW w:w="1089"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13</w:t>
            </w:r>
          </w:p>
        </w:tc>
        <w:tc>
          <w:tcPr>
            <w:tcW w:w="680"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1</w:t>
            </w:r>
          </w:p>
        </w:tc>
        <w:tc>
          <w:tcPr>
            <w:tcW w:w="522" w:type="pct"/>
            <w:noWrap/>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color w:val="000000" w:themeColor="text1"/>
                <w:szCs w:val="18"/>
              </w:rPr>
            </w:pPr>
            <w:r w:rsidRPr="0029262F">
              <w:rPr>
                <w:color w:val="000000" w:themeColor="text1"/>
                <w:szCs w:val="18"/>
              </w:rPr>
              <w:t>0</w:t>
            </w:r>
          </w:p>
        </w:tc>
      </w:tr>
      <w:tr w:rsidR="008429E1" w:rsidRPr="008F5AFD" w:rsidTr="002C2EA2">
        <w:trPr>
          <w:trHeight w:val="454"/>
        </w:trPr>
        <w:tc>
          <w:tcPr>
            <w:cnfStyle w:val="001000000000" w:firstRow="0" w:lastRow="0" w:firstColumn="1" w:lastColumn="0" w:oddVBand="0" w:evenVBand="0" w:oddHBand="0" w:evenHBand="0" w:firstRowFirstColumn="0" w:firstRowLastColumn="0" w:lastRowFirstColumn="0" w:lastRowLastColumn="0"/>
            <w:tcW w:w="2142" w:type="pct"/>
            <w:tcBorders>
              <w:bottom w:val="single" w:sz="8" w:space="0" w:color="4F81BD" w:themeColor="accent1"/>
            </w:tcBorders>
            <w:vAlign w:val="center"/>
            <w:hideMark/>
          </w:tcPr>
          <w:p w:rsidR="008429E1" w:rsidRPr="0029262F" w:rsidRDefault="008429E1" w:rsidP="002C2EA2">
            <w:pPr>
              <w:rPr>
                <w:rFonts w:ascii="Calibri" w:hAnsi="Calibri" w:cs="Arial"/>
                <w:b w:val="0"/>
                <w:color w:val="000000" w:themeColor="text1"/>
                <w:szCs w:val="18"/>
              </w:rPr>
            </w:pPr>
            <w:r w:rsidRPr="0029262F">
              <w:rPr>
                <w:rFonts w:ascii="Calibri" w:hAnsi="Calibri" w:cs="Arial"/>
                <w:b w:val="0"/>
                <w:color w:val="000000" w:themeColor="text1"/>
                <w:szCs w:val="18"/>
              </w:rPr>
              <w:t>New Retention Licence Applications</w:t>
            </w:r>
          </w:p>
        </w:tc>
        <w:tc>
          <w:tcPr>
            <w:tcW w:w="568" w:type="pct"/>
            <w:tcBorders>
              <w:bottom w:val="single" w:sz="8" w:space="0" w:color="4F81BD" w:themeColor="accent1"/>
            </w:tcBorders>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9</w:t>
            </w:r>
          </w:p>
        </w:tc>
        <w:tc>
          <w:tcPr>
            <w:tcW w:w="1089" w:type="pct"/>
            <w:tcBorders>
              <w:bottom w:val="single" w:sz="8" w:space="0" w:color="4F81BD" w:themeColor="accent1"/>
            </w:tcBorders>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7</w:t>
            </w:r>
          </w:p>
        </w:tc>
        <w:tc>
          <w:tcPr>
            <w:tcW w:w="680" w:type="pct"/>
            <w:tcBorders>
              <w:bottom w:val="single" w:sz="8" w:space="0" w:color="4F81BD" w:themeColor="accent1"/>
            </w:tcBorders>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1</w:t>
            </w:r>
          </w:p>
        </w:tc>
        <w:tc>
          <w:tcPr>
            <w:tcW w:w="522" w:type="pct"/>
            <w:tcBorders>
              <w:bottom w:val="single" w:sz="8" w:space="0" w:color="4F81BD" w:themeColor="accent1"/>
            </w:tcBorders>
            <w:noWrap/>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color w:val="000000" w:themeColor="text1"/>
                <w:szCs w:val="18"/>
              </w:rPr>
            </w:pPr>
            <w:r w:rsidRPr="0029262F">
              <w:rPr>
                <w:color w:val="000000" w:themeColor="text1"/>
                <w:szCs w:val="18"/>
              </w:rPr>
              <w:t>0</w:t>
            </w:r>
          </w:p>
        </w:tc>
      </w:tr>
      <w:tr w:rsidR="008429E1" w:rsidRPr="008F5AFD" w:rsidTr="002C2EA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2" w:type="pct"/>
            <w:tcBorders>
              <w:top w:val="single" w:sz="8" w:space="0" w:color="4F81BD" w:themeColor="accent1"/>
              <w:bottom w:val="single" w:sz="8" w:space="0" w:color="4F81BD" w:themeColor="accent1"/>
            </w:tcBorders>
            <w:vAlign w:val="center"/>
            <w:hideMark/>
          </w:tcPr>
          <w:p w:rsidR="008429E1" w:rsidRPr="0029262F" w:rsidRDefault="008429E1" w:rsidP="002C2EA2">
            <w:pPr>
              <w:rPr>
                <w:rFonts w:ascii="Calibri" w:hAnsi="Calibri" w:cs="Arial"/>
                <w:b w:val="0"/>
                <w:bCs w:val="0"/>
                <w:color w:val="000000" w:themeColor="text1"/>
                <w:szCs w:val="18"/>
              </w:rPr>
            </w:pPr>
            <w:r w:rsidRPr="0029262F">
              <w:rPr>
                <w:rFonts w:ascii="Calibri" w:hAnsi="Calibri" w:cs="Arial"/>
                <w:color w:val="000000" w:themeColor="text1"/>
                <w:szCs w:val="18"/>
              </w:rPr>
              <w:t xml:space="preserve">Total </w:t>
            </w:r>
          </w:p>
        </w:tc>
        <w:tc>
          <w:tcPr>
            <w:tcW w:w="568" w:type="pct"/>
            <w:tcBorders>
              <w:top w:val="single" w:sz="8" w:space="0" w:color="4F81BD" w:themeColor="accent1"/>
              <w:bottom w:val="single" w:sz="8" w:space="0" w:color="4F81BD" w:themeColor="accent1"/>
            </w:tcBorders>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130</w:t>
            </w:r>
          </w:p>
        </w:tc>
        <w:tc>
          <w:tcPr>
            <w:tcW w:w="1089" w:type="pct"/>
            <w:tcBorders>
              <w:top w:val="single" w:sz="8" w:space="0" w:color="4F81BD" w:themeColor="accent1"/>
              <w:bottom w:val="single" w:sz="8" w:space="0" w:color="4F81BD" w:themeColor="accent1"/>
            </w:tcBorders>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93</w:t>
            </w:r>
          </w:p>
        </w:tc>
        <w:tc>
          <w:tcPr>
            <w:tcW w:w="680" w:type="pct"/>
            <w:tcBorders>
              <w:top w:val="single" w:sz="8" w:space="0" w:color="4F81BD" w:themeColor="accent1"/>
              <w:bottom w:val="single" w:sz="8" w:space="0" w:color="4F81BD" w:themeColor="accent1"/>
            </w:tcBorders>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20</w:t>
            </w:r>
          </w:p>
        </w:tc>
        <w:tc>
          <w:tcPr>
            <w:tcW w:w="522" w:type="pct"/>
            <w:tcBorders>
              <w:top w:val="single" w:sz="8" w:space="0" w:color="4F81BD" w:themeColor="accent1"/>
              <w:bottom w:val="single" w:sz="8" w:space="0" w:color="4F81BD" w:themeColor="accent1"/>
            </w:tcBorders>
            <w:noWrap/>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b/>
                <w:color w:val="000000" w:themeColor="text1"/>
                <w:szCs w:val="18"/>
              </w:rPr>
            </w:pPr>
            <w:r w:rsidRPr="002C2EA2">
              <w:rPr>
                <w:b/>
                <w:color w:val="000000" w:themeColor="text1"/>
                <w:szCs w:val="18"/>
              </w:rPr>
              <w:t>0</w:t>
            </w:r>
          </w:p>
        </w:tc>
      </w:tr>
    </w:tbl>
    <w:p w:rsidR="008429E1" w:rsidRPr="00995924" w:rsidRDefault="008429E1" w:rsidP="008429E1">
      <w:pPr>
        <w:spacing w:before="0" w:after="0"/>
        <w:jc w:val="both"/>
        <w:rPr>
          <w:rFonts w:ascii="Calibri" w:hAnsi="Calibri"/>
          <w:sz w:val="16"/>
        </w:rPr>
      </w:pPr>
      <w:r w:rsidRPr="00995924">
        <w:rPr>
          <w:rFonts w:ascii="Calibri" w:hAnsi="Calibri"/>
          <w:sz w:val="16"/>
        </w:rPr>
        <w:t>Source: DEDJTR</w:t>
      </w:r>
    </w:p>
    <w:p w:rsidR="00F2356C" w:rsidRDefault="00F2356C" w:rsidP="008429E1">
      <w:pPr>
        <w:spacing w:before="0" w:after="0" w:line="240" w:lineRule="auto"/>
        <w:jc w:val="both"/>
        <w:rPr>
          <w:rFonts w:ascii="Calibri" w:eastAsia="Times New Roman" w:hAnsi="Calibri" w:cs="Mangal"/>
          <w:b/>
          <w:szCs w:val="24"/>
        </w:rPr>
      </w:pPr>
    </w:p>
    <w:p w:rsidR="008429E1" w:rsidRPr="008429E1" w:rsidRDefault="008429E1" w:rsidP="008429E1">
      <w:pPr>
        <w:spacing w:before="0" w:after="0" w:line="240" w:lineRule="auto"/>
        <w:jc w:val="both"/>
        <w:rPr>
          <w:rFonts w:ascii="Calibri" w:eastAsia="Times New Roman" w:hAnsi="Calibri" w:cs="Mangal"/>
          <w:b/>
          <w:szCs w:val="24"/>
        </w:rPr>
      </w:pPr>
      <w:r w:rsidRPr="008429E1">
        <w:rPr>
          <w:rFonts w:ascii="Calibri" w:eastAsia="Times New Roman" w:hAnsi="Calibri" w:cs="Mangal"/>
          <w:b/>
          <w:szCs w:val="24"/>
        </w:rPr>
        <w:t xml:space="preserve">Table </w:t>
      </w:r>
      <w:r w:rsidR="00133388">
        <w:rPr>
          <w:rFonts w:ascii="Calibri" w:eastAsia="Times New Roman" w:hAnsi="Calibri" w:cs="Mangal"/>
          <w:b/>
          <w:szCs w:val="24"/>
        </w:rPr>
        <w:t>2</w:t>
      </w:r>
      <w:r w:rsidRPr="008429E1">
        <w:rPr>
          <w:rFonts w:ascii="Calibri" w:eastAsia="Times New Roman" w:hAnsi="Calibri" w:cs="Mangal"/>
          <w:b/>
          <w:szCs w:val="24"/>
        </w:rPr>
        <w:t xml:space="preserve">.3 Licences granted and renewed </w:t>
      </w:r>
    </w:p>
    <w:tbl>
      <w:tblPr>
        <w:tblStyle w:val="LightShading-Accent1"/>
        <w:tblW w:w="5000" w:type="pct"/>
        <w:tblLook w:val="04A0" w:firstRow="1" w:lastRow="0" w:firstColumn="1" w:lastColumn="0" w:noHBand="0" w:noVBand="1"/>
      </w:tblPr>
      <w:tblGrid>
        <w:gridCol w:w="3953"/>
        <w:gridCol w:w="841"/>
        <w:gridCol w:w="841"/>
        <w:gridCol w:w="841"/>
        <w:gridCol w:w="841"/>
        <w:gridCol w:w="841"/>
        <w:gridCol w:w="841"/>
        <w:gridCol w:w="842"/>
        <w:gridCol w:w="841"/>
      </w:tblGrid>
      <w:tr w:rsidR="008429E1" w:rsidRPr="008429E1" w:rsidTr="002C2EA2">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1851" w:type="pct"/>
            <w:hideMark/>
          </w:tcPr>
          <w:p w:rsidR="008429E1" w:rsidRPr="0029262F" w:rsidRDefault="008429E1" w:rsidP="008429E1">
            <w:pPr>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 Year</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2007/08</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2008/09</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2009/10</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2010/11</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2011/12</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2012/13</w:t>
            </w:r>
          </w:p>
        </w:tc>
        <w:tc>
          <w:tcPr>
            <w:tcW w:w="394" w:type="pct"/>
            <w:hideMark/>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2013/14</w:t>
            </w:r>
          </w:p>
        </w:tc>
        <w:tc>
          <w:tcPr>
            <w:tcW w:w="394" w:type="pct"/>
          </w:tcPr>
          <w:p w:rsidR="008429E1" w:rsidRPr="0029262F" w:rsidRDefault="008429E1" w:rsidP="008429E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2014/15</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Exploration Licences Granted</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91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57</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61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73</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62</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41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37</w:t>
            </w:r>
          </w:p>
        </w:tc>
        <w:tc>
          <w:tcPr>
            <w:tcW w:w="394" w:type="pct"/>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37</w:t>
            </w:r>
          </w:p>
        </w:tc>
      </w:tr>
      <w:tr w:rsidR="008429E1" w:rsidRPr="008429E1" w:rsidTr="002C2EA2">
        <w:trPr>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Exploration Licences Renewed</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58</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51</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55</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60</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74</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52</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57</w:t>
            </w:r>
          </w:p>
        </w:tc>
        <w:tc>
          <w:tcPr>
            <w:tcW w:w="394" w:type="pct"/>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19</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9262F" w:rsidRDefault="008429E1" w:rsidP="002C2EA2">
            <w:pPr>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Subtotal Exploration Licences Granted and Renewed</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149</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108</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116</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133</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136</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93</w:t>
            </w:r>
          </w:p>
        </w:tc>
        <w:tc>
          <w:tcPr>
            <w:tcW w:w="394" w:type="pct"/>
            <w:vAlign w:val="center"/>
            <w:hideMark/>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94</w:t>
            </w:r>
          </w:p>
        </w:tc>
        <w:tc>
          <w:tcPr>
            <w:tcW w:w="394" w:type="pct"/>
            <w:vAlign w:val="center"/>
          </w:tcPr>
          <w:p w:rsidR="008429E1" w:rsidRPr="002C2EA2"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56</w:t>
            </w:r>
          </w:p>
        </w:tc>
      </w:tr>
      <w:tr w:rsidR="008429E1" w:rsidRPr="008429E1" w:rsidTr="002C2EA2">
        <w:trPr>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Mining Licences Granted</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11</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14</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15</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20</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12</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11</w:t>
            </w:r>
          </w:p>
        </w:tc>
        <w:tc>
          <w:tcPr>
            <w:tcW w:w="394" w:type="pct"/>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9</w:t>
            </w:r>
          </w:p>
        </w:tc>
        <w:tc>
          <w:tcPr>
            <w:tcW w:w="394" w:type="pct"/>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3</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Mining Licences Renewed</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21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41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30</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23</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21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14</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28</w:t>
            </w:r>
          </w:p>
        </w:tc>
        <w:tc>
          <w:tcPr>
            <w:tcW w:w="394" w:type="pct"/>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14</w:t>
            </w:r>
          </w:p>
        </w:tc>
      </w:tr>
      <w:tr w:rsidR="008429E1" w:rsidRPr="008429E1" w:rsidTr="002C2EA2">
        <w:trPr>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9262F" w:rsidRDefault="008429E1" w:rsidP="002C2EA2">
            <w:pPr>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Sub Total Mining Licences Granted and Renewed</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32</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55</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45</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43</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33</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25</w:t>
            </w:r>
          </w:p>
        </w:tc>
        <w:tc>
          <w:tcPr>
            <w:tcW w:w="394" w:type="pct"/>
            <w:vAlign w:val="center"/>
            <w:hideMark/>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37</w:t>
            </w:r>
          </w:p>
        </w:tc>
        <w:tc>
          <w:tcPr>
            <w:tcW w:w="394" w:type="pct"/>
            <w:vAlign w:val="center"/>
          </w:tcPr>
          <w:p w:rsidR="008429E1" w:rsidRPr="002C2EA2"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 w:val="18"/>
                <w:szCs w:val="18"/>
              </w:rPr>
            </w:pPr>
            <w:r w:rsidRPr="002C2EA2">
              <w:rPr>
                <w:rFonts w:ascii="Calibri" w:eastAsia="Times New Roman" w:hAnsi="Calibri" w:cs="Mangal"/>
                <w:b/>
                <w:color w:val="000000" w:themeColor="text1"/>
                <w:sz w:val="18"/>
                <w:szCs w:val="18"/>
              </w:rPr>
              <w:t>17</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51" w:type="pct"/>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Prospecting Licences Granted</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12</w:t>
            </w:r>
          </w:p>
        </w:tc>
        <w:tc>
          <w:tcPr>
            <w:tcW w:w="394"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18</w:t>
            </w:r>
          </w:p>
        </w:tc>
        <w:tc>
          <w:tcPr>
            <w:tcW w:w="394" w:type="pct"/>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13</w:t>
            </w:r>
          </w:p>
        </w:tc>
      </w:tr>
      <w:tr w:rsidR="008429E1" w:rsidRPr="008429E1" w:rsidTr="002C2EA2">
        <w:trPr>
          <w:trHeight w:val="315"/>
        </w:trPr>
        <w:tc>
          <w:tcPr>
            <w:cnfStyle w:val="001000000000" w:firstRow="0" w:lastRow="0" w:firstColumn="1" w:lastColumn="0" w:oddVBand="0" w:evenVBand="0" w:oddHBand="0" w:evenHBand="0" w:firstRowFirstColumn="0" w:firstRowLastColumn="0" w:lastRowFirstColumn="0" w:lastRowLastColumn="0"/>
            <w:tcW w:w="1851" w:type="pct"/>
            <w:tcBorders>
              <w:bottom w:val="single" w:sz="8" w:space="0" w:color="4F81BD" w:themeColor="accent1"/>
            </w:tcBorders>
            <w:vAlign w:val="center"/>
            <w:hideMark/>
          </w:tcPr>
          <w:p w:rsidR="008429E1" w:rsidRPr="002C2EA2" w:rsidRDefault="008429E1" w:rsidP="002C2EA2">
            <w:pPr>
              <w:rPr>
                <w:rFonts w:ascii="Calibri" w:eastAsia="Times New Roman" w:hAnsi="Calibri" w:cs="Mangal"/>
                <w:b w:val="0"/>
                <w:color w:val="000000" w:themeColor="text1"/>
                <w:sz w:val="18"/>
                <w:szCs w:val="18"/>
              </w:rPr>
            </w:pPr>
            <w:r w:rsidRPr="002C2EA2">
              <w:rPr>
                <w:rFonts w:ascii="Calibri" w:eastAsia="Times New Roman" w:hAnsi="Calibri" w:cs="Mangal"/>
                <w:b w:val="0"/>
                <w:color w:val="000000" w:themeColor="text1"/>
                <w:sz w:val="18"/>
                <w:szCs w:val="18"/>
              </w:rPr>
              <w:t>Retention Licences Granted</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0</w:t>
            </w:r>
          </w:p>
        </w:tc>
        <w:tc>
          <w:tcPr>
            <w:tcW w:w="394" w:type="pct"/>
            <w:tcBorders>
              <w:bottom w:val="single" w:sz="8" w:space="0" w:color="4F81BD" w:themeColor="accent1"/>
            </w:tcBorders>
            <w:vAlign w:val="center"/>
            <w:hideMark/>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1</w:t>
            </w:r>
          </w:p>
        </w:tc>
        <w:tc>
          <w:tcPr>
            <w:tcW w:w="394" w:type="pct"/>
            <w:tcBorders>
              <w:bottom w:val="single" w:sz="8" w:space="0" w:color="4F81BD" w:themeColor="accent1"/>
            </w:tcBorders>
            <w:vAlign w:val="center"/>
          </w:tcPr>
          <w:p w:rsidR="008429E1" w:rsidRPr="0029262F" w:rsidRDefault="008429E1"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sz w:val="18"/>
                <w:szCs w:val="18"/>
              </w:rPr>
            </w:pPr>
            <w:r w:rsidRPr="0029262F">
              <w:rPr>
                <w:rFonts w:ascii="Calibri" w:eastAsia="Times New Roman" w:hAnsi="Calibri" w:cs="Mangal"/>
                <w:color w:val="000000" w:themeColor="text1"/>
                <w:sz w:val="18"/>
                <w:szCs w:val="18"/>
              </w:rPr>
              <w:t>7</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51" w:type="pct"/>
            <w:tcBorders>
              <w:top w:val="single" w:sz="8" w:space="0" w:color="4F81BD" w:themeColor="accent1"/>
              <w:bottom w:val="single" w:sz="8" w:space="0" w:color="4F81BD" w:themeColor="accent1"/>
            </w:tcBorders>
            <w:vAlign w:val="center"/>
            <w:hideMark/>
          </w:tcPr>
          <w:p w:rsidR="008429E1" w:rsidRPr="0029262F" w:rsidRDefault="008429E1" w:rsidP="002C2EA2">
            <w:pPr>
              <w:rPr>
                <w:rFonts w:ascii="Calibri" w:eastAsia="Times New Roman" w:hAnsi="Calibri" w:cs="Mangal"/>
                <w:b w:val="0"/>
                <w:color w:val="000000" w:themeColor="text1"/>
                <w:sz w:val="18"/>
                <w:szCs w:val="18"/>
              </w:rPr>
            </w:pPr>
            <w:r w:rsidRPr="0029262F">
              <w:rPr>
                <w:rFonts w:ascii="Calibri" w:eastAsia="Times New Roman" w:hAnsi="Calibri" w:cs="Mangal"/>
                <w:color w:val="000000" w:themeColor="text1"/>
                <w:sz w:val="18"/>
                <w:szCs w:val="18"/>
              </w:rPr>
              <w:t>Total Licences</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181</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163</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161</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176</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170</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130</w:t>
            </w:r>
          </w:p>
        </w:tc>
        <w:tc>
          <w:tcPr>
            <w:tcW w:w="394" w:type="pct"/>
            <w:tcBorders>
              <w:top w:val="single" w:sz="8" w:space="0" w:color="4F81BD" w:themeColor="accent1"/>
              <w:bottom w:val="single" w:sz="8" w:space="0" w:color="4F81BD" w:themeColor="accent1"/>
            </w:tcBorders>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150</w:t>
            </w:r>
          </w:p>
        </w:tc>
        <w:tc>
          <w:tcPr>
            <w:tcW w:w="394" w:type="pct"/>
            <w:tcBorders>
              <w:top w:val="single" w:sz="8" w:space="0" w:color="4F81BD" w:themeColor="accent1"/>
              <w:bottom w:val="single" w:sz="8" w:space="0" w:color="4F81BD" w:themeColor="accent1"/>
            </w:tcBorders>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sz w:val="18"/>
                <w:szCs w:val="18"/>
              </w:rPr>
            </w:pPr>
            <w:r w:rsidRPr="0029262F">
              <w:rPr>
                <w:rFonts w:ascii="Calibri" w:eastAsia="Times New Roman" w:hAnsi="Calibri" w:cs="Mangal"/>
                <w:b/>
                <w:color w:val="000000" w:themeColor="text1"/>
                <w:sz w:val="18"/>
                <w:szCs w:val="18"/>
              </w:rPr>
              <w:t>93</w:t>
            </w:r>
          </w:p>
        </w:tc>
      </w:tr>
    </w:tbl>
    <w:p w:rsidR="008429E1" w:rsidRPr="008429E1" w:rsidRDefault="008429E1" w:rsidP="008429E1">
      <w:pPr>
        <w:spacing w:before="0" w:after="0" w:line="240" w:lineRule="auto"/>
        <w:jc w:val="both"/>
        <w:rPr>
          <w:rFonts w:ascii="Calibri" w:eastAsia="Times New Roman" w:hAnsi="Calibri" w:cs="Mangal"/>
          <w:sz w:val="16"/>
          <w:szCs w:val="24"/>
        </w:rPr>
      </w:pPr>
      <w:r w:rsidRPr="008429E1">
        <w:rPr>
          <w:rFonts w:ascii="Calibri" w:eastAsia="Times New Roman" w:hAnsi="Calibri" w:cs="Mangal"/>
          <w:sz w:val="16"/>
          <w:szCs w:val="24"/>
        </w:rPr>
        <w:t>Source: DEDJTR</w:t>
      </w:r>
    </w:p>
    <w:p w:rsidR="008429E1" w:rsidRPr="008429E1" w:rsidRDefault="008429E1" w:rsidP="00536A60">
      <w:pPr>
        <w:rPr>
          <w:rFonts w:ascii="Calibri" w:eastAsia="Times New Roman" w:hAnsi="Calibri" w:cs="Mangal"/>
          <w:b/>
          <w:szCs w:val="24"/>
        </w:rPr>
      </w:pPr>
      <w:r w:rsidRPr="008429E1">
        <w:rPr>
          <w:rFonts w:ascii="Calibri" w:eastAsia="Times New Roman" w:hAnsi="Calibri" w:cs="Mangal"/>
          <w:b/>
          <w:szCs w:val="24"/>
        </w:rPr>
        <w:t xml:space="preserve">Graph </w:t>
      </w:r>
      <w:r w:rsidR="00133388">
        <w:rPr>
          <w:rFonts w:ascii="Calibri" w:eastAsia="Times New Roman" w:hAnsi="Calibri" w:cs="Mangal"/>
          <w:b/>
          <w:szCs w:val="24"/>
        </w:rPr>
        <w:t>2</w:t>
      </w:r>
      <w:r w:rsidRPr="008429E1">
        <w:rPr>
          <w:rFonts w:ascii="Calibri" w:eastAsia="Times New Roman" w:hAnsi="Calibri" w:cs="Mangal"/>
          <w:b/>
          <w:szCs w:val="24"/>
        </w:rPr>
        <w:t>.</w:t>
      </w:r>
      <w:r w:rsidR="00C520E0">
        <w:rPr>
          <w:rFonts w:ascii="Calibri" w:eastAsia="Times New Roman" w:hAnsi="Calibri" w:cs="Mangal"/>
          <w:b/>
          <w:szCs w:val="24"/>
        </w:rPr>
        <w:t>3 a)</w:t>
      </w:r>
      <w:r w:rsidRPr="008429E1">
        <w:rPr>
          <w:rFonts w:ascii="Calibri" w:eastAsia="Times New Roman" w:hAnsi="Calibri" w:cs="Mangal"/>
          <w:b/>
          <w:szCs w:val="24"/>
        </w:rPr>
        <w:t xml:space="preserve"> Exploration licences granted and renewed </w:t>
      </w:r>
    </w:p>
    <w:p w:rsidR="008429E1" w:rsidRPr="008429E1" w:rsidRDefault="008429E1" w:rsidP="008429E1">
      <w:pPr>
        <w:spacing w:before="0" w:after="0" w:line="240" w:lineRule="auto"/>
        <w:jc w:val="both"/>
        <w:rPr>
          <w:rFonts w:ascii="Calibri" w:eastAsia="Times New Roman" w:hAnsi="Calibri" w:cs="Mangal"/>
          <w:szCs w:val="24"/>
        </w:rPr>
      </w:pPr>
      <w:r w:rsidRPr="008429E1">
        <w:rPr>
          <w:rFonts w:ascii="Arial" w:eastAsia="Times New Roman" w:hAnsi="Arial" w:cs="Mangal"/>
          <w:noProof/>
          <w:sz w:val="18"/>
          <w:szCs w:val="24"/>
        </w:rPr>
        <w:drawing>
          <wp:inline distT="0" distB="0" distL="0" distR="0" wp14:anchorId="5A736023" wp14:editId="173BFDA7">
            <wp:extent cx="6645600" cy="2674800"/>
            <wp:effectExtent l="0" t="0" r="22225" b="11430"/>
            <wp:docPr id="6" name="Chart 6" descr="This graph shows the number of exploration licences granted and renewed from the 2006-207 financial year to the 2014-2015 financial year.&#10;&#10;The number of exploration licences granted rose marginally in comparison to the 2013/2014 financial year and the number of exploration licences renewed fell drastically in comparison to the same period." title="Exploration licences granted and renewed from the 2006-2007 financial year to the 2014-2015 financial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429E1" w:rsidRPr="008429E1" w:rsidRDefault="008429E1" w:rsidP="008429E1">
      <w:pPr>
        <w:spacing w:before="0" w:after="0" w:line="240" w:lineRule="auto"/>
        <w:jc w:val="both"/>
        <w:rPr>
          <w:rFonts w:ascii="Calibri" w:eastAsia="Times New Roman" w:hAnsi="Calibri" w:cs="Mangal"/>
          <w:sz w:val="16"/>
          <w:szCs w:val="24"/>
        </w:rPr>
      </w:pPr>
      <w:r w:rsidRPr="008429E1">
        <w:rPr>
          <w:rFonts w:ascii="Calibri" w:eastAsia="Times New Roman" w:hAnsi="Calibri" w:cs="Mangal"/>
          <w:sz w:val="16"/>
          <w:szCs w:val="24"/>
        </w:rPr>
        <w:t>Source: DEDJTR</w:t>
      </w:r>
    </w:p>
    <w:p w:rsidR="008429E1" w:rsidRPr="008429E1" w:rsidRDefault="00C520E0" w:rsidP="008429E1">
      <w:pPr>
        <w:spacing w:before="0" w:after="0"/>
        <w:rPr>
          <w:rFonts w:ascii="Calibri" w:hAnsi="Calibri"/>
          <w:noProof/>
        </w:rPr>
      </w:pPr>
      <w:r>
        <w:rPr>
          <w:rFonts w:ascii="Calibri" w:hAnsi="Calibri"/>
          <w:b/>
        </w:rPr>
        <w:lastRenderedPageBreak/>
        <w:t xml:space="preserve">Graph </w:t>
      </w:r>
      <w:r w:rsidR="00133388">
        <w:rPr>
          <w:rFonts w:ascii="Calibri" w:hAnsi="Calibri"/>
          <w:b/>
        </w:rPr>
        <w:t>2</w:t>
      </w:r>
      <w:r>
        <w:rPr>
          <w:rFonts w:ascii="Calibri" w:hAnsi="Calibri"/>
          <w:b/>
        </w:rPr>
        <w:t xml:space="preserve">.3 b) </w:t>
      </w:r>
      <w:r w:rsidR="008429E1" w:rsidRPr="005955E6">
        <w:rPr>
          <w:rFonts w:ascii="Calibri" w:hAnsi="Calibri"/>
          <w:b/>
        </w:rPr>
        <w:t>Mining licences granted and renewed</w:t>
      </w:r>
      <w:r w:rsidR="008429E1">
        <w:rPr>
          <w:noProof/>
        </w:rPr>
        <w:drawing>
          <wp:inline distT="0" distB="0" distL="0" distR="0" wp14:anchorId="6D16CBF0" wp14:editId="1E9AA71B">
            <wp:extent cx="6648450" cy="2171700"/>
            <wp:effectExtent l="0" t="0" r="19050" b="19050"/>
            <wp:docPr id="18" name="Chart 18" descr="This graph shows the number of mining licences granted and renewed since the 2006-2007 financial year to the 2014-2015 financial year.&#10;&#10;Around 15 mining licences were renewed in 2014-2015 and roughly 2 mining licences were granted in the same period." title="Mining licences granted and renewed"/>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8429E1" w:rsidRPr="00DC31BD">
        <w:rPr>
          <w:rFonts w:ascii="Calibri" w:hAnsi="Calibri"/>
          <w:sz w:val="16"/>
        </w:rPr>
        <w:t>Source: DEDJTR</w:t>
      </w:r>
    </w:p>
    <w:p w:rsidR="008429E1" w:rsidRDefault="008429E1" w:rsidP="008429E1">
      <w:pPr>
        <w:spacing w:before="0"/>
        <w:rPr>
          <w:rFonts w:ascii="Calibri" w:hAnsi="Calibri"/>
          <w:sz w:val="16"/>
          <w:szCs w:val="16"/>
        </w:rPr>
      </w:pPr>
      <w:r w:rsidRPr="005955E6">
        <w:rPr>
          <w:rFonts w:ascii="Calibri" w:hAnsi="Calibri"/>
          <w:b/>
        </w:rPr>
        <w:t xml:space="preserve">Graph </w:t>
      </w:r>
      <w:r w:rsidR="00133388">
        <w:rPr>
          <w:rFonts w:ascii="Calibri" w:hAnsi="Calibri"/>
          <w:b/>
        </w:rPr>
        <w:t>2</w:t>
      </w:r>
      <w:r w:rsidRPr="005955E6">
        <w:rPr>
          <w:rFonts w:ascii="Calibri" w:hAnsi="Calibri"/>
          <w:b/>
        </w:rPr>
        <w:t>.</w:t>
      </w:r>
      <w:r w:rsidR="00C520E0">
        <w:rPr>
          <w:rFonts w:ascii="Calibri" w:hAnsi="Calibri"/>
          <w:b/>
        </w:rPr>
        <w:t>3 c)</w:t>
      </w:r>
      <w:r w:rsidRPr="005955E6">
        <w:rPr>
          <w:rFonts w:ascii="Calibri" w:hAnsi="Calibri"/>
          <w:b/>
        </w:rPr>
        <w:t xml:space="preserve"> Prospecting* and retention licences granted </w:t>
      </w:r>
      <w:r>
        <w:rPr>
          <w:noProof/>
        </w:rPr>
        <w:drawing>
          <wp:inline distT="0" distB="0" distL="0" distR="0" wp14:anchorId="5FE6AF55" wp14:editId="2FE13256">
            <wp:extent cx="6648450" cy="2085975"/>
            <wp:effectExtent l="0" t="0" r="19050" b="9525"/>
            <wp:docPr id="19" name="Chart 19" descr="This graph shows the number of prospecting and retention licences granted between the 2011/12 and 2014/15 financial years.&#10;&#10;7 retention licences were granted in the 2014-2015 financial year and 13 prospecting licences granted in the same period." title="Prospecting and retention licences gran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3B1430">
        <w:rPr>
          <w:rFonts w:ascii="Calibri" w:hAnsi="Calibri"/>
          <w:sz w:val="16"/>
        </w:rPr>
        <w:t>Source: DEDJTR</w:t>
      </w:r>
      <w:r>
        <w:rPr>
          <w:rFonts w:ascii="Calibri" w:hAnsi="Calibri"/>
          <w:sz w:val="16"/>
        </w:rPr>
        <w:t xml:space="preserve"> </w:t>
      </w:r>
      <w:r w:rsidRPr="005955E6">
        <w:rPr>
          <w:rFonts w:ascii="Calibri" w:hAnsi="Calibri"/>
          <w:sz w:val="16"/>
          <w:szCs w:val="16"/>
        </w:rPr>
        <w:t>* Prospecting licence cannot be renewed.</w:t>
      </w:r>
    </w:p>
    <w:p w:rsidR="00C520E0" w:rsidRDefault="008429E1" w:rsidP="00F2356C">
      <w:pPr>
        <w:pStyle w:val="bodycopy"/>
        <w:rPr>
          <w:rFonts w:ascii="Calibri" w:hAnsi="Calibri"/>
          <w:b/>
        </w:rPr>
      </w:pPr>
      <w:r w:rsidRPr="001433C8">
        <w:t>The total area of Victoria covered by exploration licences (current and in application) on 30 June 2015 was 70,474km</w:t>
      </w:r>
      <w:r w:rsidRPr="00DF604B">
        <w:rPr>
          <w:vertAlign w:val="superscript"/>
        </w:rPr>
        <w:t>2</w:t>
      </w:r>
      <w:r w:rsidRPr="001433C8">
        <w:t>, which marked a reduction in comparison to the 2014 figure. This correlates to a downward trend as observed within the industry and points to a reduction in the scale of the mining industry.</w:t>
      </w:r>
      <w:r w:rsidR="00C520E0">
        <w:rPr>
          <w:rFonts w:ascii="Calibri" w:hAnsi="Calibri"/>
          <w:b/>
        </w:rPr>
        <w:t xml:space="preserve">  </w:t>
      </w:r>
    </w:p>
    <w:p w:rsidR="008429E1" w:rsidRPr="008429E1" w:rsidRDefault="008429E1" w:rsidP="008429E1">
      <w:pPr>
        <w:spacing w:before="0" w:after="0" w:line="240" w:lineRule="auto"/>
        <w:jc w:val="both"/>
        <w:rPr>
          <w:rFonts w:ascii="Calibri" w:eastAsia="Times New Roman" w:hAnsi="Calibri" w:cs="Mangal"/>
          <w:b/>
          <w:szCs w:val="24"/>
        </w:rPr>
      </w:pPr>
      <w:r w:rsidRPr="008429E1">
        <w:rPr>
          <w:rFonts w:ascii="Calibri" w:eastAsia="Times New Roman" w:hAnsi="Calibri" w:cs="Mangal"/>
          <w:b/>
          <w:szCs w:val="24"/>
        </w:rPr>
        <w:t xml:space="preserve">Table </w:t>
      </w:r>
      <w:r w:rsidR="00133388">
        <w:rPr>
          <w:rFonts w:ascii="Calibri" w:eastAsia="Times New Roman" w:hAnsi="Calibri" w:cs="Mangal"/>
          <w:b/>
          <w:szCs w:val="24"/>
        </w:rPr>
        <w:t>2</w:t>
      </w:r>
      <w:r w:rsidRPr="008429E1">
        <w:rPr>
          <w:rFonts w:ascii="Calibri" w:eastAsia="Times New Roman" w:hAnsi="Calibri" w:cs="Mangal"/>
          <w:b/>
          <w:szCs w:val="24"/>
        </w:rPr>
        <w:t xml:space="preserve">.4 Total area covered by exploration licences (current and in application as at 30 June) </w:t>
      </w:r>
    </w:p>
    <w:tbl>
      <w:tblPr>
        <w:tblStyle w:val="LightShading-Accent1"/>
        <w:tblW w:w="5000" w:type="pct"/>
        <w:tblLook w:val="04A0" w:firstRow="1" w:lastRow="0" w:firstColumn="1" w:lastColumn="0" w:noHBand="0" w:noVBand="1"/>
      </w:tblPr>
      <w:tblGrid>
        <w:gridCol w:w="2182"/>
        <w:gridCol w:w="1063"/>
        <w:gridCol w:w="1063"/>
        <w:gridCol w:w="1063"/>
        <w:gridCol w:w="1063"/>
        <w:gridCol w:w="1062"/>
        <w:gridCol w:w="1062"/>
        <w:gridCol w:w="1062"/>
        <w:gridCol w:w="1062"/>
      </w:tblGrid>
      <w:tr w:rsidR="008429E1" w:rsidRPr="008429E1" w:rsidTr="002C2EA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20" w:type="pct"/>
            <w:hideMark/>
          </w:tcPr>
          <w:p w:rsidR="008429E1" w:rsidRPr="0029262F" w:rsidRDefault="008429E1" w:rsidP="008429E1">
            <w:pPr>
              <w:jc w:val="both"/>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 </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2008</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2009</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2010</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2011</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2012</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2013</w:t>
            </w:r>
          </w:p>
        </w:tc>
        <w:tc>
          <w:tcPr>
            <w:tcW w:w="497" w:type="pct"/>
            <w:vAlign w:val="center"/>
            <w:hideMark/>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2014</w:t>
            </w:r>
          </w:p>
        </w:tc>
        <w:tc>
          <w:tcPr>
            <w:tcW w:w="497" w:type="pct"/>
            <w:vAlign w:val="center"/>
          </w:tcPr>
          <w:p w:rsidR="008429E1" w:rsidRPr="0029262F" w:rsidRDefault="008429E1"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29262F">
              <w:rPr>
                <w:rFonts w:ascii="Calibri" w:eastAsia="Times New Roman" w:hAnsi="Calibri" w:cs="Mangal"/>
                <w:color w:val="000000" w:themeColor="text1"/>
                <w:szCs w:val="24"/>
              </w:rPr>
              <w:t>2015</w:t>
            </w:r>
          </w:p>
        </w:tc>
      </w:tr>
      <w:tr w:rsidR="008429E1" w:rsidRPr="008429E1" w:rsidTr="002C2EA2">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1020" w:type="pct"/>
            <w:vAlign w:val="center"/>
            <w:hideMark/>
          </w:tcPr>
          <w:p w:rsidR="008429E1" w:rsidRPr="0029262F" w:rsidRDefault="008429E1" w:rsidP="002C2EA2">
            <w:pPr>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Total area (km2)</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98,086</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95,240</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86,365</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75,753</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83,900</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77,366</w:t>
            </w:r>
          </w:p>
        </w:tc>
        <w:tc>
          <w:tcPr>
            <w:tcW w:w="497" w:type="pct"/>
            <w:vAlign w:val="center"/>
            <w:hideMark/>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75,018</w:t>
            </w:r>
          </w:p>
        </w:tc>
        <w:tc>
          <w:tcPr>
            <w:tcW w:w="497" w:type="pct"/>
            <w:vAlign w:val="center"/>
          </w:tcPr>
          <w:p w:rsidR="008429E1" w:rsidRPr="0029262F" w:rsidRDefault="008429E1"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29262F">
              <w:rPr>
                <w:rFonts w:ascii="Calibri" w:eastAsia="Times New Roman" w:hAnsi="Calibri" w:cs="Mangal"/>
                <w:color w:val="000000" w:themeColor="text1"/>
                <w:szCs w:val="24"/>
              </w:rPr>
              <w:t>70,474</w:t>
            </w:r>
          </w:p>
        </w:tc>
      </w:tr>
    </w:tbl>
    <w:p w:rsidR="008429E1" w:rsidRDefault="008429E1" w:rsidP="008429E1">
      <w:pPr>
        <w:spacing w:before="0" w:after="0" w:line="240" w:lineRule="auto"/>
        <w:jc w:val="both"/>
        <w:rPr>
          <w:rFonts w:ascii="Calibri" w:eastAsia="Times New Roman" w:hAnsi="Calibri" w:cs="Mangal"/>
          <w:sz w:val="16"/>
          <w:szCs w:val="24"/>
        </w:rPr>
      </w:pPr>
      <w:r w:rsidRPr="008429E1">
        <w:rPr>
          <w:rFonts w:ascii="Calibri" w:eastAsia="Times New Roman" w:hAnsi="Calibri" w:cs="Mangal"/>
          <w:sz w:val="16"/>
          <w:szCs w:val="24"/>
        </w:rPr>
        <w:t>Source: DEDJTR</w:t>
      </w:r>
    </w:p>
    <w:p w:rsidR="00C520E0" w:rsidRDefault="00C520E0" w:rsidP="008429E1">
      <w:pPr>
        <w:spacing w:before="0" w:after="0" w:line="240" w:lineRule="auto"/>
        <w:jc w:val="both"/>
        <w:rPr>
          <w:rFonts w:ascii="Calibri" w:eastAsia="Times New Roman" w:hAnsi="Calibri" w:cs="Mangal"/>
          <w:b/>
          <w:szCs w:val="24"/>
        </w:rPr>
      </w:pPr>
    </w:p>
    <w:p w:rsidR="008429E1" w:rsidRPr="008429E1" w:rsidRDefault="008429E1" w:rsidP="008429E1">
      <w:pPr>
        <w:spacing w:before="0" w:after="0" w:line="240" w:lineRule="auto"/>
        <w:jc w:val="both"/>
        <w:rPr>
          <w:rFonts w:ascii="Calibri" w:eastAsia="Times New Roman" w:hAnsi="Calibri" w:cs="Mangal"/>
          <w:b/>
          <w:szCs w:val="24"/>
        </w:rPr>
      </w:pPr>
      <w:r w:rsidRPr="008429E1">
        <w:rPr>
          <w:rFonts w:ascii="Calibri" w:eastAsia="Times New Roman" w:hAnsi="Calibri" w:cs="Mangal"/>
          <w:b/>
          <w:szCs w:val="24"/>
        </w:rPr>
        <w:t xml:space="preserve">Graph </w:t>
      </w:r>
      <w:r w:rsidR="00133388">
        <w:rPr>
          <w:rFonts w:ascii="Calibri" w:eastAsia="Times New Roman" w:hAnsi="Calibri" w:cs="Mangal"/>
          <w:b/>
          <w:szCs w:val="24"/>
        </w:rPr>
        <w:t>2</w:t>
      </w:r>
      <w:r w:rsidRPr="008429E1">
        <w:rPr>
          <w:rFonts w:ascii="Calibri" w:eastAsia="Times New Roman" w:hAnsi="Calibri" w:cs="Mangal"/>
          <w:b/>
          <w:szCs w:val="24"/>
        </w:rPr>
        <w:t>.</w:t>
      </w:r>
      <w:r w:rsidR="00C520E0">
        <w:rPr>
          <w:rFonts w:ascii="Calibri" w:eastAsia="Times New Roman" w:hAnsi="Calibri" w:cs="Mangal"/>
          <w:b/>
          <w:szCs w:val="24"/>
        </w:rPr>
        <w:t xml:space="preserve">4 </w:t>
      </w:r>
      <w:r w:rsidRPr="008429E1">
        <w:rPr>
          <w:rFonts w:ascii="Calibri" w:eastAsia="Times New Roman" w:hAnsi="Calibri" w:cs="Mangal"/>
          <w:b/>
          <w:szCs w:val="24"/>
        </w:rPr>
        <w:t xml:space="preserve">Total area covered by </w:t>
      </w:r>
      <w:r w:rsidR="00F2356C">
        <w:rPr>
          <w:rFonts w:ascii="Calibri" w:eastAsia="Times New Roman" w:hAnsi="Calibri" w:cs="Mangal"/>
          <w:b/>
          <w:szCs w:val="24"/>
        </w:rPr>
        <w:t xml:space="preserve">exploration </w:t>
      </w:r>
      <w:r w:rsidRPr="008429E1">
        <w:rPr>
          <w:rFonts w:ascii="Calibri" w:eastAsia="Times New Roman" w:hAnsi="Calibri" w:cs="Mangal"/>
          <w:b/>
          <w:szCs w:val="24"/>
        </w:rPr>
        <w:t>licences</w:t>
      </w:r>
    </w:p>
    <w:p w:rsidR="008429E1" w:rsidRPr="008429E1" w:rsidRDefault="008429E1" w:rsidP="008429E1">
      <w:pPr>
        <w:spacing w:before="0" w:after="0" w:line="240" w:lineRule="auto"/>
        <w:jc w:val="both"/>
        <w:rPr>
          <w:rFonts w:ascii="Calibri" w:eastAsia="Times New Roman" w:hAnsi="Calibri" w:cs="Mangal"/>
          <w:b/>
          <w:szCs w:val="24"/>
        </w:rPr>
      </w:pPr>
      <w:r w:rsidRPr="008429E1">
        <w:rPr>
          <w:rFonts w:ascii="Arial" w:eastAsia="Times New Roman" w:hAnsi="Arial" w:cs="Mangal"/>
          <w:noProof/>
          <w:sz w:val="18"/>
          <w:szCs w:val="24"/>
        </w:rPr>
        <w:drawing>
          <wp:inline distT="0" distB="0" distL="0" distR="0" wp14:anchorId="06C41D51" wp14:editId="2CA554F7">
            <wp:extent cx="6696075" cy="2162175"/>
            <wp:effectExtent l="0" t="0" r="9525" b="9525"/>
            <wp:docPr id="7" name="Chart 7" descr="This graph outlines the amount of area covered by licenes that are current and in application as at 30 June 2015.&#10;&#10;The amount of area covered by licences both current and application in Victoria was 70,474 square kilometres, a modest reduction in comparison to 2014 where 75,018 square kilometres were covered." title="Total area covered by licences as at 30 June 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429E1" w:rsidRPr="008429E1" w:rsidRDefault="008429E1" w:rsidP="008429E1">
      <w:pPr>
        <w:spacing w:before="0" w:after="0" w:line="240" w:lineRule="auto"/>
        <w:jc w:val="both"/>
        <w:rPr>
          <w:rFonts w:ascii="Calibri" w:eastAsia="Times New Roman" w:hAnsi="Calibri" w:cs="Mangal"/>
          <w:sz w:val="16"/>
          <w:szCs w:val="24"/>
        </w:rPr>
      </w:pPr>
      <w:r w:rsidRPr="008429E1">
        <w:rPr>
          <w:rFonts w:ascii="Calibri" w:eastAsia="Times New Roman" w:hAnsi="Calibri" w:cs="Mangal"/>
          <w:sz w:val="16"/>
          <w:szCs w:val="24"/>
        </w:rPr>
        <w:t>Source: DEDJTR</w:t>
      </w:r>
    </w:p>
    <w:p w:rsidR="008429E1" w:rsidRPr="005955E6" w:rsidRDefault="008429E1" w:rsidP="008429E1">
      <w:pPr>
        <w:pStyle w:val="Heading2"/>
      </w:pPr>
      <w:bookmarkStart w:id="14" w:name="_Toc456261061"/>
      <w:r>
        <w:lastRenderedPageBreak/>
        <w:t>Mineral Exploration and Mining Expenditure</w:t>
      </w:r>
      <w:bookmarkEnd w:id="14"/>
    </w:p>
    <w:p w:rsidR="008429E1" w:rsidRPr="008429E1" w:rsidRDefault="008429E1" w:rsidP="008429E1">
      <w:pPr>
        <w:pStyle w:val="bodycopy"/>
        <w:rPr>
          <w:rFonts w:eastAsia="Times New Roman"/>
        </w:rPr>
      </w:pPr>
      <w:r w:rsidRPr="008429E1">
        <w:rPr>
          <w:rFonts w:eastAsia="Times New Roman"/>
        </w:rPr>
        <w:t xml:space="preserve">Mineral exploration expenditure is an indicator of activity within the mineral industry.  </w:t>
      </w:r>
      <w:r w:rsidR="00403DC4">
        <w:rPr>
          <w:rFonts w:eastAsia="Times New Roman"/>
        </w:rPr>
        <w:t>Australian Bureau of Statistics (</w:t>
      </w:r>
      <w:r w:rsidRPr="008429E1">
        <w:rPr>
          <w:rFonts w:eastAsia="Times New Roman"/>
        </w:rPr>
        <w:t>ABS</w:t>
      </w:r>
      <w:r w:rsidR="00403DC4">
        <w:rPr>
          <w:rFonts w:eastAsia="Times New Roman"/>
        </w:rPr>
        <w:t>)</w:t>
      </w:r>
      <w:r w:rsidRPr="008429E1">
        <w:rPr>
          <w:rFonts w:eastAsia="Times New Roman"/>
        </w:rPr>
        <w:t xml:space="preserve"> data shows a decrease of  29.75% in Victorian exploration expenditure in 2014/15 as compared to 2013/14. This is a sharp decline and reflects the trend in overall exploration expenditure Australia wide over the same period, from $2,108.8 million to $1,575 million, a decrease of 25.28%. </w:t>
      </w:r>
      <w:r w:rsidR="00403DC4" w:rsidRPr="00403DC4">
        <w:rPr>
          <w:rFonts w:eastAsia="Times New Roman"/>
          <w:i/>
        </w:rPr>
        <w:t>Mineral Resources (Sustainable Development) Act 1990</w:t>
      </w:r>
      <w:r w:rsidR="00403DC4">
        <w:rPr>
          <w:rFonts w:eastAsia="Times New Roman"/>
        </w:rPr>
        <w:t xml:space="preserve"> (</w:t>
      </w:r>
      <w:r w:rsidRPr="008429E1">
        <w:rPr>
          <w:rFonts w:eastAsia="Times New Roman"/>
        </w:rPr>
        <w:t>MRSDA</w:t>
      </w:r>
      <w:r w:rsidR="00403DC4">
        <w:rPr>
          <w:rFonts w:eastAsia="Times New Roman"/>
        </w:rPr>
        <w:t>)</w:t>
      </w:r>
      <w:r w:rsidRPr="008429E1">
        <w:rPr>
          <w:rFonts w:eastAsia="Times New Roman"/>
        </w:rPr>
        <w:t xml:space="preserve"> data on mining exploration shows an increase in the amount spent on exploration from $30.5 million to $32.3 million, a modest increase of 5.9%.  MRSDA data shows that expenditure on mining has fallen 4.3% from $650.3 million to $622.3 million.</w:t>
      </w:r>
    </w:p>
    <w:p w:rsidR="00053387" w:rsidRPr="005955E6" w:rsidRDefault="00053387" w:rsidP="00536A60">
      <w:pPr>
        <w:spacing w:before="0" w:after="0"/>
        <w:rPr>
          <w:rFonts w:ascii="Calibri" w:hAnsi="Calibri"/>
          <w:b/>
        </w:rPr>
      </w:pPr>
      <w:bookmarkStart w:id="15" w:name="_Toc279573154"/>
      <w:r w:rsidRPr="005955E6">
        <w:rPr>
          <w:rFonts w:ascii="Calibri" w:hAnsi="Calibri"/>
          <w:b/>
        </w:rPr>
        <w:t xml:space="preserve">Table </w:t>
      </w:r>
      <w:r w:rsidR="00133388">
        <w:rPr>
          <w:rFonts w:ascii="Calibri" w:hAnsi="Calibri"/>
          <w:b/>
        </w:rPr>
        <w:t>2</w:t>
      </w:r>
      <w:r w:rsidRPr="005955E6">
        <w:rPr>
          <w:rFonts w:ascii="Calibri" w:hAnsi="Calibri"/>
          <w:b/>
        </w:rPr>
        <w:t>.</w:t>
      </w:r>
      <w:r>
        <w:rPr>
          <w:rFonts w:ascii="Calibri" w:hAnsi="Calibri"/>
          <w:b/>
        </w:rPr>
        <w:t>5</w:t>
      </w:r>
      <w:r w:rsidRPr="005955E6">
        <w:rPr>
          <w:rFonts w:ascii="Calibri" w:hAnsi="Calibri"/>
          <w:b/>
        </w:rPr>
        <w:t xml:space="preserve"> Expenditure on mineral exploration and mining development ($A million</w:t>
      </w:r>
      <w:bookmarkEnd w:id="15"/>
      <w:r w:rsidRPr="005955E6">
        <w:rPr>
          <w:rFonts w:ascii="Calibri" w:hAnsi="Calibri"/>
          <w:b/>
        </w:rPr>
        <w:t xml:space="preserve">) </w:t>
      </w:r>
    </w:p>
    <w:tbl>
      <w:tblPr>
        <w:tblStyle w:val="LightShading-Accent1"/>
        <w:tblW w:w="4998" w:type="pct"/>
        <w:tblLook w:val="04A0" w:firstRow="1" w:lastRow="0" w:firstColumn="1" w:lastColumn="0" w:noHBand="0" w:noVBand="1"/>
      </w:tblPr>
      <w:tblGrid>
        <w:gridCol w:w="1586"/>
        <w:gridCol w:w="1054"/>
        <w:gridCol w:w="1151"/>
        <w:gridCol w:w="1151"/>
        <w:gridCol w:w="1151"/>
        <w:gridCol w:w="1151"/>
        <w:gridCol w:w="1151"/>
        <w:gridCol w:w="1145"/>
        <w:gridCol w:w="1138"/>
      </w:tblGrid>
      <w:tr w:rsidR="00053387" w:rsidRPr="008F5AFD" w:rsidTr="002C2EA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742" w:type="pct"/>
            <w:noWrap/>
            <w:vAlign w:val="center"/>
          </w:tcPr>
          <w:p w:rsidR="00053387" w:rsidRPr="005955E6" w:rsidRDefault="00053387" w:rsidP="002C2EA2">
            <w:pPr>
              <w:rPr>
                <w:rFonts w:ascii="Calibri" w:hAnsi="Calibri" w:cs="Arial"/>
                <w:b w:val="0"/>
                <w:color w:val="000000"/>
              </w:rPr>
            </w:pPr>
          </w:p>
        </w:tc>
        <w:tc>
          <w:tcPr>
            <w:tcW w:w="493"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2007/08</w:t>
            </w:r>
          </w:p>
        </w:tc>
        <w:tc>
          <w:tcPr>
            <w:tcW w:w="539"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2008/09</w:t>
            </w:r>
          </w:p>
        </w:tc>
        <w:tc>
          <w:tcPr>
            <w:tcW w:w="539"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2009/10</w:t>
            </w:r>
          </w:p>
        </w:tc>
        <w:tc>
          <w:tcPr>
            <w:tcW w:w="539"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2010/11</w:t>
            </w:r>
          </w:p>
        </w:tc>
        <w:tc>
          <w:tcPr>
            <w:tcW w:w="539" w:type="pct"/>
            <w:noWrap/>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2011/12</w:t>
            </w:r>
          </w:p>
        </w:tc>
        <w:tc>
          <w:tcPr>
            <w:tcW w:w="539"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2012/13</w:t>
            </w:r>
          </w:p>
        </w:tc>
        <w:tc>
          <w:tcPr>
            <w:tcW w:w="536" w:type="pct"/>
            <w:vAlign w:val="center"/>
            <w:hideMark/>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sidRPr="005955E6">
              <w:rPr>
                <w:rFonts w:ascii="Calibri" w:hAnsi="Calibri" w:cs="Arial"/>
                <w:color w:val="000000"/>
              </w:rPr>
              <w:t>2013/14</w:t>
            </w:r>
          </w:p>
        </w:tc>
        <w:tc>
          <w:tcPr>
            <w:tcW w:w="533" w:type="pct"/>
            <w:vAlign w:val="center"/>
          </w:tcPr>
          <w:p w:rsidR="00053387" w:rsidRPr="005955E6" w:rsidRDefault="00053387"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color w:val="000000"/>
              </w:rPr>
            </w:pPr>
            <w:r>
              <w:rPr>
                <w:rFonts w:ascii="Calibri" w:hAnsi="Calibri" w:cs="Arial"/>
                <w:color w:val="000000"/>
              </w:rPr>
              <w:t>2014/15</w:t>
            </w:r>
          </w:p>
        </w:tc>
      </w:tr>
      <w:tr w:rsidR="00053387" w:rsidRPr="008F5AFD" w:rsidTr="002C2EA2">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742" w:type="pct"/>
            <w:vAlign w:val="center"/>
            <w:hideMark/>
          </w:tcPr>
          <w:p w:rsidR="00053387" w:rsidRPr="001B158E" w:rsidRDefault="00053387" w:rsidP="002C2EA2">
            <w:pPr>
              <w:rPr>
                <w:rFonts w:ascii="Calibri" w:hAnsi="Calibri" w:cs="Arial"/>
                <w:color w:val="000000"/>
              </w:rPr>
            </w:pPr>
            <w:r w:rsidRPr="001B158E">
              <w:rPr>
                <w:rFonts w:ascii="Calibri" w:hAnsi="Calibri" w:cs="Arial"/>
                <w:color w:val="000000"/>
              </w:rPr>
              <w:t>Mineral Exploration (ABS)</w:t>
            </w:r>
            <w:r w:rsidRPr="001B158E">
              <w:rPr>
                <w:rFonts w:ascii="Calibri" w:hAnsi="Calibri" w:cs="Arial"/>
                <w:color w:val="000000"/>
                <w:vertAlign w:val="superscript"/>
              </w:rPr>
              <w:t>1</w:t>
            </w:r>
          </w:p>
        </w:tc>
        <w:tc>
          <w:tcPr>
            <w:tcW w:w="493"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93.7</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62.2</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84.8</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57.4</w:t>
            </w:r>
          </w:p>
        </w:tc>
        <w:tc>
          <w:tcPr>
            <w:tcW w:w="539" w:type="pct"/>
            <w:noWrap/>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58.5</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38.6</w:t>
            </w:r>
          </w:p>
        </w:tc>
        <w:tc>
          <w:tcPr>
            <w:tcW w:w="536"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32.6</w:t>
            </w:r>
          </w:p>
        </w:tc>
        <w:tc>
          <w:tcPr>
            <w:tcW w:w="533" w:type="pct"/>
            <w:vAlign w:val="center"/>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22.9</w:t>
            </w:r>
          </w:p>
        </w:tc>
      </w:tr>
      <w:tr w:rsidR="00053387" w:rsidRPr="008F5AFD" w:rsidTr="002C2EA2">
        <w:trPr>
          <w:trHeight w:val="480"/>
        </w:trPr>
        <w:tc>
          <w:tcPr>
            <w:cnfStyle w:val="001000000000" w:firstRow="0" w:lastRow="0" w:firstColumn="1" w:lastColumn="0" w:oddVBand="0" w:evenVBand="0" w:oddHBand="0" w:evenHBand="0" w:firstRowFirstColumn="0" w:firstRowLastColumn="0" w:lastRowFirstColumn="0" w:lastRowLastColumn="0"/>
            <w:tcW w:w="742" w:type="pct"/>
            <w:vAlign w:val="center"/>
          </w:tcPr>
          <w:p w:rsidR="00053387" w:rsidRPr="001B158E" w:rsidRDefault="00053387" w:rsidP="002C2EA2">
            <w:pPr>
              <w:rPr>
                <w:rFonts w:ascii="Calibri" w:hAnsi="Calibri" w:cs="Arial"/>
                <w:color w:val="000000"/>
              </w:rPr>
            </w:pPr>
            <w:r w:rsidRPr="001B158E">
              <w:rPr>
                <w:rFonts w:ascii="Calibri" w:hAnsi="Calibri" w:cs="Arial"/>
                <w:color w:val="000000"/>
              </w:rPr>
              <w:t>MRSDA Exploration</w:t>
            </w:r>
            <w:r w:rsidRPr="001B158E">
              <w:rPr>
                <w:rFonts w:ascii="Calibri" w:hAnsi="Calibri" w:cs="Arial"/>
                <w:color w:val="000000"/>
                <w:vertAlign w:val="superscript"/>
              </w:rPr>
              <w:t>2</w:t>
            </w:r>
          </w:p>
        </w:tc>
        <w:tc>
          <w:tcPr>
            <w:tcW w:w="493"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76.7</w:t>
            </w:r>
          </w:p>
        </w:tc>
        <w:tc>
          <w:tcPr>
            <w:tcW w:w="539"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69.9</w:t>
            </w:r>
          </w:p>
        </w:tc>
        <w:tc>
          <w:tcPr>
            <w:tcW w:w="539"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58.4</w:t>
            </w:r>
          </w:p>
        </w:tc>
        <w:tc>
          <w:tcPr>
            <w:tcW w:w="539"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31.7</w:t>
            </w:r>
          </w:p>
        </w:tc>
        <w:tc>
          <w:tcPr>
            <w:tcW w:w="539" w:type="pct"/>
            <w:noWrap/>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37.8</w:t>
            </w:r>
          </w:p>
        </w:tc>
        <w:tc>
          <w:tcPr>
            <w:tcW w:w="539"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39.7</w:t>
            </w:r>
          </w:p>
        </w:tc>
        <w:tc>
          <w:tcPr>
            <w:tcW w:w="536"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30.5</w:t>
            </w:r>
          </w:p>
        </w:tc>
        <w:tc>
          <w:tcPr>
            <w:tcW w:w="533" w:type="pct"/>
            <w:vAlign w:val="center"/>
          </w:tcPr>
          <w:p w:rsidR="00053387" w:rsidRPr="001B158E" w:rsidRDefault="00053387"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1B158E">
              <w:rPr>
                <w:rFonts w:ascii="Calibri" w:hAnsi="Calibri" w:cs="Arial"/>
                <w:color w:val="000000"/>
              </w:rPr>
              <w:t>32.3</w:t>
            </w:r>
          </w:p>
        </w:tc>
      </w:tr>
      <w:tr w:rsidR="00053387" w:rsidRPr="008F5AFD" w:rsidTr="002C2EA2">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42" w:type="pct"/>
            <w:vAlign w:val="center"/>
            <w:hideMark/>
          </w:tcPr>
          <w:p w:rsidR="00053387" w:rsidRPr="001B158E" w:rsidRDefault="00053387" w:rsidP="002C2EA2">
            <w:pPr>
              <w:rPr>
                <w:rFonts w:ascii="Calibri" w:hAnsi="Calibri" w:cs="Arial"/>
                <w:color w:val="000000"/>
              </w:rPr>
            </w:pPr>
            <w:r w:rsidRPr="001B158E">
              <w:rPr>
                <w:rFonts w:ascii="Calibri" w:hAnsi="Calibri" w:cs="Arial"/>
                <w:color w:val="000000"/>
              </w:rPr>
              <w:t>MRSDA Mining</w:t>
            </w:r>
            <w:r w:rsidRPr="001B158E">
              <w:rPr>
                <w:rFonts w:ascii="Calibri" w:hAnsi="Calibri" w:cs="Arial"/>
                <w:color w:val="000000"/>
                <w:vertAlign w:val="superscript"/>
              </w:rPr>
              <w:t>3</w:t>
            </w:r>
          </w:p>
        </w:tc>
        <w:tc>
          <w:tcPr>
            <w:tcW w:w="493"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576.6</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923.3</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742</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719.2</w:t>
            </w:r>
          </w:p>
        </w:tc>
        <w:tc>
          <w:tcPr>
            <w:tcW w:w="539" w:type="pct"/>
            <w:noWrap/>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813.8</w:t>
            </w:r>
          </w:p>
        </w:tc>
        <w:tc>
          <w:tcPr>
            <w:tcW w:w="539"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701.2</w:t>
            </w:r>
          </w:p>
        </w:tc>
        <w:tc>
          <w:tcPr>
            <w:tcW w:w="536" w:type="pct"/>
            <w:vAlign w:val="center"/>
            <w:hideMark/>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650.3</w:t>
            </w:r>
          </w:p>
        </w:tc>
        <w:tc>
          <w:tcPr>
            <w:tcW w:w="533" w:type="pct"/>
            <w:vAlign w:val="center"/>
          </w:tcPr>
          <w:p w:rsidR="00053387" w:rsidRPr="001B158E" w:rsidRDefault="0005338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1B158E">
              <w:rPr>
                <w:rFonts w:ascii="Calibri" w:hAnsi="Calibri" w:cs="Arial"/>
                <w:color w:val="000000"/>
              </w:rPr>
              <w:t>622.3</w:t>
            </w:r>
          </w:p>
        </w:tc>
      </w:tr>
    </w:tbl>
    <w:p w:rsidR="00053387" w:rsidRPr="00C45225" w:rsidRDefault="00053387" w:rsidP="00053387">
      <w:pPr>
        <w:spacing w:before="0" w:after="0"/>
        <w:jc w:val="both"/>
        <w:rPr>
          <w:rFonts w:ascii="Calibri" w:hAnsi="Calibri"/>
          <w:sz w:val="16"/>
        </w:rPr>
      </w:pPr>
      <w:r w:rsidRPr="00C45225">
        <w:rPr>
          <w:rFonts w:ascii="Calibri" w:hAnsi="Calibri"/>
          <w:sz w:val="16"/>
        </w:rPr>
        <w:t>Source: Figures collated from activity reports forwarded to DEDJTR required by the MRSDA, and ABS, Actual and Expected Private Mineral Exploration (Catalogue No. 8412.0)</w:t>
      </w:r>
    </w:p>
    <w:p w:rsidR="00053387" w:rsidRPr="00EC5096" w:rsidRDefault="00053387" w:rsidP="00053387">
      <w:pPr>
        <w:spacing w:before="0" w:after="0"/>
        <w:jc w:val="both"/>
        <w:rPr>
          <w:rFonts w:ascii="Calibri" w:hAnsi="Calibri"/>
          <w:i/>
          <w:sz w:val="16"/>
          <w:szCs w:val="16"/>
        </w:rPr>
      </w:pPr>
      <w:r w:rsidRPr="00EC5096">
        <w:rPr>
          <w:rFonts w:ascii="Calibri" w:hAnsi="Calibri"/>
          <w:i/>
          <w:vertAlign w:val="superscript"/>
        </w:rPr>
        <w:t xml:space="preserve">1 </w:t>
      </w:r>
      <w:r w:rsidRPr="00EC5096">
        <w:rPr>
          <w:rFonts w:ascii="Calibri" w:hAnsi="Calibri"/>
          <w:i/>
          <w:sz w:val="16"/>
          <w:szCs w:val="16"/>
        </w:rPr>
        <w:t>The Australian Bureau of Statistics (ABS) reports quarterly on private mineral exploration expenditure for all Australian States and the Northern Territory (NT). Victorian mineral exploration and mining expenditure is also reported in accordance with the requirement of the MRSDA. The ABS exploration expenditure statistics can vary significantly from expenditure reported under the MRSDA. The difference between these two exploration expenditure data sets is mainly due to the difference in methodologies for data collection, and the inclusion of the exploration expenditure on mining licences in the MRSDA figure. The ABS statistics are a valid basis for comparison of Victorian expenditure with that of other States/NT. However, the MRSDA figures provide greater detail.</w:t>
      </w:r>
    </w:p>
    <w:p w:rsidR="00053387" w:rsidRPr="00EC5096" w:rsidRDefault="00EC5096" w:rsidP="00053387">
      <w:pPr>
        <w:spacing w:before="0" w:after="0"/>
        <w:jc w:val="both"/>
        <w:rPr>
          <w:rFonts w:ascii="Calibri" w:hAnsi="Calibri"/>
          <w:i/>
          <w:sz w:val="16"/>
          <w:szCs w:val="16"/>
        </w:rPr>
      </w:pPr>
      <w:r w:rsidRPr="00EC5096">
        <w:rPr>
          <w:rFonts w:ascii="Calibri" w:hAnsi="Calibri"/>
          <w:i/>
          <w:sz w:val="18"/>
          <w:szCs w:val="16"/>
          <w:vertAlign w:val="superscript"/>
        </w:rPr>
        <w:t>2</w:t>
      </w:r>
      <w:r w:rsidR="00053387" w:rsidRPr="00EC5096">
        <w:rPr>
          <w:rFonts w:ascii="Calibri" w:hAnsi="Calibri"/>
          <w:i/>
          <w:sz w:val="16"/>
          <w:szCs w:val="16"/>
          <w:vertAlign w:val="superscript"/>
        </w:rPr>
        <w:t xml:space="preserve"> </w:t>
      </w:r>
      <w:r w:rsidR="00053387" w:rsidRPr="00EC5096">
        <w:rPr>
          <w:rFonts w:ascii="Calibri" w:hAnsi="Calibri"/>
          <w:i/>
          <w:sz w:val="16"/>
          <w:szCs w:val="16"/>
        </w:rPr>
        <w:t>Change of metric - expenditure on Exploration and Retention Licences with an Expenditure Reporting Period that ends within the Financial Year</w:t>
      </w:r>
    </w:p>
    <w:p w:rsidR="00053387" w:rsidRPr="00EC5096" w:rsidRDefault="00EC5096" w:rsidP="00EC5096">
      <w:pPr>
        <w:spacing w:before="0" w:after="0" w:line="240" w:lineRule="auto"/>
        <w:jc w:val="both"/>
        <w:rPr>
          <w:rFonts w:ascii="Calibri" w:hAnsi="Calibri"/>
          <w:i/>
          <w:sz w:val="16"/>
          <w:szCs w:val="16"/>
        </w:rPr>
      </w:pPr>
      <w:r w:rsidRPr="00EC5096">
        <w:rPr>
          <w:rFonts w:ascii="Calibri" w:hAnsi="Calibri"/>
          <w:i/>
          <w:sz w:val="18"/>
          <w:szCs w:val="16"/>
          <w:vertAlign w:val="superscript"/>
        </w:rPr>
        <w:t>3</w:t>
      </w:r>
      <w:r w:rsidR="00053387" w:rsidRPr="00EC5096">
        <w:rPr>
          <w:rFonts w:ascii="Calibri" w:hAnsi="Calibri"/>
          <w:i/>
          <w:sz w:val="16"/>
          <w:szCs w:val="16"/>
        </w:rPr>
        <w:t>The MRSDA mining expenditure figure covers all expenditure on mining and prospecting licences (including capital and operating expenses), less any specified exploration expenditure on mining and prospecting licences.</w:t>
      </w:r>
    </w:p>
    <w:p w:rsidR="00536A60" w:rsidRDefault="00536A60" w:rsidP="00F2356C">
      <w:r>
        <w:br w:type="page"/>
      </w:r>
      <w:r w:rsidR="00053387" w:rsidRPr="00053387">
        <w:lastRenderedPageBreak/>
        <w:t>By sector, exploration in gold mining accounted for almost one quarter (23.3%) of all exploration expenditure. Exploration in brown coal accounted only for 1.2% of total exploration expenditure, reflective of wider industry and social trends.</w:t>
      </w:r>
      <w:bookmarkStart w:id="16" w:name="_Toc279573239"/>
    </w:p>
    <w:p w:rsidR="00053387" w:rsidRPr="00536A60" w:rsidRDefault="00053387" w:rsidP="00536A60">
      <w:pPr>
        <w:pStyle w:val="bodycopy"/>
      </w:pPr>
      <w:r w:rsidRPr="005955E6">
        <w:rPr>
          <w:rFonts w:ascii="Calibri" w:hAnsi="Calibri"/>
          <w:b/>
        </w:rPr>
        <w:t xml:space="preserve">Graph </w:t>
      </w:r>
      <w:r w:rsidR="002B7F82">
        <w:rPr>
          <w:rFonts w:ascii="Calibri" w:hAnsi="Calibri"/>
          <w:b/>
        </w:rPr>
        <w:t>2</w:t>
      </w:r>
      <w:r w:rsidRPr="005955E6">
        <w:rPr>
          <w:rFonts w:ascii="Calibri" w:hAnsi="Calibri"/>
          <w:b/>
        </w:rPr>
        <w:t>.</w:t>
      </w:r>
      <w:r w:rsidR="00F2356C">
        <w:rPr>
          <w:rFonts w:ascii="Calibri" w:hAnsi="Calibri"/>
          <w:b/>
        </w:rPr>
        <w:t xml:space="preserve">5 </w:t>
      </w:r>
      <w:r w:rsidRPr="005955E6">
        <w:rPr>
          <w:rFonts w:ascii="Calibri" w:hAnsi="Calibri"/>
          <w:b/>
        </w:rPr>
        <w:t xml:space="preserve">Expenditure on mineral exploration and mining development </w:t>
      </w:r>
      <w:bookmarkEnd w:id="16"/>
    </w:p>
    <w:p w:rsidR="00053387" w:rsidRPr="005955E6" w:rsidRDefault="00053387" w:rsidP="00053387">
      <w:pPr>
        <w:spacing w:before="0" w:after="0"/>
        <w:jc w:val="both"/>
        <w:rPr>
          <w:rFonts w:ascii="Calibri" w:hAnsi="Calibri"/>
        </w:rPr>
      </w:pPr>
      <w:r>
        <w:rPr>
          <w:noProof/>
        </w:rPr>
        <w:drawing>
          <wp:inline distT="0" distB="0" distL="0" distR="0" wp14:anchorId="30C2D3F7" wp14:editId="3D4A6C12">
            <wp:extent cx="6645600" cy="2674800"/>
            <wp:effectExtent l="0" t="0" r="22225" b="11430"/>
            <wp:docPr id="3" name="Chart 3" descr="This graph outlines the amounts spent in Victoria on mineral exploration and mining based on ABS methodology and the MRSDA methodology.&#10;&#10;It is worth noting that the ABS uses a sample of data to derive the figures that it is reporting in relation to expenditure. ERR uses data derived from reports required by the MRSDA and has a complete set of data.&#10;&#10;MRSDA data shows that expenditure and exploration has fallen as opposed to 2013/14." title="Mineral exploration and mining development expendit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C5096" w:rsidRDefault="00053387" w:rsidP="00053387">
      <w:pPr>
        <w:spacing w:before="0" w:after="0"/>
      </w:pPr>
      <w:r w:rsidRPr="005A5F06">
        <w:rPr>
          <w:rFonts w:ascii="Calibri" w:hAnsi="Calibri"/>
          <w:sz w:val="16"/>
        </w:rPr>
        <w:t>Source: DEDJTR</w:t>
      </w:r>
      <w:r>
        <w:t xml:space="preserve"> </w:t>
      </w:r>
    </w:p>
    <w:p w:rsidR="00F2356C" w:rsidRDefault="00F2356C" w:rsidP="00F2356C">
      <w:pPr>
        <w:spacing w:before="0" w:after="0" w:line="240" w:lineRule="auto"/>
        <w:jc w:val="both"/>
        <w:rPr>
          <w:rFonts w:ascii="Calibri" w:eastAsia="Times New Roman" w:hAnsi="Calibri" w:cs="Mangal"/>
          <w:b/>
          <w:szCs w:val="24"/>
        </w:rPr>
      </w:pPr>
    </w:p>
    <w:p w:rsidR="00F2356C" w:rsidRPr="00EC5096" w:rsidRDefault="00F2356C" w:rsidP="00F2356C">
      <w:pPr>
        <w:spacing w:before="0" w:after="0" w:line="240" w:lineRule="auto"/>
        <w:jc w:val="both"/>
        <w:rPr>
          <w:rFonts w:ascii="Calibri" w:eastAsia="Times New Roman" w:hAnsi="Calibri" w:cs="Mangal"/>
          <w:b/>
          <w:szCs w:val="24"/>
        </w:rPr>
      </w:pPr>
      <w:r w:rsidRPr="00EC5096">
        <w:rPr>
          <w:rFonts w:ascii="Calibri" w:eastAsia="Times New Roman" w:hAnsi="Calibri" w:cs="Mangal"/>
          <w:b/>
          <w:szCs w:val="24"/>
        </w:rPr>
        <w:t xml:space="preserve">Table 3.6 Expenditure on mineral exploration and mining development by sector* </w:t>
      </w:r>
    </w:p>
    <w:tbl>
      <w:tblPr>
        <w:tblStyle w:val="LightShading-Accent1"/>
        <w:tblW w:w="5000" w:type="pct"/>
        <w:tblLook w:val="04A0" w:firstRow="1" w:lastRow="0" w:firstColumn="1" w:lastColumn="0" w:noHBand="0" w:noVBand="1"/>
      </w:tblPr>
      <w:tblGrid>
        <w:gridCol w:w="3054"/>
        <w:gridCol w:w="1844"/>
        <w:gridCol w:w="1970"/>
        <w:gridCol w:w="1844"/>
        <w:gridCol w:w="1970"/>
      </w:tblGrid>
      <w:tr w:rsidR="00F2356C" w:rsidRPr="00EC5096" w:rsidTr="007D19C5">
        <w:trPr>
          <w:cnfStyle w:val="100000000000" w:firstRow="1" w:lastRow="0" w:firstColumn="0" w:lastColumn="0" w:oddVBand="0" w:evenVBand="0" w:oddHBand="0" w:evenHBand="0" w:firstRowFirstColumn="0" w:firstRowLastColumn="0" w:lastRowFirstColumn="0" w:lastRowLastColumn="0"/>
          <w:trHeight w:val="540"/>
          <w:tblHeader/>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EC5096" w:rsidRDefault="00F2356C" w:rsidP="007D19C5">
            <w:pPr>
              <w:rPr>
                <w:rFonts w:ascii="Calibri" w:eastAsia="Times New Roman" w:hAnsi="Calibri" w:cs="Times New Roman"/>
                <w:b w:val="0"/>
                <w:bCs w:val="0"/>
                <w:color w:val="000000"/>
              </w:rPr>
            </w:pPr>
            <w:r w:rsidRPr="00EC5096">
              <w:rPr>
                <w:rFonts w:ascii="Calibri" w:eastAsia="Times New Roman" w:hAnsi="Calibri" w:cs="Times New Roman"/>
                <w:color w:val="000000"/>
              </w:rPr>
              <w:t>Sector</w:t>
            </w:r>
          </w:p>
        </w:tc>
        <w:tc>
          <w:tcPr>
            <w:tcW w:w="863" w:type="pct"/>
            <w:vAlign w:val="center"/>
            <w:hideMark/>
          </w:tcPr>
          <w:p w:rsidR="00F2356C" w:rsidRPr="00EC5096" w:rsidRDefault="00F2356C" w:rsidP="007D19C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rPr>
            </w:pPr>
            <w:r w:rsidRPr="00EC5096">
              <w:rPr>
                <w:rFonts w:ascii="Calibri" w:eastAsia="Times New Roman" w:hAnsi="Calibri" w:cs="Times New Roman"/>
                <w:color w:val="000000"/>
              </w:rPr>
              <w:t xml:space="preserve">Exploration </w:t>
            </w:r>
            <w:r w:rsidRPr="00EC5096">
              <w:rPr>
                <w:rFonts w:ascii="Calibri" w:eastAsia="Times New Roman" w:hAnsi="Calibri" w:cs="Times New Roman"/>
                <w:color w:val="000000"/>
              </w:rPr>
              <w:br/>
              <w:t>($A million)</w:t>
            </w:r>
          </w:p>
        </w:tc>
        <w:tc>
          <w:tcPr>
            <w:tcW w:w="922" w:type="pct"/>
            <w:vAlign w:val="center"/>
            <w:hideMark/>
          </w:tcPr>
          <w:p w:rsidR="00F2356C" w:rsidRPr="00EC5096" w:rsidRDefault="00F2356C" w:rsidP="007D19C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rPr>
            </w:pPr>
            <w:r w:rsidRPr="00EC5096">
              <w:rPr>
                <w:rFonts w:ascii="Calibri" w:eastAsia="Times New Roman" w:hAnsi="Calibri" w:cs="Times New Roman"/>
                <w:color w:val="000000"/>
              </w:rPr>
              <w:t>As % of total</w:t>
            </w:r>
          </w:p>
        </w:tc>
        <w:tc>
          <w:tcPr>
            <w:tcW w:w="863" w:type="pct"/>
            <w:vAlign w:val="center"/>
            <w:hideMark/>
          </w:tcPr>
          <w:p w:rsidR="00F2356C" w:rsidRPr="00EC5096" w:rsidRDefault="00F2356C" w:rsidP="007D19C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rPr>
            </w:pPr>
            <w:r w:rsidRPr="00EC5096">
              <w:rPr>
                <w:rFonts w:ascii="Calibri" w:eastAsia="Times New Roman" w:hAnsi="Calibri" w:cs="Times New Roman"/>
                <w:color w:val="000000"/>
              </w:rPr>
              <w:t xml:space="preserve">Mining </w:t>
            </w:r>
            <w:r w:rsidRPr="00EC5096">
              <w:rPr>
                <w:rFonts w:ascii="Calibri" w:eastAsia="Times New Roman" w:hAnsi="Calibri" w:cs="Times New Roman"/>
                <w:color w:val="000000"/>
              </w:rPr>
              <w:br/>
              <w:t>($A million)</w:t>
            </w:r>
          </w:p>
        </w:tc>
        <w:tc>
          <w:tcPr>
            <w:tcW w:w="922" w:type="pct"/>
            <w:vAlign w:val="center"/>
            <w:hideMark/>
          </w:tcPr>
          <w:p w:rsidR="00F2356C" w:rsidRPr="00EC5096" w:rsidRDefault="00F2356C" w:rsidP="007D19C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rPr>
            </w:pPr>
            <w:r w:rsidRPr="00EC5096">
              <w:rPr>
                <w:rFonts w:ascii="Calibri" w:eastAsia="Times New Roman" w:hAnsi="Calibri" w:cs="Times New Roman"/>
                <w:color w:val="000000"/>
              </w:rPr>
              <w:t>As % of total</w:t>
            </w:r>
          </w:p>
        </w:tc>
      </w:tr>
      <w:tr w:rsidR="00F2356C" w:rsidRPr="00EC5096" w:rsidTr="007D19C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2C2EA2" w:rsidRDefault="00F2356C" w:rsidP="007D19C5">
            <w:pPr>
              <w:rPr>
                <w:rFonts w:ascii="Calibri" w:eastAsia="Times New Roman" w:hAnsi="Calibri" w:cs="Times New Roman"/>
                <w:b w:val="0"/>
                <w:color w:val="000000"/>
              </w:rPr>
            </w:pPr>
            <w:r w:rsidRPr="002C2EA2">
              <w:rPr>
                <w:rFonts w:ascii="Calibri" w:eastAsia="Times New Roman" w:hAnsi="Calibri" w:cs="Times New Roman"/>
                <w:b w:val="0"/>
                <w:color w:val="000000"/>
              </w:rPr>
              <w:t xml:space="preserve">Brown Coal </w:t>
            </w:r>
          </w:p>
        </w:tc>
        <w:tc>
          <w:tcPr>
            <w:tcW w:w="863" w:type="pct"/>
            <w:noWrap/>
            <w:vAlign w:val="center"/>
            <w:hideMark/>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0.4</w:t>
            </w:r>
          </w:p>
        </w:tc>
        <w:tc>
          <w:tcPr>
            <w:tcW w:w="922" w:type="pct"/>
            <w:noWrap/>
            <w:vAlign w:val="center"/>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1.2%</w:t>
            </w:r>
          </w:p>
        </w:tc>
        <w:tc>
          <w:tcPr>
            <w:tcW w:w="863" w:type="pct"/>
            <w:noWrap/>
            <w:vAlign w:val="center"/>
            <w:hideMark/>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302.4</w:t>
            </w:r>
          </w:p>
        </w:tc>
        <w:tc>
          <w:tcPr>
            <w:tcW w:w="922" w:type="pct"/>
            <w:noWrap/>
            <w:vAlign w:val="center"/>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49%</w:t>
            </w:r>
          </w:p>
        </w:tc>
      </w:tr>
      <w:tr w:rsidR="00F2356C" w:rsidRPr="00EC5096" w:rsidTr="007D19C5">
        <w:trPr>
          <w:trHeight w:val="330"/>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2C2EA2" w:rsidRDefault="00F2356C" w:rsidP="007D19C5">
            <w:pPr>
              <w:rPr>
                <w:rFonts w:ascii="Calibri" w:eastAsia="Times New Roman" w:hAnsi="Calibri" w:cs="Times New Roman"/>
                <w:b w:val="0"/>
                <w:color w:val="000000"/>
              </w:rPr>
            </w:pPr>
            <w:r w:rsidRPr="002C2EA2">
              <w:rPr>
                <w:rFonts w:ascii="Calibri" w:eastAsia="Times New Roman" w:hAnsi="Calibri" w:cs="Times New Roman"/>
                <w:b w:val="0"/>
                <w:color w:val="000000"/>
              </w:rPr>
              <w:t xml:space="preserve">Gold </w:t>
            </w:r>
          </w:p>
        </w:tc>
        <w:tc>
          <w:tcPr>
            <w:tcW w:w="863" w:type="pct"/>
            <w:noWrap/>
            <w:vAlign w:val="center"/>
            <w:hideMark/>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7.5</w:t>
            </w:r>
          </w:p>
        </w:tc>
        <w:tc>
          <w:tcPr>
            <w:tcW w:w="922" w:type="pct"/>
            <w:noWrap/>
            <w:vAlign w:val="center"/>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23.3%</w:t>
            </w:r>
          </w:p>
        </w:tc>
        <w:tc>
          <w:tcPr>
            <w:tcW w:w="863" w:type="pct"/>
            <w:noWrap/>
            <w:vAlign w:val="center"/>
            <w:hideMark/>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191.5</w:t>
            </w:r>
          </w:p>
        </w:tc>
        <w:tc>
          <w:tcPr>
            <w:tcW w:w="922" w:type="pct"/>
            <w:noWrap/>
            <w:vAlign w:val="center"/>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31%</w:t>
            </w:r>
          </w:p>
        </w:tc>
      </w:tr>
      <w:tr w:rsidR="00F2356C" w:rsidRPr="00EC5096" w:rsidTr="007D19C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2C2EA2" w:rsidRDefault="00F2356C" w:rsidP="007D19C5">
            <w:pPr>
              <w:rPr>
                <w:rFonts w:ascii="Calibri" w:eastAsia="Times New Roman" w:hAnsi="Calibri" w:cs="Times New Roman"/>
                <w:b w:val="0"/>
                <w:color w:val="000000"/>
              </w:rPr>
            </w:pPr>
            <w:r w:rsidRPr="002C2EA2">
              <w:rPr>
                <w:rFonts w:ascii="Calibri" w:eastAsia="Times New Roman" w:hAnsi="Calibri" w:cs="Times New Roman"/>
                <w:b w:val="0"/>
                <w:color w:val="000000"/>
              </w:rPr>
              <w:t>Heavy Mineral Sands</w:t>
            </w:r>
          </w:p>
        </w:tc>
        <w:tc>
          <w:tcPr>
            <w:tcW w:w="863" w:type="pct"/>
            <w:noWrap/>
            <w:vAlign w:val="center"/>
            <w:hideMark/>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3.1</w:t>
            </w:r>
          </w:p>
        </w:tc>
        <w:tc>
          <w:tcPr>
            <w:tcW w:w="922" w:type="pct"/>
            <w:noWrap/>
            <w:vAlign w:val="center"/>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9.6%</w:t>
            </w:r>
          </w:p>
        </w:tc>
        <w:tc>
          <w:tcPr>
            <w:tcW w:w="863" w:type="pct"/>
            <w:noWrap/>
            <w:vAlign w:val="center"/>
            <w:hideMark/>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75.4</w:t>
            </w:r>
          </w:p>
        </w:tc>
        <w:tc>
          <w:tcPr>
            <w:tcW w:w="922" w:type="pct"/>
            <w:noWrap/>
            <w:vAlign w:val="center"/>
          </w:tcPr>
          <w:p w:rsidR="00F2356C" w:rsidRPr="00ED6A9D"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12%</w:t>
            </w:r>
          </w:p>
        </w:tc>
      </w:tr>
      <w:tr w:rsidR="00F2356C" w:rsidRPr="00EC5096" w:rsidTr="007D19C5">
        <w:trPr>
          <w:trHeight w:val="330"/>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2C2EA2" w:rsidRDefault="00F2356C" w:rsidP="007D19C5">
            <w:pPr>
              <w:rPr>
                <w:rFonts w:ascii="Calibri" w:eastAsia="Times New Roman" w:hAnsi="Calibri" w:cs="Times New Roman"/>
                <w:b w:val="0"/>
                <w:color w:val="000000"/>
              </w:rPr>
            </w:pPr>
            <w:r w:rsidRPr="002C2EA2">
              <w:rPr>
                <w:rFonts w:ascii="Calibri" w:eastAsia="Times New Roman" w:hAnsi="Calibri" w:cs="Times New Roman"/>
                <w:b w:val="0"/>
                <w:color w:val="000000"/>
              </w:rPr>
              <w:t>Other</w:t>
            </w:r>
            <w:r>
              <w:rPr>
                <w:rFonts w:ascii="Calibri" w:eastAsia="Times New Roman" w:hAnsi="Calibri" w:cs="Times New Roman"/>
                <w:b w:val="0"/>
                <w:color w:val="000000"/>
              </w:rPr>
              <w:t>**</w:t>
            </w:r>
          </w:p>
        </w:tc>
        <w:tc>
          <w:tcPr>
            <w:tcW w:w="863" w:type="pct"/>
            <w:noWrap/>
            <w:vAlign w:val="center"/>
            <w:hideMark/>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21.3</w:t>
            </w:r>
          </w:p>
        </w:tc>
        <w:tc>
          <w:tcPr>
            <w:tcW w:w="922" w:type="pct"/>
            <w:noWrap/>
            <w:vAlign w:val="center"/>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65.9%</w:t>
            </w:r>
          </w:p>
        </w:tc>
        <w:tc>
          <w:tcPr>
            <w:tcW w:w="863" w:type="pct"/>
            <w:noWrap/>
            <w:vAlign w:val="center"/>
            <w:hideMark/>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53.0</w:t>
            </w:r>
          </w:p>
        </w:tc>
        <w:tc>
          <w:tcPr>
            <w:tcW w:w="922" w:type="pct"/>
            <w:noWrap/>
            <w:vAlign w:val="center"/>
          </w:tcPr>
          <w:p w:rsidR="00F2356C" w:rsidRPr="00ED6A9D" w:rsidRDefault="00F2356C" w:rsidP="007D19C5">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9%</w:t>
            </w:r>
          </w:p>
        </w:tc>
      </w:tr>
      <w:tr w:rsidR="00F2356C" w:rsidRPr="00EC5096" w:rsidTr="007D19C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30" w:type="pct"/>
            <w:noWrap/>
            <w:vAlign w:val="center"/>
            <w:hideMark/>
          </w:tcPr>
          <w:p w:rsidR="00F2356C" w:rsidRPr="00EC5096" w:rsidRDefault="00F2356C" w:rsidP="007D19C5">
            <w:pPr>
              <w:rPr>
                <w:rFonts w:ascii="Calibri" w:eastAsia="Times New Roman" w:hAnsi="Calibri" w:cs="Times New Roman"/>
                <w:b w:val="0"/>
                <w:bCs w:val="0"/>
                <w:color w:val="000000"/>
              </w:rPr>
            </w:pPr>
            <w:r w:rsidRPr="00EC5096">
              <w:rPr>
                <w:rFonts w:ascii="Calibri" w:eastAsia="Times New Roman" w:hAnsi="Calibri" w:cs="Times New Roman"/>
                <w:color w:val="000000"/>
              </w:rPr>
              <w:t>Total</w:t>
            </w:r>
          </w:p>
        </w:tc>
        <w:tc>
          <w:tcPr>
            <w:tcW w:w="863" w:type="pct"/>
            <w:noWrap/>
            <w:vAlign w:val="center"/>
            <w:hideMark/>
          </w:tcPr>
          <w:p w:rsidR="00F2356C" w:rsidRPr="002C2EA2"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2C2EA2">
              <w:rPr>
                <w:rFonts w:eastAsia="Times New Roman" w:cs="Mangal"/>
                <w:b/>
                <w:color w:val="000000" w:themeColor="text1"/>
              </w:rPr>
              <w:t>32.3</w:t>
            </w:r>
          </w:p>
        </w:tc>
        <w:tc>
          <w:tcPr>
            <w:tcW w:w="922" w:type="pct"/>
            <w:noWrap/>
            <w:vAlign w:val="center"/>
            <w:hideMark/>
          </w:tcPr>
          <w:p w:rsidR="00F2356C" w:rsidRPr="002C2EA2"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2C2EA2">
              <w:rPr>
                <w:rFonts w:eastAsia="Times New Roman" w:cs="Mangal"/>
                <w:b/>
                <w:color w:val="000000" w:themeColor="text1"/>
              </w:rPr>
              <w:t>100.0%</w:t>
            </w:r>
          </w:p>
        </w:tc>
        <w:tc>
          <w:tcPr>
            <w:tcW w:w="863" w:type="pct"/>
            <w:noWrap/>
            <w:vAlign w:val="center"/>
            <w:hideMark/>
          </w:tcPr>
          <w:p w:rsidR="00F2356C" w:rsidRPr="002C2EA2"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2C2EA2">
              <w:rPr>
                <w:rFonts w:eastAsia="Times New Roman" w:cs="Mangal"/>
                <w:b/>
                <w:color w:val="000000" w:themeColor="text1"/>
              </w:rPr>
              <w:t>622.3</w:t>
            </w:r>
          </w:p>
        </w:tc>
        <w:tc>
          <w:tcPr>
            <w:tcW w:w="922" w:type="pct"/>
            <w:noWrap/>
            <w:vAlign w:val="center"/>
            <w:hideMark/>
          </w:tcPr>
          <w:p w:rsidR="00F2356C" w:rsidRPr="002C2EA2" w:rsidRDefault="00F2356C" w:rsidP="007D19C5">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2C2EA2">
              <w:rPr>
                <w:rFonts w:eastAsia="Times New Roman" w:cs="Mangal"/>
                <w:b/>
                <w:color w:val="000000" w:themeColor="text1"/>
              </w:rPr>
              <w:t>100%</w:t>
            </w:r>
          </w:p>
        </w:tc>
      </w:tr>
    </w:tbl>
    <w:p w:rsidR="00F2356C" w:rsidRPr="00EC5096" w:rsidRDefault="00F2356C" w:rsidP="00F2356C">
      <w:pPr>
        <w:spacing w:before="0" w:after="0" w:line="240" w:lineRule="auto"/>
        <w:jc w:val="both"/>
        <w:rPr>
          <w:rFonts w:ascii="Calibri" w:eastAsia="Times New Roman" w:hAnsi="Calibri" w:cs="Mangal"/>
          <w:sz w:val="16"/>
          <w:szCs w:val="16"/>
        </w:rPr>
      </w:pPr>
      <w:r w:rsidRPr="00EC5096">
        <w:rPr>
          <w:rFonts w:ascii="Calibri" w:eastAsia="Times New Roman" w:hAnsi="Calibri" w:cs="Mangal"/>
          <w:sz w:val="16"/>
          <w:szCs w:val="16"/>
        </w:rPr>
        <w:t>Source: DEDJTR</w:t>
      </w:r>
    </w:p>
    <w:p w:rsidR="00F2356C" w:rsidRPr="00EC5096" w:rsidRDefault="00F2356C" w:rsidP="00F2356C">
      <w:pPr>
        <w:spacing w:before="0" w:after="0" w:line="240" w:lineRule="auto"/>
        <w:jc w:val="both"/>
        <w:rPr>
          <w:rFonts w:ascii="Calibri" w:eastAsia="Times New Roman" w:hAnsi="Calibri" w:cs="Mangal"/>
          <w:sz w:val="16"/>
          <w:szCs w:val="24"/>
        </w:rPr>
      </w:pPr>
      <w:r w:rsidRPr="00EC5096">
        <w:rPr>
          <w:rFonts w:ascii="Calibri" w:eastAsia="Times New Roman" w:hAnsi="Calibri" w:cs="Mangal"/>
          <w:sz w:val="16"/>
          <w:szCs w:val="24"/>
        </w:rPr>
        <w:t xml:space="preserve">*Notes:  Expenditures are allocated to commodity according to the primary nominated mineral commodity on the licence. Brown coal includes all coal types.   </w:t>
      </w:r>
    </w:p>
    <w:p w:rsidR="00F2356C" w:rsidRPr="00EC5096" w:rsidRDefault="00F2356C" w:rsidP="00F2356C">
      <w:pPr>
        <w:spacing w:before="0" w:after="0" w:line="240" w:lineRule="auto"/>
        <w:jc w:val="both"/>
        <w:rPr>
          <w:rFonts w:ascii="Calibri" w:eastAsia="Times New Roman" w:hAnsi="Calibri" w:cs="Mangal"/>
          <w:sz w:val="16"/>
          <w:szCs w:val="24"/>
        </w:rPr>
      </w:pPr>
      <w:r w:rsidRPr="00EC5096">
        <w:rPr>
          <w:rFonts w:ascii="Calibri" w:eastAsia="Times New Roman" w:hAnsi="Calibri" w:cs="Mangal"/>
          <w:sz w:val="16"/>
          <w:szCs w:val="24"/>
        </w:rPr>
        <w:t>** “Other” includes cases where there is more than one primary mineral</w:t>
      </w:r>
    </w:p>
    <w:p w:rsidR="00F2356C" w:rsidRDefault="00F2356C" w:rsidP="00EC5096">
      <w:pPr>
        <w:spacing w:before="0" w:after="0" w:line="240" w:lineRule="auto"/>
        <w:jc w:val="both"/>
        <w:rPr>
          <w:rFonts w:ascii="Calibri" w:eastAsia="Times New Roman" w:hAnsi="Calibri" w:cs="Mangal"/>
          <w:b/>
          <w:szCs w:val="24"/>
        </w:rPr>
      </w:pPr>
    </w:p>
    <w:p w:rsidR="00F2356C" w:rsidRDefault="00F2356C" w:rsidP="00EC5096">
      <w:pPr>
        <w:spacing w:before="0" w:after="0" w:line="240" w:lineRule="auto"/>
        <w:jc w:val="both"/>
        <w:rPr>
          <w:rFonts w:ascii="Calibri" w:eastAsia="Times New Roman" w:hAnsi="Calibri" w:cs="Mangal"/>
          <w:b/>
          <w:szCs w:val="24"/>
        </w:rPr>
      </w:pPr>
    </w:p>
    <w:p w:rsidR="00EC5096" w:rsidRPr="00EC5096" w:rsidRDefault="00EC5096" w:rsidP="00EC5096">
      <w:pPr>
        <w:spacing w:before="0" w:after="0" w:line="240" w:lineRule="auto"/>
        <w:jc w:val="both"/>
        <w:rPr>
          <w:rFonts w:ascii="Calibri" w:eastAsia="Times New Roman" w:hAnsi="Calibri" w:cs="Mangal"/>
          <w:b/>
          <w:szCs w:val="24"/>
        </w:rPr>
      </w:pPr>
      <w:r w:rsidRPr="00EC5096">
        <w:rPr>
          <w:rFonts w:ascii="Calibri" w:eastAsia="Times New Roman" w:hAnsi="Calibri" w:cs="Mangal"/>
          <w:b/>
          <w:szCs w:val="24"/>
        </w:rPr>
        <w:t xml:space="preserve">Graph </w:t>
      </w:r>
      <w:r w:rsidR="002B7F82">
        <w:rPr>
          <w:rFonts w:ascii="Calibri" w:eastAsia="Times New Roman" w:hAnsi="Calibri" w:cs="Mangal"/>
          <w:b/>
          <w:szCs w:val="24"/>
        </w:rPr>
        <w:t>2</w:t>
      </w:r>
      <w:r w:rsidRPr="00EC5096">
        <w:rPr>
          <w:rFonts w:ascii="Calibri" w:eastAsia="Times New Roman" w:hAnsi="Calibri" w:cs="Mangal"/>
          <w:b/>
          <w:szCs w:val="24"/>
        </w:rPr>
        <w:t>.</w:t>
      </w:r>
      <w:r w:rsidR="00F2356C">
        <w:rPr>
          <w:rFonts w:ascii="Calibri" w:eastAsia="Times New Roman" w:hAnsi="Calibri" w:cs="Mangal"/>
          <w:b/>
          <w:szCs w:val="24"/>
        </w:rPr>
        <w:t>6</w:t>
      </w:r>
      <w:r w:rsidRPr="00EC5096">
        <w:rPr>
          <w:rFonts w:ascii="Calibri" w:eastAsia="Times New Roman" w:hAnsi="Calibri" w:cs="Mangal"/>
          <w:b/>
          <w:szCs w:val="24"/>
        </w:rPr>
        <w:t xml:space="preserve"> Mineral exploration and mining development expenditure by sector (MRSDA) 2014/15</w:t>
      </w:r>
    </w:p>
    <w:p w:rsidR="00EC5096" w:rsidRPr="00EC5096" w:rsidRDefault="00EC5096" w:rsidP="00EC5096">
      <w:pPr>
        <w:spacing w:before="0" w:after="0" w:line="240" w:lineRule="auto"/>
        <w:jc w:val="both"/>
        <w:rPr>
          <w:rFonts w:ascii="Calibri" w:eastAsia="Times New Roman" w:hAnsi="Calibri" w:cs="Mangal"/>
          <w:b/>
          <w:szCs w:val="24"/>
        </w:rPr>
      </w:pPr>
      <w:r w:rsidRPr="00EC5096">
        <w:rPr>
          <w:rFonts w:ascii="Arial" w:eastAsia="Times New Roman" w:hAnsi="Arial" w:cs="Mangal"/>
          <w:noProof/>
          <w:sz w:val="18"/>
          <w:szCs w:val="24"/>
        </w:rPr>
        <w:drawing>
          <wp:inline distT="0" distB="0" distL="0" distR="0" wp14:anchorId="6B20B100" wp14:editId="60332B42">
            <wp:extent cx="6645600" cy="2674800"/>
            <wp:effectExtent l="0" t="0" r="22225" b="11430"/>
            <wp:docPr id="8" name="Chart 8" descr="The chart shows exploration in $ and mining in $. Brown coal exploration is $0; mining $300m. Gold exploration is $7.5m; mining is $191.5m. Heavy mineral sands exploration is $3.1m; mining is $75.4m. Other exploration is $21.3m; mining is $53m." title="Mineral exploration and mining development expendit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C5096" w:rsidRDefault="00EC5096" w:rsidP="00EC5096">
      <w:pPr>
        <w:spacing w:before="0" w:after="0" w:line="240" w:lineRule="auto"/>
        <w:jc w:val="both"/>
        <w:rPr>
          <w:rFonts w:ascii="Calibri" w:eastAsia="Times New Roman" w:hAnsi="Calibri" w:cs="Mangal"/>
          <w:sz w:val="16"/>
          <w:szCs w:val="24"/>
        </w:rPr>
      </w:pPr>
      <w:r w:rsidRPr="00EC5096">
        <w:rPr>
          <w:rFonts w:ascii="Calibri" w:eastAsia="Times New Roman" w:hAnsi="Calibri" w:cs="Mangal"/>
          <w:szCs w:val="24"/>
        </w:rPr>
        <w:t xml:space="preserve"> </w:t>
      </w:r>
      <w:r w:rsidRPr="00EC5096">
        <w:rPr>
          <w:rFonts w:ascii="Calibri" w:eastAsia="Times New Roman" w:hAnsi="Calibri" w:cs="Mangal"/>
          <w:sz w:val="16"/>
          <w:szCs w:val="24"/>
        </w:rPr>
        <w:t>Source: DEDJTR</w:t>
      </w:r>
    </w:p>
    <w:p w:rsidR="00EC5096" w:rsidRPr="00EC5096" w:rsidRDefault="00EC5096" w:rsidP="00EC5096">
      <w:pPr>
        <w:spacing w:before="0" w:after="0" w:line="240" w:lineRule="auto"/>
        <w:jc w:val="both"/>
        <w:rPr>
          <w:rFonts w:ascii="Calibri" w:eastAsia="Times New Roman" w:hAnsi="Calibri" w:cs="Mangal"/>
          <w:szCs w:val="24"/>
        </w:rPr>
      </w:pPr>
    </w:p>
    <w:p w:rsidR="00EC5096" w:rsidRDefault="00EC5096" w:rsidP="00EC5096">
      <w:pPr>
        <w:pStyle w:val="Heading2"/>
      </w:pPr>
      <w:bookmarkStart w:id="17" w:name="_Toc456261062"/>
      <w:r>
        <w:lastRenderedPageBreak/>
        <w:t>Mineral Production</w:t>
      </w:r>
      <w:bookmarkEnd w:id="17"/>
    </w:p>
    <w:p w:rsidR="00EC5096" w:rsidRPr="00EC5096" w:rsidRDefault="00EC5096" w:rsidP="00EC5096">
      <w:pPr>
        <w:pStyle w:val="BodyText"/>
        <w:spacing w:before="0" w:after="0" w:line="240" w:lineRule="auto"/>
        <w:rPr>
          <w:sz w:val="20"/>
        </w:rPr>
      </w:pPr>
      <w:r w:rsidRPr="00EC5096">
        <w:rPr>
          <w:sz w:val="20"/>
        </w:rPr>
        <w:t>Victorian mineral production is comprised mainly of brown coal, gold, mineral sands and antimony.</w:t>
      </w:r>
    </w:p>
    <w:p w:rsidR="00EC5096" w:rsidRPr="00EC5096" w:rsidRDefault="00EC5096" w:rsidP="00EC5096">
      <w:pPr>
        <w:pStyle w:val="BodyText"/>
        <w:numPr>
          <w:ilvl w:val="0"/>
          <w:numId w:val="0"/>
        </w:numPr>
        <w:spacing w:before="0" w:after="0" w:line="240" w:lineRule="auto"/>
        <w:rPr>
          <w:sz w:val="20"/>
        </w:rPr>
      </w:pPr>
    </w:p>
    <w:p w:rsidR="00EC5096" w:rsidRPr="00EC5096" w:rsidRDefault="00EC5096" w:rsidP="00EC5096">
      <w:pPr>
        <w:pStyle w:val="BodyText"/>
        <w:numPr>
          <w:ilvl w:val="0"/>
          <w:numId w:val="0"/>
        </w:numPr>
        <w:spacing w:before="0" w:after="0" w:line="240" w:lineRule="auto"/>
        <w:rPr>
          <w:sz w:val="20"/>
        </w:rPr>
      </w:pPr>
      <w:r w:rsidRPr="00EC5096">
        <w:rPr>
          <w:sz w:val="20"/>
        </w:rPr>
        <w:t xml:space="preserve">Brown coal production continues to be </w:t>
      </w:r>
      <w:r w:rsidR="00E57F5D">
        <w:rPr>
          <w:sz w:val="20"/>
        </w:rPr>
        <w:t>dominated</w:t>
      </w:r>
      <w:r w:rsidRPr="00EC5096">
        <w:rPr>
          <w:sz w:val="20"/>
        </w:rPr>
        <w:t xml:space="preserve"> by electricity generation companies in the Latrobe Valley, Hazelwood Power Corporation, AGL and Energy Australia. The Maddingley Brown Coal company produces a small amount of coal in Bacchus Marsh for fuel and soil conditioning</w:t>
      </w:r>
      <w:r w:rsidR="00E57F5D">
        <w:rPr>
          <w:sz w:val="20"/>
        </w:rPr>
        <w:t>.</w:t>
      </w:r>
    </w:p>
    <w:p w:rsidR="00EC5096" w:rsidRPr="00EC5096" w:rsidRDefault="00EC5096" w:rsidP="00EC5096">
      <w:pPr>
        <w:pStyle w:val="BodyText"/>
        <w:numPr>
          <w:ilvl w:val="0"/>
          <w:numId w:val="0"/>
        </w:numPr>
        <w:spacing w:before="0" w:after="0" w:line="240" w:lineRule="auto"/>
        <w:rPr>
          <w:sz w:val="20"/>
        </w:rPr>
      </w:pPr>
    </w:p>
    <w:p w:rsidR="00EC5096" w:rsidRPr="00EC5096" w:rsidRDefault="00EC5096" w:rsidP="00EC5096">
      <w:pPr>
        <w:pStyle w:val="BodyText"/>
        <w:numPr>
          <w:ilvl w:val="0"/>
          <w:numId w:val="0"/>
        </w:numPr>
        <w:spacing w:before="0" w:after="0" w:line="240" w:lineRule="auto"/>
        <w:rPr>
          <w:sz w:val="20"/>
        </w:rPr>
      </w:pPr>
      <w:r w:rsidRPr="00EC5096">
        <w:rPr>
          <w:sz w:val="20"/>
        </w:rPr>
        <w:t>Brown coal production increased by 2.95 million tonnes in 2014/15, a 5.1% increase as compared to 2013/14.</w:t>
      </w:r>
    </w:p>
    <w:p w:rsidR="00EC5096" w:rsidRPr="00EC5096" w:rsidRDefault="00EC5096" w:rsidP="00EC5096">
      <w:pPr>
        <w:pStyle w:val="BodyText"/>
        <w:numPr>
          <w:ilvl w:val="0"/>
          <w:numId w:val="0"/>
        </w:numPr>
        <w:spacing w:before="0" w:after="0" w:line="240" w:lineRule="auto"/>
        <w:ind w:firstLine="720"/>
        <w:rPr>
          <w:sz w:val="20"/>
        </w:rPr>
      </w:pPr>
    </w:p>
    <w:p w:rsidR="00EC5096" w:rsidRDefault="00EC5096" w:rsidP="00EC5096">
      <w:pPr>
        <w:pStyle w:val="BodyText"/>
        <w:numPr>
          <w:ilvl w:val="0"/>
          <w:numId w:val="0"/>
        </w:numPr>
        <w:spacing w:before="0" w:after="0" w:line="240" w:lineRule="auto"/>
        <w:rPr>
          <w:sz w:val="20"/>
        </w:rPr>
      </w:pPr>
      <w:r w:rsidRPr="00EC5096">
        <w:rPr>
          <w:sz w:val="20"/>
        </w:rPr>
        <w:t xml:space="preserve">Gold production </w:t>
      </w:r>
      <w:r w:rsidR="00403DC4">
        <w:rPr>
          <w:sz w:val="20"/>
        </w:rPr>
        <w:t>dropped</w:t>
      </w:r>
      <w:r w:rsidRPr="00EC5096">
        <w:rPr>
          <w:sz w:val="20"/>
        </w:rPr>
        <w:t xml:space="preserve"> from 225,168 ounce</w:t>
      </w:r>
      <w:r w:rsidR="00DB7DC9">
        <w:rPr>
          <w:sz w:val="20"/>
        </w:rPr>
        <w:t>s</w:t>
      </w:r>
      <w:r w:rsidRPr="00EC5096">
        <w:rPr>
          <w:sz w:val="20"/>
        </w:rPr>
        <w:t xml:space="preserve"> to 198,387</w:t>
      </w:r>
      <w:r w:rsidR="00DB7DC9">
        <w:rPr>
          <w:sz w:val="20"/>
        </w:rPr>
        <w:t xml:space="preserve"> ounces</w:t>
      </w:r>
      <w:r w:rsidRPr="00EC5096">
        <w:rPr>
          <w:sz w:val="20"/>
        </w:rPr>
        <w:t xml:space="preserve">, a reduction of 11.9%. </w:t>
      </w:r>
      <w:r w:rsidR="00403DC4">
        <w:rPr>
          <w:sz w:val="20"/>
        </w:rPr>
        <w:t>G</w:t>
      </w:r>
      <w:r w:rsidRPr="00EC5096">
        <w:rPr>
          <w:sz w:val="20"/>
        </w:rPr>
        <w:t>old production values</w:t>
      </w:r>
      <w:r w:rsidR="00403DC4">
        <w:rPr>
          <w:sz w:val="20"/>
        </w:rPr>
        <w:t xml:space="preserve"> dropped </w:t>
      </w:r>
      <w:r w:rsidRPr="00EC5096">
        <w:rPr>
          <w:sz w:val="20"/>
        </w:rPr>
        <w:t xml:space="preserve"> from $303.4 million to $286.9 million, a 5.4% reduction in gold production value.</w:t>
      </w:r>
    </w:p>
    <w:p w:rsidR="00EC5096" w:rsidRDefault="00EC5096" w:rsidP="00EC5096">
      <w:pPr>
        <w:pStyle w:val="bodycopy"/>
        <w:rPr>
          <w:lang w:eastAsia="en-US"/>
        </w:rPr>
      </w:pPr>
      <w:r>
        <w:br w:type="page"/>
      </w:r>
    </w:p>
    <w:p w:rsidR="008A56F5" w:rsidRPr="008A56F5" w:rsidRDefault="008A56F5" w:rsidP="008A56F5">
      <w:pPr>
        <w:spacing w:before="0" w:after="0" w:line="240" w:lineRule="auto"/>
        <w:jc w:val="both"/>
        <w:rPr>
          <w:rFonts w:ascii="Calibri" w:eastAsia="Times New Roman" w:hAnsi="Calibri" w:cs="Mangal"/>
          <w:b/>
          <w:szCs w:val="24"/>
        </w:rPr>
      </w:pPr>
      <w:r w:rsidRPr="008A56F5">
        <w:rPr>
          <w:rFonts w:ascii="Calibri" w:eastAsia="Times New Roman" w:hAnsi="Calibri" w:cs="Mangal"/>
          <w:b/>
          <w:szCs w:val="24"/>
        </w:rPr>
        <w:lastRenderedPageBreak/>
        <w:t xml:space="preserve">Table </w:t>
      </w:r>
      <w:r w:rsidR="002B7F82">
        <w:rPr>
          <w:rFonts w:ascii="Calibri" w:eastAsia="Times New Roman" w:hAnsi="Calibri" w:cs="Mangal"/>
          <w:b/>
          <w:szCs w:val="24"/>
        </w:rPr>
        <w:t>2</w:t>
      </w:r>
      <w:r w:rsidRPr="008A56F5">
        <w:rPr>
          <w:rFonts w:ascii="Calibri" w:eastAsia="Times New Roman" w:hAnsi="Calibri" w:cs="Mangal"/>
          <w:b/>
          <w:szCs w:val="24"/>
        </w:rPr>
        <w:t>.7 Mineral production over time*</w:t>
      </w:r>
    </w:p>
    <w:tbl>
      <w:tblPr>
        <w:tblStyle w:val="LightShading-Accent1"/>
        <w:tblW w:w="5000" w:type="pct"/>
        <w:tblLook w:val="04A0" w:firstRow="1" w:lastRow="0" w:firstColumn="1" w:lastColumn="0" w:noHBand="0" w:noVBand="1"/>
      </w:tblPr>
      <w:tblGrid>
        <w:gridCol w:w="1187"/>
        <w:gridCol w:w="829"/>
        <w:gridCol w:w="677"/>
        <w:gridCol w:w="790"/>
        <w:gridCol w:w="1293"/>
        <w:gridCol w:w="1145"/>
        <w:gridCol w:w="677"/>
        <w:gridCol w:w="677"/>
        <w:gridCol w:w="701"/>
        <w:gridCol w:w="711"/>
        <w:gridCol w:w="784"/>
        <w:gridCol w:w="1211"/>
      </w:tblGrid>
      <w:tr w:rsidR="00DB6C71" w:rsidRPr="008A56F5" w:rsidTr="002C2EA2">
        <w:trPr>
          <w:cnfStyle w:val="100000000000" w:firstRow="1" w:lastRow="0" w:firstColumn="0" w:lastColumn="0" w:oddVBand="0" w:evenVBand="0" w:oddHBand="0" w:evenHBand="0" w:firstRowFirstColumn="0" w:firstRowLastColumn="0" w:lastRowFirstColumn="0" w:lastRowLastColumn="0"/>
          <w:trHeight w:val="1078"/>
          <w:tblHeader/>
        </w:trPr>
        <w:tc>
          <w:tcPr>
            <w:cnfStyle w:val="001000000000" w:firstRow="0" w:lastRow="0" w:firstColumn="1" w:lastColumn="0" w:oddVBand="0" w:evenVBand="0" w:oddHBand="0" w:evenHBand="0" w:firstRowFirstColumn="0" w:firstRowLastColumn="0" w:lastRowFirstColumn="0" w:lastRowLastColumn="0"/>
            <w:tcW w:w="555" w:type="pct"/>
            <w:shd w:val="clear" w:color="auto" w:fill="DBE5F1" w:themeFill="accent1" w:themeFillTint="33"/>
            <w:vAlign w:val="center"/>
            <w:hideMark/>
          </w:tcPr>
          <w:p w:rsidR="008A56F5" w:rsidRPr="0029262F" w:rsidRDefault="00506758" w:rsidP="002C2EA2">
            <w:pPr>
              <w:pStyle w:val="bodycopy"/>
              <w:rPr>
                <w:rFonts w:eastAsia="Times New Roman"/>
                <w:b w:val="0"/>
                <w:color w:val="000000" w:themeColor="text1"/>
                <w:sz w:val="14"/>
              </w:rPr>
            </w:pPr>
            <w:r>
              <w:rPr>
                <w:rFonts w:eastAsia="Times New Roman"/>
                <w:b w:val="0"/>
                <w:color w:val="000000" w:themeColor="text1"/>
                <w:sz w:val="14"/>
              </w:rPr>
              <w:t>Year</w:t>
            </w:r>
          </w:p>
        </w:tc>
        <w:tc>
          <w:tcPr>
            <w:tcW w:w="388"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Brown Coal</w:t>
            </w:r>
          </w:p>
        </w:tc>
        <w:tc>
          <w:tcPr>
            <w:tcW w:w="317"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Gold</w:t>
            </w:r>
          </w:p>
        </w:tc>
        <w:tc>
          <w:tcPr>
            <w:tcW w:w="370"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Antimony</w:t>
            </w:r>
          </w:p>
        </w:tc>
        <w:tc>
          <w:tcPr>
            <w:tcW w:w="605"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Copper Concentrate</w:t>
            </w:r>
          </w:p>
        </w:tc>
        <w:tc>
          <w:tcPr>
            <w:tcW w:w="536"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Zinc Concentrate</w:t>
            </w:r>
          </w:p>
        </w:tc>
        <w:tc>
          <w:tcPr>
            <w:tcW w:w="317"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Zircon</w:t>
            </w:r>
          </w:p>
        </w:tc>
        <w:tc>
          <w:tcPr>
            <w:tcW w:w="317"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Rutile</w:t>
            </w:r>
          </w:p>
        </w:tc>
        <w:tc>
          <w:tcPr>
            <w:tcW w:w="328"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Ilmenite</w:t>
            </w:r>
          </w:p>
        </w:tc>
        <w:tc>
          <w:tcPr>
            <w:tcW w:w="333"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Feldspar</w:t>
            </w:r>
          </w:p>
        </w:tc>
        <w:tc>
          <w:tcPr>
            <w:tcW w:w="367"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Gypsum</w:t>
            </w:r>
          </w:p>
        </w:tc>
        <w:tc>
          <w:tcPr>
            <w:tcW w:w="568" w:type="pct"/>
            <w:shd w:val="clear" w:color="auto" w:fill="DBE5F1" w:themeFill="accent1" w:themeFillTint="33"/>
            <w:vAlign w:val="center"/>
            <w:hideMark/>
          </w:tcPr>
          <w:p w:rsidR="008A56F5" w:rsidRPr="0029262F" w:rsidRDefault="008A56F5" w:rsidP="002C2EA2">
            <w:pPr>
              <w:pStyle w:val="bodycopy"/>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Kaolin and fine clay</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top w:val="single" w:sz="8" w:space="0" w:color="4F81BD" w:themeColor="accent1"/>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1993/94</w:t>
            </w:r>
          </w:p>
        </w:tc>
        <w:tc>
          <w:tcPr>
            <w:tcW w:w="388" w:type="pct"/>
            <w:tcBorders>
              <w:top w:val="single" w:sz="8" w:space="0" w:color="4F81BD" w:themeColor="accent1"/>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49,683</w:t>
            </w:r>
          </w:p>
        </w:tc>
        <w:tc>
          <w:tcPr>
            <w:tcW w:w="317" w:type="pct"/>
            <w:tcBorders>
              <w:top w:val="single" w:sz="8" w:space="0" w:color="4F81BD" w:themeColor="accent1"/>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125,960</w:t>
            </w:r>
          </w:p>
        </w:tc>
        <w:tc>
          <w:tcPr>
            <w:tcW w:w="370" w:type="pct"/>
            <w:tcBorders>
              <w:top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tcBorders>
              <w:top w:val="single" w:sz="8" w:space="0" w:color="4F81BD" w:themeColor="accent1"/>
            </w:tcBorders>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16,287</w:t>
            </w:r>
          </w:p>
        </w:tc>
        <w:tc>
          <w:tcPr>
            <w:tcW w:w="536" w:type="pct"/>
            <w:tcBorders>
              <w:top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1,012</w:t>
            </w:r>
          </w:p>
        </w:tc>
        <w:tc>
          <w:tcPr>
            <w:tcW w:w="317" w:type="pct"/>
            <w:tcBorders>
              <w:top w:val="single" w:sz="8" w:space="0" w:color="4F81BD" w:themeColor="accent1"/>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top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top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top w:val="single" w:sz="8" w:space="0" w:color="4F81BD" w:themeColor="accent1"/>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67" w:type="pct"/>
            <w:tcBorders>
              <w:top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176,800</w:t>
            </w:r>
          </w:p>
        </w:tc>
        <w:tc>
          <w:tcPr>
            <w:tcW w:w="568" w:type="pct"/>
            <w:tcBorders>
              <w:top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105,400</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1994/95</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49,922</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138,876</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13,163</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5,947</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193,100</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79,500</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1995/96</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54,281</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155,550</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1,338</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6,384</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198,667</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55,065</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1996/97</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60,795</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151,229</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501,495</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114,778</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1997/98</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65,274</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160,122</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25,703</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479,820</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166,100</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1998/99</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66,648</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159,088</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45,293</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404,917</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180,634</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1999/00</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67,363</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154,043</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46,162</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462,806</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201,436</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2000/01</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64,958</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122,632</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1,307</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5,921</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53,148</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437,694</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203,753</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2001/02</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66,661</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112,283</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3,702</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16,805</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28,123</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56,757</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600,931</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202,370</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2002/03</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66,809</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107,544</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10,841</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28,329</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50,984</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68,198</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420,293</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248,692</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2003/04</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66,343</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104,188</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4,645</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11,239</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19,978</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69,552</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439,906</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251,392</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2004/05</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67,152</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123,308</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75,683</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346,522</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189,237</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2005/06</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67,737</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203,352</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69,876</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416,294</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149,218</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2006/07</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65,613</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224,927</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1,033</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48,636</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22,263</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76,187</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235,266</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170,727</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2007/08</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66,033</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181,100</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1,468</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140,853</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72,166</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13,503</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75,384</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395,717</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151,669</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2008/09</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68,252</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248,918</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2,133</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102,123</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80,317</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73,893</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313,145</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90,553</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2009/10</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68,750</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241,965</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2,357</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90,671</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117,314</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27,904</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66,507</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315,509</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92,862</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2010/11</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66,733</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186,146</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4,859</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188,663</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209,919</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82,075</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74,806</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289,528</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31,683</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2011/12</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69,124</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211,201</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5,007</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187,538</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261,744</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42,814</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95,310</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630,258</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80,202</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2012/13</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59,854</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225,776</w:t>
            </w:r>
          </w:p>
        </w:tc>
        <w:tc>
          <w:tcPr>
            <w:tcW w:w="370"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4,558</w:t>
            </w:r>
          </w:p>
        </w:tc>
        <w:tc>
          <w:tcPr>
            <w:tcW w:w="605" w:type="pct"/>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86,243</w:t>
            </w:r>
          </w:p>
        </w:tc>
        <w:tc>
          <w:tcPr>
            <w:tcW w:w="31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140,842</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67,067</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61,578</w:t>
            </w:r>
          </w:p>
        </w:tc>
        <w:tc>
          <w:tcPr>
            <w:tcW w:w="367"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499,681</w:t>
            </w:r>
          </w:p>
        </w:tc>
        <w:tc>
          <w:tcPr>
            <w:tcW w:w="568" w:type="pct"/>
            <w:noWrap/>
            <w:vAlign w:val="center"/>
            <w:hideMark/>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204,164</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2013/14</w:t>
            </w:r>
          </w:p>
        </w:tc>
        <w:tc>
          <w:tcPr>
            <w:tcW w:w="388" w:type="pct"/>
            <w:tcBorders>
              <w:left w:val="single" w:sz="8" w:space="0" w:color="4F81BD" w:themeColor="accent1"/>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58,001</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225,168</w:t>
            </w:r>
          </w:p>
        </w:tc>
        <w:tc>
          <w:tcPr>
            <w:tcW w:w="370"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5,336</w:t>
            </w:r>
          </w:p>
        </w:tc>
        <w:tc>
          <w:tcPr>
            <w:tcW w:w="605" w:type="pct"/>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128,064</w:t>
            </w:r>
          </w:p>
        </w:tc>
        <w:tc>
          <w:tcPr>
            <w:tcW w:w="31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243,355</w:t>
            </w:r>
          </w:p>
        </w:tc>
        <w:tc>
          <w:tcPr>
            <w:tcW w:w="328" w:type="pct"/>
            <w:tcBorders>
              <w:righ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563,371</w:t>
            </w:r>
          </w:p>
        </w:tc>
        <w:tc>
          <w:tcPr>
            <w:tcW w:w="333" w:type="pct"/>
            <w:tcBorders>
              <w:left w:val="single" w:sz="8" w:space="0" w:color="4F81BD" w:themeColor="accent1"/>
            </w:tcBorders>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44,254</w:t>
            </w:r>
          </w:p>
        </w:tc>
        <w:tc>
          <w:tcPr>
            <w:tcW w:w="367"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454,526</w:t>
            </w:r>
          </w:p>
        </w:tc>
        <w:tc>
          <w:tcPr>
            <w:tcW w:w="568" w:type="pct"/>
            <w:noWrap/>
            <w:vAlign w:val="center"/>
            <w:hideMark/>
          </w:tcPr>
          <w:p w:rsidR="008A56F5" w:rsidRPr="0029262F"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167,333</w:t>
            </w:r>
          </w:p>
        </w:tc>
      </w:tr>
      <w:tr w:rsidR="0029262F" w:rsidRPr="008A56F5" w:rsidTr="002C2EA2">
        <w:trPr>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tcPr>
          <w:p w:rsidR="008A56F5" w:rsidRPr="002C2EA2" w:rsidRDefault="008A56F5" w:rsidP="0029262F">
            <w:pPr>
              <w:pStyle w:val="bodycopy"/>
              <w:rPr>
                <w:rFonts w:eastAsia="Times New Roman"/>
                <w:b w:val="0"/>
                <w:color w:val="000000" w:themeColor="text1"/>
                <w:sz w:val="14"/>
              </w:rPr>
            </w:pPr>
            <w:r w:rsidRPr="002C2EA2">
              <w:rPr>
                <w:rFonts w:eastAsia="Times New Roman"/>
                <w:b w:val="0"/>
                <w:color w:val="000000" w:themeColor="text1"/>
                <w:sz w:val="14"/>
              </w:rPr>
              <w:t>2014/15</w:t>
            </w:r>
          </w:p>
        </w:tc>
        <w:tc>
          <w:tcPr>
            <w:tcW w:w="388" w:type="pct"/>
            <w:tcBorders>
              <w:left w:val="single" w:sz="8" w:space="0" w:color="4F81BD" w:themeColor="accent1"/>
              <w:right w:val="single" w:sz="8" w:space="0" w:color="4F81BD" w:themeColor="accent1"/>
            </w:tcBorders>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60,957</w:t>
            </w:r>
          </w:p>
        </w:tc>
        <w:tc>
          <w:tcPr>
            <w:tcW w:w="317" w:type="pct"/>
            <w:tcBorders>
              <w:left w:val="single" w:sz="8" w:space="0" w:color="4F81BD" w:themeColor="accent1"/>
            </w:tcBorders>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198,387</w:t>
            </w:r>
          </w:p>
        </w:tc>
        <w:tc>
          <w:tcPr>
            <w:tcW w:w="370" w:type="pct"/>
            <w:noWrap/>
            <w:vAlign w:val="center"/>
          </w:tcPr>
          <w:p w:rsidR="008A56F5" w:rsidRPr="0029262F" w:rsidRDefault="00E12641"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Pr>
                <w:rFonts w:eastAsia="Times New Roman"/>
                <w:color w:val="000000" w:themeColor="text1"/>
                <w:sz w:val="14"/>
              </w:rPr>
              <w:t>3.684</w:t>
            </w:r>
          </w:p>
        </w:tc>
        <w:tc>
          <w:tcPr>
            <w:tcW w:w="605" w:type="pct"/>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536" w:type="pct"/>
            <w:tcBorders>
              <w:right w:val="single" w:sz="8" w:space="0" w:color="4F81BD" w:themeColor="accent1"/>
            </w:tcBorders>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w:t>
            </w:r>
          </w:p>
        </w:tc>
        <w:tc>
          <w:tcPr>
            <w:tcW w:w="317" w:type="pct"/>
            <w:tcBorders>
              <w:left w:val="single" w:sz="8" w:space="0" w:color="4F81BD" w:themeColor="accent1"/>
            </w:tcBorders>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77,162</w:t>
            </w:r>
          </w:p>
        </w:tc>
        <w:tc>
          <w:tcPr>
            <w:tcW w:w="317" w:type="pct"/>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85,983</w:t>
            </w:r>
          </w:p>
        </w:tc>
        <w:tc>
          <w:tcPr>
            <w:tcW w:w="328" w:type="pct"/>
            <w:tcBorders>
              <w:right w:val="single" w:sz="8" w:space="0" w:color="4F81BD" w:themeColor="accent1"/>
            </w:tcBorders>
            <w:noWrap/>
            <w:vAlign w:val="center"/>
          </w:tcPr>
          <w:p w:rsidR="008A56F5" w:rsidRPr="0029262F" w:rsidRDefault="008A56F5"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383,369</w:t>
            </w:r>
          </w:p>
        </w:tc>
        <w:tc>
          <w:tcPr>
            <w:tcW w:w="333" w:type="pct"/>
            <w:tcBorders>
              <w:left w:val="single" w:sz="8" w:space="0" w:color="4F81BD" w:themeColor="accent1"/>
            </w:tcBorders>
            <w:noWrap/>
            <w:vAlign w:val="center"/>
          </w:tcPr>
          <w:p w:rsidR="008A56F5" w:rsidRPr="0029262F" w:rsidRDefault="008A56F5" w:rsidP="00AC3257">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sidRPr="0029262F">
              <w:rPr>
                <w:rFonts w:eastAsia="Times New Roman"/>
                <w:color w:val="000000" w:themeColor="text1"/>
                <w:sz w:val="14"/>
              </w:rPr>
              <w:t>40,2</w:t>
            </w:r>
            <w:r w:rsidR="00AC3257">
              <w:rPr>
                <w:rFonts w:eastAsia="Times New Roman"/>
                <w:color w:val="000000" w:themeColor="text1"/>
                <w:sz w:val="14"/>
              </w:rPr>
              <w:t>3</w:t>
            </w:r>
            <w:r w:rsidRPr="0029262F">
              <w:rPr>
                <w:rFonts w:eastAsia="Times New Roman"/>
                <w:color w:val="000000" w:themeColor="text1"/>
                <w:sz w:val="14"/>
              </w:rPr>
              <w:t>2</w:t>
            </w:r>
          </w:p>
        </w:tc>
        <w:tc>
          <w:tcPr>
            <w:tcW w:w="367" w:type="pct"/>
            <w:noWrap/>
            <w:vAlign w:val="center"/>
          </w:tcPr>
          <w:p w:rsidR="008A56F5" w:rsidRPr="0029262F" w:rsidRDefault="00E12641"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Pr>
                <w:rFonts w:eastAsia="Times New Roman"/>
                <w:color w:val="000000" w:themeColor="text1"/>
                <w:sz w:val="14"/>
              </w:rPr>
              <w:t>335,374</w:t>
            </w:r>
          </w:p>
        </w:tc>
        <w:tc>
          <w:tcPr>
            <w:tcW w:w="568" w:type="pct"/>
            <w:noWrap/>
            <w:vAlign w:val="center"/>
          </w:tcPr>
          <w:p w:rsidR="008A56F5" w:rsidRPr="0029262F" w:rsidRDefault="00E12641" w:rsidP="002C2EA2">
            <w:pPr>
              <w:pStyle w:val="bodycopy"/>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4"/>
              </w:rPr>
            </w:pPr>
            <w:r>
              <w:rPr>
                <w:rFonts w:eastAsia="Times New Roman"/>
                <w:color w:val="000000" w:themeColor="text1"/>
                <w:sz w:val="14"/>
              </w:rPr>
              <w:t>152,047</w:t>
            </w:r>
          </w:p>
        </w:tc>
      </w:tr>
      <w:tr w:rsidR="0029262F" w:rsidRPr="008A56F5" w:rsidTr="002C2EA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5" w:type="pct"/>
            <w:tcBorders>
              <w:right w:val="single" w:sz="8" w:space="0" w:color="4F81BD" w:themeColor="accent1"/>
            </w:tcBorders>
            <w:noWrap/>
            <w:hideMark/>
          </w:tcPr>
          <w:p w:rsidR="008A56F5" w:rsidRPr="002C2EA2" w:rsidRDefault="008A56F5" w:rsidP="0029262F">
            <w:pPr>
              <w:pStyle w:val="bodycopy"/>
              <w:rPr>
                <w:rFonts w:eastAsia="Times New Roman"/>
                <w:color w:val="000000" w:themeColor="text1"/>
                <w:sz w:val="14"/>
              </w:rPr>
            </w:pPr>
            <w:r w:rsidRPr="002C2EA2">
              <w:rPr>
                <w:rFonts w:eastAsia="Times New Roman"/>
                <w:color w:val="000000" w:themeColor="text1"/>
                <w:sz w:val="14"/>
              </w:rPr>
              <w:t>Change</w:t>
            </w:r>
          </w:p>
          <w:p w:rsidR="008A56F5" w:rsidRPr="002C2EA2" w:rsidRDefault="008A56F5" w:rsidP="0029262F">
            <w:pPr>
              <w:pStyle w:val="bodycopy"/>
              <w:rPr>
                <w:rFonts w:eastAsia="Times New Roman"/>
                <w:b w:val="0"/>
                <w:color w:val="000000" w:themeColor="text1"/>
                <w:sz w:val="14"/>
              </w:rPr>
            </w:pPr>
            <w:r w:rsidRPr="002C2EA2">
              <w:rPr>
                <w:rFonts w:eastAsia="Times New Roman"/>
                <w:color w:val="000000" w:themeColor="text1"/>
                <w:sz w:val="14"/>
              </w:rPr>
              <w:t>year-on-year (%)</w:t>
            </w:r>
          </w:p>
        </w:tc>
        <w:tc>
          <w:tcPr>
            <w:tcW w:w="388" w:type="pct"/>
            <w:tcBorders>
              <w:left w:val="single" w:sz="8" w:space="0" w:color="4F81BD" w:themeColor="accent1"/>
              <w:bottom w:val="single" w:sz="8" w:space="0" w:color="4F81BD" w:themeColor="accent1"/>
              <w:right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5.1%</w:t>
            </w:r>
          </w:p>
        </w:tc>
        <w:tc>
          <w:tcPr>
            <w:tcW w:w="317" w:type="pct"/>
            <w:tcBorders>
              <w:left w:val="single" w:sz="8" w:space="0" w:color="4F81BD" w:themeColor="accent1"/>
              <w:bottom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-11.9%</w:t>
            </w:r>
          </w:p>
        </w:tc>
        <w:tc>
          <w:tcPr>
            <w:tcW w:w="370" w:type="pct"/>
            <w:tcBorders>
              <w:bottom w:val="single" w:sz="8" w:space="0" w:color="4F81BD" w:themeColor="accent1"/>
            </w:tcBorders>
            <w:noWrap/>
            <w:vAlign w:val="center"/>
          </w:tcPr>
          <w:p w:rsidR="008A56F5" w:rsidRPr="002C2EA2" w:rsidRDefault="00E12641"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Pr>
                <w:rFonts w:eastAsia="Times New Roman"/>
                <w:b/>
                <w:color w:val="000000" w:themeColor="text1"/>
                <w:sz w:val="14"/>
              </w:rPr>
              <w:t>-31.0</w:t>
            </w:r>
            <w:r w:rsidR="008A56F5" w:rsidRPr="002C2EA2">
              <w:rPr>
                <w:rFonts w:eastAsia="Times New Roman"/>
                <w:b/>
                <w:color w:val="000000" w:themeColor="text1"/>
                <w:sz w:val="14"/>
              </w:rPr>
              <w:t>%</w:t>
            </w:r>
          </w:p>
        </w:tc>
        <w:tc>
          <w:tcPr>
            <w:tcW w:w="605" w:type="pct"/>
            <w:tcBorders>
              <w:bottom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w:t>
            </w:r>
          </w:p>
        </w:tc>
        <w:tc>
          <w:tcPr>
            <w:tcW w:w="536" w:type="pct"/>
            <w:tcBorders>
              <w:bottom w:val="single" w:sz="8" w:space="0" w:color="4F81BD" w:themeColor="accent1"/>
              <w:right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w:t>
            </w:r>
          </w:p>
        </w:tc>
        <w:tc>
          <w:tcPr>
            <w:tcW w:w="317" w:type="pct"/>
            <w:tcBorders>
              <w:left w:val="single" w:sz="8" w:space="0" w:color="4F81BD" w:themeColor="accent1"/>
              <w:bottom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-39.7%</w:t>
            </w:r>
          </w:p>
        </w:tc>
        <w:tc>
          <w:tcPr>
            <w:tcW w:w="317" w:type="pct"/>
            <w:tcBorders>
              <w:bottom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-64.7%</w:t>
            </w:r>
          </w:p>
        </w:tc>
        <w:tc>
          <w:tcPr>
            <w:tcW w:w="328" w:type="pct"/>
            <w:tcBorders>
              <w:bottom w:val="single" w:sz="8" w:space="0" w:color="4F81BD" w:themeColor="accent1"/>
              <w:right w:val="single" w:sz="8" w:space="0" w:color="4F81BD" w:themeColor="accent1"/>
            </w:tcBorders>
            <w:noWrap/>
            <w:vAlign w:val="center"/>
          </w:tcPr>
          <w:p w:rsidR="008A56F5" w:rsidRPr="002C2EA2" w:rsidRDefault="008A56F5"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sidRPr="002C2EA2">
              <w:rPr>
                <w:rFonts w:eastAsia="Times New Roman"/>
                <w:b/>
                <w:color w:val="000000" w:themeColor="text1"/>
                <w:sz w:val="14"/>
              </w:rPr>
              <w:t>-32.0%</w:t>
            </w:r>
          </w:p>
        </w:tc>
        <w:tc>
          <w:tcPr>
            <w:tcW w:w="333" w:type="pct"/>
            <w:tcBorders>
              <w:left w:val="single" w:sz="8" w:space="0" w:color="4F81BD" w:themeColor="accent1"/>
            </w:tcBorders>
            <w:noWrap/>
            <w:vAlign w:val="center"/>
          </w:tcPr>
          <w:p w:rsidR="008A56F5" w:rsidRPr="002C2EA2" w:rsidRDefault="00E12641"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Pr>
                <w:rFonts w:eastAsia="Times New Roman"/>
                <w:b/>
                <w:color w:val="000000" w:themeColor="text1"/>
                <w:sz w:val="14"/>
              </w:rPr>
              <w:t>-9.1</w:t>
            </w:r>
            <w:r w:rsidR="008A56F5" w:rsidRPr="002C2EA2">
              <w:rPr>
                <w:rFonts w:eastAsia="Times New Roman"/>
                <w:b/>
                <w:color w:val="000000" w:themeColor="text1"/>
                <w:sz w:val="14"/>
              </w:rPr>
              <w:t>%</w:t>
            </w:r>
          </w:p>
        </w:tc>
        <w:tc>
          <w:tcPr>
            <w:tcW w:w="367" w:type="pct"/>
            <w:noWrap/>
            <w:vAlign w:val="center"/>
          </w:tcPr>
          <w:p w:rsidR="008A56F5" w:rsidRPr="002C2EA2" w:rsidRDefault="00E12641"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Pr>
                <w:rFonts w:eastAsia="Times New Roman"/>
                <w:b/>
                <w:color w:val="000000" w:themeColor="text1"/>
                <w:sz w:val="14"/>
              </w:rPr>
              <w:t>-26.2</w:t>
            </w:r>
            <w:r w:rsidR="008A56F5" w:rsidRPr="002C2EA2">
              <w:rPr>
                <w:rFonts w:eastAsia="Times New Roman"/>
                <w:b/>
                <w:color w:val="000000" w:themeColor="text1"/>
                <w:sz w:val="14"/>
              </w:rPr>
              <w:t>%</w:t>
            </w:r>
          </w:p>
        </w:tc>
        <w:tc>
          <w:tcPr>
            <w:tcW w:w="568" w:type="pct"/>
            <w:noWrap/>
            <w:vAlign w:val="center"/>
          </w:tcPr>
          <w:p w:rsidR="008A56F5" w:rsidRPr="002C2EA2" w:rsidRDefault="00E12641" w:rsidP="002C2EA2">
            <w:pPr>
              <w:pStyle w:val="bodycopy"/>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themeColor="text1"/>
                <w:sz w:val="14"/>
              </w:rPr>
            </w:pPr>
            <w:r>
              <w:rPr>
                <w:rFonts w:eastAsia="Times New Roman"/>
                <w:b/>
                <w:color w:val="000000" w:themeColor="text1"/>
                <w:sz w:val="14"/>
              </w:rPr>
              <w:t>-9.1</w:t>
            </w:r>
            <w:r w:rsidR="008A56F5" w:rsidRPr="002C2EA2">
              <w:rPr>
                <w:rFonts w:eastAsia="Times New Roman"/>
                <w:b/>
                <w:color w:val="000000" w:themeColor="text1"/>
                <w:sz w:val="14"/>
              </w:rPr>
              <w:t>%</w:t>
            </w:r>
          </w:p>
        </w:tc>
      </w:tr>
    </w:tbl>
    <w:p w:rsidR="008A56F5" w:rsidRPr="008A56F5" w:rsidRDefault="008A56F5" w:rsidP="008A56F5">
      <w:pPr>
        <w:spacing w:before="0" w:after="0" w:line="240" w:lineRule="auto"/>
        <w:jc w:val="both"/>
        <w:rPr>
          <w:rFonts w:ascii="Calibri" w:eastAsia="Times New Roman" w:hAnsi="Calibri" w:cs="Mangal"/>
          <w:sz w:val="16"/>
          <w:szCs w:val="24"/>
        </w:rPr>
      </w:pPr>
      <w:r w:rsidRPr="008A56F5">
        <w:rPr>
          <w:rFonts w:ascii="Calibri" w:eastAsia="Times New Roman" w:hAnsi="Calibri" w:cs="Mangal"/>
          <w:sz w:val="16"/>
          <w:szCs w:val="24"/>
        </w:rPr>
        <w:t xml:space="preserve">Source: DEDJTR, </w:t>
      </w:r>
      <w:r w:rsidR="002B7F82">
        <w:rPr>
          <w:rFonts w:ascii="Calibri" w:eastAsia="Times New Roman" w:hAnsi="Calibri" w:cs="Mangal"/>
          <w:sz w:val="16"/>
          <w:szCs w:val="24"/>
        </w:rPr>
        <w:t>s</w:t>
      </w:r>
      <w:r w:rsidRPr="008A56F5">
        <w:rPr>
          <w:rFonts w:ascii="Calibri" w:eastAsia="Times New Roman" w:hAnsi="Calibri" w:cs="Mangal"/>
          <w:sz w:val="16"/>
          <w:szCs w:val="24"/>
        </w:rPr>
        <w:t>tatutory returns under the MRSDA.</w:t>
      </w:r>
    </w:p>
    <w:p w:rsidR="008A56F5" w:rsidRPr="008A56F5" w:rsidRDefault="008A56F5" w:rsidP="008A56F5">
      <w:pPr>
        <w:spacing w:before="0" w:after="0" w:line="240" w:lineRule="auto"/>
        <w:jc w:val="both"/>
        <w:rPr>
          <w:rFonts w:ascii="Calibri" w:eastAsia="Times New Roman" w:hAnsi="Calibri" w:cs="Mangal"/>
          <w:sz w:val="16"/>
          <w:szCs w:val="16"/>
        </w:rPr>
      </w:pPr>
      <w:r w:rsidRPr="008A56F5">
        <w:rPr>
          <w:rFonts w:ascii="Calibri" w:eastAsia="Times New Roman" w:hAnsi="Calibri" w:cs="Mangal"/>
          <w:sz w:val="16"/>
          <w:szCs w:val="16"/>
        </w:rPr>
        <w:t xml:space="preserve">*Gold reported in ounces, brown coal in thousand tonnes, gypsum in cubic meters, and the remainder in tonnes. </w:t>
      </w:r>
    </w:p>
    <w:p w:rsidR="00536A60" w:rsidRDefault="00536A60" w:rsidP="001504E0">
      <w:pPr>
        <w:spacing w:before="0" w:after="0"/>
        <w:jc w:val="both"/>
        <w:rPr>
          <w:rFonts w:ascii="Calibri" w:hAnsi="Calibri"/>
          <w:b/>
        </w:rPr>
      </w:pPr>
    </w:p>
    <w:p w:rsidR="001504E0" w:rsidRPr="005955E6" w:rsidRDefault="001504E0" w:rsidP="001504E0">
      <w:pPr>
        <w:spacing w:before="0" w:after="0"/>
        <w:jc w:val="both"/>
        <w:rPr>
          <w:rFonts w:ascii="Calibri" w:hAnsi="Calibri"/>
          <w:b/>
        </w:rPr>
      </w:pPr>
      <w:r w:rsidRPr="005955E6">
        <w:rPr>
          <w:rFonts w:ascii="Calibri" w:hAnsi="Calibri"/>
          <w:b/>
        </w:rPr>
        <w:t xml:space="preserve">Table </w:t>
      </w:r>
      <w:r w:rsidR="002B7F82">
        <w:rPr>
          <w:rFonts w:ascii="Calibri" w:hAnsi="Calibri"/>
          <w:b/>
        </w:rPr>
        <w:t>2</w:t>
      </w:r>
      <w:r w:rsidRPr="005955E6">
        <w:rPr>
          <w:rFonts w:ascii="Calibri" w:hAnsi="Calibri"/>
          <w:b/>
        </w:rPr>
        <w:t>.</w:t>
      </w:r>
      <w:r>
        <w:rPr>
          <w:rFonts w:ascii="Calibri" w:hAnsi="Calibri"/>
          <w:b/>
        </w:rPr>
        <w:t>8</w:t>
      </w:r>
      <w:r w:rsidRPr="005955E6">
        <w:rPr>
          <w:rFonts w:ascii="Calibri" w:hAnsi="Calibri"/>
          <w:b/>
        </w:rPr>
        <w:t xml:space="preserve"> Mineral production sales values (A$ million) </w:t>
      </w:r>
    </w:p>
    <w:tbl>
      <w:tblPr>
        <w:tblStyle w:val="LightShading-Accent1"/>
        <w:tblW w:w="5000" w:type="pct"/>
        <w:tblLook w:val="04A0" w:firstRow="1" w:lastRow="0" w:firstColumn="1" w:lastColumn="0" w:noHBand="0" w:noVBand="1"/>
      </w:tblPr>
      <w:tblGrid>
        <w:gridCol w:w="5802"/>
        <w:gridCol w:w="1090"/>
        <w:gridCol w:w="1090"/>
        <w:gridCol w:w="2700"/>
      </w:tblGrid>
      <w:tr w:rsidR="00B42EDF" w:rsidRPr="008E4AEF" w:rsidTr="002C2EA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5955E6" w:rsidRDefault="001504E0" w:rsidP="002C2EA2">
            <w:pPr>
              <w:rPr>
                <w:rFonts w:ascii="Calibri" w:hAnsi="Calibri" w:cs="Arial"/>
                <w:b w:val="0"/>
                <w:bCs w:val="0"/>
                <w:color w:val="000000"/>
              </w:rPr>
            </w:pPr>
            <w:r w:rsidRPr="005955E6">
              <w:rPr>
                <w:rFonts w:ascii="Calibri" w:hAnsi="Calibri" w:cs="Arial"/>
                <w:color w:val="000000"/>
              </w:rPr>
              <w:t>Mineral</w:t>
            </w:r>
          </w:p>
        </w:tc>
        <w:tc>
          <w:tcPr>
            <w:tcW w:w="510" w:type="pct"/>
            <w:noWrap/>
            <w:vAlign w:val="center"/>
            <w:hideMark/>
          </w:tcPr>
          <w:p w:rsidR="001504E0" w:rsidRPr="005955E6" w:rsidRDefault="001504E0"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bCs w:val="0"/>
                <w:color w:val="000000"/>
              </w:rPr>
            </w:pPr>
            <w:r w:rsidRPr="005955E6">
              <w:rPr>
                <w:rFonts w:ascii="Calibri" w:hAnsi="Calibri" w:cs="Arial"/>
                <w:color w:val="000000"/>
              </w:rPr>
              <w:t>2013/14</w:t>
            </w:r>
          </w:p>
        </w:tc>
        <w:tc>
          <w:tcPr>
            <w:tcW w:w="510" w:type="pct"/>
            <w:vAlign w:val="center"/>
          </w:tcPr>
          <w:p w:rsidR="001504E0" w:rsidRPr="005955E6" w:rsidRDefault="001504E0"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bCs w:val="0"/>
                <w:color w:val="000000"/>
              </w:rPr>
            </w:pPr>
            <w:r>
              <w:rPr>
                <w:rFonts w:ascii="Calibri" w:hAnsi="Calibri" w:cs="Arial"/>
                <w:color w:val="000000"/>
              </w:rPr>
              <w:t>2014/15</w:t>
            </w:r>
          </w:p>
        </w:tc>
        <w:tc>
          <w:tcPr>
            <w:tcW w:w="1264" w:type="pct"/>
            <w:noWrap/>
            <w:vAlign w:val="center"/>
            <w:hideMark/>
          </w:tcPr>
          <w:p w:rsidR="001504E0" w:rsidRPr="005955E6" w:rsidRDefault="001504E0"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 w:val="0"/>
                <w:bCs w:val="0"/>
                <w:color w:val="000000"/>
              </w:rPr>
            </w:pPr>
            <w:r w:rsidRPr="005955E6">
              <w:rPr>
                <w:rFonts w:ascii="Calibri" w:hAnsi="Calibri" w:cs="Arial"/>
                <w:color w:val="000000"/>
              </w:rPr>
              <w:t>Change year-on-year (%)</w:t>
            </w:r>
          </w:p>
        </w:tc>
      </w:tr>
      <w:tr w:rsidR="00B42EDF" w:rsidRPr="008E4AEF"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Brown Coal*</w:t>
            </w:r>
          </w:p>
        </w:tc>
        <w:tc>
          <w:tcPr>
            <w:tcW w:w="510" w:type="pct"/>
            <w:noWrap/>
            <w:vAlign w:val="center"/>
            <w:hideMark/>
          </w:tcPr>
          <w:p w:rsidR="001504E0" w:rsidRPr="0029262F" w:rsidRDefault="001504E0"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29262F">
              <w:rPr>
                <w:rFonts w:ascii="Calibri" w:hAnsi="Calibri" w:cs="Arial"/>
                <w:color w:val="000000"/>
              </w:rPr>
              <w:t>N/A</w:t>
            </w:r>
          </w:p>
        </w:tc>
        <w:tc>
          <w:tcPr>
            <w:tcW w:w="510" w:type="pct"/>
            <w:vAlign w:val="center"/>
          </w:tcPr>
          <w:p w:rsidR="001504E0" w:rsidRPr="0029262F" w:rsidRDefault="001504E0"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29262F">
              <w:rPr>
                <w:rFonts w:ascii="Calibri" w:hAnsi="Calibri" w:cs="Arial"/>
                <w:color w:val="000000"/>
              </w:rPr>
              <w:t>N/A</w:t>
            </w:r>
          </w:p>
        </w:tc>
        <w:tc>
          <w:tcPr>
            <w:tcW w:w="1264" w:type="pct"/>
            <w:noWrap/>
            <w:vAlign w:val="center"/>
          </w:tcPr>
          <w:p w:rsidR="001504E0" w:rsidRPr="0029262F" w:rsidRDefault="001504E0"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29262F">
              <w:rPr>
                <w:rFonts w:ascii="Calibri" w:hAnsi="Calibri" w:cs="Arial"/>
                <w:color w:val="000000"/>
              </w:rPr>
              <w:t>N/A</w:t>
            </w:r>
          </w:p>
        </w:tc>
      </w:tr>
      <w:tr w:rsidR="00B42EDF" w:rsidRPr="008E4AEF" w:rsidTr="002C2EA2">
        <w:trPr>
          <w:trHeight w:val="240"/>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Gold</w:t>
            </w:r>
          </w:p>
        </w:tc>
        <w:tc>
          <w:tcPr>
            <w:tcW w:w="510" w:type="pct"/>
            <w:noWrap/>
            <w:vAlign w:val="center"/>
            <w:hideMark/>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303.4</w:t>
            </w:r>
          </w:p>
        </w:tc>
        <w:tc>
          <w:tcPr>
            <w:tcW w:w="510" w:type="pct"/>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286.9</w:t>
            </w:r>
          </w:p>
        </w:tc>
        <w:tc>
          <w:tcPr>
            <w:tcW w:w="1264" w:type="pct"/>
            <w:noWrap/>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-5.4%</w:t>
            </w:r>
          </w:p>
        </w:tc>
      </w:tr>
      <w:tr w:rsidR="00B42EDF" w:rsidRPr="008E4AEF"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Antimony</w:t>
            </w:r>
          </w:p>
        </w:tc>
        <w:tc>
          <w:tcPr>
            <w:tcW w:w="510" w:type="pct"/>
            <w:noWrap/>
            <w:vAlign w:val="center"/>
            <w:hideMark/>
          </w:tcPr>
          <w:p w:rsidR="001504E0" w:rsidRPr="0029262F" w:rsidRDefault="00AC325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12</w:t>
            </w:r>
            <w:r w:rsidR="003D0D32">
              <w:rPr>
                <w:rFonts w:ascii="Calibri" w:hAnsi="Calibri" w:cs="Arial"/>
                <w:color w:val="000000"/>
              </w:rPr>
              <w:t>.</w:t>
            </w:r>
            <w:r>
              <w:rPr>
                <w:rFonts w:ascii="Calibri" w:hAnsi="Calibri" w:cs="Arial"/>
                <w:color w:val="000000"/>
              </w:rPr>
              <w:t>5</w:t>
            </w:r>
          </w:p>
        </w:tc>
        <w:tc>
          <w:tcPr>
            <w:tcW w:w="510" w:type="pct"/>
            <w:vAlign w:val="center"/>
          </w:tcPr>
          <w:p w:rsidR="001504E0" w:rsidRPr="0029262F" w:rsidRDefault="00E1264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37.8</w:t>
            </w:r>
          </w:p>
        </w:tc>
        <w:tc>
          <w:tcPr>
            <w:tcW w:w="1264" w:type="pct"/>
            <w:noWrap/>
            <w:vAlign w:val="center"/>
          </w:tcPr>
          <w:p w:rsidR="001504E0" w:rsidRPr="0029262F" w:rsidRDefault="00AC3257"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202.2</w:t>
            </w:r>
            <w:r w:rsidR="001504E0" w:rsidRPr="0029262F">
              <w:rPr>
                <w:rFonts w:ascii="Calibri" w:hAnsi="Calibri" w:cs="Arial"/>
                <w:color w:val="000000"/>
              </w:rPr>
              <w:t>%</w:t>
            </w:r>
          </w:p>
        </w:tc>
      </w:tr>
      <w:tr w:rsidR="00B42EDF" w:rsidRPr="008E4AEF" w:rsidTr="002C2EA2">
        <w:trPr>
          <w:trHeight w:val="240"/>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Heavy Mineral Sands</w:t>
            </w:r>
            <w:r w:rsidR="00B42EDF" w:rsidRPr="002C2EA2">
              <w:rPr>
                <w:rFonts w:ascii="Calibri" w:hAnsi="Calibri" w:cs="Arial"/>
                <w:b w:val="0"/>
                <w:color w:val="000000"/>
              </w:rPr>
              <w:t xml:space="preserve"> (Zircon, Rutile, Ilmenite)</w:t>
            </w:r>
          </w:p>
        </w:tc>
        <w:tc>
          <w:tcPr>
            <w:tcW w:w="510" w:type="pct"/>
            <w:noWrap/>
            <w:vAlign w:val="center"/>
            <w:hideMark/>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316.5</w:t>
            </w:r>
          </w:p>
        </w:tc>
        <w:tc>
          <w:tcPr>
            <w:tcW w:w="510" w:type="pct"/>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185.1</w:t>
            </w:r>
          </w:p>
        </w:tc>
        <w:tc>
          <w:tcPr>
            <w:tcW w:w="1264" w:type="pct"/>
            <w:noWrap/>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-41.5%</w:t>
            </w:r>
          </w:p>
        </w:tc>
      </w:tr>
      <w:tr w:rsidR="00B42EDF" w:rsidRPr="008E4AEF"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16" w:type="pct"/>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Industrial Minerals</w:t>
            </w:r>
            <w:r w:rsidR="00B42EDF" w:rsidRPr="002C2EA2">
              <w:rPr>
                <w:rFonts w:ascii="Calibri" w:hAnsi="Calibri" w:cs="Arial"/>
                <w:b w:val="0"/>
                <w:color w:val="000000"/>
              </w:rPr>
              <w:t xml:space="preserve"> (Feldspar, Gypsum, Kaolin &amp; fine clay)</w:t>
            </w:r>
          </w:p>
        </w:tc>
        <w:tc>
          <w:tcPr>
            <w:tcW w:w="510" w:type="pct"/>
            <w:noWrap/>
            <w:vAlign w:val="center"/>
            <w:hideMark/>
          </w:tcPr>
          <w:p w:rsidR="001504E0" w:rsidRPr="0029262F" w:rsidRDefault="001504E0"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29262F">
              <w:rPr>
                <w:rFonts w:ascii="Calibri" w:hAnsi="Calibri" w:cs="Arial"/>
                <w:color w:val="000000"/>
              </w:rPr>
              <w:t>14.1</w:t>
            </w:r>
          </w:p>
        </w:tc>
        <w:tc>
          <w:tcPr>
            <w:tcW w:w="510" w:type="pct"/>
            <w:vAlign w:val="center"/>
          </w:tcPr>
          <w:p w:rsidR="001504E0" w:rsidRPr="0029262F" w:rsidRDefault="00E1264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1</w:t>
            </w:r>
            <w:r w:rsidR="001504E0" w:rsidRPr="0029262F">
              <w:rPr>
                <w:rFonts w:ascii="Calibri" w:hAnsi="Calibri" w:cs="Arial"/>
                <w:color w:val="000000"/>
              </w:rPr>
              <w:t>0.2</w:t>
            </w:r>
          </w:p>
        </w:tc>
        <w:tc>
          <w:tcPr>
            <w:tcW w:w="1264" w:type="pct"/>
            <w:noWrap/>
            <w:vAlign w:val="center"/>
          </w:tcPr>
          <w:p w:rsidR="001504E0" w:rsidRPr="0029262F" w:rsidRDefault="00E1264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-27.4</w:t>
            </w:r>
            <w:r w:rsidR="001504E0" w:rsidRPr="0029262F">
              <w:rPr>
                <w:rFonts w:ascii="Calibri" w:hAnsi="Calibri" w:cs="Arial"/>
                <w:color w:val="000000"/>
              </w:rPr>
              <w:t>%</w:t>
            </w:r>
          </w:p>
        </w:tc>
      </w:tr>
      <w:tr w:rsidR="00B42EDF" w:rsidRPr="008E4AEF" w:rsidTr="002C2EA2">
        <w:trPr>
          <w:trHeight w:val="240"/>
        </w:trPr>
        <w:tc>
          <w:tcPr>
            <w:cnfStyle w:val="001000000000" w:firstRow="0" w:lastRow="0" w:firstColumn="1" w:lastColumn="0" w:oddVBand="0" w:evenVBand="0" w:oddHBand="0" w:evenHBand="0" w:firstRowFirstColumn="0" w:firstRowLastColumn="0" w:lastRowFirstColumn="0" w:lastRowLastColumn="0"/>
            <w:tcW w:w="2716" w:type="pct"/>
            <w:tcBorders>
              <w:bottom w:val="single" w:sz="8" w:space="0" w:color="4F81BD" w:themeColor="accent1"/>
            </w:tcBorders>
            <w:noWrap/>
            <w:vAlign w:val="center"/>
            <w:hideMark/>
          </w:tcPr>
          <w:p w:rsidR="001504E0" w:rsidRPr="002C2EA2" w:rsidRDefault="001504E0" w:rsidP="002C2EA2">
            <w:pPr>
              <w:rPr>
                <w:rFonts w:ascii="Calibri" w:hAnsi="Calibri" w:cs="Arial"/>
                <w:b w:val="0"/>
                <w:color w:val="000000"/>
              </w:rPr>
            </w:pPr>
            <w:r w:rsidRPr="002C2EA2">
              <w:rPr>
                <w:rFonts w:ascii="Calibri" w:hAnsi="Calibri" w:cs="Arial"/>
                <w:b w:val="0"/>
                <w:color w:val="000000"/>
              </w:rPr>
              <w:t>Others</w:t>
            </w:r>
          </w:p>
        </w:tc>
        <w:tc>
          <w:tcPr>
            <w:tcW w:w="510" w:type="pct"/>
            <w:tcBorders>
              <w:bottom w:val="single" w:sz="8" w:space="0" w:color="4F81BD" w:themeColor="accent1"/>
            </w:tcBorders>
            <w:noWrap/>
            <w:vAlign w:val="center"/>
            <w:hideMark/>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0.2</w:t>
            </w:r>
          </w:p>
        </w:tc>
        <w:tc>
          <w:tcPr>
            <w:tcW w:w="510" w:type="pct"/>
            <w:tcBorders>
              <w:bottom w:val="single" w:sz="8" w:space="0" w:color="4F81BD" w:themeColor="accent1"/>
            </w:tcBorders>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0.1</w:t>
            </w:r>
          </w:p>
        </w:tc>
        <w:tc>
          <w:tcPr>
            <w:tcW w:w="1264" w:type="pct"/>
            <w:tcBorders>
              <w:bottom w:val="single" w:sz="8" w:space="0" w:color="4F81BD" w:themeColor="accent1"/>
            </w:tcBorders>
            <w:noWrap/>
            <w:vAlign w:val="center"/>
          </w:tcPr>
          <w:p w:rsidR="001504E0" w:rsidRPr="0029262F"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29262F">
              <w:rPr>
                <w:rFonts w:ascii="Calibri" w:hAnsi="Calibri" w:cs="Arial"/>
                <w:color w:val="000000"/>
              </w:rPr>
              <w:t>-30.5%</w:t>
            </w:r>
          </w:p>
        </w:tc>
      </w:tr>
      <w:tr w:rsidR="00B42EDF" w:rsidRPr="008E4AEF"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16" w:type="pct"/>
            <w:tcBorders>
              <w:top w:val="single" w:sz="8" w:space="0" w:color="4F81BD" w:themeColor="accent1"/>
              <w:bottom w:val="single" w:sz="8" w:space="0" w:color="4F81BD" w:themeColor="accent1"/>
            </w:tcBorders>
            <w:noWrap/>
            <w:vAlign w:val="center"/>
            <w:hideMark/>
          </w:tcPr>
          <w:p w:rsidR="001504E0" w:rsidRPr="005955E6" w:rsidRDefault="001504E0" w:rsidP="002C2EA2">
            <w:pPr>
              <w:rPr>
                <w:rFonts w:ascii="Calibri" w:hAnsi="Calibri" w:cs="Arial"/>
                <w:b w:val="0"/>
                <w:bCs w:val="0"/>
                <w:color w:val="000000"/>
              </w:rPr>
            </w:pPr>
            <w:r w:rsidRPr="005955E6">
              <w:rPr>
                <w:rFonts w:ascii="Calibri" w:hAnsi="Calibri" w:cs="Arial"/>
                <w:color w:val="000000"/>
              </w:rPr>
              <w:t>Total (excl. brown coal)</w:t>
            </w:r>
          </w:p>
        </w:tc>
        <w:tc>
          <w:tcPr>
            <w:tcW w:w="510" w:type="pct"/>
            <w:tcBorders>
              <w:top w:val="single" w:sz="8" w:space="0" w:color="4F81BD" w:themeColor="accent1"/>
              <w:bottom w:val="single" w:sz="8" w:space="0" w:color="4F81BD" w:themeColor="accent1"/>
            </w:tcBorders>
            <w:noWrap/>
            <w:vAlign w:val="center"/>
            <w:hideMark/>
          </w:tcPr>
          <w:p w:rsidR="001504E0" w:rsidRPr="00A6415E" w:rsidRDefault="001504E0" w:rsidP="00AC3257">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color w:val="000000"/>
              </w:rPr>
            </w:pPr>
            <w:r w:rsidRPr="00A6415E">
              <w:rPr>
                <w:rFonts w:ascii="Calibri" w:hAnsi="Calibri" w:cs="Arial"/>
                <w:b/>
                <w:color w:val="000000"/>
              </w:rPr>
              <w:t>646.</w:t>
            </w:r>
            <w:r w:rsidR="00AC3257">
              <w:rPr>
                <w:rFonts w:ascii="Calibri" w:hAnsi="Calibri" w:cs="Arial"/>
                <w:b/>
                <w:color w:val="000000"/>
              </w:rPr>
              <w:t>7</w:t>
            </w:r>
          </w:p>
        </w:tc>
        <w:tc>
          <w:tcPr>
            <w:tcW w:w="510" w:type="pct"/>
            <w:tcBorders>
              <w:top w:val="single" w:sz="8" w:space="0" w:color="4F81BD" w:themeColor="accent1"/>
              <w:bottom w:val="single" w:sz="8" w:space="0" w:color="4F81BD" w:themeColor="accent1"/>
            </w:tcBorders>
            <w:vAlign w:val="center"/>
          </w:tcPr>
          <w:p w:rsidR="001504E0" w:rsidRPr="00A044C2" w:rsidRDefault="00E12641"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color w:val="000000"/>
              </w:rPr>
            </w:pPr>
            <w:r>
              <w:rPr>
                <w:rFonts w:ascii="Calibri" w:hAnsi="Calibri" w:cs="Arial"/>
                <w:b/>
                <w:color w:val="000000"/>
              </w:rPr>
              <w:t>520.</w:t>
            </w:r>
            <w:r w:rsidR="00AC3257">
              <w:rPr>
                <w:rFonts w:ascii="Calibri" w:hAnsi="Calibri" w:cs="Arial"/>
                <w:b/>
                <w:color w:val="000000"/>
              </w:rPr>
              <w:t>1</w:t>
            </w:r>
          </w:p>
        </w:tc>
        <w:tc>
          <w:tcPr>
            <w:tcW w:w="1264" w:type="pct"/>
            <w:tcBorders>
              <w:top w:val="single" w:sz="8" w:space="0" w:color="4F81BD" w:themeColor="accent1"/>
              <w:bottom w:val="single" w:sz="8" w:space="0" w:color="4F81BD" w:themeColor="accent1"/>
            </w:tcBorders>
            <w:noWrap/>
            <w:vAlign w:val="center"/>
          </w:tcPr>
          <w:p w:rsidR="001504E0" w:rsidRPr="00A044C2" w:rsidRDefault="001504E0" w:rsidP="00E12641">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color w:val="000000"/>
              </w:rPr>
            </w:pPr>
            <w:r w:rsidRPr="00A044C2">
              <w:rPr>
                <w:rFonts w:ascii="Calibri" w:hAnsi="Calibri" w:cs="Arial"/>
                <w:b/>
                <w:color w:val="000000"/>
              </w:rPr>
              <w:t>-</w:t>
            </w:r>
            <w:r w:rsidR="00E12641">
              <w:rPr>
                <w:rFonts w:ascii="Calibri" w:hAnsi="Calibri" w:cs="Arial"/>
                <w:b/>
                <w:color w:val="000000"/>
              </w:rPr>
              <w:t>19.6</w:t>
            </w:r>
            <w:r w:rsidRPr="00A044C2">
              <w:rPr>
                <w:rFonts w:ascii="Calibri" w:hAnsi="Calibri" w:cs="Arial"/>
                <w:b/>
                <w:color w:val="000000"/>
              </w:rPr>
              <w:t>%</w:t>
            </w:r>
          </w:p>
        </w:tc>
      </w:tr>
    </w:tbl>
    <w:p w:rsidR="001504E0" w:rsidRPr="005A5F06" w:rsidRDefault="001504E0" w:rsidP="001504E0">
      <w:pPr>
        <w:spacing w:before="0" w:after="0"/>
        <w:jc w:val="both"/>
        <w:rPr>
          <w:rFonts w:ascii="Calibri" w:hAnsi="Calibri"/>
          <w:sz w:val="16"/>
        </w:rPr>
      </w:pPr>
      <w:r w:rsidRPr="005A5F06">
        <w:rPr>
          <w:rFonts w:ascii="Calibri" w:hAnsi="Calibri"/>
          <w:sz w:val="16"/>
        </w:rPr>
        <w:t xml:space="preserve">Source: DEDJTR, </w:t>
      </w:r>
      <w:r w:rsidR="002B7F82">
        <w:rPr>
          <w:rFonts w:ascii="Calibri" w:hAnsi="Calibri"/>
          <w:sz w:val="16"/>
        </w:rPr>
        <w:t>s</w:t>
      </w:r>
      <w:r w:rsidRPr="005A5F06">
        <w:rPr>
          <w:rFonts w:ascii="Calibri" w:hAnsi="Calibri"/>
          <w:sz w:val="16"/>
        </w:rPr>
        <w:t>tatutory returns under the MRSDA.</w:t>
      </w:r>
    </w:p>
    <w:p w:rsidR="001504E0" w:rsidRPr="001504E0" w:rsidRDefault="001504E0" w:rsidP="001504E0">
      <w:pPr>
        <w:spacing w:before="0" w:after="0"/>
        <w:jc w:val="both"/>
        <w:rPr>
          <w:rFonts w:ascii="Calibri" w:hAnsi="Calibri"/>
          <w:sz w:val="14"/>
          <w:szCs w:val="16"/>
        </w:rPr>
      </w:pPr>
      <w:r w:rsidRPr="005955E6">
        <w:rPr>
          <w:rFonts w:ascii="Calibri" w:hAnsi="Calibri"/>
          <w:sz w:val="16"/>
          <w:szCs w:val="16"/>
        </w:rPr>
        <w:t>*</w:t>
      </w:r>
      <w:r w:rsidRPr="001504E0">
        <w:rPr>
          <w:rFonts w:ascii="Calibri" w:hAnsi="Calibri"/>
          <w:sz w:val="14"/>
          <w:szCs w:val="16"/>
        </w:rPr>
        <w:t xml:space="preserve">No unit value is assigned to brown coal for the purposes of determining its production value. Brown coal is almost entirely used for electricity production and is largely an internal transfer within mining/generation entities. As such, there is no available market price for brown coal. </w:t>
      </w:r>
    </w:p>
    <w:p w:rsidR="00EC5096" w:rsidRPr="00EC5096" w:rsidRDefault="00EC5096" w:rsidP="00EC5096">
      <w:pPr>
        <w:pStyle w:val="BodyText"/>
        <w:numPr>
          <w:ilvl w:val="0"/>
          <w:numId w:val="0"/>
        </w:numPr>
        <w:spacing w:before="0" w:after="0" w:line="240" w:lineRule="auto"/>
        <w:rPr>
          <w:sz w:val="20"/>
        </w:rPr>
      </w:pPr>
    </w:p>
    <w:p w:rsidR="001504E0" w:rsidRPr="001504E0" w:rsidRDefault="001504E0" w:rsidP="001504E0">
      <w:pPr>
        <w:spacing w:before="0" w:after="0" w:line="240" w:lineRule="auto"/>
        <w:rPr>
          <w:rFonts w:ascii="Calibri" w:eastAsia="Times New Roman" w:hAnsi="Calibri" w:cs="Mangal"/>
          <w:b/>
          <w:szCs w:val="24"/>
        </w:rPr>
      </w:pPr>
      <w:r w:rsidRPr="001504E0">
        <w:rPr>
          <w:rFonts w:ascii="Calibri" w:eastAsia="Times New Roman" w:hAnsi="Calibri" w:cs="Mangal"/>
          <w:b/>
          <w:szCs w:val="24"/>
        </w:rPr>
        <w:t xml:space="preserve">Graph </w:t>
      </w:r>
      <w:r w:rsidR="002B7F82">
        <w:rPr>
          <w:rFonts w:ascii="Calibri" w:eastAsia="Times New Roman" w:hAnsi="Calibri" w:cs="Mangal"/>
          <w:b/>
          <w:szCs w:val="24"/>
        </w:rPr>
        <w:t>2</w:t>
      </w:r>
      <w:r w:rsidRPr="001504E0">
        <w:rPr>
          <w:rFonts w:ascii="Calibri" w:eastAsia="Times New Roman" w:hAnsi="Calibri" w:cs="Mangal"/>
          <w:b/>
          <w:szCs w:val="24"/>
        </w:rPr>
        <w:t>.8</w:t>
      </w:r>
      <w:r w:rsidR="002B7F82">
        <w:rPr>
          <w:rFonts w:ascii="Calibri" w:eastAsia="Times New Roman" w:hAnsi="Calibri" w:cs="Mangal"/>
          <w:b/>
          <w:szCs w:val="24"/>
        </w:rPr>
        <w:t xml:space="preserve"> </w:t>
      </w:r>
      <w:r w:rsidRPr="001504E0">
        <w:rPr>
          <w:rFonts w:ascii="Calibri" w:eastAsia="Times New Roman" w:hAnsi="Calibri" w:cs="Mangal"/>
          <w:b/>
          <w:szCs w:val="24"/>
        </w:rPr>
        <w:t>Gold production (ounces) by year</w:t>
      </w:r>
    </w:p>
    <w:p w:rsidR="001504E0" w:rsidRPr="001504E0" w:rsidRDefault="001504E0" w:rsidP="001504E0">
      <w:pPr>
        <w:spacing w:before="0" w:after="0" w:line="240" w:lineRule="auto"/>
        <w:jc w:val="both"/>
        <w:rPr>
          <w:rFonts w:ascii="Calibri" w:eastAsia="Times New Roman" w:hAnsi="Calibri" w:cs="Mangal"/>
          <w:szCs w:val="24"/>
        </w:rPr>
      </w:pPr>
      <w:r w:rsidRPr="001504E0">
        <w:rPr>
          <w:rFonts w:ascii="Arial" w:eastAsia="Times New Roman" w:hAnsi="Arial" w:cs="Mangal"/>
          <w:noProof/>
          <w:sz w:val="18"/>
          <w:szCs w:val="24"/>
        </w:rPr>
        <w:drawing>
          <wp:inline distT="0" distB="0" distL="0" distR="0" wp14:anchorId="4320C3E2" wp14:editId="5B0794A2">
            <wp:extent cx="6645600" cy="2736000"/>
            <wp:effectExtent l="0" t="0" r="22225" b="26670"/>
            <wp:docPr id="9" name="Chart 9" descr="This graph outlines the amount of gold production per year in ounces.&#10;&#10;Gold production has increased overall since the 1993/4 financial year to present. Gold production has dropped since the 2013/14 financial year but still remains high in comparison to historical levels." title="Gold production by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504E0" w:rsidRPr="001504E0" w:rsidRDefault="001504E0" w:rsidP="001504E0">
      <w:pPr>
        <w:spacing w:before="0" w:after="0" w:line="240" w:lineRule="auto"/>
        <w:rPr>
          <w:rFonts w:ascii="Calibri" w:eastAsia="Times New Roman" w:hAnsi="Calibri" w:cs="Mangal"/>
          <w:sz w:val="16"/>
          <w:szCs w:val="16"/>
        </w:rPr>
      </w:pPr>
      <w:r w:rsidRPr="001504E0" w:rsidDel="00D004C4">
        <w:rPr>
          <w:rFonts w:ascii="Calibri" w:eastAsia="Times New Roman" w:hAnsi="Calibri" w:cs="Mangal"/>
          <w:szCs w:val="24"/>
        </w:rPr>
        <w:t xml:space="preserve"> </w:t>
      </w:r>
      <w:r w:rsidRPr="001504E0">
        <w:rPr>
          <w:rFonts w:ascii="Calibri" w:eastAsia="Times New Roman" w:hAnsi="Calibri" w:cs="Mangal"/>
          <w:sz w:val="16"/>
          <w:szCs w:val="16"/>
        </w:rPr>
        <w:t>Source: DEDJTR</w:t>
      </w:r>
    </w:p>
    <w:p w:rsidR="000E1E7F" w:rsidRDefault="000E1E7F" w:rsidP="000E1E7F">
      <w:pPr>
        <w:spacing w:before="0" w:after="0"/>
        <w:rPr>
          <w:rFonts w:ascii="Calibri" w:eastAsia="Times New Roman" w:hAnsi="Calibri" w:cs="Mangal"/>
          <w:b/>
          <w:szCs w:val="24"/>
        </w:rPr>
      </w:pPr>
    </w:p>
    <w:p w:rsidR="001504E0" w:rsidRPr="001504E0" w:rsidRDefault="001504E0" w:rsidP="000E1E7F">
      <w:pPr>
        <w:spacing w:before="0" w:after="0"/>
        <w:rPr>
          <w:rFonts w:ascii="Calibri" w:eastAsia="Times New Roman" w:hAnsi="Calibri" w:cs="Mangal"/>
          <w:b/>
          <w:szCs w:val="24"/>
        </w:rPr>
      </w:pPr>
      <w:r w:rsidRPr="001504E0">
        <w:rPr>
          <w:rFonts w:ascii="Calibri" w:eastAsia="Times New Roman" w:hAnsi="Calibri" w:cs="Mangal"/>
          <w:b/>
          <w:szCs w:val="24"/>
        </w:rPr>
        <w:t>Table 3.</w:t>
      </w:r>
      <w:r w:rsidR="00DB7DC9">
        <w:rPr>
          <w:rFonts w:ascii="Calibri" w:eastAsia="Times New Roman" w:hAnsi="Calibri" w:cs="Mangal"/>
          <w:b/>
          <w:szCs w:val="24"/>
        </w:rPr>
        <w:t>9</w:t>
      </w:r>
      <w:r w:rsidRPr="001504E0">
        <w:rPr>
          <w:rFonts w:ascii="Calibri" w:eastAsia="Times New Roman" w:hAnsi="Calibri" w:cs="Mangal"/>
          <w:b/>
          <w:szCs w:val="24"/>
        </w:rPr>
        <w:t xml:space="preserve"> Brown coal production (thousand tonnes) by year</w:t>
      </w:r>
    </w:p>
    <w:tbl>
      <w:tblPr>
        <w:tblStyle w:val="LightShading-Accent1"/>
        <w:tblW w:w="5000" w:type="pct"/>
        <w:tblLook w:val="0000" w:firstRow="0" w:lastRow="0" w:firstColumn="0" w:lastColumn="0" w:noHBand="0" w:noVBand="0"/>
      </w:tblPr>
      <w:tblGrid>
        <w:gridCol w:w="911"/>
        <w:gridCol w:w="3540"/>
        <w:gridCol w:w="1344"/>
        <w:gridCol w:w="773"/>
        <w:gridCol w:w="906"/>
        <w:gridCol w:w="911"/>
        <w:gridCol w:w="1142"/>
        <w:gridCol w:w="1155"/>
      </w:tblGrid>
      <w:tr w:rsidR="001504E0" w:rsidRPr="001504E0" w:rsidTr="002C2EA2">
        <w:trPr>
          <w:trHeight w:val="972"/>
          <w:tblHeader/>
        </w:trPr>
        <w:tc>
          <w:tcPr>
            <w:cnfStyle w:val="000010000000" w:firstRow="0" w:lastRow="0" w:firstColumn="0" w:lastColumn="0" w:oddVBand="1" w:evenVBand="0" w:oddHBand="0" w:evenHBand="0" w:firstRowFirstColumn="0" w:firstRowLastColumn="0" w:lastRowFirstColumn="0" w:lastRowLastColumn="0"/>
            <w:tcW w:w="422"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rPr>
                <w:rFonts w:ascii="Calibri" w:eastAsia="Times New Roman" w:hAnsi="Calibri" w:cs="Mangal"/>
                <w:b/>
                <w:color w:val="000000" w:themeColor="text1"/>
                <w:szCs w:val="24"/>
              </w:rPr>
            </w:pPr>
            <w:bookmarkStart w:id="18" w:name="_Hlt125448789"/>
            <w:bookmarkEnd w:id="18"/>
            <w:r w:rsidRPr="00E4488C">
              <w:rPr>
                <w:rFonts w:ascii="Calibri" w:eastAsia="Times New Roman" w:hAnsi="Calibri" w:cs="Mangal"/>
                <w:b/>
                <w:color w:val="000000" w:themeColor="text1"/>
                <w:szCs w:val="24"/>
              </w:rPr>
              <w:t>Year</w:t>
            </w:r>
          </w:p>
        </w:tc>
        <w:tc>
          <w:tcPr>
            <w:tcW w:w="1658"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Maddingley Brown Coal Co.             Bacchus Marsh</w:t>
            </w:r>
          </w:p>
        </w:tc>
        <w:tc>
          <w:tcPr>
            <w:cnfStyle w:val="000010000000" w:firstRow="0" w:lastRow="0" w:firstColumn="0" w:lastColumn="0" w:oddVBand="1" w:evenVBand="0" w:oddHBand="0" w:evenHBand="0" w:firstRowFirstColumn="0" w:firstRowLastColumn="0" w:lastRowFirstColumn="0" w:lastRowLastColumn="0"/>
            <w:tcW w:w="630"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Alcoa Anglesea</w:t>
            </w:r>
          </w:p>
        </w:tc>
        <w:tc>
          <w:tcPr>
            <w:tcW w:w="362"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SECV*</w:t>
            </w:r>
          </w:p>
        </w:tc>
        <w:tc>
          <w:tcPr>
            <w:cnfStyle w:val="000010000000" w:firstRow="0" w:lastRow="0" w:firstColumn="0" w:lastColumn="0" w:oddVBand="1" w:evenVBand="0" w:oddHBand="0" w:evenHBand="0" w:firstRowFirstColumn="0" w:firstRowLastColumn="0" w:lastRowFirstColumn="0" w:lastRowLastColumn="0"/>
            <w:tcW w:w="425"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Loy Yang</w:t>
            </w:r>
          </w:p>
        </w:tc>
        <w:tc>
          <w:tcPr>
            <w:tcW w:w="426"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Yallourn</w:t>
            </w:r>
          </w:p>
        </w:tc>
        <w:tc>
          <w:tcPr>
            <w:cnfStyle w:val="000010000000" w:firstRow="0" w:lastRow="0" w:firstColumn="0" w:lastColumn="0" w:oddVBand="1" w:evenVBand="0" w:oddHBand="0" w:evenHBand="0" w:firstRowFirstColumn="0" w:firstRowLastColumn="0" w:lastRowFirstColumn="0" w:lastRowLastColumn="0"/>
            <w:tcW w:w="535"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Hazelwood</w:t>
            </w:r>
          </w:p>
        </w:tc>
        <w:tc>
          <w:tcPr>
            <w:tcW w:w="541" w:type="pct"/>
            <w:tcBorders>
              <w:top w:val="single" w:sz="8" w:space="0" w:color="4F81BD" w:themeColor="accent1"/>
              <w:bottom w:val="single" w:sz="8" w:space="0" w:color="4F81BD" w:themeColor="accent1"/>
            </w:tcBorders>
            <w:shd w:val="clear" w:color="auto" w:fill="auto"/>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b/>
                <w:color w:val="000000" w:themeColor="text1"/>
                <w:szCs w:val="24"/>
              </w:rPr>
            </w:pPr>
            <w:r w:rsidRPr="00E4488C">
              <w:rPr>
                <w:rFonts w:ascii="Calibri" w:eastAsia="Times New Roman" w:hAnsi="Calibri" w:cs="Mangal"/>
                <w:b/>
                <w:color w:val="000000" w:themeColor="text1"/>
                <w:szCs w:val="24"/>
              </w:rPr>
              <w:t>Annual Total</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single" w:sz="8" w:space="0" w:color="4F81BD" w:themeColor="accent1"/>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1993/94</w:t>
            </w:r>
          </w:p>
        </w:tc>
        <w:tc>
          <w:tcPr>
            <w:tcW w:w="1658" w:type="pct"/>
            <w:tcBorders>
              <w:top w:val="single" w:sz="8" w:space="0" w:color="4F81BD" w:themeColor="accent1"/>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31</w:t>
            </w:r>
          </w:p>
        </w:tc>
        <w:tc>
          <w:tcPr>
            <w:cnfStyle w:val="000010000000" w:firstRow="0" w:lastRow="0" w:firstColumn="0" w:lastColumn="0" w:oddVBand="1" w:evenVBand="0" w:oddHBand="0" w:evenHBand="0" w:firstRowFirstColumn="0" w:firstRowLastColumn="0" w:lastRowFirstColumn="0" w:lastRowLastColumn="0"/>
            <w:tcW w:w="630" w:type="pct"/>
            <w:tcBorders>
              <w:top w:val="single" w:sz="8" w:space="0" w:color="4F81BD" w:themeColor="accent1"/>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1,093</w:t>
            </w:r>
          </w:p>
        </w:tc>
        <w:tc>
          <w:tcPr>
            <w:tcW w:w="362" w:type="pct"/>
            <w:tcBorders>
              <w:top w:val="single" w:sz="8" w:space="0" w:color="4F81BD" w:themeColor="accent1"/>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48,559</w:t>
            </w:r>
          </w:p>
        </w:tc>
        <w:tc>
          <w:tcPr>
            <w:cnfStyle w:val="000010000000" w:firstRow="0" w:lastRow="0" w:firstColumn="0" w:lastColumn="0" w:oddVBand="1" w:evenVBand="0" w:oddHBand="0" w:evenHBand="0" w:firstRowFirstColumn="0" w:firstRowLastColumn="0" w:lastRowFirstColumn="0" w:lastRowLastColumn="0"/>
            <w:tcW w:w="425" w:type="pct"/>
            <w:tcBorders>
              <w:top w:val="single" w:sz="8" w:space="0" w:color="4F81BD" w:themeColor="accent1"/>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w:t>
            </w:r>
          </w:p>
        </w:tc>
        <w:tc>
          <w:tcPr>
            <w:tcW w:w="426" w:type="pct"/>
            <w:tcBorders>
              <w:top w:val="single" w:sz="8" w:space="0" w:color="4F81BD" w:themeColor="accent1"/>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535" w:type="pct"/>
            <w:tcBorders>
              <w:top w:val="single" w:sz="8" w:space="0" w:color="4F81BD" w:themeColor="accent1"/>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w:t>
            </w:r>
          </w:p>
        </w:tc>
        <w:tc>
          <w:tcPr>
            <w:tcW w:w="541" w:type="pct"/>
            <w:tcBorders>
              <w:top w:val="single" w:sz="8" w:space="0" w:color="4F81BD" w:themeColor="accent1"/>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49,683</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1994/95</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43</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1,162</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48,717</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49,922</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1995/96</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40</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836</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25,000</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17,460</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10,945</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54,281</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1996/97</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39</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1,005</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27,808</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17,083</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14,860</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60,795</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1997/98</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28</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1,030</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29,766</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17,924</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16,525</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65,274</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1998/99</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22</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1,091</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30,510</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17,350</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17,675</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66,648</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1999/00</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4</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926</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30,865</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16,098</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19,470</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67,363</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2000/01</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11</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963</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28,686</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16,234</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19,063</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64,958</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2001/02</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10</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1,069</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30,949</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15,650</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18,982</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66,661</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2002/03</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15</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1,051</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29,017</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17,515</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19,210</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66,809</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2003/04</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18</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1,107</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29,577</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16,585</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19,056</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66,343</w:t>
            </w:r>
          </w:p>
        </w:tc>
      </w:tr>
      <w:tr w:rsidR="001504E0" w:rsidRPr="001504E0" w:rsidTr="002C2EA2">
        <w:trPr>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2004/05</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19</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943</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29,826</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17,663</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18,701</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67,152</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2005/06</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22</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1,101</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30,937</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16,933</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18,743</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67,737</w:t>
            </w:r>
          </w:p>
        </w:tc>
      </w:tr>
      <w:tr w:rsidR="001504E0" w:rsidRPr="001504E0" w:rsidTr="002C2EA2">
        <w:trPr>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2006/07</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15</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1,049</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29,146</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16,090</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19,313</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65,613</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2007/08</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1,066</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30,745</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15,467</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18,739</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66,033</w:t>
            </w:r>
          </w:p>
        </w:tc>
      </w:tr>
      <w:tr w:rsidR="001504E0" w:rsidRPr="001504E0" w:rsidTr="002C2EA2">
        <w:trPr>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2008/09</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14</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966</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29,007</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18,229</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20,036</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68,252</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2009/10</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11</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1,077</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30,446</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17,685</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19,531</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68,750</w:t>
            </w:r>
          </w:p>
        </w:tc>
      </w:tr>
      <w:tr w:rsidR="001504E0" w:rsidRPr="001504E0" w:rsidTr="002C2EA2">
        <w:trPr>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2010/11</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1,070</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29,895</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17,705</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18,047</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66,733</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2011/12</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21</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1,022</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30,237</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17,404</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20,440</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69,124</w:t>
            </w:r>
          </w:p>
        </w:tc>
      </w:tr>
      <w:tr w:rsidR="001504E0" w:rsidRPr="001504E0" w:rsidTr="002C2EA2">
        <w:trPr>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2012/13</w:t>
            </w:r>
          </w:p>
        </w:tc>
        <w:tc>
          <w:tcPr>
            <w:tcW w:w="1658"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18</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913</w:t>
            </w:r>
          </w:p>
        </w:tc>
        <w:tc>
          <w:tcPr>
            <w:tcW w:w="362"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28,921</w:t>
            </w:r>
          </w:p>
        </w:tc>
        <w:tc>
          <w:tcPr>
            <w:tcW w:w="426"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12,885</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17,118</w:t>
            </w:r>
          </w:p>
        </w:tc>
        <w:tc>
          <w:tcPr>
            <w:tcW w:w="541" w:type="pct"/>
            <w:tcBorders>
              <w:top w:val="nil"/>
              <w:bottom w:val="nil"/>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59,854</w:t>
            </w:r>
          </w:p>
        </w:tc>
      </w:tr>
      <w:tr w:rsidR="001504E0" w:rsidRPr="001504E0" w:rsidTr="002C2EA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tcBorders>
            <w:shd w:val="clear" w:color="auto" w:fill="DBE5F1" w:themeFill="accent1" w:themeFillTint="33"/>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2013/14</w:t>
            </w:r>
          </w:p>
        </w:tc>
        <w:tc>
          <w:tcPr>
            <w:tcW w:w="1658"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19</w:t>
            </w:r>
          </w:p>
        </w:tc>
        <w:tc>
          <w:tcPr>
            <w:cnfStyle w:val="000010000000" w:firstRow="0" w:lastRow="0" w:firstColumn="0" w:lastColumn="0" w:oddVBand="1" w:evenVBand="0" w:oddHBand="0" w:evenHBand="0" w:firstRowFirstColumn="0" w:firstRowLastColumn="0" w:lastRowFirstColumn="0" w:lastRowLastColumn="0"/>
            <w:tcW w:w="630"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1,034</w:t>
            </w:r>
          </w:p>
        </w:tc>
        <w:tc>
          <w:tcPr>
            <w:tcW w:w="362"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26,967</w:t>
            </w:r>
          </w:p>
        </w:tc>
        <w:tc>
          <w:tcPr>
            <w:tcW w:w="426"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13,494</w:t>
            </w:r>
          </w:p>
        </w:tc>
        <w:tc>
          <w:tcPr>
            <w:cnfStyle w:val="000010000000" w:firstRow="0" w:lastRow="0" w:firstColumn="0" w:lastColumn="0" w:oddVBand="1" w:evenVBand="0" w:oddHBand="0" w:evenHBand="0" w:firstRowFirstColumn="0" w:firstRowLastColumn="0" w:lastRowFirstColumn="0" w:lastRowLastColumn="0"/>
            <w:tcW w:w="535" w:type="pct"/>
            <w:tcBorders>
              <w:top w:val="nil"/>
            </w:tcBorders>
            <w:shd w:val="clear" w:color="auto" w:fill="DBE5F1" w:themeFill="accent1" w:themeFillTint="33"/>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16,487</w:t>
            </w:r>
          </w:p>
        </w:tc>
        <w:tc>
          <w:tcPr>
            <w:tcW w:w="541" w:type="pct"/>
            <w:tcBorders>
              <w:top w:val="nil"/>
              <w:bottom w:val="nil"/>
            </w:tcBorders>
            <w:shd w:val="clear" w:color="auto" w:fill="DBE5F1" w:themeFill="accent1" w:themeFillTint="33"/>
            <w:noWrap/>
            <w:vAlign w:val="center"/>
          </w:tcPr>
          <w:p w:rsidR="001504E0" w:rsidRPr="00E4488C" w:rsidRDefault="001504E0"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58,001</w:t>
            </w:r>
          </w:p>
        </w:tc>
      </w:tr>
      <w:tr w:rsidR="001504E0" w:rsidRPr="001504E0" w:rsidTr="002C2EA2">
        <w:trPr>
          <w:trHeight w:val="300"/>
        </w:trPr>
        <w:tc>
          <w:tcPr>
            <w:cnfStyle w:val="000010000000" w:firstRow="0" w:lastRow="0" w:firstColumn="0" w:lastColumn="0" w:oddVBand="1" w:evenVBand="0" w:oddHBand="0" w:evenHBand="0" w:firstRowFirstColumn="0" w:firstRowLastColumn="0" w:lastRowFirstColumn="0" w:lastRowLastColumn="0"/>
            <w:tcW w:w="422" w:type="pct"/>
            <w:tcBorders>
              <w:top w:val="nil"/>
              <w:bottom w:val="single" w:sz="8" w:space="0" w:color="4F81BD" w:themeColor="accent1"/>
            </w:tcBorders>
            <w:shd w:val="clear" w:color="auto" w:fill="auto"/>
            <w:noWrap/>
          </w:tcPr>
          <w:p w:rsidR="001504E0" w:rsidRPr="002C2EA2" w:rsidRDefault="001504E0" w:rsidP="001504E0">
            <w:pPr>
              <w:jc w:val="center"/>
              <w:rPr>
                <w:rFonts w:eastAsia="Times New Roman" w:cs="Mangal"/>
                <w:b/>
                <w:color w:val="000000" w:themeColor="text1"/>
              </w:rPr>
            </w:pPr>
            <w:r w:rsidRPr="002C2EA2">
              <w:rPr>
                <w:rFonts w:eastAsia="Times New Roman" w:cs="Mangal"/>
                <w:b/>
                <w:color w:val="000000" w:themeColor="text1"/>
              </w:rPr>
              <w:t>2014/15</w:t>
            </w:r>
          </w:p>
        </w:tc>
        <w:tc>
          <w:tcPr>
            <w:tcW w:w="1658" w:type="pct"/>
            <w:tcBorders>
              <w:top w:val="nil"/>
              <w:bottom w:val="single" w:sz="8" w:space="0" w:color="4F81BD" w:themeColor="accent1"/>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19</w:t>
            </w:r>
          </w:p>
        </w:tc>
        <w:tc>
          <w:tcPr>
            <w:cnfStyle w:val="000010000000" w:firstRow="0" w:lastRow="0" w:firstColumn="0" w:lastColumn="0" w:oddVBand="1" w:evenVBand="0" w:oddHBand="0" w:evenHBand="0" w:firstRowFirstColumn="0" w:firstRowLastColumn="0" w:lastRowFirstColumn="0" w:lastRowLastColumn="0"/>
            <w:tcW w:w="630" w:type="pct"/>
            <w:tcBorders>
              <w:top w:val="nil"/>
              <w:bottom w:val="single" w:sz="8" w:space="0" w:color="4F81BD" w:themeColor="accent1"/>
            </w:tcBorders>
            <w:shd w:val="clear" w:color="auto" w:fill="auto"/>
            <w:noWrap/>
            <w:vAlign w:val="center"/>
          </w:tcPr>
          <w:p w:rsidR="001504E0" w:rsidRPr="00E4488C" w:rsidRDefault="00A012D2" w:rsidP="002C2EA2">
            <w:pPr>
              <w:jc w:val="center"/>
              <w:rPr>
                <w:rFonts w:eastAsia="Times New Roman" w:cs="Mangal"/>
                <w:color w:val="000000" w:themeColor="text1"/>
              </w:rPr>
            </w:pPr>
            <w:r>
              <w:rPr>
                <w:rFonts w:eastAsia="Times New Roman" w:cs="Mangal"/>
                <w:color w:val="000000" w:themeColor="text1"/>
              </w:rPr>
              <w:t>-</w:t>
            </w:r>
          </w:p>
        </w:tc>
        <w:tc>
          <w:tcPr>
            <w:tcW w:w="362" w:type="pct"/>
            <w:tcBorders>
              <w:top w:val="nil"/>
              <w:bottom w:val="single" w:sz="8" w:space="0" w:color="4F81BD" w:themeColor="accent1"/>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w:t>
            </w:r>
          </w:p>
        </w:tc>
        <w:tc>
          <w:tcPr>
            <w:cnfStyle w:val="000010000000" w:firstRow="0" w:lastRow="0" w:firstColumn="0" w:lastColumn="0" w:oddVBand="1" w:evenVBand="0" w:oddHBand="0" w:evenHBand="0" w:firstRowFirstColumn="0" w:firstRowLastColumn="0" w:lastRowFirstColumn="0" w:lastRowLastColumn="0"/>
            <w:tcW w:w="425" w:type="pct"/>
            <w:tcBorders>
              <w:top w:val="nil"/>
              <w:bottom w:val="single" w:sz="8" w:space="0" w:color="4F81BD" w:themeColor="accent1"/>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27,624</w:t>
            </w:r>
          </w:p>
        </w:tc>
        <w:tc>
          <w:tcPr>
            <w:tcW w:w="426" w:type="pct"/>
            <w:tcBorders>
              <w:top w:val="nil"/>
              <w:bottom w:val="single" w:sz="8" w:space="0" w:color="4F81BD" w:themeColor="accent1"/>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17,171</w:t>
            </w:r>
          </w:p>
        </w:tc>
        <w:tc>
          <w:tcPr>
            <w:cnfStyle w:val="000010000000" w:firstRow="0" w:lastRow="0" w:firstColumn="0" w:lastColumn="0" w:oddVBand="1" w:evenVBand="0" w:oddHBand="0" w:evenHBand="0" w:firstRowFirstColumn="0" w:firstRowLastColumn="0" w:lastRowFirstColumn="0" w:lastRowLastColumn="0"/>
            <w:tcW w:w="535" w:type="pct"/>
            <w:tcBorders>
              <w:top w:val="nil"/>
              <w:bottom w:val="single" w:sz="8" w:space="0" w:color="4F81BD" w:themeColor="accent1"/>
            </w:tcBorders>
            <w:shd w:val="clear" w:color="auto" w:fill="auto"/>
            <w:noWrap/>
            <w:vAlign w:val="center"/>
          </w:tcPr>
          <w:p w:rsidR="001504E0" w:rsidRPr="00E4488C" w:rsidRDefault="001504E0" w:rsidP="002C2EA2">
            <w:pPr>
              <w:jc w:val="center"/>
              <w:rPr>
                <w:rFonts w:eastAsia="Times New Roman" w:cs="Mangal"/>
                <w:color w:val="000000" w:themeColor="text1"/>
              </w:rPr>
            </w:pPr>
            <w:r w:rsidRPr="00E4488C">
              <w:rPr>
                <w:rFonts w:eastAsia="Times New Roman" w:cs="Mangal"/>
                <w:color w:val="000000" w:themeColor="text1"/>
              </w:rPr>
              <w:t>16,144</w:t>
            </w:r>
          </w:p>
        </w:tc>
        <w:tc>
          <w:tcPr>
            <w:tcW w:w="541" w:type="pct"/>
            <w:tcBorders>
              <w:top w:val="nil"/>
              <w:bottom w:val="single" w:sz="8" w:space="0" w:color="4F81BD" w:themeColor="accent1"/>
            </w:tcBorders>
            <w:shd w:val="clear" w:color="auto" w:fill="auto"/>
            <w:noWrap/>
            <w:vAlign w:val="center"/>
          </w:tcPr>
          <w:p w:rsidR="001504E0" w:rsidRPr="00E4488C" w:rsidRDefault="001504E0"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60,957</w:t>
            </w:r>
          </w:p>
        </w:tc>
      </w:tr>
    </w:tbl>
    <w:p w:rsidR="001504E0" w:rsidRPr="001504E0" w:rsidRDefault="001504E0" w:rsidP="001504E0">
      <w:pPr>
        <w:spacing w:before="0" w:after="0" w:line="240" w:lineRule="auto"/>
        <w:jc w:val="both"/>
        <w:rPr>
          <w:rFonts w:ascii="Calibri" w:eastAsia="Times New Roman" w:hAnsi="Calibri" w:cs="Mangal"/>
          <w:b/>
          <w:noProof/>
          <w:kern w:val="32"/>
          <w:sz w:val="24"/>
          <w:szCs w:val="24"/>
        </w:rPr>
      </w:pPr>
      <w:r w:rsidRPr="001504E0">
        <w:rPr>
          <w:rFonts w:ascii="Calibri" w:eastAsia="Times New Roman" w:hAnsi="Calibri" w:cs="Mangal"/>
          <w:sz w:val="16"/>
          <w:szCs w:val="24"/>
        </w:rPr>
        <w:t xml:space="preserve">Source: DEDJTR, </w:t>
      </w:r>
      <w:r w:rsidR="002B7F82">
        <w:rPr>
          <w:rFonts w:ascii="Calibri" w:eastAsia="Times New Roman" w:hAnsi="Calibri" w:cs="Mangal"/>
          <w:sz w:val="16"/>
          <w:szCs w:val="24"/>
        </w:rPr>
        <w:t>s</w:t>
      </w:r>
      <w:r w:rsidRPr="001504E0">
        <w:rPr>
          <w:rFonts w:ascii="Calibri" w:eastAsia="Times New Roman" w:hAnsi="Calibri" w:cs="Mangal"/>
          <w:sz w:val="16"/>
          <w:szCs w:val="24"/>
        </w:rPr>
        <w:t>tatutory returns under the MRSDA.</w:t>
      </w:r>
    </w:p>
    <w:p w:rsidR="001504E0" w:rsidRPr="001504E0" w:rsidRDefault="001504E0" w:rsidP="001504E0">
      <w:pPr>
        <w:spacing w:before="0" w:after="0" w:line="240" w:lineRule="auto"/>
        <w:jc w:val="both"/>
        <w:rPr>
          <w:rFonts w:ascii="Calibri" w:eastAsia="Times New Roman" w:hAnsi="Calibri" w:cs="Mangal"/>
          <w:sz w:val="16"/>
          <w:szCs w:val="16"/>
        </w:rPr>
      </w:pPr>
      <w:r w:rsidRPr="001504E0">
        <w:rPr>
          <w:rFonts w:ascii="Calibri" w:eastAsia="Times New Roman" w:hAnsi="Calibri" w:cs="Mangal"/>
          <w:sz w:val="16"/>
          <w:szCs w:val="16"/>
        </w:rPr>
        <w:t>* State Electricity Commission of Victoria, disaggregated in 1994.</w:t>
      </w:r>
    </w:p>
    <w:p w:rsidR="001504E0" w:rsidRDefault="001504E0" w:rsidP="001504E0">
      <w:pPr>
        <w:pStyle w:val="Heading1"/>
      </w:pPr>
      <w:bookmarkStart w:id="19" w:name="_Toc456261063"/>
      <w:r>
        <w:lastRenderedPageBreak/>
        <w:t>Extractive industry</w:t>
      </w:r>
      <w:bookmarkEnd w:id="19"/>
    </w:p>
    <w:p w:rsidR="006A0BAC" w:rsidRPr="006A0BAC" w:rsidRDefault="006A0BAC" w:rsidP="006A0BAC">
      <w:pPr>
        <w:spacing w:before="0" w:after="0"/>
        <w:rPr>
          <w:rFonts w:eastAsia="Times New Roman" w:cs="Times New Roman"/>
          <w:lang w:eastAsia="en-US"/>
        </w:rPr>
      </w:pPr>
      <w:r w:rsidRPr="006A0BAC">
        <w:rPr>
          <w:rFonts w:eastAsia="Times New Roman" w:cs="Times New Roman"/>
          <w:lang w:eastAsia="en-US"/>
        </w:rPr>
        <w:t>Extractive industries produce the raw material necessary for building and construction, which is vital to the State’s development, as well as contributing to the agricultural industry via soil additives. The industry operates quarries that produce a range of “stone” products, predominantly being hard rock, clay, sand and gravel.</w:t>
      </w:r>
    </w:p>
    <w:p w:rsidR="006A0BAC" w:rsidRPr="006A0BAC" w:rsidRDefault="006A0BAC" w:rsidP="006A0BAC">
      <w:pPr>
        <w:spacing w:before="0" w:after="0"/>
        <w:rPr>
          <w:rFonts w:eastAsia="Times New Roman" w:cs="Times New Roman"/>
          <w:lang w:eastAsia="en-US"/>
        </w:rPr>
      </w:pPr>
    </w:p>
    <w:p w:rsidR="006A0BAC" w:rsidRDefault="006A0BAC" w:rsidP="006A0BAC">
      <w:pPr>
        <w:spacing w:before="0" w:after="0" w:line="240" w:lineRule="auto"/>
        <w:rPr>
          <w:rFonts w:eastAsia="Times New Roman" w:cs="Times New Roman"/>
          <w:lang w:eastAsia="en-US"/>
        </w:rPr>
      </w:pPr>
      <w:r w:rsidRPr="006A0BAC">
        <w:rPr>
          <w:rFonts w:eastAsia="Times New Roman" w:cs="Times New Roman"/>
          <w:lang w:eastAsia="en-US"/>
        </w:rPr>
        <w:t>As at 30 June 2015, 887 quarries were operating under the MRSDA in Victoria. The total number of quarries has remained stable over the last decade.</w:t>
      </w:r>
    </w:p>
    <w:p w:rsidR="000E1E7F" w:rsidRDefault="000E1E7F" w:rsidP="006A0BAC">
      <w:pPr>
        <w:spacing w:before="0" w:after="0" w:line="240" w:lineRule="auto"/>
        <w:jc w:val="both"/>
        <w:rPr>
          <w:rFonts w:ascii="Calibri" w:eastAsia="Times New Roman" w:hAnsi="Calibri" w:cs="Mangal"/>
          <w:b/>
          <w:szCs w:val="24"/>
        </w:rPr>
      </w:pPr>
    </w:p>
    <w:p w:rsidR="006A0BAC" w:rsidRPr="006A0BAC" w:rsidRDefault="006A0BAC" w:rsidP="006A0BAC">
      <w:pPr>
        <w:spacing w:before="0" w:after="0" w:line="240" w:lineRule="auto"/>
        <w:jc w:val="both"/>
        <w:rPr>
          <w:rFonts w:ascii="Calibri" w:eastAsia="Times New Roman" w:hAnsi="Calibri" w:cs="Mangal"/>
          <w:b/>
          <w:szCs w:val="24"/>
        </w:rPr>
      </w:pPr>
      <w:r w:rsidRPr="006A0BAC">
        <w:rPr>
          <w:rFonts w:ascii="Calibri" w:eastAsia="Times New Roman" w:hAnsi="Calibri" w:cs="Mangal"/>
          <w:b/>
          <w:szCs w:val="24"/>
        </w:rPr>
        <w:t xml:space="preserve">Table </w:t>
      </w:r>
      <w:r w:rsidR="002B7F82">
        <w:rPr>
          <w:rFonts w:ascii="Calibri" w:eastAsia="Times New Roman" w:hAnsi="Calibri" w:cs="Mangal"/>
          <w:b/>
          <w:szCs w:val="24"/>
        </w:rPr>
        <w:t>3</w:t>
      </w:r>
      <w:r w:rsidRPr="006A0BAC">
        <w:rPr>
          <w:rFonts w:ascii="Calibri" w:eastAsia="Times New Roman" w:hAnsi="Calibri" w:cs="Mangal"/>
          <w:b/>
          <w:szCs w:val="24"/>
        </w:rPr>
        <w:t>.1 Status of extractive industry work authorities* as at 30 June 2015</w:t>
      </w:r>
    </w:p>
    <w:tbl>
      <w:tblPr>
        <w:tblStyle w:val="LightShading-Accent1"/>
        <w:tblW w:w="5000" w:type="pct"/>
        <w:tblLook w:val="04A0" w:firstRow="1" w:lastRow="0" w:firstColumn="1" w:lastColumn="0" w:noHBand="0" w:noVBand="1"/>
      </w:tblPr>
      <w:tblGrid>
        <w:gridCol w:w="4273"/>
        <w:gridCol w:w="3952"/>
        <w:gridCol w:w="2457"/>
      </w:tblGrid>
      <w:tr w:rsidR="006A0BAC" w:rsidRPr="006A0BAC" w:rsidTr="002C2EA2">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000" w:type="pct"/>
            <w:noWrap/>
            <w:hideMark/>
          </w:tcPr>
          <w:p w:rsidR="006A0BAC" w:rsidRPr="00E4488C" w:rsidRDefault="006A0BAC" w:rsidP="006A0BAC">
            <w:pPr>
              <w:jc w:val="both"/>
              <w:rPr>
                <w:rFonts w:ascii="Calibri" w:eastAsia="Times New Roman" w:hAnsi="Calibri" w:cs="Mangal"/>
                <w:b w:val="0"/>
                <w:color w:val="000000" w:themeColor="text1"/>
                <w:szCs w:val="24"/>
              </w:rPr>
            </w:pPr>
            <w:r w:rsidRPr="00E4488C">
              <w:rPr>
                <w:rFonts w:ascii="Calibri" w:eastAsia="Times New Roman" w:hAnsi="Calibri" w:cs="Mangal"/>
                <w:color w:val="000000" w:themeColor="text1"/>
                <w:szCs w:val="24"/>
              </w:rPr>
              <w:t>Tenement</w:t>
            </w:r>
          </w:p>
        </w:tc>
        <w:tc>
          <w:tcPr>
            <w:tcW w:w="1850" w:type="pct"/>
            <w:noWrap/>
            <w:hideMark/>
          </w:tcPr>
          <w:p w:rsidR="006A0BAC" w:rsidRPr="00E4488C" w:rsidRDefault="006A0BAC" w:rsidP="006A0BA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E4488C">
              <w:rPr>
                <w:rFonts w:ascii="Calibri" w:eastAsia="Times New Roman" w:hAnsi="Calibri" w:cs="Mangal"/>
                <w:color w:val="000000" w:themeColor="text1"/>
                <w:szCs w:val="24"/>
              </w:rPr>
              <w:t>Application**</w:t>
            </w:r>
          </w:p>
        </w:tc>
        <w:tc>
          <w:tcPr>
            <w:tcW w:w="1150" w:type="pct"/>
            <w:noWrap/>
            <w:hideMark/>
          </w:tcPr>
          <w:p w:rsidR="006A0BAC" w:rsidRPr="00E4488C" w:rsidRDefault="006A0BAC" w:rsidP="006A0BA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Mangal"/>
                <w:b w:val="0"/>
                <w:color w:val="000000" w:themeColor="text1"/>
                <w:szCs w:val="24"/>
              </w:rPr>
            </w:pPr>
            <w:r w:rsidRPr="00E4488C">
              <w:rPr>
                <w:rFonts w:ascii="Calibri" w:eastAsia="Times New Roman" w:hAnsi="Calibri" w:cs="Mangal"/>
                <w:color w:val="000000" w:themeColor="text1"/>
                <w:szCs w:val="24"/>
              </w:rPr>
              <w:t>Current</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00" w:type="pct"/>
            <w:noWrap/>
            <w:hideMark/>
          </w:tcPr>
          <w:p w:rsidR="006A0BAC" w:rsidRPr="002C2EA2" w:rsidRDefault="006A0BAC" w:rsidP="006A0BAC">
            <w:pPr>
              <w:jc w:val="both"/>
              <w:rPr>
                <w:rFonts w:ascii="Calibri" w:eastAsia="Times New Roman" w:hAnsi="Calibri" w:cs="Mangal"/>
                <w:b w:val="0"/>
                <w:color w:val="000000" w:themeColor="text1"/>
                <w:szCs w:val="24"/>
              </w:rPr>
            </w:pPr>
            <w:r w:rsidRPr="002C2EA2">
              <w:rPr>
                <w:rFonts w:ascii="Calibri" w:eastAsia="Times New Roman" w:hAnsi="Calibri" w:cs="Mangal"/>
                <w:b w:val="0"/>
                <w:color w:val="000000" w:themeColor="text1"/>
                <w:szCs w:val="24"/>
              </w:rPr>
              <w:t>Work Authority</w:t>
            </w:r>
          </w:p>
        </w:tc>
        <w:tc>
          <w:tcPr>
            <w:tcW w:w="1850" w:type="pct"/>
            <w:noWrap/>
          </w:tcPr>
          <w:p w:rsidR="006A0BAC" w:rsidRPr="00E4488C" w:rsidRDefault="006A0BAC"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E4488C">
              <w:rPr>
                <w:rFonts w:ascii="Calibri" w:eastAsia="Times New Roman" w:hAnsi="Calibri" w:cs="Mangal"/>
                <w:color w:val="000000" w:themeColor="text1"/>
                <w:szCs w:val="24"/>
              </w:rPr>
              <w:t>49</w:t>
            </w:r>
          </w:p>
        </w:tc>
        <w:tc>
          <w:tcPr>
            <w:tcW w:w="1150" w:type="pct"/>
            <w:noWrap/>
          </w:tcPr>
          <w:p w:rsidR="006A0BAC" w:rsidRPr="00E4488C" w:rsidRDefault="006A0BAC"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szCs w:val="24"/>
              </w:rPr>
            </w:pPr>
            <w:r w:rsidRPr="00E4488C">
              <w:rPr>
                <w:rFonts w:ascii="Calibri" w:eastAsia="Times New Roman" w:hAnsi="Calibri" w:cs="Mangal"/>
                <w:color w:val="000000" w:themeColor="text1"/>
                <w:szCs w:val="24"/>
              </w:rPr>
              <w:t>887</w:t>
            </w:r>
          </w:p>
        </w:tc>
      </w:tr>
    </w:tbl>
    <w:p w:rsidR="006A0BAC" w:rsidRPr="006A0BAC" w:rsidRDefault="006A0BAC" w:rsidP="006A0BAC">
      <w:pPr>
        <w:spacing w:before="0" w:after="0" w:line="240" w:lineRule="auto"/>
        <w:jc w:val="both"/>
        <w:rPr>
          <w:rFonts w:ascii="Calibri" w:eastAsia="Times New Roman" w:hAnsi="Calibri" w:cs="Mangal"/>
          <w:szCs w:val="24"/>
        </w:rPr>
      </w:pPr>
      <w:r w:rsidRPr="006A0BAC">
        <w:rPr>
          <w:rFonts w:ascii="Calibri" w:eastAsia="Times New Roman" w:hAnsi="Calibri" w:cs="Mangal"/>
          <w:szCs w:val="24"/>
        </w:rPr>
        <w:t>Source: DEDJTR</w:t>
      </w:r>
    </w:p>
    <w:p w:rsidR="006A0BAC" w:rsidRPr="006A0BAC" w:rsidRDefault="006A0BAC" w:rsidP="006A0BAC">
      <w:pPr>
        <w:spacing w:before="0" w:after="0" w:line="240" w:lineRule="auto"/>
        <w:rPr>
          <w:rFonts w:ascii="Calibri" w:eastAsia="Times New Roman" w:hAnsi="Calibri" w:cs="Mangal"/>
          <w:sz w:val="16"/>
          <w:szCs w:val="16"/>
        </w:rPr>
      </w:pPr>
      <w:r w:rsidRPr="006A0BAC">
        <w:rPr>
          <w:rFonts w:ascii="Calibri" w:eastAsia="Times New Roman" w:hAnsi="Calibri" w:cs="Mangal"/>
          <w:sz w:val="16"/>
          <w:szCs w:val="16"/>
        </w:rPr>
        <w:t>*A Work Authority is granted under the MRSDA.</w:t>
      </w:r>
    </w:p>
    <w:p w:rsidR="006A0BAC" w:rsidRPr="006A0BAC" w:rsidRDefault="006A0BAC" w:rsidP="006A0BAC">
      <w:pPr>
        <w:spacing w:before="0" w:after="0" w:line="240" w:lineRule="auto"/>
        <w:rPr>
          <w:rFonts w:ascii="Calibri" w:eastAsia="Times New Roman" w:hAnsi="Calibri" w:cs="Mangal"/>
          <w:sz w:val="16"/>
          <w:szCs w:val="16"/>
        </w:rPr>
      </w:pPr>
      <w:r w:rsidRPr="006A0BAC">
        <w:rPr>
          <w:rFonts w:ascii="Calibri" w:eastAsia="Times New Roman" w:hAnsi="Calibri" w:cs="Mangal"/>
          <w:sz w:val="16"/>
          <w:szCs w:val="16"/>
        </w:rPr>
        <w:t xml:space="preserve">**Application stage is when a Work Authority application is lodged with all requirements to obtain an approved Work Plan.    </w:t>
      </w:r>
    </w:p>
    <w:p w:rsidR="006A0BAC" w:rsidRDefault="006A0BAC" w:rsidP="006A0BAC">
      <w:pPr>
        <w:spacing w:before="0" w:after="0" w:line="240" w:lineRule="auto"/>
        <w:jc w:val="both"/>
        <w:rPr>
          <w:rFonts w:ascii="Calibri" w:eastAsia="Times New Roman" w:hAnsi="Calibri" w:cs="Mangal"/>
          <w:b/>
          <w:szCs w:val="24"/>
        </w:rPr>
      </w:pPr>
    </w:p>
    <w:p w:rsidR="006A0BAC" w:rsidRPr="006A0BAC" w:rsidRDefault="006A0BAC" w:rsidP="006A0BAC">
      <w:pPr>
        <w:spacing w:before="0" w:after="0" w:line="240" w:lineRule="auto"/>
        <w:jc w:val="both"/>
        <w:rPr>
          <w:rFonts w:ascii="Calibri" w:eastAsia="Times New Roman" w:hAnsi="Calibri" w:cs="Mangal"/>
          <w:szCs w:val="24"/>
        </w:rPr>
      </w:pPr>
      <w:r w:rsidRPr="006A0BAC">
        <w:rPr>
          <w:rFonts w:ascii="Calibri" w:eastAsia="Times New Roman" w:hAnsi="Calibri" w:cs="Mangal"/>
          <w:b/>
          <w:szCs w:val="24"/>
        </w:rPr>
        <w:t xml:space="preserve">Graph </w:t>
      </w:r>
      <w:r w:rsidR="002B7F82">
        <w:rPr>
          <w:rFonts w:ascii="Calibri" w:eastAsia="Times New Roman" w:hAnsi="Calibri" w:cs="Mangal"/>
          <w:b/>
          <w:szCs w:val="24"/>
        </w:rPr>
        <w:t>3</w:t>
      </w:r>
      <w:r w:rsidRPr="006A0BAC">
        <w:rPr>
          <w:rFonts w:ascii="Calibri" w:eastAsia="Times New Roman" w:hAnsi="Calibri" w:cs="Mangal"/>
          <w:b/>
          <w:szCs w:val="24"/>
        </w:rPr>
        <w:t>.1 Extractive industry quarries</w:t>
      </w:r>
      <w:r w:rsidR="009F070E">
        <w:rPr>
          <w:rFonts w:ascii="Calibri" w:eastAsia="Times New Roman" w:hAnsi="Calibri" w:cs="Mangal"/>
          <w:b/>
          <w:szCs w:val="24"/>
        </w:rPr>
        <w:t xml:space="preserve"> 2006/</w:t>
      </w:r>
      <w:r w:rsidR="00403DC4">
        <w:rPr>
          <w:rFonts w:ascii="Calibri" w:eastAsia="Times New Roman" w:hAnsi="Calibri" w:cs="Mangal"/>
          <w:b/>
          <w:szCs w:val="24"/>
        </w:rPr>
        <w:t>0</w:t>
      </w:r>
      <w:r w:rsidR="009F070E">
        <w:rPr>
          <w:rFonts w:ascii="Calibri" w:eastAsia="Times New Roman" w:hAnsi="Calibri" w:cs="Mangal"/>
          <w:b/>
          <w:szCs w:val="24"/>
        </w:rPr>
        <w:t>7 to 2014/15</w:t>
      </w:r>
      <w:r w:rsidRPr="006A0BAC">
        <w:rPr>
          <w:rFonts w:ascii="Calibri" w:eastAsia="Times New Roman" w:hAnsi="Calibri" w:cs="Mangal"/>
          <w:b/>
          <w:szCs w:val="24"/>
        </w:rPr>
        <w:t xml:space="preserve"> </w:t>
      </w:r>
    </w:p>
    <w:p w:rsidR="006A0BAC" w:rsidRPr="006A0BAC" w:rsidRDefault="006A0BAC" w:rsidP="006A0BAC">
      <w:pPr>
        <w:spacing w:before="0" w:after="0" w:line="240" w:lineRule="auto"/>
        <w:jc w:val="both"/>
        <w:rPr>
          <w:rFonts w:ascii="Calibri" w:eastAsia="Times New Roman" w:hAnsi="Calibri" w:cs="Mangal"/>
          <w:szCs w:val="24"/>
        </w:rPr>
      </w:pPr>
      <w:r w:rsidRPr="006A0BAC">
        <w:rPr>
          <w:rFonts w:ascii="Arial" w:eastAsia="Times New Roman" w:hAnsi="Arial" w:cs="Mangal"/>
          <w:noProof/>
          <w:sz w:val="18"/>
          <w:szCs w:val="24"/>
        </w:rPr>
        <w:drawing>
          <wp:inline distT="0" distB="0" distL="0" distR="0" wp14:anchorId="157AFE57" wp14:editId="2A7C057B">
            <wp:extent cx="6645600" cy="2674800"/>
            <wp:effectExtent l="0" t="0" r="22225" b="11430"/>
            <wp:docPr id="10" name="Chart 10" descr="The number of extractive industries quarries has remained relatively stable for the period recorded.&#10;&#10;Sales volume has fluctutated slightly. These fluctuations are accounted for by changes in demand for quarry products." title="Extractive industry quarries from 20016 - 2007 financial year to 2014 - 2015 financial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A0BAC" w:rsidRPr="006A0BAC" w:rsidRDefault="006A0BAC" w:rsidP="006A0BAC">
      <w:pPr>
        <w:spacing w:before="0" w:after="0" w:line="240" w:lineRule="auto"/>
        <w:jc w:val="both"/>
        <w:rPr>
          <w:rFonts w:ascii="Calibri" w:eastAsia="Times New Roman" w:hAnsi="Calibri" w:cs="Mangal"/>
          <w:sz w:val="16"/>
          <w:szCs w:val="16"/>
        </w:rPr>
      </w:pPr>
      <w:r w:rsidRPr="006A0BAC">
        <w:rPr>
          <w:rFonts w:ascii="Calibri" w:eastAsia="Times New Roman" w:hAnsi="Calibri" w:cs="Mangal"/>
          <w:sz w:val="16"/>
          <w:szCs w:val="16"/>
        </w:rPr>
        <w:t>Source: DEDJTR</w:t>
      </w:r>
    </w:p>
    <w:p w:rsidR="006A0BAC" w:rsidRPr="006A0BAC" w:rsidRDefault="006A0BAC" w:rsidP="006A0BAC">
      <w:pPr>
        <w:spacing w:before="180" w:after="0"/>
        <w:rPr>
          <w:rFonts w:eastAsia="Times New Roman" w:cs="Times New Roman"/>
          <w:lang w:eastAsia="en-US"/>
        </w:rPr>
      </w:pPr>
      <w:r w:rsidRPr="006A0BAC">
        <w:rPr>
          <w:rFonts w:eastAsia="Times New Roman" w:cs="Times New Roman"/>
          <w:lang w:eastAsia="en-US"/>
        </w:rPr>
        <w:t>Sales of quarry products fluctuate based on the demand for products from the domestic building and construction sector.  The increase in demand is explained by the increase in active quarries and the initiation of major infrastructure projects.</w:t>
      </w:r>
    </w:p>
    <w:p w:rsidR="006A0BAC" w:rsidRPr="006A0BAC" w:rsidRDefault="006A0BAC" w:rsidP="006A0BAC">
      <w:pPr>
        <w:spacing w:before="180" w:after="0"/>
        <w:rPr>
          <w:rFonts w:eastAsia="Times New Roman" w:cs="Times New Roman"/>
          <w:lang w:eastAsia="en-US"/>
        </w:rPr>
      </w:pPr>
      <w:r w:rsidRPr="006A0BAC">
        <w:rPr>
          <w:rFonts w:eastAsia="Times New Roman" w:cs="Times New Roman"/>
          <w:lang w:eastAsia="en-US"/>
        </w:rPr>
        <w:t>A total of 302 quarries reported production in 2014/15 with t</w:t>
      </w:r>
      <w:r w:rsidR="009F7598">
        <w:rPr>
          <w:rFonts w:eastAsia="Times New Roman" w:cs="Times New Roman"/>
          <w:lang w:eastAsia="en-US"/>
        </w:rPr>
        <w:t>he total sales volume being 50.0</w:t>
      </w:r>
      <w:r w:rsidRPr="006A0BAC">
        <w:rPr>
          <w:rFonts w:eastAsia="Times New Roman" w:cs="Times New Roman"/>
          <w:lang w:eastAsia="en-US"/>
        </w:rPr>
        <w:t xml:space="preserve"> million tonnes. In 2013/14 the number of producing quarries was 485 with a total sales volume of 4</w:t>
      </w:r>
      <w:r w:rsidR="00217D37">
        <w:rPr>
          <w:rFonts w:eastAsia="Times New Roman" w:cs="Times New Roman"/>
          <w:lang w:eastAsia="en-US"/>
        </w:rPr>
        <w:t>0.3</w:t>
      </w:r>
      <w:r w:rsidRPr="006A0BAC">
        <w:rPr>
          <w:rFonts w:eastAsia="Times New Roman" w:cs="Times New Roman"/>
          <w:lang w:eastAsia="en-US"/>
        </w:rPr>
        <w:t xml:space="preserve"> million tonnes.</w:t>
      </w:r>
    </w:p>
    <w:p w:rsidR="006A0BAC" w:rsidRPr="006A0BAC" w:rsidRDefault="006A0BAC" w:rsidP="006A0BAC">
      <w:pPr>
        <w:spacing w:before="180" w:after="0"/>
        <w:rPr>
          <w:rFonts w:eastAsia="Times New Roman" w:cs="Times New Roman"/>
          <w:lang w:eastAsia="en-US"/>
        </w:rPr>
      </w:pPr>
      <w:r w:rsidRPr="006A0BAC">
        <w:rPr>
          <w:rFonts w:eastAsia="Times New Roman" w:cs="Times New Roman"/>
          <w:lang w:eastAsia="en-US"/>
        </w:rPr>
        <w:t xml:space="preserve">Volume sales of extractive industry products in 2014/15 increased by around 10 </w:t>
      </w:r>
      <w:r w:rsidR="00DB7DC9">
        <w:rPr>
          <w:rFonts w:eastAsia="Times New Roman" w:cs="Times New Roman"/>
          <w:lang w:eastAsia="en-US"/>
        </w:rPr>
        <w:t xml:space="preserve">million </w:t>
      </w:r>
      <w:r w:rsidR="009F7598">
        <w:rPr>
          <w:rFonts w:eastAsia="Times New Roman" w:cs="Times New Roman"/>
          <w:lang w:eastAsia="en-US"/>
        </w:rPr>
        <w:t>tonnes or 23.9</w:t>
      </w:r>
      <w:r w:rsidRPr="006A0BAC">
        <w:rPr>
          <w:rFonts w:eastAsia="Times New Roman" w:cs="Times New Roman"/>
          <w:lang w:eastAsia="en-US"/>
        </w:rPr>
        <w:t>% in comparison to 2013/14</w:t>
      </w:r>
      <w:r w:rsidR="009F7598">
        <w:rPr>
          <w:rFonts w:eastAsia="Times New Roman" w:cs="Times New Roman"/>
          <w:lang w:eastAsia="en-US"/>
        </w:rPr>
        <w:t>. Sales value increased by $75.3</w:t>
      </w:r>
      <w:r w:rsidRPr="006A0BAC">
        <w:rPr>
          <w:rFonts w:eastAsia="Times New Roman" w:cs="Times New Roman"/>
          <w:lang w:eastAsia="en-US"/>
        </w:rPr>
        <w:t>5 milli</w:t>
      </w:r>
      <w:r w:rsidR="009F7598">
        <w:rPr>
          <w:rFonts w:eastAsia="Times New Roman" w:cs="Times New Roman"/>
          <w:lang w:eastAsia="en-US"/>
        </w:rPr>
        <w:t>on or 11.1</w:t>
      </w:r>
      <w:r w:rsidRPr="006A0BAC">
        <w:rPr>
          <w:rFonts w:eastAsia="Times New Roman" w:cs="Times New Roman"/>
          <w:lang w:eastAsia="en-US"/>
        </w:rPr>
        <w:t>% as compared to 2013/14.</w:t>
      </w:r>
    </w:p>
    <w:p w:rsidR="006A0BAC" w:rsidRDefault="006A0BAC" w:rsidP="006A0BAC">
      <w:pPr>
        <w:spacing w:before="0" w:after="0" w:line="240" w:lineRule="auto"/>
        <w:jc w:val="both"/>
        <w:rPr>
          <w:rFonts w:ascii="Calibri" w:eastAsia="Times New Roman" w:hAnsi="Calibri" w:cs="Mangal"/>
          <w:b/>
          <w:szCs w:val="24"/>
        </w:rPr>
      </w:pPr>
    </w:p>
    <w:p w:rsidR="006A0BAC" w:rsidRDefault="006A0BAC">
      <w:pPr>
        <w:rPr>
          <w:rFonts w:ascii="Calibri" w:eastAsia="Times New Roman" w:hAnsi="Calibri" w:cs="Mangal"/>
          <w:b/>
          <w:szCs w:val="24"/>
        </w:rPr>
      </w:pPr>
      <w:r>
        <w:rPr>
          <w:rFonts w:ascii="Calibri" w:eastAsia="Times New Roman" w:hAnsi="Calibri" w:cs="Mangal"/>
          <w:b/>
          <w:szCs w:val="24"/>
        </w:rPr>
        <w:br w:type="page"/>
      </w:r>
    </w:p>
    <w:p w:rsidR="006A0BAC" w:rsidRPr="006A0BAC" w:rsidRDefault="006A0BAC" w:rsidP="006A0BAC">
      <w:pPr>
        <w:spacing w:before="0" w:after="0" w:line="240" w:lineRule="auto"/>
        <w:jc w:val="both"/>
        <w:rPr>
          <w:rFonts w:ascii="Calibri" w:eastAsia="Times New Roman" w:hAnsi="Calibri" w:cs="Mangal"/>
          <w:b/>
          <w:szCs w:val="24"/>
        </w:rPr>
      </w:pPr>
      <w:r w:rsidRPr="006A0BAC">
        <w:rPr>
          <w:rFonts w:ascii="Calibri" w:eastAsia="Times New Roman" w:hAnsi="Calibri" w:cs="Mangal"/>
          <w:b/>
          <w:szCs w:val="24"/>
        </w:rPr>
        <w:lastRenderedPageBreak/>
        <w:t>T</w:t>
      </w:r>
      <w:bookmarkStart w:id="20" w:name="_Toc126483789"/>
      <w:bookmarkStart w:id="21" w:name="_Toc157237383"/>
      <w:bookmarkStart w:id="22" w:name="_Toc279573161"/>
      <w:r w:rsidRPr="006A0BAC">
        <w:rPr>
          <w:rFonts w:ascii="Calibri" w:eastAsia="Times New Roman" w:hAnsi="Calibri" w:cs="Mangal"/>
          <w:b/>
          <w:szCs w:val="24"/>
        </w:rPr>
        <w:t xml:space="preserve">able </w:t>
      </w:r>
      <w:r w:rsidR="002B7F82">
        <w:rPr>
          <w:rFonts w:ascii="Calibri" w:eastAsia="Times New Roman" w:hAnsi="Calibri" w:cs="Mangal"/>
          <w:b/>
          <w:szCs w:val="24"/>
        </w:rPr>
        <w:t>3</w:t>
      </w:r>
      <w:r w:rsidRPr="006A0BAC">
        <w:rPr>
          <w:rFonts w:ascii="Calibri" w:eastAsia="Times New Roman" w:hAnsi="Calibri" w:cs="Mangal"/>
          <w:b/>
          <w:szCs w:val="24"/>
        </w:rPr>
        <w:t xml:space="preserve">.2 Victorian extractive industries sales by rock type </w:t>
      </w:r>
      <w:bookmarkEnd w:id="20"/>
      <w:bookmarkEnd w:id="21"/>
      <w:bookmarkEnd w:id="22"/>
      <w:r w:rsidRPr="006A0BAC">
        <w:rPr>
          <w:rFonts w:ascii="Calibri" w:eastAsia="Times New Roman" w:hAnsi="Calibri" w:cs="Mangal"/>
          <w:b/>
          <w:szCs w:val="24"/>
        </w:rPr>
        <w:t>2014/15</w:t>
      </w:r>
    </w:p>
    <w:tbl>
      <w:tblPr>
        <w:tblStyle w:val="LightShading-Accent1"/>
        <w:tblW w:w="5000" w:type="pct"/>
        <w:tblLook w:val="04A0" w:firstRow="1" w:lastRow="0" w:firstColumn="1" w:lastColumn="0" w:noHBand="0" w:noVBand="1"/>
      </w:tblPr>
      <w:tblGrid>
        <w:gridCol w:w="2927"/>
        <w:gridCol w:w="3162"/>
        <w:gridCol w:w="2615"/>
        <w:gridCol w:w="1978"/>
      </w:tblGrid>
      <w:tr w:rsidR="006A0BAC" w:rsidRPr="006A0BAC" w:rsidTr="002C2EA2">
        <w:trPr>
          <w:cnfStyle w:val="100000000000" w:firstRow="1" w:lastRow="0" w:firstColumn="0" w:lastColumn="0" w:oddVBand="0" w:evenVBand="0" w:oddHBand="0" w:evenHBand="0" w:firstRowFirstColumn="0" w:firstRowLastColumn="0" w:lastRowFirstColumn="0" w:lastRowLastColumn="0"/>
          <w:trHeight w:val="278"/>
          <w:tblHeader/>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6A0BAC" w:rsidRPr="002C2EA2" w:rsidRDefault="006A0BAC" w:rsidP="002C2EA2">
            <w:pPr>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Product Group</w:t>
            </w:r>
          </w:p>
        </w:tc>
        <w:tc>
          <w:tcPr>
            <w:tcW w:w="1480" w:type="pct"/>
            <w:shd w:val="clear" w:color="auto" w:fill="auto"/>
            <w:noWrap/>
            <w:vAlign w:val="center"/>
            <w:hideMark/>
          </w:tcPr>
          <w:p w:rsidR="006A0BAC" w:rsidRPr="002C2EA2" w:rsidRDefault="006A0BAC" w:rsidP="002C2EA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Product Type</w:t>
            </w:r>
          </w:p>
        </w:tc>
        <w:tc>
          <w:tcPr>
            <w:tcW w:w="1224" w:type="pct"/>
            <w:shd w:val="clear" w:color="auto" w:fill="auto"/>
            <w:vAlign w:val="center"/>
            <w:hideMark/>
          </w:tcPr>
          <w:p w:rsidR="006A0BAC" w:rsidRPr="002C2EA2"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Sales Volume</w:t>
            </w:r>
          </w:p>
          <w:p w:rsidR="006A0BAC" w:rsidRPr="002C2EA2"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(million tonnes)</w:t>
            </w:r>
          </w:p>
        </w:tc>
        <w:tc>
          <w:tcPr>
            <w:tcW w:w="926" w:type="pct"/>
            <w:shd w:val="clear" w:color="auto" w:fill="auto"/>
            <w:vAlign w:val="center"/>
            <w:hideMark/>
          </w:tcPr>
          <w:p w:rsidR="006A0BAC" w:rsidRPr="002C2EA2"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Sales Value</w:t>
            </w:r>
          </w:p>
          <w:p w:rsidR="006A0BAC" w:rsidRPr="002C2EA2"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themeColor="text1"/>
              </w:rPr>
            </w:pPr>
            <w:r w:rsidRPr="002C2EA2">
              <w:rPr>
                <w:rFonts w:ascii="Calibri" w:eastAsia="Times New Roman" w:hAnsi="Calibri" w:cs="Arial"/>
                <w:bCs w:val="0"/>
                <w:color w:val="000000" w:themeColor="text1"/>
              </w:rPr>
              <w:t>($Am)</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tcBorders>
            <w:shd w:val="clear" w:color="auto" w:fill="auto"/>
            <w:noWrap/>
            <w:vAlign w:val="center"/>
            <w:hideMark/>
          </w:tcPr>
          <w:p w:rsidR="000E33EA" w:rsidRPr="002C2EA2" w:rsidRDefault="000E33EA" w:rsidP="002C2EA2">
            <w:pPr>
              <w:rPr>
                <w:rFonts w:ascii="Calibri" w:eastAsia="Times New Roman" w:hAnsi="Calibri" w:cs="Arial"/>
                <w:b w:val="0"/>
                <w:bCs w:val="0"/>
                <w:color w:val="FFFFFF" w:themeColor="background1"/>
              </w:rPr>
            </w:pPr>
            <w:r w:rsidRPr="002C2EA2">
              <w:rPr>
                <w:rFonts w:ascii="Calibri" w:eastAsia="Times New Roman" w:hAnsi="Calibri" w:cs="Arial"/>
                <w:b w:val="0"/>
                <w:bCs w:val="0"/>
                <w:color w:val="FFFFFF" w:themeColor="background1"/>
              </w:rPr>
              <w:t>Hard Rock</w:t>
            </w:r>
          </w:p>
        </w:tc>
        <w:tc>
          <w:tcPr>
            <w:tcW w:w="1480" w:type="pct"/>
            <w:tcBorders>
              <w:top w:val="single" w:sz="8" w:space="0" w:color="4F81BD" w:themeColor="accent1"/>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BASALT</w:t>
            </w:r>
          </w:p>
        </w:tc>
        <w:tc>
          <w:tcPr>
            <w:tcW w:w="1224" w:type="pct"/>
            <w:tcBorders>
              <w:top w:val="single" w:sz="8" w:space="0" w:color="4F81BD" w:themeColor="accent1"/>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18.4</w:t>
            </w:r>
          </w:p>
        </w:tc>
        <w:tc>
          <w:tcPr>
            <w:tcW w:w="926" w:type="pct"/>
            <w:tcBorders>
              <w:top w:val="single" w:sz="8" w:space="0" w:color="4F81BD" w:themeColor="accent1"/>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304.0</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b w:val="0"/>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GNEISS</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0.0</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GRANITE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3.2</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58.9</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HORNFELS</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5.4</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84.5</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IGNIMBRITE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0.0</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bottom"/>
            <w:hideMark/>
          </w:tcPr>
          <w:p w:rsidR="000E33EA" w:rsidRPr="00E4488C" w:rsidRDefault="000E33EA" w:rsidP="002C2EA2">
            <w:pPr>
              <w:rPr>
                <w:rFonts w:ascii="Calibri" w:eastAsia="Times New Roman" w:hAnsi="Calibri" w:cs="Mangal"/>
                <w:color w:val="000000" w:themeColor="text1"/>
              </w:rPr>
            </w:pPr>
            <w:r w:rsidRPr="000E33EA">
              <w:rPr>
                <w:rFonts w:ascii="Calibri" w:eastAsia="Times New Roman" w:hAnsi="Calibri" w:cs="Mangal"/>
                <w:b w:val="0"/>
                <w:color w:val="000000" w:themeColor="text1"/>
              </w:rPr>
              <w:t>Hard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MUDSTONE</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0.0</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QUARTZITE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0.2</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1.2</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RHYODACITE</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1.6</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33.4</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SCHIST</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3.9</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SEDIMENTARY</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2.7</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25.</w:t>
            </w:r>
            <w:r w:rsidR="00E12641">
              <w:rPr>
                <w:rFonts w:ascii="Calibri" w:eastAsia="Times New Roman" w:hAnsi="Calibri" w:cs="Mangal"/>
                <w:color w:val="000000" w:themeColor="text1"/>
              </w:rPr>
              <w:t>7</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SLATE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0.8</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tcBorders>
              <w:bottom w:val="single" w:sz="8" w:space="0" w:color="4F81BD" w:themeColor="accent1"/>
            </w:tcBorders>
            <w:shd w:val="clear" w:color="auto" w:fill="auto"/>
            <w:noWrap/>
            <w:vAlign w:val="center"/>
            <w:hideMark/>
          </w:tcPr>
          <w:p w:rsidR="000E33EA" w:rsidRPr="002C2EA2" w:rsidRDefault="000E33EA" w:rsidP="002C2EA2">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Hard Rock</w:t>
            </w:r>
          </w:p>
        </w:tc>
        <w:tc>
          <w:tcPr>
            <w:tcW w:w="1480" w:type="pct"/>
            <w:tcBorders>
              <w:top w:val="nil"/>
              <w:bottom w:val="single" w:sz="8" w:space="0" w:color="4F81BD" w:themeColor="accent1"/>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TRACHYTE</w:t>
            </w:r>
          </w:p>
        </w:tc>
        <w:tc>
          <w:tcPr>
            <w:tcW w:w="1224" w:type="pct"/>
            <w:tcBorders>
              <w:top w:val="nil"/>
              <w:bottom w:val="single" w:sz="8" w:space="0" w:color="4F81BD" w:themeColor="accent1"/>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single" w:sz="8" w:space="0" w:color="4F81BD" w:themeColor="accent1"/>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0.4</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bottom w:val="single" w:sz="8" w:space="0" w:color="4F81BD" w:themeColor="accent1"/>
            </w:tcBorders>
            <w:shd w:val="clear" w:color="auto" w:fill="DBE5F1" w:themeFill="accent1" w:themeFillTint="33"/>
            <w:noWrap/>
            <w:hideMark/>
          </w:tcPr>
          <w:p w:rsidR="006A0BAC" w:rsidRPr="00E4488C" w:rsidRDefault="006A0BAC" w:rsidP="006A0BAC">
            <w:pPr>
              <w:jc w:val="both"/>
              <w:rPr>
                <w:rFonts w:ascii="Calibri" w:eastAsia="Times New Roman" w:hAnsi="Calibri" w:cs="Arial"/>
                <w:b w:val="0"/>
                <w:bCs w:val="0"/>
                <w:color w:val="000000" w:themeColor="text1"/>
              </w:rPr>
            </w:pPr>
            <w:r w:rsidRPr="00E4488C">
              <w:rPr>
                <w:rFonts w:ascii="Calibri" w:eastAsia="Times New Roman" w:hAnsi="Calibri" w:cs="Arial"/>
                <w:b w:val="0"/>
                <w:bCs w:val="0"/>
                <w:color w:val="000000" w:themeColor="text1"/>
              </w:rPr>
              <w:t>Hard Rock  Total</w:t>
            </w:r>
          </w:p>
        </w:tc>
        <w:tc>
          <w:tcPr>
            <w:tcW w:w="1480" w:type="pct"/>
            <w:tcBorders>
              <w:top w:val="single" w:sz="8" w:space="0" w:color="4F81BD" w:themeColor="accent1"/>
              <w:bottom w:val="single" w:sz="8" w:space="0" w:color="4F81BD" w:themeColor="accent1"/>
            </w:tcBorders>
            <w:shd w:val="clear" w:color="auto" w:fill="DBE5F1" w:themeFill="accent1" w:themeFillTint="33"/>
            <w:noWrap/>
            <w:vAlign w:val="center"/>
            <w:hideMark/>
          </w:tcPr>
          <w:p w:rsidR="006A0BAC" w:rsidRPr="00E4488C" w:rsidRDefault="006A0BAC"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themeColor="text1"/>
              </w:rPr>
            </w:pPr>
          </w:p>
        </w:tc>
        <w:tc>
          <w:tcPr>
            <w:tcW w:w="1224" w:type="pct"/>
            <w:tcBorders>
              <w:top w:val="single" w:sz="8" w:space="0" w:color="4F81BD" w:themeColor="accent1"/>
              <w:bottom w:val="single" w:sz="8" w:space="0" w:color="4F81BD" w:themeColor="accent1"/>
            </w:tcBorders>
            <w:shd w:val="clear" w:color="auto" w:fill="DBE5F1" w:themeFill="accent1" w:themeFillTint="33"/>
            <w:noWrap/>
            <w:vAlign w:val="center"/>
            <w:hideMark/>
          </w:tcPr>
          <w:p w:rsidR="006A0BAC" w:rsidRPr="00E4488C" w:rsidRDefault="006A0BAC"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E4488C">
              <w:rPr>
                <w:rFonts w:eastAsia="Times New Roman" w:cs="Mangal"/>
                <w:b/>
                <w:color w:val="000000" w:themeColor="text1"/>
              </w:rPr>
              <w:t>31.5</w:t>
            </w:r>
          </w:p>
        </w:tc>
        <w:tc>
          <w:tcPr>
            <w:tcW w:w="926" w:type="pct"/>
            <w:tcBorders>
              <w:top w:val="single" w:sz="8" w:space="0" w:color="4F81BD" w:themeColor="accent1"/>
              <w:bottom w:val="single" w:sz="8" w:space="0" w:color="4F81BD" w:themeColor="accent1"/>
            </w:tcBorders>
            <w:shd w:val="clear" w:color="auto" w:fill="DBE5F1" w:themeFill="accent1" w:themeFillTint="33"/>
            <w:noWrap/>
            <w:vAlign w:val="center"/>
          </w:tcPr>
          <w:p w:rsidR="006A0BAC" w:rsidRPr="00E4488C" w:rsidRDefault="006A0BAC" w:rsidP="00E126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rPr>
            </w:pPr>
            <w:r w:rsidRPr="00E4488C">
              <w:rPr>
                <w:rFonts w:ascii="Calibri" w:eastAsia="Times New Roman" w:hAnsi="Calibri" w:cs="Mangal"/>
                <w:b/>
                <w:color w:val="000000" w:themeColor="text1"/>
              </w:rPr>
              <w:t>51</w:t>
            </w:r>
            <w:r w:rsidR="00E12641">
              <w:rPr>
                <w:rFonts w:ascii="Calibri" w:eastAsia="Times New Roman" w:hAnsi="Calibri" w:cs="Mangal"/>
                <w:b/>
                <w:color w:val="000000" w:themeColor="text1"/>
              </w:rPr>
              <w:t>2</w:t>
            </w:r>
            <w:r w:rsidRPr="00E4488C">
              <w:rPr>
                <w:rFonts w:ascii="Calibri" w:eastAsia="Times New Roman" w:hAnsi="Calibri" w:cs="Mangal"/>
                <w:b/>
                <w:color w:val="000000" w:themeColor="text1"/>
              </w:rPr>
              <w:t>.</w:t>
            </w:r>
            <w:r w:rsidR="00AC3257">
              <w:rPr>
                <w:rFonts w:ascii="Calibri" w:eastAsia="Times New Roman" w:hAnsi="Calibri" w:cs="Mangal"/>
                <w:b/>
                <w:color w:val="000000" w:themeColor="text1"/>
              </w:rPr>
              <w:t>8</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tcBorders>
            <w:shd w:val="clear" w:color="auto" w:fill="auto"/>
            <w:noWrap/>
            <w:vAlign w:val="center"/>
            <w:hideMark/>
          </w:tcPr>
          <w:p w:rsidR="000E33EA" w:rsidRPr="002C2EA2" w:rsidRDefault="000E33EA" w:rsidP="00E4488C">
            <w:pPr>
              <w:rPr>
                <w:rFonts w:ascii="Calibri" w:eastAsia="Times New Roman" w:hAnsi="Calibri" w:cs="Arial"/>
                <w:b w:val="0"/>
                <w:bCs w:val="0"/>
                <w:color w:val="FFFFFF" w:themeColor="background1"/>
              </w:rPr>
            </w:pPr>
            <w:r w:rsidRPr="002C2EA2">
              <w:rPr>
                <w:rFonts w:ascii="Calibri" w:eastAsia="Times New Roman" w:hAnsi="Calibri" w:cs="Arial"/>
                <w:b w:val="0"/>
                <w:bCs w:val="0"/>
                <w:color w:val="FFFFFF" w:themeColor="background1"/>
              </w:rPr>
              <w:t>Soft Rock</w:t>
            </w:r>
          </w:p>
        </w:tc>
        <w:tc>
          <w:tcPr>
            <w:tcW w:w="1480" w:type="pct"/>
            <w:tcBorders>
              <w:top w:val="single" w:sz="8" w:space="0" w:color="4F81BD" w:themeColor="accent1"/>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CLAY &amp; CLAY SHALE</w:t>
            </w:r>
          </w:p>
        </w:tc>
        <w:tc>
          <w:tcPr>
            <w:tcW w:w="1224" w:type="pct"/>
            <w:tcBorders>
              <w:top w:val="single" w:sz="8" w:space="0" w:color="4F81BD" w:themeColor="accent1"/>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w:t>
            </w:r>
            <w:r w:rsidR="00E12641">
              <w:rPr>
                <w:rFonts w:eastAsia="Times New Roman" w:cs="Mangal"/>
                <w:color w:val="000000" w:themeColor="text1"/>
              </w:rPr>
              <w:t>2</w:t>
            </w:r>
          </w:p>
        </w:tc>
        <w:tc>
          <w:tcPr>
            <w:tcW w:w="926" w:type="pct"/>
            <w:tcBorders>
              <w:top w:val="single" w:sz="8" w:space="0" w:color="4F81BD" w:themeColor="accent1"/>
              <w:bottom w:val="nil"/>
            </w:tcBorders>
            <w:shd w:val="clear" w:color="auto" w:fill="auto"/>
            <w:noWrap/>
            <w:vAlign w:val="center"/>
          </w:tcPr>
          <w:p w:rsidR="000E33EA" w:rsidRPr="00E4488C" w:rsidRDefault="000E33EA" w:rsidP="00E126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w:t>
            </w:r>
            <w:r w:rsidR="00E12641">
              <w:rPr>
                <w:rFonts w:ascii="Calibri" w:eastAsia="Times New Roman" w:hAnsi="Calibri" w:cs="Mangal"/>
                <w:color w:val="000000" w:themeColor="text1"/>
              </w:rPr>
              <w:t>4</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hideMark/>
          </w:tcPr>
          <w:p w:rsidR="000E33EA" w:rsidRPr="002C2EA2" w:rsidRDefault="000E33EA" w:rsidP="006A0BAC">
            <w:pPr>
              <w:rPr>
                <w:rFonts w:ascii="Calibri" w:eastAsia="Times New Roman" w:hAnsi="Calibri" w:cs="Mangal"/>
                <w:b w:val="0"/>
                <w:color w:val="FFFFFF" w:themeColor="background1"/>
              </w:rPr>
            </w:pPr>
            <w:r w:rsidRPr="002C2EA2">
              <w:rPr>
                <w:rFonts w:ascii="Calibri" w:eastAsia="Times New Roman" w:hAnsi="Calibri" w:cs="Mangal"/>
                <w:b w:val="0"/>
                <w:color w:val="FFFFFF" w:themeColor="background1"/>
              </w:rPr>
              <w:t>Soft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LIMESTONE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2.2</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30.9</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hideMark/>
          </w:tcPr>
          <w:p w:rsidR="000E33EA" w:rsidRPr="002C2EA2" w:rsidRDefault="000E33EA" w:rsidP="006A0BAC">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Soft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SAND &amp; GRAVEL</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13.5</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187.4</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vAlign w:val="center"/>
            <w:hideMark/>
          </w:tcPr>
          <w:p w:rsidR="000E33EA" w:rsidRPr="00E4488C" w:rsidRDefault="000E33EA" w:rsidP="002C2EA2">
            <w:pPr>
              <w:rPr>
                <w:rFonts w:ascii="Calibri" w:eastAsia="Times New Roman" w:hAnsi="Calibri" w:cs="Mangal"/>
                <w:color w:val="000000" w:themeColor="text1"/>
              </w:rPr>
            </w:pPr>
            <w:r w:rsidRPr="000E33EA">
              <w:rPr>
                <w:rFonts w:ascii="Calibri" w:eastAsia="Times New Roman" w:hAnsi="Calibri" w:cs="Mangal"/>
                <w:b w:val="0"/>
                <w:color w:val="000000" w:themeColor="text1"/>
              </w:rPr>
              <w:t>Soft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SANDSTONE</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0.0</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hideMark/>
          </w:tcPr>
          <w:p w:rsidR="000E33EA" w:rsidRPr="002C2EA2" w:rsidRDefault="000E33EA" w:rsidP="006A0BAC">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Soft Rock</w:t>
            </w:r>
          </w:p>
        </w:tc>
        <w:tc>
          <w:tcPr>
            <w:tcW w:w="1480" w:type="pct"/>
            <w:tcBorders>
              <w:top w:val="nil"/>
              <w:bottom w:val="nil"/>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SCORIA</w:t>
            </w:r>
          </w:p>
        </w:tc>
        <w:tc>
          <w:tcPr>
            <w:tcW w:w="1224" w:type="pct"/>
            <w:tcBorders>
              <w:top w:val="nil"/>
              <w:bottom w:val="nil"/>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1.1</w:t>
            </w:r>
          </w:p>
        </w:tc>
        <w:tc>
          <w:tcPr>
            <w:tcW w:w="926" w:type="pct"/>
            <w:tcBorders>
              <w:top w:val="nil"/>
              <w:bottom w:val="nil"/>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13.8</w:t>
            </w:r>
          </w:p>
        </w:tc>
      </w:tr>
      <w:tr w:rsidR="000E33EA"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shd w:val="clear" w:color="auto" w:fill="auto"/>
            <w:noWrap/>
            <w:hideMark/>
          </w:tcPr>
          <w:p w:rsidR="000E33EA" w:rsidRPr="002C2EA2" w:rsidRDefault="000E33EA" w:rsidP="006A0BAC">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Soft Rock</w:t>
            </w:r>
          </w:p>
        </w:tc>
        <w:tc>
          <w:tcPr>
            <w:tcW w:w="1480" w:type="pct"/>
            <w:tcBorders>
              <w:top w:val="nil"/>
              <w:bottom w:val="nil"/>
            </w:tcBorders>
            <w:shd w:val="clear" w:color="auto" w:fill="DBE5F1" w:themeFill="accent1" w:themeFillTint="33"/>
            <w:noWrap/>
            <w:vAlign w:val="center"/>
            <w:hideMark/>
          </w:tcPr>
          <w:p w:rsidR="000E33EA" w:rsidRPr="00E4488C" w:rsidRDefault="000E33EA" w:rsidP="002C2EA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SOIL</w:t>
            </w:r>
          </w:p>
        </w:tc>
        <w:tc>
          <w:tcPr>
            <w:tcW w:w="1224" w:type="pct"/>
            <w:tcBorders>
              <w:top w:val="nil"/>
              <w:bottom w:val="nil"/>
            </w:tcBorders>
            <w:shd w:val="clear" w:color="auto" w:fill="DBE5F1" w:themeFill="accent1" w:themeFillTint="33"/>
            <w:noWrap/>
            <w:vAlign w:val="center"/>
            <w:hideMark/>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0.1</w:t>
            </w:r>
          </w:p>
        </w:tc>
        <w:tc>
          <w:tcPr>
            <w:tcW w:w="926" w:type="pct"/>
            <w:tcBorders>
              <w:top w:val="nil"/>
              <w:bottom w:val="nil"/>
            </w:tcBorders>
            <w:shd w:val="clear" w:color="auto" w:fill="DBE5F1" w:themeFill="accent1" w:themeFillTint="33"/>
            <w:noWrap/>
            <w:vAlign w:val="center"/>
          </w:tcPr>
          <w:p w:rsidR="000E33EA" w:rsidRPr="00E4488C" w:rsidRDefault="000E33EA"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0.3</w:t>
            </w:r>
          </w:p>
        </w:tc>
      </w:tr>
      <w:tr w:rsidR="000E33EA"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tcBorders>
              <w:bottom w:val="single" w:sz="8" w:space="0" w:color="4F81BD" w:themeColor="accent1"/>
            </w:tcBorders>
            <w:shd w:val="clear" w:color="auto" w:fill="auto"/>
            <w:noWrap/>
            <w:hideMark/>
          </w:tcPr>
          <w:p w:rsidR="000E33EA" w:rsidRPr="002C2EA2" w:rsidRDefault="000E33EA" w:rsidP="006A0BAC">
            <w:pPr>
              <w:rPr>
                <w:rFonts w:ascii="Calibri" w:eastAsia="Times New Roman" w:hAnsi="Calibri" w:cs="Mangal"/>
                <w:color w:val="FFFFFF" w:themeColor="background1"/>
              </w:rPr>
            </w:pPr>
            <w:r w:rsidRPr="002C2EA2">
              <w:rPr>
                <w:rFonts w:ascii="Calibri" w:eastAsia="Times New Roman" w:hAnsi="Calibri" w:cs="Mangal"/>
                <w:b w:val="0"/>
                <w:color w:val="FFFFFF" w:themeColor="background1"/>
              </w:rPr>
              <w:t>Soft Rock</w:t>
            </w:r>
          </w:p>
        </w:tc>
        <w:tc>
          <w:tcPr>
            <w:tcW w:w="1480" w:type="pct"/>
            <w:tcBorders>
              <w:top w:val="nil"/>
              <w:bottom w:val="single" w:sz="8" w:space="0" w:color="4F81BD" w:themeColor="accent1"/>
            </w:tcBorders>
            <w:shd w:val="clear" w:color="auto" w:fill="auto"/>
            <w:noWrap/>
            <w:vAlign w:val="center"/>
            <w:hideMark/>
          </w:tcPr>
          <w:p w:rsidR="000E33EA" w:rsidRPr="00E4488C" w:rsidRDefault="000E33EA" w:rsidP="002C2EA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rPr>
            </w:pPr>
            <w:r w:rsidRPr="00E4488C">
              <w:rPr>
                <w:rFonts w:ascii="Calibri" w:eastAsia="Times New Roman" w:hAnsi="Calibri" w:cs="Arial"/>
                <w:color w:val="000000" w:themeColor="text1"/>
              </w:rPr>
              <w:t>TUFF</w:t>
            </w:r>
          </w:p>
        </w:tc>
        <w:tc>
          <w:tcPr>
            <w:tcW w:w="1224" w:type="pct"/>
            <w:tcBorders>
              <w:top w:val="nil"/>
              <w:bottom w:val="single" w:sz="8" w:space="0" w:color="4F81BD" w:themeColor="accent1"/>
            </w:tcBorders>
            <w:shd w:val="clear" w:color="auto" w:fill="auto"/>
            <w:noWrap/>
            <w:vAlign w:val="center"/>
            <w:hideMark/>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0.4</w:t>
            </w:r>
          </w:p>
        </w:tc>
        <w:tc>
          <w:tcPr>
            <w:tcW w:w="926" w:type="pct"/>
            <w:tcBorders>
              <w:top w:val="nil"/>
              <w:bottom w:val="single" w:sz="8" w:space="0" w:color="4F81BD" w:themeColor="accent1"/>
            </w:tcBorders>
            <w:shd w:val="clear" w:color="auto" w:fill="auto"/>
            <w:noWrap/>
            <w:vAlign w:val="center"/>
          </w:tcPr>
          <w:p w:rsidR="000E33EA" w:rsidRPr="00E4488C" w:rsidRDefault="000E33EA"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3.2</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bottom w:val="single" w:sz="8" w:space="0" w:color="4F81BD" w:themeColor="accent1"/>
            </w:tcBorders>
            <w:shd w:val="clear" w:color="auto" w:fill="DBE5F1" w:themeFill="accent1" w:themeFillTint="33"/>
            <w:noWrap/>
            <w:hideMark/>
          </w:tcPr>
          <w:p w:rsidR="006A0BAC" w:rsidRPr="00E4488C" w:rsidRDefault="006A0BAC" w:rsidP="006A0BAC">
            <w:pPr>
              <w:jc w:val="both"/>
              <w:rPr>
                <w:rFonts w:ascii="Calibri" w:eastAsia="Times New Roman" w:hAnsi="Calibri" w:cs="Arial"/>
                <w:b w:val="0"/>
                <w:bCs w:val="0"/>
                <w:color w:val="000000" w:themeColor="text1"/>
              </w:rPr>
            </w:pPr>
            <w:r w:rsidRPr="00E4488C">
              <w:rPr>
                <w:rFonts w:ascii="Calibri" w:eastAsia="Times New Roman" w:hAnsi="Calibri" w:cs="Arial"/>
                <w:b w:val="0"/>
                <w:bCs w:val="0"/>
                <w:color w:val="000000" w:themeColor="text1"/>
              </w:rPr>
              <w:t>Soft Rock  Total</w:t>
            </w:r>
          </w:p>
        </w:tc>
        <w:tc>
          <w:tcPr>
            <w:tcW w:w="1480" w:type="pct"/>
            <w:tcBorders>
              <w:top w:val="single" w:sz="8" w:space="0" w:color="4F81BD" w:themeColor="accent1"/>
              <w:bottom w:val="single" w:sz="8" w:space="0" w:color="4F81BD" w:themeColor="accent1"/>
            </w:tcBorders>
            <w:shd w:val="clear" w:color="auto" w:fill="DBE5F1" w:themeFill="accent1" w:themeFillTint="33"/>
            <w:noWrap/>
            <w:hideMark/>
          </w:tcPr>
          <w:p w:rsidR="006A0BAC" w:rsidRPr="00E4488C" w:rsidRDefault="006A0BAC" w:rsidP="006A0BA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themeColor="text1"/>
              </w:rPr>
            </w:pPr>
            <w:r w:rsidRPr="00E4488C">
              <w:rPr>
                <w:rFonts w:ascii="Calibri" w:eastAsia="Times New Roman" w:hAnsi="Calibri" w:cs="Arial"/>
                <w:b/>
                <w:bCs/>
                <w:color w:val="000000" w:themeColor="text1"/>
              </w:rPr>
              <w:t> </w:t>
            </w:r>
          </w:p>
        </w:tc>
        <w:tc>
          <w:tcPr>
            <w:tcW w:w="1224" w:type="pct"/>
            <w:tcBorders>
              <w:top w:val="single" w:sz="8" w:space="0" w:color="4F81BD" w:themeColor="accent1"/>
              <w:bottom w:val="single" w:sz="8" w:space="0" w:color="4F81BD" w:themeColor="accent1"/>
            </w:tcBorders>
            <w:shd w:val="clear" w:color="auto" w:fill="DBE5F1" w:themeFill="accent1" w:themeFillTint="33"/>
            <w:noWrap/>
            <w:vAlign w:val="center"/>
            <w:hideMark/>
          </w:tcPr>
          <w:p w:rsidR="006A0BAC" w:rsidRPr="00E4488C" w:rsidRDefault="006A0BAC"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E4488C">
              <w:rPr>
                <w:rFonts w:eastAsia="Times New Roman" w:cs="Mangal"/>
                <w:b/>
                <w:color w:val="000000" w:themeColor="text1"/>
              </w:rPr>
              <w:t>18.</w:t>
            </w:r>
            <w:r w:rsidR="000430D9">
              <w:rPr>
                <w:rFonts w:eastAsia="Times New Roman" w:cs="Mangal"/>
                <w:b/>
                <w:color w:val="000000" w:themeColor="text1"/>
              </w:rPr>
              <w:t>5</w:t>
            </w:r>
          </w:p>
        </w:tc>
        <w:tc>
          <w:tcPr>
            <w:tcW w:w="926" w:type="pct"/>
            <w:tcBorders>
              <w:top w:val="single" w:sz="8" w:space="0" w:color="4F81BD" w:themeColor="accent1"/>
              <w:bottom w:val="single" w:sz="8" w:space="0" w:color="4F81BD" w:themeColor="accent1"/>
            </w:tcBorders>
            <w:shd w:val="clear" w:color="auto" w:fill="DBE5F1" w:themeFill="accent1" w:themeFillTint="33"/>
            <w:noWrap/>
            <w:vAlign w:val="center"/>
          </w:tcPr>
          <w:p w:rsidR="006A0BAC" w:rsidRPr="00E4488C"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rPr>
            </w:pPr>
            <w:r w:rsidRPr="00E4488C">
              <w:rPr>
                <w:rFonts w:ascii="Calibri" w:eastAsia="Times New Roman" w:hAnsi="Calibri" w:cs="Mangal"/>
                <w:b/>
                <w:color w:val="000000" w:themeColor="text1"/>
              </w:rPr>
              <w:t>239.</w:t>
            </w:r>
            <w:r w:rsidR="00E12641">
              <w:rPr>
                <w:rFonts w:ascii="Calibri" w:eastAsia="Times New Roman" w:hAnsi="Calibri" w:cs="Mangal"/>
                <w:b/>
                <w:color w:val="000000" w:themeColor="text1"/>
              </w:rPr>
              <w:t>0</w:t>
            </w:r>
          </w:p>
        </w:tc>
      </w:tr>
      <w:tr w:rsidR="006A0BAC" w:rsidRPr="006A0BAC" w:rsidTr="002C2EA2">
        <w:trPr>
          <w:trHeight w:val="278"/>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bottom w:val="single" w:sz="8" w:space="0" w:color="4F81BD" w:themeColor="accent1"/>
            </w:tcBorders>
            <w:shd w:val="clear" w:color="auto" w:fill="auto"/>
            <w:noWrap/>
            <w:hideMark/>
          </w:tcPr>
          <w:p w:rsidR="006A0BAC" w:rsidRPr="00E4488C" w:rsidRDefault="006A0BAC" w:rsidP="006A0BAC">
            <w:pPr>
              <w:jc w:val="both"/>
              <w:rPr>
                <w:rFonts w:ascii="Calibri" w:eastAsia="Times New Roman" w:hAnsi="Calibri" w:cs="Arial"/>
                <w:b w:val="0"/>
                <w:bCs w:val="0"/>
                <w:color w:val="000000" w:themeColor="text1"/>
              </w:rPr>
            </w:pPr>
            <w:r w:rsidRPr="00E4488C">
              <w:rPr>
                <w:rFonts w:ascii="Calibri" w:eastAsia="Times New Roman" w:hAnsi="Calibri" w:cs="Arial"/>
                <w:b w:val="0"/>
                <w:bCs w:val="0"/>
                <w:color w:val="000000" w:themeColor="text1"/>
              </w:rPr>
              <w:t>Other/Aggregates</w:t>
            </w:r>
          </w:p>
        </w:tc>
        <w:tc>
          <w:tcPr>
            <w:tcW w:w="1480" w:type="pct"/>
            <w:tcBorders>
              <w:top w:val="single" w:sz="8" w:space="0" w:color="4F81BD" w:themeColor="accent1"/>
              <w:bottom w:val="single" w:sz="8" w:space="0" w:color="4F81BD" w:themeColor="accent1"/>
            </w:tcBorders>
            <w:shd w:val="clear" w:color="auto" w:fill="auto"/>
            <w:noWrap/>
            <w:hideMark/>
          </w:tcPr>
          <w:p w:rsidR="006A0BAC" w:rsidRPr="00E4488C" w:rsidRDefault="006A0BAC" w:rsidP="006A0BA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
                <w:bCs/>
                <w:color w:val="000000" w:themeColor="text1"/>
              </w:rPr>
            </w:pPr>
          </w:p>
        </w:tc>
        <w:tc>
          <w:tcPr>
            <w:tcW w:w="1224" w:type="pct"/>
            <w:tcBorders>
              <w:top w:val="single" w:sz="8" w:space="0" w:color="4F81BD" w:themeColor="accent1"/>
              <w:bottom w:val="single" w:sz="8" w:space="0" w:color="4F81BD" w:themeColor="accent1"/>
            </w:tcBorders>
            <w:shd w:val="clear" w:color="auto" w:fill="auto"/>
            <w:noWrap/>
            <w:vAlign w:val="center"/>
            <w:hideMark/>
          </w:tcPr>
          <w:p w:rsidR="006A0BAC" w:rsidRPr="00E4488C" w:rsidRDefault="006A0BAC" w:rsidP="002C2EA2">
            <w:pPr>
              <w:jc w:val="center"/>
              <w:cnfStyle w:val="000000000000" w:firstRow="0" w:lastRow="0" w:firstColumn="0" w:lastColumn="0" w:oddVBand="0" w:evenVBand="0" w:oddHBand="0" w:evenHBand="0" w:firstRowFirstColumn="0" w:firstRowLastColumn="0" w:lastRowFirstColumn="0" w:lastRowLastColumn="0"/>
              <w:rPr>
                <w:rFonts w:eastAsia="Times New Roman" w:cs="Mangal"/>
                <w:color w:val="000000" w:themeColor="text1"/>
              </w:rPr>
            </w:pPr>
            <w:r w:rsidRPr="00E4488C">
              <w:rPr>
                <w:rFonts w:eastAsia="Times New Roman" w:cs="Mangal"/>
                <w:color w:val="000000" w:themeColor="text1"/>
              </w:rPr>
              <w:t>0.0</w:t>
            </w:r>
          </w:p>
        </w:tc>
        <w:tc>
          <w:tcPr>
            <w:tcW w:w="926" w:type="pct"/>
            <w:tcBorders>
              <w:top w:val="single" w:sz="8" w:space="0" w:color="4F81BD" w:themeColor="accent1"/>
              <w:bottom w:val="single" w:sz="8" w:space="0" w:color="4F81BD" w:themeColor="accent1"/>
            </w:tcBorders>
            <w:shd w:val="clear" w:color="auto" w:fill="auto"/>
            <w:noWrap/>
            <w:vAlign w:val="center"/>
          </w:tcPr>
          <w:p w:rsidR="006A0BAC" w:rsidRPr="00E4488C"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Mangal"/>
                <w:color w:val="000000" w:themeColor="text1"/>
              </w:rPr>
            </w:pPr>
            <w:r w:rsidRPr="00E4488C">
              <w:rPr>
                <w:rFonts w:ascii="Calibri" w:eastAsia="Times New Roman" w:hAnsi="Calibri" w:cs="Mangal"/>
                <w:color w:val="000000" w:themeColor="text1"/>
              </w:rPr>
              <w:t>0.1</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370" w:type="pct"/>
            <w:tcBorders>
              <w:top w:val="single" w:sz="8" w:space="0" w:color="4F81BD" w:themeColor="accent1"/>
              <w:bottom w:val="single" w:sz="8" w:space="0" w:color="4F81BD" w:themeColor="accent1"/>
            </w:tcBorders>
            <w:shd w:val="clear" w:color="auto" w:fill="DBE5F1" w:themeFill="accent1" w:themeFillTint="33"/>
            <w:noWrap/>
            <w:hideMark/>
          </w:tcPr>
          <w:p w:rsidR="006A0BAC" w:rsidRPr="00E4488C" w:rsidRDefault="006A0BAC" w:rsidP="006A0BAC">
            <w:pPr>
              <w:jc w:val="both"/>
              <w:rPr>
                <w:rFonts w:ascii="Calibri" w:eastAsia="Times New Roman" w:hAnsi="Calibri" w:cs="Arial"/>
                <w:b w:val="0"/>
                <w:bCs w:val="0"/>
                <w:color w:val="000000" w:themeColor="text1"/>
              </w:rPr>
            </w:pPr>
            <w:r w:rsidRPr="00E4488C">
              <w:rPr>
                <w:rFonts w:ascii="Calibri" w:eastAsia="Times New Roman" w:hAnsi="Calibri" w:cs="Arial"/>
                <w:b w:val="0"/>
                <w:bCs w:val="0"/>
                <w:color w:val="000000" w:themeColor="text1"/>
              </w:rPr>
              <w:t>GRAND TOTAL</w:t>
            </w:r>
          </w:p>
        </w:tc>
        <w:tc>
          <w:tcPr>
            <w:tcW w:w="1480" w:type="pct"/>
            <w:tcBorders>
              <w:top w:val="single" w:sz="8" w:space="0" w:color="4F81BD" w:themeColor="accent1"/>
              <w:bottom w:val="single" w:sz="8" w:space="0" w:color="4F81BD" w:themeColor="accent1"/>
            </w:tcBorders>
            <w:shd w:val="clear" w:color="auto" w:fill="DBE5F1" w:themeFill="accent1" w:themeFillTint="33"/>
            <w:noWrap/>
            <w:hideMark/>
          </w:tcPr>
          <w:p w:rsidR="006A0BAC" w:rsidRPr="00E4488C" w:rsidRDefault="006A0BAC" w:rsidP="006A0BA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themeColor="text1"/>
              </w:rPr>
            </w:pPr>
            <w:r w:rsidRPr="00E4488C">
              <w:rPr>
                <w:rFonts w:ascii="Calibri" w:eastAsia="Times New Roman" w:hAnsi="Calibri" w:cs="Arial"/>
                <w:b/>
                <w:bCs/>
                <w:color w:val="000000" w:themeColor="text1"/>
              </w:rPr>
              <w:t> </w:t>
            </w:r>
          </w:p>
        </w:tc>
        <w:tc>
          <w:tcPr>
            <w:tcW w:w="1224" w:type="pct"/>
            <w:tcBorders>
              <w:top w:val="single" w:sz="8" w:space="0" w:color="4F81BD" w:themeColor="accent1"/>
              <w:bottom w:val="single" w:sz="8" w:space="0" w:color="4F81BD" w:themeColor="accent1"/>
            </w:tcBorders>
            <w:shd w:val="clear" w:color="auto" w:fill="DBE5F1" w:themeFill="accent1" w:themeFillTint="33"/>
            <w:noWrap/>
            <w:vAlign w:val="center"/>
            <w:hideMark/>
          </w:tcPr>
          <w:p w:rsidR="006A0BAC" w:rsidRPr="00E4488C" w:rsidRDefault="006A0BAC" w:rsidP="002C2EA2">
            <w:pPr>
              <w:jc w:val="center"/>
              <w:cnfStyle w:val="000000100000" w:firstRow="0" w:lastRow="0" w:firstColumn="0" w:lastColumn="0" w:oddVBand="0" w:evenVBand="0" w:oddHBand="1" w:evenHBand="0" w:firstRowFirstColumn="0" w:firstRowLastColumn="0" w:lastRowFirstColumn="0" w:lastRowLastColumn="0"/>
              <w:rPr>
                <w:rFonts w:eastAsia="Times New Roman" w:cs="Mangal"/>
                <w:b/>
                <w:color w:val="000000" w:themeColor="text1"/>
              </w:rPr>
            </w:pPr>
            <w:r w:rsidRPr="00E4488C">
              <w:rPr>
                <w:rFonts w:eastAsia="Times New Roman" w:cs="Mangal"/>
                <w:b/>
                <w:color w:val="000000" w:themeColor="text1"/>
              </w:rPr>
              <w:t>50.</w:t>
            </w:r>
            <w:r w:rsidR="00E12641">
              <w:rPr>
                <w:rFonts w:eastAsia="Times New Roman" w:cs="Mangal"/>
                <w:b/>
                <w:color w:val="000000" w:themeColor="text1"/>
              </w:rPr>
              <w:t>0</w:t>
            </w:r>
          </w:p>
        </w:tc>
        <w:tc>
          <w:tcPr>
            <w:tcW w:w="926" w:type="pct"/>
            <w:tcBorders>
              <w:top w:val="single" w:sz="8" w:space="0" w:color="4F81BD" w:themeColor="accent1"/>
              <w:bottom w:val="single" w:sz="8" w:space="0" w:color="4F81BD" w:themeColor="accent1"/>
            </w:tcBorders>
            <w:shd w:val="clear" w:color="auto" w:fill="DBE5F1" w:themeFill="accent1" w:themeFillTint="33"/>
            <w:noWrap/>
            <w:vAlign w:val="center"/>
          </w:tcPr>
          <w:p w:rsidR="006A0BAC" w:rsidRPr="00E4488C" w:rsidRDefault="00E12641" w:rsidP="00E126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Mangal"/>
                <w:b/>
                <w:color w:val="000000" w:themeColor="text1"/>
              </w:rPr>
            </w:pPr>
            <w:r>
              <w:rPr>
                <w:rFonts w:ascii="Calibri" w:eastAsia="Times New Roman" w:hAnsi="Calibri" w:cs="Mangal"/>
                <w:b/>
                <w:color w:val="000000" w:themeColor="text1"/>
              </w:rPr>
              <w:t>751</w:t>
            </w:r>
            <w:r w:rsidR="006A0BAC" w:rsidRPr="00E4488C">
              <w:rPr>
                <w:rFonts w:ascii="Calibri" w:eastAsia="Times New Roman" w:hAnsi="Calibri" w:cs="Mangal"/>
                <w:b/>
                <w:color w:val="000000" w:themeColor="text1"/>
              </w:rPr>
              <w:t>.</w:t>
            </w:r>
            <w:r>
              <w:rPr>
                <w:rFonts w:ascii="Calibri" w:eastAsia="Times New Roman" w:hAnsi="Calibri" w:cs="Mangal"/>
                <w:b/>
                <w:color w:val="000000" w:themeColor="text1"/>
              </w:rPr>
              <w:t>9</w:t>
            </w:r>
          </w:p>
        </w:tc>
      </w:tr>
    </w:tbl>
    <w:p w:rsidR="006A0BAC" w:rsidRPr="006A0BAC" w:rsidRDefault="006A0BAC" w:rsidP="006A0BAC">
      <w:pPr>
        <w:spacing w:before="0" w:after="0" w:line="240" w:lineRule="auto"/>
        <w:jc w:val="both"/>
        <w:rPr>
          <w:rFonts w:ascii="Calibri" w:eastAsia="Times New Roman" w:hAnsi="Calibri" w:cs="Mangal"/>
          <w:sz w:val="16"/>
          <w:szCs w:val="24"/>
        </w:rPr>
      </w:pPr>
      <w:r w:rsidRPr="006A0BAC">
        <w:rPr>
          <w:rFonts w:ascii="Calibri" w:eastAsia="Times New Roman" w:hAnsi="Calibri" w:cs="Mangal"/>
          <w:sz w:val="18"/>
          <w:szCs w:val="24"/>
        </w:rPr>
        <w:t xml:space="preserve"> </w:t>
      </w:r>
      <w:r w:rsidRPr="006A0BAC">
        <w:rPr>
          <w:rFonts w:ascii="Calibri" w:eastAsia="Times New Roman" w:hAnsi="Calibri" w:cs="Mangal"/>
          <w:sz w:val="16"/>
          <w:szCs w:val="24"/>
        </w:rPr>
        <w:t>Source: DEDJTR, statutory returns under the MRSDA.</w:t>
      </w:r>
    </w:p>
    <w:p w:rsidR="000E1E7F" w:rsidRDefault="000E1E7F">
      <w:pPr>
        <w:rPr>
          <w:b/>
          <w:bCs/>
          <w:caps/>
          <w:color w:val="FFFFFF" w:themeColor="background1"/>
          <w:spacing w:val="15"/>
          <w:sz w:val="22"/>
          <w:szCs w:val="22"/>
        </w:rPr>
      </w:pPr>
      <w:bookmarkStart w:id="23" w:name="_Toc456261064"/>
      <w:r>
        <w:br w:type="page"/>
      </w:r>
    </w:p>
    <w:p w:rsidR="006A0BAC" w:rsidRDefault="006A0BAC" w:rsidP="006A0BAC">
      <w:pPr>
        <w:pStyle w:val="Heading1"/>
      </w:pPr>
      <w:r>
        <w:lastRenderedPageBreak/>
        <w:t>Revenue and Bonds</w:t>
      </w:r>
      <w:bookmarkEnd w:id="23"/>
    </w:p>
    <w:p w:rsidR="006A0BAC" w:rsidRDefault="006A0BAC" w:rsidP="006A0BAC">
      <w:pPr>
        <w:pStyle w:val="Heading2"/>
      </w:pPr>
      <w:bookmarkStart w:id="24" w:name="_Toc456261065"/>
      <w:r>
        <w:t>Revenue</w:t>
      </w:r>
      <w:bookmarkEnd w:id="24"/>
    </w:p>
    <w:p w:rsidR="006A0BAC" w:rsidRPr="006A0BAC" w:rsidRDefault="006A0BAC" w:rsidP="006A0BAC">
      <w:pPr>
        <w:pStyle w:val="bodycopy"/>
        <w:spacing w:before="0" w:after="0"/>
      </w:pPr>
      <w:r w:rsidRPr="006A0BAC">
        <w:t>In 2014/15, a total of $51.8 million was collected from industry in royalties, rentals, levies, fees and charges under the Acts administered by the department. This compares with $50.1 million collected in 2013/14.</w:t>
      </w:r>
    </w:p>
    <w:p w:rsidR="006A0BAC" w:rsidRPr="006A0BAC" w:rsidRDefault="006A0BAC" w:rsidP="006A0BAC">
      <w:pPr>
        <w:pStyle w:val="bodycopy"/>
        <w:spacing w:after="0"/>
      </w:pPr>
      <w:r w:rsidRPr="006A0BAC">
        <w:t>Royalties rose from</w:t>
      </w:r>
      <w:r w:rsidR="00DB7DC9">
        <w:t xml:space="preserve"> $45.1 million in 2013/14 to $47</w:t>
      </w:r>
      <w:r w:rsidRPr="006A0BAC">
        <w:t>.</w:t>
      </w:r>
      <w:r w:rsidR="00DB7DC9">
        <w:t>3</w:t>
      </w:r>
      <w:r w:rsidRPr="006A0BAC">
        <w:t xml:space="preserve"> million, </w:t>
      </w:r>
      <w:r w:rsidR="00E57F5D">
        <w:t xml:space="preserve">as a result </w:t>
      </w:r>
      <w:r w:rsidRPr="006A0BAC">
        <w:t>of increased production from the mining and extractive industry sectors. Petroleum royalties remained stable, totalling $0.1 million.</w:t>
      </w:r>
    </w:p>
    <w:p w:rsidR="006A0BAC" w:rsidRPr="005955E6" w:rsidRDefault="006A0BAC" w:rsidP="006A0BAC">
      <w:pPr>
        <w:spacing w:after="0"/>
        <w:rPr>
          <w:rFonts w:ascii="Calibri" w:hAnsi="Calibri"/>
          <w:b/>
        </w:rPr>
      </w:pPr>
      <w:r w:rsidRPr="005955E6">
        <w:rPr>
          <w:rFonts w:ascii="Calibri" w:hAnsi="Calibri"/>
          <w:b/>
        </w:rPr>
        <w:t xml:space="preserve">Table </w:t>
      </w:r>
      <w:r w:rsidR="002B7F82">
        <w:rPr>
          <w:rFonts w:ascii="Calibri" w:hAnsi="Calibri"/>
          <w:b/>
        </w:rPr>
        <w:t>4.1 Mineral,</w:t>
      </w:r>
      <w:r w:rsidRPr="005955E6">
        <w:rPr>
          <w:rFonts w:ascii="Calibri" w:hAnsi="Calibri"/>
          <w:b/>
        </w:rPr>
        <w:t xml:space="preserve"> extractive and petroleum revenue </w:t>
      </w:r>
      <w:r>
        <w:rPr>
          <w:rFonts w:ascii="Calibri" w:hAnsi="Calibri"/>
          <w:b/>
        </w:rPr>
        <w:t>2014/15</w:t>
      </w:r>
    </w:p>
    <w:tbl>
      <w:tblPr>
        <w:tblStyle w:val="LightShading-Accent1"/>
        <w:tblW w:w="5000" w:type="pct"/>
        <w:tblLook w:val="04A0" w:firstRow="1" w:lastRow="0" w:firstColumn="1" w:lastColumn="0" w:noHBand="0" w:noVBand="1"/>
      </w:tblPr>
      <w:tblGrid>
        <w:gridCol w:w="5179"/>
        <w:gridCol w:w="5503"/>
      </w:tblGrid>
      <w:tr w:rsidR="006A0BAC" w:rsidRPr="000D4728" w:rsidTr="002C2EA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2424" w:type="pct"/>
            <w:noWrap/>
            <w:vAlign w:val="center"/>
            <w:hideMark/>
          </w:tcPr>
          <w:p w:rsidR="006A0BAC" w:rsidRPr="002C2EA2" w:rsidRDefault="006A0BAC" w:rsidP="002C2EA2">
            <w:pPr>
              <w:rPr>
                <w:rFonts w:ascii="Calibri" w:hAnsi="Calibri" w:cs="Arial"/>
                <w:color w:val="000000"/>
              </w:rPr>
            </w:pPr>
            <w:r w:rsidRPr="002C2EA2">
              <w:rPr>
                <w:rFonts w:ascii="Calibri" w:hAnsi="Calibri" w:cs="Arial"/>
                <w:color w:val="000000"/>
              </w:rPr>
              <w:t>Revenue Stream</w:t>
            </w:r>
          </w:p>
        </w:tc>
        <w:tc>
          <w:tcPr>
            <w:tcW w:w="2576" w:type="pct"/>
            <w:noWrap/>
            <w:vAlign w:val="center"/>
            <w:hideMark/>
          </w:tcPr>
          <w:p w:rsidR="006A0BAC" w:rsidRPr="002C2EA2"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rPr>
            </w:pPr>
            <w:r w:rsidRPr="002C2EA2">
              <w:rPr>
                <w:rFonts w:ascii="Calibri" w:hAnsi="Calibri" w:cs="Arial"/>
                <w:color w:val="000000"/>
              </w:rPr>
              <w:t>Revenue ($A million)</w:t>
            </w:r>
          </w:p>
        </w:tc>
      </w:tr>
      <w:tr w:rsidR="006A0BAC" w:rsidRPr="000D4728"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424" w:type="pct"/>
            <w:noWrap/>
            <w:hideMark/>
          </w:tcPr>
          <w:p w:rsidR="006A0BAC" w:rsidRPr="002C2EA2" w:rsidRDefault="006A0BAC" w:rsidP="006A0BAC">
            <w:pPr>
              <w:rPr>
                <w:rFonts w:ascii="Calibri" w:hAnsi="Calibri" w:cs="Arial"/>
                <w:b w:val="0"/>
                <w:color w:val="000000"/>
              </w:rPr>
            </w:pPr>
            <w:r w:rsidRPr="002C2EA2">
              <w:rPr>
                <w:rFonts w:ascii="Calibri" w:hAnsi="Calibri" w:cs="Arial"/>
                <w:b w:val="0"/>
                <w:color w:val="000000"/>
              </w:rPr>
              <w:t>Fees and charges</w:t>
            </w:r>
          </w:p>
        </w:tc>
        <w:tc>
          <w:tcPr>
            <w:tcW w:w="2576" w:type="pct"/>
            <w:noWrap/>
            <w:vAlign w:val="center"/>
          </w:tcPr>
          <w:p w:rsidR="006A0BAC" w:rsidRPr="00D52C52"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D52C52">
              <w:rPr>
                <w:rFonts w:ascii="Calibri" w:hAnsi="Calibri" w:cs="Arial"/>
                <w:color w:val="000000"/>
              </w:rPr>
              <w:t>0.6</w:t>
            </w:r>
          </w:p>
        </w:tc>
      </w:tr>
      <w:tr w:rsidR="006A0BAC" w:rsidRPr="000D4728" w:rsidTr="002C2EA2">
        <w:trPr>
          <w:trHeight w:val="240"/>
        </w:trPr>
        <w:tc>
          <w:tcPr>
            <w:cnfStyle w:val="001000000000" w:firstRow="0" w:lastRow="0" w:firstColumn="1" w:lastColumn="0" w:oddVBand="0" w:evenVBand="0" w:oddHBand="0" w:evenHBand="0" w:firstRowFirstColumn="0" w:firstRowLastColumn="0" w:lastRowFirstColumn="0" w:lastRowLastColumn="0"/>
            <w:tcW w:w="2424" w:type="pct"/>
            <w:noWrap/>
            <w:hideMark/>
          </w:tcPr>
          <w:p w:rsidR="006A0BAC" w:rsidRPr="002C2EA2" w:rsidRDefault="006A0BAC" w:rsidP="006A0BAC">
            <w:pPr>
              <w:rPr>
                <w:rFonts w:ascii="Calibri" w:hAnsi="Calibri" w:cs="Arial"/>
                <w:b w:val="0"/>
                <w:color w:val="000000"/>
              </w:rPr>
            </w:pPr>
            <w:r w:rsidRPr="002C2EA2">
              <w:rPr>
                <w:rFonts w:ascii="Calibri" w:hAnsi="Calibri" w:cs="Arial"/>
                <w:b w:val="0"/>
                <w:color w:val="000000"/>
              </w:rPr>
              <w:t>Rent</w:t>
            </w:r>
          </w:p>
        </w:tc>
        <w:tc>
          <w:tcPr>
            <w:tcW w:w="2576" w:type="pct"/>
            <w:noWrap/>
            <w:vAlign w:val="center"/>
          </w:tcPr>
          <w:p w:rsidR="006A0BAC" w:rsidRPr="00D52C52"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D52C52">
              <w:rPr>
                <w:rFonts w:ascii="Calibri" w:hAnsi="Calibri" w:cs="Arial"/>
                <w:color w:val="000000"/>
              </w:rPr>
              <w:t>2.5</w:t>
            </w:r>
          </w:p>
        </w:tc>
      </w:tr>
      <w:tr w:rsidR="006A0BAC" w:rsidRPr="000D4728"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424" w:type="pct"/>
            <w:noWrap/>
            <w:hideMark/>
          </w:tcPr>
          <w:p w:rsidR="006A0BAC" w:rsidRPr="002C2EA2" w:rsidRDefault="006A0BAC" w:rsidP="006A0BAC">
            <w:pPr>
              <w:rPr>
                <w:rFonts w:ascii="Calibri" w:hAnsi="Calibri" w:cs="Arial"/>
                <w:b w:val="0"/>
                <w:color w:val="000000"/>
              </w:rPr>
            </w:pPr>
            <w:r w:rsidRPr="002C2EA2">
              <w:rPr>
                <w:rFonts w:ascii="Calibri" w:hAnsi="Calibri" w:cs="Arial"/>
                <w:b w:val="0"/>
                <w:color w:val="000000"/>
              </w:rPr>
              <w:t>Royalty</w:t>
            </w:r>
          </w:p>
        </w:tc>
        <w:tc>
          <w:tcPr>
            <w:tcW w:w="2576" w:type="pct"/>
            <w:noWrap/>
            <w:vAlign w:val="center"/>
          </w:tcPr>
          <w:p w:rsidR="006A0BAC" w:rsidRPr="00D52C52"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D52C52">
              <w:rPr>
                <w:rFonts w:ascii="Calibri" w:hAnsi="Calibri" w:cs="Arial"/>
                <w:color w:val="000000"/>
              </w:rPr>
              <w:t>47.3</w:t>
            </w:r>
          </w:p>
        </w:tc>
      </w:tr>
      <w:tr w:rsidR="006A0BAC" w:rsidRPr="000D4728" w:rsidTr="002C2EA2">
        <w:trPr>
          <w:trHeight w:val="240"/>
        </w:trPr>
        <w:tc>
          <w:tcPr>
            <w:cnfStyle w:val="001000000000" w:firstRow="0" w:lastRow="0" w:firstColumn="1" w:lastColumn="0" w:oddVBand="0" w:evenVBand="0" w:oddHBand="0" w:evenHBand="0" w:firstRowFirstColumn="0" w:firstRowLastColumn="0" w:lastRowFirstColumn="0" w:lastRowLastColumn="0"/>
            <w:tcW w:w="2424" w:type="pct"/>
            <w:noWrap/>
            <w:hideMark/>
          </w:tcPr>
          <w:p w:rsidR="006A0BAC" w:rsidRPr="002C2EA2" w:rsidRDefault="006A0BAC" w:rsidP="006A0BAC">
            <w:pPr>
              <w:rPr>
                <w:rFonts w:ascii="Calibri" w:hAnsi="Calibri" w:cs="Arial"/>
                <w:b w:val="0"/>
                <w:color w:val="000000"/>
              </w:rPr>
            </w:pPr>
            <w:r w:rsidRPr="002C2EA2">
              <w:rPr>
                <w:rFonts w:ascii="Calibri" w:hAnsi="Calibri" w:cs="Arial"/>
                <w:b w:val="0"/>
                <w:color w:val="000000"/>
              </w:rPr>
              <w:t>Mine Stability Levy</w:t>
            </w:r>
          </w:p>
        </w:tc>
        <w:tc>
          <w:tcPr>
            <w:tcW w:w="2576" w:type="pct"/>
            <w:noWrap/>
            <w:vAlign w:val="center"/>
          </w:tcPr>
          <w:p w:rsidR="006A0BAC" w:rsidRPr="00D52C52"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D52C52">
              <w:rPr>
                <w:rFonts w:ascii="Calibri" w:hAnsi="Calibri" w:cs="Arial"/>
                <w:color w:val="000000"/>
              </w:rPr>
              <w:t>1.4</w:t>
            </w:r>
          </w:p>
        </w:tc>
      </w:tr>
      <w:tr w:rsidR="006A0BAC" w:rsidRPr="00DD3B54"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424" w:type="pct"/>
            <w:noWrap/>
            <w:hideMark/>
          </w:tcPr>
          <w:p w:rsidR="006A0BAC" w:rsidRPr="002C2EA2" w:rsidRDefault="006A0BAC" w:rsidP="006A0BAC">
            <w:pPr>
              <w:rPr>
                <w:rFonts w:ascii="Calibri" w:hAnsi="Calibri" w:cs="Arial"/>
                <w:color w:val="000000"/>
              </w:rPr>
            </w:pPr>
            <w:r w:rsidRPr="002C2EA2">
              <w:rPr>
                <w:rFonts w:ascii="Calibri" w:hAnsi="Calibri" w:cs="Arial"/>
                <w:color w:val="000000"/>
              </w:rPr>
              <w:t>Total</w:t>
            </w:r>
          </w:p>
        </w:tc>
        <w:tc>
          <w:tcPr>
            <w:tcW w:w="2576" w:type="pct"/>
            <w:noWrap/>
            <w:vAlign w:val="center"/>
          </w:tcPr>
          <w:p w:rsidR="006A0BAC" w:rsidRPr="002C2EA2"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color w:val="000000"/>
              </w:rPr>
            </w:pPr>
            <w:r w:rsidRPr="002C2EA2">
              <w:rPr>
                <w:rFonts w:ascii="Calibri" w:hAnsi="Calibri" w:cs="Arial"/>
                <w:b/>
                <w:color w:val="000000"/>
              </w:rPr>
              <w:t>51.8</w:t>
            </w:r>
          </w:p>
        </w:tc>
      </w:tr>
    </w:tbl>
    <w:p w:rsidR="006A0BAC" w:rsidRPr="00E6418F" w:rsidRDefault="006A0BAC" w:rsidP="006A0BAC">
      <w:pPr>
        <w:spacing w:before="0" w:after="0"/>
        <w:rPr>
          <w:rFonts w:ascii="Calibri" w:hAnsi="Calibri"/>
          <w:sz w:val="16"/>
        </w:rPr>
      </w:pPr>
      <w:r w:rsidRPr="00E6418F">
        <w:rPr>
          <w:rFonts w:ascii="Calibri" w:hAnsi="Calibri"/>
          <w:sz w:val="16"/>
        </w:rPr>
        <w:t>Source: DEDJTR</w:t>
      </w:r>
    </w:p>
    <w:p w:rsidR="006A0BAC" w:rsidRPr="006A0BAC" w:rsidRDefault="006A0BAC" w:rsidP="000E1E7F">
      <w:pPr>
        <w:rPr>
          <w:rFonts w:ascii="Calibri" w:eastAsia="Times New Roman" w:hAnsi="Calibri" w:cs="Mangal"/>
          <w:b/>
          <w:szCs w:val="24"/>
        </w:rPr>
      </w:pPr>
      <w:r w:rsidRPr="006A0BAC">
        <w:rPr>
          <w:rFonts w:ascii="Calibri" w:eastAsia="Times New Roman" w:hAnsi="Calibri" w:cs="Mangal"/>
          <w:b/>
          <w:szCs w:val="24"/>
        </w:rPr>
        <w:t xml:space="preserve">Graph </w:t>
      </w:r>
      <w:r w:rsidR="002B7F82">
        <w:rPr>
          <w:rFonts w:ascii="Calibri" w:eastAsia="Times New Roman" w:hAnsi="Calibri" w:cs="Mangal"/>
          <w:b/>
          <w:szCs w:val="24"/>
        </w:rPr>
        <w:t>4</w:t>
      </w:r>
      <w:r w:rsidRPr="006A0BAC">
        <w:rPr>
          <w:rFonts w:ascii="Calibri" w:eastAsia="Times New Roman" w:hAnsi="Calibri" w:cs="Mangal"/>
          <w:b/>
          <w:szCs w:val="24"/>
        </w:rPr>
        <w:t xml:space="preserve">.1 Mineral, extractive and petroleum revenue </w:t>
      </w:r>
      <w:r w:rsidR="009F070E">
        <w:rPr>
          <w:rFonts w:ascii="Calibri" w:eastAsia="Times New Roman" w:hAnsi="Calibri" w:cs="Mangal"/>
          <w:b/>
          <w:szCs w:val="24"/>
        </w:rPr>
        <w:t>2014/15</w:t>
      </w:r>
    </w:p>
    <w:p w:rsidR="006A0BAC" w:rsidRPr="006A0BAC" w:rsidRDefault="006A0BAC" w:rsidP="006A0BAC">
      <w:pPr>
        <w:spacing w:before="0" w:after="0" w:line="240" w:lineRule="auto"/>
        <w:rPr>
          <w:rFonts w:ascii="Calibri" w:eastAsia="Times New Roman" w:hAnsi="Calibri" w:cs="Mangal"/>
          <w:b/>
          <w:szCs w:val="24"/>
        </w:rPr>
      </w:pPr>
      <w:r w:rsidRPr="006A0BAC">
        <w:rPr>
          <w:rFonts w:ascii="Arial" w:eastAsia="Times New Roman" w:hAnsi="Arial" w:cs="Mangal"/>
          <w:noProof/>
          <w:sz w:val="18"/>
          <w:szCs w:val="24"/>
        </w:rPr>
        <w:drawing>
          <wp:inline distT="0" distB="0" distL="0" distR="0" wp14:anchorId="048EF443" wp14:editId="7B3D6A34">
            <wp:extent cx="6645600" cy="2674800"/>
            <wp:effectExtent l="0" t="0" r="22225" b="11430"/>
            <wp:docPr id="12" name="Chart 12" descr="91% of revenue was derived from royalties.&#10;5% of revenue was accrued due to rent.&#10;1% of revenue was accrued from fees and charges.&#10;3% of  revenue was accrued from the mine stability levy." title="Minerals, extractive and petroleum revenue 2014-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A0BAC" w:rsidRPr="006A0BAC" w:rsidRDefault="006A0BAC" w:rsidP="006A0BAC">
      <w:pPr>
        <w:spacing w:before="0" w:after="0" w:line="240" w:lineRule="auto"/>
        <w:rPr>
          <w:rFonts w:ascii="Calibri" w:eastAsia="Times New Roman" w:hAnsi="Calibri" w:cs="Mangal"/>
          <w:sz w:val="16"/>
          <w:szCs w:val="24"/>
        </w:rPr>
      </w:pPr>
      <w:r w:rsidRPr="006A0BAC">
        <w:rPr>
          <w:rFonts w:ascii="Calibri" w:eastAsia="Times New Roman" w:hAnsi="Calibri" w:cs="Mangal"/>
          <w:sz w:val="16"/>
          <w:szCs w:val="24"/>
        </w:rPr>
        <w:t>Source: DEDJTR</w:t>
      </w:r>
    </w:p>
    <w:p w:rsidR="006A0BAC" w:rsidRPr="006A0BAC" w:rsidRDefault="006A0BAC" w:rsidP="006A0BAC">
      <w:pPr>
        <w:spacing w:after="0" w:line="240" w:lineRule="auto"/>
        <w:rPr>
          <w:rFonts w:ascii="Calibri" w:eastAsia="Times New Roman" w:hAnsi="Calibri" w:cs="Mangal"/>
          <w:b/>
          <w:szCs w:val="24"/>
        </w:rPr>
      </w:pPr>
      <w:r w:rsidRPr="006A0BAC">
        <w:rPr>
          <w:rFonts w:ascii="Calibri" w:eastAsia="Times New Roman" w:hAnsi="Calibri" w:cs="Mangal"/>
          <w:b/>
          <w:szCs w:val="24"/>
        </w:rPr>
        <w:t>Table 5.2 Minerals, extractive and petroleum royalties 2014/15</w:t>
      </w:r>
    </w:p>
    <w:tbl>
      <w:tblPr>
        <w:tblStyle w:val="LightShading-Accent1"/>
        <w:tblW w:w="5000" w:type="pct"/>
        <w:tblLook w:val="04A0" w:firstRow="1" w:lastRow="0" w:firstColumn="1" w:lastColumn="0" w:noHBand="0" w:noVBand="1"/>
      </w:tblPr>
      <w:tblGrid>
        <w:gridCol w:w="5471"/>
        <w:gridCol w:w="5211"/>
      </w:tblGrid>
      <w:tr w:rsidR="006A0BAC" w:rsidRPr="006A0BAC" w:rsidTr="002C2EA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2561" w:type="pct"/>
            <w:noWrap/>
            <w:vAlign w:val="center"/>
            <w:hideMark/>
          </w:tcPr>
          <w:p w:rsidR="006A0BAC" w:rsidRPr="006A0BAC" w:rsidRDefault="006A0BAC" w:rsidP="002C2EA2">
            <w:pPr>
              <w:rPr>
                <w:rFonts w:ascii="Calibri" w:eastAsia="Times New Roman" w:hAnsi="Calibri" w:cs="Arial"/>
                <w:b w:val="0"/>
                <w:color w:val="000000"/>
                <w:szCs w:val="24"/>
              </w:rPr>
            </w:pPr>
            <w:r w:rsidRPr="006A0BAC">
              <w:rPr>
                <w:rFonts w:ascii="Calibri" w:eastAsia="Times New Roman" w:hAnsi="Calibri" w:cs="Arial"/>
                <w:b w:val="0"/>
                <w:color w:val="000000"/>
                <w:szCs w:val="24"/>
              </w:rPr>
              <w:t>Sector</w:t>
            </w:r>
          </w:p>
        </w:tc>
        <w:tc>
          <w:tcPr>
            <w:tcW w:w="2439" w:type="pct"/>
            <w:noWrap/>
            <w:vAlign w:val="center"/>
            <w:hideMark/>
          </w:tcPr>
          <w:p w:rsidR="006A0BAC" w:rsidRPr="006A0BAC"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color w:val="000000"/>
                <w:szCs w:val="24"/>
              </w:rPr>
            </w:pPr>
            <w:r w:rsidRPr="006A0BAC">
              <w:rPr>
                <w:rFonts w:ascii="Calibri" w:eastAsia="Times New Roman" w:hAnsi="Calibri" w:cs="Arial"/>
                <w:b w:val="0"/>
                <w:color w:val="000000"/>
                <w:szCs w:val="24"/>
              </w:rPr>
              <w:t>Royalties ($A million)</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61" w:type="pct"/>
            <w:noWrap/>
            <w:vAlign w:val="center"/>
            <w:hideMark/>
          </w:tcPr>
          <w:p w:rsidR="006A0BAC" w:rsidRPr="002C2EA2" w:rsidRDefault="006A0BAC" w:rsidP="002C2EA2">
            <w:pPr>
              <w:rPr>
                <w:rFonts w:ascii="Calibri" w:eastAsia="Times New Roman" w:hAnsi="Calibri" w:cs="Arial"/>
                <w:b w:val="0"/>
                <w:color w:val="000000"/>
                <w:szCs w:val="24"/>
              </w:rPr>
            </w:pPr>
            <w:r w:rsidRPr="002C2EA2">
              <w:rPr>
                <w:rFonts w:ascii="Calibri" w:eastAsia="Times New Roman" w:hAnsi="Calibri" w:cs="Arial"/>
                <w:b w:val="0"/>
                <w:color w:val="000000"/>
                <w:szCs w:val="24"/>
              </w:rPr>
              <w:t>Mining</w:t>
            </w:r>
          </w:p>
        </w:tc>
        <w:tc>
          <w:tcPr>
            <w:tcW w:w="2439" w:type="pct"/>
            <w:noWrap/>
            <w:vAlign w:val="center"/>
          </w:tcPr>
          <w:p w:rsidR="006A0BAC" w:rsidRPr="006A0BAC"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Cs w:val="24"/>
              </w:rPr>
            </w:pPr>
            <w:r w:rsidRPr="006A0BAC">
              <w:rPr>
                <w:rFonts w:ascii="Calibri" w:eastAsia="Times New Roman" w:hAnsi="Calibri" w:cs="Arial"/>
                <w:color w:val="000000"/>
                <w:szCs w:val="24"/>
              </w:rPr>
              <w:t>42.2</w:t>
            </w:r>
          </w:p>
        </w:tc>
      </w:tr>
      <w:tr w:rsidR="006A0BAC" w:rsidRPr="006A0BAC" w:rsidTr="002C2EA2">
        <w:trPr>
          <w:trHeight w:val="240"/>
        </w:trPr>
        <w:tc>
          <w:tcPr>
            <w:cnfStyle w:val="001000000000" w:firstRow="0" w:lastRow="0" w:firstColumn="1" w:lastColumn="0" w:oddVBand="0" w:evenVBand="0" w:oddHBand="0" w:evenHBand="0" w:firstRowFirstColumn="0" w:firstRowLastColumn="0" w:lastRowFirstColumn="0" w:lastRowLastColumn="0"/>
            <w:tcW w:w="2561" w:type="pct"/>
            <w:noWrap/>
            <w:vAlign w:val="center"/>
            <w:hideMark/>
          </w:tcPr>
          <w:p w:rsidR="006A0BAC" w:rsidRPr="002C2EA2" w:rsidRDefault="006A0BAC" w:rsidP="002C2EA2">
            <w:pPr>
              <w:rPr>
                <w:rFonts w:ascii="Calibri" w:eastAsia="Times New Roman" w:hAnsi="Calibri" w:cs="Arial"/>
                <w:b w:val="0"/>
                <w:color w:val="000000"/>
                <w:szCs w:val="24"/>
              </w:rPr>
            </w:pPr>
            <w:r w:rsidRPr="002C2EA2">
              <w:rPr>
                <w:rFonts w:ascii="Calibri" w:eastAsia="Times New Roman" w:hAnsi="Calibri" w:cs="Arial"/>
                <w:b w:val="0"/>
                <w:color w:val="000000"/>
                <w:szCs w:val="24"/>
              </w:rPr>
              <w:t>Extractive</w:t>
            </w:r>
          </w:p>
        </w:tc>
        <w:tc>
          <w:tcPr>
            <w:tcW w:w="2439" w:type="pct"/>
            <w:noWrap/>
            <w:vAlign w:val="center"/>
          </w:tcPr>
          <w:p w:rsidR="006A0BAC" w:rsidRPr="006A0BAC"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Cs w:val="24"/>
              </w:rPr>
            </w:pPr>
            <w:r w:rsidRPr="006A0BAC">
              <w:rPr>
                <w:rFonts w:ascii="Calibri" w:eastAsia="Times New Roman" w:hAnsi="Calibri" w:cs="Arial"/>
                <w:color w:val="000000"/>
                <w:szCs w:val="24"/>
              </w:rPr>
              <w:t>5.0</w:t>
            </w:r>
          </w:p>
        </w:tc>
      </w:tr>
      <w:tr w:rsidR="006A0BAC" w:rsidRPr="006A0BAC"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61" w:type="pct"/>
            <w:noWrap/>
            <w:vAlign w:val="center"/>
            <w:hideMark/>
          </w:tcPr>
          <w:p w:rsidR="006A0BAC" w:rsidRPr="002C2EA2" w:rsidRDefault="006A0BAC" w:rsidP="002C2EA2">
            <w:pPr>
              <w:rPr>
                <w:rFonts w:ascii="Calibri" w:eastAsia="Times New Roman" w:hAnsi="Calibri" w:cs="Arial"/>
                <w:b w:val="0"/>
                <w:color w:val="000000"/>
                <w:szCs w:val="24"/>
              </w:rPr>
            </w:pPr>
            <w:r w:rsidRPr="002C2EA2">
              <w:rPr>
                <w:rFonts w:ascii="Calibri" w:eastAsia="Times New Roman" w:hAnsi="Calibri" w:cs="Arial"/>
                <w:b w:val="0"/>
                <w:color w:val="000000"/>
                <w:szCs w:val="24"/>
              </w:rPr>
              <w:t>Petroleum (Onshore)*</w:t>
            </w:r>
          </w:p>
        </w:tc>
        <w:tc>
          <w:tcPr>
            <w:tcW w:w="2439" w:type="pct"/>
            <w:noWrap/>
            <w:vAlign w:val="center"/>
          </w:tcPr>
          <w:p w:rsidR="006A0BAC" w:rsidRPr="006A0BAC"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Cs w:val="24"/>
              </w:rPr>
            </w:pPr>
            <w:r w:rsidRPr="006A0BAC">
              <w:rPr>
                <w:rFonts w:ascii="Calibri" w:eastAsia="Times New Roman" w:hAnsi="Calibri" w:cs="Arial"/>
                <w:color w:val="000000"/>
                <w:szCs w:val="24"/>
              </w:rPr>
              <w:t>0.1</w:t>
            </w:r>
          </w:p>
        </w:tc>
      </w:tr>
      <w:tr w:rsidR="006A0BAC" w:rsidRPr="006A0BAC" w:rsidTr="002C2EA2">
        <w:trPr>
          <w:trHeight w:val="240"/>
        </w:trPr>
        <w:tc>
          <w:tcPr>
            <w:cnfStyle w:val="001000000000" w:firstRow="0" w:lastRow="0" w:firstColumn="1" w:lastColumn="0" w:oddVBand="0" w:evenVBand="0" w:oddHBand="0" w:evenHBand="0" w:firstRowFirstColumn="0" w:firstRowLastColumn="0" w:lastRowFirstColumn="0" w:lastRowLastColumn="0"/>
            <w:tcW w:w="2561" w:type="pct"/>
            <w:noWrap/>
            <w:vAlign w:val="center"/>
            <w:hideMark/>
          </w:tcPr>
          <w:p w:rsidR="006A0BAC" w:rsidRPr="002C2EA2" w:rsidRDefault="006A0BAC" w:rsidP="002C2EA2">
            <w:pPr>
              <w:rPr>
                <w:rFonts w:ascii="Calibri" w:eastAsia="Times New Roman" w:hAnsi="Calibri" w:cs="Arial"/>
                <w:color w:val="000000"/>
                <w:szCs w:val="24"/>
              </w:rPr>
            </w:pPr>
            <w:r w:rsidRPr="002C2EA2">
              <w:rPr>
                <w:rFonts w:ascii="Calibri" w:eastAsia="Times New Roman" w:hAnsi="Calibri" w:cs="Arial"/>
                <w:color w:val="000000"/>
                <w:szCs w:val="24"/>
              </w:rPr>
              <w:t>Total</w:t>
            </w:r>
          </w:p>
        </w:tc>
        <w:tc>
          <w:tcPr>
            <w:tcW w:w="2439" w:type="pct"/>
            <w:noWrap/>
            <w:vAlign w:val="center"/>
          </w:tcPr>
          <w:p w:rsidR="006A0BAC" w:rsidRPr="006A0BAC"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
                <w:color w:val="000000"/>
                <w:szCs w:val="24"/>
              </w:rPr>
            </w:pPr>
            <w:r w:rsidRPr="006A0BAC">
              <w:rPr>
                <w:rFonts w:ascii="Calibri" w:eastAsia="Times New Roman" w:hAnsi="Calibri" w:cs="Arial"/>
                <w:b/>
                <w:color w:val="000000"/>
                <w:szCs w:val="24"/>
              </w:rPr>
              <w:t>47.3</w:t>
            </w:r>
          </w:p>
        </w:tc>
      </w:tr>
    </w:tbl>
    <w:p w:rsidR="006A0BAC" w:rsidRPr="006A0BAC" w:rsidRDefault="006A0BAC" w:rsidP="006A0BAC">
      <w:pPr>
        <w:spacing w:before="0" w:after="0" w:line="240" w:lineRule="auto"/>
        <w:rPr>
          <w:rFonts w:ascii="Calibri" w:eastAsia="Times New Roman" w:hAnsi="Calibri" w:cs="Mangal"/>
          <w:sz w:val="16"/>
          <w:szCs w:val="24"/>
        </w:rPr>
      </w:pPr>
      <w:r w:rsidRPr="006A0BAC">
        <w:rPr>
          <w:rFonts w:ascii="Calibri" w:eastAsia="Times New Roman" w:hAnsi="Calibri" w:cs="Mangal"/>
          <w:sz w:val="16"/>
          <w:szCs w:val="24"/>
        </w:rPr>
        <w:t>Source: DEDJTR</w:t>
      </w:r>
    </w:p>
    <w:p w:rsidR="006A0BAC" w:rsidRPr="006A0BAC" w:rsidRDefault="006A0BAC" w:rsidP="006A0BAC">
      <w:pPr>
        <w:spacing w:before="0" w:after="0" w:line="240" w:lineRule="auto"/>
        <w:rPr>
          <w:rFonts w:ascii="Calibri" w:eastAsia="Times New Roman" w:hAnsi="Calibri" w:cs="Mangal"/>
          <w:b/>
          <w:szCs w:val="24"/>
        </w:rPr>
      </w:pPr>
    </w:p>
    <w:p w:rsidR="000E1E7F" w:rsidRDefault="000E1E7F">
      <w:pPr>
        <w:rPr>
          <w:rFonts w:ascii="Calibri" w:eastAsia="Times New Roman" w:hAnsi="Calibri" w:cs="Mangal"/>
          <w:b/>
          <w:szCs w:val="24"/>
        </w:rPr>
      </w:pPr>
      <w:r>
        <w:rPr>
          <w:rFonts w:ascii="Calibri" w:eastAsia="Times New Roman" w:hAnsi="Calibri" w:cs="Mangal"/>
          <w:b/>
          <w:szCs w:val="24"/>
        </w:rPr>
        <w:br w:type="page"/>
      </w:r>
    </w:p>
    <w:p w:rsidR="006A0BAC" w:rsidRPr="006A0BAC" w:rsidRDefault="00A51F39" w:rsidP="006A0BAC">
      <w:pPr>
        <w:spacing w:before="0" w:after="0" w:line="240" w:lineRule="auto"/>
        <w:rPr>
          <w:rFonts w:ascii="Calibri" w:eastAsia="Times New Roman" w:hAnsi="Calibri" w:cs="Mangal"/>
          <w:b/>
          <w:szCs w:val="24"/>
        </w:rPr>
      </w:pPr>
      <w:r>
        <w:rPr>
          <w:rFonts w:ascii="Calibri" w:eastAsia="Times New Roman" w:hAnsi="Calibri" w:cs="Mangal"/>
          <w:b/>
          <w:szCs w:val="24"/>
        </w:rPr>
        <w:lastRenderedPageBreak/>
        <w:t>Graph</w:t>
      </w:r>
      <w:r w:rsidR="006A0BAC" w:rsidRPr="006A0BAC">
        <w:rPr>
          <w:rFonts w:ascii="Calibri" w:eastAsia="Times New Roman" w:hAnsi="Calibri" w:cs="Mangal"/>
          <w:b/>
          <w:szCs w:val="24"/>
        </w:rPr>
        <w:t xml:space="preserve"> </w:t>
      </w:r>
      <w:r>
        <w:rPr>
          <w:rFonts w:ascii="Calibri" w:eastAsia="Times New Roman" w:hAnsi="Calibri" w:cs="Mangal"/>
          <w:b/>
          <w:szCs w:val="24"/>
        </w:rPr>
        <w:t>4</w:t>
      </w:r>
      <w:r w:rsidR="006A0BAC" w:rsidRPr="006A0BAC">
        <w:rPr>
          <w:rFonts w:ascii="Calibri" w:eastAsia="Times New Roman" w:hAnsi="Calibri" w:cs="Mangal"/>
          <w:b/>
          <w:szCs w:val="24"/>
        </w:rPr>
        <w:t>.2</w:t>
      </w:r>
      <w:r w:rsidR="006774AA">
        <w:rPr>
          <w:rFonts w:ascii="Calibri" w:eastAsia="Times New Roman" w:hAnsi="Calibri" w:cs="Mangal"/>
          <w:b/>
          <w:szCs w:val="24"/>
        </w:rPr>
        <w:t xml:space="preserve"> </w:t>
      </w:r>
      <w:r>
        <w:rPr>
          <w:rFonts w:ascii="Calibri" w:eastAsia="Times New Roman" w:hAnsi="Calibri" w:cs="Mangal"/>
          <w:b/>
          <w:szCs w:val="24"/>
        </w:rPr>
        <w:t>Mineral</w:t>
      </w:r>
      <w:r w:rsidR="006A0BAC" w:rsidRPr="006A0BAC">
        <w:rPr>
          <w:rFonts w:ascii="Calibri" w:eastAsia="Times New Roman" w:hAnsi="Calibri" w:cs="Mangal"/>
          <w:b/>
          <w:szCs w:val="24"/>
        </w:rPr>
        <w:t xml:space="preserve">, extractive and petroleum royalties </w:t>
      </w:r>
      <w:r w:rsidR="009F070E">
        <w:rPr>
          <w:rFonts w:ascii="Calibri" w:eastAsia="Times New Roman" w:hAnsi="Calibri" w:cs="Mangal"/>
          <w:b/>
          <w:szCs w:val="24"/>
        </w:rPr>
        <w:t>2014/15</w:t>
      </w:r>
    </w:p>
    <w:p w:rsidR="006A0BAC" w:rsidRPr="006A0BAC" w:rsidRDefault="006A0BAC" w:rsidP="006A0BAC">
      <w:pPr>
        <w:spacing w:before="0" w:after="0" w:line="240" w:lineRule="auto"/>
        <w:rPr>
          <w:rFonts w:ascii="Calibri" w:eastAsia="Times New Roman" w:hAnsi="Calibri" w:cs="Mangal"/>
          <w:szCs w:val="24"/>
        </w:rPr>
      </w:pPr>
      <w:r w:rsidRPr="006A0BAC">
        <w:rPr>
          <w:rFonts w:ascii="Arial" w:eastAsia="Times New Roman" w:hAnsi="Arial" w:cs="Mangal"/>
          <w:noProof/>
          <w:sz w:val="18"/>
          <w:szCs w:val="24"/>
        </w:rPr>
        <w:drawing>
          <wp:inline distT="0" distB="0" distL="0" distR="0" wp14:anchorId="11402009" wp14:editId="6419BF54">
            <wp:extent cx="6645600" cy="2674800"/>
            <wp:effectExtent l="0" t="0" r="22225" b="11430"/>
            <wp:docPr id="13" name="Chart 13" descr="89% of royalties were accrued due to mining activity.&#10;11% of royalties were accrued due to extractive industries work authorities." title="Minerals, extractive and petroleum royalties 2014/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A0BAC" w:rsidRPr="006A0BAC" w:rsidRDefault="006A0BAC" w:rsidP="006A0BAC">
      <w:pPr>
        <w:spacing w:before="0" w:after="0" w:line="240" w:lineRule="auto"/>
        <w:rPr>
          <w:rFonts w:ascii="Calibri" w:eastAsia="Times New Roman" w:hAnsi="Calibri" w:cs="Mangal"/>
          <w:sz w:val="16"/>
          <w:szCs w:val="24"/>
        </w:rPr>
      </w:pPr>
      <w:r w:rsidRPr="006A0BAC">
        <w:rPr>
          <w:rFonts w:ascii="Calibri" w:eastAsia="Times New Roman" w:hAnsi="Calibri" w:cs="Mangal"/>
          <w:sz w:val="16"/>
          <w:szCs w:val="24"/>
        </w:rPr>
        <w:t>Source: DEDJTR</w:t>
      </w:r>
    </w:p>
    <w:p w:rsidR="006A0BAC" w:rsidRDefault="006A0BAC" w:rsidP="006A0BAC">
      <w:pPr>
        <w:pStyle w:val="Heading2"/>
      </w:pPr>
      <w:bookmarkStart w:id="25" w:name="_Toc456261066"/>
      <w:r>
        <w:t>Rehabilitation Bonds</w:t>
      </w:r>
      <w:bookmarkEnd w:id="25"/>
    </w:p>
    <w:p w:rsidR="006A0BAC" w:rsidRPr="006A0BAC" w:rsidRDefault="006A0BAC" w:rsidP="006A0BAC">
      <w:pPr>
        <w:pStyle w:val="bodycopy"/>
      </w:pPr>
      <w:r w:rsidRPr="006A0BAC">
        <w:t xml:space="preserve">The sum of rehabilitation bonds held by the Department in 2014/15 was $241 million. A reduction in the value of exploration licence, mining licence and extractive industry work authority bonds between 2013/14 and 2014/15 reflects the reduction in the number of such licences held. In addition, this reflected the return of bonds following the rehabilitation of sites without licences necessarily being cancelled, expired or surrendered. In addition, recalculation of rehabilitation liability on sites has resulted in a reduction of the total rehabilitation liability attached to sites in Victoria. </w:t>
      </w:r>
    </w:p>
    <w:p w:rsidR="006A0BAC" w:rsidRDefault="006A0BAC" w:rsidP="006A0BAC">
      <w:pPr>
        <w:spacing w:before="0" w:after="0"/>
        <w:rPr>
          <w:rFonts w:ascii="Calibri" w:hAnsi="Calibri"/>
          <w:b/>
        </w:rPr>
      </w:pPr>
      <w:r w:rsidRPr="0020329B">
        <w:rPr>
          <w:rFonts w:ascii="Calibri" w:hAnsi="Calibri"/>
          <w:b/>
        </w:rPr>
        <w:t xml:space="preserve">Table </w:t>
      </w:r>
      <w:r w:rsidR="00A51F39">
        <w:rPr>
          <w:rFonts w:ascii="Calibri" w:hAnsi="Calibri"/>
          <w:b/>
        </w:rPr>
        <w:t>4</w:t>
      </w:r>
      <w:r w:rsidRPr="0020329B">
        <w:rPr>
          <w:rFonts w:ascii="Calibri" w:hAnsi="Calibri"/>
          <w:b/>
        </w:rPr>
        <w:t>.3 Value of rehabilitation bonds by a</w:t>
      </w:r>
      <w:r>
        <w:rPr>
          <w:rFonts w:ascii="Calibri" w:hAnsi="Calibri"/>
          <w:b/>
        </w:rPr>
        <w:t>uthority type ($A million)</w:t>
      </w:r>
    </w:p>
    <w:tbl>
      <w:tblPr>
        <w:tblStyle w:val="LightShading-Accent1"/>
        <w:tblW w:w="5000" w:type="pct"/>
        <w:tblLayout w:type="fixed"/>
        <w:tblLook w:val="04A0" w:firstRow="1" w:lastRow="0" w:firstColumn="1" w:lastColumn="0" w:noHBand="0" w:noVBand="1"/>
      </w:tblPr>
      <w:tblGrid>
        <w:gridCol w:w="1273"/>
        <w:gridCol w:w="1474"/>
        <w:gridCol w:w="1639"/>
        <w:gridCol w:w="1718"/>
        <w:gridCol w:w="1525"/>
        <w:gridCol w:w="1592"/>
        <w:gridCol w:w="1461"/>
      </w:tblGrid>
      <w:tr w:rsidR="006A0BAC" w:rsidRPr="00E84E0A" w:rsidTr="000E1E7F">
        <w:trPr>
          <w:cnfStyle w:val="100000000000" w:firstRow="1" w:lastRow="0" w:firstColumn="0" w:lastColumn="0" w:oddVBand="0" w:evenVBand="0" w:oddHBand="0" w:evenHBand="0" w:firstRowFirstColumn="0" w:firstRowLastColumn="0" w:lastRowFirstColumn="0" w:lastRowLastColumn="0"/>
          <w:trHeight w:val="474"/>
          <w:tblHeader/>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0E1E7F" w:rsidRDefault="006A0BAC" w:rsidP="002C2EA2">
            <w:pPr>
              <w:rPr>
                <w:rFonts w:ascii="Calibri" w:hAnsi="Calibri" w:cs="Arial"/>
                <w:color w:val="000000"/>
                <w:sz w:val="16"/>
              </w:rPr>
            </w:pPr>
            <w:r w:rsidRPr="000E1E7F">
              <w:rPr>
                <w:rFonts w:ascii="Calibri" w:hAnsi="Calibri" w:cs="Arial"/>
                <w:color w:val="000000"/>
                <w:sz w:val="16"/>
              </w:rPr>
              <w:t>Year</w:t>
            </w:r>
          </w:p>
        </w:tc>
        <w:tc>
          <w:tcPr>
            <w:tcW w:w="690" w:type="pct"/>
            <w:noWrap/>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16"/>
              </w:rPr>
            </w:pPr>
            <w:r w:rsidRPr="000E1E7F">
              <w:rPr>
                <w:rFonts w:ascii="Calibri" w:hAnsi="Calibri" w:cs="Arial"/>
                <w:color w:val="000000"/>
                <w:sz w:val="16"/>
              </w:rPr>
              <w:t>Exploration Licence</w:t>
            </w:r>
          </w:p>
        </w:tc>
        <w:tc>
          <w:tcPr>
            <w:tcW w:w="767" w:type="pct"/>
            <w:noWrap/>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16"/>
              </w:rPr>
            </w:pPr>
            <w:r w:rsidRPr="000E1E7F">
              <w:rPr>
                <w:rFonts w:ascii="Calibri" w:hAnsi="Calibri" w:cs="Arial"/>
                <w:color w:val="000000"/>
                <w:sz w:val="16"/>
              </w:rPr>
              <w:t>Mining Licence</w:t>
            </w:r>
          </w:p>
        </w:tc>
        <w:tc>
          <w:tcPr>
            <w:tcW w:w="804" w:type="pct"/>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16"/>
              </w:rPr>
            </w:pPr>
            <w:r w:rsidRPr="000E1E7F">
              <w:rPr>
                <w:rFonts w:ascii="Calibri" w:hAnsi="Calibri" w:cs="Arial"/>
                <w:color w:val="000000"/>
                <w:sz w:val="16"/>
              </w:rPr>
              <w:t>Prospecting Licence</w:t>
            </w:r>
          </w:p>
        </w:tc>
        <w:tc>
          <w:tcPr>
            <w:tcW w:w="714" w:type="pct"/>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16"/>
              </w:rPr>
            </w:pPr>
            <w:r w:rsidRPr="000E1E7F">
              <w:rPr>
                <w:rFonts w:ascii="Calibri" w:hAnsi="Calibri" w:cs="Arial"/>
                <w:color w:val="000000"/>
                <w:sz w:val="16"/>
              </w:rPr>
              <w:t>Retention Licence</w:t>
            </w:r>
          </w:p>
        </w:tc>
        <w:tc>
          <w:tcPr>
            <w:tcW w:w="745" w:type="pct"/>
            <w:noWrap/>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16"/>
              </w:rPr>
            </w:pPr>
            <w:r w:rsidRPr="000E1E7F">
              <w:rPr>
                <w:rFonts w:ascii="Calibri" w:hAnsi="Calibri" w:cs="Arial"/>
                <w:color w:val="000000"/>
                <w:sz w:val="16"/>
              </w:rPr>
              <w:t>Extractive Industry Work Authority</w:t>
            </w:r>
          </w:p>
        </w:tc>
        <w:tc>
          <w:tcPr>
            <w:tcW w:w="684" w:type="pct"/>
            <w:noWrap/>
            <w:vAlign w:val="center"/>
            <w:hideMark/>
          </w:tcPr>
          <w:p w:rsidR="006A0BAC" w:rsidRPr="000E1E7F" w:rsidRDefault="006A0BAC" w:rsidP="002C2EA2">
            <w:pPr>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sz w:val="16"/>
              </w:rPr>
            </w:pPr>
            <w:r w:rsidRPr="000E1E7F">
              <w:rPr>
                <w:rFonts w:ascii="Calibri" w:hAnsi="Calibri" w:cs="Arial"/>
                <w:bCs w:val="0"/>
                <w:color w:val="000000"/>
                <w:sz w:val="16"/>
              </w:rPr>
              <w:t>Total</w:t>
            </w:r>
          </w:p>
        </w:tc>
      </w:tr>
      <w:tr w:rsidR="006A0BAC" w:rsidRPr="00B4395A"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2006/07</w:t>
            </w:r>
          </w:p>
        </w:tc>
        <w:tc>
          <w:tcPr>
            <w:tcW w:w="690"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2.8</w:t>
            </w:r>
          </w:p>
        </w:tc>
        <w:tc>
          <w:tcPr>
            <w:tcW w:w="767"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73.7</w:t>
            </w:r>
          </w:p>
        </w:tc>
        <w:tc>
          <w:tcPr>
            <w:tcW w:w="804" w:type="pct"/>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N/A</w:t>
            </w:r>
          </w:p>
        </w:tc>
        <w:tc>
          <w:tcPr>
            <w:tcW w:w="71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57.5</w:t>
            </w:r>
          </w:p>
        </w:tc>
        <w:tc>
          <w:tcPr>
            <w:tcW w:w="684"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134.0</w:t>
            </w:r>
          </w:p>
        </w:tc>
      </w:tr>
      <w:tr w:rsidR="006A0BAC" w:rsidRPr="00B4395A" w:rsidTr="002C2EA2">
        <w:trPr>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2007/08</w:t>
            </w:r>
          </w:p>
        </w:tc>
        <w:tc>
          <w:tcPr>
            <w:tcW w:w="690"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3.1</w:t>
            </w:r>
          </w:p>
        </w:tc>
        <w:tc>
          <w:tcPr>
            <w:tcW w:w="767"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75.6</w:t>
            </w:r>
          </w:p>
        </w:tc>
        <w:tc>
          <w:tcPr>
            <w:tcW w:w="804" w:type="pct"/>
            <w:vAlign w:val="center"/>
            <w:hideMark/>
          </w:tcPr>
          <w:p w:rsidR="006A0BAC" w:rsidRDefault="006A0BAC" w:rsidP="002C2EA2">
            <w:pPr>
              <w:jc w:val="center"/>
              <w:cnfStyle w:val="000000000000" w:firstRow="0" w:lastRow="0" w:firstColumn="0" w:lastColumn="0" w:oddVBand="0" w:evenVBand="0" w:oddHBand="0" w:evenHBand="0" w:firstRowFirstColumn="0" w:firstRowLastColumn="0" w:lastRowFirstColumn="0" w:lastRowLastColumn="0"/>
            </w:pPr>
            <w:r w:rsidRPr="008E79D1">
              <w:rPr>
                <w:rFonts w:ascii="Calibri" w:hAnsi="Calibri" w:cs="Arial"/>
                <w:color w:val="000000"/>
              </w:rPr>
              <w:t>N/A</w:t>
            </w:r>
          </w:p>
        </w:tc>
        <w:tc>
          <w:tcPr>
            <w:tcW w:w="714" w:type="pct"/>
            <w:vAlign w:val="center"/>
            <w:hideMark/>
          </w:tcPr>
          <w:p w:rsidR="006A0BAC" w:rsidRDefault="006A0BAC" w:rsidP="002C2EA2">
            <w:pPr>
              <w:jc w:val="center"/>
              <w:cnfStyle w:val="000000000000" w:firstRow="0" w:lastRow="0" w:firstColumn="0" w:lastColumn="0" w:oddVBand="0" w:evenVBand="0" w:oddHBand="0"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58.8</w:t>
            </w:r>
          </w:p>
        </w:tc>
        <w:tc>
          <w:tcPr>
            <w:tcW w:w="684"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137.5</w:t>
            </w:r>
          </w:p>
        </w:tc>
      </w:tr>
      <w:tr w:rsidR="006A0BAC" w:rsidRPr="00B4395A"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2008/09</w:t>
            </w:r>
          </w:p>
        </w:tc>
        <w:tc>
          <w:tcPr>
            <w:tcW w:w="690"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2.0</w:t>
            </w:r>
          </w:p>
        </w:tc>
        <w:tc>
          <w:tcPr>
            <w:tcW w:w="767"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97.1</w:t>
            </w:r>
          </w:p>
        </w:tc>
        <w:tc>
          <w:tcPr>
            <w:tcW w:w="80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8E79D1">
              <w:rPr>
                <w:rFonts w:ascii="Calibri" w:hAnsi="Calibri" w:cs="Arial"/>
                <w:color w:val="000000"/>
              </w:rPr>
              <w:t>N/A</w:t>
            </w:r>
          </w:p>
        </w:tc>
        <w:tc>
          <w:tcPr>
            <w:tcW w:w="71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64.9</w:t>
            </w:r>
          </w:p>
        </w:tc>
        <w:tc>
          <w:tcPr>
            <w:tcW w:w="684"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164.0</w:t>
            </w:r>
          </w:p>
        </w:tc>
      </w:tr>
      <w:tr w:rsidR="006A0BAC" w:rsidRPr="00B4395A" w:rsidTr="002C2EA2">
        <w:trPr>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2009/10</w:t>
            </w:r>
          </w:p>
        </w:tc>
        <w:tc>
          <w:tcPr>
            <w:tcW w:w="690"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2.3</w:t>
            </w:r>
          </w:p>
        </w:tc>
        <w:tc>
          <w:tcPr>
            <w:tcW w:w="767"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103.7</w:t>
            </w:r>
          </w:p>
        </w:tc>
        <w:tc>
          <w:tcPr>
            <w:tcW w:w="804" w:type="pct"/>
            <w:vAlign w:val="center"/>
            <w:hideMark/>
          </w:tcPr>
          <w:p w:rsidR="006A0BAC" w:rsidRDefault="006A0BAC" w:rsidP="002C2EA2">
            <w:pPr>
              <w:jc w:val="center"/>
              <w:cnfStyle w:val="000000000000" w:firstRow="0" w:lastRow="0" w:firstColumn="0" w:lastColumn="0" w:oddVBand="0" w:evenVBand="0" w:oddHBand="0" w:evenHBand="0" w:firstRowFirstColumn="0" w:firstRowLastColumn="0" w:lastRowFirstColumn="0" w:lastRowLastColumn="0"/>
            </w:pPr>
            <w:r w:rsidRPr="008E79D1">
              <w:rPr>
                <w:rFonts w:ascii="Calibri" w:hAnsi="Calibri" w:cs="Arial"/>
                <w:color w:val="000000"/>
              </w:rPr>
              <w:t>N/A</w:t>
            </w:r>
          </w:p>
        </w:tc>
        <w:tc>
          <w:tcPr>
            <w:tcW w:w="714" w:type="pct"/>
            <w:vAlign w:val="center"/>
            <w:hideMark/>
          </w:tcPr>
          <w:p w:rsidR="006A0BAC" w:rsidRDefault="006A0BAC" w:rsidP="002C2EA2">
            <w:pPr>
              <w:jc w:val="center"/>
              <w:cnfStyle w:val="000000000000" w:firstRow="0" w:lastRow="0" w:firstColumn="0" w:lastColumn="0" w:oddVBand="0" w:evenVBand="0" w:oddHBand="0"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72.3</w:t>
            </w:r>
          </w:p>
        </w:tc>
        <w:tc>
          <w:tcPr>
            <w:tcW w:w="684"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178.3</w:t>
            </w:r>
          </w:p>
        </w:tc>
      </w:tr>
      <w:tr w:rsidR="006A0BAC" w:rsidRPr="00B4395A"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2010/11</w:t>
            </w:r>
          </w:p>
        </w:tc>
        <w:tc>
          <w:tcPr>
            <w:tcW w:w="690"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1.9</w:t>
            </w:r>
          </w:p>
        </w:tc>
        <w:tc>
          <w:tcPr>
            <w:tcW w:w="767"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122.1</w:t>
            </w:r>
          </w:p>
        </w:tc>
        <w:tc>
          <w:tcPr>
            <w:tcW w:w="80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8E79D1">
              <w:rPr>
                <w:rFonts w:ascii="Calibri" w:hAnsi="Calibri" w:cs="Arial"/>
                <w:color w:val="000000"/>
              </w:rPr>
              <w:t>N/A</w:t>
            </w:r>
          </w:p>
        </w:tc>
        <w:tc>
          <w:tcPr>
            <w:tcW w:w="71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65.0</w:t>
            </w:r>
          </w:p>
        </w:tc>
        <w:tc>
          <w:tcPr>
            <w:tcW w:w="684"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189.0</w:t>
            </w:r>
          </w:p>
        </w:tc>
      </w:tr>
      <w:tr w:rsidR="006A0BAC" w:rsidRPr="00B4395A" w:rsidTr="002C2EA2">
        <w:trPr>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2011/12</w:t>
            </w:r>
          </w:p>
        </w:tc>
        <w:tc>
          <w:tcPr>
            <w:tcW w:w="690"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2.5</w:t>
            </w:r>
          </w:p>
        </w:tc>
        <w:tc>
          <w:tcPr>
            <w:tcW w:w="767"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156.9</w:t>
            </w:r>
          </w:p>
        </w:tc>
        <w:tc>
          <w:tcPr>
            <w:tcW w:w="804" w:type="pct"/>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0</w:t>
            </w:r>
          </w:p>
        </w:tc>
        <w:tc>
          <w:tcPr>
            <w:tcW w:w="714" w:type="pct"/>
            <w:vAlign w:val="center"/>
            <w:hideMark/>
          </w:tcPr>
          <w:p w:rsidR="006A0BAC" w:rsidRDefault="006A0BAC" w:rsidP="002C2EA2">
            <w:pPr>
              <w:jc w:val="center"/>
              <w:cnfStyle w:val="000000000000" w:firstRow="0" w:lastRow="0" w:firstColumn="0" w:lastColumn="0" w:oddVBand="0" w:evenVBand="0" w:oddHBand="0"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80.9</w:t>
            </w:r>
          </w:p>
        </w:tc>
        <w:tc>
          <w:tcPr>
            <w:tcW w:w="684"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240.3</w:t>
            </w:r>
          </w:p>
        </w:tc>
      </w:tr>
      <w:tr w:rsidR="006A0BAC" w:rsidRPr="00B4395A"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2012/13</w:t>
            </w:r>
          </w:p>
        </w:tc>
        <w:tc>
          <w:tcPr>
            <w:tcW w:w="690"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2.4</w:t>
            </w:r>
          </w:p>
        </w:tc>
        <w:tc>
          <w:tcPr>
            <w:tcW w:w="767"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158.3</w:t>
            </w:r>
          </w:p>
        </w:tc>
        <w:tc>
          <w:tcPr>
            <w:tcW w:w="804" w:type="pct"/>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0.025</w:t>
            </w:r>
          </w:p>
        </w:tc>
        <w:tc>
          <w:tcPr>
            <w:tcW w:w="714" w:type="pct"/>
            <w:vAlign w:val="center"/>
            <w:hideMark/>
          </w:tcPr>
          <w:p w:rsidR="006A0BAC" w:rsidRDefault="006A0BAC" w:rsidP="002C2EA2">
            <w:pPr>
              <w:jc w:val="center"/>
              <w:cnfStyle w:val="000000100000" w:firstRow="0" w:lastRow="0" w:firstColumn="0" w:lastColumn="0" w:oddVBand="0" w:evenVBand="0" w:oddHBand="1" w:evenHBand="0" w:firstRowFirstColumn="0" w:firstRowLastColumn="0" w:lastRowFirstColumn="0" w:lastRowLastColumn="0"/>
            </w:pPr>
            <w:r w:rsidRPr="00CE4815">
              <w:rPr>
                <w:rFonts w:ascii="Calibri" w:hAnsi="Calibri" w:cs="Arial"/>
                <w:color w:val="000000"/>
              </w:rPr>
              <w:t>N/A</w:t>
            </w:r>
          </w:p>
        </w:tc>
        <w:tc>
          <w:tcPr>
            <w:tcW w:w="745"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sidRPr="005955E6">
              <w:rPr>
                <w:rFonts w:ascii="Calibri" w:hAnsi="Calibri" w:cs="Arial"/>
                <w:color w:val="000000"/>
              </w:rPr>
              <w:t>81.0</w:t>
            </w:r>
          </w:p>
        </w:tc>
        <w:tc>
          <w:tcPr>
            <w:tcW w:w="684" w:type="pct"/>
            <w:noWrap/>
            <w:vAlign w:val="center"/>
            <w:hideMark/>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241.7</w:t>
            </w:r>
          </w:p>
        </w:tc>
      </w:tr>
      <w:tr w:rsidR="006A0BAC" w:rsidRPr="00B4395A" w:rsidTr="002C2EA2">
        <w:trPr>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hideMark/>
          </w:tcPr>
          <w:p w:rsidR="006A0BAC" w:rsidRPr="002C2EA2" w:rsidRDefault="006A0BAC" w:rsidP="002C2EA2">
            <w:pPr>
              <w:rPr>
                <w:rFonts w:ascii="Calibri" w:hAnsi="Calibri" w:cs="Arial"/>
                <w:b w:val="0"/>
                <w:color w:val="000000"/>
              </w:rPr>
            </w:pPr>
            <w:r w:rsidRPr="002C2EA2">
              <w:rPr>
                <w:rFonts w:ascii="Calibri" w:hAnsi="Calibri" w:cs="Arial"/>
                <w:b w:val="0"/>
                <w:color w:val="000000"/>
              </w:rPr>
              <w:t>2013/14</w:t>
            </w:r>
          </w:p>
        </w:tc>
        <w:tc>
          <w:tcPr>
            <w:tcW w:w="690"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2.1</w:t>
            </w:r>
          </w:p>
        </w:tc>
        <w:tc>
          <w:tcPr>
            <w:tcW w:w="767"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183.4</w:t>
            </w:r>
          </w:p>
        </w:tc>
        <w:tc>
          <w:tcPr>
            <w:tcW w:w="804" w:type="pct"/>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0.091</w:t>
            </w:r>
          </w:p>
        </w:tc>
        <w:tc>
          <w:tcPr>
            <w:tcW w:w="714" w:type="pct"/>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0.010</w:t>
            </w:r>
          </w:p>
        </w:tc>
        <w:tc>
          <w:tcPr>
            <w:tcW w:w="745"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rPr>
            </w:pPr>
            <w:r w:rsidRPr="005955E6">
              <w:rPr>
                <w:rFonts w:ascii="Calibri" w:hAnsi="Calibri" w:cs="Arial"/>
                <w:color w:val="000000"/>
              </w:rPr>
              <w:t>90.9</w:t>
            </w:r>
          </w:p>
        </w:tc>
        <w:tc>
          <w:tcPr>
            <w:tcW w:w="684" w:type="pct"/>
            <w:noWrap/>
            <w:vAlign w:val="center"/>
            <w:hideMark/>
          </w:tcPr>
          <w:p w:rsidR="006A0BAC" w:rsidRPr="005955E6" w:rsidRDefault="006A0BAC" w:rsidP="002C2EA2">
            <w:pPr>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rPr>
            </w:pPr>
            <w:r w:rsidRPr="005955E6">
              <w:rPr>
                <w:rFonts w:ascii="Calibri" w:hAnsi="Calibri" w:cs="Arial"/>
                <w:b/>
                <w:bCs/>
                <w:color w:val="000000"/>
              </w:rPr>
              <w:t>276.5</w:t>
            </w:r>
          </w:p>
        </w:tc>
      </w:tr>
      <w:tr w:rsidR="006A0BAC" w:rsidRPr="00B4395A" w:rsidTr="002C2EA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6" w:type="pct"/>
            <w:noWrap/>
            <w:vAlign w:val="center"/>
          </w:tcPr>
          <w:p w:rsidR="006A0BAC" w:rsidRPr="002C2EA2" w:rsidRDefault="006A0BAC" w:rsidP="002C2EA2">
            <w:pPr>
              <w:rPr>
                <w:rFonts w:ascii="Calibri" w:hAnsi="Calibri" w:cs="Arial"/>
                <w:b w:val="0"/>
                <w:color w:val="000000"/>
              </w:rPr>
            </w:pPr>
            <w:r w:rsidRPr="002C2EA2">
              <w:rPr>
                <w:rFonts w:ascii="Calibri" w:hAnsi="Calibri" w:cs="Arial"/>
                <w:b w:val="0"/>
                <w:color w:val="000000"/>
              </w:rPr>
              <w:t>2014/15</w:t>
            </w:r>
          </w:p>
        </w:tc>
        <w:tc>
          <w:tcPr>
            <w:tcW w:w="690" w:type="pct"/>
            <w:noWrap/>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1.9</w:t>
            </w:r>
          </w:p>
        </w:tc>
        <w:tc>
          <w:tcPr>
            <w:tcW w:w="767" w:type="pct"/>
            <w:noWrap/>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153.0</w:t>
            </w:r>
          </w:p>
        </w:tc>
        <w:tc>
          <w:tcPr>
            <w:tcW w:w="804" w:type="pct"/>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0.138</w:t>
            </w:r>
          </w:p>
        </w:tc>
        <w:tc>
          <w:tcPr>
            <w:tcW w:w="714" w:type="pct"/>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0.050</w:t>
            </w:r>
          </w:p>
        </w:tc>
        <w:tc>
          <w:tcPr>
            <w:tcW w:w="745" w:type="pct"/>
            <w:noWrap/>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rPr>
            </w:pPr>
            <w:r>
              <w:rPr>
                <w:rFonts w:ascii="Calibri" w:hAnsi="Calibri" w:cs="Arial"/>
                <w:color w:val="000000"/>
              </w:rPr>
              <w:t>85.8</w:t>
            </w:r>
          </w:p>
        </w:tc>
        <w:tc>
          <w:tcPr>
            <w:tcW w:w="684" w:type="pct"/>
            <w:noWrap/>
            <w:vAlign w:val="center"/>
          </w:tcPr>
          <w:p w:rsidR="006A0BAC" w:rsidRPr="005955E6" w:rsidRDefault="006A0BAC" w:rsidP="002C2EA2">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Pr>
                <w:rFonts w:ascii="Calibri" w:hAnsi="Calibri" w:cs="Arial"/>
                <w:b/>
                <w:bCs/>
                <w:color w:val="000000"/>
              </w:rPr>
              <w:t>241.0</w:t>
            </w:r>
          </w:p>
        </w:tc>
      </w:tr>
    </w:tbl>
    <w:p w:rsidR="000E1E7F" w:rsidRDefault="006A0BAC" w:rsidP="000E1E7F">
      <w:pPr>
        <w:spacing w:before="0" w:after="0"/>
        <w:rPr>
          <w:rFonts w:ascii="Calibri" w:hAnsi="Calibri"/>
          <w:sz w:val="16"/>
          <w:szCs w:val="16"/>
        </w:rPr>
      </w:pPr>
      <w:r w:rsidRPr="00643583">
        <w:rPr>
          <w:rFonts w:ascii="Calibri" w:hAnsi="Calibri"/>
          <w:sz w:val="16"/>
          <w:szCs w:val="16"/>
        </w:rPr>
        <w:t>Source: DEDJTR</w:t>
      </w:r>
    </w:p>
    <w:p w:rsidR="006A0BAC" w:rsidRPr="0020329B" w:rsidRDefault="006A0BAC" w:rsidP="000E1E7F">
      <w:pPr>
        <w:spacing w:before="0" w:after="0"/>
        <w:rPr>
          <w:rFonts w:ascii="Calibri" w:hAnsi="Calibri"/>
          <w:highlight w:val="yellow"/>
        </w:rPr>
      </w:pPr>
      <w:r>
        <w:rPr>
          <w:rFonts w:ascii="Calibri" w:hAnsi="Calibri"/>
          <w:b/>
        </w:rPr>
        <w:lastRenderedPageBreak/>
        <w:t>Graph</w:t>
      </w:r>
      <w:r w:rsidRPr="0020329B">
        <w:rPr>
          <w:rFonts w:ascii="Calibri" w:hAnsi="Calibri"/>
          <w:b/>
        </w:rPr>
        <w:t xml:space="preserve"> </w:t>
      </w:r>
      <w:r w:rsidR="00A51F39">
        <w:rPr>
          <w:rFonts w:ascii="Calibri" w:hAnsi="Calibri"/>
          <w:b/>
        </w:rPr>
        <w:t>4</w:t>
      </w:r>
      <w:r w:rsidRPr="0020329B">
        <w:rPr>
          <w:rFonts w:ascii="Calibri" w:hAnsi="Calibri"/>
          <w:b/>
        </w:rPr>
        <w:t>.3</w:t>
      </w:r>
      <w:r w:rsidR="006774AA">
        <w:rPr>
          <w:rFonts w:ascii="Calibri" w:hAnsi="Calibri"/>
          <w:b/>
        </w:rPr>
        <w:t xml:space="preserve"> </w:t>
      </w:r>
      <w:r w:rsidRPr="0020329B">
        <w:rPr>
          <w:rFonts w:ascii="Calibri" w:hAnsi="Calibri"/>
          <w:b/>
        </w:rPr>
        <w:t>Value of rehabilitation bonds by aut</w:t>
      </w:r>
      <w:r>
        <w:rPr>
          <w:rFonts w:ascii="Calibri" w:hAnsi="Calibri"/>
          <w:b/>
        </w:rPr>
        <w:t xml:space="preserve">hority type ($A million) </w:t>
      </w:r>
      <w:r w:rsidR="00746274">
        <w:rPr>
          <w:rFonts w:ascii="Calibri" w:hAnsi="Calibri"/>
          <w:b/>
        </w:rPr>
        <w:t xml:space="preserve">2006/7 to </w:t>
      </w:r>
      <w:r>
        <w:rPr>
          <w:rFonts w:ascii="Calibri" w:hAnsi="Calibri"/>
          <w:b/>
        </w:rPr>
        <w:t>2014/15</w:t>
      </w:r>
      <w:r>
        <w:rPr>
          <w:noProof/>
        </w:rPr>
        <w:drawing>
          <wp:inline distT="0" distB="0" distL="0" distR="0" wp14:anchorId="2F79760A" wp14:editId="61B239B8">
            <wp:extent cx="6645600" cy="2674800"/>
            <wp:effectExtent l="0" t="0" r="22225" b="11430"/>
            <wp:docPr id="21" name="Chart 21" descr="This graph shows the total value of rehabilitation bonds held by ERR in relation to each type of authority.&#10;&#10;The total value of bonds held dropped as compared to the previous financial year in line with the reduction in the number of authorities valid.&#10;&#10;Mining licences and extractive industry work authorities continued to constitute the majority of rehabilitation bonds held by ERR." title="Value of rehabilitation bonds by authority type in Australian Dollars from 2006/7 to 2014/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429E1" w:rsidRDefault="006A0BAC" w:rsidP="006A0BAC">
      <w:pPr>
        <w:pStyle w:val="bodycopy"/>
        <w:spacing w:before="0" w:after="0"/>
      </w:pPr>
      <w:r w:rsidRPr="00C82432">
        <w:rPr>
          <w:rFonts w:ascii="Calibri" w:hAnsi="Calibri"/>
          <w:sz w:val="16"/>
        </w:rPr>
        <w:t>Source: DEDJTR</w:t>
      </w:r>
      <w:r>
        <w:t xml:space="preserve"> </w:t>
      </w:r>
    </w:p>
    <w:p w:rsidR="006A0BAC" w:rsidRPr="006A0BAC" w:rsidRDefault="006A0BAC" w:rsidP="006A0BAC">
      <w:pPr>
        <w:spacing w:before="0" w:after="0" w:line="240" w:lineRule="auto"/>
        <w:rPr>
          <w:rFonts w:ascii="Calibri" w:eastAsia="Times New Roman" w:hAnsi="Calibri" w:cs="Mangal"/>
          <w:b/>
          <w:szCs w:val="24"/>
        </w:rPr>
      </w:pPr>
      <w:r w:rsidRPr="006A0BAC">
        <w:rPr>
          <w:rFonts w:ascii="Calibri" w:eastAsia="Times New Roman" w:hAnsi="Calibri" w:cs="Mangal"/>
          <w:b/>
          <w:szCs w:val="24"/>
        </w:rPr>
        <w:t xml:space="preserve">Table </w:t>
      </w:r>
      <w:r w:rsidR="00A51F39">
        <w:rPr>
          <w:rFonts w:ascii="Calibri" w:eastAsia="Times New Roman" w:hAnsi="Calibri" w:cs="Mangal"/>
          <w:b/>
          <w:szCs w:val="24"/>
        </w:rPr>
        <w:t>4</w:t>
      </w:r>
      <w:r w:rsidRPr="006A0BAC">
        <w:rPr>
          <w:rFonts w:ascii="Calibri" w:eastAsia="Times New Roman" w:hAnsi="Calibri" w:cs="Mangal"/>
          <w:b/>
          <w:szCs w:val="24"/>
        </w:rPr>
        <w:t>.4 Rehabilitation bond reviews over time</w:t>
      </w:r>
    </w:p>
    <w:tbl>
      <w:tblPr>
        <w:tblStyle w:val="LightShading-Accent1"/>
        <w:tblW w:w="5000" w:type="pct"/>
        <w:tblBorders>
          <w:right w:val="single" w:sz="8" w:space="0" w:color="4F81BD" w:themeColor="accent1"/>
          <w:insideH w:val="single" w:sz="8" w:space="0" w:color="4F81BD" w:themeColor="accent1"/>
        </w:tblBorders>
        <w:tblLook w:val="04A0" w:firstRow="1" w:lastRow="0" w:firstColumn="1" w:lastColumn="0" w:noHBand="0" w:noVBand="1"/>
      </w:tblPr>
      <w:tblGrid>
        <w:gridCol w:w="939"/>
        <w:gridCol w:w="2611"/>
        <w:gridCol w:w="1763"/>
        <w:gridCol w:w="2775"/>
        <w:gridCol w:w="2594"/>
      </w:tblGrid>
      <w:tr w:rsidR="00B34BA7" w:rsidRPr="006A0BAC" w:rsidTr="005D2362">
        <w:trPr>
          <w:cnfStyle w:val="100000000000" w:firstRow="1" w:lastRow="0" w:firstColumn="0" w:lastColumn="0" w:oddVBand="0" w:evenVBand="0" w:oddHBand="0" w:evenHBand="0" w:firstRowFirstColumn="0" w:firstRowLastColumn="0" w:lastRowFirstColumn="0" w:lastRowLastColumn="0"/>
          <w:trHeight w:val="368"/>
          <w:tblHeader/>
        </w:trPr>
        <w:tc>
          <w:tcPr>
            <w:cnfStyle w:val="001000000000" w:firstRow="0" w:lastRow="0" w:firstColumn="1" w:lastColumn="0" w:oddVBand="0" w:evenVBand="0" w:oddHBand="0" w:evenHBand="0" w:firstRowFirstColumn="0" w:firstRowLastColumn="0" w:lastRowFirstColumn="0" w:lastRowLastColumn="0"/>
            <w:tcW w:w="440" w:type="pct"/>
            <w:tcBorders>
              <w:top w:val="none" w:sz="0" w:space="0" w:color="auto"/>
              <w:left w:val="none" w:sz="0" w:space="0" w:color="auto"/>
              <w:bottom w:val="none" w:sz="0" w:space="0" w:color="auto"/>
              <w:right w:val="none" w:sz="0" w:space="0" w:color="auto"/>
            </w:tcBorders>
            <w:noWrap/>
            <w:vAlign w:val="center"/>
            <w:hideMark/>
          </w:tcPr>
          <w:p w:rsidR="00B34BA7" w:rsidRPr="001D266D" w:rsidRDefault="00B34BA7" w:rsidP="005D2362">
            <w:pPr>
              <w:jc w:val="center"/>
              <w:rPr>
                <w:rFonts w:ascii="Calibri" w:eastAsia="Times New Roman" w:hAnsi="Calibri" w:cs="Arial"/>
                <w:bCs w:val="0"/>
                <w:color w:val="000000"/>
                <w:szCs w:val="24"/>
              </w:rPr>
            </w:pPr>
            <w:r w:rsidRPr="001D266D">
              <w:rPr>
                <w:rFonts w:ascii="Calibri" w:eastAsia="Times New Roman" w:hAnsi="Calibri" w:cs="Arial"/>
                <w:bCs w:val="0"/>
                <w:color w:val="000000"/>
                <w:szCs w:val="24"/>
              </w:rPr>
              <w:t>Year</w:t>
            </w:r>
          </w:p>
        </w:tc>
        <w:tc>
          <w:tcPr>
            <w:tcW w:w="1222" w:type="pct"/>
            <w:tcBorders>
              <w:top w:val="none" w:sz="0" w:space="0" w:color="auto"/>
              <w:left w:val="none" w:sz="0" w:space="0" w:color="auto"/>
              <w:bottom w:val="none" w:sz="0" w:space="0" w:color="auto"/>
              <w:right w:val="none" w:sz="0" w:space="0" w:color="auto"/>
            </w:tcBorders>
            <w:vAlign w:val="center"/>
            <w:hideMark/>
          </w:tcPr>
          <w:p w:rsidR="00B34BA7" w:rsidRPr="001D266D" w:rsidRDefault="00B34BA7" w:rsidP="005D236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szCs w:val="24"/>
              </w:rPr>
            </w:pPr>
            <w:r w:rsidRPr="001D266D">
              <w:rPr>
                <w:rFonts w:ascii="Calibri" w:eastAsia="Times New Roman" w:hAnsi="Calibri" w:cs="Arial"/>
                <w:bCs w:val="0"/>
                <w:color w:val="000000"/>
                <w:szCs w:val="24"/>
              </w:rPr>
              <w:t>Number of Bonds Reviewed</w:t>
            </w:r>
          </w:p>
        </w:tc>
        <w:tc>
          <w:tcPr>
            <w:tcW w:w="825" w:type="pct"/>
            <w:tcBorders>
              <w:top w:val="none" w:sz="0" w:space="0" w:color="auto"/>
              <w:left w:val="none" w:sz="0" w:space="0" w:color="auto"/>
              <w:bottom w:val="none" w:sz="0" w:space="0" w:color="auto"/>
              <w:right w:val="none" w:sz="0" w:space="0" w:color="auto"/>
            </w:tcBorders>
            <w:noWrap/>
            <w:vAlign w:val="center"/>
            <w:hideMark/>
          </w:tcPr>
          <w:p w:rsidR="00B34BA7" w:rsidRPr="001D266D" w:rsidRDefault="00B34BA7" w:rsidP="005D236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color w:val="000000"/>
                <w:szCs w:val="24"/>
              </w:rPr>
            </w:pPr>
            <w:r w:rsidRPr="001D266D">
              <w:rPr>
                <w:rFonts w:ascii="Calibri" w:eastAsia="Times New Roman" w:hAnsi="Calibri" w:cs="Arial"/>
                <w:bCs w:val="0"/>
                <w:color w:val="000000"/>
                <w:szCs w:val="24"/>
              </w:rPr>
              <w:t>Result of Review</w:t>
            </w:r>
            <w:r>
              <w:rPr>
                <w:rFonts w:ascii="Calibri" w:eastAsia="Times New Roman" w:hAnsi="Calibri" w:cs="Arial"/>
                <w:bCs w:val="0"/>
                <w:color w:val="000000"/>
                <w:szCs w:val="24"/>
              </w:rPr>
              <w:t xml:space="preserve"> - </w:t>
            </w:r>
            <w:r>
              <w:rPr>
                <w:rFonts w:ascii="Calibri" w:eastAsia="Times New Roman" w:hAnsi="Calibri" w:cs="Arial"/>
                <w:bCs w:val="0"/>
                <w:color w:val="000000"/>
                <w:szCs w:val="24"/>
              </w:rPr>
              <w:br/>
              <w:t>Increase</w:t>
            </w:r>
          </w:p>
        </w:tc>
        <w:tc>
          <w:tcPr>
            <w:tcW w:w="1299" w:type="pct"/>
            <w:tcBorders>
              <w:top w:val="none" w:sz="0" w:space="0" w:color="auto"/>
              <w:left w:val="none" w:sz="0" w:space="0" w:color="auto"/>
              <w:bottom w:val="none" w:sz="0" w:space="0" w:color="auto"/>
              <w:right w:val="none" w:sz="0" w:space="0" w:color="auto"/>
            </w:tcBorders>
            <w:vAlign w:val="center"/>
          </w:tcPr>
          <w:p w:rsidR="00B34BA7" w:rsidRPr="00B34BA7" w:rsidRDefault="00B34BA7" w:rsidP="005D236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Cs w:val="24"/>
              </w:rPr>
            </w:pPr>
            <w:r w:rsidRPr="00B34BA7">
              <w:rPr>
                <w:rFonts w:ascii="Calibri" w:eastAsia="Times New Roman" w:hAnsi="Calibri" w:cs="Arial"/>
                <w:color w:val="000000"/>
                <w:szCs w:val="24"/>
              </w:rPr>
              <w:t>Result of Review – No Change</w:t>
            </w:r>
          </w:p>
        </w:tc>
        <w:tc>
          <w:tcPr>
            <w:tcW w:w="1214" w:type="pct"/>
            <w:tcBorders>
              <w:top w:val="none" w:sz="0" w:space="0" w:color="auto"/>
              <w:left w:val="none" w:sz="0" w:space="0" w:color="auto"/>
              <w:bottom w:val="none" w:sz="0" w:space="0" w:color="auto"/>
            </w:tcBorders>
            <w:vAlign w:val="center"/>
          </w:tcPr>
          <w:p w:rsidR="00B34BA7" w:rsidRPr="001D266D" w:rsidRDefault="00B34BA7" w:rsidP="005D236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Cs w:val="0"/>
                <w:color w:val="000000"/>
                <w:szCs w:val="24"/>
              </w:rPr>
            </w:pPr>
            <w:r>
              <w:rPr>
                <w:rFonts w:ascii="Calibri" w:eastAsia="Times New Roman" w:hAnsi="Calibri" w:cs="Arial"/>
                <w:bCs w:val="0"/>
                <w:color w:val="000000"/>
                <w:szCs w:val="24"/>
              </w:rPr>
              <w:t>Result of Review - Decrease</w:t>
            </w:r>
          </w:p>
        </w:tc>
      </w:tr>
      <w:tr w:rsidR="00B34BA7" w:rsidRPr="006A0BAC" w:rsidTr="005D236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40" w:type="pct"/>
            <w:tcBorders>
              <w:left w:val="none" w:sz="0" w:space="0" w:color="auto"/>
              <w:bottom w:val="nil"/>
              <w:right w:val="none" w:sz="0" w:space="0" w:color="auto"/>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2006/07</w:t>
            </w:r>
          </w:p>
        </w:tc>
        <w:tc>
          <w:tcPr>
            <w:tcW w:w="1222" w:type="pct"/>
            <w:tcBorders>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258</w:t>
            </w:r>
          </w:p>
        </w:tc>
        <w:tc>
          <w:tcPr>
            <w:tcW w:w="825" w:type="pct"/>
            <w:tcBorders>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65</w:t>
            </w:r>
          </w:p>
        </w:tc>
        <w:tc>
          <w:tcPr>
            <w:tcW w:w="1299" w:type="pct"/>
            <w:tcBorders>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190</w:t>
            </w:r>
          </w:p>
        </w:tc>
        <w:tc>
          <w:tcPr>
            <w:tcW w:w="1214" w:type="pct"/>
            <w:tcBorders>
              <w:left w:val="none" w:sz="0" w:space="0" w:color="auto"/>
              <w:bottom w:val="nil"/>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3</w:t>
            </w:r>
          </w:p>
        </w:tc>
      </w:tr>
      <w:tr w:rsidR="00B34BA7" w:rsidRPr="006A0BAC" w:rsidTr="005D2362">
        <w:trPr>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bottom w:val="nil"/>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2007/08</w:t>
            </w:r>
          </w:p>
        </w:tc>
        <w:tc>
          <w:tcPr>
            <w:tcW w:w="1222"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402</w:t>
            </w:r>
          </w:p>
        </w:tc>
        <w:tc>
          <w:tcPr>
            <w:tcW w:w="825"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58</w:t>
            </w:r>
          </w:p>
        </w:tc>
        <w:tc>
          <w:tcPr>
            <w:tcW w:w="1299"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335</w:t>
            </w:r>
          </w:p>
        </w:tc>
        <w:tc>
          <w:tcPr>
            <w:tcW w:w="1214" w:type="pct"/>
            <w:tcBorders>
              <w:top w:val="nil"/>
              <w:bottom w:val="nil"/>
              <w:right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9</w:t>
            </w:r>
          </w:p>
        </w:tc>
      </w:tr>
      <w:tr w:rsidR="00B34BA7" w:rsidRPr="006A0BAC" w:rsidTr="005D236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left w:val="none" w:sz="0" w:space="0" w:color="auto"/>
              <w:bottom w:val="nil"/>
              <w:right w:val="none" w:sz="0" w:space="0" w:color="auto"/>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2008/09</w:t>
            </w:r>
          </w:p>
        </w:tc>
        <w:tc>
          <w:tcPr>
            <w:tcW w:w="1222"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382</w:t>
            </w:r>
          </w:p>
        </w:tc>
        <w:tc>
          <w:tcPr>
            <w:tcW w:w="825"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49</w:t>
            </w:r>
          </w:p>
        </w:tc>
        <w:tc>
          <w:tcPr>
            <w:tcW w:w="1299"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323</w:t>
            </w:r>
          </w:p>
        </w:tc>
        <w:tc>
          <w:tcPr>
            <w:tcW w:w="1214" w:type="pct"/>
            <w:tcBorders>
              <w:top w:val="nil"/>
              <w:left w:val="none" w:sz="0" w:space="0" w:color="auto"/>
              <w:bottom w:val="nil"/>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10</w:t>
            </w:r>
          </w:p>
        </w:tc>
      </w:tr>
      <w:tr w:rsidR="00B34BA7" w:rsidRPr="006A0BAC" w:rsidTr="005D2362">
        <w:trPr>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bottom w:val="nil"/>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2009/10</w:t>
            </w:r>
          </w:p>
        </w:tc>
        <w:tc>
          <w:tcPr>
            <w:tcW w:w="1222"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413</w:t>
            </w:r>
          </w:p>
        </w:tc>
        <w:tc>
          <w:tcPr>
            <w:tcW w:w="825"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55</w:t>
            </w:r>
          </w:p>
        </w:tc>
        <w:tc>
          <w:tcPr>
            <w:tcW w:w="1299"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344</w:t>
            </w:r>
          </w:p>
        </w:tc>
        <w:tc>
          <w:tcPr>
            <w:tcW w:w="1214" w:type="pct"/>
            <w:tcBorders>
              <w:top w:val="nil"/>
              <w:bottom w:val="nil"/>
              <w:right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themeColor="text1"/>
                <w:szCs w:val="24"/>
              </w:rPr>
            </w:pPr>
            <w:r w:rsidRPr="00ED6A9D">
              <w:rPr>
                <w:rFonts w:ascii="Calibri" w:eastAsia="Times New Roman" w:hAnsi="Calibri" w:cs="Arial"/>
                <w:color w:val="000000" w:themeColor="text1"/>
                <w:szCs w:val="24"/>
              </w:rPr>
              <w:t>14</w:t>
            </w:r>
          </w:p>
        </w:tc>
      </w:tr>
      <w:tr w:rsidR="00B34BA7" w:rsidRPr="006A0BAC" w:rsidTr="005D236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left w:val="none" w:sz="0" w:space="0" w:color="auto"/>
              <w:bottom w:val="nil"/>
              <w:right w:val="none" w:sz="0" w:space="0" w:color="auto"/>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2010/11</w:t>
            </w:r>
          </w:p>
        </w:tc>
        <w:tc>
          <w:tcPr>
            <w:tcW w:w="1222"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185</w:t>
            </w:r>
          </w:p>
        </w:tc>
        <w:tc>
          <w:tcPr>
            <w:tcW w:w="825"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15</w:t>
            </w:r>
          </w:p>
        </w:tc>
        <w:tc>
          <w:tcPr>
            <w:tcW w:w="1299"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166</w:t>
            </w:r>
          </w:p>
        </w:tc>
        <w:tc>
          <w:tcPr>
            <w:tcW w:w="1214" w:type="pct"/>
            <w:tcBorders>
              <w:top w:val="nil"/>
              <w:left w:val="none" w:sz="0" w:space="0" w:color="auto"/>
              <w:bottom w:val="nil"/>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4</w:t>
            </w:r>
          </w:p>
        </w:tc>
      </w:tr>
      <w:tr w:rsidR="00B34BA7" w:rsidRPr="006A0BAC" w:rsidTr="005D2362">
        <w:trPr>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bottom w:val="nil"/>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2011/12</w:t>
            </w:r>
          </w:p>
        </w:tc>
        <w:tc>
          <w:tcPr>
            <w:tcW w:w="1222"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216</w:t>
            </w:r>
          </w:p>
        </w:tc>
        <w:tc>
          <w:tcPr>
            <w:tcW w:w="825"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19</w:t>
            </w:r>
          </w:p>
        </w:tc>
        <w:tc>
          <w:tcPr>
            <w:tcW w:w="1299"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193</w:t>
            </w:r>
          </w:p>
        </w:tc>
        <w:tc>
          <w:tcPr>
            <w:tcW w:w="1214" w:type="pct"/>
            <w:tcBorders>
              <w:top w:val="nil"/>
              <w:bottom w:val="nil"/>
              <w:right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4</w:t>
            </w:r>
          </w:p>
        </w:tc>
      </w:tr>
      <w:tr w:rsidR="00B34BA7" w:rsidRPr="006A0BAC" w:rsidTr="005D236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left w:val="none" w:sz="0" w:space="0" w:color="auto"/>
              <w:bottom w:val="nil"/>
              <w:right w:val="none" w:sz="0" w:space="0" w:color="auto"/>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2012/13</w:t>
            </w:r>
          </w:p>
        </w:tc>
        <w:tc>
          <w:tcPr>
            <w:tcW w:w="1222"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258</w:t>
            </w:r>
          </w:p>
        </w:tc>
        <w:tc>
          <w:tcPr>
            <w:tcW w:w="825"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37</w:t>
            </w:r>
          </w:p>
        </w:tc>
        <w:tc>
          <w:tcPr>
            <w:tcW w:w="1299" w:type="pct"/>
            <w:tcBorders>
              <w:top w:val="nil"/>
              <w:left w:val="none" w:sz="0" w:space="0" w:color="auto"/>
              <w:bottom w:val="nil"/>
              <w:right w:val="none" w:sz="0" w:space="0" w:color="auto"/>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220</w:t>
            </w:r>
          </w:p>
        </w:tc>
        <w:tc>
          <w:tcPr>
            <w:tcW w:w="1214" w:type="pct"/>
            <w:tcBorders>
              <w:top w:val="nil"/>
              <w:left w:val="none" w:sz="0" w:space="0" w:color="auto"/>
              <w:bottom w:val="nil"/>
            </w:tcBorders>
            <w:noWrap/>
            <w:hideMark/>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w:t>
            </w:r>
          </w:p>
        </w:tc>
      </w:tr>
      <w:tr w:rsidR="00B34BA7" w:rsidRPr="006A0BAC" w:rsidTr="005D2362">
        <w:trPr>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bottom w:val="nil"/>
            </w:tcBorders>
            <w:noWrap/>
            <w:hideMark/>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2013/14</w:t>
            </w:r>
          </w:p>
        </w:tc>
        <w:tc>
          <w:tcPr>
            <w:tcW w:w="1222"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214</w:t>
            </w:r>
          </w:p>
        </w:tc>
        <w:tc>
          <w:tcPr>
            <w:tcW w:w="825"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66</w:t>
            </w:r>
          </w:p>
        </w:tc>
        <w:tc>
          <w:tcPr>
            <w:tcW w:w="1299" w:type="pct"/>
            <w:tcBorders>
              <w:top w:val="nil"/>
              <w:bottom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139</w:t>
            </w:r>
          </w:p>
        </w:tc>
        <w:tc>
          <w:tcPr>
            <w:tcW w:w="1214" w:type="pct"/>
            <w:tcBorders>
              <w:top w:val="nil"/>
              <w:bottom w:val="nil"/>
              <w:right w:val="nil"/>
            </w:tcBorders>
            <w:noWrap/>
            <w:hideMark/>
          </w:tcPr>
          <w:p w:rsidR="001D266D" w:rsidRPr="00ED6A9D" w:rsidRDefault="001D266D" w:rsidP="006A0B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Cs/>
                <w:color w:val="000000" w:themeColor="text1"/>
                <w:szCs w:val="24"/>
              </w:rPr>
            </w:pPr>
            <w:r w:rsidRPr="00ED6A9D">
              <w:rPr>
                <w:rFonts w:ascii="Calibri" w:eastAsia="Times New Roman" w:hAnsi="Calibri" w:cs="Arial"/>
                <w:bCs/>
                <w:color w:val="000000" w:themeColor="text1"/>
                <w:szCs w:val="24"/>
              </w:rPr>
              <w:t>9</w:t>
            </w:r>
          </w:p>
        </w:tc>
      </w:tr>
      <w:tr w:rsidR="00B34BA7" w:rsidRPr="006A0BAC" w:rsidTr="005D236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40" w:type="pct"/>
            <w:tcBorders>
              <w:top w:val="nil"/>
              <w:left w:val="none" w:sz="0" w:space="0" w:color="auto"/>
              <w:right w:val="none" w:sz="0" w:space="0" w:color="auto"/>
            </w:tcBorders>
            <w:noWrap/>
          </w:tcPr>
          <w:p w:rsidR="001D266D" w:rsidRPr="005D2362" w:rsidRDefault="001D266D" w:rsidP="006A0BAC">
            <w:pPr>
              <w:jc w:val="center"/>
              <w:rPr>
                <w:rFonts w:ascii="Calibri" w:eastAsia="Times New Roman" w:hAnsi="Calibri" w:cs="Arial"/>
                <w:b w:val="0"/>
                <w:color w:val="000000"/>
                <w:szCs w:val="24"/>
              </w:rPr>
            </w:pPr>
            <w:r w:rsidRPr="005D2362">
              <w:rPr>
                <w:rFonts w:ascii="Calibri" w:eastAsia="Times New Roman" w:hAnsi="Calibri" w:cs="Arial"/>
                <w:b w:val="0"/>
                <w:color w:val="000000"/>
                <w:szCs w:val="24"/>
              </w:rPr>
              <w:t>2014/15</w:t>
            </w:r>
          </w:p>
        </w:tc>
        <w:tc>
          <w:tcPr>
            <w:tcW w:w="1222" w:type="pct"/>
            <w:tcBorders>
              <w:top w:val="nil"/>
              <w:left w:val="none" w:sz="0" w:space="0" w:color="auto"/>
              <w:right w:val="none" w:sz="0" w:space="0" w:color="auto"/>
            </w:tcBorders>
            <w:noWrap/>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106</w:t>
            </w:r>
          </w:p>
        </w:tc>
        <w:tc>
          <w:tcPr>
            <w:tcW w:w="825" w:type="pct"/>
            <w:tcBorders>
              <w:top w:val="nil"/>
              <w:left w:val="none" w:sz="0" w:space="0" w:color="auto"/>
              <w:right w:val="none" w:sz="0" w:space="0" w:color="auto"/>
            </w:tcBorders>
            <w:noWrap/>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54</w:t>
            </w:r>
          </w:p>
        </w:tc>
        <w:tc>
          <w:tcPr>
            <w:tcW w:w="1299" w:type="pct"/>
            <w:tcBorders>
              <w:top w:val="nil"/>
              <w:left w:val="none" w:sz="0" w:space="0" w:color="auto"/>
              <w:right w:val="none" w:sz="0" w:space="0" w:color="auto"/>
            </w:tcBorders>
            <w:noWrap/>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10</w:t>
            </w:r>
          </w:p>
        </w:tc>
        <w:tc>
          <w:tcPr>
            <w:tcW w:w="1214" w:type="pct"/>
            <w:tcBorders>
              <w:top w:val="nil"/>
              <w:left w:val="none" w:sz="0" w:space="0" w:color="auto"/>
            </w:tcBorders>
            <w:noWrap/>
          </w:tcPr>
          <w:p w:rsidR="001D266D" w:rsidRPr="00ED6A9D" w:rsidRDefault="001D266D" w:rsidP="006A0BAC">
            <w:pPr>
              <w:jc w:val="center"/>
              <w:cnfStyle w:val="000000100000" w:firstRow="0" w:lastRow="0" w:firstColumn="0" w:lastColumn="0" w:oddVBand="0" w:evenVBand="0" w:oddHBand="1" w:evenHBand="0" w:firstRowFirstColumn="0" w:firstRowLastColumn="0" w:lastRowFirstColumn="0" w:lastRowLastColumn="0"/>
              <w:rPr>
                <w:rFonts w:eastAsia="Times New Roman" w:cs="Mangal"/>
                <w:color w:val="000000" w:themeColor="text1"/>
              </w:rPr>
            </w:pPr>
            <w:r w:rsidRPr="00ED6A9D">
              <w:rPr>
                <w:rFonts w:eastAsia="Times New Roman" w:cs="Mangal"/>
                <w:color w:val="000000" w:themeColor="text1"/>
              </w:rPr>
              <w:t>42</w:t>
            </w:r>
          </w:p>
        </w:tc>
      </w:tr>
    </w:tbl>
    <w:p w:rsidR="006A0BAC" w:rsidRPr="006A0BAC" w:rsidRDefault="006A0BAC" w:rsidP="006A0BAC">
      <w:pPr>
        <w:spacing w:before="0" w:after="0" w:line="240" w:lineRule="auto"/>
        <w:rPr>
          <w:rFonts w:ascii="Calibri" w:eastAsia="Times New Roman" w:hAnsi="Calibri" w:cs="Mangal"/>
          <w:sz w:val="16"/>
          <w:szCs w:val="24"/>
        </w:rPr>
      </w:pPr>
      <w:r w:rsidRPr="006A0BAC">
        <w:rPr>
          <w:rFonts w:ascii="Calibri" w:eastAsia="Times New Roman" w:hAnsi="Calibri" w:cs="Mangal"/>
          <w:sz w:val="16"/>
          <w:szCs w:val="24"/>
        </w:rPr>
        <w:t>Source: DEDJTR</w:t>
      </w:r>
    </w:p>
    <w:p w:rsidR="000E1E7F" w:rsidRDefault="000E1E7F">
      <w:pPr>
        <w:rPr>
          <w:b/>
          <w:bCs/>
          <w:caps/>
          <w:color w:val="FFFFFF" w:themeColor="background1"/>
          <w:spacing w:val="15"/>
          <w:sz w:val="22"/>
          <w:szCs w:val="22"/>
        </w:rPr>
      </w:pPr>
      <w:bookmarkStart w:id="26" w:name="_Toc456261067"/>
      <w:r>
        <w:br w:type="page"/>
      </w:r>
    </w:p>
    <w:p w:rsidR="006A0BAC" w:rsidRPr="006A0BAC" w:rsidRDefault="006A0BAC" w:rsidP="006A0BAC">
      <w:pPr>
        <w:pStyle w:val="Heading1"/>
      </w:pPr>
      <w:r>
        <w:lastRenderedPageBreak/>
        <w:t>Monitoring, Compliance and Enforcement</w:t>
      </w:r>
      <w:bookmarkEnd w:id="26"/>
    </w:p>
    <w:p w:rsidR="006A0BAC" w:rsidRPr="006A0BAC" w:rsidRDefault="006A0BAC" w:rsidP="006A0BAC">
      <w:pPr>
        <w:pStyle w:val="bodycopy"/>
        <w:spacing w:before="0"/>
        <w:rPr>
          <w:rFonts w:eastAsia="Times New Roman"/>
        </w:rPr>
      </w:pPr>
      <w:r w:rsidRPr="006A0BAC">
        <w:rPr>
          <w:rFonts w:eastAsia="Times New Roman"/>
        </w:rPr>
        <w:t>The Earth Resources Regulation Branch continued to be responsible for the regulation of the earth resources industries in 201</w:t>
      </w:r>
      <w:r w:rsidR="00403DC4">
        <w:rPr>
          <w:rFonts w:eastAsia="Times New Roman"/>
        </w:rPr>
        <w:t>4/15</w:t>
      </w:r>
      <w:r w:rsidRPr="006A0BAC">
        <w:rPr>
          <w:rFonts w:eastAsia="Times New Roman"/>
        </w:rPr>
        <w:t xml:space="preserve">. The Branch undertakes a monitoring and compliance program to ensure that authority holders are compliant with their obligations and meet community expectations. DEDJTR monitoring, compliance and enforcement activities under the MRSDA are summarised in the table below. </w:t>
      </w:r>
    </w:p>
    <w:p w:rsidR="006A0BAC" w:rsidRPr="006A0BAC" w:rsidRDefault="006A0BAC" w:rsidP="006A0BAC">
      <w:pPr>
        <w:pStyle w:val="bodycopy"/>
        <w:spacing w:before="0"/>
        <w:rPr>
          <w:rFonts w:eastAsia="Times New Roman"/>
        </w:rPr>
      </w:pPr>
      <w:r w:rsidRPr="006A0BAC">
        <w:rPr>
          <w:rFonts w:eastAsia="Times New Roman"/>
        </w:rPr>
        <w:t xml:space="preserve">The Branch has made an effort to increase its monitoring and compliance activity by increasing the amount of audits, inspections, meetings and </w:t>
      </w:r>
      <w:r w:rsidR="00DB7DC9">
        <w:rPr>
          <w:rFonts w:eastAsia="Times New Roman"/>
        </w:rPr>
        <w:t xml:space="preserve"> attendances at </w:t>
      </w:r>
      <w:r w:rsidRPr="006A0BAC">
        <w:rPr>
          <w:rFonts w:eastAsia="Times New Roman"/>
        </w:rPr>
        <w:t xml:space="preserve">Environmental Review Committees (ERC). This has assisted the branch in better communicating with and addressing stakeholder concerns.  </w:t>
      </w:r>
    </w:p>
    <w:p w:rsidR="006A0BAC" w:rsidRPr="006A0BAC" w:rsidRDefault="006A0BAC" w:rsidP="006A0BAC">
      <w:pPr>
        <w:spacing w:before="0" w:after="0" w:line="240" w:lineRule="auto"/>
        <w:rPr>
          <w:rFonts w:ascii="Calibri" w:eastAsia="Times New Roman" w:hAnsi="Calibri" w:cs="Mangal"/>
          <w:b/>
          <w:szCs w:val="24"/>
        </w:rPr>
      </w:pPr>
      <w:r w:rsidRPr="006A0BAC">
        <w:rPr>
          <w:rFonts w:ascii="Calibri" w:eastAsia="Times New Roman" w:hAnsi="Calibri" w:cs="Mangal"/>
          <w:b/>
          <w:szCs w:val="24"/>
        </w:rPr>
        <w:t xml:space="preserve">Graph </w:t>
      </w:r>
      <w:r w:rsidR="00A51F39">
        <w:rPr>
          <w:rFonts w:ascii="Calibri" w:eastAsia="Times New Roman" w:hAnsi="Calibri" w:cs="Mangal"/>
          <w:b/>
          <w:szCs w:val="24"/>
        </w:rPr>
        <w:t>5</w:t>
      </w:r>
      <w:r w:rsidRPr="006A0BAC">
        <w:rPr>
          <w:rFonts w:ascii="Calibri" w:eastAsia="Times New Roman" w:hAnsi="Calibri" w:cs="Mangal"/>
          <w:b/>
          <w:szCs w:val="24"/>
        </w:rPr>
        <w:t>.1 Monitoring, compliance and enforcement activities 2014/15</w:t>
      </w:r>
    </w:p>
    <w:p w:rsidR="006A0BAC" w:rsidRPr="006A0BAC" w:rsidRDefault="006A0BAC" w:rsidP="006A0BAC">
      <w:pPr>
        <w:spacing w:before="0" w:after="0" w:line="240" w:lineRule="auto"/>
        <w:rPr>
          <w:rFonts w:ascii="Arial" w:eastAsia="Times New Roman" w:hAnsi="Arial" w:cs="Mangal"/>
          <w:sz w:val="18"/>
          <w:szCs w:val="24"/>
          <w:lang w:eastAsia="en-US"/>
        </w:rPr>
      </w:pPr>
      <w:r w:rsidRPr="006A0BAC">
        <w:rPr>
          <w:rFonts w:ascii="Arial" w:eastAsia="Times New Roman" w:hAnsi="Arial" w:cs="Mangal"/>
          <w:noProof/>
          <w:sz w:val="18"/>
          <w:szCs w:val="24"/>
        </w:rPr>
        <w:drawing>
          <wp:inline distT="0" distB="0" distL="0" distR="0" wp14:anchorId="28AED4D5" wp14:editId="5627A986">
            <wp:extent cx="6645600" cy="2674800"/>
            <wp:effectExtent l="0" t="0" r="22225" b="11430"/>
            <wp:docPr id="14" name="Chart 14" descr="The graph illiustrates the number and type of monitoring, compliance and enforcement activities undertaken by ERR in the 2014 - 2015 financial year.&#10;&#10;The number of audits remained almost the same from 2013/14 to 2014/15. The number of Environmental Review Committees and meetings increased in 2014/15 as compared to the previous financial year.&#10;&#10;The number of site closures and visits dropped in comparison to the past financial year." title="Monitoring, compliance and enforcement activities 2014/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A0BAC" w:rsidRPr="006A0BAC" w:rsidRDefault="006A0BAC" w:rsidP="006A0BAC">
      <w:pPr>
        <w:spacing w:before="0" w:after="0" w:line="240" w:lineRule="auto"/>
        <w:jc w:val="both"/>
        <w:rPr>
          <w:rFonts w:ascii="Calibri" w:eastAsia="Times New Roman" w:hAnsi="Calibri" w:cs="Mangal"/>
          <w:sz w:val="16"/>
          <w:szCs w:val="16"/>
        </w:rPr>
      </w:pPr>
      <w:r w:rsidRPr="006A0BAC">
        <w:rPr>
          <w:rFonts w:ascii="Calibri" w:eastAsia="Times New Roman" w:hAnsi="Calibri" w:cs="Mangal"/>
          <w:sz w:val="16"/>
          <w:szCs w:val="16"/>
        </w:rPr>
        <w:t>Source: DEDJTR</w:t>
      </w:r>
    </w:p>
    <w:p w:rsidR="006A0BAC" w:rsidRDefault="006A0BAC">
      <w:pPr>
        <w:rPr>
          <w:rFonts w:cs="Arial"/>
          <w:color w:val="064EA8"/>
          <w:sz w:val="24"/>
        </w:rPr>
      </w:pPr>
      <w:r>
        <w:br w:type="page"/>
      </w:r>
    </w:p>
    <w:p w:rsidR="00DB0772" w:rsidRDefault="001D26CA" w:rsidP="00ED6A9D">
      <w:pPr>
        <w:pStyle w:val="bodycopy"/>
        <w:spacing w:before="0"/>
      </w:pPr>
      <w:r>
        <w:lastRenderedPageBreak/>
        <w:t xml:space="preserve">Authorised by the </w:t>
      </w:r>
      <w:r w:rsidR="00103B79" w:rsidRPr="00103B79">
        <w:t>Minister for Industry and Employment and Minister for Resources</w:t>
      </w:r>
      <w:r w:rsidR="00A51F39">
        <w:t>, the Hon</w:t>
      </w:r>
      <w:r w:rsidR="00ED6A9D">
        <w:t>. Wade Noonan</w:t>
      </w:r>
      <w:r w:rsidR="00103B79">
        <w:t xml:space="preserve"> MP</w:t>
      </w:r>
    </w:p>
    <w:p w:rsidR="00DB0772" w:rsidRDefault="001D26CA" w:rsidP="00DB0772">
      <w:pPr>
        <w:pStyle w:val="bodycopy"/>
      </w:pPr>
      <w:r>
        <w:t>Department of Economic Development, Jobs, Transport and Resources</w:t>
      </w:r>
    </w:p>
    <w:p w:rsidR="00DB0772" w:rsidRDefault="001D26CA" w:rsidP="00DB0772">
      <w:pPr>
        <w:pStyle w:val="bodycopy"/>
      </w:pPr>
      <w:r>
        <w:t>1 Spring Street Melbourne Victoria 3000</w:t>
      </w:r>
    </w:p>
    <w:p w:rsidR="004A5B89" w:rsidRDefault="004A5B89" w:rsidP="00DB0772">
      <w:pPr>
        <w:pStyle w:val="bodycopy"/>
      </w:pPr>
      <w:r w:rsidRPr="004A5B89">
        <w:t>Telephone (03) 9651 9999</w:t>
      </w:r>
    </w:p>
    <w:p w:rsidR="001D26CA" w:rsidRDefault="001D26CA" w:rsidP="00DB0772">
      <w:pPr>
        <w:pStyle w:val="bodycopy"/>
      </w:pPr>
      <w:r>
        <w:t>© Copyright State of Victoria, Department of Economic Development, Jobs, Transport and Resou</w:t>
      </w:r>
      <w:r w:rsidR="004A5B89">
        <w:t>rces 2016</w:t>
      </w:r>
    </w:p>
    <w:p w:rsidR="00DB0772" w:rsidRDefault="001D26CA" w:rsidP="00DB0772">
      <w:pPr>
        <w:pStyle w:val="bodycopy"/>
      </w:pPr>
      <w:r>
        <w:t>Except for any logos, emblems, trademarks, artwork and photography</w:t>
      </w:r>
      <w:r w:rsidR="00A51F39">
        <w:t>,</w:t>
      </w:r>
      <w:r>
        <w:t xml:space="preserve"> this document is made available under the</w:t>
      </w:r>
      <w:r w:rsidR="004A5B89">
        <w:t xml:space="preserve"> </w:t>
      </w:r>
      <w:r>
        <w:t>terms of the Creative Commons Attribution 3.0 Australia license.</w:t>
      </w:r>
    </w:p>
    <w:p w:rsidR="00DB0772" w:rsidRDefault="001D26CA" w:rsidP="00DB0772">
      <w:pPr>
        <w:pStyle w:val="bodycopy"/>
      </w:pPr>
      <w:r>
        <w:t xml:space="preserve">This document is also available in an accessible format at </w:t>
      </w:r>
      <w:r w:rsidR="00A51F39" w:rsidRPr="00A51F39">
        <w:t>http://earthresources.efirst.com.au/categories.asp?cID=46</w:t>
      </w:r>
    </w:p>
    <w:p w:rsidR="00DB0772" w:rsidRDefault="00DB0772">
      <w:pPr>
        <w:rPr>
          <w:rFonts w:cs="Arial"/>
          <w:noProof/>
        </w:rPr>
      </w:pPr>
    </w:p>
    <w:p w:rsidR="006E1B3A" w:rsidRDefault="006E1B3A">
      <w:pPr>
        <w:rPr>
          <w:rFonts w:cs="Arial"/>
        </w:rPr>
      </w:pPr>
      <w:r>
        <w:rPr>
          <w:rFonts w:cs="Arial"/>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-2540</wp:posOffset>
            </wp:positionV>
            <wp:extent cx="7644765" cy="5083175"/>
            <wp:effectExtent l="0" t="0" r="0" b="31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2466-8GL-A-H.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44765" cy="5083175"/>
                    </a:xfrm>
                    <a:prstGeom prst="rect">
                      <a:avLst/>
                    </a:prstGeom>
                  </pic:spPr>
                </pic:pic>
              </a:graphicData>
            </a:graphic>
            <wp14:sizeRelH relativeFrom="page">
              <wp14:pctWidth>0</wp14:pctWidth>
            </wp14:sizeRelH>
            <wp14:sizeRelV relativeFrom="page">
              <wp14:pctHeight>0</wp14:pctHeight>
            </wp14:sizeRelV>
          </wp:anchor>
        </w:drawing>
      </w:r>
    </w:p>
    <w:sectPr w:rsidR="006E1B3A" w:rsidSect="000001E9">
      <w:footerReference w:type="default" r:id="rId25"/>
      <w:headerReference w:type="first" r:id="rId26"/>
      <w:footerReference w:type="first" r:id="rId27"/>
      <w:pgSz w:w="11906" w:h="16838"/>
      <w:pgMar w:top="720" w:right="720" w:bottom="720" w:left="720" w:header="1361"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6EDB" w:rsidRDefault="00F36EDB" w:rsidP="00D21116">
      <w:r>
        <w:separator/>
      </w:r>
    </w:p>
  </w:endnote>
  <w:endnote w:type="continuationSeparator" w:id="0">
    <w:p w:rsidR="00F36EDB" w:rsidRDefault="00F36EDB" w:rsidP="00D21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8007278"/>
      <w:docPartObj>
        <w:docPartGallery w:val="Page Numbers (Bottom of Page)"/>
        <w:docPartUnique/>
      </w:docPartObj>
    </w:sdtPr>
    <w:sdtContent>
      <w:sdt>
        <w:sdtPr>
          <w:id w:val="346296708"/>
          <w:docPartObj>
            <w:docPartGallery w:val="Page Numbers (Top of Page)"/>
            <w:docPartUnique/>
          </w:docPartObj>
        </w:sdtPr>
        <w:sdtContent>
          <w:p w:rsidR="003A710F" w:rsidRPr="00F62A4A" w:rsidRDefault="003A710F" w:rsidP="0026126A">
            <w:pPr>
              <w:pStyle w:val="Footer"/>
              <w:tabs>
                <w:tab w:val="clear" w:pos="9026"/>
                <w:tab w:val="right" w:pos="9072"/>
              </w:tabs>
            </w:pPr>
            <w:r>
              <w:rPr>
                <w:color w:val="064EA8"/>
              </w:rPr>
              <w:t>Earth Resources Regulation 2014 – 2015 Statistical Report</w:t>
            </w:r>
            <w:r>
              <w:tab/>
            </w:r>
            <w:r>
              <w:tab/>
            </w:r>
            <w:r>
              <w:rPr>
                <w:b/>
                <w:bCs/>
              </w:rPr>
              <w:fldChar w:fldCharType="begin"/>
            </w:r>
            <w:r>
              <w:rPr>
                <w:b/>
                <w:bCs/>
              </w:rPr>
              <w:instrText xml:space="preserve"> PAGE </w:instrText>
            </w:r>
            <w:r>
              <w:rPr>
                <w:b/>
                <w:bCs/>
              </w:rPr>
              <w:fldChar w:fldCharType="separate"/>
            </w:r>
            <w:r w:rsidR="00AA2CBC">
              <w:rPr>
                <w:b/>
                <w:bCs/>
                <w:noProof/>
              </w:rPr>
              <w:t>4</w:t>
            </w:r>
            <w:r>
              <w:rPr>
                <w:b/>
                <w:bCs/>
              </w:rPr>
              <w:fldChar w:fldCharType="end"/>
            </w:r>
            <w:r>
              <w:t xml:space="preserve"> of </w:t>
            </w:r>
            <w:r>
              <w:rPr>
                <w:b/>
                <w:bCs/>
              </w:rPr>
              <w:fldChar w:fldCharType="begin"/>
            </w:r>
            <w:r>
              <w:rPr>
                <w:b/>
                <w:bCs/>
              </w:rPr>
              <w:instrText xml:space="preserve"> NUMPAGES  </w:instrText>
            </w:r>
            <w:r>
              <w:rPr>
                <w:b/>
                <w:bCs/>
              </w:rPr>
              <w:fldChar w:fldCharType="separate"/>
            </w:r>
            <w:r w:rsidR="00AA2CBC">
              <w:rPr>
                <w:b/>
                <w:bCs/>
                <w:noProof/>
              </w:rPr>
              <w:t>24</w:t>
            </w:r>
            <w:r>
              <w:rPr>
                <w:b/>
                <w:bCs/>
              </w:rPr>
              <w:fldChar w:fldCharType="end"/>
            </w:r>
            <w:r>
              <w:rPr>
                <w:b/>
                <w:bCs/>
              </w:rPr>
              <w:tab/>
            </w:r>
            <w:r>
              <w:rPr>
                <w:b/>
                <w:bCs/>
              </w:rPr>
              <w:tab/>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710F" w:rsidRDefault="003A710F" w:rsidP="00745D4D">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6EDB" w:rsidRDefault="00F36EDB" w:rsidP="00D21116">
      <w:r>
        <w:separator/>
      </w:r>
    </w:p>
  </w:footnote>
  <w:footnote w:type="continuationSeparator" w:id="0">
    <w:p w:rsidR="00F36EDB" w:rsidRDefault="00F36EDB" w:rsidP="00D211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710F" w:rsidRDefault="003A710F" w:rsidP="001D78C9">
    <w:pPr>
      <w:pStyle w:val="infosheettitle"/>
    </w:pPr>
    <w:r>
      <w:rPr>
        <w:noProof/>
      </w:rPr>
      <w:drawing>
        <wp:anchor distT="0" distB="0" distL="114300" distR="114300" simplePos="0" relativeHeight="251663360" behindDoc="1" locked="0" layoutInCell="1" allowOverlap="1" wp14:anchorId="29D203BE" wp14:editId="78E66BE2">
          <wp:simplePos x="0" y="0"/>
          <wp:positionH relativeFrom="page">
            <wp:posOffset>0</wp:posOffset>
          </wp:positionH>
          <wp:positionV relativeFrom="page">
            <wp:posOffset>0</wp:posOffset>
          </wp:positionV>
          <wp:extent cx="7568418" cy="10703906"/>
          <wp:effectExtent l="0" t="0" r="0" b="0"/>
          <wp:wrapNone/>
          <wp:docPr id="2" name="Picture 2" descr="graphic header and Department of Economic Development, Jobs, Transport and Resour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20Templates/Word%20Elements/Factsheet/9144%20DEDJTR%20Brand%20Vic%20factsheets%20template_Working%20file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8418" cy="1070390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710F" w:rsidRDefault="003A710F" w:rsidP="001D78C9">
    <w:pPr>
      <w:pStyle w:val="infosheettitle"/>
    </w:pPr>
  </w:p>
  <w:p w:rsidR="003A710F" w:rsidRPr="002167F2" w:rsidRDefault="003A710F" w:rsidP="002167F2">
    <w:pPr>
      <w:pStyle w:val="Title"/>
      <w:rPr>
        <w:rFonts w:ascii="Arial" w:hAnsi="Arial" w:cs="Arial"/>
        <w:b/>
        <w:color w:val="FFFFFF" w:themeColor="background1"/>
        <w:sz w:val="44"/>
        <w:szCs w:val="44"/>
      </w:rPr>
    </w:pPr>
    <w:r w:rsidRPr="002167F2">
      <w:rPr>
        <w:rFonts w:ascii="Arial" w:hAnsi="Arial" w:cs="Arial"/>
        <w:b/>
        <w:color w:val="FFFFFF" w:themeColor="background1"/>
        <w:sz w:val="44"/>
        <w:szCs w:val="44"/>
      </w:rPr>
      <w:t>EARTH RESOURCES REGULATION</w:t>
    </w:r>
  </w:p>
  <w:p w:rsidR="003A710F" w:rsidRDefault="003A710F" w:rsidP="001D78C9">
    <w:pPr>
      <w:pStyle w:val="infosheetsubtitle"/>
    </w:pPr>
    <w:r>
      <w:t>2014 – 2015 STATISTICAL REPORT</w:t>
    </w:r>
  </w:p>
  <w:p w:rsidR="003A710F" w:rsidRDefault="003A710F" w:rsidP="001D78C9">
    <w:pPr>
      <w:pStyle w:val="infosheetsubtit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B66EDC"/>
    <w:multiLevelType w:val="multilevel"/>
    <w:tmpl w:val="3EC0C9EE"/>
    <w:lvl w:ilvl="0">
      <w:start w:val="1"/>
      <w:numFmt w:val="none"/>
      <w:pStyle w:val="BodyText"/>
      <w:suff w:val="nothing"/>
      <w:lvlText w:val="%1"/>
      <w:lvlJc w:val="left"/>
      <w:pPr>
        <w:ind w:left="0" w:firstLine="0"/>
      </w:pPr>
      <w:rPr>
        <w:rFonts w:ascii="Arial" w:hAnsi="Arial" w:hint="default"/>
        <w:b w:val="0"/>
        <w:i w:val="0"/>
        <w:sz w:val="18"/>
      </w:rPr>
    </w:lvl>
    <w:lvl w:ilvl="1">
      <w:start w:val="1"/>
      <w:numFmt w:val="decimal"/>
      <w:pStyle w:val="ListNumber"/>
      <w:lvlText w:val="%2."/>
      <w:lvlJc w:val="left"/>
      <w:pPr>
        <w:tabs>
          <w:tab w:val="num" w:pos="284"/>
        </w:tabs>
        <w:ind w:left="284" w:hanging="284"/>
      </w:pPr>
      <w:rPr>
        <w:rFonts w:ascii="Arial" w:hAnsi="Arial" w:hint="default"/>
        <w:b w:val="0"/>
        <w:i w:val="0"/>
        <w:caps w:val="0"/>
        <w:strike w:val="0"/>
        <w:dstrike w:val="0"/>
        <w:vanish w:val="0"/>
        <w:color w:val="auto"/>
        <w:spacing w:val="0"/>
        <w:w w:val="100"/>
        <w:kern w:val="0"/>
        <w:position w:val="0"/>
        <w:sz w:val="18"/>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pStyle w:val="ListNumber2"/>
      <w:lvlText w:val=""/>
      <w:lvlJc w:val="left"/>
      <w:pPr>
        <w:tabs>
          <w:tab w:val="num" w:pos="454"/>
        </w:tabs>
        <w:ind w:left="454" w:hanging="170"/>
      </w:pPr>
      <w:rPr>
        <w:rFonts w:ascii="Symbol" w:hAnsi="Symbol" w:hint="default"/>
        <w:position w:val="2"/>
        <w:sz w:val="16"/>
      </w:rPr>
    </w:lvl>
    <w:lvl w:ilvl="3">
      <w:start w:val="1"/>
      <w:numFmt w:val="bullet"/>
      <w:pStyle w:val="ListNumber3"/>
      <w:lvlText w:val=""/>
      <w:lvlJc w:val="left"/>
      <w:pPr>
        <w:tabs>
          <w:tab w:val="num" w:pos="624"/>
        </w:tabs>
        <w:ind w:left="624" w:hanging="170"/>
      </w:pPr>
      <w:rPr>
        <w:rFonts w:ascii="Symbol" w:hAnsi="Symbol"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3DB6342B"/>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47B704A4"/>
    <w:multiLevelType w:val="multilevel"/>
    <w:tmpl w:val="682E303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4F9F3B60"/>
    <w:multiLevelType w:val="hybridMultilevel"/>
    <w:tmpl w:val="37A64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5B7445F0"/>
    <w:multiLevelType w:val="hybridMultilevel"/>
    <w:tmpl w:val="9BC0C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637248A3"/>
    <w:multiLevelType w:val="multilevel"/>
    <w:tmpl w:val="CF849A80"/>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7A722B64"/>
    <w:multiLevelType w:val="hybridMultilevel"/>
    <w:tmpl w:val="C4AA3AC0"/>
    <w:lvl w:ilvl="0" w:tplc="836C6188">
      <w:start w:val="1"/>
      <w:numFmt w:val="bullet"/>
      <w:pStyle w:val="dotpoints"/>
      <w:lvlText w:val=""/>
      <w:lvlJc w:val="left"/>
      <w:pPr>
        <w:ind w:left="294" w:hanging="360"/>
      </w:pPr>
      <w:rPr>
        <w:rFonts w:ascii="Symbol" w:hAnsi="Symbol" w:hint="default"/>
      </w:rPr>
    </w:lvl>
    <w:lvl w:ilvl="1" w:tplc="0C090003" w:tentative="1">
      <w:start w:val="1"/>
      <w:numFmt w:val="bullet"/>
      <w:lvlText w:val="o"/>
      <w:lvlJc w:val="left"/>
      <w:pPr>
        <w:ind w:left="1014" w:hanging="360"/>
      </w:pPr>
      <w:rPr>
        <w:rFonts w:ascii="Courier New" w:hAnsi="Courier New" w:cs="Courier New" w:hint="default"/>
      </w:rPr>
    </w:lvl>
    <w:lvl w:ilvl="2" w:tplc="0C090005" w:tentative="1">
      <w:start w:val="1"/>
      <w:numFmt w:val="bullet"/>
      <w:lvlText w:val=""/>
      <w:lvlJc w:val="left"/>
      <w:pPr>
        <w:ind w:left="1734" w:hanging="360"/>
      </w:pPr>
      <w:rPr>
        <w:rFonts w:ascii="Wingdings" w:hAnsi="Wingdings" w:hint="default"/>
      </w:rPr>
    </w:lvl>
    <w:lvl w:ilvl="3" w:tplc="0C090001" w:tentative="1">
      <w:start w:val="1"/>
      <w:numFmt w:val="bullet"/>
      <w:lvlText w:val=""/>
      <w:lvlJc w:val="left"/>
      <w:pPr>
        <w:ind w:left="2454" w:hanging="360"/>
      </w:pPr>
      <w:rPr>
        <w:rFonts w:ascii="Symbol" w:hAnsi="Symbol" w:hint="default"/>
      </w:rPr>
    </w:lvl>
    <w:lvl w:ilvl="4" w:tplc="0C090003" w:tentative="1">
      <w:start w:val="1"/>
      <w:numFmt w:val="bullet"/>
      <w:lvlText w:val="o"/>
      <w:lvlJc w:val="left"/>
      <w:pPr>
        <w:ind w:left="3174" w:hanging="360"/>
      </w:pPr>
      <w:rPr>
        <w:rFonts w:ascii="Courier New" w:hAnsi="Courier New" w:cs="Courier New" w:hint="default"/>
      </w:rPr>
    </w:lvl>
    <w:lvl w:ilvl="5" w:tplc="0C090005" w:tentative="1">
      <w:start w:val="1"/>
      <w:numFmt w:val="bullet"/>
      <w:lvlText w:val=""/>
      <w:lvlJc w:val="left"/>
      <w:pPr>
        <w:ind w:left="3894" w:hanging="360"/>
      </w:pPr>
      <w:rPr>
        <w:rFonts w:ascii="Wingdings" w:hAnsi="Wingdings" w:hint="default"/>
      </w:rPr>
    </w:lvl>
    <w:lvl w:ilvl="6" w:tplc="0C090001" w:tentative="1">
      <w:start w:val="1"/>
      <w:numFmt w:val="bullet"/>
      <w:lvlText w:val=""/>
      <w:lvlJc w:val="left"/>
      <w:pPr>
        <w:ind w:left="4614" w:hanging="360"/>
      </w:pPr>
      <w:rPr>
        <w:rFonts w:ascii="Symbol" w:hAnsi="Symbol" w:hint="default"/>
      </w:rPr>
    </w:lvl>
    <w:lvl w:ilvl="7" w:tplc="0C090003" w:tentative="1">
      <w:start w:val="1"/>
      <w:numFmt w:val="bullet"/>
      <w:lvlText w:val="o"/>
      <w:lvlJc w:val="left"/>
      <w:pPr>
        <w:ind w:left="5334" w:hanging="360"/>
      </w:pPr>
      <w:rPr>
        <w:rFonts w:ascii="Courier New" w:hAnsi="Courier New" w:cs="Courier New" w:hint="default"/>
      </w:rPr>
    </w:lvl>
    <w:lvl w:ilvl="8" w:tplc="0C090005" w:tentative="1">
      <w:start w:val="1"/>
      <w:numFmt w:val="bullet"/>
      <w:lvlText w:val=""/>
      <w:lvlJc w:val="left"/>
      <w:pPr>
        <w:ind w:left="6054" w:hanging="360"/>
      </w:pPr>
      <w:rPr>
        <w:rFonts w:ascii="Wingdings" w:hAnsi="Wingdings" w:hint="default"/>
      </w:rPr>
    </w:lvl>
  </w:abstractNum>
  <w:num w:numId="1">
    <w:abstractNumId w:val="6"/>
  </w:num>
  <w:num w:numId="2">
    <w:abstractNumId w:val="1"/>
  </w:num>
  <w:num w:numId="3">
    <w:abstractNumId w:val="3"/>
  </w:num>
  <w:num w:numId="4">
    <w:abstractNumId w:val="4"/>
  </w:num>
  <w:num w:numId="5">
    <w:abstractNumId w:val="0"/>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removePersonalInformation/>
  <w:removeDateAndTime/>
  <w:embedSystemFonts/>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3F3F"/>
    <w:rsid w:val="000001E9"/>
    <w:rsid w:val="000430D9"/>
    <w:rsid w:val="00045289"/>
    <w:rsid w:val="00053387"/>
    <w:rsid w:val="00055849"/>
    <w:rsid w:val="0006282D"/>
    <w:rsid w:val="000C6715"/>
    <w:rsid w:val="000D009C"/>
    <w:rsid w:val="000E1E7F"/>
    <w:rsid w:val="000E33EA"/>
    <w:rsid w:val="000F56BD"/>
    <w:rsid w:val="00103B79"/>
    <w:rsid w:val="00133388"/>
    <w:rsid w:val="00142A72"/>
    <w:rsid w:val="001504E0"/>
    <w:rsid w:val="001576FE"/>
    <w:rsid w:val="0017653B"/>
    <w:rsid w:val="00181F70"/>
    <w:rsid w:val="00194B40"/>
    <w:rsid w:val="001C3026"/>
    <w:rsid w:val="001D266D"/>
    <w:rsid w:val="001D26CA"/>
    <w:rsid w:val="001D78C9"/>
    <w:rsid w:val="002167F2"/>
    <w:rsid w:val="00217B81"/>
    <w:rsid w:val="00217D37"/>
    <w:rsid w:val="0026126A"/>
    <w:rsid w:val="002619C4"/>
    <w:rsid w:val="0026215C"/>
    <w:rsid w:val="0028637D"/>
    <w:rsid w:val="0029262F"/>
    <w:rsid w:val="00296E06"/>
    <w:rsid w:val="002B57D3"/>
    <w:rsid w:val="002B7F82"/>
    <w:rsid w:val="002C2EA2"/>
    <w:rsid w:val="002F5764"/>
    <w:rsid w:val="002F623A"/>
    <w:rsid w:val="00304B3B"/>
    <w:rsid w:val="00315102"/>
    <w:rsid w:val="0031573F"/>
    <w:rsid w:val="0031694B"/>
    <w:rsid w:val="0033283A"/>
    <w:rsid w:val="003743A1"/>
    <w:rsid w:val="00383857"/>
    <w:rsid w:val="003A710F"/>
    <w:rsid w:val="003D0D32"/>
    <w:rsid w:val="003D70CA"/>
    <w:rsid w:val="003E4FDE"/>
    <w:rsid w:val="00403DC4"/>
    <w:rsid w:val="00412C52"/>
    <w:rsid w:val="00420E29"/>
    <w:rsid w:val="00441AB0"/>
    <w:rsid w:val="00451340"/>
    <w:rsid w:val="00452284"/>
    <w:rsid w:val="00456F4B"/>
    <w:rsid w:val="004653A5"/>
    <w:rsid w:val="00486C45"/>
    <w:rsid w:val="004A5B89"/>
    <w:rsid w:val="004B1BA1"/>
    <w:rsid w:val="004D0AF1"/>
    <w:rsid w:val="004D497D"/>
    <w:rsid w:val="00506758"/>
    <w:rsid w:val="00527C5F"/>
    <w:rsid w:val="00536A60"/>
    <w:rsid w:val="005449C7"/>
    <w:rsid w:val="00544E7A"/>
    <w:rsid w:val="00553748"/>
    <w:rsid w:val="00554AE1"/>
    <w:rsid w:val="005769B7"/>
    <w:rsid w:val="00591ABC"/>
    <w:rsid w:val="005A0C45"/>
    <w:rsid w:val="005D2362"/>
    <w:rsid w:val="005F4F91"/>
    <w:rsid w:val="0063704E"/>
    <w:rsid w:val="00647F38"/>
    <w:rsid w:val="0065043D"/>
    <w:rsid w:val="00674B7E"/>
    <w:rsid w:val="006774AA"/>
    <w:rsid w:val="00684C16"/>
    <w:rsid w:val="006A0BAC"/>
    <w:rsid w:val="006E1B3A"/>
    <w:rsid w:val="006F0F33"/>
    <w:rsid w:val="006F3B79"/>
    <w:rsid w:val="006F5644"/>
    <w:rsid w:val="007020F3"/>
    <w:rsid w:val="00745D4D"/>
    <w:rsid w:val="00746274"/>
    <w:rsid w:val="007550C6"/>
    <w:rsid w:val="00775B32"/>
    <w:rsid w:val="00787E00"/>
    <w:rsid w:val="007A212C"/>
    <w:rsid w:val="007B40E1"/>
    <w:rsid w:val="007B5BC4"/>
    <w:rsid w:val="007C3A8F"/>
    <w:rsid w:val="007D19C5"/>
    <w:rsid w:val="007F7C96"/>
    <w:rsid w:val="00805DDF"/>
    <w:rsid w:val="008429E1"/>
    <w:rsid w:val="00851558"/>
    <w:rsid w:val="00854FF2"/>
    <w:rsid w:val="008A56F5"/>
    <w:rsid w:val="008C7EC3"/>
    <w:rsid w:val="008F511C"/>
    <w:rsid w:val="00904AF3"/>
    <w:rsid w:val="009268D2"/>
    <w:rsid w:val="009C56B0"/>
    <w:rsid w:val="009E3451"/>
    <w:rsid w:val="009F070E"/>
    <w:rsid w:val="009F7598"/>
    <w:rsid w:val="00A012D2"/>
    <w:rsid w:val="00A15297"/>
    <w:rsid w:val="00A51F39"/>
    <w:rsid w:val="00AA2CBC"/>
    <w:rsid w:val="00AC0242"/>
    <w:rsid w:val="00AC099D"/>
    <w:rsid w:val="00AC3257"/>
    <w:rsid w:val="00AC55D5"/>
    <w:rsid w:val="00B119D5"/>
    <w:rsid w:val="00B34BA7"/>
    <w:rsid w:val="00B42EDF"/>
    <w:rsid w:val="00B63532"/>
    <w:rsid w:val="00BA4252"/>
    <w:rsid w:val="00BA5FDB"/>
    <w:rsid w:val="00BB1502"/>
    <w:rsid w:val="00BB52BA"/>
    <w:rsid w:val="00BC4791"/>
    <w:rsid w:val="00BD3F3F"/>
    <w:rsid w:val="00C12B3C"/>
    <w:rsid w:val="00C20997"/>
    <w:rsid w:val="00C45169"/>
    <w:rsid w:val="00C520E0"/>
    <w:rsid w:val="00C6149F"/>
    <w:rsid w:val="00C663E5"/>
    <w:rsid w:val="00C84DE9"/>
    <w:rsid w:val="00C879A3"/>
    <w:rsid w:val="00CB53E6"/>
    <w:rsid w:val="00CD26FA"/>
    <w:rsid w:val="00CD4E9D"/>
    <w:rsid w:val="00D00EDE"/>
    <w:rsid w:val="00D21116"/>
    <w:rsid w:val="00D227D2"/>
    <w:rsid w:val="00DA5B3D"/>
    <w:rsid w:val="00DB0772"/>
    <w:rsid w:val="00DB45BC"/>
    <w:rsid w:val="00DB6C71"/>
    <w:rsid w:val="00DB7DC9"/>
    <w:rsid w:val="00DC0E0F"/>
    <w:rsid w:val="00DE1938"/>
    <w:rsid w:val="00DE7D75"/>
    <w:rsid w:val="00DF604B"/>
    <w:rsid w:val="00E12641"/>
    <w:rsid w:val="00E4488C"/>
    <w:rsid w:val="00E57F5D"/>
    <w:rsid w:val="00EC5096"/>
    <w:rsid w:val="00ED56EF"/>
    <w:rsid w:val="00ED6A9D"/>
    <w:rsid w:val="00F2356C"/>
    <w:rsid w:val="00F33682"/>
    <w:rsid w:val="00F36EDB"/>
    <w:rsid w:val="00F62A4A"/>
    <w:rsid w:val="00F64309"/>
    <w:rsid w:val="00F7283D"/>
    <w:rsid w:val="00FF73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4C16"/>
    <w:rPr>
      <w:sz w:val="20"/>
      <w:szCs w:val="20"/>
    </w:rPr>
  </w:style>
  <w:style w:type="paragraph" w:styleId="Heading1">
    <w:name w:val="heading 1"/>
    <w:basedOn w:val="Normal"/>
    <w:next w:val="Normal"/>
    <w:link w:val="Heading1Char"/>
    <w:uiPriority w:val="9"/>
    <w:qFormat/>
    <w:rsid w:val="00684C16"/>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684C16"/>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684C16"/>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684C16"/>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684C16"/>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684C16"/>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684C16"/>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684C16"/>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684C16"/>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1116"/>
    <w:pPr>
      <w:tabs>
        <w:tab w:val="center" w:pos="4513"/>
        <w:tab w:val="right" w:pos="9026"/>
      </w:tabs>
    </w:pPr>
  </w:style>
  <w:style w:type="character" w:customStyle="1" w:styleId="HeaderChar">
    <w:name w:val="Header Char"/>
    <w:basedOn w:val="DefaultParagraphFont"/>
    <w:link w:val="Header"/>
    <w:uiPriority w:val="99"/>
    <w:rsid w:val="00D21116"/>
    <w:rPr>
      <w:sz w:val="24"/>
      <w:szCs w:val="24"/>
    </w:rPr>
  </w:style>
  <w:style w:type="paragraph" w:styleId="Footer">
    <w:name w:val="footer"/>
    <w:basedOn w:val="Normal"/>
    <w:link w:val="FooterChar"/>
    <w:uiPriority w:val="99"/>
    <w:unhideWhenUsed/>
    <w:rsid w:val="00D21116"/>
    <w:pPr>
      <w:tabs>
        <w:tab w:val="center" w:pos="4513"/>
        <w:tab w:val="right" w:pos="9026"/>
      </w:tabs>
    </w:pPr>
  </w:style>
  <w:style w:type="character" w:customStyle="1" w:styleId="FooterChar">
    <w:name w:val="Footer Char"/>
    <w:basedOn w:val="DefaultParagraphFont"/>
    <w:link w:val="Footer"/>
    <w:uiPriority w:val="99"/>
    <w:rsid w:val="00D21116"/>
    <w:rPr>
      <w:sz w:val="24"/>
      <w:szCs w:val="24"/>
    </w:rPr>
  </w:style>
  <w:style w:type="paragraph" w:styleId="BalloonText">
    <w:name w:val="Balloon Text"/>
    <w:basedOn w:val="Normal"/>
    <w:link w:val="BalloonTextChar"/>
    <w:uiPriority w:val="99"/>
    <w:semiHidden/>
    <w:unhideWhenUsed/>
    <w:rsid w:val="00D21116"/>
    <w:rPr>
      <w:rFonts w:cs="Tahoma"/>
      <w:sz w:val="16"/>
      <w:szCs w:val="16"/>
    </w:rPr>
  </w:style>
  <w:style w:type="character" w:customStyle="1" w:styleId="BalloonTextChar">
    <w:name w:val="Balloon Text Char"/>
    <w:basedOn w:val="DefaultParagraphFont"/>
    <w:link w:val="BalloonText"/>
    <w:uiPriority w:val="99"/>
    <w:semiHidden/>
    <w:rsid w:val="00D21116"/>
    <w:rPr>
      <w:rFonts w:ascii="Tahoma" w:hAnsi="Tahoma" w:cs="Tahoma"/>
      <w:sz w:val="16"/>
      <w:szCs w:val="16"/>
    </w:rPr>
  </w:style>
  <w:style w:type="paragraph" w:customStyle="1" w:styleId="infosheettitle">
    <w:name w:val="# infosheet title"/>
    <w:basedOn w:val="Normal"/>
    <w:link w:val="infosheettitleChar"/>
    <w:qFormat/>
    <w:rsid w:val="00DE7D75"/>
    <w:pPr>
      <w:spacing w:line="420" w:lineRule="exact"/>
      <w:ind w:right="3357"/>
    </w:pPr>
    <w:rPr>
      <w:rFonts w:ascii="Arial Bold" w:hAnsi="Arial Bold"/>
      <w:b/>
      <w:color w:val="FFFFFF"/>
      <w:sz w:val="44"/>
      <w:szCs w:val="40"/>
    </w:rPr>
  </w:style>
  <w:style w:type="character" w:customStyle="1" w:styleId="infosheettitleChar">
    <w:name w:val="# infosheet title Char"/>
    <w:basedOn w:val="DefaultParagraphFont"/>
    <w:link w:val="infosheettitle"/>
    <w:rsid w:val="00DE7D75"/>
    <w:rPr>
      <w:rFonts w:ascii="Arial Bold" w:hAnsi="Arial Bold"/>
      <w:b/>
      <w:color w:val="FFFFFF"/>
      <w:sz w:val="44"/>
      <w:szCs w:val="40"/>
    </w:rPr>
  </w:style>
  <w:style w:type="paragraph" w:customStyle="1" w:styleId="infosheetsubtitle">
    <w:name w:val="# infosheet subtitle"/>
    <w:basedOn w:val="Normal"/>
    <w:link w:val="infosheetsubtitleChar"/>
    <w:qFormat/>
    <w:rsid w:val="00DE7D75"/>
    <w:pPr>
      <w:spacing w:before="180" w:after="120" w:line="320" w:lineRule="exact"/>
      <w:ind w:right="3357"/>
      <w:contextualSpacing/>
    </w:pPr>
    <w:rPr>
      <w:color w:val="FFFFFF"/>
      <w:sz w:val="32"/>
    </w:rPr>
  </w:style>
  <w:style w:type="character" w:customStyle="1" w:styleId="infosheetsubtitleChar">
    <w:name w:val="# infosheet subtitle Char"/>
    <w:basedOn w:val="DefaultParagraphFont"/>
    <w:link w:val="infosheetsubtitle"/>
    <w:rsid w:val="00DE7D75"/>
    <w:rPr>
      <w:rFonts w:ascii="Arial" w:hAnsi="Arial"/>
      <w:color w:val="FFFFFF"/>
      <w:sz w:val="32"/>
      <w:szCs w:val="24"/>
    </w:rPr>
  </w:style>
  <w:style w:type="paragraph" w:customStyle="1" w:styleId="introtext">
    <w:name w:val="# intro text"/>
    <w:basedOn w:val="Normal"/>
    <w:next w:val="bodycopy"/>
    <w:rsid w:val="001D78C9"/>
    <w:pPr>
      <w:spacing w:before="300" w:after="360" w:line="320" w:lineRule="atLeast"/>
    </w:pPr>
    <w:rPr>
      <w:rFonts w:cs="Arial"/>
      <w:color w:val="064EA8"/>
      <w:spacing w:val="-10"/>
      <w:sz w:val="28"/>
    </w:rPr>
  </w:style>
  <w:style w:type="paragraph" w:customStyle="1" w:styleId="bodycopy">
    <w:name w:val="# body copy"/>
    <w:basedOn w:val="Normal"/>
    <w:qFormat/>
    <w:rsid w:val="00DB0772"/>
    <w:pPr>
      <w:spacing w:after="120"/>
    </w:pPr>
    <w:rPr>
      <w:rFonts w:cs="Arial"/>
    </w:rPr>
  </w:style>
  <w:style w:type="paragraph" w:customStyle="1" w:styleId="dotpoints">
    <w:name w:val="# dot points"/>
    <w:basedOn w:val="Normal"/>
    <w:link w:val="dotpointsChar"/>
    <w:rsid w:val="00055849"/>
    <w:pPr>
      <w:keepLines/>
      <w:numPr>
        <w:numId w:val="1"/>
      </w:numPr>
      <w:spacing w:before="180" w:after="180" w:line="300" w:lineRule="auto"/>
      <w:ind w:left="357" w:hanging="357"/>
      <w:contextualSpacing/>
    </w:pPr>
    <w:rPr>
      <w:rFonts w:cs="Arial"/>
    </w:rPr>
  </w:style>
  <w:style w:type="character" w:customStyle="1" w:styleId="dotpointsChar">
    <w:name w:val="# dot points Char"/>
    <w:basedOn w:val="DefaultParagraphFont"/>
    <w:link w:val="dotpoints"/>
    <w:rsid w:val="00055849"/>
    <w:rPr>
      <w:rFonts w:ascii="Tahoma" w:hAnsi="Tahoma" w:cs="Arial"/>
      <w:color w:val="000000" w:themeColor="text1"/>
    </w:rPr>
  </w:style>
  <w:style w:type="paragraph" w:customStyle="1" w:styleId="heading1blue">
    <w:name w:val="# heading 1 blue"/>
    <w:basedOn w:val="Normal"/>
    <w:next w:val="bodycopy"/>
    <w:qFormat/>
    <w:rsid w:val="00CD26FA"/>
    <w:pPr>
      <w:keepNext/>
      <w:spacing w:before="240" w:after="120"/>
    </w:pPr>
    <w:rPr>
      <w:rFonts w:cs="Arial"/>
      <w:color w:val="064EA8"/>
      <w:sz w:val="24"/>
    </w:rPr>
  </w:style>
  <w:style w:type="paragraph" w:customStyle="1" w:styleId="heading2black">
    <w:name w:val="# heading 2 black"/>
    <w:basedOn w:val="heading1blue"/>
    <w:next w:val="bodycopy"/>
    <w:rsid w:val="00CD26FA"/>
    <w:rPr>
      <w:b/>
      <w:color w:val="auto"/>
      <w:sz w:val="20"/>
    </w:rPr>
  </w:style>
  <w:style w:type="paragraph" w:customStyle="1" w:styleId="instructions">
    <w:name w:val="instructions"/>
    <w:basedOn w:val="Normal"/>
    <w:link w:val="instructionsChar"/>
    <w:rsid w:val="003743A1"/>
    <w:pPr>
      <w:spacing w:before="60" w:after="120"/>
    </w:pPr>
    <w:rPr>
      <w:color w:val="C0504D" w:themeColor="accent2"/>
      <w:sz w:val="18"/>
      <w:lang w:eastAsia="en-US"/>
    </w:rPr>
  </w:style>
  <w:style w:type="character" w:customStyle="1" w:styleId="instructionsChar">
    <w:name w:val="instructions Char"/>
    <w:basedOn w:val="DefaultParagraphFont"/>
    <w:link w:val="instructions"/>
    <w:rsid w:val="003743A1"/>
    <w:rPr>
      <w:rFonts w:ascii="Arial" w:hAnsi="Arial"/>
      <w:color w:val="C0504D" w:themeColor="accent2"/>
      <w:sz w:val="18"/>
      <w:lang w:eastAsia="en-US"/>
    </w:rPr>
  </w:style>
  <w:style w:type="paragraph" w:customStyle="1" w:styleId="tablename">
    <w:name w:val="# table name"/>
    <w:basedOn w:val="Normal"/>
    <w:rsid w:val="001D78C9"/>
    <w:pPr>
      <w:keepNext/>
      <w:spacing w:before="240" w:after="120"/>
    </w:pPr>
    <w:rPr>
      <w:rFonts w:cs="Arial"/>
      <w:b/>
      <w:color w:val="064EA8"/>
      <w:sz w:val="18"/>
      <w:szCs w:val="18"/>
    </w:rPr>
  </w:style>
  <w:style w:type="table" w:styleId="TableGrid">
    <w:name w:val="Table Grid"/>
    <w:basedOn w:val="TableNormal"/>
    <w:uiPriority w:val="59"/>
    <w:rsid w:val="001D7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s">
    <w:name w:val="# table titles"/>
    <w:basedOn w:val="Normal"/>
    <w:rsid w:val="001D78C9"/>
    <w:pPr>
      <w:spacing w:before="60" w:after="60"/>
    </w:pPr>
    <w:rPr>
      <w:rFonts w:cs="Arial"/>
      <w:b/>
      <w:color w:val="FFFFFF"/>
      <w:sz w:val="18"/>
    </w:rPr>
  </w:style>
  <w:style w:type="paragraph" w:customStyle="1" w:styleId="tabletext">
    <w:name w:val="# table text"/>
    <w:basedOn w:val="Normal"/>
    <w:rsid w:val="001D78C9"/>
    <w:pPr>
      <w:spacing w:before="60" w:after="60"/>
    </w:pPr>
    <w:rPr>
      <w:rFonts w:cs="Arial"/>
      <w:sz w:val="18"/>
      <w:szCs w:val="18"/>
    </w:rPr>
  </w:style>
  <w:style w:type="paragraph" w:styleId="ListParagraph">
    <w:name w:val="List Paragraph"/>
    <w:basedOn w:val="Normal"/>
    <w:uiPriority w:val="34"/>
    <w:qFormat/>
    <w:rsid w:val="00684C16"/>
    <w:pPr>
      <w:ind w:left="720"/>
      <w:contextualSpacing/>
    </w:pPr>
  </w:style>
  <w:style w:type="paragraph" w:styleId="BodyText">
    <w:name w:val="Body Text"/>
    <w:basedOn w:val="Normal"/>
    <w:link w:val="BodyTextChar"/>
    <w:rsid w:val="002167F2"/>
    <w:pPr>
      <w:numPr>
        <w:numId w:val="5"/>
      </w:numPr>
      <w:spacing w:before="180"/>
    </w:pPr>
    <w:rPr>
      <w:sz w:val="18"/>
      <w:lang w:eastAsia="en-US"/>
    </w:rPr>
  </w:style>
  <w:style w:type="character" w:customStyle="1" w:styleId="BodyTextChar">
    <w:name w:val="Body Text Char"/>
    <w:basedOn w:val="DefaultParagraphFont"/>
    <w:link w:val="BodyText"/>
    <w:rsid w:val="002167F2"/>
    <w:rPr>
      <w:rFonts w:ascii="Arial" w:hAnsi="Arial"/>
      <w:sz w:val="18"/>
      <w:lang w:eastAsia="en-US"/>
    </w:rPr>
  </w:style>
  <w:style w:type="paragraph" w:styleId="ListNumber">
    <w:name w:val="List Number"/>
    <w:basedOn w:val="BodyText"/>
    <w:rsid w:val="002167F2"/>
    <w:pPr>
      <w:numPr>
        <w:ilvl w:val="1"/>
      </w:numPr>
    </w:pPr>
  </w:style>
  <w:style w:type="paragraph" w:styleId="ListNumber3">
    <w:name w:val="List Number 3"/>
    <w:basedOn w:val="ListNumber"/>
    <w:rsid w:val="002167F2"/>
    <w:pPr>
      <w:numPr>
        <w:ilvl w:val="3"/>
      </w:numPr>
    </w:pPr>
  </w:style>
  <w:style w:type="paragraph" w:styleId="ListNumber2">
    <w:name w:val="List Number 2"/>
    <w:basedOn w:val="ListNumber"/>
    <w:rsid w:val="002167F2"/>
    <w:pPr>
      <w:numPr>
        <w:ilvl w:val="2"/>
      </w:numPr>
    </w:pPr>
  </w:style>
  <w:style w:type="character" w:customStyle="1" w:styleId="Heading1Char">
    <w:name w:val="Heading 1 Char"/>
    <w:basedOn w:val="DefaultParagraphFont"/>
    <w:link w:val="Heading1"/>
    <w:uiPriority w:val="9"/>
    <w:rsid w:val="00684C16"/>
    <w:rPr>
      <w:b/>
      <w:bCs/>
      <w:caps/>
      <w:color w:val="FFFFFF" w:themeColor="background1"/>
      <w:spacing w:val="15"/>
      <w:shd w:val="clear" w:color="auto" w:fill="4F81BD" w:themeFill="accent1"/>
    </w:rPr>
  </w:style>
  <w:style w:type="paragraph" w:styleId="TOCHeading">
    <w:name w:val="TOC Heading"/>
    <w:basedOn w:val="Heading1"/>
    <w:next w:val="Normal"/>
    <w:uiPriority w:val="39"/>
    <w:semiHidden/>
    <w:unhideWhenUsed/>
    <w:qFormat/>
    <w:rsid w:val="00684C16"/>
    <w:pPr>
      <w:outlineLvl w:val="9"/>
    </w:pPr>
    <w:rPr>
      <w:lang w:bidi="en-US"/>
    </w:rPr>
  </w:style>
  <w:style w:type="paragraph" w:styleId="Title">
    <w:name w:val="Title"/>
    <w:basedOn w:val="Normal"/>
    <w:next w:val="Normal"/>
    <w:link w:val="TitleChar"/>
    <w:uiPriority w:val="10"/>
    <w:qFormat/>
    <w:rsid w:val="00684C16"/>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684C16"/>
    <w:rPr>
      <w:caps/>
      <w:color w:val="4F81BD" w:themeColor="accent1"/>
      <w:spacing w:val="10"/>
      <w:kern w:val="28"/>
      <w:sz w:val="52"/>
      <w:szCs w:val="52"/>
    </w:rPr>
  </w:style>
  <w:style w:type="paragraph" w:styleId="TOC1">
    <w:name w:val="toc 1"/>
    <w:basedOn w:val="Normal"/>
    <w:next w:val="Normal"/>
    <w:autoRedefine/>
    <w:uiPriority w:val="39"/>
    <w:unhideWhenUsed/>
    <w:rsid w:val="00684C16"/>
    <w:pPr>
      <w:spacing w:after="100"/>
    </w:pPr>
  </w:style>
  <w:style w:type="character" w:styleId="Hyperlink">
    <w:name w:val="Hyperlink"/>
    <w:basedOn w:val="DefaultParagraphFont"/>
    <w:uiPriority w:val="99"/>
    <w:unhideWhenUsed/>
    <w:rsid w:val="00684C16"/>
    <w:rPr>
      <w:color w:val="0000FF" w:themeColor="hyperlink"/>
      <w:u w:val="single"/>
    </w:rPr>
  </w:style>
  <w:style w:type="character" w:customStyle="1" w:styleId="Heading2Char">
    <w:name w:val="Heading 2 Char"/>
    <w:basedOn w:val="DefaultParagraphFont"/>
    <w:link w:val="Heading2"/>
    <w:uiPriority w:val="9"/>
    <w:rsid w:val="00684C16"/>
    <w:rPr>
      <w:caps/>
      <w:spacing w:val="15"/>
      <w:shd w:val="clear" w:color="auto" w:fill="DBE5F1" w:themeFill="accent1" w:themeFillTint="33"/>
    </w:rPr>
  </w:style>
  <w:style w:type="character" w:customStyle="1" w:styleId="Heading3Char">
    <w:name w:val="Heading 3 Char"/>
    <w:basedOn w:val="DefaultParagraphFont"/>
    <w:link w:val="Heading3"/>
    <w:uiPriority w:val="9"/>
    <w:rsid w:val="00684C16"/>
    <w:rPr>
      <w:caps/>
      <w:color w:val="243F60" w:themeColor="accent1" w:themeShade="7F"/>
      <w:spacing w:val="15"/>
    </w:rPr>
  </w:style>
  <w:style w:type="character" w:customStyle="1" w:styleId="Heading4Char">
    <w:name w:val="Heading 4 Char"/>
    <w:basedOn w:val="DefaultParagraphFont"/>
    <w:link w:val="Heading4"/>
    <w:uiPriority w:val="9"/>
    <w:rsid w:val="00684C16"/>
    <w:rPr>
      <w:caps/>
      <w:color w:val="365F91" w:themeColor="accent1" w:themeShade="BF"/>
      <w:spacing w:val="10"/>
    </w:rPr>
  </w:style>
  <w:style w:type="character" w:customStyle="1" w:styleId="Heading5Char">
    <w:name w:val="Heading 5 Char"/>
    <w:basedOn w:val="DefaultParagraphFont"/>
    <w:link w:val="Heading5"/>
    <w:uiPriority w:val="9"/>
    <w:semiHidden/>
    <w:rsid w:val="00684C16"/>
    <w:rPr>
      <w:caps/>
      <w:color w:val="365F91" w:themeColor="accent1" w:themeShade="BF"/>
      <w:spacing w:val="10"/>
    </w:rPr>
  </w:style>
  <w:style w:type="character" w:customStyle="1" w:styleId="Heading6Char">
    <w:name w:val="Heading 6 Char"/>
    <w:basedOn w:val="DefaultParagraphFont"/>
    <w:link w:val="Heading6"/>
    <w:uiPriority w:val="9"/>
    <w:semiHidden/>
    <w:rsid w:val="00684C16"/>
    <w:rPr>
      <w:caps/>
      <w:color w:val="365F91" w:themeColor="accent1" w:themeShade="BF"/>
      <w:spacing w:val="10"/>
    </w:rPr>
  </w:style>
  <w:style w:type="character" w:customStyle="1" w:styleId="Heading7Char">
    <w:name w:val="Heading 7 Char"/>
    <w:basedOn w:val="DefaultParagraphFont"/>
    <w:link w:val="Heading7"/>
    <w:uiPriority w:val="9"/>
    <w:semiHidden/>
    <w:rsid w:val="00684C16"/>
    <w:rPr>
      <w:caps/>
      <w:color w:val="365F91" w:themeColor="accent1" w:themeShade="BF"/>
      <w:spacing w:val="10"/>
    </w:rPr>
  </w:style>
  <w:style w:type="character" w:customStyle="1" w:styleId="Heading8Char">
    <w:name w:val="Heading 8 Char"/>
    <w:basedOn w:val="DefaultParagraphFont"/>
    <w:link w:val="Heading8"/>
    <w:uiPriority w:val="9"/>
    <w:semiHidden/>
    <w:rsid w:val="00684C16"/>
    <w:rPr>
      <w:caps/>
      <w:spacing w:val="10"/>
      <w:sz w:val="18"/>
      <w:szCs w:val="18"/>
    </w:rPr>
  </w:style>
  <w:style w:type="character" w:customStyle="1" w:styleId="Heading9Char">
    <w:name w:val="Heading 9 Char"/>
    <w:basedOn w:val="DefaultParagraphFont"/>
    <w:link w:val="Heading9"/>
    <w:uiPriority w:val="9"/>
    <w:semiHidden/>
    <w:rsid w:val="00684C16"/>
    <w:rPr>
      <w:i/>
      <w:caps/>
      <w:spacing w:val="10"/>
      <w:sz w:val="18"/>
      <w:szCs w:val="18"/>
    </w:rPr>
  </w:style>
  <w:style w:type="paragraph" w:styleId="Caption">
    <w:name w:val="caption"/>
    <w:basedOn w:val="Normal"/>
    <w:next w:val="Normal"/>
    <w:uiPriority w:val="35"/>
    <w:semiHidden/>
    <w:unhideWhenUsed/>
    <w:qFormat/>
    <w:rsid w:val="00684C16"/>
    <w:rPr>
      <w:b/>
      <w:bCs/>
      <w:color w:val="365F91" w:themeColor="accent1" w:themeShade="BF"/>
      <w:sz w:val="16"/>
      <w:szCs w:val="16"/>
    </w:rPr>
  </w:style>
  <w:style w:type="paragraph" w:styleId="Subtitle">
    <w:name w:val="Subtitle"/>
    <w:basedOn w:val="Normal"/>
    <w:next w:val="Normal"/>
    <w:link w:val="SubtitleChar"/>
    <w:uiPriority w:val="11"/>
    <w:qFormat/>
    <w:rsid w:val="00684C16"/>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684C16"/>
    <w:rPr>
      <w:caps/>
      <w:color w:val="595959" w:themeColor="text1" w:themeTint="A6"/>
      <w:spacing w:val="10"/>
      <w:sz w:val="24"/>
      <w:szCs w:val="24"/>
    </w:rPr>
  </w:style>
  <w:style w:type="character" w:styleId="Strong">
    <w:name w:val="Strong"/>
    <w:uiPriority w:val="22"/>
    <w:qFormat/>
    <w:rsid w:val="00684C16"/>
    <w:rPr>
      <w:b/>
      <w:bCs/>
    </w:rPr>
  </w:style>
  <w:style w:type="character" w:styleId="Emphasis">
    <w:name w:val="Emphasis"/>
    <w:uiPriority w:val="20"/>
    <w:qFormat/>
    <w:rsid w:val="00684C16"/>
    <w:rPr>
      <w:caps/>
      <w:color w:val="243F60" w:themeColor="accent1" w:themeShade="7F"/>
      <w:spacing w:val="5"/>
    </w:rPr>
  </w:style>
  <w:style w:type="paragraph" w:styleId="NoSpacing">
    <w:name w:val="No Spacing"/>
    <w:basedOn w:val="Normal"/>
    <w:link w:val="NoSpacingChar"/>
    <w:uiPriority w:val="1"/>
    <w:qFormat/>
    <w:rsid w:val="00684C16"/>
    <w:pPr>
      <w:spacing w:before="0" w:after="0" w:line="240" w:lineRule="auto"/>
    </w:pPr>
  </w:style>
  <w:style w:type="character" w:customStyle="1" w:styleId="NoSpacingChar">
    <w:name w:val="No Spacing Char"/>
    <w:basedOn w:val="DefaultParagraphFont"/>
    <w:link w:val="NoSpacing"/>
    <w:uiPriority w:val="1"/>
    <w:rsid w:val="00684C16"/>
    <w:rPr>
      <w:sz w:val="20"/>
      <w:szCs w:val="20"/>
    </w:rPr>
  </w:style>
  <w:style w:type="paragraph" w:styleId="Quote">
    <w:name w:val="Quote"/>
    <w:basedOn w:val="Normal"/>
    <w:next w:val="Normal"/>
    <w:link w:val="QuoteChar"/>
    <w:uiPriority w:val="29"/>
    <w:qFormat/>
    <w:rsid w:val="00684C16"/>
    <w:rPr>
      <w:i/>
      <w:iCs/>
    </w:rPr>
  </w:style>
  <w:style w:type="character" w:customStyle="1" w:styleId="QuoteChar">
    <w:name w:val="Quote Char"/>
    <w:basedOn w:val="DefaultParagraphFont"/>
    <w:link w:val="Quote"/>
    <w:uiPriority w:val="29"/>
    <w:rsid w:val="00684C16"/>
    <w:rPr>
      <w:i/>
      <w:iCs/>
      <w:sz w:val="20"/>
      <w:szCs w:val="20"/>
    </w:rPr>
  </w:style>
  <w:style w:type="paragraph" w:styleId="IntenseQuote">
    <w:name w:val="Intense Quote"/>
    <w:basedOn w:val="Normal"/>
    <w:next w:val="Normal"/>
    <w:link w:val="IntenseQuoteChar"/>
    <w:uiPriority w:val="30"/>
    <w:qFormat/>
    <w:rsid w:val="00684C16"/>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684C16"/>
    <w:rPr>
      <w:i/>
      <w:iCs/>
      <w:color w:val="4F81BD" w:themeColor="accent1"/>
      <w:sz w:val="20"/>
      <w:szCs w:val="20"/>
    </w:rPr>
  </w:style>
  <w:style w:type="character" w:styleId="SubtleEmphasis">
    <w:name w:val="Subtle Emphasis"/>
    <w:uiPriority w:val="19"/>
    <w:qFormat/>
    <w:rsid w:val="00684C16"/>
    <w:rPr>
      <w:i/>
      <w:iCs/>
      <w:color w:val="243F60" w:themeColor="accent1" w:themeShade="7F"/>
    </w:rPr>
  </w:style>
  <w:style w:type="character" w:styleId="IntenseEmphasis">
    <w:name w:val="Intense Emphasis"/>
    <w:uiPriority w:val="21"/>
    <w:qFormat/>
    <w:rsid w:val="00684C16"/>
    <w:rPr>
      <w:b/>
      <w:bCs/>
      <w:caps/>
      <w:color w:val="243F60" w:themeColor="accent1" w:themeShade="7F"/>
      <w:spacing w:val="10"/>
    </w:rPr>
  </w:style>
  <w:style w:type="character" w:styleId="SubtleReference">
    <w:name w:val="Subtle Reference"/>
    <w:uiPriority w:val="31"/>
    <w:qFormat/>
    <w:rsid w:val="00684C16"/>
    <w:rPr>
      <w:b/>
      <w:bCs/>
      <w:color w:val="4F81BD" w:themeColor="accent1"/>
    </w:rPr>
  </w:style>
  <w:style w:type="character" w:styleId="IntenseReference">
    <w:name w:val="Intense Reference"/>
    <w:uiPriority w:val="32"/>
    <w:qFormat/>
    <w:rsid w:val="00684C16"/>
    <w:rPr>
      <w:b/>
      <w:bCs/>
      <w:i/>
      <w:iCs/>
      <w:caps/>
      <w:color w:val="4F81BD" w:themeColor="accent1"/>
    </w:rPr>
  </w:style>
  <w:style w:type="character" w:styleId="BookTitle">
    <w:name w:val="Book Title"/>
    <w:uiPriority w:val="33"/>
    <w:qFormat/>
    <w:rsid w:val="00684C16"/>
    <w:rPr>
      <w:b/>
      <w:bCs/>
      <w:i/>
      <w:iCs/>
      <w:spacing w:val="9"/>
    </w:rPr>
  </w:style>
  <w:style w:type="paragraph" w:styleId="TOC2">
    <w:name w:val="toc 2"/>
    <w:basedOn w:val="Normal"/>
    <w:next w:val="Normal"/>
    <w:autoRedefine/>
    <w:uiPriority w:val="39"/>
    <w:unhideWhenUsed/>
    <w:rsid w:val="00775B32"/>
    <w:pPr>
      <w:spacing w:after="100"/>
      <w:ind w:left="200"/>
    </w:pPr>
  </w:style>
  <w:style w:type="paragraph" w:styleId="TOC3">
    <w:name w:val="toc 3"/>
    <w:basedOn w:val="Normal"/>
    <w:next w:val="Normal"/>
    <w:autoRedefine/>
    <w:uiPriority w:val="39"/>
    <w:unhideWhenUsed/>
    <w:rsid w:val="00775B32"/>
    <w:pPr>
      <w:spacing w:after="100"/>
      <w:ind w:left="400"/>
    </w:pPr>
  </w:style>
  <w:style w:type="paragraph" w:customStyle="1" w:styleId="DisclaimerText4">
    <w:name w:val="Disclaimer Text 4"/>
    <w:basedOn w:val="Normal"/>
    <w:rsid w:val="006A0BAC"/>
    <w:pPr>
      <w:framePr w:hSpace="181" w:wrap="around" w:vAnchor="page" w:hAnchor="margin" w:y="11341"/>
      <w:spacing w:before="0" w:after="0" w:line="240" w:lineRule="auto"/>
      <w:suppressOverlap/>
    </w:pPr>
    <w:rPr>
      <w:rFonts w:ascii="Arial" w:eastAsia="Times New Roman" w:hAnsi="Arial" w:cs="Times New Roman"/>
      <w:b/>
      <w:bCs/>
      <w:i/>
      <w:spacing w:val="1"/>
      <w:sz w:val="14"/>
      <w:lang w:eastAsia="en-US"/>
    </w:rPr>
  </w:style>
  <w:style w:type="table" w:styleId="LightShading-Accent1">
    <w:name w:val="Light Shading Accent 1"/>
    <w:basedOn w:val="TableNormal"/>
    <w:uiPriority w:val="60"/>
    <w:rsid w:val="00217B81"/>
    <w:pPr>
      <w:spacing w:before="0"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4C16"/>
    <w:rPr>
      <w:sz w:val="20"/>
      <w:szCs w:val="20"/>
    </w:rPr>
  </w:style>
  <w:style w:type="paragraph" w:styleId="Heading1">
    <w:name w:val="heading 1"/>
    <w:basedOn w:val="Normal"/>
    <w:next w:val="Normal"/>
    <w:link w:val="Heading1Char"/>
    <w:uiPriority w:val="9"/>
    <w:qFormat/>
    <w:rsid w:val="00684C16"/>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684C16"/>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684C16"/>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684C16"/>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684C16"/>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684C16"/>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684C16"/>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684C16"/>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684C16"/>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1116"/>
    <w:pPr>
      <w:tabs>
        <w:tab w:val="center" w:pos="4513"/>
        <w:tab w:val="right" w:pos="9026"/>
      </w:tabs>
    </w:pPr>
  </w:style>
  <w:style w:type="character" w:customStyle="1" w:styleId="HeaderChar">
    <w:name w:val="Header Char"/>
    <w:basedOn w:val="DefaultParagraphFont"/>
    <w:link w:val="Header"/>
    <w:uiPriority w:val="99"/>
    <w:rsid w:val="00D21116"/>
    <w:rPr>
      <w:sz w:val="24"/>
      <w:szCs w:val="24"/>
    </w:rPr>
  </w:style>
  <w:style w:type="paragraph" w:styleId="Footer">
    <w:name w:val="footer"/>
    <w:basedOn w:val="Normal"/>
    <w:link w:val="FooterChar"/>
    <w:uiPriority w:val="99"/>
    <w:unhideWhenUsed/>
    <w:rsid w:val="00D21116"/>
    <w:pPr>
      <w:tabs>
        <w:tab w:val="center" w:pos="4513"/>
        <w:tab w:val="right" w:pos="9026"/>
      </w:tabs>
    </w:pPr>
  </w:style>
  <w:style w:type="character" w:customStyle="1" w:styleId="FooterChar">
    <w:name w:val="Footer Char"/>
    <w:basedOn w:val="DefaultParagraphFont"/>
    <w:link w:val="Footer"/>
    <w:uiPriority w:val="99"/>
    <w:rsid w:val="00D21116"/>
    <w:rPr>
      <w:sz w:val="24"/>
      <w:szCs w:val="24"/>
    </w:rPr>
  </w:style>
  <w:style w:type="paragraph" w:styleId="BalloonText">
    <w:name w:val="Balloon Text"/>
    <w:basedOn w:val="Normal"/>
    <w:link w:val="BalloonTextChar"/>
    <w:uiPriority w:val="99"/>
    <w:semiHidden/>
    <w:unhideWhenUsed/>
    <w:rsid w:val="00D21116"/>
    <w:rPr>
      <w:rFonts w:cs="Tahoma"/>
      <w:sz w:val="16"/>
      <w:szCs w:val="16"/>
    </w:rPr>
  </w:style>
  <w:style w:type="character" w:customStyle="1" w:styleId="BalloonTextChar">
    <w:name w:val="Balloon Text Char"/>
    <w:basedOn w:val="DefaultParagraphFont"/>
    <w:link w:val="BalloonText"/>
    <w:uiPriority w:val="99"/>
    <w:semiHidden/>
    <w:rsid w:val="00D21116"/>
    <w:rPr>
      <w:rFonts w:ascii="Tahoma" w:hAnsi="Tahoma" w:cs="Tahoma"/>
      <w:sz w:val="16"/>
      <w:szCs w:val="16"/>
    </w:rPr>
  </w:style>
  <w:style w:type="paragraph" w:customStyle="1" w:styleId="infosheettitle">
    <w:name w:val="# infosheet title"/>
    <w:basedOn w:val="Normal"/>
    <w:link w:val="infosheettitleChar"/>
    <w:qFormat/>
    <w:rsid w:val="00DE7D75"/>
    <w:pPr>
      <w:spacing w:line="420" w:lineRule="exact"/>
      <w:ind w:right="3357"/>
    </w:pPr>
    <w:rPr>
      <w:rFonts w:ascii="Arial Bold" w:hAnsi="Arial Bold"/>
      <w:b/>
      <w:color w:val="FFFFFF"/>
      <w:sz w:val="44"/>
      <w:szCs w:val="40"/>
    </w:rPr>
  </w:style>
  <w:style w:type="character" w:customStyle="1" w:styleId="infosheettitleChar">
    <w:name w:val="# infosheet title Char"/>
    <w:basedOn w:val="DefaultParagraphFont"/>
    <w:link w:val="infosheettitle"/>
    <w:rsid w:val="00DE7D75"/>
    <w:rPr>
      <w:rFonts w:ascii="Arial Bold" w:hAnsi="Arial Bold"/>
      <w:b/>
      <w:color w:val="FFFFFF"/>
      <w:sz w:val="44"/>
      <w:szCs w:val="40"/>
    </w:rPr>
  </w:style>
  <w:style w:type="paragraph" w:customStyle="1" w:styleId="infosheetsubtitle">
    <w:name w:val="# infosheet subtitle"/>
    <w:basedOn w:val="Normal"/>
    <w:link w:val="infosheetsubtitleChar"/>
    <w:qFormat/>
    <w:rsid w:val="00DE7D75"/>
    <w:pPr>
      <w:spacing w:before="180" w:after="120" w:line="320" w:lineRule="exact"/>
      <w:ind w:right="3357"/>
      <w:contextualSpacing/>
    </w:pPr>
    <w:rPr>
      <w:color w:val="FFFFFF"/>
      <w:sz w:val="32"/>
    </w:rPr>
  </w:style>
  <w:style w:type="character" w:customStyle="1" w:styleId="infosheetsubtitleChar">
    <w:name w:val="# infosheet subtitle Char"/>
    <w:basedOn w:val="DefaultParagraphFont"/>
    <w:link w:val="infosheetsubtitle"/>
    <w:rsid w:val="00DE7D75"/>
    <w:rPr>
      <w:rFonts w:ascii="Arial" w:hAnsi="Arial"/>
      <w:color w:val="FFFFFF"/>
      <w:sz w:val="32"/>
      <w:szCs w:val="24"/>
    </w:rPr>
  </w:style>
  <w:style w:type="paragraph" w:customStyle="1" w:styleId="introtext">
    <w:name w:val="# intro text"/>
    <w:basedOn w:val="Normal"/>
    <w:next w:val="bodycopy"/>
    <w:rsid w:val="001D78C9"/>
    <w:pPr>
      <w:spacing w:before="300" w:after="360" w:line="320" w:lineRule="atLeast"/>
    </w:pPr>
    <w:rPr>
      <w:rFonts w:cs="Arial"/>
      <w:color w:val="064EA8"/>
      <w:spacing w:val="-10"/>
      <w:sz w:val="28"/>
    </w:rPr>
  </w:style>
  <w:style w:type="paragraph" w:customStyle="1" w:styleId="bodycopy">
    <w:name w:val="# body copy"/>
    <w:basedOn w:val="Normal"/>
    <w:qFormat/>
    <w:rsid w:val="00DB0772"/>
    <w:pPr>
      <w:spacing w:after="120"/>
    </w:pPr>
    <w:rPr>
      <w:rFonts w:cs="Arial"/>
    </w:rPr>
  </w:style>
  <w:style w:type="paragraph" w:customStyle="1" w:styleId="dotpoints">
    <w:name w:val="# dot points"/>
    <w:basedOn w:val="Normal"/>
    <w:link w:val="dotpointsChar"/>
    <w:rsid w:val="00055849"/>
    <w:pPr>
      <w:keepLines/>
      <w:numPr>
        <w:numId w:val="1"/>
      </w:numPr>
      <w:spacing w:before="180" w:after="180" w:line="300" w:lineRule="auto"/>
      <w:ind w:left="357" w:hanging="357"/>
      <w:contextualSpacing/>
    </w:pPr>
    <w:rPr>
      <w:rFonts w:cs="Arial"/>
    </w:rPr>
  </w:style>
  <w:style w:type="character" w:customStyle="1" w:styleId="dotpointsChar">
    <w:name w:val="# dot points Char"/>
    <w:basedOn w:val="DefaultParagraphFont"/>
    <w:link w:val="dotpoints"/>
    <w:rsid w:val="00055849"/>
    <w:rPr>
      <w:rFonts w:ascii="Tahoma" w:hAnsi="Tahoma" w:cs="Arial"/>
      <w:color w:val="000000" w:themeColor="text1"/>
    </w:rPr>
  </w:style>
  <w:style w:type="paragraph" w:customStyle="1" w:styleId="heading1blue">
    <w:name w:val="# heading 1 blue"/>
    <w:basedOn w:val="Normal"/>
    <w:next w:val="bodycopy"/>
    <w:qFormat/>
    <w:rsid w:val="00CD26FA"/>
    <w:pPr>
      <w:keepNext/>
      <w:spacing w:before="240" w:after="120"/>
    </w:pPr>
    <w:rPr>
      <w:rFonts w:cs="Arial"/>
      <w:color w:val="064EA8"/>
      <w:sz w:val="24"/>
    </w:rPr>
  </w:style>
  <w:style w:type="paragraph" w:customStyle="1" w:styleId="heading2black">
    <w:name w:val="# heading 2 black"/>
    <w:basedOn w:val="heading1blue"/>
    <w:next w:val="bodycopy"/>
    <w:rsid w:val="00CD26FA"/>
    <w:rPr>
      <w:b/>
      <w:color w:val="auto"/>
      <w:sz w:val="20"/>
    </w:rPr>
  </w:style>
  <w:style w:type="paragraph" w:customStyle="1" w:styleId="instructions">
    <w:name w:val="instructions"/>
    <w:basedOn w:val="Normal"/>
    <w:link w:val="instructionsChar"/>
    <w:rsid w:val="003743A1"/>
    <w:pPr>
      <w:spacing w:before="60" w:after="120"/>
    </w:pPr>
    <w:rPr>
      <w:color w:val="C0504D" w:themeColor="accent2"/>
      <w:sz w:val="18"/>
      <w:lang w:eastAsia="en-US"/>
    </w:rPr>
  </w:style>
  <w:style w:type="character" w:customStyle="1" w:styleId="instructionsChar">
    <w:name w:val="instructions Char"/>
    <w:basedOn w:val="DefaultParagraphFont"/>
    <w:link w:val="instructions"/>
    <w:rsid w:val="003743A1"/>
    <w:rPr>
      <w:rFonts w:ascii="Arial" w:hAnsi="Arial"/>
      <w:color w:val="C0504D" w:themeColor="accent2"/>
      <w:sz w:val="18"/>
      <w:lang w:eastAsia="en-US"/>
    </w:rPr>
  </w:style>
  <w:style w:type="paragraph" w:customStyle="1" w:styleId="tablename">
    <w:name w:val="# table name"/>
    <w:basedOn w:val="Normal"/>
    <w:rsid w:val="001D78C9"/>
    <w:pPr>
      <w:keepNext/>
      <w:spacing w:before="240" w:after="120"/>
    </w:pPr>
    <w:rPr>
      <w:rFonts w:cs="Arial"/>
      <w:b/>
      <w:color w:val="064EA8"/>
      <w:sz w:val="18"/>
      <w:szCs w:val="18"/>
    </w:rPr>
  </w:style>
  <w:style w:type="table" w:styleId="TableGrid">
    <w:name w:val="Table Grid"/>
    <w:basedOn w:val="TableNormal"/>
    <w:uiPriority w:val="59"/>
    <w:rsid w:val="001D7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s">
    <w:name w:val="# table titles"/>
    <w:basedOn w:val="Normal"/>
    <w:rsid w:val="001D78C9"/>
    <w:pPr>
      <w:spacing w:before="60" w:after="60"/>
    </w:pPr>
    <w:rPr>
      <w:rFonts w:cs="Arial"/>
      <w:b/>
      <w:color w:val="FFFFFF"/>
      <w:sz w:val="18"/>
    </w:rPr>
  </w:style>
  <w:style w:type="paragraph" w:customStyle="1" w:styleId="tabletext">
    <w:name w:val="# table text"/>
    <w:basedOn w:val="Normal"/>
    <w:rsid w:val="001D78C9"/>
    <w:pPr>
      <w:spacing w:before="60" w:after="60"/>
    </w:pPr>
    <w:rPr>
      <w:rFonts w:cs="Arial"/>
      <w:sz w:val="18"/>
      <w:szCs w:val="18"/>
    </w:rPr>
  </w:style>
  <w:style w:type="paragraph" w:styleId="ListParagraph">
    <w:name w:val="List Paragraph"/>
    <w:basedOn w:val="Normal"/>
    <w:uiPriority w:val="34"/>
    <w:qFormat/>
    <w:rsid w:val="00684C16"/>
    <w:pPr>
      <w:ind w:left="720"/>
      <w:contextualSpacing/>
    </w:pPr>
  </w:style>
  <w:style w:type="paragraph" w:styleId="BodyText">
    <w:name w:val="Body Text"/>
    <w:basedOn w:val="Normal"/>
    <w:link w:val="BodyTextChar"/>
    <w:rsid w:val="002167F2"/>
    <w:pPr>
      <w:numPr>
        <w:numId w:val="5"/>
      </w:numPr>
      <w:spacing w:before="180"/>
    </w:pPr>
    <w:rPr>
      <w:sz w:val="18"/>
      <w:lang w:eastAsia="en-US"/>
    </w:rPr>
  </w:style>
  <w:style w:type="character" w:customStyle="1" w:styleId="BodyTextChar">
    <w:name w:val="Body Text Char"/>
    <w:basedOn w:val="DefaultParagraphFont"/>
    <w:link w:val="BodyText"/>
    <w:rsid w:val="002167F2"/>
    <w:rPr>
      <w:rFonts w:ascii="Arial" w:hAnsi="Arial"/>
      <w:sz w:val="18"/>
      <w:lang w:eastAsia="en-US"/>
    </w:rPr>
  </w:style>
  <w:style w:type="paragraph" w:styleId="ListNumber">
    <w:name w:val="List Number"/>
    <w:basedOn w:val="BodyText"/>
    <w:rsid w:val="002167F2"/>
    <w:pPr>
      <w:numPr>
        <w:ilvl w:val="1"/>
      </w:numPr>
    </w:pPr>
  </w:style>
  <w:style w:type="paragraph" w:styleId="ListNumber3">
    <w:name w:val="List Number 3"/>
    <w:basedOn w:val="ListNumber"/>
    <w:rsid w:val="002167F2"/>
    <w:pPr>
      <w:numPr>
        <w:ilvl w:val="3"/>
      </w:numPr>
    </w:pPr>
  </w:style>
  <w:style w:type="paragraph" w:styleId="ListNumber2">
    <w:name w:val="List Number 2"/>
    <w:basedOn w:val="ListNumber"/>
    <w:rsid w:val="002167F2"/>
    <w:pPr>
      <w:numPr>
        <w:ilvl w:val="2"/>
      </w:numPr>
    </w:pPr>
  </w:style>
  <w:style w:type="character" w:customStyle="1" w:styleId="Heading1Char">
    <w:name w:val="Heading 1 Char"/>
    <w:basedOn w:val="DefaultParagraphFont"/>
    <w:link w:val="Heading1"/>
    <w:uiPriority w:val="9"/>
    <w:rsid w:val="00684C16"/>
    <w:rPr>
      <w:b/>
      <w:bCs/>
      <w:caps/>
      <w:color w:val="FFFFFF" w:themeColor="background1"/>
      <w:spacing w:val="15"/>
      <w:shd w:val="clear" w:color="auto" w:fill="4F81BD" w:themeFill="accent1"/>
    </w:rPr>
  </w:style>
  <w:style w:type="paragraph" w:styleId="TOCHeading">
    <w:name w:val="TOC Heading"/>
    <w:basedOn w:val="Heading1"/>
    <w:next w:val="Normal"/>
    <w:uiPriority w:val="39"/>
    <w:semiHidden/>
    <w:unhideWhenUsed/>
    <w:qFormat/>
    <w:rsid w:val="00684C16"/>
    <w:pPr>
      <w:outlineLvl w:val="9"/>
    </w:pPr>
    <w:rPr>
      <w:lang w:bidi="en-US"/>
    </w:rPr>
  </w:style>
  <w:style w:type="paragraph" w:styleId="Title">
    <w:name w:val="Title"/>
    <w:basedOn w:val="Normal"/>
    <w:next w:val="Normal"/>
    <w:link w:val="TitleChar"/>
    <w:uiPriority w:val="10"/>
    <w:qFormat/>
    <w:rsid w:val="00684C16"/>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684C16"/>
    <w:rPr>
      <w:caps/>
      <w:color w:val="4F81BD" w:themeColor="accent1"/>
      <w:spacing w:val="10"/>
      <w:kern w:val="28"/>
      <w:sz w:val="52"/>
      <w:szCs w:val="52"/>
    </w:rPr>
  </w:style>
  <w:style w:type="paragraph" w:styleId="TOC1">
    <w:name w:val="toc 1"/>
    <w:basedOn w:val="Normal"/>
    <w:next w:val="Normal"/>
    <w:autoRedefine/>
    <w:uiPriority w:val="39"/>
    <w:unhideWhenUsed/>
    <w:rsid w:val="00684C16"/>
    <w:pPr>
      <w:spacing w:after="100"/>
    </w:pPr>
  </w:style>
  <w:style w:type="character" w:styleId="Hyperlink">
    <w:name w:val="Hyperlink"/>
    <w:basedOn w:val="DefaultParagraphFont"/>
    <w:uiPriority w:val="99"/>
    <w:unhideWhenUsed/>
    <w:rsid w:val="00684C16"/>
    <w:rPr>
      <w:color w:val="0000FF" w:themeColor="hyperlink"/>
      <w:u w:val="single"/>
    </w:rPr>
  </w:style>
  <w:style w:type="character" w:customStyle="1" w:styleId="Heading2Char">
    <w:name w:val="Heading 2 Char"/>
    <w:basedOn w:val="DefaultParagraphFont"/>
    <w:link w:val="Heading2"/>
    <w:uiPriority w:val="9"/>
    <w:rsid w:val="00684C16"/>
    <w:rPr>
      <w:caps/>
      <w:spacing w:val="15"/>
      <w:shd w:val="clear" w:color="auto" w:fill="DBE5F1" w:themeFill="accent1" w:themeFillTint="33"/>
    </w:rPr>
  </w:style>
  <w:style w:type="character" w:customStyle="1" w:styleId="Heading3Char">
    <w:name w:val="Heading 3 Char"/>
    <w:basedOn w:val="DefaultParagraphFont"/>
    <w:link w:val="Heading3"/>
    <w:uiPriority w:val="9"/>
    <w:rsid w:val="00684C16"/>
    <w:rPr>
      <w:caps/>
      <w:color w:val="243F60" w:themeColor="accent1" w:themeShade="7F"/>
      <w:spacing w:val="15"/>
    </w:rPr>
  </w:style>
  <w:style w:type="character" w:customStyle="1" w:styleId="Heading4Char">
    <w:name w:val="Heading 4 Char"/>
    <w:basedOn w:val="DefaultParagraphFont"/>
    <w:link w:val="Heading4"/>
    <w:uiPriority w:val="9"/>
    <w:rsid w:val="00684C16"/>
    <w:rPr>
      <w:caps/>
      <w:color w:val="365F91" w:themeColor="accent1" w:themeShade="BF"/>
      <w:spacing w:val="10"/>
    </w:rPr>
  </w:style>
  <w:style w:type="character" w:customStyle="1" w:styleId="Heading5Char">
    <w:name w:val="Heading 5 Char"/>
    <w:basedOn w:val="DefaultParagraphFont"/>
    <w:link w:val="Heading5"/>
    <w:uiPriority w:val="9"/>
    <w:semiHidden/>
    <w:rsid w:val="00684C16"/>
    <w:rPr>
      <w:caps/>
      <w:color w:val="365F91" w:themeColor="accent1" w:themeShade="BF"/>
      <w:spacing w:val="10"/>
    </w:rPr>
  </w:style>
  <w:style w:type="character" w:customStyle="1" w:styleId="Heading6Char">
    <w:name w:val="Heading 6 Char"/>
    <w:basedOn w:val="DefaultParagraphFont"/>
    <w:link w:val="Heading6"/>
    <w:uiPriority w:val="9"/>
    <w:semiHidden/>
    <w:rsid w:val="00684C16"/>
    <w:rPr>
      <w:caps/>
      <w:color w:val="365F91" w:themeColor="accent1" w:themeShade="BF"/>
      <w:spacing w:val="10"/>
    </w:rPr>
  </w:style>
  <w:style w:type="character" w:customStyle="1" w:styleId="Heading7Char">
    <w:name w:val="Heading 7 Char"/>
    <w:basedOn w:val="DefaultParagraphFont"/>
    <w:link w:val="Heading7"/>
    <w:uiPriority w:val="9"/>
    <w:semiHidden/>
    <w:rsid w:val="00684C16"/>
    <w:rPr>
      <w:caps/>
      <w:color w:val="365F91" w:themeColor="accent1" w:themeShade="BF"/>
      <w:spacing w:val="10"/>
    </w:rPr>
  </w:style>
  <w:style w:type="character" w:customStyle="1" w:styleId="Heading8Char">
    <w:name w:val="Heading 8 Char"/>
    <w:basedOn w:val="DefaultParagraphFont"/>
    <w:link w:val="Heading8"/>
    <w:uiPriority w:val="9"/>
    <w:semiHidden/>
    <w:rsid w:val="00684C16"/>
    <w:rPr>
      <w:caps/>
      <w:spacing w:val="10"/>
      <w:sz w:val="18"/>
      <w:szCs w:val="18"/>
    </w:rPr>
  </w:style>
  <w:style w:type="character" w:customStyle="1" w:styleId="Heading9Char">
    <w:name w:val="Heading 9 Char"/>
    <w:basedOn w:val="DefaultParagraphFont"/>
    <w:link w:val="Heading9"/>
    <w:uiPriority w:val="9"/>
    <w:semiHidden/>
    <w:rsid w:val="00684C16"/>
    <w:rPr>
      <w:i/>
      <w:caps/>
      <w:spacing w:val="10"/>
      <w:sz w:val="18"/>
      <w:szCs w:val="18"/>
    </w:rPr>
  </w:style>
  <w:style w:type="paragraph" w:styleId="Caption">
    <w:name w:val="caption"/>
    <w:basedOn w:val="Normal"/>
    <w:next w:val="Normal"/>
    <w:uiPriority w:val="35"/>
    <w:semiHidden/>
    <w:unhideWhenUsed/>
    <w:qFormat/>
    <w:rsid w:val="00684C16"/>
    <w:rPr>
      <w:b/>
      <w:bCs/>
      <w:color w:val="365F91" w:themeColor="accent1" w:themeShade="BF"/>
      <w:sz w:val="16"/>
      <w:szCs w:val="16"/>
    </w:rPr>
  </w:style>
  <w:style w:type="paragraph" w:styleId="Subtitle">
    <w:name w:val="Subtitle"/>
    <w:basedOn w:val="Normal"/>
    <w:next w:val="Normal"/>
    <w:link w:val="SubtitleChar"/>
    <w:uiPriority w:val="11"/>
    <w:qFormat/>
    <w:rsid w:val="00684C16"/>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684C16"/>
    <w:rPr>
      <w:caps/>
      <w:color w:val="595959" w:themeColor="text1" w:themeTint="A6"/>
      <w:spacing w:val="10"/>
      <w:sz w:val="24"/>
      <w:szCs w:val="24"/>
    </w:rPr>
  </w:style>
  <w:style w:type="character" w:styleId="Strong">
    <w:name w:val="Strong"/>
    <w:uiPriority w:val="22"/>
    <w:qFormat/>
    <w:rsid w:val="00684C16"/>
    <w:rPr>
      <w:b/>
      <w:bCs/>
    </w:rPr>
  </w:style>
  <w:style w:type="character" w:styleId="Emphasis">
    <w:name w:val="Emphasis"/>
    <w:uiPriority w:val="20"/>
    <w:qFormat/>
    <w:rsid w:val="00684C16"/>
    <w:rPr>
      <w:caps/>
      <w:color w:val="243F60" w:themeColor="accent1" w:themeShade="7F"/>
      <w:spacing w:val="5"/>
    </w:rPr>
  </w:style>
  <w:style w:type="paragraph" w:styleId="NoSpacing">
    <w:name w:val="No Spacing"/>
    <w:basedOn w:val="Normal"/>
    <w:link w:val="NoSpacingChar"/>
    <w:uiPriority w:val="1"/>
    <w:qFormat/>
    <w:rsid w:val="00684C16"/>
    <w:pPr>
      <w:spacing w:before="0" w:after="0" w:line="240" w:lineRule="auto"/>
    </w:pPr>
  </w:style>
  <w:style w:type="character" w:customStyle="1" w:styleId="NoSpacingChar">
    <w:name w:val="No Spacing Char"/>
    <w:basedOn w:val="DefaultParagraphFont"/>
    <w:link w:val="NoSpacing"/>
    <w:uiPriority w:val="1"/>
    <w:rsid w:val="00684C16"/>
    <w:rPr>
      <w:sz w:val="20"/>
      <w:szCs w:val="20"/>
    </w:rPr>
  </w:style>
  <w:style w:type="paragraph" w:styleId="Quote">
    <w:name w:val="Quote"/>
    <w:basedOn w:val="Normal"/>
    <w:next w:val="Normal"/>
    <w:link w:val="QuoteChar"/>
    <w:uiPriority w:val="29"/>
    <w:qFormat/>
    <w:rsid w:val="00684C16"/>
    <w:rPr>
      <w:i/>
      <w:iCs/>
    </w:rPr>
  </w:style>
  <w:style w:type="character" w:customStyle="1" w:styleId="QuoteChar">
    <w:name w:val="Quote Char"/>
    <w:basedOn w:val="DefaultParagraphFont"/>
    <w:link w:val="Quote"/>
    <w:uiPriority w:val="29"/>
    <w:rsid w:val="00684C16"/>
    <w:rPr>
      <w:i/>
      <w:iCs/>
      <w:sz w:val="20"/>
      <w:szCs w:val="20"/>
    </w:rPr>
  </w:style>
  <w:style w:type="paragraph" w:styleId="IntenseQuote">
    <w:name w:val="Intense Quote"/>
    <w:basedOn w:val="Normal"/>
    <w:next w:val="Normal"/>
    <w:link w:val="IntenseQuoteChar"/>
    <w:uiPriority w:val="30"/>
    <w:qFormat/>
    <w:rsid w:val="00684C16"/>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684C16"/>
    <w:rPr>
      <w:i/>
      <w:iCs/>
      <w:color w:val="4F81BD" w:themeColor="accent1"/>
      <w:sz w:val="20"/>
      <w:szCs w:val="20"/>
    </w:rPr>
  </w:style>
  <w:style w:type="character" w:styleId="SubtleEmphasis">
    <w:name w:val="Subtle Emphasis"/>
    <w:uiPriority w:val="19"/>
    <w:qFormat/>
    <w:rsid w:val="00684C16"/>
    <w:rPr>
      <w:i/>
      <w:iCs/>
      <w:color w:val="243F60" w:themeColor="accent1" w:themeShade="7F"/>
    </w:rPr>
  </w:style>
  <w:style w:type="character" w:styleId="IntenseEmphasis">
    <w:name w:val="Intense Emphasis"/>
    <w:uiPriority w:val="21"/>
    <w:qFormat/>
    <w:rsid w:val="00684C16"/>
    <w:rPr>
      <w:b/>
      <w:bCs/>
      <w:caps/>
      <w:color w:val="243F60" w:themeColor="accent1" w:themeShade="7F"/>
      <w:spacing w:val="10"/>
    </w:rPr>
  </w:style>
  <w:style w:type="character" w:styleId="SubtleReference">
    <w:name w:val="Subtle Reference"/>
    <w:uiPriority w:val="31"/>
    <w:qFormat/>
    <w:rsid w:val="00684C16"/>
    <w:rPr>
      <w:b/>
      <w:bCs/>
      <w:color w:val="4F81BD" w:themeColor="accent1"/>
    </w:rPr>
  </w:style>
  <w:style w:type="character" w:styleId="IntenseReference">
    <w:name w:val="Intense Reference"/>
    <w:uiPriority w:val="32"/>
    <w:qFormat/>
    <w:rsid w:val="00684C16"/>
    <w:rPr>
      <w:b/>
      <w:bCs/>
      <w:i/>
      <w:iCs/>
      <w:caps/>
      <w:color w:val="4F81BD" w:themeColor="accent1"/>
    </w:rPr>
  </w:style>
  <w:style w:type="character" w:styleId="BookTitle">
    <w:name w:val="Book Title"/>
    <w:uiPriority w:val="33"/>
    <w:qFormat/>
    <w:rsid w:val="00684C16"/>
    <w:rPr>
      <w:b/>
      <w:bCs/>
      <w:i/>
      <w:iCs/>
      <w:spacing w:val="9"/>
    </w:rPr>
  </w:style>
  <w:style w:type="paragraph" w:styleId="TOC2">
    <w:name w:val="toc 2"/>
    <w:basedOn w:val="Normal"/>
    <w:next w:val="Normal"/>
    <w:autoRedefine/>
    <w:uiPriority w:val="39"/>
    <w:unhideWhenUsed/>
    <w:rsid w:val="00775B32"/>
    <w:pPr>
      <w:spacing w:after="100"/>
      <w:ind w:left="200"/>
    </w:pPr>
  </w:style>
  <w:style w:type="paragraph" w:styleId="TOC3">
    <w:name w:val="toc 3"/>
    <w:basedOn w:val="Normal"/>
    <w:next w:val="Normal"/>
    <w:autoRedefine/>
    <w:uiPriority w:val="39"/>
    <w:unhideWhenUsed/>
    <w:rsid w:val="00775B32"/>
    <w:pPr>
      <w:spacing w:after="100"/>
      <w:ind w:left="400"/>
    </w:pPr>
  </w:style>
  <w:style w:type="paragraph" w:customStyle="1" w:styleId="DisclaimerText4">
    <w:name w:val="Disclaimer Text 4"/>
    <w:basedOn w:val="Normal"/>
    <w:rsid w:val="006A0BAC"/>
    <w:pPr>
      <w:framePr w:hSpace="181" w:wrap="around" w:vAnchor="page" w:hAnchor="margin" w:y="11341"/>
      <w:spacing w:before="0" w:after="0" w:line="240" w:lineRule="auto"/>
      <w:suppressOverlap/>
    </w:pPr>
    <w:rPr>
      <w:rFonts w:ascii="Arial" w:eastAsia="Times New Roman" w:hAnsi="Arial" w:cs="Times New Roman"/>
      <w:b/>
      <w:bCs/>
      <w:i/>
      <w:spacing w:val="1"/>
      <w:sz w:val="14"/>
      <w:lang w:eastAsia="en-US"/>
    </w:rPr>
  </w:style>
  <w:style w:type="table" w:styleId="LightShading-Accent1">
    <w:name w:val="Light Shading Accent 1"/>
    <w:basedOn w:val="TableNormal"/>
    <w:uiPriority w:val="60"/>
    <w:rsid w:val="00217B81"/>
    <w:pPr>
      <w:spacing w:before="0"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575476">
      <w:bodyDiv w:val="1"/>
      <w:marLeft w:val="0"/>
      <w:marRight w:val="0"/>
      <w:marTop w:val="0"/>
      <w:marBottom w:val="0"/>
      <w:divBdr>
        <w:top w:val="none" w:sz="0" w:space="0" w:color="auto"/>
        <w:left w:val="none" w:sz="0" w:space="0" w:color="auto"/>
        <w:bottom w:val="none" w:sz="0" w:space="0" w:color="auto"/>
        <w:right w:val="none" w:sz="0" w:space="0" w:color="auto"/>
      </w:divBdr>
    </w:div>
    <w:div w:id="785588697">
      <w:bodyDiv w:val="1"/>
      <w:marLeft w:val="0"/>
      <w:marRight w:val="0"/>
      <w:marTop w:val="0"/>
      <w:marBottom w:val="0"/>
      <w:divBdr>
        <w:top w:val="none" w:sz="0" w:space="0" w:color="auto"/>
        <w:left w:val="none" w:sz="0" w:space="0" w:color="auto"/>
        <w:bottom w:val="none" w:sz="0" w:space="0" w:color="auto"/>
        <w:right w:val="none" w:sz="0" w:space="0" w:color="auto"/>
      </w:divBdr>
    </w:div>
    <w:div w:id="973408144">
      <w:bodyDiv w:val="1"/>
      <w:marLeft w:val="0"/>
      <w:marRight w:val="0"/>
      <w:marTop w:val="0"/>
      <w:marBottom w:val="0"/>
      <w:divBdr>
        <w:top w:val="none" w:sz="0" w:space="0" w:color="auto"/>
        <w:left w:val="none" w:sz="0" w:space="0" w:color="auto"/>
        <w:bottom w:val="none" w:sz="0" w:space="0" w:color="auto"/>
        <w:right w:val="none" w:sz="0" w:space="0" w:color="auto"/>
      </w:divBdr>
    </w:div>
    <w:div w:id="1180005940">
      <w:bodyDiv w:val="1"/>
      <w:marLeft w:val="0"/>
      <w:marRight w:val="0"/>
      <w:marTop w:val="0"/>
      <w:marBottom w:val="0"/>
      <w:divBdr>
        <w:top w:val="none" w:sz="0" w:space="0" w:color="auto"/>
        <w:left w:val="none" w:sz="0" w:space="0" w:color="auto"/>
        <w:bottom w:val="none" w:sz="0" w:space="0" w:color="auto"/>
        <w:right w:val="none" w:sz="0" w:space="0" w:color="auto"/>
      </w:divBdr>
    </w:div>
    <w:div w:id="1802309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12.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chart" Target="charts/chart10.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llA\AppData\Local\Temp\notes620532\DEDJTR-A4-information-sheet-template_1col_blue-cover.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oleObject" Target="file:///\\internal.vic.gov.au\DSDBI\HomeDirs1\DavenpoG\TRIM\Offline\Offline%20Records%20(IP)\Documentation%20-%20PROJECTS%20-%20PLANNING(4)\Branch%20Reports.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file:///\\internal.vic.gov.au\DSDBI\HomeDirs1\DavenpoG\TRIM\Offline\Offline%20Records%20(IP)\Documentation%20-%20PROJECTS%20-%20PLANNING(4)\Branch%20Reports.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 2 - Stats'!$C$398</c:f>
              <c:strCache>
                <c:ptCount val="1"/>
                <c:pt idx="0">
                  <c:v>Offshore (Victoria) Gippsland</c:v>
                </c:pt>
              </c:strCache>
            </c:strRef>
          </c:tx>
          <c:invertIfNegative val="0"/>
          <c:cat>
            <c:strRef>
              <c:f>'Report 2 - Stats'!$B$399:$B$414</c:f>
              <c:strCache>
                <c:ptCount val="16"/>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strCache>
            </c:strRef>
          </c:cat>
          <c:val>
            <c:numRef>
              <c:f>'Report 2 - Stats'!$C$399:$C$414</c:f>
              <c:numCache>
                <c:formatCode>General</c:formatCode>
                <c:ptCount val="16"/>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0</c:v>
                </c:pt>
                <c:pt idx="15">
                  <c:v>0</c:v>
                </c:pt>
              </c:numCache>
            </c:numRef>
          </c:val>
        </c:ser>
        <c:ser>
          <c:idx val="1"/>
          <c:order val="1"/>
          <c:tx>
            <c:strRef>
              <c:f>'Report 2 - Stats'!$D$398</c:f>
              <c:strCache>
                <c:ptCount val="1"/>
                <c:pt idx="0">
                  <c:v>Offshore (Victoria) Otway</c:v>
                </c:pt>
              </c:strCache>
            </c:strRef>
          </c:tx>
          <c:invertIfNegative val="0"/>
          <c:cat>
            <c:strRef>
              <c:f>'Report 2 - Stats'!$B$399:$B$414</c:f>
              <c:strCache>
                <c:ptCount val="16"/>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strCache>
            </c:strRef>
          </c:cat>
          <c:val>
            <c:numRef>
              <c:f>'Report 2 - Stats'!$D$399:$D$414</c:f>
              <c:numCache>
                <c:formatCode>General</c:formatCode>
                <c:ptCount val="16"/>
                <c:pt idx="0">
                  <c:v>0</c:v>
                </c:pt>
                <c:pt idx="1">
                  <c:v>0</c:v>
                </c:pt>
                <c:pt idx="2">
                  <c:v>0</c:v>
                </c:pt>
                <c:pt idx="3">
                  <c:v>0</c:v>
                </c:pt>
                <c:pt idx="4">
                  <c:v>0</c:v>
                </c:pt>
                <c:pt idx="5">
                  <c:v>1</c:v>
                </c:pt>
                <c:pt idx="6">
                  <c:v>0</c:v>
                </c:pt>
                <c:pt idx="7">
                  <c:v>0</c:v>
                </c:pt>
                <c:pt idx="8">
                  <c:v>0</c:v>
                </c:pt>
                <c:pt idx="9">
                  <c:v>0</c:v>
                </c:pt>
                <c:pt idx="10">
                  <c:v>0</c:v>
                </c:pt>
                <c:pt idx="11">
                  <c:v>0</c:v>
                </c:pt>
                <c:pt idx="12">
                  <c:v>0</c:v>
                </c:pt>
                <c:pt idx="13">
                  <c:v>0</c:v>
                </c:pt>
                <c:pt idx="14">
                  <c:v>0</c:v>
                </c:pt>
                <c:pt idx="15">
                  <c:v>0</c:v>
                </c:pt>
              </c:numCache>
            </c:numRef>
          </c:val>
        </c:ser>
        <c:ser>
          <c:idx val="2"/>
          <c:order val="2"/>
          <c:tx>
            <c:strRef>
              <c:f>'Report 2 - Stats'!$E$398</c:f>
              <c:strCache>
                <c:ptCount val="1"/>
                <c:pt idx="0">
                  <c:v>Onshore Gippsland</c:v>
                </c:pt>
              </c:strCache>
            </c:strRef>
          </c:tx>
          <c:invertIfNegative val="0"/>
          <c:cat>
            <c:strRef>
              <c:f>'Report 2 - Stats'!$B$399:$B$414</c:f>
              <c:strCache>
                <c:ptCount val="16"/>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strCache>
            </c:strRef>
          </c:cat>
          <c:val>
            <c:numRef>
              <c:f>'Report 2 - Stats'!$E$399:$E$414</c:f>
              <c:numCache>
                <c:formatCode>General</c:formatCode>
                <c:ptCount val="16"/>
                <c:pt idx="0">
                  <c:v>3</c:v>
                </c:pt>
                <c:pt idx="1">
                  <c:v>2</c:v>
                </c:pt>
                <c:pt idx="2">
                  <c:v>4</c:v>
                </c:pt>
                <c:pt idx="3">
                  <c:v>3</c:v>
                </c:pt>
                <c:pt idx="4">
                  <c:v>1</c:v>
                </c:pt>
                <c:pt idx="5">
                  <c:v>2</c:v>
                </c:pt>
                <c:pt idx="6">
                  <c:v>4</c:v>
                </c:pt>
                <c:pt idx="7">
                  <c:v>4</c:v>
                </c:pt>
                <c:pt idx="8">
                  <c:v>0</c:v>
                </c:pt>
                <c:pt idx="9">
                  <c:v>0</c:v>
                </c:pt>
                <c:pt idx="10">
                  <c:v>1</c:v>
                </c:pt>
                <c:pt idx="11">
                  <c:v>0</c:v>
                </c:pt>
                <c:pt idx="12">
                  <c:v>1</c:v>
                </c:pt>
                <c:pt idx="13">
                  <c:v>2</c:v>
                </c:pt>
                <c:pt idx="14">
                  <c:v>0</c:v>
                </c:pt>
                <c:pt idx="15">
                  <c:v>0</c:v>
                </c:pt>
              </c:numCache>
            </c:numRef>
          </c:val>
        </c:ser>
        <c:ser>
          <c:idx val="3"/>
          <c:order val="3"/>
          <c:tx>
            <c:strRef>
              <c:f>'Report 2 - Stats'!$F$398</c:f>
              <c:strCache>
                <c:ptCount val="1"/>
                <c:pt idx="0">
                  <c:v>Onshore Otway</c:v>
                </c:pt>
              </c:strCache>
            </c:strRef>
          </c:tx>
          <c:invertIfNegative val="0"/>
          <c:cat>
            <c:strRef>
              <c:f>'Report 2 - Stats'!$B$399:$B$414</c:f>
              <c:strCache>
                <c:ptCount val="16"/>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strCache>
            </c:strRef>
          </c:cat>
          <c:val>
            <c:numRef>
              <c:f>'Report 2 - Stats'!$F$399:$F$414</c:f>
              <c:numCache>
                <c:formatCode>General</c:formatCode>
                <c:ptCount val="16"/>
                <c:pt idx="0">
                  <c:v>2</c:v>
                </c:pt>
                <c:pt idx="1">
                  <c:v>5</c:v>
                </c:pt>
                <c:pt idx="2">
                  <c:v>7</c:v>
                </c:pt>
                <c:pt idx="3">
                  <c:v>4</c:v>
                </c:pt>
                <c:pt idx="4">
                  <c:v>2</c:v>
                </c:pt>
                <c:pt idx="5">
                  <c:v>0</c:v>
                </c:pt>
                <c:pt idx="6">
                  <c:v>4</c:v>
                </c:pt>
                <c:pt idx="7">
                  <c:v>2</c:v>
                </c:pt>
                <c:pt idx="8">
                  <c:v>2</c:v>
                </c:pt>
                <c:pt idx="9">
                  <c:v>1</c:v>
                </c:pt>
                <c:pt idx="10">
                  <c:v>0</c:v>
                </c:pt>
                <c:pt idx="11">
                  <c:v>0</c:v>
                </c:pt>
                <c:pt idx="12">
                  <c:v>1</c:v>
                </c:pt>
                <c:pt idx="13">
                  <c:v>0</c:v>
                </c:pt>
                <c:pt idx="14">
                  <c:v>0</c:v>
                </c:pt>
                <c:pt idx="15">
                  <c:v>0</c:v>
                </c:pt>
              </c:numCache>
            </c:numRef>
          </c:val>
        </c:ser>
        <c:ser>
          <c:idx val="4"/>
          <c:order val="4"/>
          <c:tx>
            <c:strRef>
              <c:f>'Report 2 - Stats'!$G$398</c:f>
              <c:strCache>
                <c:ptCount val="1"/>
                <c:pt idx="0">
                  <c:v>Onshore Murray</c:v>
                </c:pt>
              </c:strCache>
            </c:strRef>
          </c:tx>
          <c:invertIfNegative val="0"/>
          <c:cat>
            <c:strRef>
              <c:f>'Report 2 - Stats'!$B$399:$B$414</c:f>
              <c:strCache>
                <c:ptCount val="16"/>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strCache>
            </c:strRef>
          </c:cat>
          <c:val>
            <c:numRef>
              <c:f>'Report 2 - Stats'!$G$399:$G$414</c:f>
              <c:numCache>
                <c:formatCode>General</c:formatCode>
                <c:ptCount val="16"/>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ser>
        <c:dLbls>
          <c:showLegendKey val="0"/>
          <c:showVal val="0"/>
          <c:showCatName val="0"/>
          <c:showSerName val="0"/>
          <c:showPercent val="0"/>
          <c:showBubbleSize val="0"/>
        </c:dLbls>
        <c:gapWidth val="150"/>
        <c:overlap val="100"/>
        <c:axId val="142302208"/>
        <c:axId val="142320384"/>
      </c:barChart>
      <c:catAx>
        <c:axId val="142302208"/>
        <c:scaling>
          <c:orientation val="minMax"/>
        </c:scaling>
        <c:delete val="0"/>
        <c:axPos val="b"/>
        <c:majorTickMark val="out"/>
        <c:minorTickMark val="none"/>
        <c:tickLblPos val="nextTo"/>
        <c:txPr>
          <a:bodyPr/>
          <a:lstStyle/>
          <a:p>
            <a:pPr>
              <a:defRPr sz="900"/>
            </a:pPr>
            <a:endParaRPr lang="en-US"/>
          </a:p>
        </c:txPr>
        <c:crossAx val="142320384"/>
        <c:crosses val="autoZero"/>
        <c:auto val="1"/>
        <c:lblAlgn val="ctr"/>
        <c:lblOffset val="100"/>
        <c:noMultiLvlLbl val="0"/>
      </c:catAx>
      <c:valAx>
        <c:axId val="142320384"/>
        <c:scaling>
          <c:orientation val="minMax"/>
        </c:scaling>
        <c:delete val="0"/>
        <c:axPos val="l"/>
        <c:majorGridlines/>
        <c:title>
          <c:tx>
            <c:rich>
              <a:bodyPr rot="-5400000" vert="horz"/>
              <a:lstStyle/>
              <a:p>
                <a:pPr>
                  <a:defRPr sz="1200"/>
                </a:pPr>
                <a:r>
                  <a:rPr lang="en-US" sz="1200"/>
                  <a:t>Total Wells</a:t>
                </a:r>
              </a:p>
            </c:rich>
          </c:tx>
          <c:overlay val="0"/>
        </c:title>
        <c:numFmt formatCode="General" sourceLinked="1"/>
        <c:majorTickMark val="out"/>
        <c:minorTickMark val="none"/>
        <c:tickLblPos val="nextTo"/>
        <c:crossAx val="142302208"/>
        <c:crosses val="autoZero"/>
        <c:crossBetween val="between"/>
      </c:valAx>
    </c:plotArea>
    <c:legend>
      <c:legendPos val="t"/>
      <c:layout>
        <c:manualLayout>
          <c:xMode val="edge"/>
          <c:yMode val="edge"/>
          <c:x val="2.9457059146676425E-2"/>
          <c:y val="2.8368794326241134E-2"/>
          <c:w val="0.93333379112494663"/>
          <c:h val="8.3526367714673949E-2"/>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'Report 2 - Stats'!$B$951</c:f>
              <c:strCache>
                <c:ptCount val="1"/>
                <c:pt idx="0">
                  <c:v>Number of Quarries (x10)</c:v>
                </c:pt>
              </c:strCache>
            </c:strRef>
          </c:tx>
          <c:invertIfNegative val="0"/>
          <c:cat>
            <c:strRef>
              <c:f>'Report 2 - Stats'!$C$950:$K$950</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Stats'!$C$951:$K$951</c:f>
              <c:numCache>
                <c:formatCode>_-* #,##0.0_-;\-* #,##0.0_-;_-* "-"??_-;_-@_-</c:formatCode>
                <c:ptCount val="9"/>
                <c:pt idx="0">
                  <c:v>86.5</c:v>
                </c:pt>
                <c:pt idx="1">
                  <c:v>86.8</c:v>
                </c:pt>
                <c:pt idx="2">
                  <c:v>86.3</c:v>
                </c:pt>
                <c:pt idx="3">
                  <c:v>86.9</c:v>
                </c:pt>
                <c:pt idx="4">
                  <c:v>87.6</c:v>
                </c:pt>
                <c:pt idx="5">
                  <c:v>88.4</c:v>
                </c:pt>
                <c:pt idx="6">
                  <c:v>88.2</c:v>
                </c:pt>
                <c:pt idx="7">
                  <c:v>88.1</c:v>
                </c:pt>
                <c:pt idx="8">
                  <c:v>88.7</c:v>
                </c:pt>
              </c:numCache>
            </c:numRef>
          </c:val>
        </c:ser>
        <c:ser>
          <c:idx val="1"/>
          <c:order val="1"/>
          <c:tx>
            <c:strRef>
              <c:f>'Report 2 - Stats'!$B$952</c:f>
              <c:strCache>
                <c:ptCount val="1"/>
                <c:pt idx="0">
                  <c:v>Sales (million tonnes)</c:v>
                </c:pt>
              </c:strCache>
            </c:strRef>
          </c:tx>
          <c:invertIfNegative val="0"/>
          <c:cat>
            <c:strRef>
              <c:f>'Report 2 - Stats'!$C$950:$K$950</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Stats'!$C$952:$K$952</c:f>
              <c:numCache>
                <c:formatCode>General</c:formatCode>
                <c:ptCount val="9"/>
                <c:pt idx="0">
                  <c:v>52.3</c:v>
                </c:pt>
                <c:pt idx="1">
                  <c:v>53.9</c:v>
                </c:pt>
                <c:pt idx="2">
                  <c:v>48.9</c:v>
                </c:pt>
                <c:pt idx="3">
                  <c:v>46.1</c:v>
                </c:pt>
                <c:pt idx="4">
                  <c:v>52.2</c:v>
                </c:pt>
                <c:pt idx="5">
                  <c:v>58.1</c:v>
                </c:pt>
                <c:pt idx="6">
                  <c:v>47.4</c:v>
                </c:pt>
                <c:pt idx="7">
                  <c:v>39.6</c:v>
                </c:pt>
                <c:pt idx="8" formatCode="0.0">
                  <c:v>50.291409376000004</c:v>
                </c:pt>
              </c:numCache>
            </c:numRef>
          </c:val>
        </c:ser>
        <c:dLbls>
          <c:showLegendKey val="0"/>
          <c:showVal val="0"/>
          <c:showCatName val="0"/>
          <c:showSerName val="0"/>
          <c:showPercent val="0"/>
          <c:showBubbleSize val="0"/>
        </c:dLbls>
        <c:gapWidth val="150"/>
        <c:axId val="320550016"/>
        <c:axId val="320551552"/>
      </c:barChart>
      <c:catAx>
        <c:axId val="320550016"/>
        <c:scaling>
          <c:orientation val="minMax"/>
        </c:scaling>
        <c:delete val="0"/>
        <c:axPos val="b"/>
        <c:majorTickMark val="out"/>
        <c:minorTickMark val="none"/>
        <c:tickLblPos val="nextTo"/>
        <c:crossAx val="320551552"/>
        <c:crosses val="autoZero"/>
        <c:auto val="1"/>
        <c:lblAlgn val="ctr"/>
        <c:lblOffset val="100"/>
        <c:noMultiLvlLbl val="0"/>
      </c:catAx>
      <c:valAx>
        <c:axId val="320551552"/>
        <c:scaling>
          <c:orientation val="minMax"/>
        </c:scaling>
        <c:delete val="0"/>
        <c:axPos val="l"/>
        <c:majorGridlines/>
        <c:numFmt formatCode="#,##0" sourceLinked="0"/>
        <c:majorTickMark val="out"/>
        <c:minorTickMark val="none"/>
        <c:tickLblPos val="nextTo"/>
        <c:crossAx val="320550016"/>
        <c:crosses val="autoZero"/>
        <c:crossBetween val="between"/>
      </c:valAx>
    </c:plotArea>
    <c:legend>
      <c:legendPos val="b"/>
      <c:layout>
        <c:manualLayout>
          <c:xMode val="edge"/>
          <c:yMode val="edge"/>
          <c:x val="0.15049200295275592"/>
          <c:y val="0.92746110425955797"/>
          <c:w val="0.73671247539370077"/>
          <c:h val="5.3499743745049622E-2"/>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Pt>
            <c:idx val="2"/>
            <c:bubble3D val="0"/>
            <c:explosion val="21"/>
          </c:dPt>
          <c:dLbls>
            <c:dLbl>
              <c:idx val="0"/>
              <c:layout>
                <c:manualLayout>
                  <c:x val="2.2663787525174311E-3"/>
                  <c:y val="0"/>
                </c:manualLayout>
              </c:layout>
              <c:showLegendKey val="0"/>
              <c:showVal val="1"/>
              <c:showCatName val="1"/>
              <c:showSerName val="0"/>
              <c:showPercent val="0"/>
              <c:showBubbleSize val="0"/>
            </c:dLbl>
            <c:dLbl>
              <c:idx val="1"/>
              <c:layout>
                <c:manualLayout>
                  <c:x val="6.7045608218640265E-2"/>
                  <c:y val="8.1407626594446392E-2"/>
                </c:manualLayout>
              </c:layout>
              <c:showLegendKey val="0"/>
              <c:showVal val="1"/>
              <c:showCatName val="1"/>
              <c:showSerName val="0"/>
              <c:showPercent val="0"/>
              <c:showBubbleSize val="0"/>
            </c:dLbl>
            <c:dLbl>
              <c:idx val="2"/>
              <c:layout>
                <c:manualLayout>
                  <c:x val="2.8401958351194641E-2"/>
                  <c:y val="-0.18082214812116457"/>
                </c:manualLayout>
              </c:layout>
              <c:showLegendKey val="0"/>
              <c:showVal val="1"/>
              <c:showCatName val="1"/>
              <c:showSerName val="0"/>
              <c:showPercent val="0"/>
              <c:showBubbleSize val="0"/>
            </c:dLbl>
            <c:dLbl>
              <c:idx val="3"/>
              <c:layout>
                <c:manualLayout>
                  <c:x val="-0.11154346703891931"/>
                  <c:y val="8.4925690021231418E-2"/>
                </c:manualLayout>
              </c:layout>
              <c:showLegendKey val="0"/>
              <c:showVal val="1"/>
              <c:showCatName val="1"/>
              <c:showSerName val="0"/>
              <c:showPercent val="0"/>
              <c:showBubbleSize val="0"/>
            </c:dLbl>
            <c:showLegendKey val="0"/>
            <c:showVal val="1"/>
            <c:showCatName val="1"/>
            <c:showSerName val="0"/>
            <c:showPercent val="0"/>
            <c:showBubbleSize val="0"/>
            <c:showLeaderLines val="0"/>
          </c:dLbls>
          <c:cat>
            <c:strRef>
              <c:f>'Report 2 - Stats'!$B$981:$B$984</c:f>
              <c:strCache>
                <c:ptCount val="4"/>
                <c:pt idx="0">
                  <c:v>Fees and charges</c:v>
                </c:pt>
                <c:pt idx="1">
                  <c:v>Rent</c:v>
                </c:pt>
                <c:pt idx="2">
                  <c:v>Royalty</c:v>
                </c:pt>
                <c:pt idx="3">
                  <c:v>Mine Stability Levy</c:v>
                </c:pt>
              </c:strCache>
            </c:strRef>
          </c:cat>
          <c:val>
            <c:numRef>
              <c:f>'Report 2 - Stats'!$D$981:$D$984</c:f>
              <c:numCache>
                <c:formatCode>0%</c:formatCode>
                <c:ptCount val="4"/>
                <c:pt idx="0">
                  <c:v>1.220235546419182E-2</c:v>
                </c:pt>
                <c:pt idx="1">
                  <c:v>4.7529124713612356E-2</c:v>
                </c:pt>
                <c:pt idx="2">
                  <c:v>0.91352793174004621</c:v>
                </c:pt>
                <c:pt idx="3">
                  <c:v>2.6740588082149769E-2</c:v>
                </c:pt>
              </c:numCache>
            </c:numRef>
          </c:val>
        </c:ser>
        <c:dLbls>
          <c:showLegendKey val="0"/>
          <c:showVal val="1"/>
          <c:showCatName val="0"/>
          <c:showSerName val="0"/>
          <c:showPercent val="0"/>
          <c:showBubbleSize val="0"/>
          <c:showLeaderLines val="0"/>
        </c:dLbls>
        <c:firstSliceAng val="0"/>
      </c:pie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explosion val="17"/>
          <c:dLbls>
            <c:dLbl>
              <c:idx val="0"/>
              <c:layout>
                <c:manualLayout>
                  <c:x val="6.6964276277545851E-2"/>
                  <c:y val="-4.9012068570014236E-2"/>
                </c:manualLayout>
              </c:layout>
              <c:showLegendKey val="0"/>
              <c:showVal val="0"/>
              <c:showCatName val="1"/>
              <c:showSerName val="0"/>
              <c:showPercent val="1"/>
              <c:showBubbleSize val="0"/>
            </c:dLbl>
            <c:dLbl>
              <c:idx val="1"/>
              <c:layout>
                <c:manualLayout>
                  <c:x val="-4.2188958762704995E-2"/>
                  <c:y val="3.2469384006517735E-2"/>
                </c:manualLayout>
              </c:layout>
              <c:showLegendKey val="0"/>
              <c:showVal val="0"/>
              <c:showCatName val="1"/>
              <c:showSerName val="0"/>
              <c:showPercent val="1"/>
              <c:showBubbleSize val="0"/>
            </c:dLbl>
            <c:dLbl>
              <c:idx val="2"/>
              <c:layout>
                <c:manualLayout>
                  <c:x val="5.6309781747080276E-2"/>
                  <c:y val="4.3362843944768713E-2"/>
                </c:manualLayout>
              </c:layout>
              <c:showLegendKey val="0"/>
              <c:showVal val="0"/>
              <c:showCatName val="1"/>
              <c:showSerName val="0"/>
              <c:showPercent val="1"/>
              <c:showBubbleSize val="0"/>
            </c:dLbl>
            <c:showLegendKey val="0"/>
            <c:showVal val="0"/>
            <c:showCatName val="1"/>
            <c:showSerName val="0"/>
            <c:showPercent val="1"/>
            <c:showBubbleSize val="0"/>
            <c:showLeaderLines val="0"/>
          </c:dLbls>
          <c:cat>
            <c:strRef>
              <c:f>'Report 2 - Stats'!$B$1007:$B$1009</c:f>
              <c:strCache>
                <c:ptCount val="3"/>
                <c:pt idx="0">
                  <c:v>Mining</c:v>
                </c:pt>
                <c:pt idx="1">
                  <c:v>Extractive</c:v>
                </c:pt>
                <c:pt idx="2">
                  <c:v>Petroleum (Onshore)</c:v>
                </c:pt>
              </c:strCache>
            </c:strRef>
          </c:cat>
          <c:val>
            <c:numRef>
              <c:f>'Report 2 - Stats'!$C$1007:$C$1009</c:f>
              <c:numCache>
                <c:formatCode>0.0</c:formatCode>
                <c:ptCount val="3"/>
                <c:pt idx="0">
                  <c:v>42.174662179999999</c:v>
                </c:pt>
                <c:pt idx="1">
                  <c:v>5.0123389999999999</c:v>
                </c:pt>
                <c:pt idx="2">
                  <c:v>0.12672313000000002</c:v>
                </c:pt>
              </c:numCache>
            </c:numRef>
          </c:val>
        </c:ser>
        <c:dLbls>
          <c:showLegendKey val="0"/>
          <c:showVal val="1"/>
          <c:showCatName val="0"/>
          <c:showSerName val="0"/>
          <c:showPercent val="0"/>
          <c:showBubbleSize val="0"/>
          <c:showLeaderLines val="0"/>
        </c:dLbls>
        <c:firstSliceAng val="0"/>
      </c:pie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7900076452172752E-2"/>
          <c:y val="2.6123575729504401E-2"/>
          <c:w val="0.75178334458724194"/>
          <c:h val="0.86979248687664046"/>
        </c:manualLayout>
      </c:layout>
      <c:barChart>
        <c:barDir val="col"/>
        <c:grouping val="clustered"/>
        <c:varyColors val="0"/>
        <c:ser>
          <c:idx val="0"/>
          <c:order val="0"/>
          <c:tx>
            <c:strRef>
              <c:f>'Report 2 - Stats'!$C$1030</c:f>
              <c:strCache>
                <c:ptCount val="1"/>
                <c:pt idx="0">
                  <c:v>Exploration Licence</c:v>
                </c:pt>
              </c:strCache>
            </c:strRef>
          </c:tx>
          <c:invertIfNegative val="0"/>
          <c:cat>
            <c:strRef>
              <c:f>'Report 2 - Stats'!$B$1031:$B$1039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Stats'!$C$1031:$C$1039</c:f>
              <c:numCache>
                <c:formatCode>General</c:formatCode>
                <c:ptCount val="9"/>
                <c:pt idx="0">
                  <c:v>2.8</c:v>
                </c:pt>
                <c:pt idx="1">
                  <c:v>3.1</c:v>
                </c:pt>
                <c:pt idx="2">
                  <c:v>2</c:v>
                </c:pt>
                <c:pt idx="3">
                  <c:v>2.2999999999999998</c:v>
                </c:pt>
                <c:pt idx="4">
                  <c:v>1.9</c:v>
                </c:pt>
                <c:pt idx="5">
                  <c:v>2.5</c:v>
                </c:pt>
                <c:pt idx="6">
                  <c:v>2.4</c:v>
                </c:pt>
                <c:pt idx="7">
                  <c:v>2.1</c:v>
                </c:pt>
                <c:pt idx="8" formatCode="0.0">
                  <c:v>1.9</c:v>
                </c:pt>
              </c:numCache>
            </c:numRef>
          </c:val>
        </c:ser>
        <c:ser>
          <c:idx val="1"/>
          <c:order val="1"/>
          <c:tx>
            <c:strRef>
              <c:f>'Report 2 - Stats'!$D$1030</c:f>
              <c:strCache>
                <c:ptCount val="1"/>
                <c:pt idx="0">
                  <c:v>Mining Licence </c:v>
                </c:pt>
              </c:strCache>
            </c:strRef>
          </c:tx>
          <c:invertIfNegative val="0"/>
          <c:cat>
            <c:strRef>
              <c:f>'Report 2 - Stats'!$B$1031:$B$1039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Stats'!$D$1031:$D$1039</c:f>
              <c:numCache>
                <c:formatCode>General</c:formatCode>
                <c:ptCount val="9"/>
                <c:pt idx="0">
                  <c:v>73.7</c:v>
                </c:pt>
                <c:pt idx="1">
                  <c:v>75.599999999999994</c:v>
                </c:pt>
                <c:pt idx="2">
                  <c:v>97.1</c:v>
                </c:pt>
                <c:pt idx="3">
                  <c:v>103.7</c:v>
                </c:pt>
                <c:pt idx="4">
                  <c:v>122.1</c:v>
                </c:pt>
                <c:pt idx="5">
                  <c:v>156.9</c:v>
                </c:pt>
                <c:pt idx="6">
                  <c:v>158.30000000000001</c:v>
                </c:pt>
                <c:pt idx="7">
                  <c:v>183.4</c:v>
                </c:pt>
                <c:pt idx="8" formatCode="0.0">
                  <c:v>153</c:v>
                </c:pt>
              </c:numCache>
            </c:numRef>
          </c:val>
        </c:ser>
        <c:ser>
          <c:idx val="2"/>
          <c:order val="2"/>
          <c:tx>
            <c:strRef>
              <c:f>'Report 2 - Stats'!$E$1030</c:f>
              <c:strCache>
                <c:ptCount val="1"/>
                <c:pt idx="0">
                  <c:v>Prospecting Licence </c:v>
                </c:pt>
              </c:strCache>
            </c:strRef>
          </c:tx>
          <c:invertIfNegative val="0"/>
          <c:cat>
            <c:strRef>
              <c:f>'Report 2 - Stats'!$B$1031:$B$1039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Stats'!$E$1031:$E$1039</c:f>
              <c:numCache>
                <c:formatCode>General</c:formatCode>
                <c:ptCount val="9"/>
                <c:pt idx="0">
                  <c:v>0</c:v>
                </c:pt>
                <c:pt idx="1">
                  <c:v>0</c:v>
                </c:pt>
                <c:pt idx="2">
                  <c:v>0</c:v>
                </c:pt>
                <c:pt idx="3">
                  <c:v>0</c:v>
                </c:pt>
                <c:pt idx="4">
                  <c:v>0</c:v>
                </c:pt>
                <c:pt idx="5">
                  <c:v>0</c:v>
                </c:pt>
                <c:pt idx="6">
                  <c:v>2.5000000000000001E-2</c:v>
                </c:pt>
                <c:pt idx="7">
                  <c:v>9.0999999999999998E-2</c:v>
                </c:pt>
                <c:pt idx="8" formatCode="0.0">
                  <c:v>0.13800000000000001</c:v>
                </c:pt>
              </c:numCache>
            </c:numRef>
          </c:val>
        </c:ser>
        <c:ser>
          <c:idx val="3"/>
          <c:order val="3"/>
          <c:tx>
            <c:strRef>
              <c:f>'Report 2 - Stats'!$F$1030</c:f>
              <c:strCache>
                <c:ptCount val="1"/>
                <c:pt idx="0">
                  <c:v>Retention Licence </c:v>
                </c:pt>
              </c:strCache>
            </c:strRef>
          </c:tx>
          <c:invertIfNegative val="0"/>
          <c:cat>
            <c:strRef>
              <c:f>'Report 2 - Stats'!$B$1031:$B$1039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Stats'!$F$1031:$F$1039</c:f>
              <c:numCache>
                <c:formatCode>General</c:formatCode>
                <c:ptCount val="9"/>
                <c:pt idx="0">
                  <c:v>0</c:v>
                </c:pt>
                <c:pt idx="1">
                  <c:v>0</c:v>
                </c:pt>
                <c:pt idx="2">
                  <c:v>0</c:v>
                </c:pt>
                <c:pt idx="3">
                  <c:v>0</c:v>
                </c:pt>
                <c:pt idx="4">
                  <c:v>0</c:v>
                </c:pt>
                <c:pt idx="5">
                  <c:v>0</c:v>
                </c:pt>
                <c:pt idx="6">
                  <c:v>0</c:v>
                </c:pt>
                <c:pt idx="7">
                  <c:v>0.01</c:v>
                </c:pt>
                <c:pt idx="8" formatCode="0.0">
                  <c:v>0.05</c:v>
                </c:pt>
              </c:numCache>
            </c:numRef>
          </c:val>
        </c:ser>
        <c:ser>
          <c:idx val="4"/>
          <c:order val="4"/>
          <c:tx>
            <c:strRef>
              <c:f>'Report 2 - Stats'!$G$1030</c:f>
              <c:strCache>
                <c:ptCount val="1"/>
                <c:pt idx="0">
                  <c:v>Extractive Industry Work Authority</c:v>
                </c:pt>
              </c:strCache>
            </c:strRef>
          </c:tx>
          <c:invertIfNegative val="0"/>
          <c:cat>
            <c:strRef>
              <c:f>'Report 2 - Stats'!$B$1031:$B$1039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Stats'!$G$1031:$G$1039</c:f>
              <c:numCache>
                <c:formatCode>General</c:formatCode>
                <c:ptCount val="9"/>
                <c:pt idx="0">
                  <c:v>57.5</c:v>
                </c:pt>
                <c:pt idx="1">
                  <c:v>58.8</c:v>
                </c:pt>
                <c:pt idx="2">
                  <c:v>64.900000000000006</c:v>
                </c:pt>
                <c:pt idx="3">
                  <c:v>72.3</c:v>
                </c:pt>
                <c:pt idx="4">
                  <c:v>65</c:v>
                </c:pt>
                <c:pt idx="5">
                  <c:v>80.900000000000006</c:v>
                </c:pt>
                <c:pt idx="6">
                  <c:v>81</c:v>
                </c:pt>
                <c:pt idx="7">
                  <c:v>90.9</c:v>
                </c:pt>
                <c:pt idx="8" formatCode="0.0">
                  <c:v>85.8</c:v>
                </c:pt>
              </c:numCache>
            </c:numRef>
          </c:val>
        </c:ser>
        <c:dLbls>
          <c:showLegendKey val="0"/>
          <c:showVal val="0"/>
          <c:showCatName val="0"/>
          <c:showSerName val="0"/>
          <c:showPercent val="0"/>
          <c:showBubbleSize val="0"/>
        </c:dLbls>
        <c:gapWidth val="150"/>
        <c:axId val="334300672"/>
        <c:axId val="334302208"/>
      </c:barChart>
      <c:catAx>
        <c:axId val="334300672"/>
        <c:scaling>
          <c:orientation val="minMax"/>
        </c:scaling>
        <c:delete val="0"/>
        <c:axPos val="b"/>
        <c:majorTickMark val="out"/>
        <c:minorTickMark val="none"/>
        <c:tickLblPos val="nextTo"/>
        <c:txPr>
          <a:bodyPr/>
          <a:lstStyle/>
          <a:p>
            <a:pPr>
              <a:defRPr sz="800"/>
            </a:pPr>
            <a:endParaRPr lang="en-US"/>
          </a:p>
        </c:txPr>
        <c:crossAx val="334302208"/>
        <c:crosses val="autoZero"/>
        <c:auto val="1"/>
        <c:lblAlgn val="ctr"/>
        <c:lblOffset val="100"/>
        <c:noMultiLvlLbl val="0"/>
      </c:catAx>
      <c:valAx>
        <c:axId val="334302208"/>
        <c:scaling>
          <c:orientation val="minMax"/>
        </c:scaling>
        <c:delete val="0"/>
        <c:axPos val="l"/>
        <c:majorGridlines/>
        <c:numFmt formatCode="General" sourceLinked="1"/>
        <c:majorTickMark val="out"/>
        <c:minorTickMark val="none"/>
        <c:tickLblPos val="nextTo"/>
        <c:txPr>
          <a:bodyPr/>
          <a:lstStyle/>
          <a:p>
            <a:pPr>
              <a:defRPr sz="900"/>
            </a:pPr>
            <a:endParaRPr lang="en-US"/>
          </a:p>
        </c:txPr>
        <c:crossAx val="334300672"/>
        <c:crosses val="autoZero"/>
        <c:crossBetween val="between"/>
      </c:valAx>
    </c:plotArea>
    <c:legend>
      <c:legendPos val="r"/>
      <c:layout>
        <c:manualLayout>
          <c:xMode val="edge"/>
          <c:yMode val="edge"/>
          <c:x val="0.81773273856463013"/>
          <c:y val="0.20640884733158354"/>
          <c:w val="0.17119456599109414"/>
          <c:h val="0.59007190507436569"/>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'Report 2 - Stats'!$C$1108</c:f>
              <c:strCache>
                <c:ptCount val="1"/>
                <c:pt idx="0">
                  <c:v>Total 2013/2014</c:v>
                </c:pt>
              </c:strCache>
            </c:strRef>
          </c:tx>
          <c:invertIfNegative val="0"/>
          <c:cat>
            <c:strRef>
              <c:f>'Report 2 - Stats'!$B$1109:$B$1114</c:f>
              <c:strCache>
                <c:ptCount val="6"/>
                <c:pt idx="0">
                  <c:v>Audit</c:v>
                </c:pt>
                <c:pt idx="1">
                  <c:v>ERC</c:v>
                </c:pt>
                <c:pt idx="2">
                  <c:v>Inspection</c:v>
                </c:pt>
                <c:pt idx="3">
                  <c:v>Meeting</c:v>
                </c:pt>
                <c:pt idx="4">
                  <c:v>Site Closure</c:v>
                </c:pt>
                <c:pt idx="5">
                  <c:v>Site Visit</c:v>
                </c:pt>
              </c:strCache>
            </c:strRef>
          </c:cat>
          <c:val>
            <c:numRef>
              <c:f>'Report 2 - Stats'!$C$1109:$C$1114</c:f>
              <c:numCache>
                <c:formatCode>General</c:formatCode>
                <c:ptCount val="6"/>
                <c:pt idx="0">
                  <c:v>150</c:v>
                </c:pt>
                <c:pt idx="1">
                  <c:v>23</c:v>
                </c:pt>
                <c:pt idx="2">
                  <c:v>312</c:v>
                </c:pt>
                <c:pt idx="3">
                  <c:v>14</c:v>
                </c:pt>
                <c:pt idx="4">
                  <c:v>39</c:v>
                </c:pt>
                <c:pt idx="5">
                  <c:v>76</c:v>
                </c:pt>
              </c:numCache>
            </c:numRef>
          </c:val>
        </c:ser>
        <c:ser>
          <c:idx val="1"/>
          <c:order val="1"/>
          <c:tx>
            <c:strRef>
              <c:f>'Report 2 - Stats'!$D$1108</c:f>
              <c:strCache>
                <c:ptCount val="1"/>
                <c:pt idx="0">
                  <c:v>Total 2014/2015</c:v>
                </c:pt>
              </c:strCache>
            </c:strRef>
          </c:tx>
          <c:invertIfNegative val="0"/>
          <c:cat>
            <c:strRef>
              <c:f>'Report 2 - Stats'!$B$1109:$B$1114</c:f>
              <c:strCache>
                <c:ptCount val="6"/>
                <c:pt idx="0">
                  <c:v>Audit</c:v>
                </c:pt>
                <c:pt idx="1">
                  <c:v>ERC</c:v>
                </c:pt>
                <c:pt idx="2">
                  <c:v>Inspection</c:v>
                </c:pt>
                <c:pt idx="3">
                  <c:v>Meeting</c:v>
                </c:pt>
                <c:pt idx="4">
                  <c:v>Site Closure</c:v>
                </c:pt>
                <c:pt idx="5">
                  <c:v>Site Visit</c:v>
                </c:pt>
              </c:strCache>
            </c:strRef>
          </c:cat>
          <c:val>
            <c:numRef>
              <c:f>'Report 2 - Stats'!$D$1109:$D$1114</c:f>
              <c:numCache>
                <c:formatCode>General</c:formatCode>
                <c:ptCount val="6"/>
                <c:pt idx="0">
                  <c:v>154</c:v>
                </c:pt>
                <c:pt idx="1">
                  <c:v>35</c:v>
                </c:pt>
                <c:pt idx="2">
                  <c:v>377</c:v>
                </c:pt>
                <c:pt idx="3">
                  <c:v>49</c:v>
                </c:pt>
                <c:pt idx="4">
                  <c:v>28</c:v>
                </c:pt>
                <c:pt idx="5">
                  <c:v>49</c:v>
                </c:pt>
              </c:numCache>
            </c:numRef>
          </c:val>
        </c:ser>
        <c:dLbls>
          <c:showLegendKey val="0"/>
          <c:showVal val="0"/>
          <c:showCatName val="0"/>
          <c:showSerName val="0"/>
          <c:showPercent val="0"/>
          <c:showBubbleSize val="0"/>
        </c:dLbls>
        <c:gapWidth val="150"/>
        <c:axId val="334318976"/>
        <c:axId val="334345344"/>
      </c:barChart>
      <c:catAx>
        <c:axId val="334318976"/>
        <c:scaling>
          <c:orientation val="minMax"/>
        </c:scaling>
        <c:delete val="0"/>
        <c:axPos val="b"/>
        <c:majorTickMark val="out"/>
        <c:minorTickMark val="none"/>
        <c:tickLblPos val="nextTo"/>
        <c:crossAx val="334345344"/>
        <c:crosses val="autoZero"/>
        <c:auto val="1"/>
        <c:lblAlgn val="ctr"/>
        <c:lblOffset val="100"/>
        <c:noMultiLvlLbl val="0"/>
      </c:catAx>
      <c:valAx>
        <c:axId val="334345344"/>
        <c:scaling>
          <c:orientation val="minMax"/>
        </c:scaling>
        <c:delete val="0"/>
        <c:axPos val="l"/>
        <c:majorGridlines/>
        <c:numFmt formatCode="General" sourceLinked="1"/>
        <c:majorTickMark val="out"/>
        <c:minorTickMark val="none"/>
        <c:tickLblPos val="nextTo"/>
        <c:crossAx val="334318976"/>
        <c:crosses val="autoZero"/>
        <c:crossBetween val="between"/>
      </c:valAx>
    </c:plotArea>
    <c:legend>
      <c:legendPos val="t"/>
      <c:layout>
        <c:manualLayout>
          <c:xMode val="edge"/>
          <c:yMode val="edge"/>
          <c:x val="0.16613130089508044"/>
          <c:y val="2.1428571428571429E-2"/>
          <c:w val="0.69184383202099742"/>
          <c:h val="6.45818335208099E-2"/>
        </c:manualLayout>
      </c:layout>
      <c:overlay val="0"/>
      <c:txPr>
        <a:bodyPr/>
        <a:lstStyle/>
        <a:p>
          <a:pPr>
            <a:defRPr sz="900"/>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'Report 2 - Stats'!$B$520</c:f>
              <c:strCache>
                <c:ptCount val="1"/>
                <c:pt idx="0">
                  <c:v>Exploration Licences</c:v>
                </c:pt>
              </c:strCache>
            </c:strRef>
          </c:tx>
          <c:invertIfNegative val="0"/>
          <c:cat>
            <c:strRef>
              <c:f>'Report 2 - Stats'!$C$519:$K$519</c:f>
              <c:strCache>
                <c:ptCount val="9"/>
                <c:pt idx="0">
                  <c:v>2006/2007</c:v>
                </c:pt>
                <c:pt idx="1">
                  <c:v>2007/2008</c:v>
                </c:pt>
                <c:pt idx="2">
                  <c:v>2008/2009</c:v>
                </c:pt>
                <c:pt idx="3">
                  <c:v>2009/2010</c:v>
                </c:pt>
                <c:pt idx="4">
                  <c:v>2010/2011</c:v>
                </c:pt>
                <c:pt idx="5">
                  <c:v>2011/2012</c:v>
                </c:pt>
                <c:pt idx="6">
                  <c:v>2012/2013</c:v>
                </c:pt>
                <c:pt idx="7">
                  <c:v>2013/2014</c:v>
                </c:pt>
                <c:pt idx="8">
                  <c:v>2014/2015</c:v>
                </c:pt>
              </c:strCache>
            </c:strRef>
          </c:cat>
          <c:val>
            <c:numRef>
              <c:f>'Report 2 - Stats'!$C$520:$K$520</c:f>
              <c:numCache>
                <c:formatCode>General</c:formatCode>
                <c:ptCount val="9"/>
                <c:pt idx="0">
                  <c:v>280</c:v>
                </c:pt>
                <c:pt idx="1">
                  <c:v>326</c:v>
                </c:pt>
                <c:pt idx="2">
                  <c:v>298</c:v>
                </c:pt>
                <c:pt idx="3">
                  <c:v>285</c:v>
                </c:pt>
                <c:pt idx="4">
                  <c:v>302</c:v>
                </c:pt>
                <c:pt idx="5">
                  <c:v>326</c:v>
                </c:pt>
                <c:pt idx="6">
                  <c:v>311</c:v>
                </c:pt>
                <c:pt idx="7">
                  <c:v>271</c:v>
                </c:pt>
                <c:pt idx="8">
                  <c:v>248</c:v>
                </c:pt>
              </c:numCache>
            </c:numRef>
          </c:val>
        </c:ser>
        <c:ser>
          <c:idx val="1"/>
          <c:order val="1"/>
          <c:tx>
            <c:strRef>
              <c:f>'Report 2 - Stats'!$B$521</c:f>
              <c:strCache>
                <c:ptCount val="1"/>
                <c:pt idx="0">
                  <c:v>Mining Licences</c:v>
                </c:pt>
              </c:strCache>
            </c:strRef>
          </c:tx>
          <c:invertIfNegative val="0"/>
          <c:cat>
            <c:strRef>
              <c:f>'Report 2 - Stats'!$C$519:$K$519</c:f>
              <c:strCache>
                <c:ptCount val="9"/>
                <c:pt idx="0">
                  <c:v>2006/2007</c:v>
                </c:pt>
                <c:pt idx="1">
                  <c:v>2007/2008</c:v>
                </c:pt>
                <c:pt idx="2">
                  <c:v>2008/2009</c:v>
                </c:pt>
                <c:pt idx="3">
                  <c:v>2009/2010</c:v>
                </c:pt>
                <c:pt idx="4">
                  <c:v>2010/2011</c:v>
                </c:pt>
                <c:pt idx="5">
                  <c:v>2011/2012</c:v>
                </c:pt>
                <c:pt idx="6">
                  <c:v>2012/2013</c:v>
                </c:pt>
                <c:pt idx="7">
                  <c:v>2013/2014</c:v>
                </c:pt>
                <c:pt idx="8">
                  <c:v>2014/2015</c:v>
                </c:pt>
              </c:strCache>
            </c:strRef>
          </c:cat>
          <c:val>
            <c:numRef>
              <c:f>'Report 2 - Stats'!$C$521:$K$521</c:f>
              <c:numCache>
                <c:formatCode>General</c:formatCode>
                <c:ptCount val="9"/>
                <c:pt idx="0">
                  <c:v>240</c:v>
                </c:pt>
                <c:pt idx="1">
                  <c:v>236</c:v>
                </c:pt>
                <c:pt idx="2">
                  <c:v>211</c:v>
                </c:pt>
                <c:pt idx="3">
                  <c:v>216</c:v>
                </c:pt>
                <c:pt idx="4">
                  <c:v>218</c:v>
                </c:pt>
                <c:pt idx="5">
                  <c:v>208</c:v>
                </c:pt>
                <c:pt idx="6">
                  <c:v>212</c:v>
                </c:pt>
                <c:pt idx="7">
                  <c:v>191</c:v>
                </c:pt>
                <c:pt idx="8">
                  <c:v>173</c:v>
                </c:pt>
              </c:numCache>
            </c:numRef>
          </c:val>
        </c:ser>
        <c:ser>
          <c:idx val="2"/>
          <c:order val="2"/>
          <c:tx>
            <c:strRef>
              <c:f>'Report 2 - Stats'!$B$522</c:f>
              <c:strCache>
                <c:ptCount val="1"/>
                <c:pt idx="0">
                  <c:v>Prospecting Licences</c:v>
                </c:pt>
              </c:strCache>
            </c:strRef>
          </c:tx>
          <c:invertIfNegative val="0"/>
          <c:cat>
            <c:strRef>
              <c:f>'Report 2 - Stats'!$C$519:$K$519</c:f>
              <c:strCache>
                <c:ptCount val="9"/>
                <c:pt idx="0">
                  <c:v>2006/2007</c:v>
                </c:pt>
                <c:pt idx="1">
                  <c:v>2007/2008</c:v>
                </c:pt>
                <c:pt idx="2">
                  <c:v>2008/2009</c:v>
                </c:pt>
                <c:pt idx="3">
                  <c:v>2009/2010</c:v>
                </c:pt>
                <c:pt idx="4">
                  <c:v>2010/2011</c:v>
                </c:pt>
                <c:pt idx="5">
                  <c:v>2011/2012</c:v>
                </c:pt>
                <c:pt idx="6">
                  <c:v>2012/2013</c:v>
                </c:pt>
                <c:pt idx="7">
                  <c:v>2013/2014</c:v>
                </c:pt>
                <c:pt idx="8">
                  <c:v>2014/2015</c:v>
                </c:pt>
              </c:strCache>
            </c:strRef>
          </c:cat>
          <c:val>
            <c:numRef>
              <c:f>'Report 2 - Stats'!$C$522:$K$522</c:f>
              <c:numCache>
                <c:formatCode>General</c:formatCode>
                <c:ptCount val="9"/>
                <c:pt idx="0">
                  <c:v>0</c:v>
                </c:pt>
                <c:pt idx="1">
                  <c:v>0</c:v>
                </c:pt>
                <c:pt idx="2">
                  <c:v>0</c:v>
                </c:pt>
                <c:pt idx="3">
                  <c:v>0</c:v>
                </c:pt>
                <c:pt idx="4">
                  <c:v>0</c:v>
                </c:pt>
                <c:pt idx="5">
                  <c:v>1</c:v>
                </c:pt>
                <c:pt idx="6">
                  <c:v>13</c:v>
                </c:pt>
                <c:pt idx="7">
                  <c:v>31</c:v>
                </c:pt>
                <c:pt idx="8">
                  <c:v>41</c:v>
                </c:pt>
              </c:numCache>
            </c:numRef>
          </c:val>
        </c:ser>
        <c:ser>
          <c:idx val="3"/>
          <c:order val="3"/>
          <c:tx>
            <c:strRef>
              <c:f>'Report 2 - Stats'!$B$523</c:f>
              <c:strCache>
                <c:ptCount val="1"/>
                <c:pt idx="0">
                  <c:v>Retention Licences</c:v>
                </c:pt>
              </c:strCache>
            </c:strRef>
          </c:tx>
          <c:invertIfNegative val="0"/>
          <c:cat>
            <c:strRef>
              <c:f>'Report 2 - Stats'!$C$519:$K$519</c:f>
              <c:strCache>
                <c:ptCount val="9"/>
                <c:pt idx="0">
                  <c:v>2006/2007</c:v>
                </c:pt>
                <c:pt idx="1">
                  <c:v>2007/2008</c:v>
                </c:pt>
                <c:pt idx="2">
                  <c:v>2008/2009</c:v>
                </c:pt>
                <c:pt idx="3">
                  <c:v>2009/2010</c:v>
                </c:pt>
                <c:pt idx="4">
                  <c:v>2010/2011</c:v>
                </c:pt>
                <c:pt idx="5">
                  <c:v>2011/2012</c:v>
                </c:pt>
                <c:pt idx="6">
                  <c:v>2012/2013</c:v>
                </c:pt>
                <c:pt idx="7">
                  <c:v>2013/2014</c:v>
                </c:pt>
                <c:pt idx="8">
                  <c:v>2014/2015</c:v>
                </c:pt>
              </c:strCache>
            </c:strRef>
          </c:cat>
          <c:val>
            <c:numRef>
              <c:f>'Report 2 - Stats'!$C$523:$K$523</c:f>
              <c:numCache>
                <c:formatCode>General</c:formatCode>
                <c:ptCount val="9"/>
                <c:pt idx="0">
                  <c:v>0</c:v>
                </c:pt>
                <c:pt idx="1">
                  <c:v>0</c:v>
                </c:pt>
                <c:pt idx="2">
                  <c:v>0</c:v>
                </c:pt>
                <c:pt idx="3">
                  <c:v>0</c:v>
                </c:pt>
                <c:pt idx="4">
                  <c:v>0</c:v>
                </c:pt>
                <c:pt idx="5">
                  <c:v>0</c:v>
                </c:pt>
                <c:pt idx="6">
                  <c:v>1</c:v>
                </c:pt>
                <c:pt idx="7">
                  <c:v>1</c:v>
                </c:pt>
                <c:pt idx="8">
                  <c:v>8</c:v>
                </c:pt>
              </c:numCache>
            </c:numRef>
          </c:val>
        </c:ser>
        <c:dLbls>
          <c:showLegendKey val="0"/>
          <c:showVal val="0"/>
          <c:showCatName val="0"/>
          <c:showSerName val="0"/>
          <c:showPercent val="0"/>
          <c:showBubbleSize val="0"/>
        </c:dLbls>
        <c:gapWidth val="150"/>
        <c:axId val="315743616"/>
        <c:axId val="315745408"/>
      </c:barChart>
      <c:catAx>
        <c:axId val="315743616"/>
        <c:scaling>
          <c:orientation val="minMax"/>
        </c:scaling>
        <c:delete val="0"/>
        <c:axPos val="b"/>
        <c:numFmt formatCode="General" sourceLinked="0"/>
        <c:majorTickMark val="out"/>
        <c:minorTickMark val="none"/>
        <c:tickLblPos val="nextTo"/>
        <c:txPr>
          <a:bodyPr/>
          <a:lstStyle/>
          <a:p>
            <a:pPr>
              <a:defRPr sz="900"/>
            </a:pPr>
            <a:endParaRPr lang="en-US"/>
          </a:p>
        </c:txPr>
        <c:crossAx val="315745408"/>
        <c:crosses val="autoZero"/>
        <c:auto val="1"/>
        <c:lblAlgn val="ctr"/>
        <c:lblOffset val="100"/>
        <c:noMultiLvlLbl val="0"/>
      </c:catAx>
      <c:valAx>
        <c:axId val="315745408"/>
        <c:scaling>
          <c:orientation val="minMax"/>
        </c:scaling>
        <c:delete val="0"/>
        <c:axPos val="l"/>
        <c:majorGridlines/>
        <c:title>
          <c:tx>
            <c:rich>
              <a:bodyPr rot="-5400000" vert="horz"/>
              <a:lstStyle/>
              <a:p>
                <a:pPr>
                  <a:defRPr sz="1400" b="0"/>
                </a:pPr>
                <a:r>
                  <a:rPr lang="en-US" sz="1200" b="0"/>
                  <a:t>Number of Licences</a:t>
                </a:r>
              </a:p>
            </c:rich>
          </c:tx>
          <c:layout>
            <c:manualLayout>
              <c:xMode val="edge"/>
              <c:yMode val="edge"/>
              <c:x val="1.4346756655418073E-2"/>
              <c:y val="0.40917637795275591"/>
            </c:manualLayout>
          </c:layout>
          <c:overlay val="0"/>
        </c:title>
        <c:numFmt formatCode="General" sourceLinked="1"/>
        <c:majorTickMark val="out"/>
        <c:minorTickMark val="none"/>
        <c:tickLblPos val="nextTo"/>
        <c:crossAx val="315743616"/>
        <c:crosses val="autoZero"/>
        <c:crossBetween val="between"/>
      </c:val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232285397315025E-2"/>
          <c:y val="8.6242206213840655E-2"/>
          <c:w val="0.88971028106022831"/>
          <c:h val="0.82442647606376329"/>
        </c:manualLayout>
      </c:layout>
      <c:barChart>
        <c:barDir val="col"/>
        <c:grouping val="clustered"/>
        <c:varyColors val="0"/>
        <c:ser>
          <c:idx val="0"/>
          <c:order val="0"/>
          <c:tx>
            <c:strRef>
              <c:f>'Report 2 - Stats'!$B$570</c:f>
              <c:strCache>
                <c:ptCount val="1"/>
                <c:pt idx="0">
                  <c:v>Exploration Licences Granted</c:v>
                </c:pt>
              </c:strCache>
            </c:strRef>
          </c:tx>
          <c:invertIfNegative val="0"/>
          <c:cat>
            <c:strRef>
              <c:f>'Report 2 - Stats'!$C$569:$K$569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Stats'!$C$570:$K$570</c:f>
              <c:numCache>
                <c:formatCode>General</c:formatCode>
                <c:ptCount val="9"/>
                <c:pt idx="0">
                  <c:v>89</c:v>
                </c:pt>
                <c:pt idx="1">
                  <c:v>91</c:v>
                </c:pt>
                <c:pt idx="2">
                  <c:v>57</c:v>
                </c:pt>
                <c:pt idx="3">
                  <c:v>61</c:v>
                </c:pt>
                <c:pt idx="4">
                  <c:v>73</c:v>
                </c:pt>
                <c:pt idx="5">
                  <c:v>62</c:v>
                </c:pt>
                <c:pt idx="6">
                  <c:v>41</c:v>
                </c:pt>
                <c:pt idx="7">
                  <c:v>37</c:v>
                </c:pt>
                <c:pt idx="8">
                  <c:v>37</c:v>
                </c:pt>
              </c:numCache>
            </c:numRef>
          </c:val>
        </c:ser>
        <c:ser>
          <c:idx val="1"/>
          <c:order val="1"/>
          <c:tx>
            <c:strRef>
              <c:f>'Report 2 - Stats'!$B$571</c:f>
              <c:strCache>
                <c:ptCount val="1"/>
                <c:pt idx="0">
                  <c:v>Exploration Licences Renewed</c:v>
                </c:pt>
              </c:strCache>
            </c:strRef>
          </c:tx>
          <c:invertIfNegative val="0"/>
          <c:cat>
            <c:strRef>
              <c:f>'Report 2 - Stats'!$C$569:$K$569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Stats'!$C$571:$K$571</c:f>
              <c:numCache>
                <c:formatCode>General</c:formatCode>
                <c:ptCount val="9"/>
                <c:pt idx="0">
                  <c:v>59</c:v>
                </c:pt>
                <c:pt idx="1">
                  <c:v>58</c:v>
                </c:pt>
                <c:pt idx="2">
                  <c:v>51</c:v>
                </c:pt>
                <c:pt idx="3">
                  <c:v>55</c:v>
                </c:pt>
                <c:pt idx="4">
                  <c:v>60</c:v>
                </c:pt>
                <c:pt idx="5">
                  <c:v>74</c:v>
                </c:pt>
                <c:pt idx="6">
                  <c:v>52</c:v>
                </c:pt>
                <c:pt idx="7">
                  <c:v>57</c:v>
                </c:pt>
                <c:pt idx="8">
                  <c:v>19</c:v>
                </c:pt>
              </c:numCache>
            </c:numRef>
          </c:val>
        </c:ser>
        <c:dLbls>
          <c:showLegendKey val="0"/>
          <c:showVal val="0"/>
          <c:showCatName val="0"/>
          <c:showSerName val="0"/>
          <c:showPercent val="0"/>
          <c:showBubbleSize val="0"/>
        </c:dLbls>
        <c:gapWidth val="150"/>
        <c:axId val="316540800"/>
        <c:axId val="316542336"/>
      </c:barChart>
      <c:catAx>
        <c:axId val="316540800"/>
        <c:scaling>
          <c:orientation val="minMax"/>
        </c:scaling>
        <c:delete val="0"/>
        <c:axPos val="b"/>
        <c:majorTickMark val="out"/>
        <c:minorTickMark val="none"/>
        <c:tickLblPos val="nextTo"/>
        <c:txPr>
          <a:bodyPr/>
          <a:lstStyle/>
          <a:p>
            <a:pPr>
              <a:defRPr sz="800"/>
            </a:pPr>
            <a:endParaRPr lang="en-US"/>
          </a:p>
        </c:txPr>
        <c:crossAx val="316542336"/>
        <c:crosses val="autoZero"/>
        <c:auto val="1"/>
        <c:lblAlgn val="ctr"/>
        <c:lblOffset val="100"/>
        <c:noMultiLvlLbl val="0"/>
      </c:catAx>
      <c:valAx>
        <c:axId val="316542336"/>
        <c:scaling>
          <c:orientation val="minMax"/>
        </c:scaling>
        <c:delete val="0"/>
        <c:axPos val="l"/>
        <c:majorGridlines/>
        <c:title>
          <c:tx>
            <c:rich>
              <a:bodyPr rot="-5400000" vert="horz"/>
              <a:lstStyle/>
              <a:p>
                <a:pPr>
                  <a:defRPr sz="1000"/>
                </a:pPr>
                <a:r>
                  <a:rPr lang="en-AU" sz="1000"/>
                  <a:t>Number of Licences</a:t>
                </a:r>
              </a:p>
            </c:rich>
          </c:tx>
          <c:overlay val="0"/>
        </c:title>
        <c:numFmt formatCode="General" sourceLinked="1"/>
        <c:majorTickMark val="out"/>
        <c:minorTickMark val="none"/>
        <c:tickLblPos val="nextTo"/>
        <c:crossAx val="316540800"/>
        <c:crosses val="autoZero"/>
        <c:crossBetween val="between"/>
      </c:valAx>
    </c:plotArea>
    <c:legend>
      <c:legendPos val="t"/>
      <c:layout>
        <c:manualLayout>
          <c:xMode val="edge"/>
          <c:yMode val="edge"/>
          <c:x val="0.25388173183223162"/>
          <c:y val="3.3900142824027338E-3"/>
          <c:w val="0.59918386992456896"/>
          <c:h val="0.10712735103427043"/>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'Report 2 - Stats'!$B$573</c:f>
              <c:strCache>
                <c:ptCount val="1"/>
                <c:pt idx="0">
                  <c:v>Mining Licences Granted</c:v>
                </c:pt>
              </c:strCache>
            </c:strRef>
          </c:tx>
          <c:invertIfNegative val="0"/>
          <c:cat>
            <c:strRef>
              <c:f>'Report 2 - Stats'!$C$569:$K$569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Stats'!$C$573:$K$573</c:f>
              <c:numCache>
                <c:formatCode>General</c:formatCode>
                <c:ptCount val="9"/>
                <c:pt idx="0">
                  <c:v>19</c:v>
                </c:pt>
                <c:pt idx="1">
                  <c:v>11</c:v>
                </c:pt>
                <c:pt idx="2">
                  <c:v>14</c:v>
                </c:pt>
                <c:pt idx="3">
                  <c:v>15</c:v>
                </c:pt>
                <c:pt idx="4">
                  <c:v>20</c:v>
                </c:pt>
                <c:pt idx="5">
                  <c:v>12</c:v>
                </c:pt>
                <c:pt idx="6">
                  <c:v>11</c:v>
                </c:pt>
                <c:pt idx="7">
                  <c:v>9</c:v>
                </c:pt>
                <c:pt idx="8">
                  <c:v>3</c:v>
                </c:pt>
              </c:numCache>
            </c:numRef>
          </c:val>
        </c:ser>
        <c:ser>
          <c:idx val="1"/>
          <c:order val="1"/>
          <c:tx>
            <c:strRef>
              <c:f>'Report 2 - Stats'!$B$574</c:f>
              <c:strCache>
                <c:ptCount val="1"/>
                <c:pt idx="0">
                  <c:v>Mining Licences Renewed</c:v>
                </c:pt>
              </c:strCache>
            </c:strRef>
          </c:tx>
          <c:invertIfNegative val="0"/>
          <c:cat>
            <c:strRef>
              <c:f>'Report 2 - Stats'!$C$569:$K$569</c:f>
              <c:strCache>
                <c:ptCount val="9"/>
                <c:pt idx="0">
                  <c:v>2006/07</c:v>
                </c:pt>
                <c:pt idx="1">
                  <c:v>2007/08</c:v>
                </c:pt>
                <c:pt idx="2">
                  <c:v>2008/09</c:v>
                </c:pt>
                <c:pt idx="3">
                  <c:v>2009/10</c:v>
                </c:pt>
                <c:pt idx="4">
                  <c:v>2010/11</c:v>
                </c:pt>
                <c:pt idx="5">
                  <c:v>2011/12</c:v>
                </c:pt>
                <c:pt idx="6">
                  <c:v>2012/13</c:v>
                </c:pt>
                <c:pt idx="7">
                  <c:v>2013/14</c:v>
                </c:pt>
                <c:pt idx="8">
                  <c:v>2014/15</c:v>
                </c:pt>
              </c:strCache>
            </c:strRef>
          </c:cat>
          <c:val>
            <c:numRef>
              <c:f>'Report 2 - Stats'!$C$574:$K$574</c:f>
              <c:numCache>
                <c:formatCode>General</c:formatCode>
                <c:ptCount val="9"/>
                <c:pt idx="0">
                  <c:v>56</c:v>
                </c:pt>
                <c:pt idx="1">
                  <c:v>21</c:v>
                </c:pt>
                <c:pt idx="2">
                  <c:v>41</c:v>
                </c:pt>
                <c:pt idx="3">
                  <c:v>30</c:v>
                </c:pt>
                <c:pt idx="4">
                  <c:v>23</c:v>
                </c:pt>
                <c:pt idx="5">
                  <c:v>21</c:v>
                </c:pt>
                <c:pt idx="6">
                  <c:v>14</c:v>
                </c:pt>
                <c:pt idx="7">
                  <c:v>28</c:v>
                </c:pt>
                <c:pt idx="8">
                  <c:v>14</c:v>
                </c:pt>
              </c:numCache>
            </c:numRef>
          </c:val>
        </c:ser>
        <c:dLbls>
          <c:showLegendKey val="0"/>
          <c:showVal val="0"/>
          <c:showCatName val="0"/>
          <c:showSerName val="0"/>
          <c:showPercent val="0"/>
          <c:showBubbleSize val="0"/>
        </c:dLbls>
        <c:gapWidth val="150"/>
        <c:axId val="316551552"/>
        <c:axId val="316553088"/>
      </c:barChart>
      <c:catAx>
        <c:axId val="316551552"/>
        <c:scaling>
          <c:orientation val="minMax"/>
        </c:scaling>
        <c:delete val="0"/>
        <c:axPos val="b"/>
        <c:majorTickMark val="out"/>
        <c:minorTickMark val="none"/>
        <c:tickLblPos val="nextTo"/>
        <c:crossAx val="316553088"/>
        <c:crosses val="autoZero"/>
        <c:auto val="1"/>
        <c:lblAlgn val="ctr"/>
        <c:lblOffset val="100"/>
        <c:noMultiLvlLbl val="0"/>
      </c:catAx>
      <c:valAx>
        <c:axId val="316553088"/>
        <c:scaling>
          <c:orientation val="minMax"/>
        </c:scaling>
        <c:delete val="0"/>
        <c:axPos val="l"/>
        <c:majorGridlines/>
        <c:title>
          <c:tx>
            <c:rich>
              <a:bodyPr rot="-5400000" vert="horz"/>
              <a:lstStyle/>
              <a:p>
                <a:pPr>
                  <a:defRPr/>
                </a:pPr>
                <a:r>
                  <a:rPr lang="en-US"/>
                  <a:t>Number of Licences</a:t>
                </a:r>
              </a:p>
            </c:rich>
          </c:tx>
          <c:overlay val="0"/>
        </c:title>
        <c:numFmt formatCode="General" sourceLinked="1"/>
        <c:majorTickMark val="out"/>
        <c:minorTickMark val="none"/>
        <c:tickLblPos val="nextTo"/>
        <c:crossAx val="316551552"/>
        <c:crosses val="autoZero"/>
        <c:crossBetween val="between"/>
      </c:valAx>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'Report 2 - Stats'!$B$576</c:f>
              <c:strCache>
                <c:ptCount val="1"/>
                <c:pt idx="0">
                  <c:v>Prospecting Licences Granted</c:v>
                </c:pt>
              </c:strCache>
            </c:strRef>
          </c:tx>
          <c:invertIfNegative val="0"/>
          <c:cat>
            <c:strRef>
              <c:f>'Report 2 - Stats'!$H$569:$K$569</c:f>
              <c:strCache>
                <c:ptCount val="4"/>
                <c:pt idx="0">
                  <c:v>2011/12</c:v>
                </c:pt>
                <c:pt idx="1">
                  <c:v>2012/13</c:v>
                </c:pt>
                <c:pt idx="2">
                  <c:v>2013/14</c:v>
                </c:pt>
                <c:pt idx="3">
                  <c:v>2014/15</c:v>
                </c:pt>
              </c:strCache>
            </c:strRef>
          </c:cat>
          <c:val>
            <c:numRef>
              <c:f>'Report 2 - Stats'!$H$576:$K$576</c:f>
              <c:numCache>
                <c:formatCode>General</c:formatCode>
                <c:ptCount val="4"/>
                <c:pt idx="0">
                  <c:v>1</c:v>
                </c:pt>
                <c:pt idx="1">
                  <c:v>12</c:v>
                </c:pt>
                <c:pt idx="2">
                  <c:v>18</c:v>
                </c:pt>
                <c:pt idx="3">
                  <c:v>13</c:v>
                </c:pt>
              </c:numCache>
            </c:numRef>
          </c:val>
        </c:ser>
        <c:ser>
          <c:idx val="1"/>
          <c:order val="1"/>
          <c:tx>
            <c:strRef>
              <c:f>'Report 2 - Stats'!$B$577</c:f>
              <c:strCache>
                <c:ptCount val="1"/>
                <c:pt idx="0">
                  <c:v>Retention Licences Granted</c:v>
                </c:pt>
              </c:strCache>
            </c:strRef>
          </c:tx>
          <c:invertIfNegative val="0"/>
          <c:cat>
            <c:strRef>
              <c:f>'Report 2 - Stats'!$H$569:$K$569</c:f>
              <c:strCache>
                <c:ptCount val="4"/>
                <c:pt idx="0">
                  <c:v>2011/12</c:v>
                </c:pt>
                <c:pt idx="1">
                  <c:v>2012/13</c:v>
                </c:pt>
                <c:pt idx="2">
                  <c:v>2013/14</c:v>
                </c:pt>
                <c:pt idx="3">
                  <c:v>2014/15</c:v>
                </c:pt>
              </c:strCache>
            </c:strRef>
          </c:cat>
          <c:val>
            <c:numRef>
              <c:f>'Report 2 - Stats'!$H$577:$K$577</c:f>
              <c:numCache>
                <c:formatCode>General</c:formatCode>
                <c:ptCount val="4"/>
                <c:pt idx="0">
                  <c:v>0</c:v>
                </c:pt>
                <c:pt idx="1">
                  <c:v>0</c:v>
                </c:pt>
                <c:pt idx="2">
                  <c:v>1</c:v>
                </c:pt>
                <c:pt idx="3">
                  <c:v>7</c:v>
                </c:pt>
              </c:numCache>
            </c:numRef>
          </c:val>
        </c:ser>
        <c:dLbls>
          <c:showLegendKey val="0"/>
          <c:showVal val="0"/>
          <c:showCatName val="0"/>
          <c:showSerName val="0"/>
          <c:showPercent val="0"/>
          <c:showBubbleSize val="0"/>
        </c:dLbls>
        <c:gapWidth val="150"/>
        <c:axId val="316570240"/>
        <c:axId val="316572032"/>
      </c:barChart>
      <c:catAx>
        <c:axId val="316570240"/>
        <c:scaling>
          <c:orientation val="minMax"/>
        </c:scaling>
        <c:delete val="0"/>
        <c:axPos val="b"/>
        <c:majorTickMark val="out"/>
        <c:minorTickMark val="none"/>
        <c:tickLblPos val="nextTo"/>
        <c:crossAx val="316572032"/>
        <c:crosses val="autoZero"/>
        <c:auto val="1"/>
        <c:lblAlgn val="ctr"/>
        <c:lblOffset val="100"/>
        <c:noMultiLvlLbl val="0"/>
      </c:catAx>
      <c:valAx>
        <c:axId val="316572032"/>
        <c:scaling>
          <c:orientation val="minMax"/>
        </c:scaling>
        <c:delete val="0"/>
        <c:axPos val="l"/>
        <c:majorGridlines/>
        <c:title>
          <c:tx>
            <c:rich>
              <a:bodyPr rot="-5400000" vert="horz"/>
              <a:lstStyle/>
              <a:p>
                <a:pPr>
                  <a:defRPr sz="1000"/>
                </a:pPr>
                <a:r>
                  <a:rPr lang="en-US" sz="1000"/>
                  <a:t>Number of Licences</a:t>
                </a:r>
              </a:p>
            </c:rich>
          </c:tx>
          <c:layout>
            <c:manualLayout>
              <c:xMode val="edge"/>
              <c:yMode val="edge"/>
              <c:x val="2.1367521367521368E-2"/>
              <c:y val="0.32864010396149157"/>
            </c:manualLayout>
          </c:layout>
          <c:overlay val="0"/>
        </c:title>
        <c:numFmt formatCode="General" sourceLinked="1"/>
        <c:majorTickMark val="out"/>
        <c:minorTickMark val="none"/>
        <c:tickLblPos val="nextTo"/>
        <c:crossAx val="316570240"/>
        <c:crosses val="autoZero"/>
        <c:crossBetween val="between"/>
      </c:valAx>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'Report 2 - Stats'!$B$613</c:f>
              <c:strCache>
                <c:ptCount val="1"/>
                <c:pt idx="0">
                  <c:v>Total area (km2)</c:v>
                </c:pt>
              </c:strCache>
            </c:strRef>
          </c:tx>
          <c:invertIfNegative val="0"/>
          <c:cat>
            <c:numRef>
              <c:f>'Report 2 - Stats'!$C$612:$K$612</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'Report 2 - Stats'!$C$613:$K$613</c:f>
              <c:numCache>
                <c:formatCode>#,##0</c:formatCode>
                <c:ptCount val="9"/>
                <c:pt idx="0">
                  <c:v>91500</c:v>
                </c:pt>
                <c:pt idx="1">
                  <c:v>98086</c:v>
                </c:pt>
                <c:pt idx="2">
                  <c:v>95240</c:v>
                </c:pt>
                <c:pt idx="3">
                  <c:v>86365</c:v>
                </c:pt>
                <c:pt idx="4">
                  <c:v>75753</c:v>
                </c:pt>
                <c:pt idx="5">
                  <c:v>83900</c:v>
                </c:pt>
                <c:pt idx="6">
                  <c:v>77366</c:v>
                </c:pt>
                <c:pt idx="7">
                  <c:v>75018</c:v>
                </c:pt>
                <c:pt idx="8">
                  <c:v>70473.75</c:v>
                </c:pt>
              </c:numCache>
            </c:numRef>
          </c:val>
        </c:ser>
        <c:dLbls>
          <c:showLegendKey val="0"/>
          <c:showVal val="0"/>
          <c:showCatName val="0"/>
          <c:showSerName val="0"/>
          <c:showPercent val="0"/>
          <c:showBubbleSize val="0"/>
        </c:dLbls>
        <c:gapWidth val="150"/>
        <c:axId val="316593280"/>
        <c:axId val="316594816"/>
      </c:barChart>
      <c:catAx>
        <c:axId val="316593280"/>
        <c:scaling>
          <c:orientation val="minMax"/>
        </c:scaling>
        <c:delete val="0"/>
        <c:axPos val="b"/>
        <c:numFmt formatCode="General" sourceLinked="1"/>
        <c:majorTickMark val="out"/>
        <c:minorTickMark val="none"/>
        <c:tickLblPos val="nextTo"/>
        <c:crossAx val="316594816"/>
        <c:crosses val="autoZero"/>
        <c:auto val="1"/>
        <c:lblAlgn val="ctr"/>
        <c:lblOffset val="100"/>
        <c:noMultiLvlLbl val="0"/>
      </c:catAx>
      <c:valAx>
        <c:axId val="316594816"/>
        <c:scaling>
          <c:orientation val="minMax"/>
        </c:scaling>
        <c:delete val="0"/>
        <c:axPos val="l"/>
        <c:majorGridlines/>
        <c:numFmt formatCode="#,##0" sourceLinked="1"/>
        <c:majorTickMark val="out"/>
        <c:minorTickMark val="none"/>
        <c:tickLblPos val="nextTo"/>
        <c:crossAx val="316593280"/>
        <c:crosses val="autoZero"/>
        <c:crossBetween val="between"/>
      </c:valAx>
    </c:plotArea>
    <c:legend>
      <c:legendPos val="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'Report 2 - Stats'!$B$665</c:f>
              <c:strCache>
                <c:ptCount val="1"/>
                <c:pt idx="0">
                  <c:v>Mineral Exploration (ABS)1</c:v>
                </c:pt>
              </c:strCache>
            </c:strRef>
          </c:tx>
          <c:invertIfNegative val="0"/>
          <c:cat>
            <c:strRef>
              <c:f>'Report 2 - Stats'!$C$664:$J$664</c:f>
              <c:strCache>
                <c:ptCount val="8"/>
                <c:pt idx="0">
                  <c:v>2007/08</c:v>
                </c:pt>
                <c:pt idx="1">
                  <c:v>2008/09</c:v>
                </c:pt>
                <c:pt idx="2">
                  <c:v>2009/10</c:v>
                </c:pt>
                <c:pt idx="3">
                  <c:v>2010/11</c:v>
                </c:pt>
                <c:pt idx="4">
                  <c:v>2011/12</c:v>
                </c:pt>
                <c:pt idx="5">
                  <c:v>2012/13</c:v>
                </c:pt>
                <c:pt idx="6">
                  <c:v>2013/14</c:v>
                </c:pt>
                <c:pt idx="7">
                  <c:v>2014/15</c:v>
                </c:pt>
              </c:strCache>
            </c:strRef>
          </c:cat>
          <c:val>
            <c:numRef>
              <c:f>'Report 2 - Stats'!$C$665:$J$665</c:f>
              <c:numCache>
                <c:formatCode>General</c:formatCode>
                <c:ptCount val="8"/>
                <c:pt idx="0">
                  <c:v>93.7</c:v>
                </c:pt>
                <c:pt idx="1">
                  <c:v>62.2</c:v>
                </c:pt>
                <c:pt idx="2">
                  <c:v>84.8</c:v>
                </c:pt>
                <c:pt idx="3">
                  <c:v>57.4</c:v>
                </c:pt>
                <c:pt idx="4">
                  <c:v>58.5</c:v>
                </c:pt>
                <c:pt idx="5">
                  <c:v>38.6</c:v>
                </c:pt>
                <c:pt idx="6">
                  <c:v>32.6</c:v>
                </c:pt>
                <c:pt idx="7">
                  <c:v>22.9</c:v>
                </c:pt>
              </c:numCache>
            </c:numRef>
          </c:val>
        </c:ser>
        <c:ser>
          <c:idx val="1"/>
          <c:order val="1"/>
          <c:tx>
            <c:strRef>
              <c:f>'Report 2 - Stats'!$B$666</c:f>
              <c:strCache>
                <c:ptCount val="1"/>
                <c:pt idx="0">
                  <c:v>MRSDA Exploration2</c:v>
                </c:pt>
              </c:strCache>
            </c:strRef>
          </c:tx>
          <c:invertIfNegative val="0"/>
          <c:cat>
            <c:strRef>
              <c:f>'Report 2 - Stats'!$C$664:$J$664</c:f>
              <c:strCache>
                <c:ptCount val="8"/>
                <c:pt idx="0">
                  <c:v>2007/08</c:v>
                </c:pt>
                <c:pt idx="1">
                  <c:v>2008/09</c:v>
                </c:pt>
                <c:pt idx="2">
                  <c:v>2009/10</c:v>
                </c:pt>
                <c:pt idx="3">
                  <c:v>2010/11</c:v>
                </c:pt>
                <c:pt idx="4">
                  <c:v>2011/12</c:v>
                </c:pt>
                <c:pt idx="5">
                  <c:v>2012/13</c:v>
                </c:pt>
                <c:pt idx="6">
                  <c:v>2013/14</c:v>
                </c:pt>
                <c:pt idx="7">
                  <c:v>2014/15</c:v>
                </c:pt>
              </c:strCache>
            </c:strRef>
          </c:cat>
          <c:val>
            <c:numRef>
              <c:f>'Report 2 - Stats'!$C$666:$J$666</c:f>
              <c:numCache>
                <c:formatCode>General</c:formatCode>
                <c:ptCount val="8"/>
                <c:pt idx="0">
                  <c:v>76.7</c:v>
                </c:pt>
                <c:pt idx="1">
                  <c:v>69.900000000000006</c:v>
                </c:pt>
                <c:pt idx="2">
                  <c:v>58.4</c:v>
                </c:pt>
                <c:pt idx="3">
                  <c:v>31.7</c:v>
                </c:pt>
                <c:pt idx="4">
                  <c:v>37.799999999999997</c:v>
                </c:pt>
                <c:pt idx="5">
                  <c:v>39.700000000000003</c:v>
                </c:pt>
                <c:pt idx="6">
                  <c:v>30.5</c:v>
                </c:pt>
                <c:pt idx="7">
                  <c:v>32.299999999999997</c:v>
                </c:pt>
              </c:numCache>
            </c:numRef>
          </c:val>
        </c:ser>
        <c:ser>
          <c:idx val="2"/>
          <c:order val="2"/>
          <c:tx>
            <c:strRef>
              <c:f>'Report 2 - Stats'!$B$667</c:f>
              <c:strCache>
                <c:ptCount val="1"/>
                <c:pt idx="0">
                  <c:v>MRSDA Mining3</c:v>
                </c:pt>
              </c:strCache>
            </c:strRef>
          </c:tx>
          <c:invertIfNegative val="0"/>
          <c:cat>
            <c:strRef>
              <c:f>'Report 2 - Stats'!$C$664:$J$664</c:f>
              <c:strCache>
                <c:ptCount val="8"/>
                <c:pt idx="0">
                  <c:v>2007/08</c:v>
                </c:pt>
                <c:pt idx="1">
                  <c:v>2008/09</c:v>
                </c:pt>
                <c:pt idx="2">
                  <c:v>2009/10</c:v>
                </c:pt>
                <c:pt idx="3">
                  <c:v>2010/11</c:v>
                </c:pt>
                <c:pt idx="4">
                  <c:v>2011/12</c:v>
                </c:pt>
                <c:pt idx="5">
                  <c:v>2012/13</c:v>
                </c:pt>
                <c:pt idx="6">
                  <c:v>2013/14</c:v>
                </c:pt>
                <c:pt idx="7">
                  <c:v>2014/15</c:v>
                </c:pt>
              </c:strCache>
            </c:strRef>
          </c:cat>
          <c:val>
            <c:numRef>
              <c:f>'Report 2 - Stats'!$C$667:$J$667</c:f>
              <c:numCache>
                <c:formatCode>General</c:formatCode>
                <c:ptCount val="8"/>
                <c:pt idx="0">
                  <c:v>576.6</c:v>
                </c:pt>
                <c:pt idx="1">
                  <c:v>923.3</c:v>
                </c:pt>
                <c:pt idx="2">
                  <c:v>742</c:v>
                </c:pt>
                <c:pt idx="3">
                  <c:v>719.2</c:v>
                </c:pt>
                <c:pt idx="4">
                  <c:v>813.8</c:v>
                </c:pt>
                <c:pt idx="5">
                  <c:v>701.2</c:v>
                </c:pt>
                <c:pt idx="6">
                  <c:v>650.29999999999995</c:v>
                </c:pt>
                <c:pt idx="7">
                  <c:v>622.29999999999995</c:v>
                </c:pt>
              </c:numCache>
            </c:numRef>
          </c:val>
        </c:ser>
        <c:dLbls>
          <c:showLegendKey val="0"/>
          <c:showVal val="0"/>
          <c:showCatName val="0"/>
          <c:showSerName val="0"/>
          <c:showPercent val="0"/>
          <c:showBubbleSize val="0"/>
        </c:dLbls>
        <c:gapWidth val="150"/>
        <c:axId val="319818752"/>
        <c:axId val="319824640"/>
      </c:barChart>
      <c:catAx>
        <c:axId val="319818752"/>
        <c:scaling>
          <c:orientation val="minMax"/>
        </c:scaling>
        <c:delete val="0"/>
        <c:axPos val="b"/>
        <c:majorTickMark val="out"/>
        <c:minorTickMark val="none"/>
        <c:tickLblPos val="nextTo"/>
        <c:crossAx val="319824640"/>
        <c:crosses val="autoZero"/>
        <c:auto val="1"/>
        <c:lblAlgn val="ctr"/>
        <c:lblOffset val="100"/>
        <c:noMultiLvlLbl val="0"/>
      </c:catAx>
      <c:valAx>
        <c:axId val="319824640"/>
        <c:scaling>
          <c:orientation val="minMax"/>
        </c:scaling>
        <c:delete val="0"/>
        <c:axPos val="l"/>
        <c:majorGridlines/>
        <c:title>
          <c:tx>
            <c:rich>
              <a:bodyPr rot="-5400000" vert="horz"/>
              <a:lstStyle/>
              <a:p>
                <a:pPr>
                  <a:defRPr sz="1200"/>
                </a:pPr>
                <a:r>
                  <a:rPr lang="en-US" sz="1200"/>
                  <a:t>$A million</a:t>
                </a:r>
              </a:p>
            </c:rich>
          </c:tx>
          <c:overlay val="0"/>
        </c:title>
        <c:numFmt formatCode="General" sourceLinked="1"/>
        <c:majorTickMark val="out"/>
        <c:minorTickMark val="none"/>
        <c:tickLblPos val="nextTo"/>
        <c:crossAx val="319818752"/>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'Report 2 - Stats'!$C$706</c:f>
              <c:strCache>
                <c:ptCount val="1"/>
                <c:pt idx="0">
                  <c:v>Exploration ($A million)</c:v>
                </c:pt>
              </c:strCache>
            </c:strRef>
          </c:tx>
          <c:invertIfNegative val="0"/>
          <c:cat>
            <c:strRef>
              <c:f>'Report 2 - Stats'!$B$707:$B$710</c:f>
              <c:strCache>
                <c:ptCount val="4"/>
                <c:pt idx="0">
                  <c:v>Brown Coal </c:v>
                </c:pt>
                <c:pt idx="1">
                  <c:v>Gold </c:v>
                </c:pt>
                <c:pt idx="2">
                  <c:v>Heavy Mineral Sands</c:v>
                </c:pt>
                <c:pt idx="3">
                  <c:v>Other</c:v>
                </c:pt>
              </c:strCache>
            </c:strRef>
          </c:cat>
          <c:val>
            <c:numRef>
              <c:f>'Report 2 - Stats'!$C$707:$C$710</c:f>
              <c:numCache>
                <c:formatCode>0.0</c:formatCode>
                <c:ptCount val="4"/>
                <c:pt idx="0">
                  <c:v>0.4</c:v>
                </c:pt>
                <c:pt idx="1">
                  <c:v>7.5</c:v>
                </c:pt>
                <c:pt idx="2">
                  <c:v>3.1</c:v>
                </c:pt>
                <c:pt idx="3">
                  <c:v>21.3</c:v>
                </c:pt>
              </c:numCache>
            </c:numRef>
          </c:val>
        </c:ser>
        <c:ser>
          <c:idx val="1"/>
          <c:order val="1"/>
          <c:tx>
            <c:strRef>
              <c:f>'Report 2 - Stats'!$E$706</c:f>
              <c:strCache>
                <c:ptCount val="1"/>
                <c:pt idx="0">
                  <c:v>Mining ($A million)</c:v>
                </c:pt>
              </c:strCache>
            </c:strRef>
          </c:tx>
          <c:invertIfNegative val="0"/>
          <c:cat>
            <c:strRef>
              <c:f>'Report 2 - Stats'!$B$707:$B$710</c:f>
              <c:strCache>
                <c:ptCount val="4"/>
                <c:pt idx="0">
                  <c:v>Brown Coal </c:v>
                </c:pt>
                <c:pt idx="1">
                  <c:v>Gold </c:v>
                </c:pt>
                <c:pt idx="2">
                  <c:v>Heavy Mineral Sands</c:v>
                </c:pt>
                <c:pt idx="3">
                  <c:v>Other</c:v>
                </c:pt>
              </c:strCache>
            </c:strRef>
          </c:cat>
          <c:val>
            <c:numRef>
              <c:f>'Report 2 - Stats'!$E$707:$E$710</c:f>
              <c:numCache>
                <c:formatCode>General</c:formatCode>
                <c:ptCount val="4"/>
                <c:pt idx="0">
                  <c:v>302.39999999999998</c:v>
                </c:pt>
                <c:pt idx="1">
                  <c:v>191.5</c:v>
                </c:pt>
                <c:pt idx="2">
                  <c:v>75.400000000000006</c:v>
                </c:pt>
                <c:pt idx="3">
                  <c:v>53</c:v>
                </c:pt>
              </c:numCache>
            </c:numRef>
          </c:val>
        </c:ser>
        <c:dLbls>
          <c:showLegendKey val="0"/>
          <c:showVal val="0"/>
          <c:showCatName val="0"/>
          <c:showSerName val="0"/>
          <c:showPercent val="0"/>
          <c:showBubbleSize val="0"/>
        </c:dLbls>
        <c:gapWidth val="150"/>
        <c:axId val="319849984"/>
        <c:axId val="319851520"/>
      </c:barChart>
      <c:catAx>
        <c:axId val="319849984"/>
        <c:scaling>
          <c:orientation val="minMax"/>
        </c:scaling>
        <c:delete val="0"/>
        <c:axPos val="b"/>
        <c:majorTickMark val="out"/>
        <c:minorTickMark val="none"/>
        <c:tickLblPos val="nextTo"/>
        <c:crossAx val="319851520"/>
        <c:crosses val="autoZero"/>
        <c:auto val="1"/>
        <c:lblAlgn val="ctr"/>
        <c:lblOffset val="100"/>
        <c:noMultiLvlLbl val="0"/>
      </c:catAx>
      <c:valAx>
        <c:axId val="319851520"/>
        <c:scaling>
          <c:orientation val="minMax"/>
        </c:scaling>
        <c:delete val="0"/>
        <c:axPos val="l"/>
        <c:majorGridlines/>
        <c:title>
          <c:tx>
            <c:rich>
              <a:bodyPr rot="-5400000" vert="horz"/>
              <a:lstStyle/>
              <a:p>
                <a:pPr>
                  <a:defRPr sz="1400"/>
                </a:pPr>
                <a:r>
                  <a:rPr lang="en-US" sz="1400"/>
                  <a:t>$Am</a:t>
                </a:r>
              </a:p>
            </c:rich>
          </c:tx>
          <c:overlay val="0"/>
        </c:title>
        <c:numFmt formatCode="0.0" sourceLinked="1"/>
        <c:majorTickMark val="out"/>
        <c:minorTickMark val="none"/>
        <c:tickLblPos val="nextTo"/>
        <c:crossAx val="319849984"/>
        <c:crosses val="autoZero"/>
        <c:crossBetween val="between"/>
      </c:valAx>
    </c:plotArea>
    <c:legend>
      <c:legendPos val="t"/>
      <c:layout>
        <c:manualLayout>
          <c:xMode val="edge"/>
          <c:yMode val="edge"/>
          <c:x val="0.21356618884177939"/>
          <c:y val="2.6315789473684209E-2"/>
          <c:w val="0.60919240864122759"/>
          <c:h val="7.9311023622047241E-2"/>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78787739251892"/>
          <c:y val="3.9320822162645222E-2"/>
          <c:w val="0.86495360493731388"/>
          <c:h val="0.8253060592626994"/>
        </c:manualLayout>
      </c:layout>
      <c:barChart>
        <c:barDir val="col"/>
        <c:grouping val="clustered"/>
        <c:varyColors val="1"/>
        <c:ser>
          <c:idx val="0"/>
          <c:order val="0"/>
          <c:tx>
            <c:strRef>
              <c:f>'Report 2 - Stats'!$D$736</c:f>
              <c:strCache>
                <c:ptCount val="1"/>
                <c:pt idx="0">
                  <c:v>Gold</c:v>
                </c:pt>
              </c:strCache>
            </c:strRef>
          </c:tx>
          <c:spPr>
            <a:solidFill>
              <a:srgbClr val="CCECFF"/>
            </a:solidFill>
            <a:ln>
              <a:solidFill>
                <a:sysClr val="windowText" lastClr="000000"/>
              </a:solidFill>
            </a:ln>
          </c:spPr>
          <c:invertIfNegative val="0"/>
          <c:cat>
            <c:strRef>
              <c:f>'Report 2 - Stats'!$B$737:$B$758</c:f>
              <c:strCache>
                <c:ptCount val="22"/>
                <c:pt idx="0">
                  <c:v>1993/94</c:v>
                </c:pt>
                <c:pt idx="1">
                  <c:v>1994/95</c:v>
                </c:pt>
                <c:pt idx="2">
                  <c:v>1995/96</c:v>
                </c:pt>
                <c:pt idx="3">
                  <c:v>1996/97</c:v>
                </c:pt>
                <c:pt idx="4">
                  <c:v>1997/98</c:v>
                </c:pt>
                <c:pt idx="5">
                  <c:v>1998/99</c:v>
                </c:pt>
                <c:pt idx="6">
                  <c:v>1999/00</c:v>
                </c:pt>
                <c:pt idx="7">
                  <c:v>2000/01</c:v>
                </c:pt>
                <c:pt idx="8">
                  <c:v>2001/02</c:v>
                </c:pt>
                <c:pt idx="9">
                  <c:v>2002/03</c:v>
                </c:pt>
                <c:pt idx="10">
                  <c:v>2003/04</c:v>
                </c:pt>
                <c:pt idx="11">
                  <c:v>2004/05</c:v>
                </c:pt>
                <c:pt idx="12">
                  <c:v>2005/06</c:v>
                </c:pt>
                <c:pt idx="13">
                  <c:v>2006/07</c:v>
                </c:pt>
                <c:pt idx="14">
                  <c:v>2007/08</c:v>
                </c:pt>
                <c:pt idx="15">
                  <c:v>2008/09</c:v>
                </c:pt>
                <c:pt idx="16">
                  <c:v>2009/10</c:v>
                </c:pt>
                <c:pt idx="17">
                  <c:v>2010/11</c:v>
                </c:pt>
                <c:pt idx="18">
                  <c:v>2011/12</c:v>
                </c:pt>
                <c:pt idx="19">
                  <c:v>2012/13</c:v>
                </c:pt>
                <c:pt idx="20">
                  <c:v>2013/14</c:v>
                </c:pt>
                <c:pt idx="21">
                  <c:v>2014/15</c:v>
                </c:pt>
              </c:strCache>
            </c:strRef>
          </c:cat>
          <c:val>
            <c:numRef>
              <c:f>'Report 2 - Stats'!$D$737:$D$758</c:f>
              <c:numCache>
                <c:formatCode>#,##0</c:formatCode>
                <c:ptCount val="22"/>
                <c:pt idx="0">
                  <c:v>125960</c:v>
                </c:pt>
                <c:pt idx="1">
                  <c:v>138876</c:v>
                </c:pt>
                <c:pt idx="2">
                  <c:v>155550</c:v>
                </c:pt>
                <c:pt idx="3">
                  <c:v>151229</c:v>
                </c:pt>
                <c:pt idx="4">
                  <c:v>160122</c:v>
                </c:pt>
                <c:pt idx="5">
                  <c:v>159088</c:v>
                </c:pt>
                <c:pt idx="6">
                  <c:v>154043</c:v>
                </c:pt>
                <c:pt idx="7">
                  <c:v>122632</c:v>
                </c:pt>
                <c:pt idx="8">
                  <c:v>112283</c:v>
                </c:pt>
                <c:pt idx="9">
                  <c:v>107544</c:v>
                </c:pt>
                <c:pt idx="10">
                  <c:v>104188</c:v>
                </c:pt>
                <c:pt idx="11">
                  <c:v>123308</c:v>
                </c:pt>
                <c:pt idx="12">
                  <c:v>203352</c:v>
                </c:pt>
                <c:pt idx="13">
                  <c:v>224927</c:v>
                </c:pt>
                <c:pt idx="14">
                  <c:v>181100</c:v>
                </c:pt>
                <c:pt idx="15">
                  <c:v>248918</c:v>
                </c:pt>
                <c:pt idx="16">
                  <c:v>241965</c:v>
                </c:pt>
                <c:pt idx="17">
                  <c:v>186146</c:v>
                </c:pt>
                <c:pt idx="18">
                  <c:v>211201</c:v>
                </c:pt>
                <c:pt idx="19">
                  <c:v>225776</c:v>
                </c:pt>
                <c:pt idx="20">
                  <c:v>225168</c:v>
                </c:pt>
                <c:pt idx="21">
                  <c:v>198387.1279357</c:v>
                </c:pt>
              </c:numCache>
            </c:numRef>
          </c:val>
        </c:ser>
        <c:dLbls>
          <c:showLegendKey val="0"/>
          <c:showVal val="0"/>
          <c:showCatName val="0"/>
          <c:showSerName val="0"/>
          <c:showPercent val="0"/>
          <c:showBubbleSize val="0"/>
        </c:dLbls>
        <c:gapWidth val="150"/>
        <c:axId val="319860096"/>
        <c:axId val="319870080"/>
      </c:barChart>
      <c:catAx>
        <c:axId val="319860096"/>
        <c:scaling>
          <c:orientation val="minMax"/>
        </c:scaling>
        <c:delete val="0"/>
        <c:axPos val="b"/>
        <c:majorTickMark val="out"/>
        <c:minorTickMark val="none"/>
        <c:tickLblPos val="nextTo"/>
        <c:txPr>
          <a:bodyPr/>
          <a:lstStyle/>
          <a:p>
            <a:pPr>
              <a:defRPr sz="700" baseline="0"/>
            </a:pPr>
            <a:endParaRPr lang="en-US"/>
          </a:p>
        </c:txPr>
        <c:crossAx val="319870080"/>
        <c:crosses val="autoZero"/>
        <c:auto val="1"/>
        <c:lblAlgn val="ctr"/>
        <c:lblOffset val="100"/>
        <c:noMultiLvlLbl val="0"/>
      </c:catAx>
      <c:valAx>
        <c:axId val="319870080"/>
        <c:scaling>
          <c:orientation val="minMax"/>
        </c:scaling>
        <c:delete val="0"/>
        <c:axPos val="l"/>
        <c:majorGridlines/>
        <c:title>
          <c:tx>
            <c:rich>
              <a:bodyPr rot="-5400000" vert="horz"/>
              <a:lstStyle/>
              <a:p>
                <a:pPr>
                  <a:defRPr/>
                </a:pPr>
                <a:r>
                  <a:rPr lang="en-US"/>
                  <a:t>Gold (oz)</a:t>
                </a:r>
              </a:p>
            </c:rich>
          </c:tx>
          <c:overlay val="0"/>
        </c:title>
        <c:numFmt formatCode="#,##0" sourceLinked="1"/>
        <c:majorTickMark val="out"/>
        <c:minorTickMark val="none"/>
        <c:tickLblPos val="nextTo"/>
        <c:txPr>
          <a:bodyPr/>
          <a:lstStyle/>
          <a:p>
            <a:pPr>
              <a:defRPr sz="800"/>
            </a:pPr>
            <a:endParaRPr lang="en-US"/>
          </a:p>
        </c:txPr>
        <c:crossAx val="31986009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E06CC-39ED-46A4-B569-343B2EDC0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DEDJTR-A4-information-sheet-template_1col_blue-cover.dotx</Template>
  <TotalTime>0</TotalTime>
  <Pages>1</Pages>
  <Words>4643</Words>
  <Characters>26468</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2016-10-19T05:26:00Z</dcterms:created>
  <dcterms:modified xsi:type="dcterms:W3CDTF">2016-11-17T03:53:00Z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552fc58a-3da6-47c6-b111-2d4364137edf</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Arwinder Gill</vt:lpwstr>
  </property>
</Properties>
</file>