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DF" w:rsidRPr="00B550DF" w:rsidRDefault="00B550DF" w:rsidP="00B550DF">
      <w:pPr>
        <w:pStyle w:val="Heading1-nonumber"/>
        <w:spacing w:before="3000"/>
        <w:jc w:val="right"/>
        <w:rPr>
          <w:sz w:val="40"/>
        </w:rPr>
      </w:pPr>
      <w:r w:rsidRPr="00B550DF">
        <w:rPr>
          <w:sz w:val="40"/>
        </w:rPr>
        <w:t>Review of brown coal projects and programs funded by the Victorian Government</w:t>
      </w:r>
    </w:p>
    <w:p w:rsidR="00B550DF" w:rsidRPr="00B550DF" w:rsidRDefault="00B550DF" w:rsidP="00B550DF"/>
    <w:p w:rsidR="00B550DF" w:rsidRDefault="00B550DF" w:rsidP="00FB58C7">
      <w:pPr>
        <w:pStyle w:val="Heading1-nonumber"/>
      </w:pPr>
    </w:p>
    <w:p w:rsidR="00B550DF" w:rsidRDefault="00B550DF" w:rsidP="00B550DF">
      <w:pPr>
        <w:pStyle w:val="Heading2-nonumber"/>
      </w:pPr>
    </w:p>
    <w:p w:rsidR="00B550DF" w:rsidRDefault="00B550DF" w:rsidP="00B550DF"/>
    <w:p w:rsidR="00B550DF" w:rsidRDefault="00B550DF" w:rsidP="00B550DF"/>
    <w:p w:rsidR="00B550DF" w:rsidRDefault="00B550DF" w:rsidP="00B550DF"/>
    <w:p w:rsidR="00B550DF" w:rsidRDefault="00B550DF" w:rsidP="00B550DF"/>
    <w:p w:rsidR="00B550DF" w:rsidRDefault="00B550DF" w:rsidP="00B550DF"/>
    <w:p w:rsidR="00B550DF" w:rsidRDefault="00B550DF" w:rsidP="00B550DF"/>
    <w:p w:rsidR="00B550DF" w:rsidRDefault="00B550DF" w:rsidP="00B550DF"/>
    <w:p w:rsidR="00B550DF" w:rsidRPr="00B550DF" w:rsidRDefault="001F0FD6" w:rsidP="00B550DF">
      <w:pPr>
        <w:pStyle w:val="Heading1-nonumber"/>
        <w:spacing w:before="240"/>
        <w:jc w:val="right"/>
        <w:rPr>
          <w:sz w:val="32"/>
        </w:rPr>
      </w:pPr>
      <w:r>
        <w:rPr>
          <w:sz w:val="32"/>
        </w:rPr>
        <w:t>Findings and Recommendations</w:t>
      </w:r>
      <w:r w:rsidR="00B550DF" w:rsidRPr="00B550DF">
        <w:rPr>
          <w:sz w:val="32"/>
        </w:rPr>
        <w:t xml:space="preserve"> - Summary</w:t>
      </w:r>
    </w:p>
    <w:p w:rsidR="00B550DF" w:rsidRPr="00B550DF" w:rsidRDefault="00B550DF" w:rsidP="00B550DF">
      <w:pPr>
        <w:pStyle w:val="Heading1-nonumber"/>
        <w:spacing w:before="240"/>
        <w:jc w:val="right"/>
        <w:rPr>
          <w:sz w:val="32"/>
        </w:rPr>
      </w:pPr>
    </w:p>
    <w:p w:rsidR="00B550DF" w:rsidRPr="00B550DF" w:rsidRDefault="001F0FD6" w:rsidP="00B550DF">
      <w:pPr>
        <w:pStyle w:val="Heading1-nonumber"/>
        <w:spacing w:before="240"/>
        <w:jc w:val="right"/>
        <w:rPr>
          <w:sz w:val="32"/>
        </w:rPr>
      </w:pPr>
      <w:r>
        <w:rPr>
          <w:sz w:val="32"/>
        </w:rPr>
        <w:t>May 2017</w:t>
      </w:r>
    </w:p>
    <w:p w:rsidR="00B550DF" w:rsidRDefault="00B550DF">
      <w:pPr>
        <w:spacing w:after="0"/>
        <w:jc w:val="left"/>
        <w:rPr>
          <w:rFonts w:cs="Arial"/>
          <w:b/>
          <w:bCs/>
          <w:color w:val="732734" w:themeColor="text1"/>
          <w:kern w:val="32"/>
          <w:sz w:val="36"/>
          <w:szCs w:val="32"/>
        </w:rPr>
      </w:pPr>
      <w:r>
        <w:br w:type="page"/>
      </w:r>
    </w:p>
    <w:p w:rsidR="00FB58C7" w:rsidRPr="00A761B9" w:rsidRDefault="00B550DF" w:rsidP="00FB58C7">
      <w:pPr>
        <w:pStyle w:val="Heading1-nonumber"/>
      </w:pPr>
      <w:r>
        <w:lastRenderedPageBreak/>
        <w:t>S</w:t>
      </w:r>
      <w:r w:rsidR="00FB58C7">
        <w:t>ummary</w:t>
      </w:r>
    </w:p>
    <w:p w:rsidR="00653CF3" w:rsidRDefault="00653CF3" w:rsidP="00653CF3">
      <w:r>
        <w:t>Victoria’s brown coal reserves are among the largest in the world an</w:t>
      </w:r>
      <w:r w:rsidR="00E14BEA">
        <w:t>d are a major resource for the S</w:t>
      </w:r>
      <w:r>
        <w:t>tate. The reserves have been mined on a large scale since the 1920s, to supply the coal</w:t>
      </w:r>
      <w:r w:rsidR="00C837DB">
        <w:t>-</w:t>
      </w:r>
      <w:r>
        <w:t>fired electricity generation industry in Victoria.</w:t>
      </w:r>
    </w:p>
    <w:p w:rsidR="008D7112" w:rsidRDefault="008D7112" w:rsidP="00653CF3">
      <w:r>
        <w:t>Over the past 15 years</w:t>
      </w:r>
      <w:r w:rsidR="00E14BEA">
        <w:t>,</w:t>
      </w:r>
      <w:r>
        <w:t xml:space="preserve"> the Victorian Government has developed a suite of programs to support the development of the brown coal resource focus</w:t>
      </w:r>
      <w:r w:rsidR="00CE57E1">
        <w:t>s</w:t>
      </w:r>
      <w:r>
        <w:t>ed on lowering the carbon emissions from energy generation and the transformation of coal into other products.  These programs were often co-funded by the Commonwealth or leveraged existing Commonwealth program funding.  The programs have been developed to address issues across the innovation chain</w:t>
      </w:r>
      <w:r w:rsidR="00FC7672">
        <w:t xml:space="preserve"> but with particular emphasis on applied R&amp;D and large scale pilot/demonstration plants</w:t>
      </w:r>
      <w:r w:rsidR="00B31B1F">
        <w:t>.</w:t>
      </w:r>
    </w:p>
    <w:p w:rsidR="00EC4918" w:rsidRPr="00022096" w:rsidRDefault="00EC4918" w:rsidP="00EC4918">
      <w:pPr>
        <w:pStyle w:val="FigureHeading"/>
      </w:pPr>
      <w:r w:rsidRPr="003F12BB">
        <w:t xml:space="preserve">Figure </w:t>
      </w:r>
      <w:r>
        <w:t>1</w:t>
      </w:r>
      <w:r w:rsidRPr="003F12BB">
        <w:tab/>
      </w:r>
      <w:r w:rsidR="005F03C8">
        <w:t>The</w:t>
      </w:r>
      <w:r>
        <w:t xml:space="preserve"> innovation </w:t>
      </w:r>
      <w:r w:rsidR="00EB00DB">
        <w:t>chain</w:t>
      </w:r>
      <w:r w:rsidR="00BB7183">
        <w:t xml:space="preserve"> </w:t>
      </w:r>
    </w:p>
    <w:p w:rsidR="008D7112" w:rsidRDefault="00E12E4B" w:rsidP="00653CF3">
      <w:bookmarkStart w:id="0" w:name="_GoBack"/>
      <w:r>
        <w:rPr>
          <w:noProof/>
          <w:lang w:eastAsia="en-AU"/>
        </w:rPr>
        <w:drawing>
          <wp:inline distT="0" distB="0" distL="0" distR="0" wp14:anchorId="0D7FA19A" wp14:editId="21CC45A2">
            <wp:extent cx="5399405" cy="2022828"/>
            <wp:effectExtent l="0" t="0" r="0" b="0"/>
            <wp:docPr id="1" name="Picture 1" descr="This flow diagram shows the three phases of innovation:&#10;The Research and Development phase that includes basic research, and technology research and development;&#10;the Demonstration and Commercialisation phase that includes Pilot/Market demonstration and pre-commercialisation; and the Market Uptake phase that includes commercial deployment and market diffusion.&#10;The first two phases are described as a 'technology/supply push', the final phase a 'demand pull'." title="Figure 1, The innovation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9405" cy="2022828"/>
                    </a:xfrm>
                    <a:prstGeom prst="rect">
                      <a:avLst/>
                    </a:prstGeom>
                  </pic:spPr>
                </pic:pic>
              </a:graphicData>
            </a:graphic>
          </wp:inline>
        </w:drawing>
      </w:r>
      <w:bookmarkEnd w:id="0"/>
      <w:r w:rsidR="005F03C8" w:rsidDel="00EC4918">
        <w:t xml:space="preserve"> </w:t>
      </w:r>
    </w:p>
    <w:p w:rsidR="005F03C8" w:rsidRPr="00436F16" w:rsidRDefault="005F03C8" w:rsidP="00436F16">
      <w:pPr>
        <w:pStyle w:val="FigureTableSource"/>
        <w:spacing w:after="240"/>
        <w:rPr>
          <w:color w:val="6D5E51" w:themeColor="background1"/>
        </w:rPr>
      </w:pPr>
      <w:r w:rsidRPr="00436F16">
        <w:rPr>
          <w:i w:val="0"/>
          <w:color w:val="6D5E51" w:themeColor="background1"/>
        </w:rPr>
        <w:t xml:space="preserve">Source: </w:t>
      </w:r>
      <w:r w:rsidR="00E12E4B">
        <w:t xml:space="preserve">Adapted from </w:t>
      </w:r>
      <w:proofErr w:type="spellStart"/>
      <w:r w:rsidR="00E12E4B">
        <w:t>Garnaut</w:t>
      </w:r>
      <w:proofErr w:type="spellEnd"/>
      <w:r w:rsidR="00E12E4B">
        <w:t xml:space="preserve"> (2011)</w:t>
      </w:r>
    </w:p>
    <w:p w:rsidR="002328D3" w:rsidRDefault="002328D3" w:rsidP="002328D3">
      <w:pPr>
        <w:pStyle w:val="Bullet"/>
        <w:numPr>
          <w:ilvl w:val="0"/>
          <w:numId w:val="0"/>
        </w:numPr>
        <w:rPr>
          <w:lang w:val="en-US"/>
        </w:rPr>
      </w:pPr>
      <w:r w:rsidRPr="007B41B7">
        <w:rPr>
          <w:lang w:val="en-US"/>
        </w:rPr>
        <w:t xml:space="preserve">The current </w:t>
      </w:r>
      <w:r>
        <w:rPr>
          <w:lang w:val="en-US"/>
        </w:rPr>
        <w:t>Victorian</w:t>
      </w:r>
      <w:r w:rsidRPr="007B41B7">
        <w:rPr>
          <w:lang w:val="en-US"/>
        </w:rPr>
        <w:t xml:space="preserve"> Government has p</w:t>
      </w:r>
      <w:r>
        <w:rPr>
          <w:lang w:val="en-US"/>
        </w:rPr>
        <w:t>laced</w:t>
      </w:r>
      <w:r w:rsidRPr="007B41B7">
        <w:rPr>
          <w:lang w:val="en-US"/>
        </w:rPr>
        <w:t xml:space="preserve"> a high priority on jobs and investment with the Back to Work Plan, Premier’s Jobs and Investment Fund, </w:t>
      </w:r>
      <w:r>
        <w:rPr>
          <w:lang w:val="en-US"/>
        </w:rPr>
        <w:t xml:space="preserve">the Regional Jobs and Infrastructure Fund, </w:t>
      </w:r>
      <w:r w:rsidRPr="007B41B7">
        <w:rPr>
          <w:lang w:val="en-US"/>
        </w:rPr>
        <w:t>the development of six priority industry sectors and a $200M Future Industries Fund</w:t>
      </w:r>
      <w:r>
        <w:rPr>
          <w:lang w:val="en-US"/>
        </w:rPr>
        <w:t xml:space="preserve">. The focus of these programs and policies is to deliver jobs and economic outcomes in the short to medium term.  Within this context, alongside a tightening budget, the government needs to consider </w:t>
      </w:r>
      <w:r w:rsidR="00536C2A">
        <w:rPr>
          <w:lang w:val="en-US"/>
        </w:rPr>
        <w:t>its</w:t>
      </w:r>
      <w:r>
        <w:rPr>
          <w:lang w:val="en-US"/>
        </w:rPr>
        <w:t xml:space="preserve"> appetite for longer-term, more speculative, projects such as those identified in the coal development work over the last 15 years.</w:t>
      </w:r>
    </w:p>
    <w:p w:rsidR="00653CF3" w:rsidRDefault="008D7112" w:rsidP="00653CF3">
      <w:r>
        <w:t>T</w:t>
      </w:r>
      <w:r w:rsidR="001F0FD6">
        <w:t>he Victorian Government commissioned the</w:t>
      </w:r>
      <w:r w:rsidR="00653CF3">
        <w:t xml:space="preserve"> Review </w:t>
      </w:r>
      <w:r w:rsidR="001F0FD6">
        <w:t xml:space="preserve">in November 2015 </w:t>
      </w:r>
      <w:r w:rsidR="00653CF3">
        <w:t xml:space="preserve">to examine the effectiveness of </w:t>
      </w:r>
      <w:r w:rsidR="00D0303F">
        <w:t xml:space="preserve">current and past </w:t>
      </w:r>
      <w:r w:rsidR="00653CF3">
        <w:t xml:space="preserve">programs relating to brown coal and to understand the possible future pathways for </w:t>
      </w:r>
      <w:r w:rsidR="00506BCE">
        <w:t xml:space="preserve">project </w:t>
      </w:r>
      <w:r w:rsidR="00D21BAB">
        <w:t>assessment. In particular, the g</w:t>
      </w:r>
      <w:r w:rsidR="00653CF3">
        <w:t xml:space="preserve">overnment is seeking a </w:t>
      </w:r>
      <w:r w:rsidR="0087472C">
        <w:t xml:space="preserve">decision-making </w:t>
      </w:r>
      <w:r w:rsidR="00653CF3">
        <w:t xml:space="preserve">framework </w:t>
      </w:r>
      <w:r w:rsidR="0087472C">
        <w:t>to inform future government consideration of investments in coal projects</w:t>
      </w:r>
      <w:r w:rsidR="00653CF3">
        <w:t>.</w:t>
      </w:r>
    </w:p>
    <w:p w:rsidR="00FB58C7" w:rsidRDefault="00AE34D4" w:rsidP="00FE22D3">
      <w:pPr>
        <w:pStyle w:val="Heading3-nonumber"/>
        <w:ind w:left="720" w:hanging="720"/>
      </w:pPr>
      <w:r>
        <w:t>1.</w:t>
      </w:r>
      <w:r w:rsidR="00DC5C20">
        <w:tab/>
      </w:r>
      <w:proofErr w:type="gramStart"/>
      <w:r w:rsidR="00036A1D">
        <w:t>About</w:t>
      </w:r>
      <w:proofErr w:type="gramEnd"/>
      <w:r w:rsidR="00036A1D">
        <w:t xml:space="preserve"> the</w:t>
      </w:r>
      <w:r w:rsidR="006321F9">
        <w:t xml:space="preserve"> Review</w:t>
      </w:r>
    </w:p>
    <w:p w:rsidR="00D0303F" w:rsidRDefault="00D0303F" w:rsidP="00D0303F">
      <w:r>
        <w:t xml:space="preserve">The </w:t>
      </w:r>
      <w:r w:rsidR="00EC74D7">
        <w:t>terms of reference ask the Review</w:t>
      </w:r>
      <w:r>
        <w:t xml:space="preserve"> to provide an evidence base to </w:t>
      </w:r>
      <w:r w:rsidR="0087472C">
        <w:t>help inform future government consideration of investments in coal projects</w:t>
      </w:r>
      <w:r>
        <w:t>, through examining:</w:t>
      </w:r>
    </w:p>
    <w:p w:rsidR="00D0303F" w:rsidRDefault="00D0303F" w:rsidP="002726FD">
      <w:pPr>
        <w:pStyle w:val="Bullet"/>
        <w:numPr>
          <w:ilvl w:val="0"/>
          <w:numId w:val="13"/>
        </w:numPr>
        <w:ind w:left="397" w:hanging="397"/>
      </w:pPr>
      <w:r>
        <w:t>the effectiveness of government programs related to coal over the past 15 years to identify the key learnings that could be applied to th</w:t>
      </w:r>
      <w:r w:rsidR="0087472C">
        <w:t>e preparation of future programs</w:t>
      </w:r>
      <w:r w:rsidR="00471702">
        <w:t>;</w:t>
      </w:r>
    </w:p>
    <w:p w:rsidR="00D0303F" w:rsidRDefault="00D0303F" w:rsidP="002726FD">
      <w:pPr>
        <w:pStyle w:val="Bullet"/>
        <w:numPr>
          <w:ilvl w:val="0"/>
          <w:numId w:val="13"/>
        </w:numPr>
        <w:ind w:left="397" w:hanging="397"/>
      </w:pPr>
      <w:r>
        <w:lastRenderedPageBreak/>
        <w:t>the commercial, technological, environmental and social factors that will influence the future alternative uses of brown coal in a low emissions context</w:t>
      </w:r>
      <w:r w:rsidR="00471702">
        <w:t>; and</w:t>
      </w:r>
    </w:p>
    <w:p w:rsidR="00D0303F" w:rsidRDefault="0087472C" w:rsidP="002726FD">
      <w:pPr>
        <w:pStyle w:val="Bullet"/>
        <w:numPr>
          <w:ilvl w:val="0"/>
          <w:numId w:val="13"/>
        </w:numPr>
        <w:ind w:left="397" w:hanging="397"/>
      </w:pPr>
      <w:proofErr w:type="gramStart"/>
      <w:r>
        <w:t>parameters</w:t>
      </w:r>
      <w:proofErr w:type="gramEnd"/>
      <w:r w:rsidR="00D0303F">
        <w:t xml:space="preserve"> for determining the suitability </w:t>
      </w:r>
      <w:r>
        <w:t>of</w:t>
      </w:r>
      <w:r w:rsidR="00D0303F">
        <w:t xml:space="preserve"> future</w:t>
      </w:r>
      <w:r>
        <w:t xml:space="preserve"> investments in brown coal projects</w:t>
      </w:r>
      <w:r w:rsidR="00D0303F">
        <w:t>.</w:t>
      </w:r>
    </w:p>
    <w:p w:rsidR="00D0303F" w:rsidRDefault="00D0303F" w:rsidP="00D0303F">
      <w:r>
        <w:t xml:space="preserve">The </w:t>
      </w:r>
      <w:r w:rsidR="00D21BAB">
        <w:t xml:space="preserve">Victorian </w:t>
      </w:r>
      <w:r>
        <w:t xml:space="preserve">Government appointed an independent external expert, Mr </w:t>
      </w:r>
      <w:r w:rsidRPr="00E416F5">
        <w:t>Rhys Edwards fr</w:t>
      </w:r>
      <w:r>
        <w:t>om RDME Consulting, to lead the R</w:t>
      </w:r>
      <w:r w:rsidRPr="00E416F5">
        <w:t xml:space="preserve">eview. Mr Edwards </w:t>
      </w:r>
      <w:r>
        <w:t>was</w:t>
      </w:r>
      <w:r w:rsidRPr="00E416F5">
        <w:t xml:space="preserve"> Secretary of the Tasmanian Department of Premier and Cabinet and the Tasmanian Senior Official to the Council of Australian Governments.</w:t>
      </w:r>
    </w:p>
    <w:p w:rsidR="00D0303F" w:rsidRDefault="00D0303F" w:rsidP="00D0303F">
      <w:r>
        <w:t xml:space="preserve">In conducting the Review, Mr Edwards was provided with research and administrative support by a secretariat comprised of officers from the Department of Premier and Cabinet, the Department of Treasury and Finance and the Department of Economic Development, Jobs, Transport and Resources. The Review also received advice from an interdepartmental </w:t>
      </w:r>
      <w:r w:rsidR="00FF12CC">
        <w:t xml:space="preserve">steering </w:t>
      </w:r>
      <w:r>
        <w:t>committee.</w:t>
      </w:r>
      <w:r w:rsidR="00E12E4B">
        <w:t xml:space="preserve"> </w:t>
      </w:r>
      <w:r w:rsidR="00E12E4B" w:rsidRPr="0073628A">
        <w:t xml:space="preserve">The </w:t>
      </w:r>
      <w:r w:rsidR="00BB7A5C">
        <w:t>report</w:t>
      </w:r>
      <w:r w:rsidR="00BB7A5C" w:rsidRPr="0073628A">
        <w:t xml:space="preserve"> </w:t>
      </w:r>
      <w:r w:rsidR="00E12E4B" w:rsidRPr="0073628A">
        <w:t xml:space="preserve">is prepared on the basis of the documentation and information provided to the Reviewer by the </w:t>
      </w:r>
      <w:r w:rsidR="00C440DA">
        <w:t>secretariat and d</w:t>
      </w:r>
      <w:r w:rsidR="00E12E4B" w:rsidRPr="0073628A">
        <w:t>epartment</w:t>
      </w:r>
      <w:r w:rsidR="00C440DA">
        <w:t>s</w:t>
      </w:r>
      <w:r w:rsidR="00E12E4B" w:rsidRPr="0073628A">
        <w:t xml:space="preserve">.  </w:t>
      </w:r>
    </w:p>
    <w:p w:rsidR="00D0303F" w:rsidRDefault="00036A1D" w:rsidP="00D0303F">
      <w:r>
        <w:t>T</w:t>
      </w:r>
      <w:r w:rsidR="00D0303F">
        <w:t>he Review’s approach involved the following elements:</w:t>
      </w:r>
    </w:p>
    <w:p w:rsidR="00D0303F" w:rsidRDefault="00D0303F" w:rsidP="002726FD">
      <w:pPr>
        <w:pStyle w:val="Bullet"/>
        <w:numPr>
          <w:ilvl w:val="0"/>
          <w:numId w:val="13"/>
        </w:numPr>
        <w:ind w:left="397" w:hanging="397"/>
      </w:pPr>
      <w:r>
        <w:t>research and analysis by the secretariat, across the range of tasks in the terms of reference</w:t>
      </w:r>
      <w:r w:rsidR="00B31B1F">
        <w:t>;</w:t>
      </w:r>
    </w:p>
    <w:p w:rsidR="00B11104" w:rsidRDefault="00B11104" w:rsidP="00B11104">
      <w:pPr>
        <w:pStyle w:val="Bullet"/>
        <w:numPr>
          <w:ilvl w:val="0"/>
          <w:numId w:val="13"/>
        </w:numPr>
        <w:ind w:left="397" w:hanging="397"/>
      </w:pPr>
      <w:r>
        <w:t xml:space="preserve">targeted consultations with a limited number of key stakeholders and representative bodies including industry, unions, environmental and community groups, and government (including </w:t>
      </w:r>
      <w:r w:rsidR="009354AE">
        <w:t>local, State and Commonwealth)</w:t>
      </w:r>
      <w:r w:rsidR="00B31B1F">
        <w:t>; and</w:t>
      </w:r>
    </w:p>
    <w:p w:rsidR="00D0303F" w:rsidRDefault="00735FDD" w:rsidP="002726FD">
      <w:pPr>
        <w:pStyle w:val="Bullet"/>
        <w:numPr>
          <w:ilvl w:val="0"/>
          <w:numId w:val="13"/>
        </w:numPr>
        <w:ind w:left="397" w:hanging="397"/>
      </w:pPr>
      <w:r>
        <w:t>commissioned work including expert reports on the effectiveness of past and present coal programs</w:t>
      </w:r>
      <w:r w:rsidR="00FF12CC">
        <w:t xml:space="preserve"> (Frontier Economics)</w:t>
      </w:r>
      <w:r>
        <w:t>, potential future technologies and products using brown coal</w:t>
      </w:r>
      <w:r w:rsidR="00FF12CC">
        <w:t xml:space="preserve"> (GHD)</w:t>
      </w:r>
      <w:r>
        <w:t>, infrastructure requirements for these technologies and products</w:t>
      </w:r>
      <w:r w:rsidR="00FF12CC">
        <w:t xml:space="preserve"> (GHD)</w:t>
      </w:r>
      <w:r>
        <w:t>, and economic modelling of future scenarios involving brown coal</w:t>
      </w:r>
      <w:r w:rsidR="004042FF">
        <w:t xml:space="preserve"> (</w:t>
      </w:r>
      <w:r w:rsidR="00F03BE6">
        <w:t>EY</w:t>
      </w:r>
      <w:r w:rsidR="00FF12CC">
        <w:t>)</w:t>
      </w:r>
      <w:r w:rsidR="009D7D78">
        <w:t>.</w:t>
      </w:r>
    </w:p>
    <w:p w:rsidR="00036A1D" w:rsidRDefault="00036A1D" w:rsidP="00036A1D">
      <w:pPr>
        <w:pStyle w:val="Bullet"/>
        <w:numPr>
          <w:ilvl w:val="0"/>
          <w:numId w:val="0"/>
        </w:numPr>
        <w:ind w:left="397" w:hanging="397"/>
      </w:pPr>
      <w:r>
        <w:t>The Review made its final report to government in May 2016.</w:t>
      </w:r>
    </w:p>
    <w:p w:rsidR="006D2716" w:rsidRDefault="006D2716">
      <w:pPr>
        <w:spacing w:after="0"/>
        <w:jc w:val="left"/>
      </w:pPr>
      <w:r>
        <w:br w:type="page"/>
      </w:r>
    </w:p>
    <w:p w:rsidR="00352E81" w:rsidRDefault="00352E81" w:rsidP="00352E81">
      <w:pPr>
        <w:pStyle w:val="Heading3-nonumber"/>
        <w:ind w:left="720" w:hanging="720"/>
      </w:pPr>
      <w:r>
        <w:lastRenderedPageBreak/>
        <w:t>2.</w:t>
      </w:r>
      <w:r>
        <w:tab/>
      </w:r>
      <w:r w:rsidR="006D2716">
        <w:t>Summary of f</w:t>
      </w:r>
      <w:r>
        <w:t>indings and recommendations</w:t>
      </w:r>
    </w:p>
    <w:p w:rsidR="007B41B7" w:rsidRPr="00436F16" w:rsidRDefault="000E2BAE" w:rsidP="00436F16">
      <w:pPr>
        <w:pStyle w:val="Heading4"/>
        <w:rPr>
          <w:b/>
          <w:szCs w:val="20"/>
        </w:rPr>
      </w:pPr>
      <w:r w:rsidRPr="00436F16">
        <w:rPr>
          <w:b/>
          <w:sz w:val="20"/>
          <w:szCs w:val="20"/>
        </w:rPr>
        <w:t>F</w:t>
      </w:r>
      <w:r>
        <w:rPr>
          <w:b/>
          <w:sz w:val="20"/>
          <w:szCs w:val="20"/>
        </w:rPr>
        <w:t>inding</w:t>
      </w:r>
      <w:r w:rsidRPr="00436F16">
        <w:rPr>
          <w:b/>
          <w:sz w:val="20"/>
          <w:szCs w:val="20"/>
        </w:rPr>
        <w:t xml:space="preserve"> </w:t>
      </w:r>
      <w:r w:rsidR="007B41B7" w:rsidRPr="00436F16">
        <w:rPr>
          <w:b/>
          <w:sz w:val="20"/>
          <w:szCs w:val="20"/>
        </w:rPr>
        <w:t>1</w:t>
      </w:r>
      <w:r w:rsidR="001F0FD6">
        <w:rPr>
          <w:b/>
          <w:sz w:val="20"/>
          <w:szCs w:val="20"/>
        </w:rPr>
        <w:t xml:space="preserve"> – Program objectives and program success</w:t>
      </w:r>
    </w:p>
    <w:p w:rsidR="00D73B41" w:rsidRDefault="00D73B41" w:rsidP="00402721">
      <w:pPr>
        <w:pStyle w:val="Heading4"/>
        <w:spacing w:after="120"/>
        <w:contextualSpacing/>
        <w:rPr>
          <w:sz w:val="20"/>
          <w:szCs w:val="20"/>
        </w:rPr>
      </w:pPr>
      <w:r w:rsidRPr="00D73B41">
        <w:rPr>
          <w:sz w:val="20"/>
          <w:szCs w:val="20"/>
        </w:rPr>
        <w:t>Taken as a whole, the programs to date have not delivered ultimate outcomes; that is, no technology or project — which has received funding support from the Victorian Government — has reached commercial scale nor generated substantial economic, social and environmental benefits for Victoria (for example, additional jobs, exports, income or reductions in carbon emissions).</w:t>
      </w:r>
    </w:p>
    <w:p w:rsidR="007B41B7" w:rsidRPr="00BE7719" w:rsidRDefault="007B41B7" w:rsidP="00114C6F">
      <w:pPr>
        <w:pStyle w:val="Bullet"/>
        <w:numPr>
          <w:ilvl w:val="0"/>
          <w:numId w:val="0"/>
        </w:numPr>
        <w:rPr>
          <w:szCs w:val="20"/>
          <w:lang w:val="en-US"/>
        </w:rPr>
      </w:pPr>
    </w:p>
    <w:p w:rsidR="007B41B7" w:rsidRPr="00436F16" w:rsidRDefault="000E2BAE" w:rsidP="00436F16">
      <w:pPr>
        <w:pStyle w:val="Heading4"/>
        <w:rPr>
          <w:b/>
          <w:szCs w:val="20"/>
        </w:rPr>
      </w:pPr>
      <w:r>
        <w:rPr>
          <w:b/>
          <w:sz w:val="20"/>
          <w:szCs w:val="20"/>
        </w:rPr>
        <w:t>Finding</w:t>
      </w:r>
      <w:r w:rsidRPr="00436F16">
        <w:rPr>
          <w:b/>
          <w:sz w:val="20"/>
          <w:szCs w:val="20"/>
        </w:rPr>
        <w:t xml:space="preserve"> </w:t>
      </w:r>
      <w:r w:rsidR="007B41B7" w:rsidRPr="00436F16">
        <w:rPr>
          <w:b/>
          <w:sz w:val="20"/>
          <w:szCs w:val="20"/>
        </w:rPr>
        <w:t>2</w:t>
      </w:r>
      <w:r w:rsidR="001F0FD6">
        <w:rPr>
          <w:b/>
          <w:sz w:val="20"/>
          <w:szCs w:val="20"/>
        </w:rPr>
        <w:t xml:space="preserve"> – Program objectives and program success</w:t>
      </w:r>
    </w:p>
    <w:p w:rsidR="00402721" w:rsidRPr="00402721" w:rsidRDefault="007B41B7" w:rsidP="00402721">
      <w:pPr>
        <w:pStyle w:val="Heading4"/>
        <w:rPr>
          <w:sz w:val="20"/>
          <w:szCs w:val="20"/>
        </w:rPr>
      </w:pPr>
      <w:r w:rsidRPr="00436F16">
        <w:rPr>
          <w:sz w:val="20"/>
          <w:szCs w:val="20"/>
        </w:rPr>
        <w:t>De</w:t>
      </w:r>
      <w:r w:rsidR="00AB6402" w:rsidRPr="00436F16">
        <w:rPr>
          <w:sz w:val="20"/>
          <w:szCs w:val="20"/>
        </w:rPr>
        <w:t>sp</w:t>
      </w:r>
      <w:r w:rsidRPr="00436F16">
        <w:rPr>
          <w:sz w:val="20"/>
          <w:szCs w:val="20"/>
        </w:rPr>
        <w:t xml:space="preserve">ite little in the way of ultimate success, Victorian </w:t>
      </w:r>
      <w:r w:rsidR="00150A19">
        <w:rPr>
          <w:sz w:val="20"/>
          <w:szCs w:val="20"/>
        </w:rPr>
        <w:t>b</w:t>
      </w:r>
      <w:r w:rsidR="00150A19" w:rsidRPr="00436F16">
        <w:rPr>
          <w:sz w:val="20"/>
          <w:szCs w:val="20"/>
        </w:rPr>
        <w:t xml:space="preserve">rown </w:t>
      </w:r>
      <w:r w:rsidR="00150A19">
        <w:rPr>
          <w:sz w:val="20"/>
          <w:szCs w:val="20"/>
        </w:rPr>
        <w:t>c</w:t>
      </w:r>
      <w:r w:rsidR="00150A19" w:rsidRPr="00436F16">
        <w:rPr>
          <w:sz w:val="20"/>
          <w:szCs w:val="20"/>
        </w:rPr>
        <w:t xml:space="preserve">oal </w:t>
      </w:r>
      <w:r w:rsidR="00150A19">
        <w:rPr>
          <w:sz w:val="20"/>
          <w:szCs w:val="20"/>
        </w:rPr>
        <w:t>p</w:t>
      </w:r>
      <w:r w:rsidR="00150A19" w:rsidRPr="00436F16">
        <w:rPr>
          <w:sz w:val="20"/>
          <w:szCs w:val="20"/>
        </w:rPr>
        <w:t xml:space="preserve">rograms </w:t>
      </w:r>
      <w:r w:rsidRPr="00436F16">
        <w:rPr>
          <w:sz w:val="20"/>
          <w:szCs w:val="20"/>
        </w:rPr>
        <w:t>have, in many cases, achieved their stated objectives</w:t>
      </w:r>
      <w:r w:rsidR="00AB6402" w:rsidRPr="00436F16">
        <w:rPr>
          <w:sz w:val="20"/>
          <w:szCs w:val="20"/>
        </w:rPr>
        <w:t xml:space="preserve"> as evidenced by a range of intermediate outcomes.  The R&amp;D programs have been assessed as broadly effective.  The D&amp;C programs have been more mixed.  In many cases failure to reach milestones was the result of external factors such as market conditions or changed policy settings in relation to carbon.</w:t>
      </w:r>
    </w:p>
    <w:p w:rsidR="007B41B7" w:rsidRPr="00BE7719" w:rsidRDefault="007B41B7" w:rsidP="00114C6F">
      <w:pPr>
        <w:pStyle w:val="Bullet"/>
        <w:numPr>
          <w:ilvl w:val="0"/>
          <w:numId w:val="0"/>
        </w:numPr>
        <w:spacing w:after="0"/>
        <w:rPr>
          <w:szCs w:val="20"/>
          <w:lang w:val="en-US"/>
        </w:rPr>
      </w:pPr>
    </w:p>
    <w:p w:rsidR="00BB7183" w:rsidRPr="0073628A" w:rsidRDefault="00AB6402" w:rsidP="00BB7183">
      <w:pPr>
        <w:pStyle w:val="Heading4"/>
        <w:rPr>
          <w:b/>
          <w:sz w:val="20"/>
          <w:szCs w:val="20"/>
        </w:rPr>
      </w:pPr>
      <w:r w:rsidRPr="00436F16">
        <w:rPr>
          <w:b/>
          <w:sz w:val="20"/>
          <w:szCs w:val="20"/>
        </w:rPr>
        <w:t>Finding 3</w:t>
      </w:r>
      <w:r w:rsidR="001F0FD6">
        <w:rPr>
          <w:b/>
          <w:sz w:val="20"/>
          <w:szCs w:val="20"/>
        </w:rPr>
        <w:t xml:space="preserve"> – Program objectives and program success</w:t>
      </w:r>
    </w:p>
    <w:p w:rsidR="007B41B7" w:rsidRPr="00436F16" w:rsidRDefault="007B41B7" w:rsidP="00436F16">
      <w:pPr>
        <w:pStyle w:val="Heading4"/>
        <w:rPr>
          <w:szCs w:val="20"/>
        </w:rPr>
      </w:pPr>
      <w:r w:rsidRPr="00436F16">
        <w:rPr>
          <w:sz w:val="20"/>
          <w:szCs w:val="20"/>
        </w:rPr>
        <w:t xml:space="preserve">There is the lack of a cohesive, over-riding objective to tie all the activity together.   This in part may be due </w:t>
      </w:r>
      <w:r w:rsidR="00EF2B92">
        <w:rPr>
          <w:sz w:val="20"/>
          <w:szCs w:val="20"/>
        </w:rPr>
        <w:t>to the lack of a comprehensive coal policy</w:t>
      </w:r>
      <w:r w:rsidRPr="00436F16">
        <w:rPr>
          <w:sz w:val="20"/>
          <w:szCs w:val="20"/>
        </w:rPr>
        <w:t>.  P</w:t>
      </w:r>
      <w:r w:rsidR="00AB6402" w:rsidRPr="00436F16">
        <w:rPr>
          <w:sz w:val="20"/>
          <w:szCs w:val="20"/>
        </w:rPr>
        <w:t>revious attempts to develop</w:t>
      </w:r>
      <w:r w:rsidRPr="00436F16">
        <w:rPr>
          <w:sz w:val="20"/>
          <w:szCs w:val="20"/>
        </w:rPr>
        <w:t xml:space="preserve"> high-level strategy</w:t>
      </w:r>
      <w:r w:rsidR="00AB6402" w:rsidRPr="00436F16">
        <w:rPr>
          <w:sz w:val="20"/>
          <w:szCs w:val="20"/>
        </w:rPr>
        <w:t xml:space="preserve"> documents</w:t>
      </w:r>
      <w:r w:rsidRPr="00436F16">
        <w:rPr>
          <w:sz w:val="20"/>
          <w:szCs w:val="20"/>
        </w:rPr>
        <w:t xml:space="preserve"> have not been </w:t>
      </w:r>
      <w:r w:rsidR="00AB6402" w:rsidRPr="00436F16">
        <w:rPr>
          <w:sz w:val="20"/>
          <w:szCs w:val="20"/>
        </w:rPr>
        <w:t>publicly released.</w:t>
      </w:r>
    </w:p>
    <w:p w:rsidR="00F54181" w:rsidRPr="00436F16" w:rsidRDefault="00F54181" w:rsidP="00F54181">
      <w:pPr>
        <w:pStyle w:val="Bullet"/>
        <w:numPr>
          <w:ilvl w:val="0"/>
          <w:numId w:val="0"/>
        </w:numPr>
        <w:rPr>
          <w:szCs w:val="20"/>
          <w:lang w:val="en-US"/>
        </w:rPr>
      </w:pPr>
    </w:p>
    <w:p w:rsidR="00F54181" w:rsidRPr="00436F16" w:rsidRDefault="000E2BAE" w:rsidP="00F54181">
      <w:pPr>
        <w:pStyle w:val="Heading4"/>
        <w:rPr>
          <w:b/>
          <w:sz w:val="20"/>
          <w:szCs w:val="20"/>
        </w:rPr>
      </w:pPr>
      <w:r w:rsidRPr="00436F16">
        <w:rPr>
          <w:b/>
          <w:sz w:val="20"/>
          <w:szCs w:val="20"/>
        </w:rPr>
        <w:t>F</w:t>
      </w:r>
      <w:r>
        <w:rPr>
          <w:b/>
          <w:sz w:val="20"/>
          <w:szCs w:val="20"/>
        </w:rPr>
        <w:t>inding</w:t>
      </w:r>
      <w:r w:rsidRPr="00436F16">
        <w:rPr>
          <w:b/>
          <w:sz w:val="20"/>
          <w:szCs w:val="20"/>
        </w:rPr>
        <w:t xml:space="preserve"> </w:t>
      </w:r>
      <w:r w:rsidR="004D25E5" w:rsidRPr="00436F16">
        <w:rPr>
          <w:b/>
          <w:sz w:val="20"/>
          <w:szCs w:val="20"/>
        </w:rPr>
        <w:t>4</w:t>
      </w:r>
      <w:r w:rsidR="001F0FD6">
        <w:rPr>
          <w:b/>
          <w:sz w:val="20"/>
          <w:szCs w:val="20"/>
        </w:rPr>
        <w:t xml:space="preserve"> – Program design</w:t>
      </w:r>
    </w:p>
    <w:p w:rsidR="0064002A" w:rsidRPr="00436F16" w:rsidRDefault="00CB33AA" w:rsidP="00436F16">
      <w:pPr>
        <w:pStyle w:val="Heading4"/>
        <w:rPr>
          <w:szCs w:val="20"/>
        </w:rPr>
      </w:pPr>
      <w:r w:rsidRPr="00E14BEA">
        <w:rPr>
          <w:sz w:val="20"/>
          <w:szCs w:val="20"/>
        </w:rPr>
        <w:t>Approximately</w:t>
      </w:r>
      <w:r w:rsidR="00F54181" w:rsidRPr="00E14BEA">
        <w:rPr>
          <w:sz w:val="20"/>
          <w:szCs w:val="20"/>
        </w:rPr>
        <w:t xml:space="preserve"> $3</w:t>
      </w:r>
      <w:r w:rsidR="009D7256" w:rsidRPr="00E14BEA">
        <w:rPr>
          <w:sz w:val="20"/>
          <w:szCs w:val="20"/>
        </w:rPr>
        <w:t xml:space="preserve">60 </w:t>
      </w:r>
      <w:r w:rsidR="00F54181" w:rsidRPr="00E14BEA">
        <w:rPr>
          <w:sz w:val="20"/>
          <w:szCs w:val="20"/>
        </w:rPr>
        <w:t>m</w:t>
      </w:r>
      <w:r w:rsidR="009D7256" w:rsidRPr="00E14BEA">
        <w:rPr>
          <w:sz w:val="20"/>
          <w:szCs w:val="20"/>
        </w:rPr>
        <w:t>illion</w:t>
      </w:r>
      <w:r w:rsidR="00F54181" w:rsidRPr="00E14BEA">
        <w:rPr>
          <w:sz w:val="20"/>
          <w:szCs w:val="20"/>
        </w:rPr>
        <w:t xml:space="preserve"> has been announced with</w:t>
      </w:r>
      <w:r w:rsidR="009D7256" w:rsidRPr="00E14BEA">
        <w:rPr>
          <w:sz w:val="20"/>
          <w:szCs w:val="20"/>
        </w:rPr>
        <w:t xml:space="preserve"> at least</w:t>
      </w:r>
      <w:r w:rsidR="00F54181" w:rsidRPr="00E14BEA">
        <w:rPr>
          <w:sz w:val="20"/>
          <w:szCs w:val="20"/>
        </w:rPr>
        <w:t xml:space="preserve"> $1</w:t>
      </w:r>
      <w:r w:rsidR="009D7256" w:rsidRPr="00E14BEA">
        <w:rPr>
          <w:sz w:val="20"/>
          <w:szCs w:val="20"/>
        </w:rPr>
        <w:t>00 million</w:t>
      </w:r>
      <w:r w:rsidR="00F54181" w:rsidRPr="00E14BEA">
        <w:rPr>
          <w:sz w:val="20"/>
          <w:szCs w:val="20"/>
        </w:rPr>
        <w:t xml:space="preserve"> actually</w:t>
      </w:r>
      <w:r w:rsidR="00F54181" w:rsidRPr="00436F16">
        <w:rPr>
          <w:sz w:val="20"/>
          <w:szCs w:val="20"/>
        </w:rPr>
        <w:t xml:space="preserve"> spent.  The remainder remains unspent, has been reallocated within the suite of programs or returned to consolidated revenue.  </w:t>
      </w:r>
    </w:p>
    <w:p w:rsidR="0064002A" w:rsidRPr="00497BA2" w:rsidRDefault="0064002A" w:rsidP="00F54181">
      <w:pPr>
        <w:pStyle w:val="Bullet"/>
        <w:numPr>
          <w:ilvl w:val="0"/>
          <w:numId w:val="0"/>
        </w:numPr>
        <w:rPr>
          <w:szCs w:val="20"/>
          <w:lang w:val="en-US"/>
        </w:rPr>
      </w:pPr>
    </w:p>
    <w:p w:rsidR="00F54181" w:rsidRPr="00436F16" w:rsidRDefault="000E2BAE" w:rsidP="00F54181">
      <w:pPr>
        <w:pStyle w:val="Heading4"/>
        <w:rPr>
          <w:b/>
          <w:sz w:val="20"/>
          <w:szCs w:val="20"/>
        </w:rPr>
      </w:pPr>
      <w:r w:rsidRPr="00436F16">
        <w:rPr>
          <w:b/>
          <w:sz w:val="20"/>
          <w:szCs w:val="20"/>
        </w:rPr>
        <w:t>F</w:t>
      </w:r>
      <w:r>
        <w:rPr>
          <w:b/>
          <w:sz w:val="20"/>
          <w:szCs w:val="20"/>
        </w:rPr>
        <w:t>inding</w:t>
      </w:r>
      <w:r w:rsidRPr="00436F16">
        <w:rPr>
          <w:b/>
          <w:sz w:val="20"/>
          <w:szCs w:val="20"/>
        </w:rPr>
        <w:t xml:space="preserve"> </w:t>
      </w:r>
      <w:r w:rsidR="004D25E5" w:rsidRPr="00436F16">
        <w:rPr>
          <w:b/>
          <w:sz w:val="20"/>
          <w:szCs w:val="20"/>
        </w:rPr>
        <w:t>5</w:t>
      </w:r>
      <w:r w:rsidR="001F0FD6">
        <w:rPr>
          <w:b/>
          <w:sz w:val="20"/>
          <w:szCs w:val="20"/>
        </w:rPr>
        <w:t xml:space="preserve"> – Program design</w:t>
      </w:r>
    </w:p>
    <w:p w:rsidR="00F54181" w:rsidRPr="00436F16" w:rsidRDefault="00F54181" w:rsidP="00F54181">
      <w:pPr>
        <w:pStyle w:val="Heading4"/>
        <w:rPr>
          <w:sz w:val="20"/>
          <w:szCs w:val="20"/>
        </w:rPr>
      </w:pPr>
      <w:r w:rsidRPr="00436F16">
        <w:rPr>
          <w:sz w:val="20"/>
          <w:szCs w:val="20"/>
        </w:rPr>
        <w:t xml:space="preserve">Despite the complexity in funding arrangements, program design has generally been good.  </w:t>
      </w:r>
      <w:proofErr w:type="spellStart"/>
      <w:r w:rsidRPr="00436F16">
        <w:rPr>
          <w:sz w:val="20"/>
          <w:szCs w:val="20"/>
        </w:rPr>
        <w:t>Wyld</w:t>
      </w:r>
      <w:proofErr w:type="spellEnd"/>
      <w:r w:rsidRPr="00436F16">
        <w:rPr>
          <w:sz w:val="20"/>
          <w:szCs w:val="20"/>
        </w:rPr>
        <w:t xml:space="preserve"> (2011) supported the view that ETIS has performed as well as similar national or international programs.  Refinement of program design and assessment for ALDP continued to improve on the previous arrangements.</w:t>
      </w:r>
    </w:p>
    <w:p w:rsidR="009F43F6" w:rsidRDefault="009F43F6" w:rsidP="00436F16">
      <w:pPr>
        <w:pStyle w:val="Bullet"/>
        <w:numPr>
          <w:ilvl w:val="0"/>
          <w:numId w:val="0"/>
        </w:numPr>
        <w:rPr>
          <w:b/>
          <w:szCs w:val="20"/>
          <w:lang w:val="en-US"/>
        </w:rPr>
      </w:pPr>
    </w:p>
    <w:p w:rsidR="006D2716" w:rsidRDefault="006D2716" w:rsidP="00436F16">
      <w:pPr>
        <w:pStyle w:val="Bullet"/>
        <w:numPr>
          <w:ilvl w:val="0"/>
          <w:numId w:val="0"/>
        </w:numPr>
        <w:rPr>
          <w:b/>
          <w:szCs w:val="20"/>
          <w:lang w:val="en-US"/>
        </w:rPr>
      </w:pPr>
    </w:p>
    <w:p w:rsidR="006D2716" w:rsidRPr="00497BA2" w:rsidRDefault="006D2716" w:rsidP="00436F16">
      <w:pPr>
        <w:pStyle w:val="Bullet"/>
        <w:numPr>
          <w:ilvl w:val="0"/>
          <w:numId w:val="0"/>
        </w:numPr>
        <w:rPr>
          <w:b/>
          <w:szCs w:val="20"/>
          <w:lang w:val="en-US"/>
        </w:rPr>
      </w:pPr>
    </w:p>
    <w:p w:rsidR="007B41B7" w:rsidRPr="001F0FD6" w:rsidRDefault="000E2BAE" w:rsidP="00436F16">
      <w:pPr>
        <w:pStyle w:val="Heading4"/>
        <w:rPr>
          <w:b/>
          <w:sz w:val="20"/>
          <w:szCs w:val="20"/>
        </w:rPr>
      </w:pPr>
      <w:r w:rsidRPr="001F0FD6">
        <w:rPr>
          <w:b/>
          <w:sz w:val="20"/>
          <w:szCs w:val="20"/>
        </w:rPr>
        <w:lastRenderedPageBreak/>
        <w:t xml:space="preserve">Finding </w:t>
      </w:r>
      <w:r w:rsidR="004D25E5" w:rsidRPr="001F0FD6">
        <w:rPr>
          <w:b/>
          <w:sz w:val="20"/>
          <w:szCs w:val="20"/>
        </w:rPr>
        <w:t>6</w:t>
      </w:r>
      <w:r w:rsidR="001F0FD6" w:rsidRPr="001F0FD6">
        <w:rPr>
          <w:b/>
          <w:sz w:val="20"/>
          <w:szCs w:val="20"/>
        </w:rPr>
        <w:t xml:space="preserve"> – External influences and project timescales</w:t>
      </w:r>
    </w:p>
    <w:p w:rsidR="007B41B7" w:rsidRPr="0073628A" w:rsidRDefault="007B41B7" w:rsidP="00436F16">
      <w:pPr>
        <w:pStyle w:val="Heading4"/>
        <w:rPr>
          <w:sz w:val="20"/>
          <w:szCs w:val="20"/>
        </w:rPr>
      </w:pPr>
      <w:r w:rsidRPr="00436F16">
        <w:rPr>
          <w:sz w:val="20"/>
          <w:szCs w:val="20"/>
        </w:rPr>
        <w:t xml:space="preserve">External influences have had a greater impact on success than program design.  The </w:t>
      </w:r>
      <w:r w:rsidR="00B45052" w:rsidRPr="00436F16">
        <w:rPr>
          <w:sz w:val="20"/>
          <w:szCs w:val="20"/>
        </w:rPr>
        <w:t>g</w:t>
      </w:r>
      <w:r w:rsidRPr="00436F16">
        <w:rPr>
          <w:sz w:val="20"/>
          <w:szCs w:val="20"/>
        </w:rPr>
        <w:t>overnment (and the community) needs to appreciate the uncertain and lengthy development l</w:t>
      </w:r>
      <w:r w:rsidR="00C751A5">
        <w:rPr>
          <w:sz w:val="20"/>
          <w:szCs w:val="20"/>
        </w:rPr>
        <w:t>ead time on R&amp;D and commercialis</w:t>
      </w:r>
      <w:r w:rsidRPr="00436F16">
        <w:rPr>
          <w:sz w:val="20"/>
          <w:szCs w:val="20"/>
        </w:rPr>
        <w:t>ation activity.  For R&amp;D this may be 30 years and for D&amp;C 10 to 20 years.</w:t>
      </w:r>
      <w:r w:rsidRPr="0073628A">
        <w:rPr>
          <w:sz w:val="20"/>
          <w:szCs w:val="20"/>
        </w:rPr>
        <w:t xml:space="preserve"> </w:t>
      </w:r>
      <w:r w:rsidR="00DF06AF" w:rsidRPr="0073628A">
        <w:rPr>
          <w:sz w:val="20"/>
          <w:szCs w:val="20"/>
        </w:rPr>
        <w:t xml:space="preserve"> </w:t>
      </w:r>
      <w:r w:rsidR="00DF06AF">
        <w:rPr>
          <w:sz w:val="20"/>
          <w:szCs w:val="20"/>
        </w:rPr>
        <w:t>T</w:t>
      </w:r>
      <w:r w:rsidR="00DF06AF" w:rsidRPr="0073628A">
        <w:rPr>
          <w:sz w:val="20"/>
          <w:szCs w:val="20"/>
        </w:rPr>
        <w:t xml:space="preserve">he government needs to consider </w:t>
      </w:r>
      <w:r w:rsidR="00536C2A">
        <w:rPr>
          <w:sz w:val="20"/>
          <w:szCs w:val="20"/>
        </w:rPr>
        <w:t>its</w:t>
      </w:r>
      <w:r w:rsidR="00DF06AF" w:rsidRPr="0073628A">
        <w:rPr>
          <w:sz w:val="20"/>
          <w:szCs w:val="20"/>
        </w:rPr>
        <w:t xml:space="preserve"> appetite for longer-term, more speculative, projects such as those identified in the coal development work over the last 15 years.</w:t>
      </w:r>
    </w:p>
    <w:p w:rsidR="00E746C2" w:rsidRPr="00436F16" w:rsidRDefault="00E746C2" w:rsidP="00436F16">
      <w:pPr>
        <w:pStyle w:val="Bullet"/>
        <w:numPr>
          <w:ilvl w:val="0"/>
          <w:numId w:val="0"/>
        </w:numPr>
      </w:pPr>
    </w:p>
    <w:p w:rsidR="007B41B7" w:rsidRPr="001F0FD6" w:rsidRDefault="00FC7874" w:rsidP="00436F16">
      <w:pPr>
        <w:pStyle w:val="Heading4"/>
        <w:rPr>
          <w:b/>
          <w:sz w:val="20"/>
          <w:szCs w:val="20"/>
        </w:rPr>
      </w:pPr>
      <w:r w:rsidRPr="001F0FD6">
        <w:rPr>
          <w:b/>
          <w:sz w:val="20"/>
          <w:szCs w:val="20"/>
        </w:rPr>
        <w:t>Finding 7</w:t>
      </w:r>
      <w:r w:rsidR="001F0FD6" w:rsidRPr="001F0FD6">
        <w:rPr>
          <w:b/>
          <w:sz w:val="20"/>
          <w:szCs w:val="20"/>
        </w:rPr>
        <w:t xml:space="preserve"> – Opportunities for brown coal</w:t>
      </w:r>
    </w:p>
    <w:p w:rsidR="00FC7874" w:rsidRPr="00822DEB" w:rsidRDefault="00FC7874" w:rsidP="00436F16">
      <w:pPr>
        <w:pStyle w:val="Heading4"/>
        <w:rPr>
          <w:szCs w:val="20"/>
        </w:rPr>
      </w:pPr>
      <w:r w:rsidRPr="00822DEB">
        <w:rPr>
          <w:sz w:val="20"/>
          <w:szCs w:val="20"/>
        </w:rPr>
        <w:t>Victorian brown coal products could potentially be supplied to a number of large and growing domestic and international markets. Processing brown coal in Victoria to produce the following products within a carbon-constrained economy has been assessed by GHD (2016) and EY (2016) as potentially economically viable in the near to medium term:</w:t>
      </w:r>
    </w:p>
    <w:p w:rsidR="00FC7874" w:rsidRPr="00822DEB" w:rsidRDefault="005F6CC8" w:rsidP="00436F16">
      <w:pPr>
        <w:pStyle w:val="Heading4"/>
        <w:rPr>
          <w:szCs w:val="20"/>
        </w:rPr>
      </w:pPr>
      <w:r w:rsidRPr="00822DEB">
        <w:rPr>
          <w:sz w:val="20"/>
          <w:szCs w:val="20"/>
        </w:rPr>
        <w:t xml:space="preserve">- </w:t>
      </w:r>
      <w:r w:rsidR="00FC7874" w:rsidRPr="00822DEB">
        <w:rPr>
          <w:sz w:val="20"/>
          <w:szCs w:val="20"/>
        </w:rPr>
        <w:t>Diesel (as import replacement).</w:t>
      </w:r>
    </w:p>
    <w:p w:rsidR="00FC7874" w:rsidRPr="00497BA2" w:rsidRDefault="005F6CC8" w:rsidP="00436F16">
      <w:pPr>
        <w:pStyle w:val="Heading4"/>
        <w:rPr>
          <w:szCs w:val="20"/>
        </w:rPr>
      </w:pPr>
      <w:r w:rsidRPr="00436F16">
        <w:rPr>
          <w:sz w:val="20"/>
          <w:szCs w:val="20"/>
        </w:rPr>
        <w:t xml:space="preserve">- </w:t>
      </w:r>
      <w:r w:rsidR="00FC7874" w:rsidRPr="00436F16">
        <w:rPr>
          <w:sz w:val="20"/>
          <w:szCs w:val="20"/>
        </w:rPr>
        <w:t>Urea (as import replacement).</w:t>
      </w:r>
    </w:p>
    <w:p w:rsidR="00FC7874" w:rsidRPr="00497BA2" w:rsidRDefault="005F6CC8" w:rsidP="00436F16">
      <w:pPr>
        <w:pStyle w:val="Heading4"/>
        <w:rPr>
          <w:szCs w:val="20"/>
        </w:rPr>
      </w:pPr>
      <w:r w:rsidRPr="00436F16">
        <w:rPr>
          <w:sz w:val="20"/>
          <w:szCs w:val="20"/>
        </w:rPr>
        <w:t xml:space="preserve">- </w:t>
      </w:r>
      <w:r w:rsidR="00FC7874" w:rsidRPr="00436F16">
        <w:rPr>
          <w:sz w:val="20"/>
          <w:szCs w:val="20"/>
        </w:rPr>
        <w:t>Coal for pulverised coal injection (PCI, for export).</w:t>
      </w:r>
    </w:p>
    <w:p w:rsidR="00FC7874" w:rsidRPr="00497BA2" w:rsidRDefault="005F6CC8" w:rsidP="00436F16">
      <w:pPr>
        <w:pStyle w:val="Heading4"/>
        <w:rPr>
          <w:szCs w:val="20"/>
        </w:rPr>
      </w:pPr>
      <w:r w:rsidRPr="00436F16">
        <w:rPr>
          <w:sz w:val="20"/>
          <w:szCs w:val="20"/>
        </w:rPr>
        <w:t xml:space="preserve">- </w:t>
      </w:r>
      <w:r w:rsidR="00FC7874" w:rsidRPr="00436F16">
        <w:rPr>
          <w:sz w:val="20"/>
          <w:szCs w:val="20"/>
        </w:rPr>
        <w:t>Hydrogen (for export).</w:t>
      </w:r>
    </w:p>
    <w:p w:rsidR="00FC7874" w:rsidRPr="00497BA2" w:rsidRDefault="00FC7874" w:rsidP="00436F16">
      <w:pPr>
        <w:pStyle w:val="Heading4"/>
        <w:rPr>
          <w:szCs w:val="20"/>
        </w:rPr>
      </w:pPr>
      <w:r w:rsidRPr="00436F16">
        <w:rPr>
          <w:sz w:val="20"/>
          <w:szCs w:val="20"/>
        </w:rPr>
        <w:t>Other coal products may also be viable, either in smaller scale for niche markets or at large scale if there is demand growth above that currently anticipated or there are other favourable technological or economic developments.</w:t>
      </w:r>
    </w:p>
    <w:p w:rsidR="001F0FD6" w:rsidRDefault="001F0FD6" w:rsidP="00BE7719"/>
    <w:p w:rsidR="001F0FD6" w:rsidRPr="00436F16" w:rsidRDefault="001F0FD6" w:rsidP="001F0FD6">
      <w:pPr>
        <w:pStyle w:val="Heading4"/>
        <w:rPr>
          <w:b/>
          <w:szCs w:val="20"/>
        </w:rPr>
      </w:pPr>
      <w:r w:rsidRPr="00436F16">
        <w:rPr>
          <w:b/>
          <w:sz w:val="20"/>
          <w:szCs w:val="20"/>
        </w:rPr>
        <w:t>Finding 8</w:t>
      </w:r>
      <w:r>
        <w:rPr>
          <w:b/>
          <w:sz w:val="20"/>
          <w:szCs w:val="20"/>
        </w:rPr>
        <w:t xml:space="preserve"> – Economic impacts</w:t>
      </w:r>
    </w:p>
    <w:p w:rsidR="001F0FD6" w:rsidRPr="001F0FD6" w:rsidRDefault="001F0FD6" w:rsidP="001F0FD6">
      <w:pPr>
        <w:pStyle w:val="Heading4"/>
        <w:rPr>
          <w:szCs w:val="20"/>
        </w:rPr>
      </w:pPr>
      <w:r>
        <w:rPr>
          <w:sz w:val="20"/>
          <w:szCs w:val="20"/>
        </w:rPr>
        <w:t>Hydrogen and diesel have the largest medium term and long-term impact on GSP and, while not transformative to Victoria as a whole, could make a significant contribution to the Latrobe Valley economy if they can be produced with low or zero carbon emissions.</w:t>
      </w:r>
    </w:p>
    <w:p w:rsidR="001F0FD6" w:rsidRDefault="001F0FD6" w:rsidP="00BE7719"/>
    <w:p w:rsidR="00497BA2" w:rsidRPr="00436F16" w:rsidRDefault="00497BA2" w:rsidP="00436F16">
      <w:pPr>
        <w:pStyle w:val="Heading4"/>
        <w:rPr>
          <w:b/>
          <w:szCs w:val="20"/>
        </w:rPr>
      </w:pPr>
      <w:r w:rsidRPr="00436F16">
        <w:rPr>
          <w:b/>
          <w:sz w:val="20"/>
          <w:szCs w:val="20"/>
        </w:rPr>
        <w:t>Finding 9</w:t>
      </w:r>
      <w:r w:rsidR="001F0FD6">
        <w:rPr>
          <w:b/>
          <w:sz w:val="20"/>
          <w:szCs w:val="20"/>
        </w:rPr>
        <w:t xml:space="preserve"> – Infrastructure requirements</w:t>
      </w:r>
    </w:p>
    <w:p w:rsidR="005F4B1E" w:rsidRPr="00B0743E" w:rsidRDefault="005F4B1E" w:rsidP="00BE7719">
      <w:pPr>
        <w:pStyle w:val="Heading4"/>
        <w:rPr>
          <w:sz w:val="20"/>
          <w:szCs w:val="20"/>
        </w:rPr>
      </w:pPr>
      <w:r w:rsidRPr="003924DA">
        <w:rPr>
          <w:sz w:val="20"/>
          <w:szCs w:val="20"/>
        </w:rPr>
        <w:t xml:space="preserve">For an individual product stream exported through a single port there are a number of </w:t>
      </w:r>
      <w:r w:rsidR="00C440DA">
        <w:rPr>
          <w:sz w:val="20"/>
          <w:szCs w:val="20"/>
        </w:rPr>
        <w:t xml:space="preserve">transport </w:t>
      </w:r>
      <w:r w:rsidRPr="00B0743E">
        <w:rPr>
          <w:sz w:val="20"/>
          <w:szCs w:val="20"/>
        </w:rPr>
        <w:t xml:space="preserve">options for volumes under 2 </w:t>
      </w:r>
      <w:proofErr w:type="spellStart"/>
      <w:r w:rsidRPr="00B0743E">
        <w:rPr>
          <w:sz w:val="20"/>
          <w:szCs w:val="20"/>
        </w:rPr>
        <w:t>Mtpa</w:t>
      </w:r>
      <w:proofErr w:type="spellEnd"/>
      <w:r w:rsidRPr="00B0743E">
        <w:rPr>
          <w:sz w:val="20"/>
          <w:szCs w:val="20"/>
        </w:rPr>
        <w:t>.</w:t>
      </w:r>
    </w:p>
    <w:p w:rsidR="00F54181" w:rsidRPr="0073628A" w:rsidRDefault="00F54181" w:rsidP="00436F16">
      <w:pPr>
        <w:pStyle w:val="Heading4"/>
        <w:rPr>
          <w:sz w:val="20"/>
          <w:szCs w:val="20"/>
        </w:rPr>
      </w:pPr>
      <w:r w:rsidRPr="00B0743E">
        <w:rPr>
          <w:sz w:val="20"/>
          <w:szCs w:val="20"/>
        </w:rPr>
        <w:t>Based on existing infrastruc</w:t>
      </w:r>
      <w:r w:rsidRPr="001D2DC7">
        <w:rPr>
          <w:sz w:val="20"/>
          <w:szCs w:val="20"/>
        </w:rPr>
        <w:t>ture,</w:t>
      </w:r>
      <w:r w:rsidR="005C34F7" w:rsidRPr="001D2DC7">
        <w:rPr>
          <w:sz w:val="20"/>
          <w:szCs w:val="20"/>
        </w:rPr>
        <w:t xml:space="preserve"> utilisation of multiple ports will be required </w:t>
      </w:r>
      <w:r w:rsidRPr="001D2DC7">
        <w:rPr>
          <w:sz w:val="20"/>
          <w:szCs w:val="20"/>
        </w:rPr>
        <w:t xml:space="preserve">to export products between the </w:t>
      </w:r>
      <w:proofErr w:type="gramStart"/>
      <w:r w:rsidRPr="001D2DC7">
        <w:rPr>
          <w:sz w:val="20"/>
          <w:szCs w:val="20"/>
        </w:rPr>
        <w:t>range</w:t>
      </w:r>
      <w:proofErr w:type="gramEnd"/>
      <w:r w:rsidRPr="001D2DC7">
        <w:rPr>
          <w:sz w:val="20"/>
          <w:szCs w:val="20"/>
        </w:rPr>
        <w:t xml:space="preserve"> of 2-10 </w:t>
      </w:r>
      <w:proofErr w:type="spellStart"/>
      <w:r w:rsidRPr="001D2DC7">
        <w:rPr>
          <w:sz w:val="20"/>
          <w:szCs w:val="20"/>
        </w:rPr>
        <w:t>Mtpa</w:t>
      </w:r>
      <w:proofErr w:type="spellEnd"/>
      <w:r w:rsidR="005C34F7" w:rsidRPr="001D2DC7">
        <w:rPr>
          <w:sz w:val="20"/>
          <w:szCs w:val="20"/>
        </w:rPr>
        <w:t>.</w:t>
      </w:r>
    </w:p>
    <w:p w:rsidR="007B41B7" w:rsidRPr="0073628A" w:rsidRDefault="005F4B1E" w:rsidP="00436F16">
      <w:pPr>
        <w:pStyle w:val="Heading4"/>
        <w:rPr>
          <w:sz w:val="20"/>
          <w:szCs w:val="20"/>
          <w:lang w:val="en-US"/>
        </w:rPr>
      </w:pPr>
      <w:r w:rsidRPr="0073628A">
        <w:rPr>
          <w:sz w:val="20"/>
          <w:szCs w:val="20"/>
        </w:rPr>
        <w:t>Significant investment in new infrastructure is likely to be required</w:t>
      </w:r>
      <w:r w:rsidR="00F54181" w:rsidRPr="0073628A">
        <w:rPr>
          <w:sz w:val="20"/>
          <w:szCs w:val="20"/>
        </w:rPr>
        <w:t xml:space="preserve"> for </w:t>
      </w:r>
      <w:r w:rsidR="00C440DA">
        <w:rPr>
          <w:sz w:val="20"/>
          <w:szCs w:val="20"/>
        </w:rPr>
        <w:t>transport</w:t>
      </w:r>
      <w:r w:rsidR="00C440DA" w:rsidRPr="0073628A">
        <w:rPr>
          <w:sz w:val="20"/>
          <w:szCs w:val="20"/>
        </w:rPr>
        <w:t xml:space="preserve"> </w:t>
      </w:r>
      <w:r w:rsidR="00C440DA">
        <w:rPr>
          <w:sz w:val="20"/>
          <w:szCs w:val="20"/>
        </w:rPr>
        <w:t xml:space="preserve">of </w:t>
      </w:r>
      <w:r w:rsidR="00F54181" w:rsidRPr="0073628A">
        <w:rPr>
          <w:sz w:val="20"/>
          <w:szCs w:val="20"/>
        </w:rPr>
        <w:t xml:space="preserve">volumes in excess of 10 </w:t>
      </w:r>
      <w:proofErr w:type="spellStart"/>
      <w:r w:rsidR="00F54181" w:rsidRPr="0073628A">
        <w:rPr>
          <w:sz w:val="20"/>
          <w:szCs w:val="20"/>
        </w:rPr>
        <w:t>Mtpa</w:t>
      </w:r>
      <w:proofErr w:type="spellEnd"/>
      <w:r w:rsidRPr="00B0743E">
        <w:rPr>
          <w:sz w:val="20"/>
          <w:szCs w:val="20"/>
        </w:rPr>
        <w:t>.</w:t>
      </w:r>
    </w:p>
    <w:p w:rsidR="001F0FD6" w:rsidRDefault="001F0FD6" w:rsidP="00FC0A58">
      <w:pPr>
        <w:pStyle w:val="Bullet"/>
        <w:numPr>
          <w:ilvl w:val="0"/>
          <w:numId w:val="0"/>
        </w:numPr>
        <w:spacing w:after="240"/>
        <w:rPr>
          <w:lang w:val="en-US"/>
        </w:rPr>
      </w:pPr>
    </w:p>
    <w:p w:rsidR="006D2716" w:rsidRDefault="006D2716" w:rsidP="00FC0A58">
      <w:pPr>
        <w:pStyle w:val="Bullet"/>
        <w:numPr>
          <w:ilvl w:val="0"/>
          <w:numId w:val="0"/>
        </w:numPr>
        <w:spacing w:after="240"/>
        <w:rPr>
          <w:lang w:val="en-US"/>
        </w:rPr>
      </w:pPr>
    </w:p>
    <w:p w:rsidR="003924DA" w:rsidRPr="00436F16" w:rsidRDefault="003924DA" w:rsidP="00436F16">
      <w:pPr>
        <w:pStyle w:val="Heading4"/>
        <w:rPr>
          <w:b/>
          <w:szCs w:val="20"/>
        </w:rPr>
      </w:pPr>
      <w:r w:rsidRPr="00436F16">
        <w:rPr>
          <w:b/>
          <w:sz w:val="20"/>
          <w:szCs w:val="20"/>
        </w:rPr>
        <w:t>Finding 10</w:t>
      </w:r>
      <w:r w:rsidR="001F0FD6">
        <w:rPr>
          <w:b/>
          <w:sz w:val="20"/>
          <w:szCs w:val="20"/>
        </w:rPr>
        <w:t xml:space="preserve"> – Research and development</w:t>
      </w:r>
    </w:p>
    <w:p w:rsidR="00EC36A3" w:rsidRPr="0073628A" w:rsidRDefault="00536C2A" w:rsidP="00EC36A3">
      <w:pPr>
        <w:pStyle w:val="Heading4"/>
        <w:rPr>
          <w:sz w:val="20"/>
          <w:szCs w:val="20"/>
        </w:rPr>
      </w:pPr>
      <w:r>
        <w:rPr>
          <w:sz w:val="20"/>
          <w:szCs w:val="20"/>
        </w:rPr>
        <w:t>Previously commissioned work has examined the issue of the market failure rat</w:t>
      </w:r>
      <w:r w:rsidR="009D7D78">
        <w:rPr>
          <w:sz w:val="20"/>
          <w:szCs w:val="20"/>
        </w:rPr>
        <w:t xml:space="preserve">ionale for investment in R&amp;D.  </w:t>
      </w:r>
      <w:r w:rsidR="00EC36A3" w:rsidRPr="0073628A">
        <w:rPr>
          <w:sz w:val="20"/>
          <w:szCs w:val="20"/>
        </w:rPr>
        <w:t xml:space="preserve">R&amp;D is a </w:t>
      </w:r>
      <w:r>
        <w:rPr>
          <w:sz w:val="20"/>
          <w:szCs w:val="20"/>
        </w:rPr>
        <w:t xml:space="preserve">relatively </w:t>
      </w:r>
      <w:r w:rsidR="00EC36A3" w:rsidRPr="0073628A">
        <w:rPr>
          <w:sz w:val="20"/>
          <w:szCs w:val="20"/>
        </w:rPr>
        <w:t xml:space="preserve">low cost way </w:t>
      </w:r>
      <w:r w:rsidR="005E0B6B">
        <w:rPr>
          <w:sz w:val="20"/>
          <w:szCs w:val="20"/>
        </w:rPr>
        <w:t>o</w:t>
      </w:r>
      <w:r w:rsidR="00EC36A3" w:rsidRPr="0073628A">
        <w:rPr>
          <w:sz w:val="20"/>
          <w:szCs w:val="20"/>
        </w:rPr>
        <w:t>f</w:t>
      </w:r>
      <w:r w:rsidR="00EC36A3">
        <w:rPr>
          <w:sz w:val="20"/>
          <w:szCs w:val="20"/>
        </w:rPr>
        <w:t xml:space="preserve"> the Victorian Government</w:t>
      </w:r>
      <w:r w:rsidR="00EC36A3" w:rsidRPr="0073628A">
        <w:rPr>
          <w:sz w:val="20"/>
          <w:szCs w:val="20"/>
        </w:rPr>
        <w:t xml:space="preserve"> </w:t>
      </w:r>
      <w:r>
        <w:rPr>
          <w:sz w:val="20"/>
          <w:szCs w:val="20"/>
        </w:rPr>
        <w:t xml:space="preserve">attempting to </w:t>
      </w:r>
      <w:r w:rsidR="00EC36A3" w:rsidRPr="0073628A">
        <w:rPr>
          <w:sz w:val="20"/>
          <w:szCs w:val="20"/>
        </w:rPr>
        <w:t>preserv</w:t>
      </w:r>
      <w:r>
        <w:rPr>
          <w:sz w:val="20"/>
          <w:szCs w:val="20"/>
        </w:rPr>
        <w:t>e</w:t>
      </w:r>
      <w:r w:rsidR="00EC36A3" w:rsidRPr="0073628A">
        <w:rPr>
          <w:sz w:val="20"/>
          <w:szCs w:val="20"/>
        </w:rPr>
        <w:t xml:space="preserve"> or increas</w:t>
      </w:r>
      <w:r>
        <w:rPr>
          <w:sz w:val="20"/>
          <w:szCs w:val="20"/>
        </w:rPr>
        <w:t>e</w:t>
      </w:r>
      <w:r w:rsidR="00EC36A3" w:rsidRPr="0073628A">
        <w:rPr>
          <w:sz w:val="20"/>
          <w:szCs w:val="20"/>
        </w:rPr>
        <w:t xml:space="preserve"> the “option” value of </w:t>
      </w:r>
      <w:r w:rsidR="00EC36A3">
        <w:rPr>
          <w:sz w:val="20"/>
          <w:szCs w:val="20"/>
        </w:rPr>
        <w:t>the state’s brown coal reserves</w:t>
      </w:r>
      <w:r w:rsidR="00EC36A3" w:rsidRPr="0073628A">
        <w:rPr>
          <w:sz w:val="20"/>
          <w:szCs w:val="20"/>
        </w:rPr>
        <w:t>.</w:t>
      </w:r>
    </w:p>
    <w:p w:rsidR="009371A4" w:rsidRPr="0073628A" w:rsidRDefault="00EC36A3" w:rsidP="00436F16">
      <w:pPr>
        <w:pStyle w:val="Heading4"/>
        <w:rPr>
          <w:sz w:val="20"/>
          <w:szCs w:val="20"/>
        </w:rPr>
      </w:pPr>
      <w:r w:rsidRPr="000F1031">
        <w:rPr>
          <w:sz w:val="20"/>
          <w:szCs w:val="20"/>
        </w:rPr>
        <w:t>R&amp;D and pilot scale demonstration projects have delivered, or are delivering, credible progress for their respective technologies with the co-benefits of supporting skills and knowledge development for the State.</w:t>
      </w:r>
      <w:r w:rsidR="008033F7">
        <w:rPr>
          <w:sz w:val="20"/>
          <w:szCs w:val="20"/>
        </w:rPr>
        <w:t xml:space="preserve"> </w:t>
      </w:r>
      <w:r w:rsidR="0027270C">
        <w:rPr>
          <w:sz w:val="20"/>
          <w:szCs w:val="20"/>
        </w:rPr>
        <w:t>G</w:t>
      </w:r>
      <w:r w:rsidR="0027270C" w:rsidRPr="00D16B3D">
        <w:rPr>
          <w:sz w:val="20"/>
          <w:szCs w:val="20"/>
        </w:rPr>
        <w:t>iven the pa</w:t>
      </w:r>
      <w:r w:rsidR="00EF2B92">
        <w:rPr>
          <w:sz w:val="20"/>
          <w:szCs w:val="20"/>
        </w:rPr>
        <w:t xml:space="preserve">rticular characteristics of Victorian </w:t>
      </w:r>
      <w:r w:rsidR="0027270C" w:rsidRPr="00D16B3D">
        <w:rPr>
          <w:sz w:val="20"/>
          <w:szCs w:val="20"/>
        </w:rPr>
        <w:t>brown coal, and the desirability of hav</w:t>
      </w:r>
      <w:r w:rsidR="005E0B6B">
        <w:rPr>
          <w:sz w:val="20"/>
          <w:szCs w:val="20"/>
        </w:rPr>
        <w:t>ing</w:t>
      </w:r>
      <w:r w:rsidR="0027270C" w:rsidRPr="00D16B3D">
        <w:rPr>
          <w:sz w:val="20"/>
          <w:szCs w:val="20"/>
        </w:rPr>
        <w:t xml:space="preserve"> a body of expertise in the state</w:t>
      </w:r>
      <w:r w:rsidR="0027270C">
        <w:rPr>
          <w:sz w:val="20"/>
          <w:szCs w:val="20"/>
        </w:rPr>
        <w:t>, f</w:t>
      </w:r>
      <w:r w:rsidR="009371A4" w:rsidRPr="0073628A">
        <w:rPr>
          <w:sz w:val="20"/>
          <w:szCs w:val="20"/>
        </w:rPr>
        <w:t>ree riding on</w:t>
      </w:r>
      <w:r w:rsidR="0027270C">
        <w:rPr>
          <w:sz w:val="20"/>
          <w:szCs w:val="20"/>
        </w:rPr>
        <w:t xml:space="preserve"> the</w:t>
      </w:r>
      <w:r w:rsidR="009371A4" w:rsidRPr="0073628A">
        <w:rPr>
          <w:sz w:val="20"/>
          <w:szCs w:val="20"/>
        </w:rPr>
        <w:t xml:space="preserve"> coal research of others is not a viable strategy.</w:t>
      </w:r>
      <w:r w:rsidR="00536C2A">
        <w:rPr>
          <w:sz w:val="20"/>
          <w:szCs w:val="20"/>
        </w:rPr>
        <w:t xml:space="preserve"> The past evidence shows that the modest amount of R&amp;D spending to date, at this end of the value chain, has delivered quantifiable intermediate outcomes and the leveraging of funds from other sources.</w:t>
      </w:r>
    </w:p>
    <w:p w:rsidR="001D2DC7" w:rsidRDefault="00AC1E83" w:rsidP="00436F16">
      <w:pPr>
        <w:pStyle w:val="Heading4"/>
        <w:rPr>
          <w:sz w:val="20"/>
          <w:szCs w:val="20"/>
        </w:rPr>
      </w:pPr>
      <w:r>
        <w:rPr>
          <w:sz w:val="20"/>
          <w:szCs w:val="20"/>
        </w:rPr>
        <w:t>It is not possible to objectively identify the “right” amount to be spending on R&amp;D</w:t>
      </w:r>
      <w:r w:rsidR="008033F7">
        <w:rPr>
          <w:sz w:val="20"/>
          <w:szCs w:val="20"/>
        </w:rPr>
        <w:t>,</w:t>
      </w:r>
      <w:r w:rsidR="000216CA">
        <w:rPr>
          <w:sz w:val="20"/>
          <w:szCs w:val="20"/>
        </w:rPr>
        <w:t xml:space="preserve"> </w:t>
      </w:r>
      <w:r w:rsidR="000216CA" w:rsidRPr="00994A70">
        <w:rPr>
          <w:sz w:val="20"/>
          <w:szCs w:val="20"/>
        </w:rPr>
        <w:t>and tight budgetary conditions do raise the issue of opportunity cost for funding R&amp;D in coal over R&amp;D in other sectors of the economy</w:t>
      </w:r>
      <w:r w:rsidR="00536C2A">
        <w:rPr>
          <w:sz w:val="20"/>
          <w:szCs w:val="20"/>
        </w:rPr>
        <w:t>.</w:t>
      </w:r>
    </w:p>
    <w:p w:rsidR="003924DA" w:rsidRPr="00436F16" w:rsidRDefault="008033F7" w:rsidP="00436F16">
      <w:pPr>
        <w:pStyle w:val="Heading4"/>
        <w:rPr>
          <w:szCs w:val="20"/>
        </w:rPr>
      </w:pPr>
      <w:r>
        <w:rPr>
          <w:sz w:val="20"/>
          <w:szCs w:val="20"/>
        </w:rPr>
        <w:t>I</w:t>
      </w:r>
      <w:r w:rsidR="00AC1E83">
        <w:rPr>
          <w:sz w:val="20"/>
          <w:szCs w:val="20"/>
        </w:rPr>
        <w:t xml:space="preserve">f </w:t>
      </w:r>
      <w:r w:rsidR="005E0B6B">
        <w:rPr>
          <w:sz w:val="20"/>
          <w:szCs w:val="20"/>
        </w:rPr>
        <w:t xml:space="preserve">the State </w:t>
      </w:r>
      <w:r w:rsidR="00536C2A">
        <w:rPr>
          <w:sz w:val="20"/>
          <w:szCs w:val="20"/>
        </w:rPr>
        <w:t xml:space="preserve">chooses </w:t>
      </w:r>
      <w:r w:rsidR="00AC1E83">
        <w:rPr>
          <w:sz w:val="20"/>
          <w:szCs w:val="20"/>
        </w:rPr>
        <w:t>to fund R&amp;D then a model like BCIA is appropriate</w:t>
      </w:r>
      <w:r>
        <w:rPr>
          <w:sz w:val="20"/>
          <w:szCs w:val="20"/>
        </w:rPr>
        <w:t xml:space="preserve">.  </w:t>
      </w:r>
      <w:r w:rsidR="003924DA" w:rsidRPr="00436F16">
        <w:rPr>
          <w:sz w:val="20"/>
          <w:szCs w:val="20"/>
        </w:rPr>
        <w:t>The independence of BCIA is seen as a positive for attracting and distributing funding.  Industry were more comfortable working with BCIA</w:t>
      </w:r>
      <w:r w:rsidR="005E0B6B">
        <w:rPr>
          <w:sz w:val="20"/>
          <w:szCs w:val="20"/>
        </w:rPr>
        <w:t>,</w:t>
      </w:r>
      <w:r w:rsidR="003924DA" w:rsidRPr="00436F16">
        <w:rPr>
          <w:sz w:val="20"/>
          <w:szCs w:val="20"/>
        </w:rPr>
        <w:t xml:space="preserve"> the independence provided more flexibility and agility in the distribution of funding to suitable R&amp;D programs.</w:t>
      </w:r>
    </w:p>
    <w:p w:rsidR="001F0FD6" w:rsidRDefault="001F0FD6" w:rsidP="00436F16">
      <w:pPr>
        <w:pStyle w:val="Bullet"/>
        <w:numPr>
          <w:ilvl w:val="0"/>
          <w:numId w:val="0"/>
        </w:numPr>
        <w:spacing w:after="240"/>
      </w:pPr>
    </w:p>
    <w:p w:rsidR="00976AF8" w:rsidRPr="0073628A" w:rsidRDefault="00976AF8" w:rsidP="00436F16">
      <w:pPr>
        <w:pStyle w:val="Heading4"/>
        <w:rPr>
          <w:sz w:val="20"/>
          <w:szCs w:val="20"/>
        </w:rPr>
      </w:pPr>
      <w:r w:rsidRPr="0073628A">
        <w:rPr>
          <w:b/>
          <w:sz w:val="20"/>
          <w:szCs w:val="20"/>
        </w:rPr>
        <w:t>Finding 11</w:t>
      </w:r>
      <w:r w:rsidR="001F0FD6">
        <w:rPr>
          <w:b/>
          <w:sz w:val="20"/>
          <w:szCs w:val="20"/>
        </w:rPr>
        <w:t xml:space="preserve"> – Carbon capture and storage (CarbonNet)</w:t>
      </w:r>
    </w:p>
    <w:p w:rsidR="00AC1E83" w:rsidRPr="001D2DC7" w:rsidRDefault="00AC1E83" w:rsidP="00436F16">
      <w:pPr>
        <w:pStyle w:val="Heading4"/>
        <w:rPr>
          <w:sz w:val="20"/>
          <w:szCs w:val="20"/>
        </w:rPr>
      </w:pPr>
      <w:r w:rsidRPr="000E2BAE">
        <w:rPr>
          <w:sz w:val="20"/>
          <w:szCs w:val="20"/>
        </w:rPr>
        <w:t xml:space="preserve">The </w:t>
      </w:r>
      <w:r w:rsidR="00B10E76">
        <w:rPr>
          <w:sz w:val="20"/>
          <w:szCs w:val="20"/>
        </w:rPr>
        <w:t>government</w:t>
      </w:r>
      <w:r w:rsidRPr="000E2BAE">
        <w:rPr>
          <w:sz w:val="20"/>
          <w:szCs w:val="20"/>
        </w:rPr>
        <w:t>’s interest in and pursuit of CarbonNet</w:t>
      </w:r>
      <w:r w:rsidRPr="00B0743E">
        <w:rPr>
          <w:sz w:val="20"/>
          <w:szCs w:val="20"/>
        </w:rPr>
        <w:t xml:space="preserve"> seems generally consistent and proportionate given the relatively small amounts of public</w:t>
      </w:r>
      <w:r w:rsidRPr="001D2DC7">
        <w:rPr>
          <w:sz w:val="20"/>
          <w:szCs w:val="20"/>
        </w:rPr>
        <w:t xml:space="preserve"> funding spent on the project so far.</w:t>
      </w:r>
    </w:p>
    <w:p w:rsidR="001F0FD6" w:rsidRPr="001F0FD6" w:rsidRDefault="00976AF8" w:rsidP="001F0FD6">
      <w:pPr>
        <w:pStyle w:val="Heading4"/>
        <w:rPr>
          <w:szCs w:val="20"/>
          <w:lang w:val="en-US"/>
        </w:rPr>
      </w:pPr>
      <w:r w:rsidRPr="008033F7">
        <w:rPr>
          <w:sz w:val="20"/>
          <w:szCs w:val="20"/>
        </w:rPr>
        <w:t>CCS provides</w:t>
      </w:r>
      <w:r w:rsidRPr="00032D3F">
        <w:rPr>
          <w:sz w:val="20"/>
          <w:szCs w:val="20"/>
          <w:lang w:val="en-US"/>
        </w:rPr>
        <w:t xml:space="preserve"> an “insurance policy” to facilitate the ongoing use of brown coal reserves </w:t>
      </w:r>
      <w:r w:rsidR="00F84198" w:rsidRPr="000E2BAE">
        <w:rPr>
          <w:sz w:val="20"/>
          <w:szCs w:val="20"/>
          <w:lang w:val="en-US"/>
        </w:rPr>
        <w:t>for</w:t>
      </w:r>
      <w:r w:rsidRPr="000E2BAE">
        <w:rPr>
          <w:sz w:val="20"/>
          <w:szCs w:val="20"/>
          <w:lang w:val="en-US"/>
        </w:rPr>
        <w:t xml:space="preserve"> CTX projects</w:t>
      </w:r>
      <w:r w:rsidRPr="00436F16">
        <w:rPr>
          <w:sz w:val="20"/>
          <w:szCs w:val="20"/>
          <w:lang w:val="en-US"/>
        </w:rPr>
        <w:t xml:space="preserve"> in the face of </w:t>
      </w:r>
      <w:r w:rsidR="00F84198">
        <w:rPr>
          <w:sz w:val="20"/>
          <w:szCs w:val="20"/>
          <w:lang w:val="en-US"/>
        </w:rPr>
        <w:t>a</w:t>
      </w:r>
      <w:r w:rsidR="00114C6F">
        <w:rPr>
          <w:sz w:val="20"/>
          <w:szCs w:val="20"/>
          <w:lang w:val="en-US"/>
        </w:rPr>
        <w:t xml:space="preserve"> carbon</w:t>
      </w:r>
      <w:r w:rsidR="005E0B6B">
        <w:rPr>
          <w:sz w:val="20"/>
          <w:szCs w:val="20"/>
          <w:lang w:val="en-US"/>
        </w:rPr>
        <w:t>-</w:t>
      </w:r>
      <w:r w:rsidRPr="00436F16">
        <w:rPr>
          <w:sz w:val="20"/>
          <w:szCs w:val="20"/>
          <w:lang w:val="en-US"/>
        </w:rPr>
        <w:t>constrained future</w:t>
      </w:r>
      <w:r w:rsidR="00F84198">
        <w:rPr>
          <w:sz w:val="20"/>
          <w:szCs w:val="20"/>
          <w:lang w:val="en-US"/>
        </w:rPr>
        <w:t>.</w:t>
      </w:r>
    </w:p>
    <w:p w:rsidR="009B0767" w:rsidRPr="009B0767" w:rsidRDefault="009B0767" w:rsidP="003066FB"/>
    <w:p w:rsidR="007B41B7" w:rsidRPr="00436F16" w:rsidRDefault="000E2BAE" w:rsidP="00436F16">
      <w:pPr>
        <w:pStyle w:val="Heading4"/>
        <w:rPr>
          <w:b/>
          <w:szCs w:val="20"/>
        </w:rPr>
      </w:pPr>
      <w:r w:rsidRPr="00436F16">
        <w:rPr>
          <w:b/>
          <w:sz w:val="20"/>
          <w:szCs w:val="20"/>
        </w:rPr>
        <w:t>F</w:t>
      </w:r>
      <w:r>
        <w:rPr>
          <w:b/>
          <w:sz w:val="20"/>
          <w:szCs w:val="20"/>
        </w:rPr>
        <w:t>inding</w:t>
      </w:r>
      <w:r w:rsidRPr="00436F16">
        <w:rPr>
          <w:b/>
          <w:sz w:val="20"/>
          <w:szCs w:val="20"/>
        </w:rPr>
        <w:t xml:space="preserve"> </w:t>
      </w:r>
      <w:r w:rsidR="0035190E" w:rsidRPr="00436F16">
        <w:rPr>
          <w:b/>
          <w:sz w:val="20"/>
          <w:szCs w:val="20"/>
        </w:rPr>
        <w:t>12</w:t>
      </w:r>
      <w:r w:rsidR="001F0FD6">
        <w:rPr>
          <w:b/>
          <w:sz w:val="20"/>
          <w:szCs w:val="20"/>
        </w:rPr>
        <w:t xml:space="preserve"> – Community engagement</w:t>
      </w:r>
    </w:p>
    <w:p w:rsidR="00707475" w:rsidRPr="00E764BE" w:rsidRDefault="007B41B7" w:rsidP="00E764BE">
      <w:pPr>
        <w:pStyle w:val="Heading4"/>
        <w:rPr>
          <w:szCs w:val="20"/>
        </w:rPr>
      </w:pPr>
      <w:r w:rsidRPr="00436F16">
        <w:rPr>
          <w:sz w:val="20"/>
          <w:szCs w:val="20"/>
        </w:rPr>
        <w:t xml:space="preserve">Feedback from the limited number of community stakeholders shows a gap in communication and engagement (felt particularly keenly in the Latrobe Valley) following the decision not to reappoint members of </w:t>
      </w:r>
      <w:r w:rsidR="00150A19">
        <w:rPr>
          <w:sz w:val="20"/>
          <w:szCs w:val="20"/>
        </w:rPr>
        <w:t>the Coal Resource Victoria Advisory Committee</w:t>
      </w:r>
      <w:r w:rsidRPr="00436F16">
        <w:rPr>
          <w:sz w:val="20"/>
          <w:szCs w:val="20"/>
        </w:rPr>
        <w:t>.  This</w:t>
      </w:r>
      <w:r w:rsidR="00402721">
        <w:rPr>
          <w:sz w:val="20"/>
          <w:szCs w:val="20"/>
        </w:rPr>
        <w:t>,</w:t>
      </w:r>
      <w:r w:rsidRPr="00436F16">
        <w:rPr>
          <w:sz w:val="20"/>
          <w:szCs w:val="20"/>
        </w:rPr>
        <w:t xml:space="preserve"> coupled with the absence of a clearly articulated position on coal developments</w:t>
      </w:r>
      <w:r w:rsidR="00402721">
        <w:rPr>
          <w:sz w:val="20"/>
          <w:szCs w:val="20"/>
        </w:rPr>
        <w:t>,</w:t>
      </w:r>
      <w:r w:rsidRPr="00436F16">
        <w:rPr>
          <w:sz w:val="20"/>
          <w:szCs w:val="20"/>
        </w:rPr>
        <w:t xml:space="preserve"> leaves the c</w:t>
      </w:r>
      <w:r w:rsidR="00D21BAB">
        <w:rPr>
          <w:sz w:val="20"/>
          <w:szCs w:val="20"/>
        </w:rPr>
        <w:t>ommunity</w:t>
      </w:r>
      <w:r w:rsidR="00AC1E83">
        <w:rPr>
          <w:sz w:val="20"/>
          <w:szCs w:val="20"/>
        </w:rPr>
        <w:t xml:space="preserve"> and industry</w:t>
      </w:r>
      <w:r w:rsidR="00D21BAB">
        <w:rPr>
          <w:sz w:val="20"/>
          <w:szCs w:val="20"/>
        </w:rPr>
        <w:t xml:space="preserve"> uncertain about the g</w:t>
      </w:r>
      <w:r w:rsidRPr="00436F16">
        <w:rPr>
          <w:sz w:val="20"/>
          <w:szCs w:val="20"/>
        </w:rPr>
        <w:t>overnment’s support for activity in this area.</w:t>
      </w:r>
    </w:p>
    <w:p w:rsidR="001F0FD6" w:rsidRDefault="001F0FD6" w:rsidP="00436F16">
      <w:pPr>
        <w:pStyle w:val="Bullet"/>
        <w:numPr>
          <w:ilvl w:val="0"/>
          <w:numId w:val="0"/>
        </w:numPr>
        <w:rPr>
          <w:lang w:val="en-US"/>
        </w:rPr>
      </w:pPr>
    </w:p>
    <w:p w:rsidR="006D2716" w:rsidRDefault="006D2716" w:rsidP="00436F16">
      <w:pPr>
        <w:pStyle w:val="Bullet"/>
        <w:numPr>
          <w:ilvl w:val="0"/>
          <w:numId w:val="0"/>
        </w:numPr>
        <w:rPr>
          <w:lang w:val="en-US"/>
        </w:rPr>
      </w:pPr>
    </w:p>
    <w:p w:rsidR="009308FF" w:rsidRPr="00436F16" w:rsidRDefault="000E2BAE" w:rsidP="00436F16">
      <w:pPr>
        <w:pStyle w:val="Heading4"/>
        <w:rPr>
          <w:b/>
          <w:szCs w:val="20"/>
        </w:rPr>
      </w:pPr>
      <w:r w:rsidRPr="00436F16">
        <w:rPr>
          <w:b/>
          <w:sz w:val="20"/>
          <w:szCs w:val="20"/>
        </w:rPr>
        <w:lastRenderedPageBreak/>
        <w:t>F</w:t>
      </w:r>
      <w:r>
        <w:rPr>
          <w:b/>
          <w:sz w:val="20"/>
          <w:szCs w:val="20"/>
        </w:rPr>
        <w:t>inding</w:t>
      </w:r>
      <w:r w:rsidRPr="00436F16">
        <w:rPr>
          <w:b/>
          <w:sz w:val="20"/>
          <w:szCs w:val="20"/>
        </w:rPr>
        <w:t xml:space="preserve"> </w:t>
      </w:r>
      <w:r w:rsidR="009308FF" w:rsidRPr="00436F16">
        <w:rPr>
          <w:b/>
          <w:sz w:val="20"/>
          <w:szCs w:val="20"/>
        </w:rPr>
        <w:t>13</w:t>
      </w:r>
      <w:r w:rsidR="001F0FD6">
        <w:rPr>
          <w:b/>
          <w:sz w:val="20"/>
          <w:szCs w:val="20"/>
        </w:rPr>
        <w:t xml:space="preserve"> – Coal allocation processes</w:t>
      </w:r>
    </w:p>
    <w:p w:rsidR="00AC1E83" w:rsidRPr="0073628A" w:rsidRDefault="008534EF" w:rsidP="00AC1E83">
      <w:pPr>
        <w:pStyle w:val="Heading4"/>
        <w:rPr>
          <w:sz w:val="20"/>
          <w:szCs w:val="20"/>
        </w:rPr>
      </w:pPr>
      <w:r w:rsidRPr="00436F16">
        <w:rPr>
          <w:sz w:val="20"/>
          <w:szCs w:val="20"/>
        </w:rPr>
        <w:t>While the two coal allocation processes</w:t>
      </w:r>
      <w:r w:rsidR="008916F0" w:rsidRPr="00436F16">
        <w:rPr>
          <w:sz w:val="20"/>
          <w:szCs w:val="20"/>
        </w:rPr>
        <w:t xml:space="preserve"> were</w:t>
      </w:r>
      <w:r w:rsidRPr="00436F16">
        <w:rPr>
          <w:sz w:val="20"/>
          <w:szCs w:val="20"/>
        </w:rPr>
        <w:t xml:space="preserve"> </w:t>
      </w:r>
      <w:r w:rsidR="008916F0" w:rsidRPr="00436F16">
        <w:rPr>
          <w:sz w:val="20"/>
          <w:szCs w:val="20"/>
        </w:rPr>
        <w:t xml:space="preserve">probably effective at raising international awareness of the Victorian brown coal resource and its attributes, and </w:t>
      </w:r>
      <w:r w:rsidRPr="00436F16">
        <w:rPr>
          <w:sz w:val="20"/>
          <w:szCs w:val="20"/>
        </w:rPr>
        <w:t xml:space="preserve">delivered assets to three </w:t>
      </w:r>
      <w:r w:rsidR="008916F0" w:rsidRPr="00436F16">
        <w:rPr>
          <w:sz w:val="20"/>
          <w:szCs w:val="20"/>
        </w:rPr>
        <w:t>companies</w:t>
      </w:r>
      <w:r w:rsidRPr="00436F16">
        <w:rPr>
          <w:sz w:val="20"/>
          <w:szCs w:val="20"/>
        </w:rPr>
        <w:t xml:space="preserve">, </w:t>
      </w:r>
      <w:r w:rsidR="00390DD5">
        <w:rPr>
          <w:sz w:val="20"/>
          <w:szCs w:val="20"/>
        </w:rPr>
        <w:t>they were</w:t>
      </w:r>
      <w:r w:rsidRPr="00436F16">
        <w:rPr>
          <w:sz w:val="20"/>
          <w:szCs w:val="20"/>
        </w:rPr>
        <w:t xml:space="preserve"> not successful at generating on-the-ground</w:t>
      </w:r>
      <w:r w:rsidR="008916F0" w:rsidRPr="00436F16">
        <w:rPr>
          <w:sz w:val="20"/>
          <w:szCs w:val="20"/>
        </w:rPr>
        <w:t xml:space="preserve"> investment and</w:t>
      </w:r>
      <w:r w:rsidRPr="00436F16">
        <w:rPr>
          <w:sz w:val="20"/>
          <w:szCs w:val="20"/>
        </w:rPr>
        <w:t xml:space="preserve"> projects</w:t>
      </w:r>
      <w:r w:rsidR="005E0B6B">
        <w:rPr>
          <w:sz w:val="20"/>
          <w:szCs w:val="20"/>
        </w:rPr>
        <w:t>.</w:t>
      </w:r>
    </w:p>
    <w:p w:rsidR="009308FF" w:rsidRPr="00E764BE" w:rsidRDefault="00AC1E83" w:rsidP="00E764BE">
      <w:pPr>
        <w:pStyle w:val="Heading4"/>
        <w:rPr>
          <w:sz w:val="20"/>
          <w:szCs w:val="20"/>
        </w:rPr>
      </w:pPr>
      <w:r>
        <w:rPr>
          <w:sz w:val="20"/>
          <w:szCs w:val="20"/>
        </w:rPr>
        <w:t>The Review supports the previously expressed posit</w:t>
      </w:r>
      <w:r w:rsidR="00EF2B92">
        <w:rPr>
          <w:sz w:val="20"/>
          <w:szCs w:val="20"/>
        </w:rPr>
        <w:t xml:space="preserve">ion of the </w:t>
      </w:r>
      <w:proofErr w:type="spellStart"/>
      <w:r w:rsidR="00EF2B92">
        <w:rPr>
          <w:sz w:val="20"/>
          <w:szCs w:val="20"/>
        </w:rPr>
        <w:t>Firecone</w:t>
      </w:r>
      <w:proofErr w:type="spellEnd"/>
      <w:r w:rsidR="00EF2B92">
        <w:rPr>
          <w:sz w:val="20"/>
          <w:szCs w:val="20"/>
        </w:rPr>
        <w:t xml:space="preserve"> Review (2007</w:t>
      </w:r>
      <w:r>
        <w:rPr>
          <w:sz w:val="20"/>
          <w:szCs w:val="20"/>
        </w:rPr>
        <w:t>) that a further allocation of coal should only be considered if ther</w:t>
      </w:r>
      <w:r w:rsidR="00707475">
        <w:rPr>
          <w:sz w:val="20"/>
          <w:szCs w:val="20"/>
        </w:rPr>
        <w:t>e is evidence of credible, well-</w:t>
      </w:r>
      <w:r>
        <w:rPr>
          <w:sz w:val="20"/>
          <w:szCs w:val="20"/>
        </w:rPr>
        <w:t>resourced new investors who face difficulty in agreeing reasonable terms to access the coal resource that has already been allocated.</w:t>
      </w:r>
    </w:p>
    <w:p w:rsidR="001F0FD6" w:rsidRDefault="001F0FD6" w:rsidP="002D2C5E"/>
    <w:p w:rsidR="001B58C1" w:rsidRPr="00606EC5" w:rsidRDefault="001B58C1" w:rsidP="001B58C1">
      <w:pPr>
        <w:pStyle w:val="Heading4"/>
        <w:rPr>
          <w:sz w:val="20"/>
          <w:szCs w:val="20"/>
        </w:rPr>
      </w:pPr>
      <w:r>
        <w:rPr>
          <w:b/>
          <w:sz w:val="20"/>
          <w:szCs w:val="20"/>
        </w:rPr>
        <w:t>Finding 14</w:t>
      </w:r>
      <w:r w:rsidR="001F0FD6">
        <w:rPr>
          <w:b/>
          <w:sz w:val="20"/>
          <w:szCs w:val="20"/>
        </w:rPr>
        <w:t xml:space="preserve"> – Framework for decision making</w:t>
      </w:r>
    </w:p>
    <w:p w:rsidR="005E4AF6" w:rsidRPr="005E4AF6" w:rsidRDefault="005E4AF6" w:rsidP="005E4AF6">
      <w:pPr>
        <w:pStyle w:val="Heading4"/>
        <w:rPr>
          <w:sz w:val="20"/>
        </w:rPr>
      </w:pPr>
      <w:r w:rsidRPr="005E4AF6">
        <w:rPr>
          <w:sz w:val="20"/>
        </w:rPr>
        <w:t xml:space="preserve">There </w:t>
      </w:r>
      <w:proofErr w:type="gramStart"/>
      <w:r w:rsidRPr="005E4AF6">
        <w:rPr>
          <w:sz w:val="20"/>
        </w:rPr>
        <w:t>are</w:t>
      </w:r>
      <w:proofErr w:type="gramEnd"/>
      <w:r w:rsidRPr="005E4AF6">
        <w:rPr>
          <w:sz w:val="20"/>
        </w:rPr>
        <w:t xml:space="preserve"> a number of investment facilitation pathways open to business looking to expand within, or move to Victoria.  DEDJTR’s </w:t>
      </w:r>
      <w:proofErr w:type="spellStart"/>
      <w:r w:rsidRPr="005E4AF6">
        <w:rPr>
          <w:sz w:val="20"/>
        </w:rPr>
        <w:t>InvestAssist</w:t>
      </w:r>
      <w:proofErr w:type="spellEnd"/>
      <w:r w:rsidRPr="005E4AF6">
        <w:rPr>
          <w:sz w:val="20"/>
        </w:rPr>
        <w:t xml:space="preserve"> and </w:t>
      </w:r>
      <w:proofErr w:type="spellStart"/>
      <w:r w:rsidRPr="005E4AF6">
        <w:rPr>
          <w:sz w:val="20"/>
        </w:rPr>
        <w:t>InvestVictoria</w:t>
      </w:r>
      <w:proofErr w:type="spellEnd"/>
      <w:r w:rsidRPr="005E4AF6">
        <w:rPr>
          <w:sz w:val="20"/>
        </w:rPr>
        <w:t xml:space="preserve"> programs provide a flexible approach which tailors support based on their assessment of potential size of investment, the commercial readiness of the project, and the apparent seriousness of the proponents. </w:t>
      </w:r>
    </w:p>
    <w:p w:rsidR="005E4AF6" w:rsidRPr="005E4AF6" w:rsidRDefault="005E4AF6" w:rsidP="005E4AF6">
      <w:pPr>
        <w:pStyle w:val="Heading4"/>
        <w:rPr>
          <w:sz w:val="20"/>
        </w:rPr>
      </w:pPr>
      <w:r w:rsidRPr="005E4AF6">
        <w:rPr>
          <w:sz w:val="20"/>
        </w:rPr>
        <w:t xml:space="preserve">Major projects, by their nature, warrant a degree of “bespoke” service from a development department. </w:t>
      </w:r>
    </w:p>
    <w:p w:rsidR="001B58C1" w:rsidRPr="005E4AF6" w:rsidRDefault="005E4AF6" w:rsidP="005E4AF6">
      <w:pPr>
        <w:pStyle w:val="Heading4"/>
        <w:rPr>
          <w:sz w:val="20"/>
        </w:rPr>
      </w:pPr>
      <w:r w:rsidRPr="005E4AF6">
        <w:rPr>
          <w:sz w:val="20"/>
        </w:rPr>
        <w:t>Major projects utilising the coal resou</w:t>
      </w:r>
      <w:r w:rsidR="00633D4D">
        <w:rPr>
          <w:sz w:val="20"/>
        </w:rPr>
        <w:t>rce may approach the g</w:t>
      </w:r>
      <w:r w:rsidRPr="005E4AF6">
        <w:rPr>
          <w:sz w:val="20"/>
        </w:rPr>
        <w:t>overnment seeking assistance for feasibility work, site specific or resource specific studies, assistance with large scale demonstration projects and support for infrastructure or training.</w:t>
      </w:r>
    </w:p>
    <w:p w:rsidR="001B58C1" w:rsidRDefault="001B58C1" w:rsidP="00436F16">
      <w:pPr>
        <w:pStyle w:val="Bullet"/>
        <w:numPr>
          <w:ilvl w:val="0"/>
          <w:numId w:val="0"/>
        </w:numPr>
        <w:rPr>
          <w:b/>
          <w:lang w:val="en-US"/>
        </w:rPr>
      </w:pPr>
    </w:p>
    <w:p w:rsidR="006D2716" w:rsidRDefault="006D2716">
      <w:pPr>
        <w:spacing w:after="0"/>
        <w:jc w:val="left"/>
        <w:rPr>
          <w:b/>
          <w:color w:val="732734" w:themeColor="text1"/>
          <w:sz w:val="28"/>
          <w:lang w:val="en-US"/>
        </w:rPr>
      </w:pPr>
      <w:r>
        <w:rPr>
          <w:lang w:val="en-US"/>
        </w:rPr>
        <w:br w:type="page"/>
      </w:r>
    </w:p>
    <w:p w:rsidR="00CC051B" w:rsidRPr="00E764BE" w:rsidRDefault="007B41B7" w:rsidP="00633D4D">
      <w:pPr>
        <w:pStyle w:val="KeyPoints"/>
        <w:rPr>
          <w:lang w:val="en-US"/>
        </w:rPr>
      </w:pPr>
      <w:r w:rsidRPr="007B41B7">
        <w:rPr>
          <w:lang w:val="en-US"/>
        </w:rPr>
        <w:lastRenderedPageBreak/>
        <w:t>RECOMMENDATIONS</w:t>
      </w:r>
    </w:p>
    <w:p w:rsidR="00CC051B" w:rsidRPr="007B41B7" w:rsidRDefault="00CC051B" w:rsidP="00436F16">
      <w:pPr>
        <w:pStyle w:val="Bullet"/>
        <w:numPr>
          <w:ilvl w:val="0"/>
          <w:numId w:val="0"/>
        </w:numPr>
        <w:rPr>
          <w:lang w:val="en-US"/>
        </w:rPr>
      </w:pPr>
    </w:p>
    <w:p w:rsidR="007B41B7" w:rsidRPr="00606EC5" w:rsidRDefault="007B41B7" w:rsidP="00436F16">
      <w:pPr>
        <w:pStyle w:val="Heading4"/>
        <w:rPr>
          <w:sz w:val="20"/>
          <w:szCs w:val="20"/>
        </w:rPr>
      </w:pPr>
      <w:r w:rsidRPr="00606EC5">
        <w:rPr>
          <w:b/>
          <w:sz w:val="20"/>
          <w:szCs w:val="20"/>
        </w:rPr>
        <w:t xml:space="preserve">Recommendation </w:t>
      </w:r>
      <w:r w:rsidR="00E1614C">
        <w:rPr>
          <w:b/>
          <w:sz w:val="20"/>
          <w:szCs w:val="20"/>
        </w:rPr>
        <w:t>1</w:t>
      </w:r>
    </w:p>
    <w:p w:rsidR="00CC7788" w:rsidRDefault="00277547" w:rsidP="00436F16">
      <w:pPr>
        <w:pStyle w:val="Heading4"/>
        <w:rPr>
          <w:sz w:val="20"/>
          <w:szCs w:val="20"/>
        </w:rPr>
      </w:pPr>
      <w:r w:rsidRPr="00606EC5">
        <w:rPr>
          <w:sz w:val="20"/>
          <w:szCs w:val="20"/>
        </w:rPr>
        <w:t>There is a n</w:t>
      </w:r>
      <w:r w:rsidR="007B41B7" w:rsidRPr="00606EC5">
        <w:rPr>
          <w:sz w:val="20"/>
          <w:szCs w:val="20"/>
        </w:rPr>
        <w:t xml:space="preserve">eed for an overarching clear policy statement on coal development.  This </w:t>
      </w:r>
      <w:r w:rsidR="00780651">
        <w:rPr>
          <w:sz w:val="20"/>
          <w:szCs w:val="20"/>
        </w:rPr>
        <w:t xml:space="preserve">could sit within a broader energy policy </w:t>
      </w:r>
      <w:r w:rsidR="00D41222">
        <w:rPr>
          <w:sz w:val="20"/>
          <w:szCs w:val="20"/>
        </w:rPr>
        <w:t xml:space="preserve">statement </w:t>
      </w:r>
      <w:r w:rsidR="00780651">
        <w:rPr>
          <w:sz w:val="20"/>
          <w:szCs w:val="20"/>
        </w:rPr>
        <w:t xml:space="preserve">and </w:t>
      </w:r>
      <w:r w:rsidR="007B41B7" w:rsidRPr="00606EC5">
        <w:rPr>
          <w:sz w:val="20"/>
          <w:szCs w:val="20"/>
        </w:rPr>
        <w:t>should clarify whether the “u</w:t>
      </w:r>
      <w:r w:rsidR="00D21BAB" w:rsidRPr="00606EC5">
        <w:rPr>
          <w:sz w:val="20"/>
          <w:szCs w:val="20"/>
        </w:rPr>
        <w:t>ltimate” or “implicit” aim for g</w:t>
      </w:r>
      <w:r w:rsidR="007B41B7" w:rsidRPr="00606EC5">
        <w:rPr>
          <w:sz w:val="20"/>
          <w:szCs w:val="20"/>
        </w:rPr>
        <w:t>overnment is unlocking the potential value from the State’s brown coal resource, and creating jobs and investment particularly in the Latrobe Valley.</w:t>
      </w:r>
      <w:r w:rsidRPr="00606EC5">
        <w:rPr>
          <w:sz w:val="20"/>
          <w:szCs w:val="20"/>
        </w:rPr>
        <w:t xml:space="preserve">  Current industry players and potential project proponents are looking for clarity an</w:t>
      </w:r>
      <w:r w:rsidR="00D21BAB" w:rsidRPr="00606EC5">
        <w:rPr>
          <w:sz w:val="20"/>
          <w:szCs w:val="20"/>
        </w:rPr>
        <w:t>d certainty around whether the g</w:t>
      </w:r>
      <w:r w:rsidRPr="00606EC5">
        <w:rPr>
          <w:sz w:val="20"/>
          <w:szCs w:val="20"/>
        </w:rPr>
        <w:t>overnment is supportive of further coal development.  Clarity is also required around any conditions or caveats on development.  For example must development be low emission or no emission</w:t>
      </w:r>
      <w:r w:rsidR="003E4632" w:rsidRPr="00606EC5">
        <w:rPr>
          <w:sz w:val="20"/>
          <w:szCs w:val="20"/>
        </w:rPr>
        <w:t>?</w:t>
      </w:r>
      <w:r w:rsidRPr="00606EC5">
        <w:rPr>
          <w:sz w:val="20"/>
          <w:szCs w:val="20"/>
        </w:rPr>
        <w:t xml:space="preserve">  Should resource come from the exi</w:t>
      </w:r>
      <w:r w:rsidR="003A14C9">
        <w:rPr>
          <w:sz w:val="20"/>
          <w:szCs w:val="20"/>
        </w:rPr>
        <w:t>s</w:t>
      </w:r>
      <w:r w:rsidRPr="00606EC5">
        <w:rPr>
          <w:sz w:val="20"/>
          <w:szCs w:val="20"/>
        </w:rPr>
        <w:t xml:space="preserve">ting mines or are new mines </w:t>
      </w:r>
      <w:proofErr w:type="gramStart"/>
      <w:r w:rsidRPr="00606EC5">
        <w:rPr>
          <w:sz w:val="20"/>
          <w:szCs w:val="20"/>
        </w:rPr>
        <w:t>acceptable/encouraged</w:t>
      </w:r>
      <w:proofErr w:type="gramEnd"/>
      <w:r w:rsidR="003E4632" w:rsidRPr="00606EC5">
        <w:rPr>
          <w:sz w:val="20"/>
          <w:szCs w:val="20"/>
        </w:rPr>
        <w:t>?</w:t>
      </w:r>
      <w:r w:rsidR="00CC7788">
        <w:rPr>
          <w:sz w:val="20"/>
          <w:szCs w:val="20"/>
        </w:rPr>
        <w:t xml:space="preserve"> </w:t>
      </w:r>
    </w:p>
    <w:p w:rsidR="007B41B7" w:rsidRPr="00606EC5" w:rsidRDefault="00CC7788" w:rsidP="00436F16">
      <w:pPr>
        <w:pStyle w:val="Heading4"/>
        <w:rPr>
          <w:sz w:val="20"/>
          <w:szCs w:val="20"/>
        </w:rPr>
      </w:pPr>
      <w:r>
        <w:rPr>
          <w:sz w:val="20"/>
          <w:szCs w:val="20"/>
        </w:rPr>
        <w:t xml:space="preserve">However, an overarching coal or broader energy </w:t>
      </w:r>
      <w:r w:rsidR="00FA3C74">
        <w:rPr>
          <w:sz w:val="20"/>
          <w:szCs w:val="20"/>
        </w:rPr>
        <w:t xml:space="preserve">policy </w:t>
      </w:r>
      <w:r>
        <w:rPr>
          <w:sz w:val="20"/>
          <w:szCs w:val="20"/>
        </w:rPr>
        <w:t xml:space="preserve">statement should follow the development of a clear Victorian Government climate change policy that establishes the government’s </w:t>
      </w:r>
      <w:r w:rsidR="000D1FE8">
        <w:rPr>
          <w:sz w:val="20"/>
          <w:szCs w:val="20"/>
        </w:rPr>
        <w:t>intentions</w:t>
      </w:r>
      <w:r>
        <w:rPr>
          <w:sz w:val="20"/>
          <w:szCs w:val="20"/>
        </w:rPr>
        <w:t xml:space="preserve"> for medium to long term greenhouse gas emission reductions and renewable energy investment.  Once that policy is established, the role of coal for energy generation, CTX and CCS can be more clearly articulated.   </w:t>
      </w:r>
    </w:p>
    <w:p w:rsidR="007B41B7" w:rsidRPr="007B41B7" w:rsidRDefault="007B41B7" w:rsidP="00436F16">
      <w:pPr>
        <w:pStyle w:val="Bullet"/>
        <w:numPr>
          <w:ilvl w:val="0"/>
          <w:numId w:val="0"/>
        </w:numPr>
        <w:rPr>
          <w:lang w:val="en-US"/>
        </w:rPr>
      </w:pPr>
    </w:p>
    <w:p w:rsidR="007B41B7" w:rsidRPr="00436F16" w:rsidRDefault="00606EC5" w:rsidP="00436F16">
      <w:pPr>
        <w:pStyle w:val="Heading4"/>
        <w:rPr>
          <w:b/>
          <w:szCs w:val="20"/>
        </w:rPr>
      </w:pPr>
      <w:r>
        <w:rPr>
          <w:b/>
          <w:sz w:val="20"/>
          <w:szCs w:val="20"/>
        </w:rPr>
        <w:t xml:space="preserve">Recommendation </w:t>
      </w:r>
      <w:r w:rsidR="00E1614C">
        <w:rPr>
          <w:b/>
          <w:sz w:val="20"/>
          <w:szCs w:val="20"/>
        </w:rPr>
        <w:t>2</w:t>
      </w:r>
    </w:p>
    <w:p w:rsidR="001B58C1" w:rsidRDefault="00B41551" w:rsidP="00436F16">
      <w:pPr>
        <w:pStyle w:val="Heading4"/>
        <w:rPr>
          <w:szCs w:val="20"/>
        </w:rPr>
      </w:pPr>
      <w:r>
        <w:rPr>
          <w:sz w:val="20"/>
          <w:szCs w:val="20"/>
        </w:rPr>
        <w:t>There is</w:t>
      </w:r>
      <w:r w:rsidR="00D21BAB">
        <w:rPr>
          <w:sz w:val="20"/>
          <w:szCs w:val="20"/>
        </w:rPr>
        <w:t xml:space="preserve"> a legitimate rationale for g</w:t>
      </w:r>
      <w:r w:rsidR="00277547" w:rsidRPr="00436F16">
        <w:rPr>
          <w:sz w:val="20"/>
          <w:szCs w:val="20"/>
        </w:rPr>
        <w:t xml:space="preserve">overnment involvement </w:t>
      </w:r>
      <w:r>
        <w:rPr>
          <w:sz w:val="20"/>
          <w:szCs w:val="20"/>
        </w:rPr>
        <w:t>in R&amp;D across a wide range of sectors, including mineral endowments such as coal.  R&amp;D provides</w:t>
      </w:r>
      <w:r w:rsidR="00277547" w:rsidRPr="00436F16">
        <w:rPr>
          <w:sz w:val="20"/>
          <w:szCs w:val="20"/>
        </w:rPr>
        <w:t xml:space="preserve"> a relatively low cost way of preserving or increasing future “option” value</w:t>
      </w:r>
      <w:r>
        <w:rPr>
          <w:sz w:val="20"/>
          <w:szCs w:val="20"/>
        </w:rPr>
        <w:t>s of such endowments, particularly in cases such as</w:t>
      </w:r>
      <w:r w:rsidR="00E066C2">
        <w:rPr>
          <w:sz w:val="20"/>
          <w:szCs w:val="20"/>
        </w:rPr>
        <w:t xml:space="preserve"> brown</w:t>
      </w:r>
      <w:r>
        <w:rPr>
          <w:sz w:val="20"/>
          <w:szCs w:val="20"/>
        </w:rPr>
        <w:t xml:space="preserve"> coal where the composition of Victorian deposits is relatively unique</w:t>
      </w:r>
      <w:r w:rsidR="00E066C2">
        <w:rPr>
          <w:sz w:val="20"/>
          <w:szCs w:val="20"/>
        </w:rPr>
        <w:t xml:space="preserve"> compared to</w:t>
      </w:r>
      <w:r>
        <w:rPr>
          <w:sz w:val="20"/>
          <w:szCs w:val="20"/>
        </w:rPr>
        <w:t xml:space="preserve"> Australian and international equivalents.</w:t>
      </w:r>
    </w:p>
    <w:p w:rsidR="00277547" w:rsidRPr="00436F16" w:rsidRDefault="00277547" w:rsidP="00436F16">
      <w:pPr>
        <w:pStyle w:val="Heading4"/>
        <w:rPr>
          <w:szCs w:val="20"/>
        </w:rPr>
      </w:pPr>
      <w:r w:rsidRPr="00436F16">
        <w:rPr>
          <w:sz w:val="20"/>
          <w:szCs w:val="20"/>
        </w:rPr>
        <w:t xml:space="preserve">A commitment to </w:t>
      </w:r>
      <w:r w:rsidR="00B41551">
        <w:rPr>
          <w:sz w:val="20"/>
          <w:szCs w:val="20"/>
        </w:rPr>
        <w:t xml:space="preserve">a relatively small amount of </w:t>
      </w:r>
      <w:r w:rsidRPr="00436F16">
        <w:rPr>
          <w:sz w:val="20"/>
          <w:szCs w:val="20"/>
        </w:rPr>
        <w:t>R&amp;D funding w</w:t>
      </w:r>
      <w:r w:rsidR="000D1FE8">
        <w:rPr>
          <w:sz w:val="20"/>
          <w:szCs w:val="20"/>
        </w:rPr>
        <w:t>ould</w:t>
      </w:r>
      <w:r w:rsidRPr="00436F16">
        <w:rPr>
          <w:sz w:val="20"/>
          <w:szCs w:val="20"/>
        </w:rPr>
        <w:t xml:space="preserve"> enable </w:t>
      </w:r>
      <w:r w:rsidR="000D1FE8">
        <w:rPr>
          <w:sz w:val="20"/>
          <w:szCs w:val="20"/>
        </w:rPr>
        <w:t xml:space="preserve">the </w:t>
      </w:r>
      <w:r w:rsidRPr="00436F16">
        <w:rPr>
          <w:sz w:val="20"/>
          <w:szCs w:val="20"/>
        </w:rPr>
        <w:t xml:space="preserve">leverage of other </w:t>
      </w:r>
      <w:r w:rsidR="000D1FE8">
        <w:rPr>
          <w:sz w:val="20"/>
          <w:szCs w:val="20"/>
        </w:rPr>
        <w:t xml:space="preserve">research </w:t>
      </w:r>
      <w:r w:rsidRPr="00436F16">
        <w:rPr>
          <w:sz w:val="20"/>
          <w:szCs w:val="20"/>
        </w:rPr>
        <w:t xml:space="preserve">funds and </w:t>
      </w:r>
      <w:r w:rsidR="000D1FE8">
        <w:rPr>
          <w:sz w:val="20"/>
          <w:szCs w:val="20"/>
        </w:rPr>
        <w:t xml:space="preserve">assist in maintaining a small core of expertise in the particular characteristics of Victoria’s brown coal resource. </w:t>
      </w:r>
      <w:r w:rsidR="004722FA">
        <w:rPr>
          <w:sz w:val="20"/>
          <w:szCs w:val="20"/>
        </w:rPr>
        <w:t xml:space="preserve"> </w:t>
      </w:r>
      <w:r w:rsidRPr="00436F16">
        <w:rPr>
          <w:sz w:val="20"/>
          <w:szCs w:val="20"/>
        </w:rPr>
        <w:t>If future funding is agreed, an external body – like BCIA</w:t>
      </w:r>
      <w:r w:rsidR="00EF2B92">
        <w:rPr>
          <w:sz w:val="20"/>
          <w:szCs w:val="20"/>
        </w:rPr>
        <w:t xml:space="preserve"> – </w:t>
      </w:r>
      <w:r w:rsidRPr="00436F16">
        <w:rPr>
          <w:sz w:val="20"/>
          <w:szCs w:val="20"/>
        </w:rPr>
        <w:t>is an effective mechanism and would provide continuity, industry buy-in and an existing body of knowledge around currently funded projects and future opportunities.</w:t>
      </w:r>
    </w:p>
    <w:p w:rsidR="007B41B7" w:rsidRPr="007B41B7" w:rsidRDefault="007B41B7" w:rsidP="00436F16">
      <w:pPr>
        <w:pStyle w:val="Bullet"/>
        <w:numPr>
          <w:ilvl w:val="0"/>
          <w:numId w:val="0"/>
        </w:numPr>
        <w:rPr>
          <w:lang w:val="en-US"/>
        </w:rPr>
      </w:pPr>
    </w:p>
    <w:p w:rsidR="007B41B7" w:rsidRPr="00436F16" w:rsidRDefault="007B41B7" w:rsidP="00436F16">
      <w:pPr>
        <w:pStyle w:val="Heading4"/>
        <w:rPr>
          <w:b/>
          <w:szCs w:val="20"/>
        </w:rPr>
      </w:pPr>
      <w:r w:rsidRPr="00436F16">
        <w:rPr>
          <w:b/>
          <w:sz w:val="20"/>
          <w:szCs w:val="20"/>
        </w:rPr>
        <w:lastRenderedPageBreak/>
        <w:t xml:space="preserve">Recommendation </w:t>
      </w:r>
      <w:r w:rsidR="00E1614C">
        <w:rPr>
          <w:b/>
          <w:sz w:val="20"/>
          <w:szCs w:val="20"/>
        </w:rPr>
        <w:t>3</w:t>
      </w:r>
    </w:p>
    <w:p w:rsidR="007B41B7" w:rsidRPr="00436F16" w:rsidRDefault="007B41B7" w:rsidP="00436F16">
      <w:pPr>
        <w:pStyle w:val="Heading4"/>
        <w:rPr>
          <w:szCs w:val="20"/>
        </w:rPr>
      </w:pPr>
      <w:r w:rsidRPr="00436F16">
        <w:rPr>
          <w:sz w:val="20"/>
          <w:szCs w:val="20"/>
        </w:rPr>
        <w:t xml:space="preserve">Amend the approach to funding </w:t>
      </w:r>
      <w:r w:rsidR="00EF2B92">
        <w:rPr>
          <w:sz w:val="20"/>
          <w:szCs w:val="20"/>
        </w:rPr>
        <w:t>D&amp;C</w:t>
      </w:r>
      <w:r w:rsidRPr="00436F16">
        <w:rPr>
          <w:sz w:val="20"/>
          <w:szCs w:val="20"/>
        </w:rPr>
        <w:t xml:space="preserve"> projects.</w:t>
      </w:r>
    </w:p>
    <w:p w:rsidR="007B41B7" w:rsidRPr="00436F16" w:rsidRDefault="00C87D07" w:rsidP="00436F16">
      <w:pPr>
        <w:pStyle w:val="Heading4"/>
        <w:rPr>
          <w:szCs w:val="20"/>
        </w:rPr>
      </w:pPr>
      <w:r w:rsidRPr="00436F16">
        <w:rPr>
          <w:sz w:val="20"/>
          <w:szCs w:val="20"/>
        </w:rPr>
        <w:t>A significant p</w:t>
      </w:r>
      <w:r w:rsidR="007B41B7" w:rsidRPr="00436F16">
        <w:rPr>
          <w:sz w:val="20"/>
          <w:szCs w:val="20"/>
        </w:rPr>
        <w:t>roblem is the long lead time and uncertain development process leads to program funding being tied up in allocations but unspent</w:t>
      </w:r>
      <w:r w:rsidRPr="00436F16">
        <w:rPr>
          <w:sz w:val="20"/>
          <w:szCs w:val="20"/>
        </w:rPr>
        <w:t>.  This proble</w:t>
      </w:r>
      <w:r w:rsidR="00D21BAB">
        <w:rPr>
          <w:sz w:val="20"/>
          <w:szCs w:val="20"/>
        </w:rPr>
        <w:t>m has become more acute as the g</w:t>
      </w:r>
      <w:r w:rsidRPr="00436F16">
        <w:rPr>
          <w:sz w:val="20"/>
          <w:szCs w:val="20"/>
        </w:rPr>
        <w:t>overnment’s budget environment has tightened.  With an ambitious economic development agenda focused on six priority sectors and the development of future industries, there is a real opportunity cost in having money tied up in siloed programs.</w:t>
      </w:r>
    </w:p>
    <w:p w:rsidR="007B41B7" w:rsidRPr="00436F16" w:rsidRDefault="007B41B7" w:rsidP="00436F16">
      <w:pPr>
        <w:pStyle w:val="Heading4"/>
        <w:rPr>
          <w:szCs w:val="20"/>
        </w:rPr>
      </w:pPr>
      <w:r w:rsidRPr="00436F16">
        <w:rPr>
          <w:sz w:val="20"/>
          <w:szCs w:val="20"/>
        </w:rPr>
        <w:t>A</w:t>
      </w:r>
      <w:r w:rsidR="00C87D07" w:rsidRPr="00436F16">
        <w:rPr>
          <w:sz w:val="20"/>
          <w:szCs w:val="20"/>
        </w:rPr>
        <w:t>n alternative approach should be considered based on four elements</w:t>
      </w:r>
      <w:r w:rsidR="003E4632">
        <w:rPr>
          <w:sz w:val="20"/>
          <w:szCs w:val="20"/>
        </w:rPr>
        <w:t>:</w:t>
      </w:r>
    </w:p>
    <w:p w:rsidR="00C31817" w:rsidRDefault="003E4632" w:rsidP="00436F16">
      <w:pPr>
        <w:pStyle w:val="Heading4"/>
        <w:spacing w:after="120"/>
        <w:ind w:left="720" w:hanging="720"/>
        <w:rPr>
          <w:sz w:val="20"/>
          <w:szCs w:val="20"/>
        </w:rPr>
      </w:pPr>
      <w:r>
        <w:rPr>
          <w:szCs w:val="20"/>
        </w:rPr>
        <w:t>-</w:t>
      </w:r>
      <w:r>
        <w:rPr>
          <w:szCs w:val="20"/>
        </w:rPr>
        <w:tab/>
      </w:r>
      <w:r w:rsidR="007B41B7" w:rsidRPr="00436F16">
        <w:rPr>
          <w:sz w:val="20"/>
          <w:szCs w:val="20"/>
        </w:rPr>
        <w:t>No standing program allocation</w:t>
      </w:r>
      <w:r w:rsidR="00C31817">
        <w:rPr>
          <w:sz w:val="20"/>
          <w:szCs w:val="20"/>
        </w:rPr>
        <w:t>;</w:t>
      </w:r>
    </w:p>
    <w:p w:rsidR="007B41B7" w:rsidRPr="00436F16" w:rsidRDefault="00C31817" w:rsidP="00436F16">
      <w:pPr>
        <w:pStyle w:val="Heading4"/>
        <w:spacing w:after="120"/>
        <w:ind w:left="720" w:hanging="720"/>
        <w:rPr>
          <w:szCs w:val="20"/>
        </w:rPr>
      </w:pPr>
      <w:r>
        <w:rPr>
          <w:sz w:val="20"/>
          <w:szCs w:val="20"/>
        </w:rPr>
        <w:t>-</w:t>
      </w:r>
      <w:r>
        <w:rPr>
          <w:sz w:val="20"/>
          <w:szCs w:val="20"/>
        </w:rPr>
        <w:tab/>
        <w:t>A</w:t>
      </w:r>
      <w:r w:rsidR="003E4632">
        <w:rPr>
          <w:sz w:val="20"/>
          <w:szCs w:val="20"/>
        </w:rPr>
        <w:t xml:space="preserve">n </w:t>
      </w:r>
      <w:r w:rsidR="007B41B7" w:rsidRPr="00436F16">
        <w:rPr>
          <w:sz w:val="20"/>
          <w:szCs w:val="20"/>
        </w:rPr>
        <w:t>“</w:t>
      </w:r>
      <w:r w:rsidR="003E4632">
        <w:rPr>
          <w:sz w:val="20"/>
          <w:szCs w:val="20"/>
        </w:rPr>
        <w:t>o</w:t>
      </w:r>
      <w:r w:rsidR="007B41B7" w:rsidRPr="00436F16">
        <w:rPr>
          <w:sz w:val="20"/>
          <w:szCs w:val="20"/>
        </w:rPr>
        <w:t>pen for business approach”</w:t>
      </w:r>
      <w:r w:rsidR="003E4632">
        <w:rPr>
          <w:sz w:val="20"/>
          <w:szCs w:val="20"/>
        </w:rPr>
        <w:t xml:space="preserve"> where </w:t>
      </w:r>
      <w:r w:rsidR="007B41B7" w:rsidRPr="00436F16">
        <w:rPr>
          <w:sz w:val="20"/>
          <w:szCs w:val="20"/>
        </w:rPr>
        <w:t xml:space="preserve">proponents can approach the </w:t>
      </w:r>
      <w:r w:rsidR="003E4632">
        <w:rPr>
          <w:sz w:val="20"/>
          <w:szCs w:val="20"/>
        </w:rPr>
        <w:t>g</w:t>
      </w:r>
      <w:r w:rsidR="007B41B7" w:rsidRPr="00436F16">
        <w:rPr>
          <w:sz w:val="20"/>
          <w:szCs w:val="20"/>
        </w:rPr>
        <w:t>overnment at any time</w:t>
      </w:r>
      <w:r w:rsidR="003E4632">
        <w:rPr>
          <w:sz w:val="20"/>
          <w:szCs w:val="20"/>
        </w:rPr>
        <w:t>;</w:t>
      </w:r>
    </w:p>
    <w:p w:rsidR="00C87D07" w:rsidRPr="00436F16" w:rsidRDefault="003E4632" w:rsidP="00436F16">
      <w:pPr>
        <w:pStyle w:val="Heading4"/>
        <w:spacing w:after="120"/>
        <w:rPr>
          <w:szCs w:val="20"/>
        </w:rPr>
      </w:pPr>
      <w:r>
        <w:rPr>
          <w:sz w:val="20"/>
          <w:szCs w:val="20"/>
        </w:rPr>
        <w:t>-</w:t>
      </w:r>
      <w:r>
        <w:rPr>
          <w:sz w:val="20"/>
          <w:szCs w:val="20"/>
        </w:rPr>
        <w:tab/>
      </w:r>
      <w:r w:rsidR="00C87D07" w:rsidRPr="00436F16">
        <w:rPr>
          <w:sz w:val="20"/>
          <w:szCs w:val="20"/>
        </w:rPr>
        <w:t>Gated evaluation of projects</w:t>
      </w:r>
      <w:r>
        <w:rPr>
          <w:sz w:val="20"/>
          <w:szCs w:val="20"/>
        </w:rPr>
        <w:t>; and</w:t>
      </w:r>
    </w:p>
    <w:p w:rsidR="00C87D07" w:rsidRPr="00436F16" w:rsidRDefault="003E4632" w:rsidP="00436F16">
      <w:pPr>
        <w:pStyle w:val="Heading4"/>
        <w:ind w:left="720" w:hanging="720"/>
        <w:rPr>
          <w:szCs w:val="20"/>
        </w:rPr>
      </w:pPr>
      <w:r>
        <w:rPr>
          <w:sz w:val="20"/>
          <w:szCs w:val="20"/>
        </w:rPr>
        <w:t>-</w:t>
      </w:r>
      <w:r>
        <w:rPr>
          <w:sz w:val="20"/>
          <w:szCs w:val="20"/>
        </w:rPr>
        <w:tab/>
      </w:r>
      <w:r w:rsidR="00C87D07" w:rsidRPr="00436F16">
        <w:rPr>
          <w:sz w:val="20"/>
          <w:szCs w:val="20"/>
        </w:rPr>
        <w:t>Decision</w:t>
      </w:r>
      <w:r w:rsidR="000B29FD">
        <w:rPr>
          <w:sz w:val="20"/>
          <w:szCs w:val="20"/>
        </w:rPr>
        <w:t>-</w:t>
      </w:r>
      <w:r w:rsidR="00C87D07" w:rsidRPr="00436F16">
        <w:rPr>
          <w:sz w:val="20"/>
          <w:szCs w:val="20"/>
        </w:rPr>
        <w:t xml:space="preserve">making process to explicitly consider the relative merits of this particular project versus other </w:t>
      </w:r>
      <w:r w:rsidR="001452AE">
        <w:rPr>
          <w:sz w:val="20"/>
          <w:szCs w:val="20"/>
        </w:rPr>
        <w:t>economic development</w:t>
      </w:r>
      <w:r w:rsidR="001452AE" w:rsidRPr="00436F16">
        <w:rPr>
          <w:sz w:val="20"/>
          <w:szCs w:val="20"/>
        </w:rPr>
        <w:t xml:space="preserve"> </w:t>
      </w:r>
      <w:r w:rsidR="00C87D07" w:rsidRPr="00436F16">
        <w:rPr>
          <w:sz w:val="20"/>
          <w:szCs w:val="20"/>
        </w:rPr>
        <w:t xml:space="preserve">opportunities </w:t>
      </w:r>
      <w:r w:rsidR="001452AE">
        <w:rPr>
          <w:sz w:val="20"/>
          <w:szCs w:val="20"/>
        </w:rPr>
        <w:t xml:space="preserve">across the economy </w:t>
      </w:r>
      <w:r w:rsidR="00C87D07" w:rsidRPr="00436F16">
        <w:rPr>
          <w:sz w:val="20"/>
          <w:szCs w:val="20"/>
        </w:rPr>
        <w:t xml:space="preserve">that also </w:t>
      </w:r>
      <w:proofErr w:type="gramStart"/>
      <w:r w:rsidR="00C87D07" w:rsidRPr="00436F16">
        <w:rPr>
          <w:sz w:val="20"/>
          <w:szCs w:val="20"/>
        </w:rPr>
        <w:t>deliver</w:t>
      </w:r>
      <w:proofErr w:type="gramEnd"/>
      <w:r w:rsidR="00C87D07" w:rsidRPr="00436F16">
        <w:rPr>
          <w:sz w:val="20"/>
          <w:szCs w:val="20"/>
        </w:rPr>
        <w:t xml:space="preserve"> investment and jobs</w:t>
      </w:r>
      <w:r w:rsidR="000B29FD">
        <w:rPr>
          <w:sz w:val="20"/>
          <w:szCs w:val="20"/>
        </w:rPr>
        <w:t>.</w:t>
      </w:r>
    </w:p>
    <w:p w:rsidR="00C87D07" w:rsidRPr="00436F16" w:rsidRDefault="00C87D07" w:rsidP="00436F16">
      <w:pPr>
        <w:pStyle w:val="Heading4"/>
        <w:rPr>
          <w:szCs w:val="20"/>
        </w:rPr>
      </w:pPr>
      <w:r w:rsidRPr="00436F16">
        <w:rPr>
          <w:sz w:val="20"/>
          <w:szCs w:val="20"/>
        </w:rPr>
        <w:t xml:space="preserve">The first gate would be an evaluation against a high level “Framework”.  The Framework is outlined in the </w:t>
      </w:r>
      <w:r w:rsidR="009354AE">
        <w:rPr>
          <w:sz w:val="20"/>
          <w:szCs w:val="20"/>
        </w:rPr>
        <w:t>Summary.</w:t>
      </w:r>
    </w:p>
    <w:p w:rsidR="007B41B7" w:rsidRPr="00436F16" w:rsidRDefault="00A64F9A" w:rsidP="00436F16">
      <w:pPr>
        <w:pStyle w:val="Heading4"/>
        <w:rPr>
          <w:szCs w:val="20"/>
        </w:rPr>
      </w:pPr>
      <w:r>
        <w:rPr>
          <w:sz w:val="20"/>
          <w:szCs w:val="20"/>
        </w:rPr>
        <w:t>Removing a standing program allocation while supporting an ope</w:t>
      </w:r>
      <w:r w:rsidR="00402721">
        <w:rPr>
          <w:sz w:val="20"/>
          <w:szCs w:val="20"/>
        </w:rPr>
        <w:t>n-for-business approach requires</w:t>
      </w:r>
      <w:r>
        <w:rPr>
          <w:sz w:val="20"/>
          <w:szCs w:val="20"/>
        </w:rPr>
        <w:t xml:space="preserve"> that f</w:t>
      </w:r>
      <w:r w:rsidR="007B41B7" w:rsidRPr="00436F16">
        <w:rPr>
          <w:sz w:val="20"/>
          <w:szCs w:val="20"/>
        </w:rPr>
        <w:t xml:space="preserve">unding sources </w:t>
      </w:r>
      <w:r>
        <w:rPr>
          <w:sz w:val="20"/>
          <w:szCs w:val="20"/>
        </w:rPr>
        <w:t xml:space="preserve">or </w:t>
      </w:r>
      <w:r w:rsidRPr="00CB28D9">
        <w:rPr>
          <w:sz w:val="20"/>
          <w:szCs w:val="20"/>
        </w:rPr>
        <w:t>other avenues for financial assistance</w:t>
      </w:r>
      <w:r w:rsidRPr="00436F16">
        <w:rPr>
          <w:sz w:val="20"/>
          <w:szCs w:val="20"/>
        </w:rPr>
        <w:t xml:space="preserve"> </w:t>
      </w:r>
      <w:r w:rsidR="007B41B7" w:rsidRPr="00436F16">
        <w:rPr>
          <w:sz w:val="20"/>
          <w:szCs w:val="20"/>
        </w:rPr>
        <w:t xml:space="preserve">need to be </w:t>
      </w:r>
      <w:proofErr w:type="gramStart"/>
      <w:r w:rsidR="007B41B7" w:rsidRPr="00436F16">
        <w:rPr>
          <w:sz w:val="20"/>
          <w:szCs w:val="20"/>
        </w:rPr>
        <w:t xml:space="preserve">identified </w:t>
      </w:r>
      <w:r w:rsidR="00C87D07" w:rsidRPr="00436F16">
        <w:rPr>
          <w:sz w:val="20"/>
          <w:szCs w:val="20"/>
        </w:rPr>
        <w:t>.</w:t>
      </w:r>
      <w:proofErr w:type="gramEnd"/>
      <w:r>
        <w:rPr>
          <w:sz w:val="20"/>
          <w:szCs w:val="20"/>
        </w:rPr>
        <w:t xml:space="preserve"> </w:t>
      </w:r>
      <w:r w:rsidR="00C87D07" w:rsidRPr="00436F16">
        <w:rPr>
          <w:sz w:val="20"/>
          <w:szCs w:val="20"/>
        </w:rPr>
        <w:t>The d</w:t>
      </w:r>
      <w:r w:rsidR="007B41B7" w:rsidRPr="00436F16">
        <w:rPr>
          <w:sz w:val="20"/>
          <w:szCs w:val="20"/>
        </w:rPr>
        <w:t>isadvantage</w:t>
      </w:r>
      <w:r>
        <w:rPr>
          <w:sz w:val="20"/>
          <w:szCs w:val="20"/>
        </w:rPr>
        <w:t xml:space="preserve"> of this approach</w:t>
      </w:r>
      <w:r w:rsidR="007B41B7" w:rsidRPr="00436F16">
        <w:rPr>
          <w:sz w:val="20"/>
          <w:szCs w:val="20"/>
        </w:rPr>
        <w:t xml:space="preserve"> is that there is no </w:t>
      </w:r>
      <w:r w:rsidR="00402721">
        <w:rPr>
          <w:sz w:val="20"/>
          <w:szCs w:val="20"/>
        </w:rPr>
        <w:t>dedicated</w:t>
      </w:r>
      <w:r w:rsidR="007B41B7" w:rsidRPr="00436F16">
        <w:rPr>
          <w:sz w:val="20"/>
          <w:szCs w:val="20"/>
        </w:rPr>
        <w:t xml:space="preserve"> source of funds, but </w:t>
      </w:r>
      <w:r w:rsidR="00402721">
        <w:rPr>
          <w:sz w:val="20"/>
          <w:szCs w:val="20"/>
        </w:rPr>
        <w:t xml:space="preserve">the </w:t>
      </w:r>
      <w:r w:rsidR="007B41B7" w:rsidRPr="00436F16">
        <w:rPr>
          <w:sz w:val="20"/>
          <w:szCs w:val="20"/>
        </w:rPr>
        <w:t xml:space="preserve">advantage is that money is not tied up in program allocations </w:t>
      </w:r>
      <w:r w:rsidR="00402721">
        <w:rPr>
          <w:sz w:val="20"/>
          <w:szCs w:val="20"/>
        </w:rPr>
        <w:t>(</w:t>
      </w:r>
      <w:r w:rsidR="007B41B7" w:rsidRPr="00436F16">
        <w:rPr>
          <w:sz w:val="20"/>
          <w:szCs w:val="20"/>
        </w:rPr>
        <w:t>sometimes for years</w:t>
      </w:r>
      <w:r w:rsidR="00402721">
        <w:rPr>
          <w:sz w:val="20"/>
          <w:szCs w:val="20"/>
        </w:rPr>
        <w:t>)</w:t>
      </w:r>
      <w:r w:rsidR="007B41B7" w:rsidRPr="00436F16">
        <w:rPr>
          <w:sz w:val="20"/>
          <w:szCs w:val="20"/>
        </w:rPr>
        <w:t xml:space="preserve"> when there are other opportunities that could use the funding to generate outcomes.</w:t>
      </w:r>
    </w:p>
    <w:p w:rsidR="007B41B7" w:rsidRDefault="007B41B7" w:rsidP="00436F16">
      <w:pPr>
        <w:pStyle w:val="Bullet"/>
        <w:numPr>
          <w:ilvl w:val="0"/>
          <w:numId w:val="0"/>
        </w:numPr>
        <w:rPr>
          <w:lang w:val="en-US"/>
        </w:rPr>
      </w:pPr>
    </w:p>
    <w:p w:rsidR="007B41B7" w:rsidRPr="00436F16" w:rsidRDefault="007B41B7" w:rsidP="00436F16">
      <w:pPr>
        <w:pStyle w:val="Heading4"/>
        <w:rPr>
          <w:b/>
          <w:szCs w:val="20"/>
        </w:rPr>
      </w:pPr>
      <w:r w:rsidRPr="00436F16">
        <w:rPr>
          <w:b/>
          <w:sz w:val="20"/>
          <w:szCs w:val="20"/>
        </w:rPr>
        <w:t xml:space="preserve">Recommendation </w:t>
      </w:r>
      <w:r w:rsidR="00E1614C">
        <w:rPr>
          <w:b/>
          <w:sz w:val="20"/>
          <w:szCs w:val="20"/>
        </w:rPr>
        <w:t>4</w:t>
      </w:r>
    </w:p>
    <w:p w:rsidR="001B58C1" w:rsidRDefault="002F4BD0" w:rsidP="001B58C1">
      <w:pPr>
        <w:pStyle w:val="Heading4"/>
        <w:rPr>
          <w:sz w:val="20"/>
          <w:szCs w:val="20"/>
        </w:rPr>
      </w:pPr>
      <w:r w:rsidRPr="00436F16">
        <w:rPr>
          <w:sz w:val="20"/>
          <w:szCs w:val="20"/>
        </w:rPr>
        <w:t>In the coal area, m</w:t>
      </w:r>
      <w:r>
        <w:rPr>
          <w:sz w:val="20"/>
          <w:szCs w:val="20"/>
        </w:rPr>
        <w:t xml:space="preserve">ajor project </w:t>
      </w:r>
      <w:r w:rsidR="001B58C1">
        <w:rPr>
          <w:sz w:val="20"/>
          <w:szCs w:val="20"/>
        </w:rPr>
        <w:t xml:space="preserve">proponents </w:t>
      </w:r>
      <w:r>
        <w:rPr>
          <w:sz w:val="20"/>
          <w:szCs w:val="20"/>
        </w:rPr>
        <w:t>may approach the g</w:t>
      </w:r>
      <w:r w:rsidRPr="00436F16">
        <w:rPr>
          <w:sz w:val="20"/>
          <w:szCs w:val="20"/>
        </w:rPr>
        <w:t>overnment seeking funding for feasibility work, site specific studies</w:t>
      </w:r>
      <w:r w:rsidR="006B1F18">
        <w:rPr>
          <w:sz w:val="20"/>
          <w:szCs w:val="20"/>
        </w:rPr>
        <w:t>,</w:t>
      </w:r>
      <w:r w:rsidRPr="00436F16">
        <w:rPr>
          <w:sz w:val="20"/>
          <w:szCs w:val="20"/>
        </w:rPr>
        <w:t xml:space="preserve"> testing of the resource, or assistance with</w:t>
      </w:r>
      <w:r w:rsidR="00EF2B92">
        <w:rPr>
          <w:sz w:val="20"/>
          <w:szCs w:val="20"/>
        </w:rPr>
        <w:t xml:space="preserve"> LSDPs.</w:t>
      </w:r>
      <w:r w:rsidR="001B58C1">
        <w:rPr>
          <w:sz w:val="20"/>
          <w:szCs w:val="20"/>
        </w:rPr>
        <w:t xml:space="preserve"> </w:t>
      </w:r>
    </w:p>
    <w:p w:rsidR="001B58C1" w:rsidRPr="001B58C1" w:rsidRDefault="00633D4D" w:rsidP="001B58C1">
      <w:pPr>
        <w:pStyle w:val="Heading4"/>
        <w:rPr>
          <w:sz w:val="20"/>
          <w:szCs w:val="20"/>
        </w:rPr>
      </w:pPr>
      <w:r>
        <w:rPr>
          <w:sz w:val="20"/>
          <w:szCs w:val="20"/>
        </w:rPr>
        <w:t xml:space="preserve">The nature of major projects warrants a degree of “bespoke” service. </w:t>
      </w:r>
      <w:r w:rsidR="001B58C1">
        <w:rPr>
          <w:sz w:val="20"/>
          <w:szCs w:val="20"/>
        </w:rPr>
        <w:t>The Government should continue to tailor support on an individual basis for major projects in the coal areas. Aspects of the Framework for decision making and the</w:t>
      </w:r>
      <w:r>
        <w:rPr>
          <w:sz w:val="20"/>
          <w:szCs w:val="20"/>
        </w:rPr>
        <w:t xml:space="preserve"> revised approach for funding D&amp;</w:t>
      </w:r>
      <w:r w:rsidR="001B58C1">
        <w:rPr>
          <w:sz w:val="20"/>
          <w:szCs w:val="20"/>
        </w:rPr>
        <w:t>C projects would be appropriate when considering requests for financial assistance.</w:t>
      </w:r>
    </w:p>
    <w:p w:rsidR="00633D4D" w:rsidRPr="007B41B7" w:rsidRDefault="00633D4D" w:rsidP="00436F16">
      <w:pPr>
        <w:pStyle w:val="Bullet"/>
        <w:numPr>
          <w:ilvl w:val="0"/>
          <w:numId w:val="0"/>
        </w:numPr>
        <w:rPr>
          <w:lang w:val="en-US"/>
        </w:rPr>
      </w:pPr>
    </w:p>
    <w:p w:rsidR="007B41B7" w:rsidRPr="00436F16" w:rsidRDefault="007B41B7" w:rsidP="00436F16">
      <w:pPr>
        <w:pStyle w:val="Heading4"/>
        <w:rPr>
          <w:b/>
          <w:szCs w:val="20"/>
        </w:rPr>
      </w:pPr>
      <w:r w:rsidRPr="00436F16">
        <w:rPr>
          <w:b/>
          <w:sz w:val="20"/>
          <w:szCs w:val="20"/>
        </w:rPr>
        <w:lastRenderedPageBreak/>
        <w:t xml:space="preserve">Recommendation </w:t>
      </w:r>
      <w:r w:rsidR="00E1614C">
        <w:rPr>
          <w:b/>
          <w:sz w:val="20"/>
          <w:szCs w:val="20"/>
        </w:rPr>
        <w:t>5</w:t>
      </w:r>
    </w:p>
    <w:p w:rsidR="00637699" w:rsidRDefault="00750F8F" w:rsidP="00436F16">
      <w:pPr>
        <w:pStyle w:val="Heading4"/>
        <w:rPr>
          <w:sz w:val="20"/>
          <w:szCs w:val="20"/>
        </w:rPr>
      </w:pPr>
      <w:r>
        <w:rPr>
          <w:sz w:val="20"/>
          <w:szCs w:val="20"/>
        </w:rPr>
        <w:t xml:space="preserve">The consideration of CarbonNet is proceeding independently of the outcomes of this </w:t>
      </w:r>
      <w:r w:rsidR="008D5DB5">
        <w:rPr>
          <w:sz w:val="20"/>
          <w:szCs w:val="20"/>
        </w:rPr>
        <w:t>Review</w:t>
      </w:r>
      <w:r>
        <w:rPr>
          <w:sz w:val="20"/>
          <w:szCs w:val="20"/>
        </w:rPr>
        <w:t xml:space="preserve">.  </w:t>
      </w:r>
    </w:p>
    <w:p w:rsidR="007B41B7" w:rsidRPr="0073628A" w:rsidRDefault="00750F8F" w:rsidP="00436F16">
      <w:pPr>
        <w:pStyle w:val="Heading4"/>
        <w:rPr>
          <w:sz w:val="20"/>
          <w:szCs w:val="20"/>
        </w:rPr>
      </w:pPr>
      <w:r>
        <w:rPr>
          <w:sz w:val="20"/>
          <w:szCs w:val="20"/>
        </w:rPr>
        <w:t>The Review supports the Frontier</w:t>
      </w:r>
      <w:r w:rsidR="000B29FD">
        <w:rPr>
          <w:sz w:val="20"/>
          <w:szCs w:val="20"/>
        </w:rPr>
        <w:t xml:space="preserve"> </w:t>
      </w:r>
      <w:r>
        <w:rPr>
          <w:sz w:val="20"/>
          <w:szCs w:val="20"/>
        </w:rPr>
        <w:t xml:space="preserve">(2016) analysis that a strategic option </w:t>
      </w:r>
      <w:r w:rsidR="00637699">
        <w:rPr>
          <w:sz w:val="20"/>
          <w:szCs w:val="20"/>
        </w:rPr>
        <w:t xml:space="preserve">that provides the </w:t>
      </w:r>
      <w:r w:rsidR="00B10E76">
        <w:rPr>
          <w:sz w:val="20"/>
          <w:szCs w:val="20"/>
        </w:rPr>
        <w:t>government</w:t>
      </w:r>
      <w:r w:rsidR="00637699">
        <w:rPr>
          <w:sz w:val="20"/>
          <w:szCs w:val="20"/>
        </w:rPr>
        <w:t xml:space="preserve"> with the opportunity to clarify the regulatory environment and remove barriers to private investment in CCS, without itself undertaking the more intensive geological and source capture testing</w:t>
      </w:r>
      <w:r w:rsidR="008D5DB5">
        <w:rPr>
          <w:sz w:val="20"/>
          <w:szCs w:val="20"/>
        </w:rPr>
        <w:t>,</w:t>
      </w:r>
      <w:r w:rsidR="00637699">
        <w:rPr>
          <w:sz w:val="20"/>
          <w:szCs w:val="20"/>
        </w:rPr>
        <w:t xml:space="preserve"> should be explored</w:t>
      </w:r>
      <w:r w:rsidR="008D5DB5">
        <w:rPr>
          <w:sz w:val="20"/>
          <w:szCs w:val="20"/>
        </w:rPr>
        <w:t>.</w:t>
      </w:r>
    </w:p>
    <w:p w:rsidR="007B41B7" w:rsidRPr="007B41B7" w:rsidRDefault="007B41B7" w:rsidP="00436F16">
      <w:pPr>
        <w:pStyle w:val="Bullet"/>
        <w:numPr>
          <w:ilvl w:val="0"/>
          <w:numId w:val="0"/>
        </w:numPr>
        <w:rPr>
          <w:lang w:val="en-US"/>
        </w:rPr>
      </w:pPr>
    </w:p>
    <w:p w:rsidR="007B41B7" w:rsidRPr="00436F16" w:rsidRDefault="007B41B7" w:rsidP="00436F16">
      <w:pPr>
        <w:pStyle w:val="Heading4"/>
        <w:rPr>
          <w:b/>
          <w:szCs w:val="20"/>
        </w:rPr>
      </w:pPr>
      <w:r w:rsidRPr="00436F16">
        <w:rPr>
          <w:b/>
          <w:sz w:val="20"/>
          <w:szCs w:val="20"/>
        </w:rPr>
        <w:t xml:space="preserve">Recommendation </w:t>
      </w:r>
      <w:r w:rsidR="00E1614C">
        <w:rPr>
          <w:b/>
          <w:sz w:val="20"/>
          <w:szCs w:val="20"/>
        </w:rPr>
        <w:t>6</w:t>
      </w:r>
    </w:p>
    <w:p w:rsidR="007B41B7" w:rsidRPr="00436F16" w:rsidRDefault="00C87D07" w:rsidP="00436F16">
      <w:pPr>
        <w:pStyle w:val="Heading4"/>
        <w:rPr>
          <w:szCs w:val="20"/>
        </w:rPr>
      </w:pPr>
      <w:r w:rsidRPr="00436F16">
        <w:rPr>
          <w:sz w:val="20"/>
          <w:szCs w:val="20"/>
        </w:rPr>
        <w:t xml:space="preserve">Mechanisms like CCV have played a role in the past in engaging with communities, particularly </w:t>
      </w:r>
      <w:r w:rsidR="000B29FD">
        <w:rPr>
          <w:sz w:val="20"/>
          <w:szCs w:val="20"/>
        </w:rPr>
        <w:t>i</w:t>
      </w:r>
      <w:r w:rsidRPr="00436F16">
        <w:rPr>
          <w:sz w:val="20"/>
          <w:szCs w:val="20"/>
        </w:rPr>
        <w:t xml:space="preserve">n the Latrobe Valley about the importance of coal and the potential future </w:t>
      </w:r>
      <w:r w:rsidR="002034F1" w:rsidRPr="00436F16">
        <w:rPr>
          <w:sz w:val="20"/>
          <w:szCs w:val="20"/>
        </w:rPr>
        <w:t>pathways for coal development.  In the absence of this ty</w:t>
      </w:r>
      <w:r w:rsidR="00D21BAB">
        <w:rPr>
          <w:sz w:val="20"/>
          <w:szCs w:val="20"/>
        </w:rPr>
        <w:t>pe of engagement mechanism the g</w:t>
      </w:r>
      <w:r w:rsidR="002034F1" w:rsidRPr="00436F16">
        <w:rPr>
          <w:sz w:val="20"/>
          <w:szCs w:val="20"/>
        </w:rPr>
        <w:t>overnment should consider how else it might articulate its approach to coal and coal development.  This will be aided by the impl</w:t>
      </w:r>
      <w:r w:rsidR="00EF2B92">
        <w:rPr>
          <w:sz w:val="20"/>
          <w:szCs w:val="20"/>
        </w:rPr>
        <w:t>ementation of Recommendation 1</w:t>
      </w:r>
      <w:r w:rsidR="002034F1" w:rsidRPr="00436F16">
        <w:rPr>
          <w:sz w:val="20"/>
          <w:szCs w:val="20"/>
        </w:rPr>
        <w:t xml:space="preserve">. </w:t>
      </w:r>
    </w:p>
    <w:p w:rsidR="007B41B7" w:rsidRPr="007B41B7" w:rsidRDefault="007B41B7" w:rsidP="00436F16">
      <w:pPr>
        <w:pStyle w:val="Bullet"/>
        <w:numPr>
          <w:ilvl w:val="0"/>
          <w:numId w:val="0"/>
        </w:numPr>
        <w:rPr>
          <w:lang w:val="en-US"/>
        </w:rPr>
      </w:pPr>
    </w:p>
    <w:p w:rsidR="007B41B7" w:rsidRPr="00436F16" w:rsidRDefault="009D7256" w:rsidP="00436F16">
      <w:pPr>
        <w:pStyle w:val="Heading4"/>
        <w:rPr>
          <w:b/>
          <w:szCs w:val="20"/>
        </w:rPr>
      </w:pPr>
      <w:r>
        <w:rPr>
          <w:b/>
          <w:sz w:val="20"/>
          <w:szCs w:val="20"/>
        </w:rPr>
        <w:t>Recommendation 7</w:t>
      </w:r>
    </w:p>
    <w:p w:rsidR="00987745" w:rsidRDefault="0070628C" w:rsidP="00987745">
      <w:pPr>
        <w:pStyle w:val="Heading4"/>
        <w:rPr>
          <w:sz w:val="20"/>
          <w:szCs w:val="20"/>
        </w:rPr>
      </w:pPr>
      <w:r>
        <w:rPr>
          <w:sz w:val="20"/>
          <w:szCs w:val="20"/>
        </w:rPr>
        <w:t>Coal allocation processes as a mechanism to drive investment have not</w:t>
      </w:r>
      <w:r w:rsidR="00987745">
        <w:rPr>
          <w:sz w:val="20"/>
          <w:szCs w:val="20"/>
        </w:rPr>
        <w:t xml:space="preserve"> produced proponents that have led to commercial scale project investment. </w:t>
      </w:r>
    </w:p>
    <w:p w:rsidR="00987745" w:rsidRPr="0073628A" w:rsidRDefault="0070628C" w:rsidP="00987745">
      <w:pPr>
        <w:pStyle w:val="Heading4"/>
        <w:rPr>
          <w:sz w:val="20"/>
          <w:szCs w:val="20"/>
        </w:rPr>
      </w:pPr>
      <w:r>
        <w:rPr>
          <w:sz w:val="20"/>
          <w:szCs w:val="20"/>
        </w:rPr>
        <w:t xml:space="preserve">The appetite of industry and the community to support a new coal mine is uncertain and the government should evaluate </w:t>
      </w:r>
      <w:r w:rsidR="00C020FF">
        <w:rPr>
          <w:sz w:val="20"/>
          <w:szCs w:val="20"/>
        </w:rPr>
        <w:t>any new request for coal allocation against the ability of the existing mines to supply the quantity required</w:t>
      </w:r>
      <w:r w:rsidR="00987745">
        <w:rPr>
          <w:sz w:val="20"/>
          <w:szCs w:val="20"/>
        </w:rPr>
        <w:t xml:space="preserve">.  This supports the previously expressed position of the </w:t>
      </w:r>
      <w:proofErr w:type="spellStart"/>
      <w:r w:rsidR="00987745">
        <w:rPr>
          <w:sz w:val="20"/>
          <w:szCs w:val="20"/>
        </w:rPr>
        <w:t>Firecone</w:t>
      </w:r>
      <w:proofErr w:type="spellEnd"/>
      <w:r w:rsidR="00987745">
        <w:rPr>
          <w:sz w:val="20"/>
          <w:szCs w:val="20"/>
        </w:rPr>
        <w:t xml:space="preserve"> Review (</w:t>
      </w:r>
      <w:r w:rsidR="008D5DB5">
        <w:rPr>
          <w:sz w:val="20"/>
          <w:szCs w:val="20"/>
        </w:rPr>
        <w:t>2007</w:t>
      </w:r>
      <w:r w:rsidR="00987745">
        <w:rPr>
          <w:sz w:val="20"/>
          <w:szCs w:val="20"/>
        </w:rPr>
        <w:t>) that a further allocation of coal should only be considered if there is evidence of credible, well</w:t>
      </w:r>
      <w:r w:rsidR="000B29FD">
        <w:rPr>
          <w:sz w:val="20"/>
          <w:szCs w:val="20"/>
        </w:rPr>
        <w:t>-</w:t>
      </w:r>
      <w:r w:rsidR="00987745">
        <w:rPr>
          <w:sz w:val="20"/>
          <w:szCs w:val="20"/>
        </w:rPr>
        <w:t>resourced new investors who face difficulty in agreeing reasonable terms to access the coal resource that has already been allocated</w:t>
      </w:r>
      <w:r w:rsidR="000B29FD">
        <w:rPr>
          <w:sz w:val="20"/>
          <w:szCs w:val="20"/>
        </w:rPr>
        <w:t>.</w:t>
      </w:r>
    </w:p>
    <w:p w:rsidR="0070628C" w:rsidRDefault="00987745" w:rsidP="00436F16">
      <w:pPr>
        <w:pStyle w:val="Heading4"/>
        <w:rPr>
          <w:sz w:val="20"/>
          <w:szCs w:val="20"/>
        </w:rPr>
      </w:pPr>
      <w:r>
        <w:rPr>
          <w:sz w:val="20"/>
          <w:szCs w:val="20"/>
        </w:rPr>
        <w:t xml:space="preserve">There is an opportunity to clarify the process </w:t>
      </w:r>
      <w:r w:rsidR="00EF2B92">
        <w:rPr>
          <w:sz w:val="20"/>
          <w:szCs w:val="20"/>
        </w:rPr>
        <w:t>around coal allocations in the coal p</w:t>
      </w:r>
      <w:r>
        <w:rPr>
          <w:sz w:val="20"/>
          <w:szCs w:val="20"/>
        </w:rPr>
        <w:t>olicy development to be undertaken in 2016.</w:t>
      </w:r>
    </w:p>
    <w:p w:rsidR="005B7843" w:rsidRDefault="005B7843" w:rsidP="00436F16">
      <w:pPr>
        <w:pStyle w:val="Bullet"/>
        <w:numPr>
          <w:ilvl w:val="0"/>
          <w:numId w:val="0"/>
        </w:numPr>
        <w:ind w:left="397" w:hanging="397"/>
        <w:sectPr w:rsidR="005B7843" w:rsidSect="00B550DF">
          <w:footerReference w:type="even" r:id="rId10"/>
          <w:footerReference w:type="default" r:id="rId11"/>
          <w:footerReference w:type="first" r:id="rId12"/>
          <w:type w:val="continuous"/>
          <w:pgSz w:w="11906" w:h="16838" w:code="9"/>
          <w:pgMar w:top="1418" w:right="1418" w:bottom="1418" w:left="1418" w:header="709" w:footer="709" w:gutter="567"/>
          <w:pgNumType w:fmt="lowerRoman" w:start="1"/>
          <w:cols w:space="708"/>
          <w:titlePg/>
          <w:docGrid w:linePitch="360"/>
        </w:sectPr>
      </w:pPr>
    </w:p>
    <w:p w:rsidR="00B550DF" w:rsidRDefault="00B550DF"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1F0FD6" w:rsidRDefault="001F0FD6" w:rsidP="00B550DF">
      <w:pPr>
        <w:pStyle w:val="Bullet"/>
        <w:numPr>
          <w:ilvl w:val="0"/>
          <w:numId w:val="0"/>
        </w:numPr>
        <w:ind w:left="397" w:hanging="397"/>
        <w:rPr>
          <w:rFonts w:asciiTheme="minorHAnsi" w:hAnsiTheme="minorHAnsi"/>
          <w:b/>
          <w:sz w:val="22"/>
        </w:rPr>
      </w:pPr>
    </w:p>
    <w:p w:rsidR="00B550DF" w:rsidRPr="00B550DF" w:rsidRDefault="00B550DF" w:rsidP="00B550DF">
      <w:pPr>
        <w:pStyle w:val="Bullet"/>
        <w:numPr>
          <w:ilvl w:val="0"/>
          <w:numId w:val="0"/>
        </w:numPr>
        <w:ind w:left="397" w:hanging="397"/>
        <w:rPr>
          <w:rFonts w:asciiTheme="minorHAnsi" w:hAnsiTheme="minorHAnsi"/>
          <w:b/>
          <w:sz w:val="22"/>
        </w:rPr>
      </w:pPr>
      <w:r>
        <w:rPr>
          <w:rFonts w:asciiTheme="minorHAnsi" w:hAnsiTheme="minorHAnsi"/>
          <w:b/>
          <w:sz w:val="22"/>
        </w:rPr>
        <w:t>Disclaimer</w:t>
      </w:r>
    </w:p>
    <w:p w:rsidR="00B550DF" w:rsidRPr="00B550DF" w:rsidRDefault="001F0FD6" w:rsidP="00B550DF">
      <w:pPr>
        <w:pStyle w:val="Bullet"/>
        <w:numPr>
          <w:ilvl w:val="0"/>
          <w:numId w:val="0"/>
        </w:numPr>
        <w:tabs>
          <w:tab w:val="clear" w:pos="397"/>
        </w:tabs>
        <w:jc w:val="left"/>
        <w:rPr>
          <w:rFonts w:asciiTheme="minorHAnsi" w:hAnsiTheme="minorHAnsi"/>
          <w:sz w:val="22"/>
        </w:rPr>
      </w:pPr>
      <w:r>
        <w:rPr>
          <w:rFonts w:asciiTheme="minorHAnsi" w:hAnsiTheme="minorHAnsi"/>
          <w:sz w:val="22"/>
        </w:rPr>
        <w:t>The Review final report was</w:t>
      </w:r>
      <w:r w:rsidR="00B550DF" w:rsidRPr="00B550DF">
        <w:rPr>
          <w:rFonts w:asciiTheme="minorHAnsi" w:hAnsiTheme="minorHAnsi"/>
          <w:sz w:val="22"/>
        </w:rPr>
        <w:t xml:space="preserve"> prepared by RDME Pty Ltd (trading as RDME Consulting) in conjunction with the Victorian Department of Premier and Cabinet.  The report is advice of a ge</w:t>
      </w:r>
      <w:r>
        <w:rPr>
          <w:rFonts w:asciiTheme="minorHAnsi" w:hAnsiTheme="minorHAnsi"/>
          <w:sz w:val="22"/>
        </w:rPr>
        <w:t>neral nature only. The advice was</w:t>
      </w:r>
      <w:r w:rsidR="00B550DF" w:rsidRPr="00B550DF">
        <w:rPr>
          <w:rFonts w:asciiTheme="minorHAnsi" w:hAnsiTheme="minorHAnsi"/>
          <w:sz w:val="22"/>
        </w:rPr>
        <w:t xml:space="preserve"> prepared on the basis of the documentation and information provided to the Reviewer by the Department. No warranty of the accuracy of reliability of the information in this report is give</w:t>
      </w:r>
      <w:r w:rsidR="005B7843">
        <w:rPr>
          <w:rFonts w:asciiTheme="minorHAnsi" w:hAnsiTheme="minorHAnsi"/>
          <w:sz w:val="22"/>
        </w:rPr>
        <w:t>n</w:t>
      </w:r>
      <w:r w:rsidR="00B550DF" w:rsidRPr="00B550DF">
        <w:rPr>
          <w:rFonts w:asciiTheme="minorHAnsi" w:hAnsiTheme="minorHAnsi"/>
          <w:sz w:val="22"/>
        </w:rPr>
        <w:t xml:space="preserve"> by RDME Pty Ltd. Any reliance placed by the Department or any other party on this information is the sole responsibility of that party.</w:t>
      </w:r>
    </w:p>
    <w:sectPr w:rsidR="00B550DF" w:rsidRPr="00B550DF" w:rsidSect="005B7843">
      <w:footerReference w:type="first" r:id="rId13"/>
      <w:pgSz w:w="11906" w:h="16838" w:code="9"/>
      <w:pgMar w:top="1418" w:right="1418" w:bottom="1418" w:left="1418" w:header="709" w:footer="709" w:gutter="567"/>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CA2" w:rsidRDefault="00DE0CA2">
      <w:r>
        <w:separator/>
      </w:r>
    </w:p>
    <w:p w:rsidR="00DE0CA2" w:rsidRDefault="00DE0CA2"/>
  </w:endnote>
  <w:endnote w:type="continuationSeparator" w:id="0">
    <w:p w:rsidR="00DE0CA2" w:rsidRDefault="00DE0CA2">
      <w:r>
        <w:continuationSeparator/>
      </w:r>
    </w:p>
    <w:p w:rsidR="00DE0CA2" w:rsidRDefault="00DE0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E6" w:rsidRPr="00426A32" w:rsidRDefault="00F03BE6" w:rsidP="000E7CC1">
    <w:pPr>
      <w:pStyle w:val="Footer"/>
      <w:pBdr>
        <w:top w:val="single" w:sz="6" w:space="4" w:color="6D5E51" w:themeColor="background1"/>
      </w:pBdr>
      <w:tabs>
        <w:tab w:val="clear" w:pos="4153"/>
        <w:tab w:val="clear" w:pos="8460"/>
        <w:tab w:val="right" w:pos="8505"/>
      </w:tabs>
    </w:pPr>
    <w:r>
      <w:fldChar w:fldCharType="begin"/>
    </w:r>
    <w:r>
      <w:instrText xml:space="preserve"> PAGE </w:instrText>
    </w:r>
    <w:r>
      <w:fldChar w:fldCharType="separate"/>
    </w:r>
    <w:r w:rsidR="00A376E1">
      <w:rPr>
        <w:noProof/>
      </w:rPr>
      <w:t>ii</w:t>
    </w:r>
    <w:r>
      <w:fldChar w:fldCharType="end"/>
    </w:r>
    <w:r w:rsidRPr="000E7CC1">
      <w:t xml:space="preserve"> </w:t>
    </w:r>
    <w:r>
      <w:tab/>
      <w:t>Review of brown coal projects and programs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E6" w:rsidRPr="00C826E6" w:rsidRDefault="00F03BE6" w:rsidP="00A87B83">
    <w:pPr>
      <w:pStyle w:val="Footer"/>
      <w:pBdr>
        <w:top w:val="single" w:sz="6" w:space="4" w:color="6D5E51" w:themeColor="background1"/>
      </w:pBdr>
      <w:tabs>
        <w:tab w:val="clear" w:pos="4153"/>
        <w:tab w:val="clear" w:pos="8460"/>
        <w:tab w:val="right" w:pos="8505"/>
      </w:tabs>
    </w:pPr>
    <w:r>
      <w:t>Summary</w:t>
    </w:r>
    <w:r w:rsidRPr="00B167AF">
      <w:t xml:space="preserve"> </w:t>
    </w:r>
    <w:r>
      <w:tab/>
    </w:r>
    <w:r w:rsidRPr="00B167AF">
      <w:fldChar w:fldCharType="begin"/>
    </w:r>
    <w:r w:rsidRPr="00B167AF">
      <w:instrText xml:space="preserve"> PAGE </w:instrText>
    </w:r>
    <w:r w:rsidRPr="00B167AF">
      <w:fldChar w:fldCharType="separate"/>
    </w:r>
    <w:r w:rsidR="00A376E1">
      <w:rPr>
        <w:noProof/>
      </w:rPr>
      <w:t>ix</w:t>
    </w:r>
    <w:r w:rsidRPr="00B167A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E6" w:rsidRDefault="00F03BE6">
    <w:pPr>
      <w:pStyle w:val="Footer"/>
    </w:pPr>
    <w:r>
      <w:t>Summary</w:t>
    </w:r>
    <w:r>
      <w:tab/>
    </w:r>
    <w:r>
      <w:tab/>
    </w:r>
    <w:r>
      <w:fldChar w:fldCharType="begin"/>
    </w:r>
    <w:r>
      <w:instrText xml:space="preserve"> PAGE </w:instrText>
    </w:r>
    <w:r>
      <w:fldChar w:fldCharType="separate"/>
    </w:r>
    <w:r w:rsidR="00A376E1">
      <w:rPr>
        <w:noProof/>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E6" w:rsidRPr="005B7843" w:rsidRDefault="00F03BE6" w:rsidP="005B7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CA2" w:rsidRDefault="00DE0CA2" w:rsidP="0097770C">
      <w:pPr>
        <w:pStyle w:val="FootnoteText"/>
      </w:pPr>
      <w:r>
        <w:separator/>
      </w:r>
    </w:p>
  </w:footnote>
  <w:footnote w:type="continuationSeparator" w:id="0">
    <w:p w:rsidR="00DE0CA2" w:rsidRDefault="00DE0CA2" w:rsidP="0097770C">
      <w:pPr>
        <w:pStyle w:val="FootnoteText"/>
      </w:pPr>
      <w:r>
        <w:continuationSeparator/>
      </w:r>
    </w:p>
  </w:footnote>
  <w:footnote w:type="continuationNotice" w:id="1">
    <w:p w:rsidR="00DE0CA2" w:rsidRDefault="00DE0CA2" w:rsidP="0097770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F26"/>
    <w:multiLevelType w:val="multilevel"/>
    <w:tmpl w:val="CCC8AAF4"/>
    <w:lvl w:ilvl="0">
      <w:start w:val="1"/>
      <w:numFmt w:val="upperLetter"/>
      <w:pStyle w:val="Appendix"/>
      <w:lvlText w:val="Appendix %1:"/>
      <w:lvlJc w:val="left"/>
      <w:pPr>
        <w:tabs>
          <w:tab w:val="num" w:pos="1134"/>
        </w:tabs>
        <w:ind w:left="2892" w:hanging="2892"/>
      </w:pPr>
      <w:rPr>
        <w:rFonts w:hint="default"/>
      </w:rPr>
    </w:lvl>
    <w:lvl w:ilvl="1">
      <w:start w:val="1"/>
      <w:numFmt w:val="decimal"/>
      <w:lvlText w:val="Table %1.%2"/>
      <w:lvlJc w:val="left"/>
      <w:pPr>
        <w:tabs>
          <w:tab w:val="num" w:pos="1701"/>
        </w:tabs>
        <w:ind w:left="1701" w:hanging="1701"/>
      </w:pPr>
      <w:rPr>
        <w:rFonts w:hint="default"/>
        <w:b w:val="0"/>
        <w:i w:val="0"/>
      </w:rPr>
    </w:lvl>
    <w:lvl w:ilvl="2">
      <w:start w:val="1"/>
      <w:numFmt w:val="decimal"/>
      <w:lvlText w:val="%1.%2.%3"/>
      <w:lvlJc w:val="left"/>
      <w:pPr>
        <w:tabs>
          <w:tab w:val="num" w:pos="1440"/>
        </w:tabs>
        <w:ind w:left="1134" w:hanging="1134"/>
      </w:pPr>
      <w:rPr>
        <w:rFonts w:hint="default"/>
      </w:rPr>
    </w:lvl>
    <w:lvl w:ilvl="3">
      <w:start w:val="1"/>
      <w:numFmt w:val="decimal"/>
      <w:lvlText w:val="%1.%2.%3.%4"/>
      <w:lvlJc w:val="left"/>
      <w:pPr>
        <w:tabs>
          <w:tab w:val="num" w:pos="2160"/>
        </w:tabs>
        <w:ind w:left="864" w:hanging="864"/>
      </w:pPr>
      <w:rPr>
        <w:rFonts w:hint="default"/>
      </w:rPr>
    </w:lvl>
    <w:lvl w:ilvl="4">
      <w:start w:val="1"/>
      <w:numFmt w:val="decimal"/>
      <w:lvlText w:val="%1.%2.%3.%4.%5"/>
      <w:lvlJc w:val="left"/>
      <w:pPr>
        <w:tabs>
          <w:tab w:val="num" w:pos="2520"/>
        </w:tabs>
        <w:ind w:left="1008" w:hanging="1008"/>
      </w:pPr>
      <w:rPr>
        <w:rFonts w:hint="default"/>
      </w:rPr>
    </w:lvl>
    <w:lvl w:ilvl="5">
      <w:start w:val="1"/>
      <w:numFmt w:val="decimal"/>
      <w:lvlText w:val="%1.%2.%3.%4.%5.%6"/>
      <w:lvlJc w:val="left"/>
      <w:pPr>
        <w:tabs>
          <w:tab w:val="num" w:pos="2880"/>
        </w:tabs>
        <w:ind w:left="1152" w:hanging="1152"/>
      </w:pPr>
      <w:rPr>
        <w:rFonts w:hint="default"/>
      </w:rPr>
    </w:lvl>
    <w:lvl w:ilvl="6">
      <w:start w:val="1"/>
      <w:numFmt w:val="decimal"/>
      <w:lvlText w:val="%1.%2.%3.%4.%5.%6.%7"/>
      <w:lvlJc w:val="left"/>
      <w:pPr>
        <w:tabs>
          <w:tab w:val="num" w:pos="36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4F72ABE"/>
    <w:multiLevelType w:val="hybridMultilevel"/>
    <w:tmpl w:val="EC5E7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2310D9"/>
    <w:multiLevelType w:val="hybridMultilevel"/>
    <w:tmpl w:val="ED5C68D8"/>
    <w:lvl w:ilvl="0" w:tplc="B2448FD2">
      <w:start w:val="1"/>
      <w:numFmt w:val="decimal"/>
      <w:pStyle w:val="Numbering"/>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DDF43CD"/>
    <w:multiLevelType w:val="hybridMultilevel"/>
    <w:tmpl w:val="773E253E"/>
    <w:lvl w:ilvl="0" w:tplc="E98085B8">
      <w:start w:val="1"/>
      <w:numFmt w:val="bullet"/>
      <w:pStyle w:val="TableBullet"/>
      <w:lvlText w:val=""/>
      <w:lvlJc w:val="left"/>
      <w:pPr>
        <w:tabs>
          <w:tab w:val="num" w:pos="284"/>
        </w:tabs>
        <w:ind w:left="284" w:hanging="28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0320A12"/>
    <w:multiLevelType w:val="hybridMultilevel"/>
    <w:tmpl w:val="F4EE0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3CD5290"/>
    <w:multiLevelType w:val="hybridMultilevel"/>
    <w:tmpl w:val="3F923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1D17C6"/>
    <w:multiLevelType w:val="hybridMultilevel"/>
    <w:tmpl w:val="73C02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166ADB"/>
    <w:multiLevelType w:val="hybridMultilevel"/>
    <w:tmpl w:val="220C84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AAC6F42"/>
    <w:multiLevelType w:val="multilevel"/>
    <w:tmpl w:val="69CADF12"/>
    <w:lvl w:ilvl="0">
      <w:start w:val="1"/>
      <w:numFmt w:val="bullet"/>
      <w:pStyle w:val="Bullet"/>
      <w:lvlText w:val=""/>
      <w:lvlJc w:val="left"/>
      <w:pPr>
        <w:ind w:left="397" w:hanging="397"/>
      </w:pPr>
      <w:rPr>
        <w:rFonts w:ascii="Symbol" w:hAnsi="Symbol" w:hint="default"/>
      </w:rPr>
    </w:lvl>
    <w:lvl w:ilvl="1">
      <w:start w:val="1"/>
      <w:numFmt w:val="bullet"/>
      <w:pStyle w:val="BulletNumbering2"/>
      <w:lvlText w:val="–"/>
      <w:lvlJc w:val="left"/>
      <w:pPr>
        <w:ind w:left="794" w:hanging="397"/>
      </w:pPr>
      <w:rPr>
        <w:rFonts w:ascii="Century Gothic" w:hAnsi="Century Gothic" w:hint="default"/>
      </w:rPr>
    </w:lvl>
    <w:lvl w:ilvl="2">
      <w:start w:val="1"/>
      <w:numFmt w:val="bullet"/>
      <w:lvlText w:val=""/>
      <w:lvlJc w:val="left"/>
      <w:pPr>
        <w:ind w:left="2370" w:hanging="360"/>
      </w:pPr>
      <w:rPr>
        <w:rFonts w:ascii="Wingdings" w:hAnsi="Wingdings" w:hint="default"/>
      </w:rPr>
    </w:lvl>
    <w:lvl w:ilvl="3">
      <w:start w:val="1"/>
      <w:numFmt w:val="bullet"/>
      <w:lvlText w:val=""/>
      <w:lvlJc w:val="left"/>
      <w:pPr>
        <w:ind w:left="3090" w:hanging="360"/>
      </w:pPr>
      <w:rPr>
        <w:rFonts w:ascii="Symbol" w:hAnsi="Symbol" w:hint="default"/>
      </w:rPr>
    </w:lvl>
    <w:lvl w:ilvl="4">
      <w:start w:val="1"/>
      <w:numFmt w:val="bullet"/>
      <w:lvlText w:val="o"/>
      <w:lvlJc w:val="left"/>
      <w:pPr>
        <w:ind w:left="3810" w:hanging="360"/>
      </w:pPr>
      <w:rPr>
        <w:rFonts w:ascii="Courier New" w:hAnsi="Courier New" w:cs="Courier New" w:hint="default"/>
      </w:rPr>
    </w:lvl>
    <w:lvl w:ilvl="5">
      <w:start w:val="1"/>
      <w:numFmt w:val="bullet"/>
      <w:lvlText w:val=""/>
      <w:lvlJc w:val="left"/>
      <w:pPr>
        <w:ind w:left="4530" w:hanging="360"/>
      </w:pPr>
      <w:rPr>
        <w:rFonts w:ascii="Wingdings" w:hAnsi="Wingdings" w:hint="default"/>
      </w:rPr>
    </w:lvl>
    <w:lvl w:ilvl="6">
      <w:start w:val="1"/>
      <w:numFmt w:val="bullet"/>
      <w:lvlText w:val=""/>
      <w:lvlJc w:val="left"/>
      <w:pPr>
        <w:ind w:left="5250" w:hanging="360"/>
      </w:pPr>
      <w:rPr>
        <w:rFonts w:ascii="Symbol" w:hAnsi="Symbol" w:hint="default"/>
      </w:rPr>
    </w:lvl>
    <w:lvl w:ilvl="7">
      <w:start w:val="1"/>
      <w:numFmt w:val="bullet"/>
      <w:lvlText w:val="o"/>
      <w:lvlJc w:val="left"/>
      <w:pPr>
        <w:ind w:left="5970" w:hanging="360"/>
      </w:pPr>
      <w:rPr>
        <w:rFonts w:ascii="Courier New" w:hAnsi="Courier New" w:cs="Courier New" w:hint="default"/>
      </w:rPr>
    </w:lvl>
    <w:lvl w:ilvl="8">
      <w:start w:val="1"/>
      <w:numFmt w:val="bullet"/>
      <w:lvlText w:val=""/>
      <w:lvlJc w:val="left"/>
      <w:pPr>
        <w:ind w:left="6690" w:hanging="360"/>
      </w:pPr>
      <w:rPr>
        <w:rFonts w:ascii="Wingdings" w:hAnsi="Wingdings" w:hint="default"/>
      </w:rPr>
    </w:lvl>
  </w:abstractNum>
  <w:abstractNum w:abstractNumId="9">
    <w:nsid w:val="1C907011"/>
    <w:multiLevelType w:val="hybridMultilevel"/>
    <w:tmpl w:val="5EAC7160"/>
    <w:lvl w:ilvl="0" w:tplc="610A3FAE">
      <w:start w:val="1"/>
      <w:numFmt w:val="bullet"/>
      <w:pStyle w:val="Reddash"/>
      <w:lvlText w:val="-"/>
      <w:lvlJc w:val="left"/>
      <w:pPr>
        <w:tabs>
          <w:tab w:val="num" w:pos="680"/>
        </w:tabs>
        <w:ind w:left="680" w:hanging="283"/>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18103A7"/>
    <w:multiLevelType w:val="hybridMultilevel"/>
    <w:tmpl w:val="7BAC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C47D43"/>
    <w:multiLevelType w:val="multilevel"/>
    <w:tmpl w:val="0C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324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pStyle w:val="Heading6"/>
      <w:lvlText w:val="%6)"/>
      <w:lvlJc w:val="left"/>
      <w:pPr>
        <w:tabs>
          <w:tab w:val="num" w:pos="144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728"/>
        </w:tabs>
        <w:ind w:left="1440" w:hanging="432"/>
      </w:pPr>
    </w:lvl>
    <w:lvl w:ilvl="8">
      <w:start w:val="1"/>
      <w:numFmt w:val="lowerRoman"/>
      <w:pStyle w:val="Heading9"/>
      <w:lvlText w:val="%9."/>
      <w:lvlJc w:val="right"/>
      <w:pPr>
        <w:tabs>
          <w:tab w:val="num" w:pos="1584"/>
        </w:tabs>
        <w:ind w:left="1584" w:hanging="144"/>
      </w:pPr>
    </w:lvl>
  </w:abstractNum>
  <w:abstractNum w:abstractNumId="12">
    <w:nsid w:val="237E55A6"/>
    <w:multiLevelType w:val="hybridMultilevel"/>
    <w:tmpl w:val="0B4A5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0A39BB"/>
    <w:multiLevelType w:val="hybridMultilevel"/>
    <w:tmpl w:val="103C44B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4">
    <w:nsid w:val="323D7A40"/>
    <w:multiLevelType w:val="hybridMultilevel"/>
    <w:tmpl w:val="97D2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C90E38"/>
    <w:multiLevelType w:val="hybridMultilevel"/>
    <w:tmpl w:val="4D3A3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4370EC"/>
    <w:multiLevelType w:val="hybridMultilevel"/>
    <w:tmpl w:val="C4C20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3064D5"/>
    <w:multiLevelType w:val="hybridMultilevel"/>
    <w:tmpl w:val="F4F4DCC6"/>
    <w:lvl w:ilvl="0" w:tplc="3706406A">
      <w:start w:val="1"/>
      <w:numFmt w:val="bullet"/>
      <w:pStyle w:val="Box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8">
    <w:nsid w:val="40263FFA"/>
    <w:multiLevelType w:val="multilevel"/>
    <w:tmpl w:val="0C09001D"/>
    <w:styleLink w:val="FEBulletList"/>
    <w:lvl w:ilvl="0">
      <w:start w:val="1"/>
      <w:numFmt w:val="bullet"/>
      <w:pStyle w:val="FEBullet2"/>
      <w:lvlText w:val="●"/>
      <w:lvlJc w:val="left"/>
      <w:pPr>
        <w:ind w:left="360" w:hanging="360"/>
      </w:pPr>
      <w:rPr>
        <w:rFonts w:ascii="Garamond" w:hAnsi="Garamond" w:hint="default"/>
        <w:color w:val="003366" w:themeColor="text2"/>
      </w:rPr>
    </w:lvl>
    <w:lvl w:ilvl="1">
      <w:start w:val="1"/>
      <w:numFmt w:val="bullet"/>
      <w:lvlText w:val=""/>
      <w:lvlJc w:val="left"/>
      <w:pPr>
        <w:ind w:left="720" w:hanging="360"/>
      </w:pPr>
      <w:rPr>
        <w:rFonts w:ascii="Wingdings" w:hAnsi="Wingdings" w:hint="default"/>
        <w:color w:val="003366" w:themeColor="text2"/>
        <w:sz w:val="12"/>
      </w:rPr>
    </w:lvl>
    <w:lvl w:ilvl="2">
      <w:start w:val="1"/>
      <w:numFmt w:val="bullet"/>
      <w:lvlText w:val=""/>
      <w:lvlJc w:val="left"/>
      <w:pPr>
        <w:ind w:left="1080" w:hanging="360"/>
      </w:pPr>
      <w:rPr>
        <w:rFonts w:ascii="Symbol" w:hAnsi="Symbol" w:hint="default"/>
        <w:color w:val="003366" w:themeColor="text2"/>
      </w:rPr>
    </w:lvl>
    <w:lvl w:ilvl="3">
      <w:start w:val="1"/>
      <w:numFmt w:val="bullet"/>
      <w:lvlText w:val=""/>
      <w:lvlJc w:val="left"/>
      <w:pPr>
        <w:ind w:left="1440" w:hanging="360"/>
      </w:pPr>
      <w:rPr>
        <w:rFonts w:ascii="Symbol" w:hAnsi="Symbol" w:hint="default"/>
        <w:color w:val="003366" w:themeColor="text2"/>
      </w:rPr>
    </w:lvl>
    <w:lvl w:ilvl="4">
      <w:start w:val="1"/>
      <w:numFmt w:val="bullet"/>
      <w:lvlText w:val=""/>
      <w:lvlJc w:val="left"/>
      <w:pPr>
        <w:ind w:left="1800" w:hanging="360"/>
      </w:pPr>
      <w:rPr>
        <w:rFonts w:ascii="Symbol" w:hAnsi="Symbol" w:hint="default"/>
        <w:color w:val="003366" w:themeColor="text2"/>
      </w:rPr>
    </w:lvl>
    <w:lvl w:ilvl="5">
      <w:start w:val="1"/>
      <w:numFmt w:val="bullet"/>
      <w:lvlText w:val=""/>
      <w:lvlJc w:val="left"/>
      <w:pPr>
        <w:ind w:left="2160" w:hanging="360"/>
      </w:pPr>
      <w:rPr>
        <w:rFonts w:ascii="Symbol" w:hAnsi="Symbol" w:hint="default"/>
        <w:color w:val="003366" w:themeColor="text2"/>
      </w:rPr>
    </w:lvl>
    <w:lvl w:ilvl="6">
      <w:start w:val="1"/>
      <w:numFmt w:val="bullet"/>
      <w:lvlText w:val=""/>
      <w:lvlJc w:val="left"/>
      <w:pPr>
        <w:ind w:left="2520" w:hanging="360"/>
      </w:pPr>
      <w:rPr>
        <w:rFonts w:ascii="Symbol" w:hAnsi="Symbol" w:hint="default"/>
        <w:color w:val="003366" w:themeColor="text2"/>
      </w:rPr>
    </w:lvl>
    <w:lvl w:ilvl="7">
      <w:start w:val="1"/>
      <w:numFmt w:val="bullet"/>
      <w:lvlText w:val=""/>
      <w:lvlJc w:val="left"/>
      <w:pPr>
        <w:ind w:left="2880" w:hanging="360"/>
      </w:pPr>
      <w:rPr>
        <w:rFonts w:ascii="Symbol" w:hAnsi="Symbol" w:hint="default"/>
        <w:color w:val="003366" w:themeColor="text2"/>
      </w:rPr>
    </w:lvl>
    <w:lvl w:ilvl="8">
      <w:start w:val="1"/>
      <w:numFmt w:val="bullet"/>
      <w:lvlText w:val=""/>
      <w:lvlJc w:val="left"/>
      <w:pPr>
        <w:ind w:left="3240" w:hanging="360"/>
      </w:pPr>
      <w:rPr>
        <w:rFonts w:ascii="Symbol" w:hAnsi="Symbol" w:hint="default"/>
        <w:color w:val="003366" w:themeColor="text2"/>
      </w:rPr>
    </w:lvl>
  </w:abstractNum>
  <w:abstractNum w:abstractNumId="19">
    <w:nsid w:val="41B2037E"/>
    <w:multiLevelType w:val="hybridMultilevel"/>
    <w:tmpl w:val="ABFC5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B3F61F3"/>
    <w:multiLevelType w:val="hybridMultilevel"/>
    <w:tmpl w:val="E49AA39C"/>
    <w:lvl w:ilvl="0" w:tplc="45901F6A">
      <w:start w:val="1"/>
      <w:numFmt w:val="bullet"/>
      <w:pStyle w:val="BoxBullet2"/>
      <w:lvlText w:val="–"/>
      <w:lvlJc w:val="left"/>
      <w:pPr>
        <w:ind w:left="891" w:hanging="360"/>
      </w:pPr>
      <w:rPr>
        <w:rFonts w:ascii="Century Gothic" w:hAnsi="Century Gothic" w:hint="default"/>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cs="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cs="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21">
    <w:nsid w:val="4B48533C"/>
    <w:multiLevelType w:val="hybridMultilevel"/>
    <w:tmpl w:val="EE04C2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BEA03AE"/>
    <w:multiLevelType w:val="multilevel"/>
    <w:tmpl w:val="3F7A857C"/>
    <w:lvl w:ilvl="0">
      <w:start w:val="1"/>
      <w:numFmt w:val="decimal"/>
      <w:pStyle w:val="Heading1"/>
      <w:lvlText w:val="%1"/>
      <w:lvlJc w:val="left"/>
      <w:pPr>
        <w:tabs>
          <w:tab w:val="num" w:pos="1134"/>
        </w:tabs>
        <w:ind w:left="1134" w:hanging="1134"/>
      </w:pPr>
      <w:rPr>
        <w:rFonts w:hint="default"/>
        <w:b/>
        <w:i w:val="0"/>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lvlRestart w:val="0"/>
      <w:pStyle w:val="TableHeading"/>
      <w:lvlText w:val="Table %1.%4"/>
      <w:lvlJc w:val="left"/>
      <w:pPr>
        <w:tabs>
          <w:tab w:val="num" w:pos="1701"/>
        </w:tabs>
        <w:ind w:left="1701" w:hanging="1701"/>
      </w:pPr>
      <w:rPr>
        <w:rFonts w:hint="default"/>
        <w:b/>
        <w:i w:val="0"/>
      </w:rPr>
    </w:lvl>
    <w:lvl w:ilvl="4">
      <w:start w:val="1"/>
      <w:numFmt w:val="decimal"/>
      <w:lvlRestart w:val="0"/>
      <w:lvlText w:val="Figure %1.%5"/>
      <w:lvlJc w:val="left"/>
      <w:pPr>
        <w:tabs>
          <w:tab w:val="num" w:pos="1701"/>
        </w:tabs>
        <w:ind w:left="1701" w:hanging="1701"/>
      </w:pPr>
      <w:rPr>
        <w:rFonts w:hint="default"/>
        <w:b/>
        <w:i w:val="0"/>
      </w:rPr>
    </w:lvl>
    <w:lvl w:ilvl="5">
      <w:start w:val="1"/>
      <w:numFmt w:val="decimal"/>
      <w:lvlRestart w:val="0"/>
      <w:pStyle w:val="BoxHeading"/>
      <w:lvlText w:val="Box %1.%6"/>
      <w:lvlJc w:val="left"/>
      <w:pPr>
        <w:tabs>
          <w:tab w:val="num" w:pos="1474"/>
        </w:tabs>
        <w:ind w:left="1474" w:hanging="1474"/>
      </w:pPr>
      <w:rPr>
        <w:rFonts w:hint="default"/>
        <w:b/>
        <w:i w:val="0"/>
      </w:rPr>
    </w:lvl>
    <w:lvl w:ilvl="6">
      <w:start w:val="1"/>
      <w:numFmt w:val="decimal"/>
      <w:lvlRestart w:val="1"/>
      <w:pStyle w:val="Recommendationheading"/>
      <w:suff w:val="nothing"/>
      <w:lvlText w:val="Recommendation %1.%7"/>
      <w:lvlJc w:val="left"/>
      <w:pPr>
        <w:ind w:left="0" w:firstLine="0"/>
      </w:pPr>
      <w:rPr>
        <w:rFonts w:hint="default"/>
        <w:b/>
        <w:i w:val="0"/>
      </w:rPr>
    </w:lvl>
    <w:lvl w:ilvl="7">
      <w:start w:val="1"/>
      <w:numFmt w:val="decimal"/>
      <w:lvlText w:val="%7%1.%8"/>
      <w:lvlJc w:val="left"/>
      <w:pPr>
        <w:tabs>
          <w:tab w:val="num" w:pos="1174"/>
        </w:tabs>
        <w:ind w:left="1021" w:hanging="567"/>
      </w:pPr>
      <w:rPr>
        <w:rFonts w:hint="default"/>
      </w:rPr>
    </w:lvl>
    <w:lvl w:ilvl="8">
      <w:start w:val="1"/>
      <w:numFmt w:val="decimal"/>
      <w:lvlText w:val="%7%1.%8.%9"/>
      <w:lvlJc w:val="left"/>
      <w:pPr>
        <w:tabs>
          <w:tab w:val="num" w:pos="1814"/>
        </w:tabs>
        <w:ind w:left="1814" w:hanging="793"/>
      </w:pPr>
      <w:rPr>
        <w:rFonts w:hint="default"/>
        <w:sz w:val="24"/>
      </w:rPr>
    </w:lvl>
  </w:abstractNum>
  <w:abstractNum w:abstractNumId="23">
    <w:nsid w:val="6127676B"/>
    <w:multiLevelType w:val="hybridMultilevel"/>
    <w:tmpl w:val="5DEA2D6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nsid w:val="6B7F45BA"/>
    <w:multiLevelType w:val="hybridMultilevel"/>
    <w:tmpl w:val="F6329B9C"/>
    <w:lvl w:ilvl="0" w:tplc="C742ECDA">
      <w:start w:val="1"/>
      <w:numFmt w:val="bullet"/>
      <w:pStyle w:val="TableBullet2"/>
      <w:lvlText w:val="–"/>
      <w:lvlJc w:val="left"/>
      <w:pPr>
        <w:tabs>
          <w:tab w:val="num" w:pos="680"/>
        </w:tabs>
        <w:ind w:left="680" w:hanging="283"/>
      </w:pPr>
      <w:rPr>
        <w:rFonts w:ascii="Garamond" w:hAnsi="Garamond"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38790C"/>
    <w:multiLevelType w:val="hybridMultilevel"/>
    <w:tmpl w:val="7898F444"/>
    <w:lvl w:ilvl="0" w:tplc="834A578C">
      <w:start w:val="1"/>
      <w:numFmt w:val="decimal"/>
      <w:pStyle w:val="BoxNumbering"/>
      <w:lvlText w:val="(%1)"/>
      <w:lvlJc w:val="left"/>
      <w:pPr>
        <w:tabs>
          <w:tab w:val="num" w:pos="567"/>
        </w:tabs>
        <w:ind w:left="567" w:hanging="567"/>
      </w:pPr>
      <w:rPr>
        <w:rFonts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56036FB"/>
    <w:multiLevelType w:val="multilevel"/>
    <w:tmpl w:val="0C09001D"/>
    <w:numStyleLink w:val="FEBulletList"/>
  </w:abstractNum>
  <w:abstractNum w:abstractNumId="27">
    <w:nsid w:val="77E311DA"/>
    <w:multiLevelType w:val="hybridMultilevel"/>
    <w:tmpl w:val="04B862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25"/>
  </w:num>
  <w:num w:numId="3">
    <w:abstractNumId w:val="3"/>
  </w:num>
  <w:num w:numId="4">
    <w:abstractNumId w:val="24"/>
  </w:num>
  <w:num w:numId="5">
    <w:abstractNumId w:val="11"/>
  </w:num>
  <w:num w:numId="6">
    <w:abstractNumId w:val="0"/>
  </w:num>
  <w:num w:numId="7">
    <w:abstractNumId w:val="22"/>
  </w:num>
  <w:num w:numId="8">
    <w:abstractNumId w:val="9"/>
  </w:num>
  <w:num w:numId="9">
    <w:abstractNumId w:val="17"/>
  </w:num>
  <w:num w:numId="10">
    <w:abstractNumId w:val="20"/>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14"/>
  </w:num>
  <w:num w:numId="16">
    <w:abstractNumId w:val="10"/>
  </w:num>
  <w:num w:numId="17">
    <w:abstractNumId w:val="12"/>
  </w:num>
  <w:num w:numId="18">
    <w:abstractNumId w:val="23"/>
  </w:num>
  <w:num w:numId="19">
    <w:abstractNumId w:val="16"/>
  </w:num>
  <w:num w:numId="20">
    <w:abstractNumId w:val="5"/>
  </w:num>
  <w:num w:numId="21">
    <w:abstractNumId w:val="19"/>
  </w:num>
  <w:num w:numId="22">
    <w:abstractNumId w:val="15"/>
  </w:num>
  <w:num w:numId="23">
    <w:abstractNumId w:val="18"/>
  </w:num>
  <w:num w:numId="24">
    <w:abstractNumId w:val="26"/>
  </w:num>
  <w:num w:numId="25">
    <w:abstractNumId w:val="6"/>
  </w:num>
  <w:num w:numId="26">
    <w:abstractNumId w:val="13"/>
  </w:num>
  <w:num w:numId="27">
    <w:abstractNumId w:val="27"/>
  </w:num>
  <w:num w:numId="28">
    <w:abstractNumId w:val="1"/>
  </w:num>
  <w:num w:numId="29">
    <w:abstractNumId w:val="21"/>
  </w:num>
  <w:num w:numId="30">
    <w:abstractNumId w:val="8"/>
  </w:num>
  <w:num w:numId="31">
    <w:abstractNumId w:val="8"/>
  </w:num>
  <w:num w:numId="32">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n-AU" w:vendorID="64" w:dllVersion="131078" w:nlCheck="1" w:checkStyle="1"/>
  <w:activeWritingStyle w:appName="MSWord" w:lang="en-AU"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7B"/>
    <w:rsid w:val="00003E82"/>
    <w:rsid w:val="00005F13"/>
    <w:rsid w:val="00006ACC"/>
    <w:rsid w:val="00006E96"/>
    <w:rsid w:val="00011EBE"/>
    <w:rsid w:val="000216CA"/>
    <w:rsid w:val="00022096"/>
    <w:rsid w:val="00023FD1"/>
    <w:rsid w:val="00026B69"/>
    <w:rsid w:val="00027F0E"/>
    <w:rsid w:val="000315DA"/>
    <w:rsid w:val="00031DAA"/>
    <w:rsid w:val="0003224F"/>
    <w:rsid w:val="00032D3F"/>
    <w:rsid w:val="00036A1D"/>
    <w:rsid w:val="000376A5"/>
    <w:rsid w:val="00042382"/>
    <w:rsid w:val="00043038"/>
    <w:rsid w:val="00045E32"/>
    <w:rsid w:val="00046807"/>
    <w:rsid w:val="00052B2D"/>
    <w:rsid w:val="00052D0A"/>
    <w:rsid w:val="00053420"/>
    <w:rsid w:val="0005737C"/>
    <w:rsid w:val="00057500"/>
    <w:rsid w:val="0006093A"/>
    <w:rsid w:val="00064628"/>
    <w:rsid w:val="00067BB0"/>
    <w:rsid w:val="00070219"/>
    <w:rsid w:val="00070883"/>
    <w:rsid w:val="00070C4D"/>
    <w:rsid w:val="0007351B"/>
    <w:rsid w:val="000758AA"/>
    <w:rsid w:val="00075F20"/>
    <w:rsid w:val="00077183"/>
    <w:rsid w:val="00080996"/>
    <w:rsid w:val="00081B25"/>
    <w:rsid w:val="00084497"/>
    <w:rsid w:val="00085B0D"/>
    <w:rsid w:val="000868CB"/>
    <w:rsid w:val="00087D58"/>
    <w:rsid w:val="00091B6F"/>
    <w:rsid w:val="00092621"/>
    <w:rsid w:val="00096478"/>
    <w:rsid w:val="000A3D5B"/>
    <w:rsid w:val="000A66AF"/>
    <w:rsid w:val="000B117D"/>
    <w:rsid w:val="000B1300"/>
    <w:rsid w:val="000B29FD"/>
    <w:rsid w:val="000B5A36"/>
    <w:rsid w:val="000B7015"/>
    <w:rsid w:val="000C0499"/>
    <w:rsid w:val="000C05B5"/>
    <w:rsid w:val="000C0674"/>
    <w:rsid w:val="000C2DD5"/>
    <w:rsid w:val="000C4200"/>
    <w:rsid w:val="000C7186"/>
    <w:rsid w:val="000D1FE8"/>
    <w:rsid w:val="000D3032"/>
    <w:rsid w:val="000D30CF"/>
    <w:rsid w:val="000D4C24"/>
    <w:rsid w:val="000D64C2"/>
    <w:rsid w:val="000E20F0"/>
    <w:rsid w:val="000E2818"/>
    <w:rsid w:val="000E2BAE"/>
    <w:rsid w:val="000E360E"/>
    <w:rsid w:val="000E3B37"/>
    <w:rsid w:val="000E6D89"/>
    <w:rsid w:val="000E7CC1"/>
    <w:rsid w:val="000F16D9"/>
    <w:rsid w:val="000F32E8"/>
    <w:rsid w:val="000F34A4"/>
    <w:rsid w:val="000F51F2"/>
    <w:rsid w:val="000F6B77"/>
    <w:rsid w:val="000F787B"/>
    <w:rsid w:val="000F7949"/>
    <w:rsid w:val="00101A9F"/>
    <w:rsid w:val="001108B7"/>
    <w:rsid w:val="00110B1A"/>
    <w:rsid w:val="00114C6F"/>
    <w:rsid w:val="00114FBD"/>
    <w:rsid w:val="0012124D"/>
    <w:rsid w:val="00121330"/>
    <w:rsid w:val="00121CF6"/>
    <w:rsid w:val="0012213A"/>
    <w:rsid w:val="001225AE"/>
    <w:rsid w:val="00123802"/>
    <w:rsid w:val="00124D3C"/>
    <w:rsid w:val="00133BB5"/>
    <w:rsid w:val="00133CDE"/>
    <w:rsid w:val="00140856"/>
    <w:rsid w:val="001420EF"/>
    <w:rsid w:val="001435DC"/>
    <w:rsid w:val="001436CF"/>
    <w:rsid w:val="001452AE"/>
    <w:rsid w:val="00150A19"/>
    <w:rsid w:val="00150ECF"/>
    <w:rsid w:val="00155368"/>
    <w:rsid w:val="001610EA"/>
    <w:rsid w:val="001620A2"/>
    <w:rsid w:val="00162B0B"/>
    <w:rsid w:val="00163359"/>
    <w:rsid w:val="001642EC"/>
    <w:rsid w:val="00170AB3"/>
    <w:rsid w:val="00173049"/>
    <w:rsid w:val="0017785A"/>
    <w:rsid w:val="00181F2C"/>
    <w:rsid w:val="001826E2"/>
    <w:rsid w:val="00193685"/>
    <w:rsid w:val="001940CE"/>
    <w:rsid w:val="00195733"/>
    <w:rsid w:val="00197842"/>
    <w:rsid w:val="001A2ACC"/>
    <w:rsid w:val="001A5D85"/>
    <w:rsid w:val="001A5EAB"/>
    <w:rsid w:val="001A78A6"/>
    <w:rsid w:val="001B0D14"/>
    <w:rsid w:val="001B1CB9"/>
    <w:rsid w:val="001B5069"/>
    <w:rsid w:val="001B58C1"/>
    <w:rsid w:val="001B5A8C"/>
    <w:rsid w:val="001C2476"/>
    <w:rsid w:val="001C6051"/>
    <w:rsid w:val="001C7450"/>
    <w:rsid w:val="001D2DC7"/>
    <w:rsid w:val="001D3735"/>
    <w:rsid w:val="001D7A78"/>
    <w:rsid w:val="001E0525"/>
    <w:rsid w:val="001E179E"/>
    <w:rsid w:val="001E6D41"/>
    <w:rsid w:val="001F071A"/>
    <w:rsid w:val="001F0FD6"/>
    <w:rsid w:val="001F1BF6"/>
    <w:rsid w:val="002007A8"/>
    <w:rsid w:val="002034F1"/>
    <w:rsid w:val="00206797"/>
    <w:rsid w:val="00206A50"/>
    <w:rsid w:val="002078DC"/>
    <w:rsid w:val="0021145E"/>
    <w:rsid w:val="00212D12"/>
    <w:rsid w:val="00215E2D"/>
    <w:rsid w:val="00220299"/>
    <w:rsid w:val="00220A7C"/>
    <w:rsid w:val="00221B8D"/>
    <w:rsid w:val="00222EDC"/>
    <w:rsid w:val="00223027"/>
    <w:rsid w:val="002311B8"/>
    <w:rsid w:val="00231BD3"/>
    <w:rsid w:val="002328D3"/>
    <w:rsid w:val="0024391B"/>
    <w:rsid w:val="00246218"/>
    <w:rsid w:val="00246619"/>
    <w:rsid w:val="00247333"/>
    <w:rsid w:val="00254838"/>
    <w:rsid w:val="00255021"/>
    <w:rsid w:val="002579DD"/>
    <w:rsid w:val="0026174A"/>
    <w:rsid w:val="00264278"/>
    <w:rsid w:val="00265731"/>
    <w:rsid w:val="00265E1D"/>
    <w:rsid w:val="00267044"/>
    <w:rsid w:val="00267C8E"/>
    <w:rsid w:val="00270E7D"/>
    <w:rsid w:val="00271004"/>
    <w:rsid w:val="002726FD"/>
    <w:rsid w:val="0027270C"/>
    <w:rsid w:val="00273135"/>
    <w:rsid w:val="00273FD2"/>
    <w:rsid w:val="00275BF0"/>
    <w:rsid w:val="00277547"/>
    <w:rsid w:val="00282649"/>
    <w:rsid w:val="00295A18"/>
    <w:rsid w:val="00297875"/>
    <w:rsid w:val="002A0016"/>
    <w:rsid w:val="002A269E"/>
    <w:rsid w:val="002A2F40"/>
    <w:rsid w:val="002A4AEE"/>
    <w:rsid w:val="002B1E00"/>
    <w:rsid w:val="002B7587"/>
    <w:rsid w:val="002C0955"/>
    <w:rsid w:val="002C134C"/>
    <w:rsid w:val="002D167B"/>
    <w:rsid w:val="002D2153"/>
    <w:rsid w:val="002D2993"/>
    <w:rsid w:val="002D2C5E"/>
    <w:rsid w:val="002D3F12"/>
    <w:rsid w:val="002D6840"/>
    <w:rsid w:val="002E030C"/>
    <w:rsid w:val="002E0A88"/>
    <w:rsid w:val="002E3597"/>
    <w:rsid w:val="002E4E07"/>
    <w:rsid w:val="002F04A9"/>
    <w:rsid w:val="002F4BD0"/>
    <w:rsid w:val="00301586"/>
    <w:rsid w:val="003027C6"/>
    <w:rsid w:val="00302C5A"/>
    <w:rsid w:val="00304C6D"/>
    <w:rsid w:val="00306588"/>
    <w:rsid w:val="003066FB"/>
    <w:rsid w:val="00310946"/>
    <w:rsid w:val="00320B1C"/>
    <w:rsid w:val="003252B9"/>
    <w:rsid w:val="003277D1"/>
    <w:rsid w:val="00330AF6"/>
    <w:rsid w:val="00335697"/>
    <w:rsid w:val="0033597B"/>
    <w:rsid w:val="00335B7F"/>
    <w:rsid w:val="00340744"/>
    <w:rsid w:val="0034580A"/>
    <w:rsid w:val="00345EA6"/>
    <w:rsid w:val="0035190E"/>
    <w:rsid w:val="00352E81"/>
    <w:rsid w:val="00357429"/>
    <w:rsid w:val="00357D7A"/>
    <w:rsid w:val="003612CA"/>
    <w:rsid w:val="0036208D"/>
    <w:rsid w:val="003627D9"/>
    <w:rsid w:val="00363A6F"/>
    <w:rsid w:val="00365129"/>
    <w:rsid w:val="003709EA"/>
    <w:rsid w:val="00372D05"/>
    <w:rsid w:val="00385EC8"/>
    <w:rsid w:val="00390A61"/>
    <w:rsid w:val="00390DD5"/>
    <w:rsid w:val="003924DA"/>
    <w:rsid w:val="00395D93"/>
    <w:rsid w:val="00395F3F"/>
    <w:rsid w:val="003A14C9"/>
    <w:rsid w:val="003A5E1E"/>
    <w:rsid w:val="003B2603"/>
    <w:rsid w:val="003B5165"/>
    <w:rsid w:val="003B58C7"/>
    <w:rsid w:val="003B6B87"/>
    <w:rsid w:val="003B6F11"/>
    <w:rsid w:val="003B7471"/>
    <w:rsid w:val="003C173A"/>
    <w:rsid w:val="003C4542"/>
    <w:rsid w:val="003D4EF2"/>
    <w:rsid w:val="003E13E4"/>
    <w:rsid w:val="003E301A"/>
    <w:rsid w:val="003E4632"/>
    <w:rsid w:val="003E7F31"/>
    <w:rsid w:val="003F12BB"/>
    <w:rsid w:val="003F1C35"/>
    <w:rsid w:val="003F1D8C"/>
    <w:rsid w:val="003F45AE"/>
    <w:rsid w:val="003F504E"/>
    <w:rsid w:val="00402721"/>
    <w:rsid w:val="00402F97"/>
    <w:rsid w:val="004042FF"/>
    <w:rsid w:val="00405DC5"/>
    <w:rsid w:val="00406336"/>
    <w:rsid w:val="00410275"/>
    <w:rsid w:val="0041091D"/>
    <w:rsid w:val="004152B3"/>
    <w:rsid w:val="00420344"/>
    <w:rsid w:val="004209BA"/>
    <w:rsid w:val="0042281B"/>
    <w:rsid w:val="004228D5"/>
    <w:rsid w:val="00424839"/>
    <w:rsid w:val="004259D3"/>
    <w:rsid w:val="0042617E"/>
    <w:rsid w:val="00426A32"/>
    <w:rsid w:val="00435292"/>
    <w:rsid w:val="00435805"/>
    <w:rsid w:val="0043641C"/>
    <w:rsid w:val="00436F16"/>
    <w:rsid w:val="00437167"/>
    <w:rsid w:val="00437A90"/>
    <w:rsid w:val="00445D86"/>
    <w:rsid w:val="0045590D"/>
    <w:rsid w:val="0046277D"/>
    <w:rsid w:val="00463747"/>
    <w:rsid w:val="004642D7"/>
    <w:rsid w:val="00464781"/>
    <w:rsid w:val="00465E36"/>
    <w:rsid w:val="00471702"/>
    <w:rsid w:val="00471D8E"/>
    <w:rsid w:val="004722FA"/>
    <w:rsid w:val="004769F7"/>
    <w:rsid w:val="004874C1"/>
    <w:rsid w:val="00490926"/>
    <w:rsid w:val="00491306"/>
    <w:rsid w:val="00493B81"/>
    <w:rsid w:val="00497BA2"/>
    <w:rsid w:val="004A0CDB"/>
    <w:rsid w:val="004B0FE6"/>
    <w:rsid w:val="004B1C06"/>
    <w:rsid w:val="004B376E"/>
    <w:rsid w:val="004B61FC"/>
    <w:rsid w:val="004B764F"/>
    <w:rsid w:val="004C03BA"/>
    <w:rsid w:val="004C3E9A"/>
    <w:rsid w:val="004C4EBA"/>
    <w:rsid w:val="004D08C7"/>
    <w:rsid w:val="004D12F7"/>
    <w:rsid w:val="004D18D5"/>
    <w:rsid w:val="004D25E5"/>
    <w:rsid w:val="004D29AD"/>
    <w:rsid w:val="004D3023"/>
    <w:rsid w:val="004D4BB9"/>
    <w:rsid w:val="004D7F31"/>
    <w:rsid w:val="004E378C"/>
    <w:rsid w:val="004E3871"/>
    <w:rsid w:val="004E3AF5"/>
    <w:rsid w:val="004F0838"/>
    <w:rsid w:val="004F14ED"/>
    <w:rsid w:val="004F159E"/>
    <w:rsid w:val="004F3CD4"/>
    <w:rsid w:val="005024CB"/>
    <w:rsid w:val="005052BD"/>
    <w:rsid w:val="00505920"/>
    <w:rsid w:val="00506BCE"/>
    <w:rsid w:val="005138D7"/>
    <w:rsid w:val="0051681E"/>
    <w:rsid w:val="00516D0C"/>
    <w:rsid w:val="0051707B"/>
    <w:rsid w:val="00526E0C"/>
    <w:rsid w:val="00527337"/>
    <w:rsid w:val="00527D86"/>
    <w:rsid w:val="00531B2B"/>
    <w:rsid w:val="00533C0B"/>
    <w:rsid w:val="00536C2A"/>
    <w:rsid w:val="00541C7C"/>
    <w:rsid w:val="005432CA"/>
    <w:rsid w:val="00546B95"/>
    <w:rsid w:val="00554445"/>
    <w:rsid w:val="00555112"/>
    <w:rsid w:val="005568AF"/>
    <w:rsid w:val="005607DB"/>
    <w:rsid w:val="0056191C"/>
    <w:rsid w:val="00563790"/>
    <w:rsid w:val="005640EE"/>
    <w:rsid w:val="00564235"/>
    <w:rsid w:val="00567579"/>
    <w:rsid w:val="0057209A"/>
    <w:rsid w:val="005732EC"/>
    <w:rsid w:val="00575FD1"/>
    <w:rsid w:val="00576BF2"/>
    <w:rsid w:val="00583A65"/>
    <w:rsid w:val="005856F7"/>
    <w:rsid w:val="005870D4"/>
    <w:rsid w:val="00591AF9"/>
    <w:rsid w:val="00592F79"/>
    <w:rsid w:val="00594B00"/>
    <w:rsid w:val="00596297"/>
    <w:rsid w:val="0059666F"/>
    <w:rsid w:val="0059698D"/>
    <w:rsid w:val="00597305"/>
    <w:rsid w:val="00597DB0"/>
    <w:rsid w:val="005A21ED"/>
    <w:rsid w:val="005A31F5"/>
    <w:rsid w:val="005A37C2"/>
    <w:rsid w:val="005B006A"/>
    <w:rsid w:val="005B042B"/>
    <w:rsid w:val="005B3152"/>
    <w:rsid w:val="005B41C7"/>
    <w:rsid w:val="005B51F1"/>
    <w:rsid w:val="005B572E"/>
    <w:rsid w:val="005B7843"/>
    <w:rsid w:val="005C0E10"/>
    <w:rsid w:val="005C169F"/>
    <w:rsid w:val="005C34F7"/>
    <w:rsid w:val="005C3872"/>
    <w:rsid w:val="005C5F40"/>
    <w:rsid w:val="005C7175"/>
    <w:rsid w:val="005D4BE2"/>
    <w:rsid w:val="005D4BF6"/>
    <w:rsid w:val="005D5048"/>
    <w:rsid w:val="005D7083"/>
    <w:rsid w:val="005D72D0"/>
    <w:rsid w:val="005D7E51"/>
    <w:rsid w:val="005E0B6B"/>
    <w:rsid w:val="005E4AF6"/>
    <w:rsid w:val="005F03C8"/>
    <w:rsid w:val="005F4B1E"/>
    <w:rsid w:val="005F6CC8"/>
    <w:rsid w:val="00600056"/>
    <w:rsid w:val="006007D1"/>
    <w:rsid w:val="00604915"/>
    <w:rsid w:val="00606EC5"/>
    <w:rsid w:val="006115C1"/>
    <w:rsid w:val="006116E2"/>
    <w:rsid w:val="00612AF4"/>
    <w:rsid w:val="006136F4"/>
    <w:rsid w:val="006146FF"/>
    <w:rsid w:val="00615A81"/>
    <w:rsid w:val="006241DF"/>
    <w:rsid w:val="00627389"/>
    <w:rsid w:val="00630436"/>
    <w:rsid w:val="00630867"/>
    <w:rsid w:val="006321F9"/>
    <w:rsid w:val="00633D4D"/>
    <w:rsid w:val="0063673B"/>
    <w:rsid w:val="00637699"/>
    <w:rsid w:val="0063777B"/>
    <w:rsid w:val="0064002A"/>
    <w:rsid w:val="00642AFE"/>
    <w:rsid w:val="00643139"/>
    <w:rsid w:val="006451E7"/>
    <w:rsid w:val="00646921"/>
    <w:rsid w:val="0064791D"/>
    <w:rsid w:val="006511AE"/>
    <w:rsid w:val="00652B1C"/>
    <w:rsid w:val="0065302F"/>
    <w:rsid w:val="00653CF3"/>
    <w:rsid w:val="006547CF"/>
    <w:rsid w:val="00654E5C"/>
    <w:rsid w:val="0065632F"/>
    <w:rsid w:val="00660A13"/>
    <w:rsid w:val="00662AC5"/>
    <w:rsid w:val="00666550"/>
    <w:rsid w:val="00666EF2"/>
    <w:rsid w:val="00670A83"/>
    <w:rsid w:val="00673E43"/>
    <w:rsid w:val="006748AD"/>
    <w:rsid w:val="00680E7C"/>
    <w:rsid w:val="00682F6E"/>
    <w:rsid w:val="0068604F"/>
    <w:rsid w:val="00686A01"/>
    <w:rsid w:val="00691A64"/>
    <w:rsid w:val="00691B94"/>
    <w:rsid w:val="00694C44"/>
    <w:rsid w:val="00696086"/>
    <w:rsid w:val="00697B87"/>
    <w:rsid w:val="006A1AF5"/>
    <w:rsid w:val="006A383D"/>
    <w:rsid w:val="006A486E"/>
    <w:rsid w:val="006A56F4"/>
    <w:rsid w:val="006A5A19"/>
    <w:rsid w:val="006A7958"/>
    <w:rsid w:val="006B001E"/>
    <w:rsid w:val="006B1F18"/>
    <w:rsid w:val="006B7A05"/>
    <w:rsid w:val="006C1238"/>
    <w:rsid w:val="006C130C"/>
    <w:rsid w:val="006C245E"/>
    <w:rsid w:val="006C44F8"/>
    <w:rsid w:val="006C4C4E"/>
    <w:rsid w:val="006C570B"/>
    <w:rsid w:val="006C7B3D"/>
    <w:rsid w:val="006D0E51"/>
    <w:rsid w:val="006D0ECA"/>
    <w:rsid w:val="006D1DBB"/>
    <w:rsid w:val="006D2716"/>
    <w:rsid w:val="006D33FC"/>
    <w:rsid w:val="006D6ACF"/>
    <w:rsid w:val="006E36CE"/>
    <w:rsid w:val="006E79D7"/>
    <w:rsid w:val="006F4E3B"/>
    <w:rsid w:val="006F5D3D"/>
    <w:rsid w:val="006F676E"/>
    <w:rsid w:val="00702B5A"/>
    <w:rsid w:val="007030FE"/>
    <w:rsid w:val="00704AE1"/>
    <w:rsid w:val="00705BBB"/>
    <w:rsid w:val="0070628C"/>
    <w:rsid w:val="00707475"/>
    <w:rsid w:val="007120B0"/>
    <w:rsid w:val="00712F5E"/>
    <w:rsid w:val="00714D28"/>
    <w:rsid w:val="007237DE"/>
    <w:rsid w:val="007352C8"/>
    <w:rsid w:val="00735FDD"/>
    <w:rsid w:val="0073628A"/>
    <w:rsid w:val="00737982"/>
    <w:rsid w:val="0074658D"/>
    <w:rsid w:val="00746F4D"/>
    <w:rsid w:val="007478AA"/>
    <w:rsid w:val="00747DDA"/>
    <w:rsid w:val="00750F8F"/>
    <w:rsid w:val="0075154B"/>
    <w:rsid w:val="007559DC"/>
    <w:rsid w:val="00756C11"/>
    <w:rsid w:val="00760159"/>
    <w:rsid w:val="0076433D"/>
    <w:rsid w:val="00764B1F"/>
    <w:rsid w:val="007708A4"/>
    <w:rsid w:val="00771BC6"/>
    <w:rsid w:val="00776B58"/>
    <w:rsid w:val="0077700B"/>
    <w:rsid w:val="00780651"/>
    <w:rsid w:val="007814C1"/>
    <w:rsid w:val="007822FA"/>
    <w:rsid w:val="00791325"/>
    <w:rsid w:val="00796421"/>
    <w:rsid w:val="007978D7"/>
    <w:rsid w:val="007A05FA"/>
    <w:rsid w:val="007A274E"/>
    <w:rsid w:val="007B0BAB"/>
    <w:rsid w:val="007B0CD9"/>
    <w:rsid w:val="007B1ADC"/>
    <w:rsid w:val="007B3978"/>
    <w:rsid w:val="007B41B7"/>
    <w:rsid w:val="007B66C5"/>
    <w:rsid w:val="007C153D"/>
    <w:rsid w:val="007C268B"/>
    <w:rsid w:val="007C46EC"/>
    <w:rsid w:val="007C5951"/>
    <w:rsid w:val="007C6147"/>
    <w:rsid w:val="007C6A8F"/>
    <w:rsid w:val="007D108A"/>
    <w:rsid w:val="007D1817"/>
    <w:rsid w:val="007D199A"/>
    <w:rsid w:val="007D2954"/>
    <w:rsid w:val="007D2A33"/>
    <w:rsid w:val="007D703D"/>
    <w:rsid w:val="007E135D"/>
    <w:rsid w:val="007E168F"/>
    <w:rsid w:val="007E7AD1"/>
    <w:rsid w:val="007F652F"/>
    <w:rsid w:val="007F7D80"/>
    <w:rsid w:val="0080007C"/>
    <w:rsid w:val="008006DA"/>
    <w:rsid w:val="00800AE7"/>
    <w:rsid w:val="008033F7"/>
    <w:rsid w:val="00806F50"/>
    <w:rsid w:val="00811FEB"/>
    <w:rsid w:val="00813082"/>
    <w:rsid w:val="00816E28"/>
    <w:rsid w:val="0081762A"/>
    <w:rsid w:val="00817E79"/>
    <w:rsid w:val="00821687"/>
    <w:rsid w:val="00821BCC"/>
    <w:rsid w:val="00822DEB"/>
    <w:rsid w:val="00827395"/>
    <w:rsid w:val="00827DC2"/>
    <w:rsid w:val="00832F2B"/>
    <w:rsid w:val="00834674"/>
    <w:rsid w:val="00834F13"/>
    <w:rsid w:val="008352A6"/>
    <w:rsid w:val="00840C0A"/>
    <w:rsid w:val="00841CE9"/>
    <w:rsid w:val="00843FB5"/>
    <w:rsid w:val="00844D0B"/>
    <w:rsid w:val="00844EDD"/>
    <w:rsid w:val="008509CE"/>
    <w:rsid w:val="0085279C"/>
    <w:rsid w:val="008534EF"/>
    <w:rsid w:val="008611FB"/>
    <w:rsid w:val="00861DE9"/>
    <w:rsid w:val="00863506"/>
    <w:rsid w:val="0086798B"/>
    <w:rsid w:val="00871740"/>
    <w:rsid w:val="00873173"/>
    <w:rsid w:val="0087472C"/>
    <w:rsid w:val="0087783A"/>
    <w:rsid w:val="008825D1"/>
    <w:rsid w:val="00882B59"/>
    <w:rsid w:val="00884BEB"/>
    <w:rsid w:val="00885E29"/>
    <w:rsid w:val="00890163"/>
    <w:rsid w:val="008916F0"/>
    <w:rsid w:val="00892006"/>
    <w:rsid w:val="00892A7A"/>
    <w:rsid w:val="008A01E6"/>
    <w:rsid w:val="008A2DA2"/>
    <w:rsid w:val="008A4873"/>
    <w:rsid w:val="008A71E6"/>
    <w:rsid w:val="008B344B"/>
    <w:rsid w:val="008B5ACA"/>
    <w:rsid w:val="008B79AE"/>
    <w:rsid w:val="008C1CBE"/>
    <w:rsid w:val="008C4205"/>
    <w:rsid w:val="008C478B"/>
    <w:rsid w:val="008C65CD"/>
    <w:rsid w:val="008D3273"/>
    <w:rsid w:val="008D5A89"/>
    <w:rsid w:val="008D5DB5"/>
    <w:rsid w:val="008D65FF"/>
    <w:rsid w:val="008D7112"/>
    <w:rsid w:val="008D7EE2"/>
    <w:rsid w:val="008E2587"/>
    <w:rsid w:val="008E3E36"/>
    <w:rsid w:val="008E3F86"/>
    <w:rsid w:val="008E5215"/>
    <w:rsid w:val="008F0018"/>
    <w:rsid w:val="008F05F5"/>
    <w:rsid w:val="008F4B89"/>
    <w:rsid w:val="008F71B5"/>
    <w:rsid w:val="008F768D"/>
    <w:rsid w:val="009048B0"/>
    <w:rsid w:val="009058C8"/>
    <w:rsid w:val="009065CB"/>
    <w:rsid w:val="009065FC"/>
    <w:rsid w:val="00911A49"/>
    <w:rsid w:val="00912DD3"/>
    <w:rsid w:val="00915927"/>
    <w:rsid w:val="00917BEA"/>
    <w:rsid w:val="009243AB"/>
    <w:rsid w:val="00924CFA"/>
    <w:rsid w:val="00925A40"/>
    <w:rsid w:val="009308FF"/>
    <w:rsid w:val="009316D5"/>
    <w:rsid w:val="00932061"/>
    <w:rsid w:val="0093240D"/>
    <w:rsid w:val="009354AE"/>
    <w:rsid w:val="00936234"/>
    <w:rsid w:val="00936484"/>
    <w:rsid w:val="0093666B"/>
    <w:rsid w:val="009371A4"/>
    <w:rsid w:val="0094306F"/>
    <w:rsid w:val="00943823"/>
    <w:rsid w:val="00950860"/>
    <w:rsid w:val="0096028E"/>
    <w:rsid w:val="00961739"/>
    <w:rsid w:val="00961B92"/>
    <w:rsid w:val="00964030"/>
    <w:rsid w:val="00971256"/>
    <w:rsid w:val="00975954"/>
    <w:rsid w:val="009761F2"/>
    <w:rsid w:val="009763D1"/>
    <w:rsid w:val="00976AF8"/>
    <w:rsid w:val="0097770C"/>
    <w:rsid w:val="00982AEB"/>
    <w:rsid w:val="00984A1B"/>
    <w:rsid w:val="00984D04"/>
    <w:rsid w:val="009855E8"/>
    <w:rsid w:val="00987745"/>
    <w:rsid w:val="0099050F"/>
    <w:rsid w:val="00991529"/>
    <w:rsid w:val="00993BB7"/>
    <w:rsid w:val="00994A70"/>
    <w:rsid w:val="00994EDE"/>
    <w:rsid w:val="00997639"/>
    <w:rsid w:val="009977AD"/>
    <w:rsid w:val="009A0769"/>
    <w:rsid w:val="009A091A"/>
    <w:rsid w:val="009A115D"/>
    <w:rsid w:val="009A2669"/>
    <w:rsid w:val="009B0767"/>
    <w:rsid w:val="009B0C71"/>
    <w:rsid w:val="009B12A9"/>
    <w:rsid w:val="009B1F56"/>
    <w:rsid w:val="009B258E"/>
    <w:rsid w:val="009B4B17"/>
    <w:rsid w:val="009B649A"/>
    <w:rsid w:val="009C09D9"/>
    <w:rsid w:val="009C79EA"/>
    <w:rsid w:val="009D0BB3"/>
    <w:rsid w:val="009D119F"/>
    <w:rsid w:val="009D1A7F"/>
    <w:rsid w:val="009D33B9"/>
    <w:rsid w:val="009D3AC8"/>
    <w:rsid w:val="009D6576"/>
    <w:rsid w:val="009D7256"/>
    <w:rsid w:val="009D7D78"/>
    <w:rsid w:val="009E0CB8"/>
    <w:rsid w:val="009E11B9"/>
    <w:rsid w:val="009E19D2"/>
    <w:rsid w:val="009E48F4"/>
    <w:rsid w:val="009E49CF"/>
    <w:rsid w:val="009E563A"/>
    <w:rsid w:val="009E5F5E"/>
    <w:rsid w:val="009E7915"/>
    <w:rsid w:val="009F145F"/>
    <w:rsid w:val="009F38A3"/>
    <w:rsid w:val="009F43F6"/>
    <w:rsid w:val="009F514F"/>
    <w:rsid w:val="009F6EF7"/>
    <w:rsid w:val="00A002FE"/>
    <w:rsid w:val="00A0137B"/>
    <w:rsid w:val="00A02C39"/>
    <w:rsid w:val="00A044B5"/>
    <w:rsid w:val="00A07A88"/>
    <w:rsid w:val="00A07EB2"/>
    <w:rsid w:val="00A11EE2"/>
    <w:rsid w:val="00A1593E"/>
    <w:rsid w:val="00A3101B"/>
    <w:rsid w:val="00A322BA"/>
    <w:rsid w:val="00A37212"/>
    <w:rsid w:val="00A376E1"/>
    <w:rsid w:val="00A37774"/>
    <w:rsid w:val="00A40811"/>
    <w:rsid w:val="00A42543"/>
    <w:rsid w:val="00A51186"/>
    <w:rsid w:val="00A51AA9"/>
    <w:rsid w:val="00A53313"/>
    <w:rsid w:val="00A53456"/>
    <w:rsid w:val="00A63590"/>
    <w:rsid w:val="00A64681"/>
    <w:rsid w:val="00A64F9A"/>
    <w:rsid w:val="00A7057E"/>
    <w:rsid w:val="00A70A6B"/>
    <w:rsid w:val="00A70CC4"/>
    <w:rsid w:val="00A71BF4"/>
    <w:rsid w:val="00A75719"/>
    <w:rsid w:val="00A76D66"/>
    <w:rsid w:val="00A77E84"/>
    <w:rsid w:val="00A83FF5"/>
    <w:rsid w:val="00A86C1D"/>
    <w:rsid w:val="00A87B83"/>
    <w:rsid w:val="00A9019A"/>
    <w:rsid w:val="00A90B89"/>
    <w:rsid w:val="00A94BF9"/>
    <w:rsid w:val="00A95B9E"/>
    <w:rsid w:val="00AA0FD3"/>
    <w:rsid w:val="00AB0266"/>
    <w:rsid w:val="00AB16F1"/>
    <w:rsid w:val="00AB3F1B"/>
    <w:rsid w:val="00AB6402"/>
    <w:rsid w:val="00AC1E0F"/>
    <w:rsid w:val="00AC1E83"/>
    <w:rsid w:val="00AC6F83"/>
    <w:rsid w:val="00AC7731"/>
    <w:rsid w:val="00AD2CB1"/>
    <w:rsid w:val="00AD4558"/>
    <w:rsid w:val="00AD6A97"/>
    <w:rsid w:val="00AE21D4"/>
    <w:rsid w:val="00AE34D4"/>
    <w:rsid w:val="00AE4253"/>
    <w:rsid w:val="00AE4C33"/>
    <w:rsid w:val="00AE4CA5"/>
    <w:rsid w:val="00AF2EA5"/>
    <w:rsid w:val="00AF5A90"/>
    <w:rsid w:val="00B00E53"/>
    <w:rsid w:val="00B02F6A"/>
    <w:rsid w:val="00B04B2A"/>
    <w:rsid w:val="00B04FDB"/>
    <w:rsid w:val="00B05C75"/>
    <w:rsid w:val="00B0743E"/>
    <w:rsid w:val="00B100DD"/>
    <w:rsid w:val="00B10E76"/>
    <w:rsid w:val="00B11104"/>
    <w:rsid w:val="00B11948"/>
    <w:rsid w:val="00B17D1F"/>
    <w:rsid w:val="00B209BC"/>
    <w:rsid w:val="00B21568"/>
    <w:rsid w:val="00B31B1F"/>
    <w:rsid w:val="00B31C0F"/>
    <w:rsid w:val="00B33FD1"/>
    <w:rsid w:val="00B400AC"/>
    <w:rsid w:val="00B4057D"/>
    <w:rsid w:val="00B40D20"/>
    <w:rsid w:val="00B40E11"/>
    <w:rsid w:val="00B41551"/>
    <w:rsid w:val="00B42317"/>
    <w:rsid w:val="00B44622"/>
    <w:rsid w:val="00B45052"/>
    <w:rsid w:val="00B46170"/>
    <w:rsid w:val="00B46A1E"/>
    <w:rsid w:val="00B5128F"/>
    <w:rsid w:val="00B514F1"/>
    <w:rsid w:val="00B550DF"/>
    <w:rsid w:val="00B6552C"/>
    <w:rsid w:val="00B7158D"/>
    <w:rsid w:val="00B7582A"/>
    <w:rsid w:val="00B77E4A"/>
    <w:rsid w:val="00B8704A"/>
    <w:rsid w:val="00B90B49"/>
    <w:rsid w:val="00B90C14"/>
    <w:rsid w:val="00B91BD1"/>
    <w:rsid w:val="00BA21CA"/>
    <w:rsid w:val="00BA3C48"/>
    <w:rsid w:val="00BA5555"/>
    <w:rsid w:val="00BA72C6"/>
    <w:rsid w:val="00BA76A4"/>
    <w:rsid w:val="00BB0998"/>
    <w:rsid w:val="00BB0DFF"/>
    <w:rsid w:val="00BB59F6"/>
    <w:rsid w:val="00BB646C"/>
    <w:rsid w:val="00BB7183"/>
    <w:rsid w:val="00BB7A5C"/>
    <w:rsid w:val="00BC02F7"/>
    <w:rsid w:val="00BC5BA4"/>
    <w:rsid w:val="00BD05F2"/>
    <w:rsid w:val="00BD28FB"/>
    <w:rsid w:val="00BD512F"/>
    <w:rsid w:val="00BE1D12"/>
    <w:rsid w:val="00BE5FC4"/>
    <w:rsid w:val="00BE7719"/>
    <w:rsid w:val="00BE7FF5"/>
    <w:rsid w:val="00BF0847"/>
    <w:rsid w:val="00BF281F"/>
    <w:rsid w:val="00BF4B31"/>
    <w:rsid w:val="00BF7D58"/>
    <w:rsid w:val="00C015B9"/>
    <w:rsid w:val="00C020FF"/>
    <w:rsid w:val="00C021EF"/>
    <w:rsid w:val="00C042D6"/>
    <w:rsid w:val="00C0776F"/>
    <w:rsid w:val="00C20F2A"/>
    <w:rsid w:val="00C2173D"/>
    <w:rsid w:val="00C22DBD"/>
    <w:rsid w:val="00C24946"/>
    <w:rsid w:val="00C31817"/>
    <w:rsid w:val="00C3236C"/>
    <w:rsid w:val="00C33B9A"/>
    <w:rsid w:val="00C34A44"/>
    <w:rsid w:val="00C36A51"/>
    <w:rsid w:val="00C37580"/>
    <w:rsid w:val="00C40419"/>
    <w:rsid w:val="00C4234A"/>
    <w:rsid w:val="00C42FAE"/>
    <w:rsid w:val="00C440DA"/>
    <w:rsid w:val="00C4412C"/>
    <w:rsid w:val="00C44396"/>
    <w:rsid w:val="00C52219"/>
    <w:rsid w:val="00C52C50"/>
    <w:rsid w:val="00C53AF9"/>
    <w:rsid w:val="00C54496"/>
    <w:rsid w:val="00C56CEB"/>
    <w:rsid w:val="00C644B4"/>
    <w:rsid w:val="00C655DF"/>
    <w:rsid w:val="00C6672A"/>
    <w:rsid w:val="00C7355D"/>
    <w:rsid w:val="00C751A5"/>
    <w:rsid w:val="00C7725A"/>
    <w:rsid w:val="00C7735C"/>
    <w:rsid w:val="00C77C3E"/>
    <w:rsid w:val="00C81014"/>
    <w:rsid w:val="00C813BE"/>
    <w:rsid w:val="00C826E6"/>
    <w:rsid w:val="00C837DB"/>
    <w:rsid w:val="00C83E81"/>
    <w:rsid w:val="00C842E3"/>
    <w:rsid w:val="00C849CA"/>
    <w:rsid w:val="00C87D07"/>
    <w:rsid w:val="00C904EC"/>
    <w:rsid w:val="00C93753"/>
    <w:rsid w:val="00C95F6E"/>
    <w:rsid w:val="00C96A6D"/>
    <w:rsid w:val="00CB194D"/>
    <w:rsid w:val="00CB33AA"/>
    <w:rsid w:val="00CB45B6"/>
    <w:rsid w:val="00CB5912"/>
    <w:rsid w:val="00CB5B08"/>
    <w:rsid w:val="00CB5DCB"/>
    <w:rsid w:val="00CC051B"/>
    <w:rsid w:val="00CC102D"/>
    <w:rsid w:val="00CC7561"/>
    <w:rsid w:val="00CC7788"/>
    <w:rsid w:val="00CD0C56"/>
    <w:rsid w:val="00CD46BF"/>
    <w:rsid w:val="00CD5F02"/>
    <w:rsid w:val="00CD7175"/>
    <w:rsid w:val="00CE08DA"/>
    <w:rsid w:val="00CE29FA"/>
    <w:rsid w:val="00CE57E1"/>
    <w:rsid w:val="00CE6EB8"/>
    <w:rsid w:val="00CF0AB0"/>
    <w:rsid w:val="00CF0AB1"/>
    <w:rsid w:val="00CF1808"/>
    <w:rsid w:val="00CF4507"/>
    <w:rsid w:val="00CF4B8A"/>
    <w:rsid w:val="00CF692B"/>
    <w:rsid w:val="00CF7472"/>
    <w:rsid w:val="00D01572"/>
    <w:rsid w:val="00D0231C"/>
    <w:rsid w:val="00D0303F"/>
    <w:rsid w:val="00D06AF8"/>
    <w:rsid w:val="00D06E39"/>
    <w:rsid w:val="00D07DAA"/>
    <w:rsid w:val="00D128B4"/>
    <w:rsid w:val="00D14855"/>
    <w:rsid w:val="00D155FB"/>
    <w:rsid w:val="00D21BAB"/>
    <w:rsid w:val="00D22CBD"/>
    <w:rsid w:val="00D27085"/>
    <w:rsid w:val="00D33EB9"/>
    <w:rsid w:val="00D36D26"/>
    <w:rsid w:val="00D41222"/>
    <w:rsid w:val="00D456C2"/>
    <w:rsid w:val="00D55006"/>
    <w:rsid w:val="00D55811"/>
    <w:rsid w:val="00D61BF2"/>
    <w:rsid w:val="00D64AB3"/>
    <w:rsid w:val="00D652B0"/>
    <w:rsid w:val="00D73B41"/>
    <w:rsid w:val="00D76EA3"/>
    <w:rsid w:val="00D77327"/>
    <w:rsid w:val="00D800E8"/>
    <w:rsid w:val="00D83F2F"/>
    <w:rsid w:val="00D85892"/>
    <w:rsid w:val="00D86DAF"/>
    <w:rsid w:val="00D91368"/>
    <w:rsid w:val="00D917FA"/>
    <w:rsid w:val="00D94E8F"/>
    <w:rsid w:val="00DA06E0"/>
    <w:rsid w:val="00DA10A4"/>
    <w:rsid w:val="00DA4C7F"/>
    <w:rsid w:val="00DA594C"/>
    <w:rsid w:val="00DB6C35"/>
    <w:rsid w:val="00DB74F9"/>
    <w:rsid w:val="00DC00BA"/>
    <w:rsid w:val="00DC0D4D"/>
    <w:rsid w:val="00DC3C37"/>
    <w:rsid w:val="00DC46F0"/>
    <w:rsid w:val="00DC5C20"/>
    <w:rsid w:val="00DC6B26"/>
    <w:rsid w:val="00DD247F"/>
    <w:rsid w:val="00DD4681"/>
    <w:rsid w:val="00DD6ED8"/>
    <w:rsid w:val="00DD76AD"/>
    <w:rsid w:val="00DD795F"/>
    <w:rsid w:val="00DE0CA2"/>
    <w:rsid w:val="00DE242A"/>
    <w:rsid w:val="00DE2C48"/>
    <w:rsid w:val="00DE2EDB"/>
    <w:rsid w:val="00DE5B91"/>
    <w:rsid w:val="00DE70B9"/>
    <w:rsid w:val="00DF06AF"/>
    <w:rsid w:val="00DF29B3"/>
    <w:rsid w:val="00DF5B26"/>
    <w:rsid w:val="00DF5B53"/>
    <w:rsid w:val="00DF7B1A"/>
    <w:rsid w:val="00E01980"/>
    <w:rsid w:val="00E01BA0"/>
    <w:rsid w:val="00E03690"/>
    <w:rsid w:val="00E05A70"/>
    <w:rsid w:val="00E066C2"/>
    <w:rsid w:val="00E12E4B"/>
    <w:rsid w:val="00E14BEA"/>
    <w:rsid w:val="00E1614C"/>
    <w:rsid w:val="00E17451"/>
    <w:rsid w:val="00E22E8F"/>
    <w:rsid w:val="00E23A62"/>
    <w:rsid w:val="00E24A15"/>
    <w:rsid w:val="00E3191B"/>
    <w:rsid w:val="00E31D41"/>
    <w:rsid w:val="00E32A87"/>
    <w:rsid w:val="00E32D31"/>
    <w:rsid w:val="00E3646B"/>
    <w:rsid w:val="00E37F08"/>
    <w:rsid w:val="00E40EFC"/>
    <w:rsid w:val="00E41037"/>
    <w:rsid w:val="00E42CD4"/>
    <w:rsid w:val="00E43A3D"/>
    <w:rsid w:val="00E50472"/>
    <w:rsid w:val="00E517A0"/>
    <w:rsid w:val="00E52D48"/>
    <w:rsid w:val="00E53BDF"/>
    <w:rsid w:val="00E62D0F"/>
    <w:rsid w:val="00E71C6A"/>
    <w:rsid w:val="00E72D7D"/>
    <w:rsid w:val="00E7304E"/>
    <w:rsid w:val="00E73C25"/>
    <w:rsid w:val="00E73C35"/>
    <w:rsid w:val="00E746C2"/>
    <w:rsid w:val="00E76301"/>
    <w:rsid w:val="00E764BE"/>
    <w:rsid w:val="00E825E2"/>
    <w:rsid w:val="00E82BF0"/>
    <w:rsid w:val="00E82FE6"/>
    <w:rsid w:val="00E83E5F"/>
    <w:rsid w:val="00E86FFB"/>
    <w:rsid w:val="00E90602"/>
    <w:rsid w:val="00EA0B95"/>
    <w:rsid w:val="00EA186A"/>
    <w:rsid w:val="00EA3761"/>
    <w:rsid w:val="00EB00DB"/>
    <w:rsid w:val="00EB187A"/>
    <w:rsid w:val="00EB37BE"/>
    <w:rsid w:val="00EB4B49"/>
    <w:rsid w:val="00EB5D6B"/>
    <w:rsid w:val="00EC36A3"/>
    <w:rsid w:val="00EC4388"/>
    <w:rsid w:val="00EC4918"/>
    <w:rsid w:val="00EC6D79"/>
    <w:rsid w:val="00EC74D7"/>
    <w:rsid w:val="00ED019B"/>
    <w:rsid w:val="00ED1866"/>
    <w:rsid w:val="00ED2423"/>
    <w:rsid w:val="00ED4B55"/>
    <w:rsid w:val="00EE2130"/>
    <w:rsid w:val="00EE6265"/>
    <w:rsid w:val="00EF190C"/>
    <w:rsid w:val="00EF213F"/>
    <w:rsid w:val="00EF2B92"/>
    <w:rsid w:val="00EF4868"/>
    <w:rsid w:val="00EF59BB"/>
    <w:rsid w:val="00EF63BD"/>
    <w:rsid w:val="00EF78F2"/>
    <w:rsid w:val="00F0189B"/>
    <w:rsid w:val="00F0214C"/>
    <w:rsid w:val="00F027D1"/>
    <w:rsid w:val="00F02EC9"/>
    <w:rsid w:val="00F0376C"/>
    <w:rsid w:val="00F03BE6"/>
    <w:rsid w:val="00F1092B"/>
    <w:rsid w:val="00F11350"/>
    <w:rsid w:val="00F127C3"/>
    <w:rsid w:val="00F129C7"/>
    <w:rsid w:val="00F132CB"/>
    <w:rsid w:val="00F16900"/>
    <w:rsid w:val="00F23151"/>
    <w:rsid w:val="00F350B5"/>
    <w:rsid w:val="00F35E97"/>
    <w:rsid w:val="00F36A11"/>
    <w:rsid w:val="00F370B1"/>
    <w:rsid w:val="00F4050D"/>
    <w:rsid w:val="00F405EE"/>
    <w:rsid w:val="00F4174A"/>
    <w:rsid w:val="00F43A8C"/>
    <w:rsid w:val="00F43E87"/>
    <w:rsid w:val="00F4546B"/>
    <w:rsid w:val="00F515ED"/>
    <w:rsid w:val="00F52429"/>
    <w:rsid w:val="00F54181"/>
    <w:rsid w:val="00F65740"/>
    <w:rsid w:val="00F6737F"/>
    <w:rsid w:val="00F7022D"/>
    <w:rsid w:val="00F70CDA"/>
    <w:rsid w:val="00F70F7C"/>
    <w:rsid w:val="00F71E41"/>
    <w:rsid w:val="00F726E0"/>
    <w:rsid w:val="00F72827"/>
    <w:rsid w:val="00F72CD2"/>
    <w:rsid w:val="00F759C6"/>
    <w:rsid w:val="00F82A30"/>
    <w:rsid w:val="00F84198"/>
    <w:rsid w:val="00F91175"/>
    <w:rsid w:val="00F94AB2"/>
    <w:rsid w:val="00FA01EB"/>
    <w:rsid w:val="00FA2148"/>
    <w:rsid w:val="00FA3C66"/>
    <w:rsid w:val="00FA3C74"/>
    <w:rsid w:val="00FA61EC"/>
    <w:rsid w:val="00FB58C7"/>
    <w:rsid w:val="00FC04FD"/>
    <w:rsid w:val="00FC0A58"/>
    <w:rsid w:val="00FC5698"/>
    <w:rsid w:val="00FC7672"/>
    <w:rsid w:val="00FC7874"/>
    <w:rsid w:val="00FD3068"/>
    <w:rsid w:val="00FD62D8"/>
    <w:rsid w:val="00FE22D3"/>
    <w:rsid w:val="00FE2783"/>
    <w:rsid w:val="00FE5616"/>
    <w:rsid w:val="00FE6E82"/>
    <w:rsid w:val="00FF12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8C7"/>
    <w:pPr>
      <w:spacing w:after="240"/>
      <w:jc w:val="both"/>
    </w:pPr>
    <w:rPr>
      <w:rFonts w:ascii="Century Gothic" w:hAnsi="Century Gothic"/>
      <w:szCs w:val="24"/>
      <w:lang w:eastAsia="en-US"/>
    </w:rPr>
  </w:style>
  <w:style w:type="paragraph" w:styleId="Heading1">
    <w:name w:val="heading 1"/>
    <w:basedOn w:val="Normal"/>
    <w:next w:val="Normal"/>
    <w:qFormat/>
    <w:rsid w:val="00CF4B8A"/>
    <w:pPr>
      <w:keepNext/>
      <w:numPr>
        <w:numId w:val="7"/>
      </w:numPr>
      <w:jc w:val="left"/>
      <w:outlineLvl w:val="0"/>
    </w:pPr>
    <w:rPr>
      <w:rFonts w:cs="Arial"/>
      <w:b/>
      <w:bCs/>
      <w:color w:val="732734" w:themeColor="text1"/>
      <w:kern w:val="32"/>
      <w:sz w:val="36"/>
      <w:szCs w:val="32"/>
    </w:rPr>
  </w:style>
  <w:style w:type="paragraph" w:styleId="Heading2">
    <w:name w:val="heading 2"/>
    <w:basedOn w:val="Normal"/>
    <w:next w:val="Normal"/>
    <w:link w:val="Heading2Char"/>
    <w:qFormat/>
    <w:rsid w:val="0006093A"/>
    <w:pPr>
      <w:keepNext/>
      <w:numPr>
        <w:ilvl w:val="1"/>
        <w:numId w:val="7"/>
      </w:numPr>
      <w:spacing w:line="240" w:lineRule="atLeast"/>
      <w:jc w:val="left"/>
      <w:outlineLvl w:val="1"/>
    </w:pPr>
    <w:rPr>
      <w:rFonts w:cs="Arial"/>
      <w:b/>
      <w:bCs/>
      <w:iCs/>
      <w:color w:val="732734" w:themeColor="text1"/>
      <w:sz w:val="32"/>
      <w:szCs w:val="28"/>
    </w:rPr>
  </w:style>
  <w:style w:type="paragraph" w:styleId="Heading3">
    <w:name w:val="heading 3"/>
    <w:basedOn w:val="Normal"/>
    <w:next w:val="Normal"/>
    <w:link w:val="Heading3Char"/>
    <w:qFormat/>
    <w:rsid w:val="00CF4B8A"/>
    <w:pPr>
      <w:keepNext/>
      <w:numPr>
        <w:ilvl w:val="2"/>
        <w:numId w:val="7"/>
      </w:numPr>
      <w:jc w:val="left"/>
      <w:outlineLvl w:val="2"/>
    </w:pPr>
    <w:rPr>
      <w:rFonts w:cs="Arial"/>
      <w:b/>
      <w:bCs/>
      <w:color w:val="732734" w:themeColor="text1"/>
      <w:sz w:val="28"/>
      <w:szCs w:val="26"/>
    </w:rPr>
  </w:style>
  <w:style w:type="paragraph" w:styleId="Heading4">
    <w:name w:val="heading 4"/>
    <w:basedOn w:val="Normal"/>
    <w:next w:val="Normal"/>
    <w:link w:val="Heading4Char"/>
    <w:autoRedefine/>
    <w:qFormat/>
    <w:rsid w:val="00402721"/>
    <w:pPr>
      <w:keepNext/>
      <w:pBdr>
        <w:top w:val="single" w:sz="18" w:space="1" w:color="732734" w:themeColor="text1"/>
        <w:left w:val="single" w:sz="18" w:space="4" w:color="732734" w:themeColor="text1"/>
        <w:bottom w:val="single" w:sz="18" w:space="6" w:color="732734" w:themeColor="text1"/>
        <w:right w:val="single" w:sz="18" w:space="4" w:color="732734" w:themeColor="text1"/>
      </w:pBdr>
      <w:jc w:val="left"/>
      <w:outlineLvl w:val="3"/>
    </w:pPr>
    <w:rPr>
      <w:color w:val="732734" w:themeColor="text1"/>
      <w:sz w:val="24"/>
    </w:rPr>
  </w:style>
  <w:style w:type="paragraph" w:styleId="Heading5">
    <w:name w:val="heading 5"/>
    <w:next w:val="Normal"/>
    <w:qFormat/>
    <w:rsid w:val="0006093A"/>
    <w:pPr>
      <w:keepNext/>
      <w:spacing w:after="240"/>
      <w:outlineLvl w:val="4"/>
    </w:pPr>
    <w:rPr>
      <w:rFonts w:ascii="Century Gothic" w:hAnsi="Century Gothic"/>
      <w:bCs/>
      <w:i/>
      <w:iCs/>
      <w:color w:val="732734" w:themeColor="text1"/>
      <w:sz w:val="24"/>
      <w:szCs w:val="26"/>
      <w:lang w:eastAsia="en-US"/>
    </w:rPr>
  </w:style>
  <w:style w:type="paragraph" w:styleId="Heading6">
    <w:name w:val="heading 6"/>
    <w:aliases w:val="Heading 6 - do not use"/>
    <w:basedOn w:val="Normal"/>
    <w:next w:val="Normal"/>
    <w:semiHidden/>
    <w:qFormat/>
    <w:locked/>
    <w:pPr>
      <w:numPr>
        <w:ilvl w:val="5"/>
        <w:numId w:val="5"/>
      </w:numPr>
      <w:spacing w:before="240" w:after="60"/>
      <w:outlineLvl w:val="5"/>
    </w:pPr>
    <w:rPr>
      <w:b/>
      <w:bCs/>
      <w:sz w:val="22"/>
      <w:szCs w:val="22"/>
    </w:rPr>
  </w:style>
  <w:style w:type="paragraph" w:styleId="Heading7">
    <w:name w:val="heading 7"/>
    <w:aliases w:val="Heading 7 - do not use"/>
    <w:basedOn w:val="Normal"/>
    <w:next w:val="Normal"/>
    <w:semiHidden/>
    <w:qFormat/>
    <w:locked/>
    <w:pPr>
      <w:numPr>
        <w:ilvl w:val="6"/>
        <w:numId w:val="5"/>
      </w:numPr>
      <w:spacing w:before="240" w:after="60"/>
      <w:outlineLvl w:val="6"/>
    </w:pPr>
  </w:style>
  <w:style w:type="paragraph" w:styleId="Heading8">
    <w:name w:val="heading 8"/>
    <w:aliases w:val="Heading 8 - do not use"/>
    <w:basedOn w:val="Normal"/>
    <w:next w:val="Normal"/>
    <w:semiHidden/>
    <w:qFormat/>
    <w:locked/>
    <w:pPr>
      <w:numPr>
        <w:ilvl w:val="7"/>
        <w:numId w:val="5"/>
      </w:numPr>
      <w:spacing w:before="240" w:after="60"/>
      <w:outlineLvl w:val="7"/>
    </w:pPr>
    <w:rPr>
      <w:i/>
      <w:iCs/>
    </w:rPr>
  </w:style>
  <w:style w:type="paragraph" w:styleId="Heading9">
    <w:name w:val="heading 9"/>
    <w:aliases w:val="Heading 9 - do not use"/>
    <w:basedOn w:val="Normal"/>
    <w:next w:val="Normal"/>
    <w:semiHidden/>
    <w:qFormat/>
    <w:locke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dash">
    <w:name w:val="Red dash"/>
    <w:basedOn w:val="BulletNumbering2"/>
    <w:rsid w:val="0006093A"/>
    <w:pPr>
      <w:numPr>
        <w:ilvl w:val="0"/>
        <w:numId w:val="8"/>
      </w:numPr>
    </w:pPr>
    <w:rPr>
      <w:color w:val="732734" w:themeColor="text1"/>
    </w:rPr>
  </w:style>
  <w:style w:type="paragraph" w:customStyle="1" w:styleId="BulletNumbering2">
    <w:name w:val="Bullet/Numbering 2"/>
    <w:basedOn w:val="Normal"/>
    <w:rsid w:val="004152B3"/>
    <w:pPr>
      <w:numPr>
        <w:ilvl w:val="1"/>
        <w:numId w:val="11"/>
      </w:numPr>
      <w:tabs>
        <w:tab w:val="left" w:pos="794"/>
      </w:tabs>
      <w:spacing w:after="120"/>
    </w:pPr>
    <w:rPr>
      <w:sz w:val="18"/>
    </w:rPr>
  </w:style>
  <w:style w:type="paragraph" w:styleId="Footer">
    <w:name w:val="footer"/>
    <w:link w:val="FooterChar"/>
    <w:rsid w:val="00CF4B8A"/>
    <w:pPr>
      <w:pBdr>
        <w:top w:val="single" w:sz="4" w:space="4" w:color="6D5E51" w:themeColor="background1"/>
      </w:pBdr>
      <w:tabs>
        <w:tab w:val="center" w:pos="4153"/>
        <w:tab w:val="right" w:pos="8460"/>
      </w:tabs>
      <w:spacing w:after="240"/>
    </w:pPr>
    <w:rPr>
      <w:rFonts w:ascii="Century Gothic" w:hAnsi="Century Gothic"/>
      <w:smallCaps/>
      <w:color w:val="6D5E51" w:themeColor="background1"/>
      <w:lang w:eastAsia="en-US"/>
    </w:rPr>
  </w:style>
  <w:style w:type="paragraph" w:customStyle="1" w:styleId="Heading3-nonumber">
    <w:name w:val="Heading 3 - no number"/>
    <w:basedOn w:val="Heading3"/>
    <w:next w:val="Normal"/>
    <w:rsid w:val="0006093A"/>
    <w:pPr>
      <w:numPr>
        <w:ilvl w:val="0"/>
        <w:numId w:val="0"/>
      </w:numPr>
    </w:pPr>
  </w:style>
  <w:style w:type="paragraph" w:customStyle="1" w:styleId="Appendixtable">
    <w:name w:val="Appendix table"/>
    <w:basedOn w:val="Normal"/>
    <w:next w:val="Normal"/>
    <w:rsid w:val="00F02EC9"/>
    <w:pPr>
      <w:tabs>
        <w:tab w:val="num" w:pos="1701"/>
      </w:tabs>
      <w:ind w:left="1701" w:hanging="1701"/>
    </w:pPr>
    <w:rPr>
      <w:b/>
      <w:color w:val="6D5E51" w:themeColor="background1"/>
      <w:sz w:val="28"/>
    </w:rPr>
  </w:style>
  <w:style w:type="paragraph" w:customStyle="1" w:styleId="Heading2-nonumber">
    <w:name w:val="Heading 2 - no number"/>
    <w:basedOn w:val="Heading2"/>
    <w:next w:val="Normal"/>
    <w:rsid w:val="0006093A"/>
    <w:pPr>
      <w:numPr>
        <w:ilvl w:val="0"/>
        <w:numId w:val="0"/>
      </w:numPr>
    </w:pPr>
  </w:style>
  <w:style w:type="paragraph" w:customStyle="1" w:styleId="Numbering">
    <w:name w:val="Numbering"/>
    <w:basedOn w:val="Normal"/>
    <w:rsid w:val="00AD2CB1"/>
    <w:pPr>
      <w:numPr>
        <w:numId w:val="1"/>
      </w:numPr>
    </w:pPr>
  </w:style>
  <w:style w:type="paragraph" w:customStyle="1" w:styleId="BoxText">
    <w:name w:val="Box Text"/>
    <w:rsid w:val="00662AC5"/>
    <w:pPr>
      <w:spacing w:after="120"/>
      <w:jc w:val="both"/>
    </w:pPr>
    <w:rPr>
      <w:rFonts w:ascii="Century Gothic" w:hAnsi="Century Gothic"/>
      <w:szCs w:val="24"/>
      <w:lang w:eastAsia="en-US"/>
    </w:rPr>
  </w:style>
  <w:style w:type="paragraph" w:customStyle="1" w:styleId="BoxBullet">
    <w:name w:val="Box Bullet"/>
    <w:basedOn w:val="BoxText"/>
    <w:rsid w:val="00646921"/>
    <w:pPr>
      <w:numPr>
        <w:numId w:val="9"/>
      </w:numPr>
      <w:tabs>
        <w:tab w:val="left" w:pos="397"/>
      </w:tabs>
      <w:ind w:left="397" w:hanging="397"/>
    </w:pPr>
  </w:style>
  <w:style w:type="paragraph" w:customStyle="1" w:styleId="BoxHeading">
    <w:name w:val="Box Heading"/>
    <w:next w:val="BoxText"/>
    <w:rsid w:val="00F02EC9"/>
    <w:pPr>
      <w:keepNext/>
      <w:numPr>
        <w:ilvl w:val="5"/>
        <w:numId w:val="7"/>
      </w:numPr>
      <w:spacing w:after="120"/>
    </w:pPr>
    <w:rPr>
      <w:rFonts w:ascii="Century Gothic" w:hAnsi="Century Gothic"/>
      <w:b/>
      <w:color w:val="6D5E51" w:themeColor="background1"/>
      <w:sz w:val="28"/>
      <w:szCs w:val="24"/>
      <w:lang w:eastAsia="en-US"/>
    </w:rPr>
  </w:style>
  <w:style w:type="paragraph" w:styleId="TOC1">
    <w:name w:val="toc 1"/>
    <w:next w:val="TOC2"/>
    <w:semiHidden/>
    <w:rsid w:val="00546B95"/>
    <w:pPr>
      <w:tabs>
        <w:tab w:val="left" w:pos="1021"/>
        <w:tab w:val="left" w:pos="1814"/>
        <w:tab w:val="right" w:pos="8064"/>
      </w:tabs>
      <w:spacing w:before="60" w:after="60"/>
    </w:pPr>
    <w:rPr>
      <w:rFonts w:ascii="Garamond" w:hAnsi="Garamond"/>
      <w:b/>
      <w:noProof/>
      <w:sz w:val="27"/>
      <w:lang w:eastAsia="en-US"/>
    </w:rPr>
  </w:style>
  <w:style w:type="paragraph" w:styleId="TOC2">
    <w:name w:val="toc 2"/>
    <w:semiHidden/>
    <w:rsid w:val="00546B95"/>
    <w:pPr>
      <w:tabs>
        <w:tab w:val="left" w:pos="1814"/>
        <w:tab w:val="right" w:pos="8063"/>
      </w:tabs>
      <w:spacing w:before="40" w:after="40"/>
      <w:ind w:left="1021"/>
    </w:pPr>
    <w:rPr>
      <w:rFonts w:ascii="Garamond" w:hAnsi="Garamond"/>
      <w:sz w:val="27"/>
      <w:szCs w:val="24"/>
      <w:lang w:eastAsia="en-US"/>
    </w:rPr>
  </w:style>
  <w:style w:type="paragraph" w:customStyle="1" w:styleId="FigureHeading">
    <w:name w:val="Figure Heading"/>
    <w:next w:val="Normal"/>
    <w:autoRedefine/>
    <w:rsid w:val="005B51F1"/>
    <w:pPr>
      <w:keepNext/>
      <w:pBdr>
        <w:bottom w:val="single" w:sz="4" w:space="4" w:color="6D5E51" w:themeColor="background1"/>
      </w:pBdr>
      <w:spacing w:after="120"/>
      <w:ind w:left="1701" w:hanging="1701"/>
    </w:pPr>
    <w:rPr>
      <w:rFonts w:ascii="Century Gothic" w:hAnsi="Century Gothic"/>
      <w:b/>
      <w:color w:val="6D5E51" w:themeColor="background1"/>
      <w:sz w:val="28"/>
      <w:szCs w:val="26"/>
      <w:lang w:eastAsia="en-US"/>
    </w:rPr>
  </w:style>
  <w:style w:type="paragraph" w:customStyle="1" w:styleId="Quotation">
    <w:name w:val="Quotation"/>
    <w:basedOn w:val="Normal"/>
    <w:rsid w:val="00CF4B8A"/>
    <w:pPr>
      <w:spacing w:after="120"/>
      <w:ind w:left="567" w:right="567"/>
    </w:pPr>
  </w:style>
  <w:style w:type="paragraph" w:customStyle="1" w:styleId="FigureTableSource">
    <w:name w:val="Figure/Table Source"/>
    <w:next w:val="Normal"/>
    <w:link w:val="FigureTableSourceChar"/>
    <w:rsid w:val="00F72CD2"/>
    <w:pPr>
      <w:pBdr>
        <w:bottom w:val="single" w:sz="4" w:space="4" w:color="6D5E51" w:themeColor="background1"/>
      </w:pBdr>
      <w:tabs>
        <w:tab w:val="left" w:pos="737"/>
      </w:tabs>
      <w:spacing w:before="120" w:after="120"/>
      <w:ind w:left="737" w:hanging="737"/>
    </w:pPr>
    <w:rPr>
      <w:rFonts w:ascii="Century Gothic" w:hAnsi="Century Gothic"/>
      <w:i/>
      <w:color w:val="826E5A"/>
      <w:sz w:val="16"/>
      <w:szCs w:val="24"/>
      <w:lang w:eastAsia="en-US"/>
    </w:rPr>
  </w:style>
  <w:style w:type="character" w:customStyle="1" w:styleId="FigureTableSourceChar">
    <w:name w:val="Figure/Table Source Char"/>
    <w:link w:val="FigureTableSource"/>
    <w:rsid w:val="00F72CD2"/>
    <w:rPr>
      <w:rFonts w:ascii="Century Gothic" w:hAnsi="Century Gothic"/>
      <w:i/>
      <w:color w:val="826E5A"/>
      <w:sz w:val="16"/>
      <w:szCs w:val="24"/>
      <w:lang w:eastAsia="en-US"/>
    </w:rPr>
  </w:style>
  <w:style w:type="paragraph" w:customStyle="1" w:styleId="TableHeading">
    <w:name w:val="Table Heading"/>
    <w:next w:val="TableText"/>
    <w:rsid w:val="006D0ECA"/>
    <w:pPr>
      <w:keepNext/>
      <w:numPr>
        <w:ilvl w:val="3"/>
        <w:numId w:val="7"/>
      </w:numPr>
    </w:pPr>
    <w:rPr>
      <w:rFonts w:ascii="Century Gothic" w:hAnsi="Century Gothic"/>
      <w:b/>
      <w:color w:val="6D5E51" w:themeColor="background1"/>
      <w:sz w:val="28"/>
      <w:szCs w:val="24"/>
      <w:lang w:eastAsia="en-US"/>
    </w:rPr>
  </w:style>
  <w:style w:type="paragraph" w:customStyle="1" w:styleId="TableText">
    <w:name w:val="Table Text"/>
    <w:basedOn w:val="Normal"/>
    <w:link w:val="TableTextChar"/>
    <w:qFormat/>
    <w:rsid w:val="00F02EC9"/>
    <w:pPr>
      <w:spacing w:after="0"/>
      <w:jc w:val="left"/>
    </w:pPr>
    <w:rPr>
      <w:color w:val="6D5E51" w:themeColor="background1"/>
    </w:rPr>
  </w:style>
  <w:style w:type="character" w:customStyle="1" w:styleId="TableTextChar">
    <w:name w:val="Table Text Char"/>
    <w:link w:val="TableText"/>
    <w:rsid w:val="00F02EC9"/>
    <w:rPr>
      <w:rFonts w:ascii="Century Gothic" w:hAnsi="Century Gothic"/>
      <w:color w:val="6D5E51" w:themeColor="background1"/>
      <w:szCs w:val="24"/>
      <w:lang w:eastAsia="en-US"/>
    </w:rPr>
  </w:style>
  <w:style w:type="paragraph" w:customStyle="1" w:styleId="BoxSource">
    <w:name w:val="Box Source"/>
    <w:basedOn w:val="BoxText"/>
    <w:next w:val="Normal"/>
    <w:rsid w:val="00662AC5"/>
    <w:pPr>
      <w:tabs>
        <w:tab w:val="left" w:pos="737"/>
      </w:tabs>
      <w:ind w:left="737" w:hanging="737"/>
    </w:pPr>
    <w:rPr>
      <w:i/>
      <w:sz w:val="16"/>
      <w:szCs w:val="18"/>
    </w:rPr>
  </w:style>
  <w:style w:type="paragraph" w:customStyle="1" w:styleId="TableDecimal">
    <w:name w:val="Table (Decimal)"/>
    <w:basedOn w:val="TableText"/>
    <w:locked/>
    <w:pPr>
      <w:tabs>
        <w:tab w:val="decimal" w:pos="567"/>
      </w:tabs>
      <w:spacing w:after="40"/>
    </w:pPr>
  </w:style>
  <w:style w:type="paragraph" w:customStyle="1" w:styleId="TableBullet">
    <w:name w:val="Table Bullet"/>
    <w:basedOn w:val="TableText"/>
    <w:rsid w:val="00B400AC"/>
    <w:pPr>
      <w:numPr>
        <w:numId w:val="3"/>
      </w:numPr>
      <w:spacing w:after="60"/>
    </w:pPr>
  </w:style>
  <w:style w:type="paragraph" w:customStyle="1" w:styleId="TitlePage">
    <w:name w:val="Title Page"/>
    <w:rsid w:val="00F02EC9"/>
    <w:pPr>
      <w:spacing w:before="1200" w:after="1200"/>
      <w:ind w:right="567"/>
      <w:jc w:val="right"/>
    </w:pPr>
    <w:rPr>
      <w:rFonts w:ascii="Century Gothic" w:hAnsi="Century Gothic"/>
      <w:b/>
      <w:color w:val="732734" w:themeColor="text1"/>
      <w:sz w:val="56"/>
      <w:szCs w:val="24"/>
      <w:lang w:eastAsia="en-US"/>
    </w:rPr>
  </w:style>
  <w:style w:type="paragraph" w:customStyle="1" w:styleId="TitlePage2">
    <w:name w:val="Title Page 2"/>
    <w:basedOn w:val="TitlePage"/>
    <w:rsid w:val="00F02EC9"/>
    <w:pPr>
      <w:spacing w:before="0"/>
    </w:pPr>
    <w:rPr>
      <w:sz w:val="40"/>
    </w:rPr>
  </w:style>
  <w:style w:type="paragraph" w:styleId="TOC3">
    <w:name w:val="toc 3"/>
    <w:semiHidden/>
    <w:rsid w:val="00546B95"/>
    <w:pPr>
      <w:tabs>
        <w:tab w:val="left" w:pos="2722"/>
        <w:tab w:val="right" w:pos="8063"/>
      </w:tabs>
      <w:ind w:left="1814"/>
    </w:pPr>
    <w:rPr>
      <w:rFonts w:ascii="Garamond" w:hAnsi="Garamond"/>
      <w:sz w:val="24"/>
      <w:szCs w:val="24"/>
      <w:lang w:eastAsia="en-US"/>
    </w:rPr>
  </w:style>
  <w:style w:type="paragraph" w:customStyle="1" w:styleId="BoxNumbering">
    <w:name w:val="Box Numbering"/>
    <w:basedOn w:val="BoxBullet"/>
    <w:rsid w:val="00662AC5"/>
    <w:pPr>
      <w:numPr>
        <w:numId w:val="2"/>
      </w:numPr>
    </w:pPr>
  </w:style>
  <w:style w:type="paragraph" w:customStyle="1" w:styleId="TableBullet2">
    <w:name w:val="Table Bullet 2"/>
    <w:basedOn w:val="TableBullet"/>
    <w:rsid w:val="00B400AC"/>
    <w:pPr>
      <w:numPr>
        <w:numId w:val="4"/>
      </w:numPr>
    </w:pPr>
  </w:style>
  <w:style w:type="paragraph" w:customStyle="1" w:styleId="BoxBullet2">
    <w:name w:val="Box Bullet 2"/>
    <w:basedOn w:val="BoxBullet"/>
    <w:rsid w:val="00646921"/>
    <w:pPr>
      <w:numPr>
        <w:numId w:val="10"/>
      </w:numPr>
      <w:tabs>
        <w:tab w:val="clear" w:pos="397"/>
        <w:tab w:val="left" w:pos="794"/>
      </w:tabs>
      <w:ind w:left="1191" w:hanging="794"/>
    </w:pPr>
  </w:style>
  <w:style w:type="paragraph" w:customStyle="1" w:styleId="BoxQuote">
    <w:name w:val="Box Quote"/>
    <w:basedOn w:val="BoxText"/>
    <w:rsid w:val="00662AC5"/>
    <w:pPr>
      <w:ind w:left="567" w:right="567"/>
    </w:pPr>
  </w:style>
  <w:style w:type="paragraph" w:customStyle="1" w:styleId="Appendix">
    <w:name w:val="Appendix"/>
    <w:basedOn w:val="Normal"/>
    <w:next w:val="Normal"/>
    <w:rsid w:val="0006093A"/>
    <w:pPr>
      <w:keepNext/>
      <w:numPr>
        <w:numId w:val="6"/>
      </w:numPr>
      <w:tabs>
        <w:tab w:val="left" w:pos="2126"/>
      </w:tabs>
      <w:jc w:val="left"/>
    </w:pPr>
    <w:rPr>
      <w:rFonts w:cs="Arial"/>
      <w:b/>
      <w:bCs/>
      <w:iCs/>
      <w:color w:val="732734" w:themeColor="text1"/>
      <w:sz w:val="36"/>
      <w:szCs w:val="36"/>
    </w:rPr>
  </w:style>
  <w:style w:type="paragraph" w:customStyle="1" w:styleId="Red">
    <w:name w:val="Red"/>
    <w:rsid w:val="0006093A"/>
    <w:pPr>
      <w:spacing w:after="240"/>
      <w:jc w:val="both"/>
    </w:pPr>
    <w:rPr>
      <w:rFonts w:ascii="Century Gothic" w:hAnsi="Century Gothic"/>
      <w:color w:val="732734" w:themeColor="text1"/>
      <w:szCs w:val="24"/>
      <w:lang w:eastAsia="en-US"/>
    </w:rPr>
  </w:style>
  <w:style w:type="paragraph" w:customStyle="1" w:styleId="Italic">
    <w:name w:val="Italic"/>
    <w:basedOn w:val="Normal"/>
    <w:next w:val="Normal"/>
    <w:rsid w:val="00CE08DA"/>
    <w:rPr>
      <w:i/>
    </w:rPr>
  </w:style>
  <w:style w:type="paragraph" w:styleId="Header">
    <w:name w:val="header"/>
    <w:basedOn w:val="Normal"/>
    <w:link w:val="HeaderChar"/>
    <w:rsid w:val="00A83FF5"/>
    <w:rPr>
      <w:color w:val="826E5A"/>
    </w:rPr>
  </w:style>
  <w:style w:type="paragraph" w:customStyle="1" w:styleId="Bullet">
    <w:name w:val="Bullet"/>
    <w:basedOn w:val="Normal"/>
    <w:link w:val="BulletChar"/>
    <w:qFormat/>
    <w:rsid w:val="00F72827"/>
    <w:pPr>
      <w:numPr>
        <w:numId w:val="11"/>
      </w:numPr>
      <w:tabs>
        <w:tab w:val="left" w:pos="397"/>
      </w:tabs>
      <w:spacing w:after="120"/>
    </w:pPr>
  </w:style>
  <w:style w:type="character" w:styleId="FootnoteReference">
    <w:name w:val="footnote reference"/>
    <w:uiPriority w:val="99"/>
    <w:rsid w:val="004B376E"/>
    <w:rPr>
      <w:vertAlign w:val="superscript"/>
    </w:rPr>
  </w:style>
  <w:style w:type="paragraph" w:customStyle="1" w:styleId="FigureTableNotes">
    <w:name w:val="Figure/Table Notes"/>
    <w:basedOn w:val="FigureTableSource"/>
    <w:link w:val="FigureTableNotesChar"/>
    <w:rsid w:val="00F72CD2"/>
    <w:pPr>
      <w:pBdr>
        <w:bottom w:val="none" w:sz="0" w:space="0" w:color="auto"/>
      </w:pBdr>
      <w:ind w:left="0" w:firstLine="0"/>
      <w:jc w:val="both"/>
    </w:pPr>
    <w:rPr>
      <w:i w:val="0"/>
      <w:color w:val="auto"/>
    </w:rPr>
  </w:style>
  <w:style w:type="character" w:customStyle="1" w:styleId="FigureTableNotesChar">
    <w:name w:val="Figure/Table Notes Char"/>
    <w:basedOn w:val="FigureTableSourceChar"/>
    <w:link w:val="FigureTableNotes"/>
    <w:rsid w:val="00F72CD2"/>
    <w:rPr>
      <w:rFonts w:ascii="Century Gothic" w:hAnsi="Century Gothic"/>
      <w:i w:val="0"/>
      <w:color w:val="826E5A"/>
      <w:sz w:val="16"/>
      <w:szCs w:val="24"/>
      <w:lang w:eastAsia="en-US"/>
    </w:rPr>
  </w:style>
  <w:style w:type="paragraph" w:styleId="FootnoteText">
    <w:name w:val="footnote text"/>
    <w:basedOn w:val="Normal"/>
    <w:link w:val="FootnoteTextChar"/>
    <w:uiPriority w:val="99"/>
    <w:rsid w:val="004B376E"/>
    <w:pPr>
      <w:spacing w:after="80"/>
    </w:pPr>
    <w:rPr>
      <w:szCs w:val="20"/>
    </w:rPr>
  </w:style>
  <w:style w:type="paragraph" w:customStyle="1" w:styleId="Quotationbullet">
    <w:name w:val="Quotation bullet"/>
    <w:basedOn w:val="BoxBullet"/>
    <w:rsid w:val="00CF4B8A"/>
    <w:pPr>
      <w:tabs>
        <w:tab w:val="clear" w:pos="397"/>
        <w:tab w:val="left" w:pos="851"/>
      </w:tabs>
      <w:ind w:left="851" w:right="567" w:hanging="284"/>
    </w:pPr>
  </w:style>
  <w:style w:type="paragraph" w:customStyle="1" w:styleId="Quotationbullet2">
    <w:name w:val="Quotation bullet 2"/>
    <w:basedOn w:val="BoxBullet2"/>
    <w:rsid w:val="00CF4B8A"/>
    <w:pPr>
      <w:ind w:right="567" w:hanging="284"/>
    </w:pPr>
  </w:style>
  <w:style w:type="paragraph" w:customStyle="1" w:styleId="Boxsubheading">
    <w:name w:val="Box sub heading"/>
    <w:basedOn w:val="BoxText"/>
    <w:next w:val="BoxText"/>
    <w:rsid w:val="00F02EC9"/>
    <w:pPr>
      <w:keepNext/>
      <w:jc w:val="left"/>
    </w:pPr>
    <w:rPr>
      <w:b/>
      <w:i/>
      <w:color w:val="6D5E51" w:themeColor="background1"/>
    </w:rPr>
  </w:style>
  <w:style w:type="paragraph" w:customStyle="1" w:styleId="Redbullet">
    <w:name w:val="Red bullet"/>
    <w:basedOn w:val="Bullet"/>
    <w:rsid w:val="0006093A"/>
    <w:rPr>
      <w:color w:val="732734" w:themeColor="text1"/>
    </w:rPr>
  </w:style>
  <w:style w:type="paragraph" w:customStyle="1" w:styleId="Bulletquotation">
    <w:name w:val="Bullet quotation"/>
    <w:basedOn w:val="Bullet"/>
    <w:rsid w:val="000C0499"/>
    <w:pPr>
      <w:numPr>
        <w:numId w:val="0"/>
      </w:numPr>
      <w:ind w:left="1134" w:right="567"/>
    </w:pPr>
    <w:rPr>
      <w:szCs w:val="25"/>
    </w:rPr>
  </w:style>
  <w:style w:type="paragraph" w:customStyle="1" w:styleId="Tablecolumnheading">
    <w:name w:val="Table column heading"/>
    <w:basedOn w:val="TableText"/>
    <w:next w:val="TableText"/>
    <w:rsid w:val="00BA5555"/>
    <w:rPr>
      <w:b/>
      <w:color w:val="FFFFFF"/>
    </w:rPr>
  </w:style>
  <w:style w:type="paragraph" w:customStyle="1" w:styleId="Tablecolumnheadingrightaligned">
    <w:name w:val="Table column heading right aligned"/>
    <w:basedOn w:val="Tablecolumnheading"/>
    <w:rsid w:val="00B400AC"/>
    <w:pPr>
      <w:jc w:val="right"/>
    </w:pPr>
    <w:rPr>
      <w:iCs/>
      <w:szCs w:val="20"/>
    </w:rPr>
  </w:style>
  <w:style w:type="paragraph" w:customStyle="1" w:styleId="TableTextrightaligned">
    <w:name w:val="Table Text right aligned"/>
    <w:basedOn w:val="TableText"/>
    <w:rsid w:val="00F02EC9"/>
    <w:pPr>
      <w:jc w:val="right"/>
    </w:pPr>
    <w:rPr>
      <w:szCs w:val="20"/>
    </w:rPr>
  </w:style>
  <w:style w:type="paragraph" w:customStyle="1" w:styleId="BoxTextItalic">
    <w:name w:val="Box Text Italic"/>
    <w:basedOn w:val="BoxText"/>
    <w:rsid w:val="00CE08DA"/>
    <w:rPr>
      <w:i/>
    </w:rPr>
  </w:style>
  <w:style w:type="paragraph" w:customStyle="1" w:styleId="BoxHeading-nonumber">
    <w:name w:val="Box Heading - no number"/>
    <w:basedOn w:val="BoxHeading"/>
    <w:next w:val="BoxText"/>
    <w:rsid w:val="007C46EC"/>
    <w:pPr>
      <w:numPr>
        <w:ilvl w:val="0"/>
        <w:numId w:val="0"/>
      </w:numPr>
    </w:pPr>
  </w:style>
  <w:style w:type="paragraph" w:styleId="DocumentMap">
    <w:name w:val="Document Map"/>
    <w:basedOn w:val="Normal"/>
    <w:semiHidden/>
    <w:locked/>
    <w:rsid w:val="000F787B"/>
    <w:pPr>
      <w:shd w:val="clear" w:color="auto" w:fill="000080"/>
    </w:pPr>
    <w:rPr>
      <w:rFonts w:ascii="Tahoma" w:hAnsi="Tahoma" w:cs="Tahoma"/>
      <w:szCs w:val="20"/>
    </w:rPr>
  </w:style>
  <w:style w:type="paragraph" w:customStyle="1" w:styleId="Tablereference">
    <w:name w:val="Table reference"/>
    <w:basedOn w:val="TableText"/>
    <w:next w:val="TableText"/>
    <w:link w:val="TablereferenceCharChar"/>
    <w:rsid w:val="00F02EC9"/>
    <w:rPr>
      <w:b/>
      <w:bCs/>
      <w:position w:val="6"/>
      <w:sz w:val="16"/>
    </w:rPr>
  </w:style>
  <w:style w:type="character" w:customStyle="1" w:styleId="TablereferenceCharChar">
    <w:name w:val="Table reference Char Char"/>
    <w:link w:val="Tablereference"/>
    <w:rsid w:val="00F02EC9"/>
    <w:rPr>
      <w:rFonts w:ascii="Century Gothic" w:hAnsi="Century Gothic"/>
      <w:b/>
      <w:bCs/>
      <w:color w:val="6D5E51" w:themeColor="background1"/>
      <w:position w:val="6"/>
      <w:sz w:val="16"/>
      <w:szCs w:val="24"/>
      <w:lang w:eastAsia="en-US"/>
    </w:rPr>
  </w:style>
  <w:style w:type="paragraph" w:customStyle="1" w:styleId="FigureTableNotesreference">
    <w:name w:val="Figure/Table Notes reference"/>
    <w:basedOn w:val="FigureTableNotes"/>
    <w:link w:val="FigureTableNotesreferenceChar"/>
    <w:rsid w:val="00EF190C"/>
    <w:rPr>
      <w:b/>
      <w:bCs/>
      <w:position w:val="6"/>
    </w:rPr>
  </w:style>
  <w:style w:type="character" w:customStyle="1" w:styleId="FigureTableNotesreferenceChar">
    <w:name w:val="Figure/Table Notes reference Char"/>
    <w:link w:val="FigureTableNotesreference"/>
    <w:rsid w:val="00EF190C"/>
    <w:rPr>
      <w:rFonts w:ascii="Century Gothic" w:hAnsi="Century Gothic"/>
      <w:b/>
      <w:bCs/>
      <w:i/>
      <w:color w:val="826E5A"/>
      <w:position w:val="6"/>
      <w:sz w:val="16"/>
      <w:szCs w:val="24"/>
      <w:lang w:val="en-AU" w:eastAsia="en-US" w:bidi="ar-SA"/>
    </w:rPr>
  </w:style>
  <w:style w:type="character" w:styleId="Hyperlink">
    <w:name w:val="Hyperlink"/>
    <w:locked/>
    <w:rsid w:val="0006093A"/>
    <w:rPr>
      <w:color w:val="C95F71" w:themeColor="text1" w:themeTint="99"/>
      <w:u w:val="single"/>
    </w:rPr>
  </w:style>
  <w:style w:type="paragraph" w:customStyle="1" w:styleId="Heading1-nonumber">
    <w:name w:val="Heading 1 - no number"/>
    <w:basedOn w:val="Heading1"/>
    <w:next w:val="Heading2-nonumber"/>
    <w:rsid w:val="0006093A"/>
    <w:pPr>
      <w:numPr>
        <w:numId w:val="0"/>
      </w:numPr>
    </w:pPr>
  </w:style>
  <w:style w:type="paragraph" w:customStyle="1" w:styleId="Tablecolumnheadingcentred">
    <w:name w:val="Table column heading centred"/>
    <w:basedOn w:val="Tablecolumnheading"/>
    <w:rsid w:val="00A9019A"/>
    <w:pPr>
      <w:jc w:val="center"/>
    </w:pPr>
  </w:style>
  <w:style w:type="paragraph" w:customStyle="1" w:styleId="Tablenumber">
    <w:name w:val="Table number"/>
    <w:basedOn w:val="TableTextrightaligned"/>
    <w:rsid w:val="00CE08DA"/>
    <w:pPr>
      <w:ind w:right="284"/>
    </w:pPr>
  </w:style>
  <w:style w:type="paragraph" w:styleId="BalloonText">
    <w:name w:val="Balloon Text"/>
    <w:basedOn w:val="Normal"/>
    <w:semiHidden/>
    <w:locked/>
    <w:rsid w:val="004259D3"/>
    <w:rPr>
      <w:rFonts w:ascii="Tahoma" w:hAnsi="Tahoma" w:cs="Tahoma"/>
      <w:sz w:val="16"/>
      <w:szCs w:val="16"/>
    </w:rPr>
  </w:style>
  <w:style w:type="paragraph" w:customStyle="1" w:styleId="Recommendationheading">
    <w:name w:val="Recommendation heading"/>
    <w:basedOn w:val="Red"/>
    <w:next w:val="Red"/>
    <w:rsid w:val="00CE08DA"/>
    <w:pPr>
      <w:numPr>
        <w:ilvl w:val="6"/>
        <w:numId w:val="7"/>
      </w:numPr>
    </w:pPr>
    <w:rPr>
      <w:b/>
      <w:sz w:val="26"/>
    </w:rPr>
  </w:style>
  <w:style w:type="table" w:styleId="TableGrid">
    <w:name w:val="Table Grid"/>
    <w:basedOn w:val="TableNormal"/>
    <w:locked/>
    <w:rsid w:val="00C7355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
    <w:name w:val="Single"/>
    <w:basedOn w:val="Normal"/>
    <w:next w:val="Normal"/>
    <w:rsid w:val="007A274E"/>
    <w:pPr>
      <w:spacing w:after="0"/>
    </w:pPr>
  </w:style>
  <w:style w:type="paragraph" w:customStyle="1" w:styleId="Boxnote">
    <w:name w:val="Box note"/>
    <w:basedOn w:val="BoxSource"/>
    <w:next w:val="BoxSource"/>
    <w:rsid w:val="00662AC5"/>
    <w:rPr>
      <w:i w:val="0"/>
    </w:rPr>
  </w:style>
  <w:style w:type="paragraph" w:customStyle="1" w:styleId="Informationrequest">
    <w:name w:val="Information request"/>
    <w:basedOn w:val="Heading4"/>
    <w:rsid w:val="00662AC5"/>
    <w:rPr>
      <w:color w:val="FFFFFF"/>
    </w:rPr>
  </w:style>
  <w:style w:type="paragraph" w:customStyle="1" w:styleId="KeyPoints">
    <w:name w:val="Key Points"/>
    <w:basedOn w:val="BoxHeading-nonumber"/>
    <w:qFormat/>
    <w:rsid w:val="003709EA"/>
    <w:rPr>
      <w:color w:val="732734" w:themeColor="text1"/>
    </w:rPr>
  </w:style>
  <w:style w:type="character" w:customStyle="1" w:styleId="Heading2Char">
    <w:name w:val="Heading 2 Char"/>
    <w:link w:val="Heading2"/>
    <w:locked/>
    <w:rsid w:val="00FB58C7"/>
    <w:rPr>
      <w:rFonts w:ascii="Century Gothic" w:hAnsi="Century Gothic" w:cs="Arial"/>
      <w:b/>
      <w:bCs/>
      <w:iCs/>
      <w:color w:val="732734" w:themeColor="text1"/>
      <w:sz w:val="32"/>
      <w:szCs w:val="28"/>
      <w:lang w:eastAsia="en-US"/>
    </w:rPr>
  </w:style>
  <w:style w:type="character" w:customStyle="1" w:styleId="Heading3Char">
    <w:name w:val="Heading 3 Char"/>
    <w:link w:val="Heading3"/>
    <w:locked/>
    <w:rsid w:val="00FB58C7"/>
    <w:rPr>
      <w:rFonts w:ascii="Century Gothic" w:hAnsi="Century Gothic" w:cs="Arial"/>
      <w:b/>
      <w:bCs/>
      <w:color w:val="732734" w:themeColor="text1"/>
      <w:sz w:val="28"/>
      <w:szCs w:val="26"/>
      <w:lang w:eastAsia="en-US"/>
    </w:rPr>
  </w:style>
  <w:style w:type="character" w:customStyle="1" w:styleId="Heading4Char">
    <w:name w:val="Heading 4 Char"/>
    <w:link w:val="Heading4"/>
    <w:locked/>
    <w:rsid w:val="00402721"/>
    <w:rPr>
      <w:rFonts w:ascii="Century Gothic" w:hAnsi="Century Gothic"/>
      <w:color w:val="732734" w:themeColor="text1"/>
      <w:sz w:val="24"/>
      <w:szCs w:val="24"/>
      <w:lang w:eastAsia="en-US"/>
    </w:rPr>
  </w:style>
  <w:style w:type="character" w:customStyle="1" w:styleId="FooterChar">
    <w:name w:val="Footer Char"/>
    <w:link w:val="Footer"/>
    <w:locked/>
    <w:rsid w:val="00FB58C7"/>
    <w:rPr>
      <w:rFonts w:ascii="Century Gothic" w:hAnsi="Century Gothic"/>
      <w:smallCaps/>
      <w:color w:val="6D5E51" w:themeColor="background1"/>
      <w:lang w:eastAsia="en-US"/>
    </w:rPr>
  </w:style>
  <w:style w:type="character" w:customStyle="1" w:styleId="BulletChar">
    <w:name w:val="Bullet Char"/>
    <w:link w:val="Bullet"/>
    <w:locked/>
    <w:rsid w:val="00FB58C7"/>
    <w:rPr>
      <w:rFonts w:ascii="Century Gothic" w:hAnsi="Century Gothic"/>
      <w:szCs w:val="24"/>
      <w:lang w:eastAsia="en-US"/>
    </w:rPr>
  </w:style>
  <w:style w:type="paragraph" w:customStyle="1" w:styleId="Draftrecommendation">
    <w:name w:val="Draft recommendation"/>
    <w:basedOn w:val="Recommendationheading"/>
    <w:qFormat/>
    <w:rsid w:val="007814C1"/>
    <w:pPr>
      <w:numPr>
        <w:ilvl w:val="0"/>
        <w:numId w:val="0"/>
      </w:numPr>
    </w:pPr>
    <w:rPr>
      <w:color w:val="FFFFFF" w:themeColor="accent1"/>
    </w:rPr>
  </w:style>
  <w:style w:type="character" w:customStyle="1" w:styleId="HeaderChar">
    <w:name w:val="Header Char"/>
    <w:basedOn w:val="DefaultParagraphFont"/>
    <w:link w:val="Header"/>
    <w:rsid w:val="00705BBB"/>
    <w:rPr>
      <w:rFonts w:ascii="Century Gothic" w:hAnsi="Century Gothic"/>
      <w:color w:val="826E5A"/>
      <w:szCs w:val="24"/>
      <w:lang w:eastAsia="en-US"/>
    </w:rPr>
  </w:style>
  <w:style w:type="paragraph" w:styleId="ListParagraph">
    <w:name w:val="List Paragraph"/>
    <w:basedOn w:val="Normal"/>
    <w:link w:val="ListParagraphChar"/>
    <w:uiPriority w:val="34"/>
    <w:qFormat/>
    <w:rsid w:val="009B649A"/>
    <w:pPr>
      <w:ind w:left="720"/>
      <w:contextualSpacing/>
    </w:pPr>
  </w:style>
  <w:style w:type="character" w:customStyle="1" w:styleId="FootnoteTextChar">
    <w:name w:val="Footnote Text Char"/>
    <w:link w:val="FootnoteText"/>
    <w:uiPriority w:val="99"/>
    <w:locked/>
    <w:rsid w:val="00DD247F"/>
    <w:rPr>
      <w:rFonts w:ascii="Century Gothic" w:hAnsi="Century Gothic"/>
      <w:lang w:eastAsia="en-US"/>
    </w:rPr>
  </w:style>
  <w:style w:type="character" w:styleId="CommentReference">
    <w:name w:val="annotation reference"/>
    <w:basedOn w:val="DefaultParagraphFont"/>
    <w:locked/>
    <w:rsid w:val="00C0776F"/>
    <w:rPr>
      <w:sz w:val="16"/>
      <w:szCs w:val="16"/>
    </w:rPr>
  </w:style>
  <w:style w:type="paragraph" w:styleId="CommentText">
    <w:name w:val="annotation text"/>
    <w:basedOn w:val="Normal"/>
    <w:link w:val="CommentTextChar"/>
    <w:locked/>
    <w:rsid w:val="00C0776F"/>
    <w:rPr>
      <w:szCs w:val="20"/>
    </w:rPr>
  </w:style>
  <w:style w:type="character" w:customStyle="1" w:styleId="CommentTextChar">
    <w:name w:val="Comment Text Char"/>
    <w:basedOn w:val="DefaultParagraphFont"/>
    <w:link w:val="CommentText"/>
    <w:rsid w:val="00C0776F"/>
    <w:rPr>
      <w:rFonts w:ascii="Century Gothic" w:hAnsi="Century Gothic"/>
      <w:lang w:eastAsia="en-US"/>
    </w:rPr>
  </w:style>
  <w:style w:type="table" w:styleId="LightList-Accent4">
    <w:name w:val="Light List Accent 4"/>
    <w:basedOn w:val="TableNormal"/>
    <w:uiPriority w:val="61"/>
    <w:rsid w:val="00F405EE"/>
    <w:tblPr>
      <w:tblStyleRowBandSize w:val="1"/>
      <w:tblStyleColBandSize w:val="1"/>
      <w:tblBorders>
        <w:top w:val="single" w:sz="8" w:space="0" w:color="615343" w:themeColor="accent4"/>
        <w:left w:val="single" w:sz="8" w:space="0" w:color="615343" w:themeColor="accent4"/>
        <w:bottom w:val="single" w:sz="8" w:space="0" w:color="615343" w:themeColor="accent4"/>
        <w:right w:val="single" w:sz="8" w:space="0" w:color="615343" w:themeColor="accent4"/>
      </w:tblBorders>
    </w:tblPr>
    <w:tblStylePr w:type="firstRow">
      <w:pPr>
        <w:spacing w:before="0" w:after="0" w:line="240" w:lineRule="auto"/>
      </w:pPr>
      <w:rPr>
        <w:b/>
        <w:bCs/>
        <w:color w:val="6D5E51" w:themeColor="background1"/>
      </w:rPr>
      <w:tblPr/>
      <w:tcPr>
        <w:shd w:val="clear" w:color="auto" w:fill="615343" w:themeFill="accent4"/>
      </w:tcPr>
    </w:tblStylePr>
    <w:tblStylePr w:type="lastRow">
      <w:pPr>
        <w:spacing w:before="0" w:after="0" w:line="240" w:lineRule="auto"/>
      </w:pPr>
      <w:rPr>
        <w:b/>
        <w:bCs/>
      </w:rPr>
      <w:tblPr/>
      <w:tcPr>
        <w:tcBorders>
          <w:top w:val="double" w:sz="6" w:space="0" w:color="615343" w:themeColor="accent4"/>
          <w:left w:val="single" w:sz="8" w:space="0" w:color="615343" w:themeColor="accent4"/>
          <w:bottom w:val="single" w:sz="8" w:space="0" w:color="615343" w:themeColor="accent4"/>
          <w:right w:val="single" w:sz="8" w:space="0" w:color="615343" w:themeColor="accent4"/>
        </w:tcBorders>
      </w:tcPr>
    </w:tblStylePr>
    <w:tblStylePr w:type="firstCol">
      <w:rPr>
        <w:b/>
        <w:bCs/>
      </w:rPr>
    </w:tblStylePr>
    <w:tblStylePr w:type="lastCol">
      <w:rPr>
        <w:b/>
        <w:bCs/>
      </w:rPr>
    </w:tblStylePr>
    <w:tblStylePr w:type="band1Vert">
      <w:tblPr/>
      <w:tcPr>
        <w:tcBorders>
          <w:top w:val="single" w:sz="8" w:space="0" w:color="615343" w:themeColor="accent4"/>
          <w:left w:val="single" w:sz="8" w:space="0" w:color="615343" w:themeColor="accent4"/>
          <w:bottom w:val="single" w:sz="8" w:space="0" w:color="615343" w:themeColor="accent4"/>
          <w:right w:val="single" w:sz="8" w:space="0" w:color="615343" w:themeColor="accent4"/>
        </w:tcBorders>
      </w:tcPr>
    </w:tblStylePr>
    <w:tblStylePr w:type="band1Horz">
      <w:tblPr/>
      <w:tcPr>
        <w:tcBorders>
          <w:top w:val="single" w:sz="8" w:space="0" w:color="615343" w:themeColor="accent4"/>
          <w:left w:val="single" w:sz="8" w:space="0" w:color="615343" w:themeColor="accent4"/>
          <w:bottom w:val="single" w:sz="8" w:space="0" w:color="615343" w:themeColor="accent4"/>
          <w:right w:val="single" w:sz="8" w:space="0" w:color="615343" w:themeColor="accent4"/>
        </w:tcBorders>
      </w:tcPr>
    </w:tblStylePr>
  </w:style>
  <w:style w:type="paragraph" w:styleId="CommentSubject">
    <w:name w:val="annotation subject"/>
    <w:basedOn w:val="CommentText"/>
    <w:next w:val="CommentText"/>
    <w:link w:val="CommentSubjectChar"/>
    <w:locked/>
    <w:rsid w:val="00022096"/>
    <w:rPr>
      <w:b/>
      <w:bCs/>
    </w:rPr>
  </w:style>
  <w:style w:type="character" w:customStyle="1" w:styleId="CommentSubjectChar">
    <w:name w:val="Comment Subject Char"/>
    <w:basedOn w:val="CommentTextChar"/>
    <w:link w:val="CommentSubject"/>
    <w:rsid w:val="00022096"/>
    <w:rPr>
      <w:rFonts w:ascii="Century Gothic" w:hAnsi="Century Gothic"/>
      <w:b/>
      <w:bCs/>
      <w:lang w:eastAsia="en-US"/>
    </w:rPr>
  </w:style>
  <w:style w:type="paragraph" w:styleId="Revision">
    <w:name w:val="Revision"/>
    <w:hidden/>
    <w:uiPriority w:val="99"/>
    <w:semiHidden/>
    <w:rsid w:val="00022096"/>
    <w:rPr>
      <w:rFonts w:ascii="Century Gothic" w:hAnsi="Century Gothic"/>
      <w:szCs w:val="24"/>
      <w:lang w:eastAsia="en-US"/>
    </w:rPr>
  </w:style>
  <w:style w:type="numbering" w:customStyle="1" w:styleId="FEBulletList">
    <w:name w:val="FE Bullet List"/>
    <w:uiPriority w:val="99"/>
    <w:rsid w:val="00813082"/>
    <w:pPr>
      <w:numPr>
        <w:numId w:val="23"/>
      </w:numPr>
    </w:pPr>
  </w:style>
  <w:style w:type="table" w:customStyle="1" w:styleId="FETable">
    <w:name w:val="FE Table"/>
    <w:basedOn w:val="TableNormal"/>
    <w:qFormat/>
    <w:rsid w:val="00813082"/>
    <w:pPr>
      <w:spacing w:before="120" w:after="120"/>
      <w:jc w:val="center"/>
    </w:pPr>
    <w:rPr>
      <w:rFonts w:asciiTheme="majorHAnsi" w:eastAsiaTheme="minorHAnsi" w:hAnsiTheme="majorHAnsi"/>
      <w:sz w:val="18"/>
      <w:lang w:eastAsia="en-US"/>
    </w:rPr>
    <w:tblPr>
      <w:tblStyleRowBandSize w:val="1"/>
      <w:tblStyleColBandSize w:val="1"/>
      <w:jc w:val="center"/>
      <w:tblBorders>
        <w:top w:val="single" w:sz="12" w:space="0" w:color="003366" w:themeColor="text2"/>
        <w:bottom w:val="single" w:sz="12" w:space="0" w:color="003366" w:themeColor="text2"/>
        <w:insideH w:val="single" w:sz="4" w:space="0" w:color="362F28" w:themeColor="background1" w:themeShade="80"/>
      </w:tblBorders>
    </w:tblPr>
    <w:trPr>
      <w:jc w:val="center"/>
    </w:trPr>
    <w:tcPr>
      <w:vAlign w:val="center"/>
    </w:tcPr>
    <w:tblStylePr w:type="firstRow">
      <w:rPr>
        <w:rFonts w:asciiTheme="majorHAnsi" w:hAnsiTheme="majorHAnsi"/>
        <w:b/>
        <w:color w:val="489694" w:themeColor="background2"/>
        <w:sz w:val="19"/>
      </w:rPr>
      <w:tblPr/>
      <w:tcPr>
        <w:tcBorders>
          <w:top w:val="single" w:sz="4" w:space="0" w:color="003366" w:themeColor="text2"/>
          <w:left w:val="nil"/>
          <w:bottom w:val="single" w:sz="4" w:space="0" w:color="003366" w:themeColor="text2"/>
          <w:right w:val="nil"/>
          <w:insideH w:val="nil"/>
          <w:insideV w:val="single" w:sz="4" w:space="0" w:color="489694" w:themeColor="background2"/>
        </w:tcBorders>
        <w:shd w:val="clear" w:color="auto" w:fill="003366" w:themeFill="text2"/>
      </w:tcPr>
    </w:tblStylePr>
    <w:tblStylePr w:type="lastRow">
      <w:rPr>
        <w:b/>
      </w:rPr>
      <w:tblPr/>
      <w:tcPr>
        <w:tcBorders>
          <w:top w:val="single" w:sz="12" w:space="0" w:color="003366" w:themeColor="text2"/>
        </w:tcBorders>
      </w:tcPr>
    </w:tblStylePr>
    <w:tblStylePr w:type="firstCol">
      <w:pPr>
        <w:jc w:val="left"/>
      </w:pPr>
      <w:rPr>
        <w:rFonts w:asciiTheme="majorHAnsi" w:hAnsiTheme="majorHAnsi"/>
        <w:b w:val="0"/>
        <w:sz w:val="18"/>
      </w:rPr>
      <w:tblPr/>
      <w:tcPr>
        <w:tcBorders>
          <w:top w:val="nil"/>
          <w:left w:val="nil"/>
          <w:bottom w:val="single" w:sz="12" w:space="0" w:color="003366" w:themeColor="text2"/>
          <w:right w:val="nil"/>
          <w:insideH w:val="single" w:sz="4" w:space="0" w:color="D17988" w:themeColor="text1" w:themeTint="80"/>
          <w:insideV w:val="single" w:sz="4" w:space="0" w:color="D17988" w:themeColor="text1" w:themeTint="80"/>
          <w:tl2br w:val="nil"/>
          <w:tr2bl w:val="nil"/>
        </w:tcBorders>
      </w:tcPr>
    </w:tblStylePr>
    <w:tblStylePr w:type="lastCol">
      <w:pPr>
        <w:jc w:val="center"/>
      </w:pPr>
      <w:rPr>
        <w:rFonts w:asciiTheme="majorHAnsi" w:hAnsiTheme="majorHAnsi"/>
        <w:b w:val="0"/>
        <w:sz w:val="18"/>
      </w:rPr>
      <w:tblPr/>
      <w:tcPr>
        <w:tcBorders>
          <w:top w:val="nil"/>
          <w:left w:val="nil"/>
          <w:bottom w:val="single" w:sz="12" w:space="0" w:color="003366" w:themeColor="text2"/>
          <w:right w:val="nil"/>
          <w:insideH w:val="single" w:sz="4" w:space="0" w:color="D17988" w:themeColor="text1" w:themeTint="80"/>
          <w:insideV w:val="single" w:sz="4" w:space="0" w:color="D17988" w:themeColor="text1" w:themeTint="80"/>
          <w:tl2br w:val="nil"/>
          <w:tr2bl w:val="nil"/>
        </w:tcBorders>
      </w:tcPr>
    </w:tblStylePr>
    <w:tblStylePr w:type="band1Vert">
      <w:pPr>
        <w:jc w:val="center"/>
      </w:pPr>
      <w:tblPr/>
      <w:tcPr>
        <w:tcBorders>
          <w:bottom w:val="single" w:sz="12" w:space="0" w:color="003366" w:themeColor="text2"/>
          <w:insideH w:val="single" w:sz="4" w:space="0" w:color="D17988" w:themeColor="text1" w:themeTint="80"/>
        </w:tcBorders>
      </w:tcPr>
    </w:tblStylePr>
    <w:tblStylePr w:type="band2Vert">
      <w:pPr>
        <w:jc w:val="center"/>
      </w:pPr>
      <w:tblPr/>
      <w:tcPr>
        <w:tcBorders>
          <w:insideH w:val="single" w:sz="4" w:space="0" w:color="D17988" w:themeColor="text1" w:themeTint="80"/>
        </w:tcBorders>
        <w:shd w:val="clear" w:color="auto" w:fill="448E8C" w:themeFill="background2" w:themeFillShade="F2"/>
      </w:tcPr>
    </w:tblStylePr>
    <w:tblStylePr w:type="band1Horz">
      <w:tblPr/>
      <w:tcPr>
        <w:tcBorders>
          <w:left w:val="nil"/>
          <w:right w:val="nil"/>
          <w:insideV w:val="single" w:sz="4" w:space="0" w:color="D17988" w:themeColor="text1" w:themeTint="80"/>
        </w:tcBorders>
      </w:tcPr>
    </w:tblStylePr>
    <w:tblStylePr w:type="band2Horz">
      <w:tblPr/>
      <w:tcPr>
        <w:tcBorders>
          <w:insideV w:val="single" w:sz="4" w:space="0" w:color="D17988" w:themeColor="text1" w:themeTint="80"/>
        </w:tcBorders>
        <w:shd w:val="clear" w:color="auto" w:fill="448E8C" w:themeFill="background2" w:themeFillShade="F2"/>
      </w:tcPr>
    </w:tblStylePr>
  </w:style>
  <w:style w:type="paragraph" w:customStyle="1" w:styleId="FEBullet2">
    <w:name w:val="FE Bullet 2"/>
    <w:basedOn w:val="ListParagraph"/>
    <w:link w:val="FEBullet2Char"/>
    <w:uiPriority w:val="2"/>
    <w:qFormat/>
    <w:rsid w:val="00813082"/>
    <w:pPr>
      <w:numPr>
        <w:numId w:val="24"/>
      </w:numPr>
      <w:spacing w:before="120" w:after="120" w:line="264" w:lineRule="auto"/>
      <w:contextualSpacing w:val="0"/>
    </w:pPr>
    <w:rPr>
      <w:rFonts w:ascii="Garamond" w:eastAsia="SimSun" w:hAnsi="Garamond"/>
      <w:sz w:val="24"/>
      <w:szCs w:val="20"/>
    </w:rPr>
  </w:style>
  <w:style w:type="paragraph" w:customStyle="1" w:styleId="NormalLarge">
    <w:name w:val="Normal Large"/>
    <w:basedOn w:val="Normal"/>
    <w:rsid w:val="00813082"/>
    <w:pPr>
      <w:spacing w:before="120" w:after="120" w:line="264" w:lineRule="auto"/>
    </w:pPr>
    <w:rPr>
      <w:rFonts w:ascii="Arial" w:eastAsia="SimSun" w:hAnsi="Arial"/>
      <w:sz w:val="24"/>
      <w:szCs w:val="20"/>
    </w:rPr>
  </w:style>
  <w:style w:type="character" w:customStyle="1" w:styleId="ListParagraphChar">
    <w:name w:val="List Paragraph Char"/>
    <w:basedOn w:val="DefaultParagraphFont"/>
    <w:link w:val="ListParagraph"/>
    <w:uiPriority w:val="34"/>
    <w:rsid w:val="00882B59"/>
    <w:rPr>
      <w:rFonts w:ascii="Century Gothic" w:hAnsi="Century Gothic"/>
      <w:szCs w:val="24"/>
      <w:lang w:eastAsia="en-US"/>
    </w:rPr>
  </w:style>
  <w:style w:type="paragraph" w:styleId="Quote">
    <w:name w:val="Quote"/>
    <w:basedOn w:val="Normal"/>
    <w:next w:val="Normal"/>
    <w:link w:val="QuoteChar"/>
    <w:uiPriority w:val="1"/>
    <w:qFormat/>
    <w:rsid w:val="001620A2"/>
    <w:pPr>
      <w:spacing w:before="180" w:after="180" w:line="264" w:lineRule="auto"/>
      <w:ind w:left="425"/>
    </w:pPr>
    <w:rPr>
      <w:rFonts w:asciiTheme="majorHAnsi" w:eastAsia="SimSun" w:hAnsiTheme="majorHAnsi"/>
      <w:iCs/>
      <w:sz w:val="19"/>
      <w:szCs w:val="20"/>
    </w:rPr>
  </w:style>
  <w:style w:type="character" w:customStyle="1" w:styleId="QuoteChar">
    <w:name w:val="Quote Char"/>
    <w:basedOn w:val="DefaultParagraphFont"/>
    <w:link w:val="Quote"/>
    <w:uiPriority w:val="1"/>
    <w:rsid w:val="001620A2"/>
    <w:rPr>
      <w:rFonts w:asciiTheme="majorHAnsi" w:eastAsia="SimSun" w:hAnsiTheme="majorHAnsi"/>
      <w:iCs/>
      <w:sz w:val="19"/>
      <w:lang w:eastAsia="en-US"/>
    </w:rPr>
  </w:style>
  <w:style w:type="table" w:customStyle="1" w:styleId="FEFigure">
    <w:name w:val="FE Figure"/>
    <w:basedOn w:val="TableNormal"/>
    <w:rsid w:val="001620A2"/>
    <w:pPr>
      <w:spacing w:before="120" w:after="120"/>
    </w:pPr>
    <w:rPr>
      <w:rFonts w:ascii="Garamond" w:eastAsia="SimSun" w:hAnsi="Garamond"/>
    </w:rPr>
    <w:tblPr>
      <w:jc w:val="center"/>
      <w:tblBorders>
        <w:top w:val="single" w:sz="8" w:space="0" w:color="E83F35"/>
        <w:left w:val="single" w:sz="8" w:space="0" w:color="E83F35"/>
        <w:bottom w:val="single" w:sz="8" w:space="0" w:color="E83F35"/>
        <w:right w:val="single" w:sz="8" w:space="0" w:color="E83F35"/>
      </w:tblBorders>
    </w:tblPr>
    <w:trPr>
      <w:jc w:val="center"/>
    </w:trPr>
    <w:tcPr>
      <w:shd w:val="clear" w:color="auto" w:fill="auto"/>
    </w:tcPr>
  </w:style>
  <w:style w:type="character" w:customStyle="1" w:styleId="FEBullet2Char">
    <w:name w:val="FE Bullet 2 Char"/>
    <w:basedOn w:val="ListParagraphChar"/>
    <w:link w:val="FEBullet2"/>
    <w:uiPriority w:val="2"/>
    <w:rsid w:val="00BA76A4"/>
    <w:rPr>
      <w:rFonts w:ascii="Garamond" w:eastAsia="SimSun" w:hAnsi="Garamond"/>
      <w:sz w:val="24"/>
      <w:szCs w:val="24"/>
      <w:lang w:eastAsia="en-US"/>
    </w:rPr>
  </w:style>
  <w:style w:type="paragraph" w:styleId="Caption">
    <w:name w:val="caption"/>
    <w:basedOn w:val="Normal"/>
    <w:next w:val="Normal"/>
    <w:qFormat/>
    <w:locked/>
    <w:rsid w:val="009B258E"/>
    <w:pPr>
      <w:keepNext/>
      <w:spacing w:before="240" w:after="120" w:line="264" w:lineRule="auto"/>
      <w:jc w:val="left"/>
    </w:pPr>
    <w:rPr>
      <w:rFonts w:asciiTheme="majorHAnsi" w:eastAsia="SimSun" w:hAnsiTheme="majorHAnsi"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8C7"/>
    <w:pPr>
      <w:spacing w:after="240"/>
      <w:jc w:val="both"/>
    </w:pPr>
    <w:rPr>
      <w:rFonts w:ascii="Century Gothic" w:hAnsi="Century Gothic"/>
      <w:szCs w:val="24"/>
      <w:lang w:eastAsia="en-US"/>
    </w:rPr>
  </w:style>
  <w:style w:type="paragraph" w:styleId="Heading1">
    <w:name w:val="heading 1"/>
    <w:basedOn w:val="Normal"/>
    <w:next w:val="Normal"/>
    <w:qFormat/>
    <w:rsid w:val="00CF4B8A"/>
    <w:pPr>
      <w:keepNext/>
      <w:numPr>
        <w:numId w:val="7"/>
      </w:numPr>
      <w:jc w:val="left"/>
      <w:outlineLvl w:val="0"/>
    </w:pPr>
    <w:rPr>
      <w:rFonts w:cs="Arial"/>
      <w:b/>
      <w:bCs/>
      <w:color w:val="732734" w:themeColor="text1"/>
      <w:kern w:val="32"/>
      <w:sz w:val="36"/>
      <w:szCs w:val="32"/>
    </w:rPr>
  </w:style>
  <w:style w:type="paragraph" w:styleId="Heading2">
    <w:name w:val="heading 2"/>
    <w:basedOn w:val="Normal"/>
    <w:next w:val="Normal"/>
    <w:link w:val="Heading2Char"/>
    <w:qFormat/>
    <w:rsid w:val="0006093A"/>
    <w:pPr>
      <w:keepNext/>
      <w:numPr>
        <w:ilvl w:val="1"/>
        <w:numId w:val="7"/>
      </w:numPr>
      <w:spacing w:line="240" w:lineRule="atLeast"/>
      <w:jc w:val="left"/>
      <w:outlineLvl w:val="1"/>
    </w:pPr>
    <w:rPr>
      <w:rFonts w:cs="Arial"/>
      <w:b/>
      <w:bCs/>
      <w:iCs/>
      <w:color w:val="732734" w:themeColor="text1"/>
      <w:sz w:val="32"/>
      <w:szCs w:val="28"/>
    </w:rPr>
  </w:style>
  <w:style w:type="paragraph" w:styleId="Heading3">
    <w:name w:val="heading 3"/>
    <w:basedOn w:val="Normal"/>
    <w:next w:val="Normal"/>
    <w:link w:val="Heading3Char"/>
    <w:qFormat/>
    <w:rsid w:val="00CF4B8A"/>
    <w:pPr>
      <w:keepNext/>
      <w:numPr>
        <w:ilvl w:val="2"/>
        <w:numId w:val="7"/>
      </w:numPr>
      <w:jc w:val="left"/>
      <w:outlineLvl w:val="2"/>
    </w:pPr>
    <w:rPr>
      <w:rFonts w:cs="Arial"/>
      <w:b/>
      <w:bCs/>
      <w:color w:val="732734" w:themeColor="text1"/>
      <w:sz w:val="28"/>
      <w:szCs w:val="26"/>
    </w:rPr>
  </w:style>
  <w:style w:type="paragraph" w:styleId="Heading4">
    <w:name w:val="heading 4"/>
    <w:basedOn w:val="Normal"/>
    <w:next w:val="Normal"/>
    <w:link w:val="Heading4Char"/>
    <w:autoRedefine/>
    <w:qFormat/>
    <w:rsid w:val="00402721"/>
    <w:pPr>
      <w:keepNext/>
      <w:pBdr>
        <w:top w:val="single" w:sz="18" w:space="1" w:color="732734" w:themeColor="text1"/>
        <w:left w:val="single" w:sz="18" w:space="4" w:color="732734" w:themeColor="text1"/>
        <w:bottom w:val="single" w:sz="18" w:space="6" w:color="732734" w:themeColor="text1"/>
        <w:right w:val="single" w:sz="18" w:space="4" w:color="732734" w:themeColor="text1"/>
      </w:pBdr>
      <w:jc w:val="left"/>
      <w:outlineLvl w:val="3"/>
    </w:pPr>
    <w:rPr>
      <w:color w:val="732734" w:themeColor="text1"/>
      <w:sz w:val="24"/>
    </w:rPr>
  </w:style>
  <w:style w:type="paragraph" w:styleId="Heading5">
    <w:name w:val="heading 5"/>
    <w:next w:val="Normal"/>
    <w:qFormat/>
    <w:rsid w:val="0006093A"/>
    <w:pPr>
      <w:keepNext/>
      <w:spacing w:after="240"/>
      <w:outlineLvl w:val="4"/>
    </w:pPr>
    <w:rPr>
      <w:rFonts w:ascii="Century Gothic" w:hAnsi="Century Gothic"/>
      <w:bCs/>
      <w:i/>
      <w:iCs/>
      <w:color w:val="732734" w:themeColor="text1"/>
      <w:sz w:val="24"/>
      <w:szCs w:val="26"/>
      <w:lang w:eastAsia="en-US"/>
    </w:rPr>
  </w:style>
  <w:style w:type="paragraph" w:styleId="Heading6">
    <w:name w:val="heading 6"/>
    <w:aliases w:val="Heading 6 - do not use"/>
    <w:basedOn w:val="Normal"/>
    <w:next w:val="Normal"/>
    <w:semiHidden/>
    <w:qFormat/>
    <w:locked/>
    <w:pPr>
      <w:numPr>
        <w:ilvl w:val="5"/>
        <w:numId w:val="5"/>
      </w:numPr>
      <w:spacing w:before="240" w:after="60"/>
      <w:outlineLvl w:val="5"/>
    </w:pPr>
    <w:rPr>
      <w:b/>
      <w:bCs/>
      <w:sz w:val="22"/>
      <w:szCs w:val="22"/>
    </w:rPr>
  </w:style>
  <w:style w:type="paragraph" w:styleId="Heading7">
    <w:name w:val="heading 7"/>
    <w:aliases w:val="Heading 7 - do not use"/>
    <w:basedOn w:val="Normal"/>
    <w:next w:val="Normal"/>
    <w:semiHidden/>
    <w:qFormat/>
    <w:locked/>
    <w:pPr>
      <w:numPr>
        <w:ilvl w:val="6"/>
        <w:numId w:val="5"/>
      </w:numPr>
      <w:spacing w:before="240" w:after="60"/>
      <w:outlineLvl w:val="6"/>
    </w:pPr>
  </w:style>
  <w:style w:type="paragraph" w:styleId="Heading8">
    <w:name w:val="heading 8"/>
    <w:aliases w:val="Heading 8 - do not use"/>
    <w:basedOn w:val="Normal"/>
    <w:next w:val="Normal"/>
    <w:semiHidden/>
    <w:qFormat/>
    <w:locked/>
    <w:pPr>
      <w:numPr>
        <w:ilvl w:val="7"/>
        <w:numId w:val="5"/>
      </w:numPr>
      <w:spacing w:before="240" w:after="60"/>
      <w:outlineLvl w:val="7"/>
    </w:pPr>
    <w:rPr>
      <w:i/>
      <w:iCs/>
    </w:rPr>
  </w:style>
  <w:style w:type="paragraph" w:styleId="Heading9">
    <w:name w:val="heading 9"/>
    <w:aliases w:val="Heading 9 - do not use"/>
    <w:basedOn w:val="Normal"/>
    <w:next w:val="Normal"/>
    <w:semiHidden/>
    <w:qFormat/>
    <w:locke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dash">
    <w:name w:val="Red dash"/>
    <w:basedOn w:val="BulletNumbering2"/>
    <w:rsid w:val="0006093A"/>
    <w:pPr>
      <w:numPr>
        <w:ilvl w:val="0"/>
        <w:numId w:val="8"/>
      </w:numPr>
    </w:pPr>
    <w:rPr>
      <w:color w:val="732734" w:themeColor="text1"/>
    </w:rPr>
  </w:style>
  <w:style w:type="paragraph" w:customStyle="1" w:styleId="BulletNumbering2">
    <w:name w:val="Bullet/Numbering 2"/>
    <w:basedOn w:val="Normal"/>
    <w:rsid w:val="004152B3"/>
    <w:pPr>
      <w:numPr>
        <w:ilvl w:val="1"/>
        <w:numId w:val="11"/>
      </w:numPr>
      <w:tabs>
        <w:tab w:val="left" w:pos="794"/>
      </w:tabs>
      <w:spacing w:after="120"/>
    </w:pPr>
    <w:rPr>
      <w:sz w:val="18"/>
    </w:rPr>
  </w:style>
  <w:style w:type="paragraph" w:styleId="Footer">
    <w:name w:val="footer"/>
    <w:link w:val="FooterChar"/>
    <w:rsid w:val="00CF4B8A"/>
    <w:pPr>
      <w:pBdr>
        <w:top w:val="single" w:sz="4" w:space="4" w:color="6D5E51" w:themeColor="background1"/>
      </w:pBdr>
      <w:tabs>
        <w:tab w:val="center" w:pos="4153"/>
        <w:tab w:val="right" w:pos="8460"/>
      </w:tabs>
      <w:spacing w:after="240"/>
    </w:pPr>
    <w:rPr>
      <w:rFonts w:ascii="Century Gothic" w:hAnsi="Century Gothic"/>
      <w:smallCaps/>
      <w:color w:val="6D5E51" w:themeColor="background1"/>
      <w:lang w:eastAsia="en-US"/>
    </w:rPr>
  </w:style>
  <w:style w:type="paragraph" w:customStyle="1" w:styleId="Heading3-nonumber">
    <w:name w:val="Heading 3 - no number"/>
    <w:basedOn w:val="Heading3"/>
    <w:next w:val="Normal"/>
    <w:rsid w:val="0006093A"/>
    <w:pPr>
      <w:numPr>
        <w:ilvl w:val="0"/>
        <w:numId w:val="0"/>
      </w:numPr>
    </w:pPr>
  </w:style>
  <w:style w:type="paragraph" w:customStyle="1" w:styleId="Appendixtable">
    <w:name w:val="Appendix table"/>
    <w:basedOn w:val="Normal"/>
    <w:next w:val="Normal"/>
    <w:rsid w:val="00F02EC9"/>
    <w:pPr>
      <w:tabs>
        <w:tab w:val="num" w:pos="1701"/>
      </w:tabs>
      <w:ind w:left="1701" w:hanging="1701"/>
    </w:pPr>
    <w:rPr>
      <w:b/>
      <w:color w:val="6D5E51" w:themeColor="background1"/>
      <w:sz w:val="28"/>
    </w:rPr>
  </w:style>
  <w:style w:type="paragraph" w:customStyle="1" w:styleId="Heading2-nonumber">
    <w:name w:val="Heading 2 - no number"/>
    <w:basedOn w:val="Heading2"/>
    <w:next w:val="Normal"/>
    <w:rsid w:val="0006093A"/>
    <w:pPr>
      <w:numPr>
        <w:ilvl w:val="0"/>
        <w:numId w:val="0"/>
      </w:numPr>
    </w:pPr>
  </w:style>
  <w:style w:type="paragraph" w:customStyle="1" w:styleId="Numbering">
    <w:name w:val="Numbering"/>
    <w:basedOn w:val="Normal"/>
    <w:rsid w:val="00AD2CB1"/>
    <w:pPr>
      <w:numPr>
        <w:numId w:val="1"/>
      </w:numPr>
    </w:pPr>
  </w:style>
  <w:style w:type="paragraph" w:customStyle="1" w:styleId="BoxText">
    <w:name w:val="Box Text"/>
    <w:rsid w:val="00662AC5"/>
    <w:pPr>
      <w:spacing w:after="120"/>
      <w:jc w:val="both"/>
    </w:pPr>
    <w:rPr>
      <w:rFonts w:ascii="Century Gothic" w:hAnsi="Century Gothic"/>
      <w:szCs w:val="24"/>
      <w:lang w:eastAsia="en-US"/>
    </w:rPr>
  </w:style>
  <w:style w:type="paragraph" w:customStyle="1" w:styleId="BoxBullet">
    <w:name w:val="Box Bullet"/>
    <w:basedOn w:val="BoxText"/>
    <w:rsid w:val="00646921"/>
    <w:pPr>
      <w:numPr>
        <w:numId w:val="9"/>
      </w:numPr>
      <w:tabs>
        <w:tab w:val="left" w:pos="397"/>
      </w:tabs>
      <w:ind w:left="397" w:hanging="397"/>
    </w:pPr>
  </w:style>
  <w:style w:type="paragraph" w:customStyle="1" w:styleId="BoxHeading">
    <w:name w:val="Box Heading"/>
    <w:next w:val="BoxText"/>
    <w:rsid w:val="00F02EC9"/>
    <w:pPr>
      <w:keepNext/>
      <w:numPr>
        <w:ilvl w:val="5"/>
        <w:numId w:val="7"/>
      </w:numPr>
      <w:spacing w:after="120"/>
    </w:pPr>
    <w:rPr>
      <w:rFonts w:ascii="Century Gothic" w:hAnsi="Century Gothic"/>
      <w:b/>
      <w:color w:val="6D5E51" w:themeColor="background1"/>
      <w:sz w:val="28"/>
      <w:szCs w:val="24"/>
      <w:lang w:eastAsia="en-US"/>
    </w:rPr>
  </w:style>
  <w:style w:type="paragraph" w:styleId="TOC1">
    <w:name w:val="toc 1"/>
    <w:next w:val="TOC2"/>
    <w:semiHidden/>
    <w:rsid w:val="00546B95"/>
    <w:pPr>
      <w:tabs>
        <w:tab w:val="left" w:pos="1021"/>
        <w:tab w:val="left" w:pos="1814"/>
        <w:tab w:val="right" w:pos="8064"/>
      </w:tabs>
      <w:spacing w:before="60" w:after="60"/>
    </w:pPr>
    <w:rPr>
      <w:rFonts w:ascii="Garamond" w:hAnsi="Garamond"/>
      <w:b/>
      <w:noProof/>
      <w:sz w:val="27"/>
      <w:lang w:eastAsia="en-US"/>
    </w:rPr>
  </w:style>
  <w:style w:type="paragraph" w:styleId="TOC2">
    <w:name w:val="toc 2"/>
    <w:semiHidden/>
    <w:rsid w:val="00546B95"/>
    <w:pPr>
      <w:tabs>
        <w:tab w:val="left" w:pos="1814"/>
        <w:tab w:val="right" w:pos="8063"/>
      </w:tabs>
      <w:spacing w:before="40" w:after="40"/>
      <w:ind w:left="1021"/>
    </w:pPr>
    <w:rPr>
      <w:rFonts w:ascii="Garamond" w:hAnsi="Garamond"/>
      <w:sz w:val="27"/>
      <w:szCs w:val="24"/>
      <w:lang w:eastAsia="en-US"/>
    </w:rPr>
  </w:style>
  <w:style w:type="paragraph" w:customStyle="1" w:styleId="FigureHeading">
    <w:name w:val="Figure Heading"/>
    <w:next w:val="Normal"/>
    <w:autoRedefine/>
    <w:rsid w:val="005B51F1"/>
    <w:pPr>
      <w:keepNext/>
      <w:pBdr>
        <w:bottom w:val="single" w:sz="4" w:space="4" w:color="6D5E51" w:themeColor="background1"/>
      </w:pBdr>
      <w:spacing w:after="120"/>
      <w:ind w:left="1701" w:hanging="1701"/>
    </w:pPr>
    <w:rPr>
      <w:rFonts w:ascii="Century Gothic" w:hAnsi="Century Gothic"/>
      <w:b/>
      <w:color w:val="6D5E51" w:themeColor="background1"/>
      <w:sz w:val="28"/>
      <w:szCs w:val="26"/>
      <w:lang w:eastAsia="en-US"/>
    </w:rPr>
  </w:style>
  <w:style w:type="paragraph" w:customStyle="1" w:styleId="Quotation">
    <w:name w:val="Quotation"/>
    <w:basedOn w:val="Normal"/>
    <w:rsid w:val="00CF4B8A"/>
    <w:pPr>
      <w:spacing w:after="120"/>
      <w:ind w:left="567" w:right="567"/>
    </w:pPr>
  </w:style>
  <w:style w:type="paragraph" w:customStyle="1" w:styleId="FigureTableSource">
    <w:name w:val="Figure/Table Source"/>
    <w:next w:val="Normal"/>
    <w:link w:val="FigureTableSourceChar"/>
    <w:rsid w:val="00F72CD2"/>
    <w:pPr>
      <w:pBdr>
        <w:bottom w:val="single" w:sz="4" w:space="4" w:color="6D5E51" w:themeColor="background1"/>
      </w:pBdr>
      <w:tabs>
        <w:tab w:val="left" w:pos="737"/>
      </w:tabs>
      <w:spacing w:before="120" w:after="120"/>
      <w:ind w:left="737" w:hanging="737"/>
    </w:pPr>
    <w:rPr>
      <w:rFonts w:ascii="Century Gothic" w:hAnsi="Century Gothic"/>
      <w:i/>
      <w:color w:val="826E5A"/>
      <w:sz w:val="16"/>
      <w:szCs w:val="24"/>
      <w:lang w:eastAsia="en-US"/>
    </w:rPr>
  </w:style>
  <w:style w:type="character" w:customStyle="1" w:styleId="FigureTableSourceChar">
    <w:name w:val="Figure/Table Source Char"/>
    <w:link w:val="FigureTableSource"/>
    <w:rsid w:val="00F72CD2"/>
    <w:rPr>
      <w:rFonts w:ascii="Century Gothic" w:hAnsi="Century Gothic"/>
      <w:i/>
      <w:color w:val="826E5A"/>
      <w:sz w:val="16"/>
      <w:szCs w:val="24"/>
      <w:lang w:eastAsia="en-US"/>
    </w:rPr>
  </w:style>
  <w:style w:type="paragraph" w:customStyle="1" w:styleId="TableHeading">
    <w:name w:val="Table Heading"/>
    <w:next w:val="TableText"/>
    <w:rsid w:val="006D0ECA"/>
    <w:pPr>
      <w:keepNext/>
      <w:numPr>
        <w:ilvl w:val="3"/>
        <w:numId w:val="7"/>
      </w:numPr>
    </w:pPr>
    <w:rPr>
      <w:rFonts w:ascii="Century Gothic" w:hAnsi="Century Gothic"/>
      <w:b/>
      <w:color w:val="6D5E51" w:themeColor="background1"/>
      <w:sz w:val="28"/>
      <w:szCs w:val="24"/>
      <w:lang w:eastAsia="en-US"/>
    </w:rPr>
  </w:style>
  <w:style w:type="paragraph" w:customStyle="1" w:styleId="TableText">
    <w:name w:val="Table Text"/>
    <w:basedOn w:val="Normal"/>
    <w:link w:val="TableTextChar"/>
    <w:qFormat/>
    <w:rsid w:val="00F02EC9"/>
    <w:pPr>
      <w:spacing w:after="0"/>
      <w:jc w:val="left"/>
    </w:pPr>
    <w:rPr>
      <w:color w:val="6D5E51" w:themeColor="background1"/>
    </w:rPr>
  </w:style>
  <w:style w:type="character" w:customStyle="1" w:styleId="TableTextChar">
    <w:name w:val="Table Text Char"/>
    <w:link w:val="TableText"/>
    <w:rsid w:val="00F02EC9"/>
    <w:rPr>
      <w:rFonts w:ascii="Century Gothic" w:hAnsi="Century Gothic"/>
      <w:color w:val="6D5E51" w:themeColor="background1"/>
      <w:szCs w:val="24"/>
      <w:lang w:eastAsia="en-US"/>
    </w:rPr>
  </w:style>
  <w:style w:type="paragraph" w:customStyle="1" w:styleId="BoxSource">
    <w:name w:val="Box Source"/>
    <w:basedOn w:val="BoxText"/>
    <w:next w:val="Normal"/>
    <w:rsid w:val="00662AC5"/>
    <w:pPr>
      <w:tabs>
        <w:tab w:val="left" w:pos="737"/>
      </w:tabs>
      <w:ind w:left="737" w:hanging="737"/>
    </w:pPr>
    <w:rPr>
      <w:i/>
      <w:sz w:val="16"/>
      <w:szCs w:val="18"/>
    </w:rPr>
  </w:style>
  <w:style w:type="paragraph" w:customStyle="1" w:styleId="TableDecimal">
    <w:name w:val="Table (Decimal)"/>
    <w:basedOn w:val="TableText"/>
    <w:locked/>
    <w:pPr>
      <w:tabs>
        <w:tab w:val="decimal" w:pos="567"/>
      </w:tabs>
      <w:spacing w:after="40"/>
    </w:pPr>
  </w:style>
  <w:style w:type="paragraph" w:customStyle="1" w:styleId="TableBullet">
    <w:name w:val="Table Bullet"/>
    <w:basedOn w:val="TableText"/>
    <w:rsid w:val="00B400AC"/>
    <w:pPr>
      <w:numPr>
        <w:numId w:val="3"/>
      </w:numPr>
      <w:spacing w:after="60"/>
    </w:pPr>
  </w:style>
  <w:style w:type="paragraph" w:customStyle="1" w:styleId="TitlePage">
    <w:name w:val="Title Page"/>
    <w:rsid w:val="00F02EC9"/>
    <w:pPr>
      <w:spacing w:before="1200" w:after="1200"/>
      <w:ind w:right="567"/>
      <w:jc w:val="right"/>
    </w:pPr>
    <w:rPr>
      <w:rFonts w:ascii="Century Gothic" w:hAnsi="Century Gothic"/>
      <w:b/>
      <w:color w:val="732734" w:themeColor="text1"/>
      <w:sz w:val="56"/>
      <w:szCs w:val="24"/>
      <w:lang w:eastAsia="en-US"/>
    </w:rPr>
  </w:style>
  <w:style w:type="paragraph" w:customStyle="1" w:styleId="TitlePage2">
    <w:name w:val="Title Page 2"/>
    <w:basedOn w:val="TitlePage"/>
    <w:rsid w:val="00F02EC9"/>
    <w:pPr>
      <w:spacing w:before="0"/>
    </w:pPr>
    <w:rPr>
      <w:sz w:val="40"/>
    </w:rPr>
  </w:style>
  <w:style w:type="paragraph" w:styleId="TOC3">
    <w:name w:val="toc 3"/>
    <w:semiHidden/>
    <w:rsid w:val="00546B95"/>
    <w:pPr>
      <w:tabs>
        <w:tab w:val="left" w:pos="2722"/>
        <w:tab w:val="right" w:pos="8063"/>
      </w:tabs>
      <w:ind w:left="1814"/>
    </w:pPr>
    <w:rPr>
      <w:rFonts w:ascii="Garamond" w:hAnsi="Garamond"/>
      <w:sz w:val="24"/>
      <w:szCs w:val="24"/>
      <w:lang w:eastAsia="en-US"/>
    </w:rPr>
  </w:style>
  <w:style w:type="paragraph" w:customStyle="1" w:styleId="BoxNumbering">
    <w:name w:val="Box Numbering"/>
    <w:basedOn w:val="BoxBullet"/>
    <w:rsid w:val="00662AC5"/>
    <w:pPr>
      <w:numPr>
        <w:numId w:val="2"/>
      </w:numPr>
    </w:pPr>
  </w:style>
  <w:style w:type="paragraph" w:customStyle="1" w:styleId="TableBullet2">
    <w:name w:val="Table Bullet 2"/>
    <w:basedOn w:val="TableBullet"/>
    <w:rsid w:val="00B400AC"/>
    <w:pPr>
      <w:numPr>
        <w:numId w:val="4"/>
      </w:numPr>
    </w:pPr>
  </w:style>
  <w:style w:type="paragraph" w:customStyle="1" w:styleId="BoxBullet2">
    <w:name w:val="Box Bullet 2"/>
    <w:basedOn w:val="BoxBullet"/>
    <w:rsid w:val="00646921"/>
    <w:pPr>
      <w:numPr>
        <w:numId w:val="10"/>
      </w:numPr>
      <w:tabs>
        <w:tab w:val="clear" w:pos="397"/>
        <w:tab w:val="left" w:pos="794"/>
      </w:tabs>
      <w:ind w:left="1191" w:hanging="794"/>
    </w:pPr>
  </w:style>
  <w:style w:type="paragraph" w:customStyle="1" w:styleId="BoxQuote">
    <w:name w:val="Box Quote"/>
    <w:basedOn w:val="BoxText"/>
    <w:rsid w:val="00662AC5"/>
    <w:pPr>
      <w:ind w:left="567" w:right="567"/>
    </w:pPr>
  </w:style>
  <w:style w:type="paragraph" w:customStyle="1" w:styleId="Appendix">
    <w:name w:val="Appendix"/>
    <w:basedOn w:val="Normal"/>
    <w:next w:val="Normal"/>
    <w:rsid w:val="0006093A"/>
    <w:pPr>
      <w:keepNext/>
      <w:numPr>
        <w:numId w:val="6"/>
      </w:numPr>
      <w:tabs>
        <w:tab w:val="left" w:pos="2126"/>
      </w:tabs>
      <w:jc w:val="left"/>
    </w:pPr>
    <w:rPr>
      <w:rFonts w:cs="Arial"/>
      <w:b/>
      <w:bCs/>
      <w:iCs/>
      <w:color w:val="732734" w:themeColor="text1"/>
      <w:sz w:val="36"/>
      <w:szCs w:val="36"/>
    </w:rPr>
  </w:style>
  <w:style w:type="paragraph" w:customStyle="1" w:styleId="Red">
    <w:name w:val="Red"/>
    <w:rsid w:val="0006093A"/>
    <w:pPr>
      <w:spacing w:after="240"/>
      <w:jc w:val="both"/>
    </w:pPr>
    <w:rPr>
      <w:rFonts w:ascii="Century Gothic" w:hAnsi="Century Gothic"/>
      <w:color w:val="732734" w:themeColor="text1"/>
      <w:szCs w:val="24"/>
      <w:lang w:eastAsia="en-US"/>
    </w:rPr>
  </w:style>
  <w:style w:type="paragraph" w:customStyle="1" w:styleId="Italic">
    <w:name w:val="Italic"/>
    <w:basedOn w:val="Normal"/>
    <w:next w:val="Normal"/>
    <w:rsid w:val="00CE08DA"/>
    <w:rPr>
      <w:i/>
    </w:rPr>
  </w:style>
  <w:style w:type="paragraph" w:styleId="Header">
    <w:name w:val="header"/>
    <w:basedOn w:val="Normal"/>
    <w:link w:val="HeaderChar"/>
    <w:rsid w:val="00A83FF5"/>
    <w:rPr>
      <w:color w:val="826E5A"/>
    </w:rPr>
  </w:style>
  <w:style w:type="paragraph" w:customStyle="1" w:styleId="Bullet">
    <w:name w:val="Bullet"/>
    <w:basedOn w:val="Normal"/>
    <w:link w:val="BulletChar"/>
    <w:qFormat/>
    <w:rsid w:val="00F72827"/>
    <w:pPr>
      <w:numPr>
        <w:numId w:val="11"/>
      </w:numPr>
      <w:tabs>
        <w:tab w:val="left" w:pos="397"/>
      </w:tabs>
      <w:spacing w:after="120"/>
    </w:pPr>
  </w:style>
  <w:style w:type="character" w:styleId="FootnoteReference">
    <w:name w:val="footnote reference"/>
    <w:uiPriority w:val="99"/>
    <w:rsid w:val="004B376E"/>
    <w:rPr>
      <w:vertAlign w:val="superscript"/>
    </w:rPr>
  </w:style>
  <w:style w:type="paragraph" w:customStyle="1" w:styleId="FigureTableNotes">
    <w:name w:val="Figure/Table Notes"/>
    <w:basedOn w:val="FigureTableSource"/>
    <w:link w:val="FigureTableNotesChar"/>
    <w:rsid w:val="00F72CD2"/>
    <w:pPr>
      <w:pBdr>
        <w:bottom w:val="none" w:sz="0" w:space="0" w:color="auto"/>
      </w:pBdr>
      <w:ind w:left="0" w:firstLine="0"/>
      <w:jc w:val="both"/>
    </w:pPr>
    <w:rPr>
      <w:i w:val="0"/>
      <w:color w:val="auto"/>
    </w:rPr>
  </w:style>
  <w:style w:type="character" w:customStyle="1" w:styleId="FigureTableNotesChar">
    <w:name w:val="Figure/Table Notes Char"/>
    <w:basedOn w:val="FigureTableSourceChar"/>
    <w:link w:val="FigureTableNotes"/>
    <w:rsid w:val="00F72CD2"/>
    <w:rPr>
      <w:rFonts w:ascii="Century Gothic" w:hAnsi="Century Gothic"/>
      <w:i w:val="0"/>
      <w:color w:val="826E5A"/>
      <w:sz w:val="16"/>
      <w:szCs w:val="24"/>
      <w:lang w:eastAsia="en-US"/>
    </w:rPr>
  </w:style>
  <w:style w:type="paragraph" w:styleId="FootnoteText">
    <w:name w:val="footnote text"/>
    <w:basedOn w:val="Normal"/>
    <w:link w:val="FootnoteTextChar"/>
    <w:uiPriority w:val="99"/>
    <w:rsid w:val="004B376E"/>
    <w:pPr>
      <w:spacing w:after="80"/>
    </w:pPr>
    <w:rPr>
      <w:szCs w:val="20"/>
    </w:rPr>
  </w:style>
  <w:style w:type="paragraph" w:customStyle="1" w:styleId="Quotationbullet">
    <w:name w:val="Quotation bullet"/>
    <w:basedOn w:val="BoxBullet"/>
    <w:rsid w:val="00CF4B8A"/>
    <w:pPr>
      <w:tabs>
        <w:tab w:val="clear" w:pos="397"/>
        <w:tab w:val="left" w:pos="851"/>
      </w:tabs>
      <w:ind w:left="851" w:right="567" w:hanging="284"/>
    </w:pPr>
  </w:style>
  <w:style w:type="paragraph" w:customStyle="1" w:styleId="Quotationbullet2">
    <w:name w:val="Quotation bullet 2"/>
    <w:basedOn w:val="BoxBullet2"/>
    <w:rsid w:val="00CF4B8A"/>
    <w:pPr>
      <w:ind w:right="567" w:hanging="284"/>
    </w:pPr>
  </w:style>
  <w:style w:type="paragraph" w:customStyle="1" w:styleId="Boxsubheading">
    <w:name w:val="Box sub heading"/>
    <w:basedOn w:val="BoxText"/>
    <w:next w:val="BoxText"/>
    <w:rsid w:val="00F02EC9"/>
    <w:pPr>
      <w:keepNext/>
      <w:jc w:val="left"/>
    </w:pPr>
    <w:rPr>
      <w:b/>
      <w:i/>
      <w:color w:val="6D5E51" w:themeColor="background1"/>
    </w:rPr>
  </w:style>
  <w:style w:type="paragraph" w:customStyle="1" w:styleId="Redbullet">
    <w:name w:val="Red bullet"/>
    <w:basedOn w:val="Bullet"/>
    <w:rsid w:val="0006093A"/>
    <w:rPr>
      <w:color w:val="732734" w:themeColor="text1"/>
    </w:rPr>
  </w:style>
  <w:style w:type="paragraph" w:customStyle="1" w:styleId="Bulletquotation">
    <w:name w:val="Bullet quotation"/>
    <w:basedOn w:val="Bullet"/>
    <w:rsid w:val="000C0499"/>
    <w:pPr>
      <w:numPr>
        <w:numId w:val="0"/>
      </w:numPr>
      <w:ind w:left="1134" w:right="567"/>
    </w:pPr>
    <w:rPr>
      <w:szCs w:val="25"/>
    </w:rPr>
  </w:style>
  <w:style w:type="paragraph" w:customStyle="1" w:styleId="Tablecolumnheading">
    <w:name w:val="Table column heading"/>
    <w:basedOn w:val="TableText"/>
    <w:next w:val="TableText"/>
    <w:rsid w:val="00BA5555"/>
    <w:rPr>
      <w:b/>
      <w:color w:val="FFFFFF"/>
    </w:rPr>
  </w:style>
  <w:style w:type="paragraph" w:customStyle="1" w:styleId="Tablecolumnheadingrightaligned">
    <w:name w:val="Table column heading right aligned"/>
    <w:basedOn w:val="Tablecolumnheading"/>
    <w:rsid w:val="00B400AC"/>
    <w:pPr>
      <w:jc w:val="right"/>
    </w:pPr>
    <w:rPr>
      <w:iCs/>
      <w:szCs w:val="20"/>
    </w:rPr>
  </w:style>
  <w:style w:type="paragraph" w:customStyle="1" w:styleId="TableTextrightaligned">
    <w:name w:val="Table Text right aligned"/>
    <w:basedOn w:val="TableText"/>
    <w:rsid w:val="00F02EC9"/>
    <w:pPr>
      <w:jc w:val="right"/>
    </w:pPr>
    <w:rPr>
      <w:szCs w:val="20"/>
    </w:rPr>
  </w:style>
  <w:style w:type="paragraph" w:customStyle="1" w:styleId="BoxTextItalic">
    <w:name w:val="Box Text Italic"/>
    <w:basedOn w:val="BoxText"/>
    <w:rsid w:val="00CE08DA"/>
    <w:rPr>
      <w:i/>
    </w:rPr>
  </w:style>
  <w:style w:type="paragraph" w:customStyle="1" w:styleId="BoxHeading-nonumber">
    <w:name w:val="Box Heading - no number"/>
    <w:basedOn w:val="BoxHeading"/>
    <w:next w:val="BoxText"/>
    <w:rsid w:val="007C46EC"/>
    <w:pPr>
      <w:numPr>
        <w:ilvl w:val="0"/>
        <w:numId w:val="0"/>
      </w:numPr>
    </w:pPr>
  </w:style>
  <w:style w:type="paragraph" w:styleId="DocumentMap">
    <w:name w:val="Document Map"/>
    <w:basedOn w:val="Normal"/>
    <w:semiHidden/>
    <w:locked/>
    <w:rsid w:val="000F787B"/>
    <w:pPr>
      <w:shd w:val="clear" w:color="auto" w:fill="000080"/>
    </w:pPr>
    <w:rPr>
      <w:rFonts w:ascii="Tahoma" w:hAnsi="Tahoma" w:cs="Tahoma"/>
      <w:szCs w:val="20"/>
    </w:rPr>
  </w:style>
  <w:style w:type="paragraph" w:customStyle="1" w:styleId="Tablereference">
    <w:name w:val="Table reference"/>
    <w:basedOn w:val="TableText"/>
    <w:next w:val="TableText"/>
    <w:link w:val="TablereferenceCharChar"/>
    <w:rsid w:val="00F02EC9"/>
    <w:rPr>
      <w:b/>
      <w:bCs/>
      <w:position w:val="6"/>
      <w:sz w:val="16"/>
    </w:rPr>
  </w:style>
  <w:style w:type="character" w:customStyle="1" w:styleId="TablereferenceCharChar">
    <w:name w:val="Table reference Char Char"/>
    <w:link w:val="Tablereference"/>
    <w:rsid w:val="00F02EC9"/>
    <w:rPr>
      <w:rFonts w:ascii="Century Gothic" w:hAnsi="Century Gothic"/>
      <w:b/>
      <w:bCs/>
      <w:color w:val="6D5E51" w:themeColor="background1"/>
      <w:position w:val="6"/>
      <w:sz w:val="16"/>
      <w:szCs w:val="24"/>
      <w:lang w:eastAsia="en-US"/>
    </w:rPr>
  </w:style>
  <w:style w:type="paragraph" w:customStyle="1" w:styleId="FigureTableNotesreference">
    <w:name w:val="Figure/Table Notes reference"/>
    <w:basedOn w:val="FigureTableNotes"/>
    <w:link w:val="FigureTableNotesreferenceChar"/>
    <w:rsid w:val="00EF190C"/>
    <w:rPr>
      <w:b/>
      <w:bCs/>
      <w:position w:val="6"/>
    </w:rPr>
  </w:style>
  <w:style w:type="character" w:customStyle="1" w:styleId="FigureTableNotesreferenceChar">
    <w:name w:val="Figure/Table Notes reference Char"/>
    <w:link w:val="FigureTableNotesreference"/>
    <w:rsid w:val="00EF190C"/>
    <w:rPr>
      <w:rFonts w:ascii="Century Gothic" w:hAnsi="Century Gothic"/>
      <w:b/>
      <w:bCs/>
      <w:i/>
      <w:color w:val="826E5A"/>
      <w:position w:val="6"/>
      <w:sz w:val="16"/>
      <w:szCs w:val="24"/>
      <w:lang w:val="en-AU" w:eastAsia="en-US" w:bidi="ar-SA"/>
    </w:rPr>
  </w:style>
  <w:style w:type="character" w:styleId="Hyperlink">
    <w:name w:val="Hyperlink"/>
    <w:locked/>
    <w:rsid w:val="0006093A"/>
    <w:rPr>
      <w:color w:val="C95F71" w:themeColor="text1" w:themeTint="99"/>
      <w:u w:val="single"/>
    </w:rPr>
  </w:style>
  <w:style w:type="paragraph" w:customStyle="1" w:styleId="Heading1-nonumber">
    <w:name w:val="Heading 1 - no number"/>
    <w:basedOn w:val="Heading1"/>
    <w:next w:val="Heading2-nonumber"/>
    <w:rsid w:val="0006093A"/>
    <w:pPr>
      <w:numPr>
        <w:numId w:val="0"/>
      </w:numPr>
    </w:pPr>
  </w:style>
  <w:style w:type="paragraph" w:customStyle="1" w:styleId="Tablecolumnheadingcentred">
    <w:name w:val="Table column heading centred"/>
    <w:basedOn w:val="Tablecolumnheading"/>
    <w:rsid w:val="00A9019A"/>
    <w:pPr>
      <w:jc w:val="center"/>
    </w:pPr>
  </w:style>
  <w:style w:type="paragraph" w:customStyle="1" w:styleId="Tablenumber">
    <w:name w:val="Table number"/>
    <w:basedOn w:val="TableTextrightaligned"/>
    <w:rsid w:val="00CE08DA"/>
    <w:pPr>
      <w:ind w:right="284"/>
    </w:pPr>
  </w:style>
  <w:style w:type="paragraph" w:styleId="BalloonText">
    <w:name w:val="Balloon Text"/>
    <w:basedOn w:val="Normal"/>
    <w:semiHidden/>
    <w:locked/>
    <w:rsid w:val="004259D3"/>
    <w:rPr>
      <w:rFonts w:ascii="Tahoma" w:hAnsi="Tahoma" w:cs="Tahoma"/>
      <w:sz w:val="16"/>
      <w:szCs w:val="16"/>
    </w:rPr>
  </w:style>
  <w:style w:type="paragraph" w:customStyle="1" w:styleId="Recommendationheading">
    <w:name w:val="Recommendation heading"/>
    <w:basedOn w:val="Red"/>
    <w:next w:val="Red"/>
    <w:rsid w:val="00CE08DA"/>
    <w:pPr>
      <w:numPr>
        <w:ilvl w:val="6"/>
        <w:numId w:val="7"/>
      </w:numPr>
    </w:pPr>
    <w:rPr>
      <w:b/>
      <w:sz w:val="26"/>
    </w:rPr>
  </w:style>
  <w:style w:type="table" w:styleId="TableGrid">
    <w:name w:val="Table Grid"/>
    <w:basedOn w:val="TableNormal"/>
    <w:locked/>
    <w:rsid w:val="00C7355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
    <w:name w:val="Single"/>
    <w:basedOn w:val="Normal"/>
    <w:next w:val="Normal"/>
    <w:rsid w:val="007A274E"/>
    <w:pPr>
      <w:spacing w:after="0"/>
    </w:pPr>
  </w:style>
  <w:style w:type="paragraph" w:customStyle="1" w:styleId="Boxnote">
    <w:name w:val="Box note"/>
    <w:basedOn w:val="BoxSource"/>
    <w:next w:val="BoxSource"/>
    <w:rsid w:val="00662AC5"/>
    <w:rPr>
      <w:i w:val="0"/>
    </w:rPr>
  </w:style>
  <w:style w:type="paragraph" w:customStyle="1" w:styleId="Informationrequest">
    <w:name w:val="Information request"/>
    <w:basedOn w:val="Heading4"/>
    <w:rsid w:val="00662AC5"/>
    <w:rPr>
      <w:color w:val="FFFFFF"/>
    </w:rPr>
  </w:style>
  <w:style w:type="paragraph" w:customStyle="1" w:styleId="KeyPoints">
    <w:name w:val="Key Points"/>
    <w:basedOn w:val="BoxHeading-nonumber"/>
    <w:qFormat/>
    <w:rsid w:val="003709EA"/>
    <w:rPr>
      <w:color w:val="732734" w:themeColor="text1"/>
    </w:rPr>
  </w:style>
  <w:style w:type="character" w:customStyle="1" w:styleId="Heading2Char">
    <w:name w:val="Heading 2 Char"/>
    <w:link w:val="Heading2"/>
    <w:locked/>
    <w:rsid w:val="00FB58C7"/>
    <w:rPr>
      <w:rFonts w:ascii="Century Gothic" w:hAnsi="Century Gothic" w:cs="Arial"/>
      <w:b/>
      <w:bCs/>
      <w:iCs/>
      <w:color w:val="732734" w:themeColor="text1"/>
      <w:sz w:val="32"/>
      <w:szCs w:val="28"/>
      <w:lang w:eastAsia="en-US"/>
    </w:rPr>
  </w:style>
  <w:style w:type="character" w:customStyle="1" w:styleId="Heading3Char">
    <w:name w:val="Heading 3 Char"/>
    <w:link w:val="Heading3"/>
    <w:locked/>
    <w:rsid w:val="00FB58C7"/>
    <w:rPr>
      <w:rFonts w:ascii="Century Gothic" w:hAnsi="Century Gothic" w:cs="Arial"/>
      <w:b/>
      <w:bCs/>
      <w:color w:val="732734" w:themeColor="text1"/>
      <w:sz w:val="28"/>
      <w:szCs w:val="26"/>
      <w:lang w:eastAsia="en-US"/>
    </w:rPr>
  </w:style>
  <w:style w:type="character" w:customStyle="1" w:styleId="Heading4Char">
    <w:name w:val="Heading 4 Char"/>
    <w:link w:val="Heading4"/>
    <w:locked/>
    <w:rsid w:val="00402721"/>
    <w:rPr>
      <w:rFonts w:ascii="Century Gothic" w:hAnsi="Century Gothic"/>
      <w:color w:val="732734" w:themeColor="text1"/>
      <w:sz w:val="24"/>
      <w:szCs w:val="24"/>
      <w:lang w:eastAsia="en-US"/>
    </w:rPr>
  </w:style>
  <w:style w:type="character" w:customStyle="1" w:styleId="FooterChar">
    <w:name w:val="Footer Char"/>
    <w:link w:val="Footer"/>
    <w:locked/>
    <w:rsid w:val="00FB58C7"/>
    <w:rPr>
      <w:rFonts w:ascii="Century Gothic" w:hAnsi="Century Gothic"/>
      <w:smallCaps/>
      <w:color w:val="6D5E51" w:themeColor="background1"/>
      <w:lang w:eastAsia="en-US"/>
    </w:rPr>
  </w:style>
  <w:style w:type="character" w:customStyle="1" w:styleId="BulletChar">
    <w:name w:val="Bullet Char"/>
    <w:link w:val="Bullet"/>
    <w:locked/>
    <w:rsid w:val="00FB58C7"/>
    <w:rPr>
      <w:rFonts w:ascii="Century Gothic" w:hAnsi="Century Gothic"/>
      <w:szCs w:val="24"/>
      <w:lang w:eastAsia="en-US"/>
    </w:rPr>
  </w:style>
  <w:style w:type="paragraph" w:customStyle="1" w:styleId="Draftrecommendation">
    <w:name w:val="Draft recommendation"/>
    <w:basedOn w:val="Recommendationheading"/>
    <w:qFormat/>
    <w:rsid w:val="007814C1"/>
    <w:pPr>
      <w:numPr>
        <w:ilvl w:val="0"/>
        <w:numId w:val="0"/>
      </w:numPr>
    </w:pPr>
    <w:rPr>
      <w:color w:val="FFFFFF" w:themeColor="accent1"/>
    </w:rPr>
  </w:style>
  <w:style w:type="character" w:customStyle="1" w:styleId="HeaderChar">
    <w:name w:val="Header Char"/>
    <w:basedOn w:val="DefaultParagraphFont"/>
    <w:link w:val="Header"/>
    <w:rsid w:val="00705BBB"/>
    <w:rPr>
      <w:rFonts w:ascii="Century Gothic" w:hAnsi="Century Gothic"/>
      <w:color w:val="826E5A"/>
      <w:szCs w:val="24"/>
      <w:lang w:eastAsia="en-US"/>
    </w:rPr>
  </w:style>
  <w:style w:type="paragraph" w:styleId="ListParagraph">
    <w:name w:val="List Paragraph"/>
    <w:basedOn w:val="Normal"/>
    <w:link w:val="ListParagraphChar"/>
    <w:uiPriority w:val="34"/>
    <w:qFormat/>
    <w:rsid w:val="009B649A"/>
    <w:pPr>
      <w:ind w:left="720"/>
      <w:contextualSpacing/>
    </w:pPr>
  </w:style>
  <w:style w:type="character" w:customStyle="1" w:styleId="FootnoteTextChar">
    <w:name w:val="Footnote Text Char"/>
    <w:link w:val="FootnoteText"/>
    <w:uiPriority w:val="99"/>
    <w:locked/>
    <w:rsid w:val="00DD247F"/>
    <w:rPr>
      <w:rFonts w:ascii="Century Gothic" w:hAnsi="Century Gothic"/>
      <w:lang w:eastAsia="en-US"/>
    </w:rPr>
  </w:style>
  <w:style w:type="character" w:styleId="CommentReference">
    <w:name w:val="annotation reference"/>
    <w:basedOn w:val="DefaultParagraphFont"/>
    <w:locked/>
    <w:rsid w:val="00C0776F"/>
    <w:rPr>
      <w:sz w:val="16"/>
      <w:szCs w:val="16"/>
    </w:rPr>
  </w:style>
  <w:style w:type="paragraph" w:styleId="CommentText">
    <w:name w:val="annotation text"/>
    <w:basedOn w:val="Normal"/>
    <w:link w:val="CommentTextChar"/>
    <w:locked/>
    <w:rsid w:val="00C0776F"/>
    <w:rPr>
      <w:szCs w:val="20"/>
    </w:rPr>
  </w:style>
  <w:style w:type="character" w:customStyle="1" w:styleId="CommentTextChar">
    <w:name w:val="Comment Text Char"/>
    <w:basedOn w:val="DefaultParagraphFont"/>
    <w:link w:val="CommentText"/>
    <w:rsid w:val="00C0776F"/>
    <w:rPr>
      <w:rFonts w:ascii="Century Gothic" w:hAnsi="Century Gothic"/>
      <w:lang w:eastAsia="en-US"/>
    </w:rPr>
  </w:style>
  <w:style w:type="table" w:styleId="LightList-Accent4">
    <w:name w:val="Light List Accent 4"/>
    <w:basedOn w:val="TableNormal"/>
    <w:uiPriority w:val="61"/>
    <w:rsid w:val="00F405EE"/>
    <w:tblPr>
      <w:tblStyleRowBandSize w:val="1"/>
      <w:tblStyleColBandSize w:val="1"/>
      <w:tblBorders>
        <w:top w:val="single" w:sz="8" w:space="0" w:color="615343" w:themeColor="accent4"/>
        <w:left w:val="single" w:sz="8" w:space="0" w:color="615343" w:themeColor="accent4"/>
        <w:bottom w:val="single" w:sz="8" w:space="0" w:color="615343" w:themeColor="accent4"/>
        <w:right w:val="single" w:sz="8" w:space="0" w:color="615343" w:themeColor="accent4"/>
      </w:tblBorders>
    </w:tblPr>
    <w:tblStylePr w:type="firstRow">
      <w:pPr>
        <w:spacing w:before="0" w:after="0" w:line="240" w:lineRule="auto"/>
      </w:pPr>
      <w:rPr>
        <w:b/>
        <w:bCs/>
        <w:color w:val="6D5E51" w:themeColor="background1"/>
      </w:rPr>
      <w:tblPr/>
      <w:tcPr>
        <w:shd w:val="clear" w:color="auto" w:fill="615343" w:themeFill="accent4"/>
      </w:tcPr>
    </w:tblStylePr>
    <w:tblStylePr w:type="lastRow">
      <w:pPr>
        <w:spacing w:before="0" w:after="0" w:line="240" w:lineRule="auto"/>
      </w:pPr>
      <w:rPr>
        <w:b/>
        <w:bCs/>
      </w:rPr>
      <w:tblPr/>
      <w:tcPr>
        <w:tcBorders>
          <w:top w:val="double" w:sz="6" w:space="0" w:color="615343" w:themeColor="accent4"/>
          <w:left w:val="single" w:sz="8" w:space="0" w:color="615343" w:themeColor="accent4"/>
          <w:bottom w:val="single" w:sz="8" w:space="0" w:color="615343" w:themeColor="accent4"/>
          <w:right w:val="single" w:sz="8" w:space="0" w:color="615343" w:themeColor="accent4"/>
        </w:tcBorders>
      </w:tcPr>
    </w:tblStylePr>
    <w:tblStylePr w:type="firstCol">
      <w:rPr>
        <w:b/>
        <w:bCs/>
      </w:rPr>
    </w:tblStylePr>
    <w:tblStylePr w:type="lastCol">
      <w:rPr>
        <w:b/>
        <w:bCs/>
      </w:rPr>
    </w:tblStylePr>
    <w:tblStylePr w:type="band1Vert">
      <w:tblPr/>
      <w:tcPr>
        <w:tcBorders>
          <w:top w:val="single" w:sz="8" w:space="0" w:color="615343" w:themeColor="accent4"/>
          <w:left w:val="single" w:sz="8" w:space="0" w:color="615343" w:themeColor="accent4"/>
          <w:bottom w:val="single" w:sz="8" w:space="0" w:color="615343" w:themeColor="accent4"/>
          <w:right w:val="single" w:sz="8" w:space="0" w:color="615343" w:themeColor="accent4"/>
        </w:tcBorders>
      </w:tcPr>
    </w:tblStylePr>
    <w:tblStylePr w:type="band1Horz">
      <w:tblPr/>
      <w:tcPr>
        <w:tcBorders>
          <w:top w:val="single" w:sz="8" w:space="0" w:color="615343" w:themeColor="accent4"/>
          <w:left w:val="single" w:sz="8" w:space="0" w:color="615343" w:themeColor="accent4"/>
          <w:bottom w:val="single" w:sz="8" w:space="0" w:color="615343" w:themeColor="accent4"/>
          <w:right w:val="single" w:sz="8" w:space="0" w:color="615343" w:themeColor="accent4"/>
        </w:tcBorders>
      </w:tcPr>
    </w:tblStylePr>
  </w:style>
  <w:style w:type="paragraph" w:styleId="CommentSubject">
    <w:name w:val="annotation subject"/>
    <w:basedOn w:val="CommentText"/>
    <w:next w:val="CommentText"/>
    <w:link w:val="CommentSubjectChar"/>
    <w:locked/>
    <w:rsid w:val="00022096"/>
    <w:rPr>
      <w:b/>
      <w:bCs/>
    </w:rPr>
  </w:style>
  <w:style w:type="character" w:customStyle="1" w:styleId="CommentSubjectChar">
    <w:name w:val="Comment Subject Char"/>
    <w:basedOn w:val="CommentTextChar"/>
    <w:link w:val="CommentSubject"/>
    <w:rsid w:val="00022096"/>
    <w:rPr>
      <w:rFonts w:ascii="Century Gothic" w:hAnsi="Century Gothic"/>
      <w:b/>
      <w:bCs/>
      <w:lang w:eastAsia="en-US"/>
    </w:rPr>
  </w:style>
  <w:style w:type="paragraph" w:styleId="Revision">
    <w:name w:val="Revision"/>
    <w:hidden/>
    <w:uiPriority w:val="99"/>
    <w:semiHidden/>
    <w:rsid w:val="00022096"/>
    <w:rPr>
      <w:rFonts w:ascii="Century Gothic" w:hAnsi="Century Gothic"/>
      <w:szCs w:val="24"/>
      <w:lang w:eastAsia="en-US"/>
    </w:rPr>
  </w:style>
  <w:style w:type="numbering" w:customStyle="1" w:styleId="FEBulletList">
    <w:name w:val="FE Bullet List"/>
    <w:uiPriority w:val="99"/>
    <w:rsid w:val="00813082"/>
    <w:pPr>
      <w:numPr>
        <w:numId w:val="23"/>
      </w:numPr>
    </w:pPr>
  </w:style>
  <w:style w:type="table" w:customStyle="1" w:styleId="FETable">
    <w:name w:val="FE Table"/>
    <w:basedOn w:val="TableNormal"/>
    <w:qFormat/>
    <w:rsid w:val="00813082"/>
    <w:pPr>
      <w:spacing w:before="120" w:after="120"/>
      <w:jc w:val="center"/>
    </w:pPr>
    <w:rPr>
      <w:rFonts w:asciiTheme="majorHAnsi" w:eastAsiaTheme="minorHAnsi" w:hAnsiTheme="majorHAnsi"/>
      <w:sz w:val="18"/>
      <w:lang w:eastAsia="en-US"/>
    </w:rPr>
    <w:tblPr>
      <w:tblStyleRowBandSize w:val="1"/>
      <w:tblStyleColBandSize w:val="1"/>
      <w:jc w:val="center"/>
      <w:tblBorders>
        <w:top w:val="single" w:sz="12" w:space="0" w:color="003366" w:themeColor="text2"/>
        <w:bottom w:val="single" w:sz="12" w:space="0" w:color="003366" w:themeColor="text2"/>
        <w:insideH w:val="single" w:sz="4" w:space="0" w:color="362F28" w:themeColor="background1" w:themeShade="80"/>
      </w:tblBorders>
    </w:tblPr>
    <w:trPr>
      <w:jc w:val="center"/>
    </w:trPr>
    <w:tcPr>
      <w:vAlign w:val="center"/>
    </w:tcPr>
    <w:tblStylePr w:type="firstRow">
      <w:rPr>
        <w:rFonts w:asciiTheme="majorHAnsi" w:hAnsiTheme="majorHAnsi"/>
        <w:b/>
        <w:color w:val="489694" w:themeColor="background2"/>
        <w:sz w:val="19"/>
      </w:rPr>
      <w:tblPr/>
      <w:tcPr>
        <w:tcBorders>
          <w:top w:val="single" w:sz="4" w:space="0" w:color="003366" w:themeColor="text2"/>
          <w:left w:val="nil"/>
          <w:bottom w:val="single" w:sz="4" w:space="0" w:color="003366" w:themeColor="text2"/>
          <w:right w:val="nil"/>
          <w:insideH w:val="nil"/>
          <w:insideV w:val="single" w:sz="4" w:space="0" w:color="489694" w:themeColor="background2"/>
        </w:tcBorders>
        <w:shd w:val="clear" w:color="auto" w:fill="003366" w:themeFill="text2"/>
      </w:tcPr>
    </w:tblStylePr>
    <w:tblStylePr w:type="lastRow">
      <w:rPr>
        <w:b/>
      </w:rPr>
      <w:tblPr/>
      <w:tcPr>
        <w:tcBorders>
          <w:top w:val="single" w:sz="12" w:space="0" w:color="003366" w:themeColor="text2"/>
        </w:tcBorders>
      </w:tcPr>
    </w:tblStylePr>
    <w:tblStylePr w:type="firstCol">
      <w:pPr>
        <w:jc w:val="left"/>
      </w:pPr>
      <w:rPr>
        <w:rFonts w:asciiTheme="majorHAnsi" w:hAnsiTheme="majorHAnsi"/>
        <w:b w:val="0"/>
        <w:sz w:val="18"/>
      </w:rPr>
      <w:tblPr/>
      <w:tcPr>
        <w:tcBorders>
          <w:top w:val="nil"/>
          <w:left w:val="nil"/>
          <w:bottom w:val="single" w:sz="12" w:space="0" w:color="003366" w:themeColor="text2"/>
          <w:right w:val="nil"/>
          <w:insideH w:val="single" w:sz="4" w:space="0" w:color="D17988" w:themeColor="text1" w:themeTint="80"/>
          <w:insideV w:val="single" w:sz="4" w:space="0" w:color="D17988" w:themeColor="text1" w:themeTint="80"/>
          <w:tl2br w:val="nil"/>
          <w:tr2bl w:val="nil"/>
        </w:tcBorders>
      </w:tcPr>
    </w:tblStylePr>
    <w:tblStylePr w:type="lastCol">
      <w:pPr>
        <w:jc w:val="center"/>
      </w:pPr>
      <w:rPr>
        <w:rFonts w:asciiTheme="majorHAnsi" w:hAnsiTheme="majorHAnsi"/>
        <w:b w:val="0"/>
        <w:sz w:val="18"/>
      </w:rPr>
      <w:tblPr/>
      <w:tcPr>
        <w:tcBorders>
          <w:top w:val="nil"/>
          <w:left w:val="nil"/>
          <w:bottom w:val="single" w:sz="12" w:space="0" w:color="003366" w:themeColor="text2"/>
          <w:right w:val="nil"/>
          <w:insideH w:val="single" w:sz="4" w:space="0" w:color="D17988" w:themeColor="text1" w:themeTint="80"/>
          <w:insideV w:val="single" w:sz="4" w:space="0" w:color="D17988" w:themeColor="text1" w:themeTint="80"/>
          <w:tl2br w:val="nil"/>
          <w:tr2bl w:val="nil"/>
        </w:tcBorders>
      </w:tcPr>
    </w:tblStylePr>
    <w:tblStylePr w:type="band1Vert">
      <w:pPr>
        <w:jc w:val="center"/>
      </w:pPr>
      <w:tblPr/>
      <w:tcPr>
        <w:tcBorders>
          <w:bottom w:val="single" w:sz="12" w:space="0" w:color="003366" w:themeColor="text2"/>
          <w:insideH w:val="single" w:sz="4" w:space="0" w:color="D17988" w:themeColor="text1" w:themeTint="80"/>
        </w:tcBorders>
      </w:tcPr>
    </w:tblStylePr>
    <w:tblStylePr w:type="band2Vert">
      <w:pPr>
        <w:jc w:val="center"/>
      </w:pPr>
      <w:tblPr/>
      <w:tcPr>
        <w:tcBorders>
          <w:insideH w:val="single" w:sz="4" w:space="0" w:color="D17988" w:themeColor="text1" w:themeTint="80"/>
        </w:tcBorders>
        <w:shd w:val="clear" w:color="auto" w:fill="448E8C" w:themeFill="background2" w:themeFillShade="F2"/>
      </w:tcPr>
    </w:tblStylePr>
    <w:tblStylePr w:type="band1Horz">
      <w:tblPr/>
      <w:tcPr>
        <w:tcBorders>
          <w:left w:val="nil"/>
          <w:right w:val="nil"/>
          <w:insideV w:val="single" w:sz="4" w:space="0" w:color="D17988" w:themeColor="text1" w:themeTint="80"/>
        </w:tcBorders>
      </w:tcPr>
    </w:tblStylePr>
    <w:tblStylePr w:type="band2Horz">
      <w:tblPr/>
      <w:tcPr>
        <w:tcBorders>
          <w:insideV w:val="single" w:sz="4" w:space="0" w:color="D17988" w:themeColor="text1" w:themeTint="80"/>
        </w:tcBorders>
        <w:shd w:val="clear" w:color="auto" w:fill="448E8C" w:themeFill="background2" w:themeFillShade="F2"/>
      </w:tcPr>
    </w:tblStylePr>
  </w:style>
  <w:style w:type="paragraph" w:customStyle="1" w:styleId="FEBullet2">
    <w:name w:val="FE Bullet 2"/>
    <w:basedOn w:val="ListParagraph"/>
    <w:link w:val="FEBullet2Char"/>
    <w:uiPriority w:val="2"/>
    <w:qFormat/>
    <w:rsid w:val="00813082"/>
    <w:pPr>
      <w:numPr>
        <w:numId w:val="24"/>
      </w:numPr>
      <w:spacing w:before="120" w:after="120" w:line="264" w:lineRule="auto"/>
      <w:contextualSpacing w:val="0"/>
    </w:pPr>
    <w:rPr>
      <w:rFonts w:ascii="Garamond" w:eastAsia="SimSun" w:hAnsi="Garamond"/>
      <w:sz w:val="24"/>
      <w:szCs w:val="20"/>
    </w:rPr>
  </w:style>
  <w:style w:type="paragraph" w:customStyle="1" w:styleId="NormalLarge">
    <w:name w:val="Normal Large"/>
    <w:basedOn w:val="Normal"/>
    <w:rsid w:val="00813082"/>
    <w:pPr>
      <w:spacing w:before="120" w:after="120" w:line="264" w:lineRule="auto"/>
    </w:pPr>
    <w:rPr>
      <w:rFonts w:ascii="Arial" w:eastAsia="SimSun" w:hAnsi="Arial"/>
      <w:sz w:val="24"/>
      <w:szCs w:val="20"/>
    </w:rPr>
  </w:style>
  <w:style w:type="character" w:customStyle="1" w:styleId="ListParagraphChar">
    <w:name w:val="List Paragraph Char"/>
    <w:basedOn w:val="DefaultParagraphFont"/>
    <w:link w:val="ListParagraph"/>
    <w:uiPriority w:val="34"/>
    <w:rsid w:val="00882B59"/>
    <w:rPr>
      <w:rFonts w:ascii="Century Gothic" w:hAnsi="Century Gothic"/>
      <w:szCs w:val="24"/>
      <w:lang w:eastAsia="en-US"/>
    </w:rPr>
  </w:style>
  <w:style w:type="paragraph" w:styleId="Quote">
    <w:name w:val="Quote"/>
    <w:basedOn w:val="Normal"/>
    <w:next w:val="Normal"/>
    <w:link w:val="QuoteChar"/>
    <w:uiPriority w:val="1"/>
    <w:qFormat/>
    <w:rsid w:val="001620A2"/>
    <w:pPr>
      <w:spacing w:before="180" w:after="180" w:line="264" w:lineRule="auto"/>
      <w:ind w:left="425"/>
    </w:pPr>
    <w:rPr>
      <w:rFonts w:asciiTheme="majorHAnsi" w:eastAsia="SimSun" w:hAnsiTheme="majorHAnsi"/>
      <w:iCs/>
      <w:sz w:val="19"/>
      <w:szCs w:val="20"/>
    </w:rPr>
  </w:style>
  <w:style w:type="character" w:customStyle="1" w:styleId="QuoteChar">
    <w:name w:val="Quote Char"/>
    <w:basedOn w:val="DefaultParagraphFont"/>
    <w:link w:val="Quote"/>
    <w:uiPriority w:val="1"/>
    <w:rsid w:val="001620A2"/>
    <w:rPr>
      <w:rFonts w:asciiTheme="majorHAnsi" w:eastAsia="SimSun" w:hAnsiTheme="majorHAnsi"/>
      <w:iCs/>
      <w:sz w:val="19"/>
      <w:lang w:eastAsia="en-US"/>
    </w:rPr>
  </w:style>
  <w:style w:type="table" w:customStyle="1" w:styleId="FEFigure">
    <w:name w:val="FE Figure"/>
    <w:basedOn w:val="TableNormal"/>
    <w:rsid w:val="001620A2"/>
    <w:pPr>
      <w:spacing w:before="120" w:after="120"/>
    </w:pPr>
    <w:rPr>
      <w:rFonts w:ascii="Garamond" w:eastAsia="SimSun" w:hAnsi="Garamond"/>
    </w:rPr>
    <w:tblPr>
      <w:jc w:val="center"/>
      <w:tblBorders>
        <w:top w:val="single" w:sz="8" w:space="0" w:color="E83F35"/>
        <w:left w:val="single" w:sz="8" w:space="0" w:color="E83F35"/>
        <w:bottom w:val="single" w:sz="8" w:space="0" w:color="E83F35"/>
        <w:right w:val="single" w:sz="8" w:space="0" w:color="E83F35"/>
      </w:tblBorders>
    </w:tblPr>
    <w:trPr>
      <w:jc w:val="center"/>
    </w:trPr>
    <w:tcPr>
      <w:shd w:val="clear" w:color="auto" w:fill="auto"/>
    </w:tcPr>
  </w:style>
  <w:style w:type="character" w:customStyle="1" w:styleId="FEBullet2Char">
    <w:name w:val="FE Bullet 2 Char"/>
    <w:basedOn w:val="ListParagraphChar"/>
    <w:link w:val="FEBullet2"/>
    <w:uiPriority w:val="2"/>
    <w:rsid w:val="00BA76A4"/>
    <w:rPr>
      <w:rFonts w:ascii="Garamond" w:eastAsia="SimSun" w:hAnsi="Garamond"/>
      <w:sz w:val="24"/>
      <w:szCs w:val="24"/>
      <w:lang w:eastAsia="en-US"/>
    </w:rPr>
  </w:style>
  <w:style w:type="paragraph" w:styleId="Caption">
    <w:name w:val="caption"/>
    <w:basedOn w:val="Normal"/>
    <w:next w:val="Normal"/>
    <w:qFormat/>
    <w:locked/>
    <w:rsid w:val="009B258E"/>
    <w:pPr>
      <w:keepNext/>
      <w:spacing w:before="240" w:after="120" w:line="264" w:lineRule="auto"/>
      <w:jc w:val="left"/>
    </w:pPr>
    <w:rPr>
      <w:rFonts w:asciiTheme="majorHAnsi" w:eastAsia="SimSun" w:hAnsiTheme="maj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07955">
      <w:bodyDiv w:val="1"/>
      <w:marLeft w:val="0"/>
      <w:marRight w:val="0"/>
      <w:marTop w:val="0"/>
      <w:marBottom w:val="0"/>
      <w:divBdr>
        <w:top w:val="none" w:sz="0" w:space="0" w:color="auto"/>
        <w:left w:val="none" w:sz="0" w:space="0" w:color="auto"/>
        <w:bottom w:val="none" w:sz="0" w:space="0" w:color="auto"/>
        <w:right w:val="none" w:sz="0" w:space="0" w:color="auto"/>
      </w:divBdr>
      <w:divsChild>
        <w:div w:id="226765634">
          <w:marLeft w:val="0"/>
          <w:marRight w:val="0"/>
          <w:marTop w:val="0"/>
          <w:marBottom w:val="0"/>
          <w:divBdr>
            <w:top w:val="none" w:sz="0" w:space="0" w:color="auto"/>
            <w:left w:val="none" w:sz="0" w:space="0" w:color="auto"/>
            <w:bottom w:val="none" w:sz="0" w:space="0" w:color="auto"/>
            <w:right w:val="none" w:sz="0" w:space="0" w:color="auto"/>
          </w:divBdr>
          <w:divsChild>
            <w:div w:id="147596918">
              <w:marLeft w:val="0"/>
              <w:marRight w:val="0"/>
              <w:marTop w:val="0"/>
              <w:marBottom w:val="0"/>
              <w:divBdr>
                <w:top w:val="none" w:sz="0" w:space="0" w:color="auto"/>
                <w:left w:val="none" w:sz="0" w:space="0" w:color="auto"/>
                <w:bottom w:val="none" w:sz="0" w:space="0" w:color="auto"/>
                <w:right w:val="none" w:sz="0" w:space="0" w:color="auto"/>
              </w:divBdr>
              <w:divsChild>
                <w:div w:id="9898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20181">
      <w:bodyDiv w:val="1"/>
      <w:marLeft w:val="0"/>
      <w:marRight w:val="0"/>
      <w:marTop w:val="0"/>
      <w:marBottom w:val="0"/>
      <w:divBdr>
        <w:top w:val="none" w:sz="0" w:space="0" w:color="auto"/>
        <w:left w:val="none" w:sz="0" w:space="0" w:color="auto"/>
        <w:bottom w:val="none" w:sz="0" w:space="0" w:color="auto"/>
        <w:right w:val="none" w:sz="0" w:space="0" w:color="auto"/>
      </w:divBdr>
    </w:div>
    <w:div w:id="310909603">
      <w:bodyDiv w:val="1"/>
      <w:marLeft w:val="0"/>
      <w:marRight w:val="0"/>
      <w:marTop w:val="0"/>
      <w:marBottom w:val="0"/>
      <w:divBdr>
        <w:top w:val="none" w:sz="0" w:space="0" w:color="auto"/>
        <w:left w:val="none" w:sz="0" w:space="0" w:color="auto"/>
        <w:bottom w:val="none" w:sz="0" w:space="0" w:color="auto"/>
        <w:right w:val="none" w:sz="0" w:space="0" w:color="auto"/>
      </w:divBdr>
      <w:divsChild>
        <w:div w:id="461995174">
          <w:marLeft w:val="0"/>
          <w:marRight w:val="0"/>
          <w:marTop w:val="0"/>
          <w:marBottom w:val="0"/>
          <w:divBdr>
            <w:top w:val="none" w:sz="0" w:space="0" w:color="auto"/>
            <w:left w:val="none" w:sz="0" w:space="0" w:color="auto"/>
            <w:bottom w:val="none" w:sz="0" w:space="0" w:color="auto"/>
            <w:right w:val="none" w:sz="0" w:space="0" w:color="auto"/>
          </w:divBdr>
          <w:divsChild>
            <w:div w:id="745494441">
              <w:marLeft w:val="0"/>
              <w:marRight w:val="0"/>
              <w:marTop w:val="0"/>
              <w:marBottom w:val="0"/>
              <w:divBdr>
                <w:top w:val="none" w:sz="0" w:space="0" w:color="auto"/>
                <w:left w:val="none" w:sz="0" w:space="0" w:color="auto"/>
                <w:bottom w:val="none" w:sz="0" w:space="0" w:color="auto"/>
                <w:right w:val="none" w:sz="0" w:space="0" w:color="auto"/>
              </w:divBdr>
              <w:divsChild>
                <w:div w:id="12717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8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VCEC1">
      <a:dk1>
        <a:srgbClr val="732734"/>
      </a:dk1>
      <a:lt1>
        <a:srgbClr val="6D5E51"/>
      </a:lt1>
      <a:dk2>
        <a:srgbClr val="003366"/>
      </a:dk2>
      <a:lt2>
        <a:srgbClr val="489694"/>
      </a:lt2>
      <a:accent1>
        <a:srgbClr val="FFFFFF"/>
      </a:accent1>
      <a:accent2>
        <a:srgbClr val="000000"/>
      </a:accent2>
      <a:accent3>
        <a:srgbClr val="6C001D"/>
      </a:accent3>
      <a:accent4>
        <a:srgbClr val="615343"/>
      </a:accent4>
      <a:accent5>
        <a:srgbClr val="00264C"/>
      </a:accent5>
      <a:accent6>
        <a:srgbClr val="36706E"/>
      </a:accent6>
      <a:hlink>
        <a:srgbClr val="990033"/>
      </a:hlink>
      <a:folHlink>
        <a:srgbClr val="91002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71EE4-BD38-423E-A700-C24A79B4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2702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Chapter Heading (Century Gothic bold, 18 point) (Alt+G)</vt:lpstr>
    </vt:vector>
  </TitlesOfParts>
  <Company>Department of Justice</Company>
  <LinksUpToDate>false</LinksUpToDate>
  <CharactersWithSpaces>17956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Heading (Century Gothic bold, 18 point) (Alt+G)</dc:title>
  <dc:creator>kgr</dc:creator>
  <cp:lastModifiedBy>Andrew Heasley</cp:lastModifiedBy>
  <cp:revision>3</cp:revision>
  <cp:lastPrinted>2017-05-08T07:19:00Z</cp:lastPrinted>
  <dcterms:created xsi:type="dcterms:W3CDTF">2017-05-08T07:41:00Z</dcterms:created>
  <dcterms:modified xsi:type="dcterms:W3CDTF">2017-05-08T07:42:00Z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ce9e335a-418d-4e56-9efd-01ae0416e0a1</vt:lpwstr>
  </property>
  <property fmtid="{D5CDD505-2E9C-101B-9397-08002B2CF9AE}" pid="3" name="PSPFClassification">
    <vt:lpwstr>Do Not Mark</vt:lpwstr>
  </property>
</Properties>
</file>