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B6B" w:rsidRDefault="002F4B6B" w:rsidP="00030374">
      <w:pPr>
        <w:ind w:left="284" w:right="311"/>
        <w:rPr>
          <w:rFonts w:cs="Arial"/>
          <w:color w:val="FFFFFF"/>
          <w:sz w:val="72"/>
          <w:szCs w:val="72"/>
        </w:rPr>
      </w:pPr>
    </w:p>
    <w:p w:rsidR="008C2312" w:rsidRPr="00AE6A32" w:rsidRDefault="00A508AD" w:rsidP="004C689A">
      <w:pPr>
        <w:ind w:left="284" w:right="311"/>
        <w:rPr>
          <w:rFonts w:cs="Arial"/>
          <w:b/>
          <w:color w:val="002060"/>
          <w:sz w:val="72"/>
          <w:szCs w:val="72"/>
        </w:rPr>
      </w:pPr>
      <w:r w:rsidRPr="00AE6A32">
        <w:rPr>
          <w:rFonts w:cs="Arial"/>
          <w:b/>
          <w:color w:val="002060"/>
          <w:sz w:val="72"/>
          <w:szCs w:val="72"/>
        </w:rPr>
        <w:t>EARTH RESOURCES REGULATION</w:t>
      </w:r>
    </w:p>
    <w:p w:rsidR="001854E7" w:rsidRPr="00AE6A32" w:rsidRDefault="001854E7" w:rsidP="00030374">
      <w:pPr>
        <w:ind w:left="284"/>
        <w:rPr>
          <w:rFonts w:cs="Arial"/>
          <w:b/>
          <w:color w:val="002060"/>
          <w:sz w:val="44"/>
          <w:szCs w:val="44"/>
        </w:rPr>
      </w:pPr>
    </w:p>
    <w:p w:rsidR="00180F0A" w:rsidRPr="00AE6A32" w:rsidRDefault="00A508AD" w:rsidP="00030374">
      <w:pPr>
        <w:ind w:left="284"/>
        <w:rPr>
          <w:rFonts w:cs="Arial"/>
          <w:b/>
          <w:color w:val="002060"/>
          <w:sz w:val="40"/>
          <w:szCs w:val="40"/>
        </w:rPr>
      </w:pPr>
      <w:r w:rsidRPr="00AE6A32">
        <w:rPr>
          <w:rFonts w:cs="Arial"/>
          <w:b/>
          <w:color w:val="002060"/>
          <w:sz w:val="40"/>
          <w:szCs w:val="40"/>
        </w:rPr>
        <w:t>2013</w:t>
      </w:r>
      <w:r w:rsidR="00496D9C" w:rsidRPr="00AE6A32">
        <w:rPr>
          <w:rFonts w:cs="Arial"/>
          <w:b/>
          <w:color w:val="002060"/>
          <w:sz w:val="40"/>
          <w:szCs w:val="40"/>
        </w:rPr>
        <w:t>–</w:t>
      </w:r>
      <w:r w:rsidR="001854E7" w:rsidRPr="00AE6A32">
        <w:rPr>
          <w:rFonts w:cs="Arial"/>
          <w:b/>
          <w:color w:val="002060"/>
          <w:sz w:val="40"/>
          <w:szCs w:val="40"/>
        </w:rPr>
        <w:t>20</w:t>
      </w:r>
      <w:r w:rsidRPr="00AE6A32">
        <w:rPr>
          <w:rFonts w:cs="Arial"/>
          <w:b/>
          <w:color w:val="002060"/>
          <w:sz w:val="40"/>
          <w:szCs w:val="40"/>
        </w:rPr>
        <w:t>14 STATISTICAL REPORT</w:t>
      </w:r>
    </w:p>
    <w:p w:rsidR="008C2312" w:rsidRPr="006D183A" w:rsidRDefault="008C2312">
      <w:pPr>
        <w:rPr>
          <w:rFonts w:cs="Arial"/>
        </w:rPr>
      </w:pPr>
    </w:p>
    <w:p w:rsidR="00945DB6" w:rsidRPr="006D183A" w:rsidRDefault="0016613F">
      <w:pPr>
        <w:rPr>
          <w:rFonts w:cs="Arial"/>
        </w:rPr>
      </w:pPr>
      <w:r>
        <w:rPr>
          <w:noProof/>
        </w:rPr>
        <w:drawing>
          <wp:anchor distT="0" distB="0" distL="114300" distR="114300" simplePos="0" relativeHeight="251657216" behindDoc="0" locked="0" layoutInCell="1" allowOverlap="1" wp14:anchorId="566B4046" wp14:editId="6B8D9D69">
            <wp:simplePos x="0" y="0"/>
            <wp:positionH relativeFrom="column">
              <wp:posOffset>4811395</wp:posOffset>
            </wp:positionH>
            <wp:positionV relativeFrom="paragraph">
              <wp:posOffset>8996680</wp:posOffset>
            </wp:positionV>
            <wp:extent cx="1851025" cy="484505"/>
            <wp:effectExtent l="0" t="0" r="0" b="0"/>
            <wp:wrapNone/>
            <wp:docPr id="238" name="DEPI/VicBrick" descr="C:\Users\SPF\Documents\TMC\DEPI\To mod\DEPI_RGB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VicBrick" descr="C:\Users\SPF\Documents\TMC\DEPI\To mod\DEPI_RGB_righ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1025" cy="484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8E4" w:rsidRPr="00A508AD">
        <w:rPr>
          <w:rFonts w:cs="Arial"/>
        </w:rPr>
        <w:br w:type="page"/>
      </w:r>
    </w:p>
    <w:p w:rsidR="00882327" w:rsidRPr="00B233C4" w:rsidRDefault="00882327" w:rsidP="00882327">
      <w:pPr>
        <w:spacing w:after="160" w:line="240" w:lineRule="atLeast"/>
        <w:ind w:left="360"/>
        <w:rPr>
          <w:rFonts w:cs="Arial"/>
          <w:sz w:val="24"/>
        </w:rPr>
      </w:pPr>
      <w:r>
        <w:rPr>
          <w:rFonts w:cs="Arial"/>
          <w:b/>
          <w:bCs/>
          <w:sz w:val="24"/>
        </w:rPr>
        <w:lastRenderedPageBreak/>
        <w:t xml:space="preserve"> </w:t>
      </w:r>
    </w:p>
    <w:p w:rsidR="005955E6" w:rsidRPr="005955E6" w:rsidRDefault="005955E6" w:rsidP="005955E6">
      <w:pPr>
        <w:jc w:val="both"/>
        <w:rPr>
          <w:rFonts w:ascii="Calibri" w:hAnsi="Calibri"/>
          <w:b/>
          <w:sz w:val="32"/>
          <w:szCs w:val="32"/>
        </w:rPr>
      </w:pPr>
      <w:bookmarkStart w:id="0" w:name="_Toc125447286"/>
      <w:bookmarkStart w:id="1" w:name="_Toc157232805"/>
      <w:bookmarkStart w:id="2" w:name="_Toc228784372"/>
      <w:bookmarkStart w:id="3" w:name="_Toc279573135"/>
      <w:r w:rsidRPr="005955E6">
        <w:rPr>
          <w:rFonts w:ascii="Calibri" w:hAnsi="Calibri"/>
          <w:b/>
          <w:sz w:val="32"/>
          <w:szCs w:val="32"/>
        </w:rPr>
        <w:t>Executive Summary</w:t>
      </w:r>
    </w:p>
    <w:p w:rsidR="005955E6" w:rsidRPr="005955E6" w:rsidRDefault="005955E6" w:rsidP="005955E6">
      <w:pPr>
        <w:jc w:val="both"/>
        <w:rPr>
          <w:rFonts w:ascii="Calibri" w:hAnsi="Calibri"/>
          <w:sz w:val="20"/>
        </w:rPr>
      </w:pPr>
    </w:p>
    <w:p w:rsidR="005955E6" w:rsidRPr="00533D06" w:rsidRDefault="005955E6" w:rsidP="005955E6">
      <w:pPr>
        <w:jc w:val="both"/>
        <w:rPr>
          <w:rFonts w:ascii="Calibri" w:hAnsi="Calibri"/>
          <w:sz w:val="20"/>
        </w:rPr>
      </w:pPr>
      <w:r w:rsidRPr="005955E6">
        <w:rPr>
          <w:rFonts w:ascii="Calibri" w:hAnsi="Calibri"/>
          <w:sz w:val="20"/>
        </w:rPr>
        <w:t xml:space="preserve">In the 2013/14 </w:t>
      </w:r>
      <w:r w:rsidRPr="00533D06">
        <w:rPr>
          <w:rFonts w:ascii="Calibri" w:hAnsi="Calibri"/>
          <w:sz w:val="20"/>
        </w:rPr>
        <w:t>financial year, activity and investment in the earth resources industries was generally subdued, continuing the trend observed in the previous financial year. The petroleum and geothermal sector again witnessed limited activity, and mineral exploration expenditure continued to fall. Brown coal production remained relatively stable, despite the production interruptions.</w:t>
      </w:r>
    </w:p>
    <w:p w:rsidR="005955E6" w:rsidRPr="00533D06" w:rsidRDefault="005955E6" w:rsidP="005955E6">
      <w:pPr>
        <w:jc w:val="both"/>
        <w:rPr>
          <w:rFonts w:ascii="Calibri" w:hAnsi="Calibri"/>
          <w:sz w:val="20"/>
        </w:rPr>
      </w:pPr>
    </w:p>
    <w:p w:rsidR="005955E6" w:rsidRPr="005955E6" w:rsidRDefault="005955E6" w:rsidP="005955E6">
      <w:pPr>
        <w:jc w:val="both"/>
        <w:rPr>
          <w:rFonts w:ascii="Calibri" w:hAnsi="Calibri"/>
          <w:sz w:val="20"/>
        </w:rPr>
      </w:pPr>
      <w:r w:rsidRPr="00533D06">
        <w:rPr>
          <w:rFonts w:ascii="Calibri" w:hAnsi="Calibri"/>
          <w:sz w:val="20"/>
        </w:rPr>
        <w:t>In the petroleum sector, production remained limited to production and injection at the Iona gas storage facility and carbon dioxide production at Boggy Creek, both of which are located in the onshore Otway Basin area. No hydrocarbon discoveries</w:t>
      </w:r>
      <w:r w:rsidRPr="005955E6">
        <w:rPr>
          <w:rFonts w:ascii="Calibri" w:hAnsi="Calibri"/>
          <w:sz w:val="20"/>
        </w:rPr>
        <w:t xml:space="preserve"> were reported. </w:t>
      </w:r>
    </w:p>
    <w:p w:rsidR="005955E6" w:rsidRPr="005955E6" w:rsidRDefault="005955E6" w:rsidP="005955E6">
      <w:pPr>
        <w:jc w:val="both"/>
        <w:rPr>
          <w:rFonts w:ascii="Calibri" w:hAnsi="Calibri"/>
          <w:sz w:val="20"/>
          <w:highlight w:val="yellow"/>
        </w:rPr>
      </w:pPr>
    </w:p>
    <w:p w:rsidR="005955E6" w:rsidRPr="005955E6" w:rsidRDefault="005955E6" w:rsidP="005955E6">
      <w:pPr>
        <w:jc w:val="both"/>
        <w:rPr>
          <w:rFonts w:ascii="Calibri" w:hAnsi="Calibri"/>
          <w:sz w:val="20"/>
        </w:rPr>
      </w:pPr>
      <w:r w:rsidRPr="005955E6">
        <w:rPr>
          <w:rFonts w:ascii="Calibri" w:hAnsi="Calibri"/>
          <w:sz w:val="20"/>
        </w:rPr>
        <w:t>Investment in geothermal energy resource exploration was low, totalling $908,000, thus below the exploration expenditure reported in 2012/13 ($1.1 million). No wells were drilled during the year, as a result of the moratorium on fracking and onshore natural gas exploration. There was no geothermal energy production.</w:t>
      </w:r>
    </w:p>
    <w:p w:rsidR="005955E6" w:rsidRPr="005955E6" w:rsidRDefault="005955E6" w:rsidP="005955E6">
      <w:pPr>
        <w:jc w:val="both"/>
        <w:rPr>
          <w:rFonts w:ascii="Calibri" w:hAnsi="Calibri"/>
          <w:sz w:val="20"/>
          <w:highlight w:val="yellow"/>
        </w:rPr>
      </w:pPr>
    </w:p>
    <w:p w:rsidR="005955E6" w:rsidRPr="005955E6" w:rsidRDefault="005955E6" w:rsidP="005955E6">
      <w:pPr>
        <w:jc w:val="both"/>
        <w:rPr>
          <w:rFonts w:ascii="Calibri" w:hAnsi="Calibri"/>
          <w:sz w:val="20"/>
        </w:rPr>
      </w:pPr>
      <w:r w:rsidRPr="005955E6">
        <w:rPr>
          <w:rFonts w:ascii="Calibri" w:hAnsi="Calibri"/>
          <w:sz w:val="20"/>
        </w:rPr>
        <w:t>Petroleum and geothermal licensing activity was minimal, with just two onshore petroleum exploration permits granted in the course of 2013/14, though three applications were received (two for offshore petroleum exploration permits and one for an offshore petroleum production licence).</w:t>
      </w:r>
    </w:p>
    <w:p w:rsidR="005955E6" w:rsidRPr="005955E6" w:rsidRDefault="005955E6" w:rsidP="005955E6">
      <w:pPr>
        <w:jc w:val="both"/>
        <w:rPr>
          <w:rFonts w:ascii="Calibri" w:hAnsi="Calibri"/>
          <w:sz w:val="20"/>
          <w:highlight w:val="yellow"/>
        </w:rPr>
      </w:pPr>
    </w:p>
    <w:p w:rsidR="005955E6" w:rsidRPr="005955E6" w:rsidRDefault="005955E6" w:rsidP="005955E6">
      <w:pPr>
        <w:jc w:val="both"/>
        <w:rPr>
          <w:rFonts w:ascii="Calibri" w:hAnsi="Calibri"/>
          <w:sz w:val="20"/>
        </w:rPr>
      </w:pPr>
      <w:r w:rsidRPr="005955E6">
        <w:rPr>
          <w:rFonts w:ascii="Calibri" w:hAnsi="Calibri"/>
          <w:sz w:val="20"/>
        </w:rPr>
        <w:t xml:space="preserve">Minerals licensing activity in 2013/14 remained somewhat subdued compared to previous years, with a continued fall in the total number of applications received, though the number of grants was up in relation to 2012/13, and the first retention licence grant was issued in 2013/14. The total number of licences at the end of June 2014, however, was down by 43 to 494, on account of expirations and surrenders. </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r w:rsidRPr="005955E6">
        <w:rPr>
          <w:rFonts w:ascii="Calibri" w:hAnsi="Calibri"/>
          <w:sz w:val="20"/>
        </w:rPr>
        <w:t xml:space="preserve">In the minerals sector, the general production trend over the past three to five years has reflected fluctuating demand. Production of brown coal in the Latrobe Valley fell to its lowest level since 1995/96, partly due to changing energy demand and sources. Gold production also fell, though only slightly, with volumes down to 225,148 ounces (from 225,776 in 2012/13). Gold production values, however, experienced a sharper decline, falling to 303.4 million from 333.1 million. Production of heavy minerals sands, on the other hand, recovered significantly, reflecting higher overseas demand. </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r w:rsidRPr="005955E6">
        <w:rPr>
          <w:rFonts w:ascii="Calibri" w:hAnsi="Calibri"/>
          <w:sz w:val="20"/>
        </w:rPr>
        <w:t xml:space="preserve">Mineral exploration and mining expenditures both fell, reflecting the subdued industry conditions. The largest falls in exploration expenditure were in the gold and brown coal sectors, with increases in the base metals and antimony. </w:t>
      </w:r>
    </w:p>
    <w:p w:rsidR="005955E6" w:rsidRPr="005955E6" w:rsidRDefault="005955E6" w:rsidP="005955E6">
      <w:pPr>
        <w:jc w:val="both"/>
        <w:rPr>
          <w:rFonts w:ascii="Calibri" w:hAnsi="Calibri"/>
          <w:sz w:val="20"/>
          <w:highlight w:val="yellow"/>
        </w:rPr>
      </w:pPr>
    </w:p>
    <w:p w:rsidR="005955E6" w:rsidRPr="005955E6" w:rsidRDefault="005955E6" w:rsidP="005955E6">
      <w:pPr>
        <w:jc w:val="both"/>
        <w:rPr>
          <w:rFonts w:ascii="Calibri" w:hAnsi="Calibri"/>
          <w:sz w:val="20"/>
        </w:rPr>
      </w:pPr>
      <w:r w:rsidRPr="005955E6">
        <w:rPr>
          <w:rFonts w:ascii="Calibri" w:hAnsi="Calibri"/>
          <w:sz w:val="20"/>
        </w:rPr>
        <w:t>Volume sales of extractive industry (quarry) products in 2013/14 fell by around 7.1 million tonnes, or 18% on a year-on-year (y-o-y) basis, reflecting fluctuating domestic demand from the building and construction sector. Value sales experienced a smaller y-o-y decrease (falling by 9% to $677 million).</w:t>
      </w:r>
    </w:p>
    <w:p w:rsidR="005955E6" w:rsidRPr="005955E6" w:rsidRDefault="005955E6" w:rsidP="005955E6">
      <w:pPr>
        <w:jc w:val="both"/>
        <w:rPr>
          <w:rFonts w:ascii="Calibri" w:hAnsi="Calibri"/>
          <w:sz w:val="20"/>
        </w:rPr>
      </w:pPr>
    </w:p>
    <w:p w:rsidR="008C22ED" w:rsidRDefault="005955E6" w:rsidP="005955E6">
      <w:pPr>
        <w:jc w:val="both"/>
        <w:rPr>
          <w:rFonts w:ascii="Calibri" w:hAnsi="Calibri"/>
          <w:sz w:val="20"/>
        </w:rPr>
      </w:pPr>
      <w:r w:rsidRPr="005955E6">
        <w:rPr>
          <w:rFonts w:ascii="Calibri" w:hAnsi="Calibri"/>
          <w:sz w:val="20"/>
        </w:rPr>
        <w:t>In 2013/14, state revenue (rent, royalty and administrative charges) derived from the earth resources sector totalled $50.1 million, down from $57.2 million collected in 2012/13. The fall was primarily due to lower royalties resulting from the slowing down of the mining and extractive industry production, while petroleum royalties remained unchanged.</w:t>
      </w:r>
    </w:p>
    <w:p w:rsidR="008C22ED" w:rsidRDefault="008C22ED">
      <w:pPr>
        <w:rPr>
          <w:rFonts w:ascii="Calibri" w:hAnsi="Calibri"/>
          <w:sz w:val="20"/>
        </w:rPr>
      </w:pPr>
      <w:r>
        <w:rPr>
          <w:rFonts w:ascii="Calibri" w:hAnsi="Calibri"/>
          <w:sz w:val="20"/>
        </w:rPr>
        <w:br w:type="page"/>
      </w:r>
    </w:p>
    <w:p w:rsidR="005955E6" w:rsidRPr="005955E6" w:rsidRDefault="005955E6" w:rsidP="005955E6">
      <w:pPr>
        <w:jc w:val="both"/>
        <w:rPr>
          <w:rFonts w:ascii="Calibri" w:hAnsi="Calibri"/>
          <w:sz w:val="20"/>
        </w:rPr>
      </w:pPr>
    </w:p>
    <w:p w:rsidR="005955E6" w:rsidRPr="005955E6" w:rsidRDefault="005955E6" w:rsidP="00615AA5">
      <w:pPr>
        <w:pStyle w:val="Heading1"/>
        <w:keepNext w:val="0"/>
        <w:framePr w:w="0" w:hRule="auto" w:hSpace="0" w:wrap="auto" w:vAnchor="margin" w:hAnchor="text" w:xAlign="left" w:yAlign="inline"/>
        <w:numPr>
          <w:ilvl w:val="0"/>
          <w:numId w:val="6"/>
        </w:numPr>
        <w:tabs>
          <w:tab w:val="clear" w:pos="502"/>
          <w:tab w:val="num" w:pos="0"/>
        </w:tabs>
        <w:spacing w:after="0" w:line="240" w:lineRule="auto"/>
        <w:ind w:left="0" w:firstLine="0"/>
        <w:rPr>
          <w:rFonts w:ascii="Calibri" w:hAnsi="Calibri"/>
        </w:rPr>
      </w:pPr>
      <w:bookmarkStart w:id="4" w:name="_Toc228784362"/>
      <w:bookmarkStart w:id="5" w:name="_Toc279573121"/>
      <w:r w:rsidRPr="005955E6">
        <w:rPr>
          <w:rFonts w:ascii="Calibri" w:hAnsi="Calibri"/>
        </w:rPr>
        <w:t>Introduction</w:t>
      </w:r>
      <w:bookmarkEnd w:id="4"/>
      <w:bookmarkEnd w:id="5"/>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r w:rsidRPr="005955E6">
        <w:rPr>
          <w:rFonts w:ascii="Calibri" w:hAnsi="Calibri"/>
          <w:sz w:val="20"/>
        </w:rPr>
        <w:t>The Statistical Report is a compilation of data as reported by Victoria’s earth resources industry. The report includes data on production, exploration, expenditure, licensing, revenues and regulatory actions.</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r w:rsidRPr="005955E6">
        <w:rPr>
          <w:rFonts w:ascii="Calibri" w:hAnsi="Calibri"/>
          <w:sz w:val="20"/>
        </w:rPr>
        <w:t>Victoria’s earth resource industry production includes:</w:t>
      </w:r>
    </w:p>
    <w:p w:rsidR="005955E6" w:rsidRPr="005955E6" w:rsidRDefault="005955E6" w:rsidP="005955E6">
      <w:pPr>
        <w:jc w:val="both"/>
        <w:rPr>
          <w:rFonts w:ascii="Calibri" w:hAnsi="Calibri"/>
          <w:sz w:val="20"/>
        </w:rPr>
      </w:pPr>
    </w:p>
    <w:p w:rsidR="005955E6" w:rsidRPr="005955E6" w:rsidRDefault="005955E6" w:rsidP="00615AA5">
      <w:pPr>
        <w:pStyle w:val="ListParagraph"/>
        <w:numPr>
          <w:ilvl w:val="0"/>
          <w:numId w:val="8"/>
        </w:numPr>
        <w:jc w:val="both"/>
        <w:rPr>
          <w:rFonts w:ascii="Calibri" w:hAnsi="Calibri"/>
          <w:sz w:val="20"/>
        </w:rPr>
      </w:pPr>
      <w:r w:rsidRPr="005955E6">
        <w:rPr>
          <w:rFonts w:ascii="Calibri" w:hAnsi="Calibri"/>
          <w:sz w:val="20"/>
        </w:rPr>
        <w:t>gas and carbon dioxide – from onshore;</w:t>
      </w:r>
    </w:p>
    <w:p w:rsidR="005955E6" w:rsidRPr="005955E6" w:rsidRDefault="005955E6" w:rsidP="00615AA5">
      <w:pPr>
        <w:pStyle w:val="ListParagraph"/>
        <w:numPr>
          <w:ilvl w:val="0"/>
          <w:numId w:val="8"/>
        </w:numPr>
        <w:jc w:val="both"/>
        <w:rPr>
          <w:rFonts w:ascii="Calibri" w:hAnsi="Calibri"/>
          <w:sz w:val="20"/>
        </w:rPr>
      </w:pPr>
      <w:r w:rsidRPr="005955E6">
        <w:rPr>
          <w:rFonts w:ascii="Calibri" w:hAnsi="Calibri"/>
          <w:sz w:val="20"/>
        </w:rPr>
        <w:t>brown coal – used almost exclusively for power generation;</w:t>
      </w:r>
    </w:p>
    <w:p w:rsidR="005955E6" w:rsidRPr="005955E6" w:rsidRDefault="005955E6" w:rsidP="00615AA5">
      <w:pPr>
        <w:pStyle w:val="ListParagraph"/>
        <w:numPr>
          <w:ilvl w:val="0"/>
          <w:numId w:val="8"/>
        </w:numPr>
        <w:jc w:val="both"/>
        <w:rPr>
          <w:rFonts w:ascii="Calibri" w:hAnsi="Calibri"/>
          <w:sz w:val="20"/>
        </w:rPr>
      </w:pPr>
      <w:r w:rsidRPr="005955E6">
        <w:rPr>
          <w:rFonts w:ascii="Calibri" w:hAnsi="Calibri"/>
          <w:sz w:val="20"/>
        </w:rPr>
        <w:t>gold;</w:t>
      </w:r>
    </w:p>
    <w:p w:rsidR="005955E6" w:rsidRPr="005955E6" w:rsidRDefault="005955E6" w:rsidP="00615AA5">
      <w:pPr>
        <w:pStyle w:val="ListParagraph"/>
        <w:numPr>
          <w:ilvl w:val="0"/>
          <w:numId w:val="8"/>
        </w:numPr>
        <w:jc w:val="both"/>
        <w:rPr>
          <w:rFonts w:ascii="Calibri" w:hAnsi="Calibri"/>
          <w:sz w:val="20"/>
        </w:rPr>
      </w:pPr>
      <w:r w:rsidRPr="005955E6">
        <w:rPr>
          <w:rFonts w:ascii="Calibri" w:hAnsi="Calibri"/>
          <w:sz w:val="20"/>
        </w:rPr>
        <w:t>antimony;</w:t>
      </w:r>
    </w:p>
    <w:p w:rsidR="005955E6" w:rsidRPr="005955E6" w:rsidRDefault="005955E6" w:rsidP="00615AA5">
      <w:pPr>
        <w:pStyle w:val="ListParagraph"/>
        <w:numPr>
          <w:ilvl w:val="0"/>
          <w:numId w:val="8"/>
        </w:numPr>
        <w:jc w:val="both"/>
        <w:rPr>
          <w:rFonts w:ascii="Calibri" w:hAnsi="Calibri"/>
          <w:sz w:val="20"/>
        </w:rPr>
      </w:pPr>
      <w:r w:rsidRPr="005955E6">
        <w:rPr>
          <w:rFonts w:ascii="Calibri" w:hAnsi="Calibri"/>
          <w:sz w:val="20"/>
        </w:rPr>
        <w:t>industrial minerals – including gypsum, feldspar, rutile, zircon, ilmenite and kaolin; and</w:t>
      </w:r>
    </w:p>
    <w:p w:rsidR="005955E6" w:rsidRPr="005955E6" w:rsidRDefault="005955E6" w:rsidP="00615AA5">
      <w:pPr>
        <w:pStyle w:val="ListParagraph"/>
        <w:numPr>
          <w:ilvl w:val="0"/>
          <w:numId w:val="8"/>
        </w:numPr>
        <w:jc w:val="both"/>
        <w:rPr>
          <w:rFonts w:ascii="Calibri" w:hAnsi="Calibri"/>
          <w:sz w:val="20"/>
        </w:rPr>
      </w:pPr>
      <w:r w:rsidRPr="005955E6">
        <w:rPr>
          <w:rFonts w:ascii="Calibri" w:hAnsi="Calibri"/>
          <w:sz w:val="20"/>
        </w:rPr>
        <w:t>rock, sand and clay – used mainly for building and road construction.</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r w:rsidRPr="005955E6">
        <w:rPr>
          <w:rFonts w:ascii="Calibri" w:hAnsi="Calibri"/>
          <w:sz w:val="20"/>
        </w:rPr>
        <w:t>Earth Resources Regulation Branch in the Department of Economic Development, Jobs, Transport and Resources (DEDJTR) - previously known as the Department of Primary Industries (DPI) and the Department of State Development, Business and Innovation (DSDBI) - is responsible for the Regulation of the minerals, extractives, petroleum, pipelines, geothermal and carbon storage industries in Victoria and offshore (Victorian) waters. The Branch provides a consistent and transparent tenement management regime, together with monitoring and enforcement that ensure these industries comply with their obligations and meet community expectations.</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r w:rsidRPr="005955E6">
        <w:rPr>
          <w:rFonts w:ascii="Calibri" w:hAnsi="Calibri"/>
          <w:sz w:val="20"/>
        </w:rPr>
        <w:t>The responsibility for the petroleum, pipelines and carbon storage industries in offshore (Commonwealth) waters was transferred to the National Offshore Petroleum Title Administrator (NOPTA) on 1 January 2012, and these are no longer reported on in this publication. Historical information on petroleum industry activities and production in offshore (Commonwealth) waters is available in earlier editions of the Statistical Report or from the National Offshore Petroleum Titles Administrator (more information can be found at www.nopta.gov.au).</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r w:rsidRPr="005955E6">
        <w:rPr>
          <w:rFonts w:ascii="Calibri" w:hAnsi="Calibri"/>
          <w:sz w:val="20"/>
        </w:rPr>
        <w:t>Earth Resources Regulation Branch administers the following Acts:</w:t>
      </w:r>
    </w:p>
    <w:p w:rsidR="005955E6" w:rsidRPr="005955E6" w:rsidRDefault="005955E6" w:rsidP="005955E6">
      <w:pPr>
        <w:jc w:val="both"/>
        <w:rPr>
          <w:rFonts w:ascii="Calibri" w:hAnsi="Calibri"/>
          <w:sz w:val="20"/>
        </w:rPr>
      </w:pPr>
    </w:p>
    <w:p w:rsidR="005955E6" w:rsidRPr="005955E6" w:rsidRDefault="005955E6" w:rsidP="00615AA5">
      <w:pPr>
        <w:pStyle w:val="ListParagraph"/>
        <w:numPr>
          <w:ilvl w:val="0"/>
          <w:numId w:val="9"/>
        </w:numPr>
        <w:jc w:val="both"/>
        <w:rPr>
          <w:rFonts w:ascii="Calibri" w:hAnsi="Calibri"/>
          <w:sz w:val="20"/>
        </w:rPr>
      </w:pPr>
      <w:r w:rsidRPr="005955E6">
        <w:rPr>
          <w:rFonts w:ascii="Calibri" w:hAnsi="Calibri"/>
          <w:i/>
          <w:sz w:val="20"/>
        </w:rPr>
        <w:t xml:space="preserve">Mineral Resources (Sustainable Development) Act </w:t>
      </w:r>
      <w:r w:rsidRPr="005955E6">
        <w:rPr>
          <w:rFonts w:ascii="Calibri" w:hAnsi="Calibri"/>
          <w:sz w:val="20"/>
        </w:rPr>
        <w:t>1990 (MRSDA) (mineral exploration, mining and quarrying);</w:t>
      </w:r>
    </w:p>
    <w:p w:rsidR="005955E6" w:rsidRPr="005955E6" w:rsidRDefault="005955E6" w:rsidP="00615AA5">
      <w:pPr>
        <w:pStyle w:val="ListParagraph"/>
        <w:numPr>
          <w:ilvl w:val="0"/>
          <w:numId w:val="9"/>
        </w:numPr>
        <w:jc w:val="both"/>
        <w:rPr>
          <w:rFonts w:ascii="Calibri" w:hAnsi="Calibri"/>
          <w:sz w:val="20"/>
        </w:rPr>
      </w:pPr>
      <w:r w:rsidRPr="005955E6">
        <w:rPr>
          <w:rFonts w:ascii="Calibri" w:hAnsi="Calibri"/>
          <w:i/>
          <w:sz w:val="20"/>
        </w:rPr>
        <w:t>Offshore Petroleum and Greenhouse Gas Storage Act</w:t>
      </w:r>
      <w:r w:rsidRPr="005955E6">
        <w:rPr>
          <w:rFonts w:ascii="Calibri" w:hAnsi="Calibri"/>
          <w:sz w:val="20"/>
        </w:rPr>
        <w:t xml:space="preserve"> 2010 (OPGGSA) (petroleum exploration and development, greenhouse gas storage and pipelines in the Victorian offshore waters);</w:t>
      </w:r>
    </w:p>
    <w:p w:rsidR="005955E6" w:rsidRPr="005955E6" w:rsidRDefault="005955E6" w:rsidP="00615AA5">
      <w:pPr>
        <w:pStyle w:val="ListParagraph"/>
        <w:numPr>
          <w:ilvl w:val="0"/>
          <w:numId w:val="9"/>
        </w:numPr>
        <w:jc w:val="both"/>
        <w:rPr>
          <w:rFonts w:ascii="Calibri" w:hAnsi="Calibri"/>
          <w:sz w:val="20"/>
        </w:rPr>
      </w:pPr>
      <w:r w:rsidRPr="005955E6">
        <w:rPr>
          <w:rFonts w:ascii="Calibri" w:hAnsi="Calibri"/>
          <w:i/>
          <w:sz w:val="20"/>
        </w:rPr>
        <w:t>Petroleum Act</w:t>
      </w:r>
      <w:r w:rsidRPr="005955E6">
        <w:rPr>
          <w:rFonts w:ascii="Calibri" w:hAnsi="Calibri"/>
          <w:sz w:val="20"/>
        </w:rPr>
        <w:t xml:space="preserve"> 1998 (petroleum exploration and development onshore);</w:t>
      </w:r>
    </w:p>
    <w:p w:rsidR="005955E6" w:rsidRPr="005955E6" w:rsidRDefault="005955E6" w:rsidP="00615AA5">
      <w:pPr>
        <w:pStyle w:val="ListParagraph"/>
        <w:numPr>
          <w:ilvl w:val="0"/>
          <w:numId w:val="9"/>
        </w:numPr>
        <w:jc w:val="both"/>
        <w:rPr>
          <w:rFonts w:ascii="Calibri" w:hAnsi="Calibri"/>
          <w:sz w:val="20"/>
        </w:rPr>
      </w:pPr>
      <w:r w:rsidRPr="005955E6">
        <w:rPr>
          <w:rFonts w:ascii="Calibri" w:hAnsi="Calibri"/>
          <w:i/>
          <w:sz w:val="20"/>
        </w:rPr>
        <w:t>Pipelines Act</w:t>
      </w:r>
      <w:r w:rsidRPr="005955E6">
        <w:rPr>
          <w:rFonts w:ascii="Calibri" w:hAnsi="Calibri"/>
          <w:sz w:val="20"/>
        </w:rPr>
        <w:t xml:space="preserve"> 2005 (licensing and regulation of high pressure pipelines onshore);</w:t>
      </w:r>
    </w:p>
    <w:p w:rsidR="005955E6" w:rsidRPr="005955E6" w:rsidRDefault="005955E6" w:rsidP="00615AA5">
      <w:pPr>
        <w:pStyle w:val="ListParagraph"/>
        <w:numPr>
          <w:ilvl w:val="0"/>
          <w:numId w:val="9"/>
        </w:numPr>
        <w:jc w:val="both"/>
        <w:rPr>
          <w:rFonts w:ascii="Calibri" w:hAnsi="Calibri"/>
          <w:sz w:val="20"/>
        </w:rPr>
      </w:pPr>
      <w:r w:rsidRPr="005955E6">
        <w:rPr>
          <w:rFonts w:ascii="Calibri" w:hAnsi="Calibri"/>
          <w:i/>
          <w:sz w:val="20"/>
        </w:rPr>
        <w:t>Geothermal Energy Resources Act</w:t>
      </w:r>
      <w:r w:rsidRPr="005955E6">
        <w:rPr>
          <w:rFonts w:ascii="Calibri" w:hAnsi="Calibri"/>
          <w:sz w:val="20"/>
        </w:rPr>
        <w:t xml:space="preserve"> 2005 (geothermal energy exploration and development); and</w:t>
      </w:r>
    </w:p>
    <w:p w:rsidR="005955E6" w:rsidRPr="005955E6" w:rsidRDefault="005955E6" w:rsidP="00615AA5">
      <w:pPr>
        <w:pStyle w:val="ListParagraph"/>
        <w:numPr>
          <w:ilvl w:val="0"/>
          <w:numId w:val="9"/>
        </w:numPr>
        <w:jc w:val="both"/>
        <w:rPr>
          <w:rFonts w:ascii="Calibri" w:hAnsi="Calibri"/>
          <w:sz w:val="20"/>
        </w:rPr>
      </w:pPr>
      <w:r w:rsidRPr="005955E6">
        <w:rPr>
          <w:rFonts w:ascii="Calibri" w:hAnsi="Calibri"/>
          <w:i/>
          <w:sz w:val="20"/>
        </w:rPr>
        <w:t>Greenhouse Gas Geological Sequestration Act</w:t>
      </w:r>
      <w:r w:rsidRPr="005955E6">
        <w:rPr>
          <w:rFonts w:ascii="Calibri" w:hAnsi="Calibri"/>
          <w:sz w:val="20"/>
        </w:rPr>
        <w:t xml:space="preserve"> 2008 (greenhouse gas storage onshore).</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p>
    <w:p w:rsidR="005955E6" w:rsidRPr="005955E6" w:rsidRDefault="005955E6" w:rsidP="005955E6">
      <w:pPr>
        <w:spacing w:after="200" w:line="276" w:lineRule="auto"/>
        <w:rPr>
          <w:rFonts w:ascii="Calibri" w:hAnsi="Calibri"/>
          <w:b/>
          <w:noProof/>
          <w:kern w:val="32"/>
          <w:sz w:val="32"/>
        </w:rPr>
      </w:pPr>
      <w:r w:rsidRPr="005955E6">
        <w:rPr>
          <w:rFonts w:ascii="Calibri" w:hAnsi="Calibri"/>
        </w:rPr>
        <w:br w:type="page"/>
      </w:r>
    </w:p>
    <w:p w:rsidR="005955E6" w:rsidRPr="005955E6" w:rsidRDefault="005955E6" w:rsidP="00615AA5">
      <w:pPr>
        <w:pStyle w:val="Heading1"/>
        <w:keepNext w:val="0"/>
        <w:framePr w:w="0" w:hRule="auto" w:hSpace="0" w:wrap="auto" w:vAnchor="margin" w:hAnchor="text" w:xAlign="left" w:yAlign="inline"/>
        <w:numPr>
          <w:ilvl w:val="0"/>
          <w:numId w:val="6"/>
        </w:numPr>
        <w:spacing w:after="0" w:line="240" w:lineRule="auto"/>
        <w:ind w:hanging="502"/>
        <w:rPr>
          <w:rFonts w:ascii="Calibri" w:hAnsi="Calibri"/>
        </w:rPr>
      </w:pPr>
      <w:r w:rsidRPr="005955E6">
        <w:rPr>
          <w:rFonts w:ascii="Calibri" w:hAnsi="Calibri"/>
        </w:rPr>
        <w:lastRenderedPageBreak/>
        <w:t>Petroleum, Geothermal and Pipelines</w:t>
      </w:r>
    </w:p>
    <w:p w:rsidR="005955E6" w:rsidRPr="005955E6" w:rsidRDefault="005955E6" w:rsidP="005955E6">
      <w:pPr>
        <w:jc w:val="both"/>
        <w:rPr>
          <w:rFonts w:ascii="Calibri" w:hAnsi="Calibri"/>
          <w:sz w:val="20"/>
        </w:rPr>
      </w:pPr>
    </w:p>
    <w:p w:rsidR="005955E6" w:rsidRPr="005955E6" w:rsidRDefault="005955E6" w:rsidP="00615AA5">
      <w:pPr>
        <w:pStyle w:val="Heading2"/>
        <w:keepNext w:val="0"/>
        <w:numPr>
          <w:ilvl w:val="1"/>
          <w:numId w:val="6"/>
        </w:numPr>
        <w:tabs>
          <w:tab w:val="clear" w:pos="792"/>
          <w:tab w:val="num" w:pos="284"/>
        </w:tabs>
        <w:spacing w:before="0"/>
        <w:ind w:left="284" w:hanging="284"/>
        <w:jc w:val="left"/>
        <w:rPr>
          <w:rFonts w:ascii="Calibri" w:hAnsi="Calibri"/>
        </w:rPr>
      </w:pPr>
      <w:bookmarkStart w:id="6" w:name="_Hlt124245646"/>
      <w:bookmarkStart w:id="7" w:name="_Hlt124245696"/>
      <w:bookmarkStart w:id="8" w:name="_Toc125447280"/>
      <w:bookmarkStart w:id="9" w:name="_Toc157232799"/>
      <w:bookmarkStart w:id="10" w:name="_Toc228784364"/>
      <w:bookmarkEnd w:id="6"/>
      <w:bookmarkEnd w:id="7"/>
      <w:r w:rsidRPr="005955E6">
        <w:rPr>
          <w:rFonts w:ascii="Calibri" w:hAnsi="Calibri"/>
        </w:rPr>
        <w:t>Petroleum</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r w:rsidRPr="005955E6">
        <w:rPr>
          <w:rFonts w:ascii="Calibri" w:hAnsi="Calibri"/>
          <w:sz w:val="20"/>
        </w:rPr>
        <w:t xml:space="preserve">Victoria’s petroleum exploration and production is concentrated in the Otway and Gippsland Basins, with activities undertaken both onshore and in Victorian offshore waters. </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r w:rsidRPr="005955E6">
        <w:rPr>
          <w:rFonts w:ascii="Calibri" w:hAnsi="Calibri"/>
          <w:sz w:val="20"/>
        </w:rPr>
        <w:t>Offshore activities concern waters effectively within three nautical miles of the coast, as covered by Victorian legislation. Waters greater than three nautical miles offshore from the coast are Commonwealth waters and are as such covered by Commonwealth legislation and therefore not included in this report.</w:t>
      </w:r>
    </w:p>
    <w:p w:rsidR="005955E6" w:rsidRPr="005955E6" w:rsidRDefault="005955E6" w:rsidP="005955E6">
      <w:pPr>
        <w:jc w:val="both"/>
        <w:rPr>
          <w:rFonts w:ascii="Calibri" w:hAnsi="Calibri"/>
          <w:sz w:val="20"/>
        </w:rPr>
      </w:pPr>
    </w:p>
    <w:p w:rsidR="005955E6" w:rsidRPr="005955E6" w:rsidRDefault="005955E6" w:rsidP="00615AA5">
      <w:pPr>
        <w:pStyle w:val="Heading2"/>
        <w:keepNext w:val="0"/>
        <w:numPr>
          <w:ilvl w:val="2"/>
          <w:numId w:val="6"/>
        </w:numPr>
        <w:tabs>
          <w:tab w:val="clear" w:pos="1224"/>
          <w:tab w:val="num" w:pos="567"/>
        </w:tabs>
        <w:spacing w:before="0"/>
        <w:ind w:left="567" w:hanging="567"/>
        <w:jc w:val="left"/>
        <w:rPr>
          <w:rFonts w:ascii="Calibri" w:hAnsi="Calibri"/>
        </w:rPr>
      </w:pPr>
      <w:r w:rsidRPr="005955E6">
        <w:rPr>
          <w:rFonts w:ascii="Calibri" w:hAnsi="Calibri"/>
        </w:rPr>
        <w:t>Petroleum tenements</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r w:rsidRPr="005955E6">
        <w:rPr>
          <w:rFonts w:ascii="Calibri" w:hAnsi="Calibri"/>
          <w:sz w:val="20"/>
        </w:rPr>
        <w:t xml:space="preserve">In 2013/14, two onshore exploration permits were granted. Two applications for an offshore exploration permit and one application for an offshore production licence were also received. </w:t>
      </w:r>
    </w:p>
    <w:p w:rsidR="005955E6" w:rsidRPr="005955E6" w:rsidRDefault="005955E6" w:rsidP="005955E6">
      <w:pPr>
        <w:jc w:val="both"/>
        <w:rPr>
          <w:rFonts w:ascii="Calibri" w:hAnsi="Calibri"/>
          <w:b/>
          <w:sz w:val="20"/>
        </w:rPr>
      </w:pPr>
    </w:p>
    <w:p w:rsidR="005955E6" w:rsidRPr="005955E6" w:rsidRDefault="005955E6" w:rsidP="009C5F1E">
      <w:pPr>
        <w:pStyle w:val="Heading3"/>
      </w:pPr>
      <w:r w:rsidRPr="005955E6">
        <w:t>Table 2.1 Overview of petroleum tenements current as at 30 June 2014</w:t>
      </w:r>
    </w:p>
    <w:p w:rsidR="005955E6" w:rsidRPr="005955E6" w:rsidRDefault="005955E6" w:rsidP="005955E6">
      <w:pPr>
        <w:jc w:val="both"/>
        <w:rPr>
          <w:rFonts w:ascii="Calibri" w:hAnsi="Calibri"/>
          <w:b/>
          <w:sz w:val="20"/>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ayout w:type="fixed"/>
        <w:tblLook w:val="04A0" w:firstRow="1" w:lastRow="0" w:firstColumn="1" w:lastColumn="0" w:noHBand="0" w:noVBand="1"/>
        <w:tblCaption w:val="Table 2.1 - Overview of petroleum tenements current as at 30 June 2014"/>
        <w:tblDescription w:val="This table provides an overview of petroleum tenements as they existed at 30 June 2014. &#10;&#10;It provides a breakdown of onshore and offshore petroleum tenements and highlights the type of petroleum tenements too.&#10;&#10;In terms of onshore petroleum tenements, there were 11 petroleum exploration permits, 3 petroleum retention leases and 13 petroleum production licences.&#10;&#10;In terms of offshore petroleum tenements, there was 1 petroleum exploration permit, 2 petroleum retention leases and nil petroleum production licences."/>
      </w:tblPr>
      <w:tblGrid>
        <w:gridCol w:w="2180"/>
        <w:gridCol w:w="2688"/>
        <w:gridCol w:w="2688"/>
        <w:gridCol w:w="2752"/>
      </w:tblGrid>
      <w:tr w:rsidR="003C097D" w:rsidRPr="008F5AFD" w:rsidTr="004C689A">
        <w:trPr>
          <w:trHeight w:val="300"/>
          <w:tblHeader/>
        </w:trPr>
        <w:tc>
          <w:tcPr>
            <w:tcW w:w="1057" w:type="pct"/>
            <w:shd w:val="clear" w:color="auto" w:fill="FFFFFF" w:themeFill="background1"/>
            <w:noWrap/>
            <w:hideMark/>
          </w:tcPr>
          <w:p w:rsidR="005955E6" w:rsidRPr="005955E6" w:rsidRDefault="005955E6" w:rsidP="00615AA5">
            <w:pPr>
              <w:rPr>
                <w:rFonts w:ascii="Calibri" w:hAnsi="Calibri"/>
                <w:b/>
                <w:color w:val="000000"/>
                <w:sz w:val="20"/>
              </w:rPr>
            </w:pPr>
            <w:bookmarkStart w:id="11" w:name="ColumnTitle_2_1"/>
            <w:r w:rsidRPr="005955E6">
              <w:rPr>
                <w:rFonts w:ascii="Calibri" w:hAnsi="Calibri"/>
                <w:b/>
                <w:color w:val="000000"/>
                <w:sz w:val="20"/>
              </w:rPr>
              <w:t> </w:t>
            </w:r>
          </w:p>
        </w:tc>
        <w:tc>
          <w:tcPr>
            <w:tcW w:w="1304" w:type="pct"/>
            <w:shd w:val="clear" w:color="auto" w:fill="FFFFFF" w:themeFill="background1"/>
            <w:noWrap/>
            <w:hideMark/>
          </w:tcPr>
          <w:p w:rsidR="005955E6" w:rsidRPr="005955E6" w:rsidRDefault="005955E6" w:rsidP="005955E6">
            <w:pPr>
              <w:jc w:val="center"/>
              <w:rPr>
                <w:rFonts w:ascii="Calibri" w:hAnsi="Calibri"/>
                <w:b/>
                <w:color w:val="000000"/>
                <w:sz w:val="20"/>
              </w:rPr>
            </w:pPr>
            <w:r w:rsidRPr="005955E6">
              <w:rPr>
                <w:rFonts w:ascii="Calibri" w:hAnsi="Calibri"/>
                <w:b/>
                <w:color w:val="000000"/>
                <w:sz w:val="20"/>
              </w:rPr>
              <w:t>Petroleum Exploration Permits (PEPs)</w:t>
            </w:r>
          </w:p>
        </w:tc>
        <w:tc>
          <w:tcPr>
            <w:tcW w:w="1304" w:type="pct"/>
            <w:shd w:val="clear" w:color="auto" w:fill="FFFFFF" w:themeFill="background1"/>
            <w:noWrap/>
            <w:hideMark/>
          </w:tcPr>
          <w:p w:rsidR="005955E6" w:rsidRPr="005955E6" w:rsidRDefault="005955E6" w:rsidP="005955E6">
            <w:pPr>
              <w:jc w:val="center"/>
              <w:rPr>
                <w:rFonts w:ascii="Calibri" w:hAnsi="Calibri"/>
                <w:b/>
                <w:color w:val="000000"/>
                <w:sz w:val="20"/>
              </w:rPr>
            </w:pPr>
            <w:r w:rsidRPr="005955E6">
              <w:rPr>
                <w:rFonts w:ascii="Calibri" w:hAnsi="Calibri"/>
                <w:b/>
                <w:color w:val="000000"/>
                <w:sz w:val="20"/>
              </w:rPr>
              <w:t>Petroleum Retention Leases (PRLs)</w:t>
            </w:r>
          </w:p>
        </w:tc>
        <w:tc>
          <w:tcPr>
            <w:tcW w:w="1336" w:type="pct"/>
            <w:shd w:val="clear" w:color="auto" w:fill="FFFFFF" w:themeFill="background1"/>
            <w:noWrap/>
            <w:hideMark/>
          </w:tcPr>
          <w:p w:rsidR="005955E6" w:rsidRPr="005955E6" w:rsidRDefault="005955E6" w:rsidP="005955E6">
            <w:pPr>
              <w:jc w:val="center"/>
              <w:rPr>
                <w:rFonts w:ascii="Calibri" w:hAnsi="Calibri"/>
                <w:b/>
                <w:color w:val="000000"/>
                <w:sz w:val="20"/>
              </w:rPr>
            </w:pPr>
            <w:r w:rsidRPr="005955E6">
              <w:rPr>
                <w:rFonts w:ascii="Calibri" w:hAnsi="Calibri"/>
                <w:b/>
                <w:color w:val="000000"/>
                <w:sz w:val="20"/>
              </w:rPr>
              <w:t>Petroleum Production Licences (PPLs)</w:t>
            </w:r>
          </w:p>
        </w:tc>
      </w:tr>
      <w:bookmarkEnd w:id="11"/>
      <w:tr w:rsidR="003C097D" w:rsidRPr="008F5AFD" w:rsidTr="004C689A">
        <w:trPr>
          <w:trHeight w:val="300"/>
        </w:trPr>
        <w:tc>
          <w:tcPr>
            <w:tcW w:w="1057" w:type="pct"/>
            <w:shd w:val="clear" w:color="auto" w:fill="FFFFFF" w:themeFill="background1"/>
            <w:noWrap/>
            <w:hideMark/>
          </w:tcPr>
          <w:p w:rsidR="005955E6" w:rsidRPr="005955E6" w:rsidRDefault="005955E6" w:rsidP="00615AA5">
            <w:pPr>
              <w:rPr>
                <w:rFonts w:ascii="Calibri" w:hAnsi="Calibri"/>
                <w:color w:val="000000"/>
                <w:sz w:val="20"/>
              </w:rPr>
            </w:pPr>
            <w:r w:rsidRPr="005955E6">
              <w:rPr>
                <w:rFonts w:ascii="Calibri" w:hAnsi="Calibri"/>
                <w:color w:val="000000"/>
                <w:sz w:val="20"/>
              </w:rPr>
              <w:t>Onshore</w:t>
            </w:r>
          </w:p>
        </w:tc>
        <w:tc>
          <w:tcPr>
            <w:tcW w:w="1304" w:type="pct"/>
            <w:shd w:val="clear" w:color="auto" w:fill="FFFFFF" w:themeFill="background1"/>
            <w:noWrap/>
            <w:hideMark/>
          </w:tcPr>
          <w:p w:rsidR="005955E6" w:rsidRPr="005955E6" w:rsidRDefault="005955E6" w:rsidP="005955E6">
            <w:pPr>
              <w:jc w:val="center"/>
              <w:rPr>
                <w:rFonts w:ascii="Calibri" w:hAnsi="Calibri"/>
                <w:color w:val="000000"/>
                <w:sz w:val="20"/>
              </w:rPr>
            </w:pPr>
            <w:r w:rsidRPr="005955E6">
              <w:rPr>
                <w:rFonts w:ascii="Calibri" w:hAnsi="Calibri"/>
                <w:color w:val="000000"/>
                <w:sz w:val="20"/>
              </w:rPr>
              <w:t>11</w:t>
            </w:r>
          </w:p>
        </w:tc>
        <w:tc>
          <w:tcPr>
            <w:tcW w:w="1304" w:type="pct"/>
            <w:shd w:val="clear" w:color="auto" w:fill="FFFFFF" w:themeFill="background1"/>
            <w:noWrap/>
            <w:hideMark/>
          </w:tcPr>
          <w:p w:rsidR="005955E6" w:rsidRPr="005955E6" w:rsidRDefault="005955E6" w:rsidP="005955E6">
            <w:pPr>
              <w:jc w:val="center"/>
              <w:rPr>
                <w:rFonts w:ascii="Calibri" w:hAnsi="Calibri"/>
                <w:color w:val="000000"/>
                <w:sz w:val="20"/>
              </w:rPr>
            </w:pPr>
            <w:r w:rsidRPr="005955E6">
              <w:rPr>
                <w:rFonts w:ascii="Calibri" w:hAnsi="Calibri"/>
                <w:color w:val="000000"/>
                <w:sz w:val="20"/>
              </w:rPr>
              <w:t>3</w:t>
            </w:r>
          </w:p>
        </w:tc>
        <w:tc>
          <w:tcPr>
            <w:tcW w:w="1336" w:type="pct"/>
            <w:shd w:val="clear" w:color="auto" w:fill="FFFFFF" w:themeFill="background1"/>
            <w:noWrap/>
            <w:hideMark/>
          </w:tcPr>
          <w:p w:rsidR="005955E6" w:rsidRPr="005955E6" w:rsidRDefault="005955E6" w:rsidP="005955E6">
            <w:pPr>
              <w:jc w:val="center"/>
              <w:rPr>
                <w:rFonts w:ascii="Calibri" w:hAnsi="Calibri"/>
                <w:color w:val="000000"/>
                <w:sz w:val="20"/>
              </w:rPr>
            </w:pPr>
            <w:r w:rsidRPr="005955E6">
              <w:rPr>
                <w:rFonts w:ascii="Calibri" w:hAnsi="Calibri"/>
                <w:color w:val="000000"/>
                <w:sz w:val="20"/>
              </w:rPr>
              <w:t>13</w:t>
            </w:r>
          </w:p>
        </w:tc>
      </w:tr>
      <w:tr w:rsidR="003C097D" w:rsidRPr="008F5AFD" w:rsidTr="004C689A">
        <w:trPr>
          <w:trHeight w:val="300"/>
        </w:trPr>
        <w:tc>
          <w:tcPr>
            <w:tcW w:w="1057" w:type="pct"/>
            <w:shd w:val="clear" w:color="auto" w:fill="FFFFFF" w:themeFill="background1"/>
            <w:noWrap/>
            <w:hideMark/>
          </w:tcPr>
          <w:p w:rsidR="005955E6" w:rsidRPr="005955E6" w:rsidRDefault="005955E6" w:rsidP="00615AA5">
            <w:pPr>
              <w:rPr>
                <w:rFonts w:ascii="Calibri" w:hAnsi="Calibri"/>
                <w:color w:val="000000"/>
                <w:sz w:val="20"/>
              </w:rPr>
            </w:pPr>
            <w:r w:rsidRPr="005955E6">
              <w:rPr>
                <w:rFonts w:ascii="Calibri" w:hAnsi="Calibri"/>
                <w:color w:val="000000"/>
                <w:sz w:val="20"/>
              </w:rPr>
              <w:t>Offshore (Vic)</w:t>
            </w:r>
          </w:p>
        </w:tc>
        <w:tc>
          <w:tcPr>
            <w:tcW w:w="1304" w:type="pct"/>
            <w:shd w:val="clear" w:color="auto" w:fill="FFFFFF" w:themeFill="background1"/>
            <w:noWrap/>
            <w:hideMark/>
          </w:tcPr>
          <w:p w:rsidR="005955E6" w:rsidRPr="005955E6" w:rsidRDefault="005955E6" w:rsidP="005955E6">
            <w:pPr>
              <w:jc w:val="center"/>
              <w:rPr>
                <w:rFonts w:ascii="Calibri" w:hAnsi="Calibri"/>
                <w:color w:val="000000"/>
                <w:sz w:val="20"/>
              </w:rPr>
            </w:pPr>
            <w:r w:rsidRPr="005955E6">
              <w:rPr>
                <w:rFonts w:ascii="Calibri" w:hAnsi="Calibri"/>
                <w:color w:val="000000"/>
                <w:sz w:val="20"/>
              </w:rPr>
              <w:t>1</w:t>
            </w:r>
          </w:p>
        </w:tc>
        <w:tc>
          <w:tcPr>
            <w:tcW w:w="1304" w:type="pct"/>
            <w:shd w:val="clear" w:color="auto" w:fill="FFFFFF" w:themeFill="background1"/>
            <w:noWrap/>
            <w:hideMark/>
          </w:tcPr>
          <w:p w:rsidR="005955E6" w:rsidRPr="005955E6" w:rsidRDefault="005955E6" w:rsidP="005955E6">
            <w:pPr>
              <w:jc w:val="center"/>
              <w:rPr>
                <w:rFonts w:ascii="Calibri" w:hAnsi="Calibri"/>
                <w:color w:val="000000"/>
                <w:sz w:val="20"/>
              </w:rPr>
            </w:pPr>
            <w:r w:rsidRPr="005955E6">
              <w:rPr>
                <w:rFonts w:ascii="Calibri" w:hAnsi="Calibri"/>
                <w:color w:val="000000"/>
                <w:sz w:val="20"/>
              </w:rPr>
              <w:t>2</w:t>
            </w:r>
          </w:p>
        </w:tc>
        <w:tc>
          <w:tcPr>
            <w:tcW w:w="1336" w:type="pct"/>
            <w:shd w:val="clear" w:color="auto" w:fill="FFFFFF" w:themeFill="background1"/>
            <w:noWrap/>
            <w:hideMark/>
          </w:tcPr>
          <w:p w:rsidR="005955E6" w:rsidRPr="005955E6" w:rsidRDefault="007871BA" w:rsidP="007871BA">
            <w:pPr>
              <w:jc w:val="center"/>
              <w:rPr>
                <w:rFonts w:ascii="Calibri" w:hAnsi="Calibri"/>
                <w:color w:val="000000"/>
                <w:sz w:val="20"/>
              </w:rPr>
            </w:pPr>
            <w:r>
              <w:rPr>
                <w:rFonts w:ascii="Calibri" w:hAnsi="Calibri"/>
                <w:color w:val="000000"/>
                <w:sz w:val="20"/>
              </w:rPr>
              <w:t>0</w:t>
            </w:r>
          </w:p>
        </w:tc>
      </w:tr>
    </w:tbl>
    <w:p w:rsidR="005955E6" w:rsidRPr="005955E6" w:rsidRDefault="005955E6" w:rsidP="005955E6">
      <w:pPr>
        <w:jc w:val="both"/>
        <w:rPr>
          <w:rFonts w:ascii="Calibri" w:hAnsi="Calibri"/>
          <w:sz w:val="20"/>
        </w:rPr>
      </w:pPr>
      <w:r w:rsidRPr="005955E6">
        <w:rPr>
          <w:rFonts w:ascii="Calibri" w:hAnsi="Calibri"/>
          <w:sz w:val="20"/>
        </w:rPr>
        <w:t>Source: DEDJTR</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b/>
          <w:sz w:val="28"/>
          <w:szCs w:val="28"/>
        </w:rPr>
      </w:pPr>
      <w:r w:rsidRPr="005955E6">
        <w:rPr>
          <w:rFonts w:ascii="Calibri" w:hAnsi="Calibri"/>
          <w:b/>
          <w:sz w:val="28"/>
          <w:szCs w:val="28"/>
        </w:rPr>
        <w:t>Onshore</w:t>
      </w:r>
    </w:p>
    <w:p w:rsidR="005955E6" w:rsidRPr="005955E6" w:rsidRDefault="005955E6" w:rsidP="005955E6">
      <w:pPr>
        <w:jc w:val="both"/>
        <w:rPr>
          <w:rFonts w:ascii="Calibri" w:hAnsi="Calibri"/>
          <w:sz w:val="20"/>
        </w:rPr>
      </w:pPr>
    </w:p>
    <w:p w:rsidR="005955E6" w:rsidRPr="005955E6" w:rsidRDefault="005955E6" w:rsidP="009C5F1E">
      <w:pPr>
        <w:pStyle w:val="Heading3"/>
      </w:pPr>
      <w:r w:rsidRPr="005955E6">
        <w:t>Table 2.2 Overview of onshore petroleum exploration permits (PEPs)</w:t>
      </w:r>
    </w:p>
    <w:p w:rsidR="005955E6" w:rsidRPr="005955E6" w:rsidRDefault="005955E6" w:rsidP="005955E6">
      <w:pPr>
        <w:jc w:val="both"/>
        <w:rPr>
          <w:rFonts w:ascii="Calibri" w:hAnsi="Calibri"/>
          <w:b/>
          <w:sz w:val="20"/>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ook w:val="0000" w:firstRow="0" w:lastRow="0" w:firstColumn="0" w:lastColumn="0" w:noHBand="0" w:noVBand="0"/>
      </w:tblPr>
      <w:tblGrid>
        <w:gridCol w:w="1335"/>
        <w:gridCol w:w="1107"/>
        <w:gridCol w:w="1107"/>
        <w:gridCol w:w="1109"/>
        <w:gridCol w:w="1109"/>
        <w:gridCol w:w="1107"/>
        <w:gridCol w:w="1109"/>
        <w:gridCol w:w="1006"/>
        <w:gridCol w:w="1319"/>
      </w:tblGrid>
      <w:tr w:rsidR="003C097D" w:rsidRPr="00E84E0A" w:rsidTr="004C689A">
        <w:trPr>
          <w:trHeight w:val="270"/>
          <w:tblHeader/>
        </w:trPr>
        <w:tc>
          <w:tcPr>
            <w:tcW w:w="647" w:type="pct"/>
            <w:shd w:val="clear" w:color="auto" w:fill="FFFFFF" w:themeFill="background1"/>
            <w:noWrap/>
          </w:tcPr>
          <w:p w:rsidR="005955E6" w:rsidRPr="005955E6" w:rsidRDefault="005955E6" w:rsidP="005955E6">
            <w:pPr>
              <w:jc w:val="both"/>
              <w:rPr>
                <w:rFonts w:ascii="Calibri" w:hAnsi="Calibri"/>
                <w:b/>
                <w:sz w:val="20"/>
              </w:rPr>
            </w:pPr>
            <w:bookmarkStart w:id="12" w:name="ColumnTitle_2_2"/>
          </w:p>
        </w:tc>
        <w:tc>
          <w:tcPr>
            <w:tcW w:w="537" w:type="pct"/>
            <w:shd w:val="clear" w:color="auto" w:fill="FFFFFF" w:themeFill="background1"/>
            <w:noWrap/>
          </w:tcPr>
          <w:p w:rsidR="005955E6" w:rsidRPr="005955E6" w:rsidRDefault="005955E6" w:rsidP="005955E6">
            <w:pPr>
              <w:jc w:val="center"/>
              <w:rPr>
                <w:rFonts w:ascii="Calibri" w:hAnsi="Calibri"/>
                <w:b/>
                <w:sz w:val="20"/>
              </w:rPr>
            </w:pPr>
            <w:r w:rsidRPr="005955E6">
              <w:rPr>
                <w:rFonts w:ascii="Calibri" w:hAnsi="Calibri"/>
                <w:b/>
                <w:sz w:val="20"/>
              </w:rPr>
              <w:t>2006/07</w:t>
            </w:r>
          </w:p>
        </w:tc>
        <w:tc>
          <w:tcPr>
            <w:tcW w:w="537" w:type="pct"/>
            <w:shd w:val="clear" w:color="auto" w:fill="FFFFFF" w:themeFill="background1"/>
            <w:noWrap/>
          </w:tcPr>
          <w:p w:rsidR="005955E6" w:rsidRPr="005955E6" w:rsidRDefault="005955E6" w:rsidP="005955E6">
            <w:pPr>
              <w:jc w:val="center"/>
              <w:rPr>
                <w:rFonts w:ascii="Calibri" w:hAnsi="Calibri"/>
                <w:b/>
                <w:sz w:val="20"/>
              </w:rPr>
            </w:pPr>
            <w:r w:rsidRPr="005955E6">
              <w:rPr>
                <w:rFonts w:ascii="Calibri" w:hAnsi="Calibri"/>
                <w:b/>
                <w:sz w:val="20"/>
              </w:rPr>
              <w:t>2007/08</w:t>
            </w:r>
          </w:p>
        </w:tc>
        <w:tc>
          <w:tcPr>
            <w:tcW w:w="538" w:type="pct"/>
            <w:shd w:val="clear" w:color="auto" w:fill="FFFFFF" w:themeFill="background1"/>
            <w:noWrap/>
          </w:tcPr>
          <w:p w:rsidR="005955E6" w:rsidRPr="005955E6" w:rsidRDefault="005955E6" w:rsidP="005955E6">
            <w:pPr>
              <w:jc w:val="center"/>
              <w:rPr>
                <w:rFonts w:ascii="Calibri" w:hAnsi="Calibri"/>
                <w:b/>
                <w:sz w:val="20"/>
              </w:rPr>
            </w:pPr>
            <w:r w:rsidRPr="005955E6">
              <w:rPr>
                <w:rFonts w:ascii="Calibri" w:hAnsi="Calibri"/>
                <w:b/>
                <w:sz w:val="20"/>
              </w:rPr>
              <w:t>2008/09</w:t>
            </w:r>
          </w:p>
        </w:tc>
        <w:tc>
          <w:tcPr>
            <w:tcW w:w="538" w:type="pct"/>
            <w:shd w:val="clear" w:color="auto" w:fill="FFFFFF" w:themeFill="background1"/>
            <w:noWrap/>
          </w:tcPr>
          <w:p w:rsidR="005955E6" w:rsidRPr="005955E6" w:rsidRDefault="005955E6" w:rsidP="005955E6">
            <w:pPr>
              <w:jc w:val="center"/>
              <w:rPr>
                <w:rFonts w:ascii="Calibri" w:hAnsi="Calibri"/>
                <w:b/>
                <w:sz w:val="20"/>
              </w:rPr>
            </w:pPr>
            <w:r w:rsidRPr="005955E6">
              <w:rPr>
                <w:rFonts w:ascii="Calibri" w:hAnsi="Calibri"/>
                <w:b/>
                <w:sz w:val="20"/>
              </w:rPr>
              <w:t>2009/10</w:t>
            </w:r>
          </w:p>
        </w:tc>
        <w:tc>
          <w:tcPr>
            <w:tcW w:w="537" w:type="pct"/>
            <w:shd w:val="clear" w:color="auto" w:fill="FFFFFF" w:themeFill="background1"/>
          </w:tcPr>
          <w:p w:rsidR="005955E6" w:rsidRPr="005955E6" w:rsidRDefault="005955E6" w:rsidP="005955E6">
            <w:pPr>
              <w:jc w:val="center"/>
              <w:rPr>
                <w:rFonts w:ascii="Calibri" w:hAnsi="Calibri"/>
                <w:b/>
                <w:sz w:val="20"/>
              </w:rPr>
            </w:pPr>
            <w:r w:rsidRPr="005955E6">
              <w:rPr>
                <w:rFonts w:ascii="Calibri" w:hAnsi="Calibri"/>
                <w:b/>
                <w:sz w:val="20"/>
              </w:rPr>
              <w:t>2010/11</w:t>
            </w:r>
          </w:p>
        </w:tc>
        <w:tc>
          <w:tcPr>
            <w:tcW w:w="538" w:type="pct"/>
            <w:shd w:val="clear" w:color="auto" w:fill="FFFFFF" w:themeFill="background1"/>
          </w:tcPr>
          <w:p w:rsidR="005955E6" w:rsidRPr="005955E6" w:rsidRDefault="005955E6" w:rsidP="005955E6">
            <w:pPr>
              <w:jc w:val="center"/>
              <w:rPr>
                <w:rFonts w:ascii="Calibri" w:hAnsi="Calibri"/>
                <w:b/>
                <w:sz w:val="20"/>
              </w:rPr>
            </w:pPr>
            <w:r w:rsidRPr="005955E6">
              <w:rPr>
                <w:rFonts w:ascii="Calibri" w:hAnsi="Calibri"/>
                <w:b/>
                <w:sz w:val="20"/>
              </w:rPr>
              <w:t>2011/12</w:t>
            </w:r>
          </w:p>
        </w:tc>
        <w:tc>
          <w:tcPr>
            <w:tcW w:w="488" w:type="pct"/>
            <w:shd w:val="clear" w:color="auto" w:fill="FFFFFF" w:themeFill="background1"/>
          </w:tcPr>
          <w:p w:rsidR="005955E6" w:rsidRPr="005955E6" w:rsidRDefault="005955E6" w:rsidP="005955E6">
            <w:pPr>
              <w:jc w:val="center"/>
              <w:rPr>
                <w:rFonts w:ascii="Calibri" w:hAnsi="Calibri"/>
                <w:b/>
                <w:sz w:val="20"/>
              </w:rPr>
            </w:pPr>
            <w:r w:rsidRPr="005955E6">
              <w:rPr>
                <w:rFonts w:ascii="Calibri" w:hAnsi="Calibri"/>
                <w:b/>
                <w:sz w:val="20"/>
              </w:rPr>
              <w:t>2012/13</w:t>
            </w:r>
          </w:p>
        </w:tc>
        <w:tc>
          <w:tcPr>
            <w:tcW w:w="640" w:type="pct"/>
            <w:shd w:val="clear" w:color="auto" w:fill="FFFFFF" w:themeFill="background1"/>
          </w:tcPr>
          <w:p w:rsidR="005955E6" w:rsidRPr="005955E6" w:rsidRDefault="005955E6" w:rsidP="005955E6">
            <w:pPr>
              <w:jc w:val="center"/>
              <w:rPr>
                <w:rFonts w:ascii="Calibri" w:hAnsi="Calibri"/>
                <w:b/>
                <w:sz w:val="20"/>
              </w:rPr>
            </w:pPr>
            <w:r w:rsidRPr="005955E6">
              <w:rPr>
                <w:rFonts w:ascii="Calibri" w:hAnsi="Calibri"/>
                <w:b/>
                <w:sz w:val="20"/>
              </w:rPr>
              <w:t>2013/14</w:t>
            </w:r>
          </w:p>
        </w:tc>
      </w:tr>
      <w:bookmarkEnd w:id="12"/>
      <w:tr w:rsidR="003C097D" w:rsidRPr="008F5AFD" w:rsidTr="004C689A">
        <w:trPr>
          <w:trHeight w:val="255"/>
        </w:trPr>
        <w:tc>
          <w:tcPr>
            <w:tcW w:w="647" w:type="pct"/>
            <w:shd w:val="clear" w:color="auto" w:fill="FFFFFF" w:themeFill="background1"/>
          </w:tcPr>
          <w:p w:rsidR="005955E6" w:rsidRPr="005955E6" w:rsidRDefault="005955E6" w:rsidP="005955E6">
            <w:pPr>
              <w:jc w:val="both"/>
              <w:rPr>
                <w:rFonts w:ascii="Calibri" w:hAnsi="Calibri"/>
                <w:sz w:val="20"/>
              </w:rPr>
            </w:pPr>
            <w:r w:rsidRPr="005955E6">
              <w:rPr>
                <w:rFonts w:ascii="Calibri" w:hAnsi="Calibri"/>
                <w:sz w:val="20"/>
              </w:rPr>
              <w:t>PEP Application Received</w:t>
            </w:r>
          </w:p>
        </w:tc>
        <w:tc>
          <w:tcPr>
            <w:tcW w:w="537"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3</w:t>
            </w:r>
          </w:p>
        </w:tc>
        <w:tc>
          <w:tcPr>
            <w:tcW w:w="537"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538"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538"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537"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4</w:t>
            </w:r>
          </w:p>
        </w:tc>
        <w:tc>
          <w:tcPr>
            <w:tcW w:w="538"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1</w:t>
            </w:r>
          </w:p>
        </w:tc>
        <w:tc>
          <w:tcPr>
            <w:tcW w:w="488"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640"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r>
      <w:tr w:rsidR="003C097D" w:rsidRPr="008F5AFD" w:rsidTr="004C689A">
        <w:trPr>
          <w:trHeight w:val="270"/>
        </w:trPr>
        <w:tc>
          <w:tcPr>
            <w:tcW w:w="647" w:type="pct"/>
            <w:shd w:val="clear" w:color="auto" w:fill="FFFFFF" w:themeFill="background1"/>
          </w:tcPr>
          <w:p w:rsidR="005955E6" w:rsidRPr="005955E6" w:rsidRDefault="005955E6" w:rsidP="005955E6">
            <w:pPr>
              <w:jc w:val="both"/>
              <w:rPr>
                <w:rFonts w:ascii="Calibri" w:hAnsi="Calibri"/>
                <w:sz w:val="20"/>
              </w:rPr>
            </w:pPr>
            <w:r w:rsidRPr="005955E6">
              <w:rPr>
                <w:rFonts w:ascii="Calibri" w:hAnsi="Calibri"/>
                <w:sz w:val="20"/>
              </w:rPr>
              <w:t>PEP Granted</w:t>
            </w:r>
          </w:p>
        </w:tc>
        <w:tc>
          <w:tcPr>
            <w:tcW w:w="537"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2</w:t>
            </w:r>
          </w:p>
        </w:tc>
        <w:tc>
          <w:tcPr>
            <w:tcW w:w="537"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1</w:t>
            </w:r>
          </w:p>
        </w:tc>
        <w:tc>
          <w:tcPr>
            <w:tcW w:w="538"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538"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537"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1</w:t>
            </w:r>
          </w:p>
        </w:tc>
        <w:tc>
          <w:tcPr>
            <w:tcW w:w="538"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488"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2</w:t>
            </w:r>
          </w:p>
        </w:tc>
        <w:tc>
          <w:tcPr>
            <w:tcW w:w="640"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2</w:t>
            </w:r>
          </w:p>
        </w:tc>
      </w:tr>
    </w:tbl>
    <w:p w:rsidR="005955E6" w:rsidRPr="005955E6" w:rsidRDefault="005955E6" w:rsidP="005955E6">
      <w:pPr>
        <w:jc w:val="both"/>
        <w:rPr>
          <w:rFonts w:ascii="Calibri" w:hAnsi="Calibri"/>
          <w:sz w:val="20"/>
        </w:rPr>
      </w:pPr>
      <w:r w:rsidRPr="005955E6">
        <w:rPr>
          <w:rFonts w:ascii="Calibri" w:hAnsi="Calibri"/>
          <w:sz w:val="20"/>
        </w:rPr>
        <w:t>Source: DEDJTR</w:t>
      </w:r>
    </w:p>
    <w:p w:rsidR="005955E6" w:rsidRPr="005955E6" w:rsidRDefault="005955E6" w:rsidP="005955E6">
      <w:pPr>
        <w:jc w:val="both"/>
        <w:rPr>
          <w:rFonts w:ascii="Calibri" w:hAnsi="Calibri"/>
          <w:b/>
          <w:sz w:val="20"/>
        </w:rPr>
      </w:pPr>
    </w:p>
    <w:p w:rsidR="005955E6" w:rsidRPr="005955E6" w:rsidRDefault="005955E6" w:rsidP="009C5F1E">
      <w:pPr>
        <w:pStyle w:val="Heading3"/>
      </w:pPr>
      <w:r w:rsidRPr="005955E6">
        <w:t>Table 2.3 Overview of onshore petroleum retention licences (PRLs)</w:t>
      </w:r>
    </w:p>
    <w:p w:rsidR="005955E6" w:rsidRPr="005955E6" w:rsidRDefault="005955E6" w:rsidP="005955E6">
      <w:pPr>
        <w:jc w:val="both"/>
        <w:rPr>
          <w:rFonts w:ascii="Calibri" w:hAnsi="Calibri"/>
          <w:sz w:val="20"/>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ook w:val="0000" w:firstRow="0" w:lastRow="0" w:firstColumn="0" w:lastColumn="0" w:noHBand="0" w:noVBand="0"/>
      </w:tblPr>
      <w:tblGrid>
        <w:gridCol w:w="1572"/>
        <w:gridCol w:w="1091"/>
        <w:gridCol w:w="1091"/>
        <w:gridCol w:w="1091"/>
        <w:gridCol w:w="1093"/>
        <w:gridCol w:w="1091"/>
        <w:gridCol w:w="1091"/>
        <w:gridCol w:w="1091"/>
        <w:gridCol w:w="1097"/>
      </w:tblGrid>
      <w:tr w:rsidR="003C097D" w:rsidRPr="00E84E0A" w:rsidTr="004C689A">
        <w:trPr>
          <w:trHeight w:val="270"/>
          <w:tblHeader/>
        </w:trPr>
        <w:tc>
          <w:tcPr>
            <w:tcW w:w="763" w:type="pct"/>
            <w:shd w:val="clear" w:color="auto" w:fill="FFFFFF" w:themeFill="background1"/>
            <w:noWrap/>
          </w:tcPr>
          <w:p w:rsidR="005955E6" w:rsidRPr="005955E6" w:rsidRDefault="005955E6" w:rsidP="005955E6">
            <w:pPr>
              <w:jc w:val="both"/>
              <w:rPr>
                <w:rFonts w:ascii="Calibri" w:hAnsi="Calibri"/>
                <w:b/>
                <w:sz w:val="20"/>
              </w:rPr>
            </w:pPr>
            <w:bookmarkStart w:id="13" w:name="ColumnTitle_2_3"/>
          </w:p>
        </w:tc>
        <w:tc>
          <w:tcPr>
            <w:tcW w:w="529" w:type="pct"/>
            <w:shd w:val="clear" w:color="auto" w:fill="FFFFFF" w:themeFill="background1"/>
            <w:noWrap/>
          </w:tcPr>
          <w:p w:rsidR="005955E6" w:rsidRPr="005955E6" w:rsidRDefault="005955E6" w:rsidP="005955E6">
            <w:pPr>
              <w:jc w:val="both"/>
              <w:rPr>
                <w:rFonts w:ascii="Calibri" w:hAnsi="Calibri"/>
                <w:b/>
                <w:sz w:val="20"/>
              </w:rPr>
            </w:pPr>
            <w:r w:rsidRPr="005955E6">
              <w:rPr>
                <w:rFonts w:ascii="Calibri" w:hAnsi="Calibri"/>
                <w:b/>
                <w:sz w:val="20"/>
              </w:rPr>
              <w:t>2006/07</w:t>
            </w:r>
          </w:p>
        </w:tc>
        <w:tc>
          <w:tcPr>
            <w:tcW w:w="529" w:type="pct"/>
            <w:shd w:val="clear" w:color="auto" w:fill="FFFFFF" w:themeFill="background1"/>
            <w:noWrap/>
          </w:tcPr>
          <w:p w:rsidR="005955E6" w:rsidRPr="005955E6" w:rsidRDefault="005955E6" w:rsidP="005955E6">
            <w:pPr>
              <w:jc w:val="both"/>
              <w:rPr>
                <w:rFonts w:ascii="Calibri" w:hAnsi="Calibri"/>
                <w:b/>
                <w:sz w:val="20"/>
              </w:rPr>
            </w:pPr>
            <w:r w:rsidRPr="005955E6">
              <w:rPr>
                <w:rFonts w:ascii="Calibri" w:hAnsi="Calibri"/>
                <w:b/>
                <w:sz w:val="20"/>
              </w:rPr>
              <w:t>2007/08</w:t>
            </w:r>
          </w:p>
        </w:tc>
        <w:tc>
          <w:tcPr>
            <w:tcW w:w="529" w:type="pct"/>
            <w:shd w:val="clear" w:color="auto" w:fill="FFFFFF" w:themeFill="background1"/>
            <w:noWrap/>
          </w:tcPr>
          <w:p w:rsidR="005955E6" w:rsidRPr="005955E6" w:rsidRDefault="005955E6" w:rsidP="005955E6">
            <w:pPr>
              <w:jc w:val="both"/>
              <w:rPr>
                <w:rFonts w:ascii="Calibri" w:hAnsi="Calibri"/>
                <w:b/>
                <w:sz w:val="20"/>
              </w:rPr>
            </w:pPr>
            <w:r w:rsidRPr="005955E6">
              <w:rPr>
                <w:rFonts w:ascii="Calibri" w:hAnsi="Calibri"/>
                <w:b/>
                <w:sz w:val="20"/>
              </w:rPr>
              <w:t>2008/09</w:t>
            </w:r>
          </w:p>
        </w:tc>
        <w:tc>
          <w:tcPr>
            <w:tcW w:w="530" w:type="pct"/>
            <w:shd w:val="clear" w:color="auto" w:fill="FFFFFF" w:themeFill="background1"/>
            <w:noWrap/>
          </w:tcPr>
          <w:p w:rsidR="005955E6" w:rsidRPr="005955E6" w:rsidRDefault="005955E6" w:rsidP="005955E6">
            <w:pPr>
              <w:jc w:val="both"/>
              <w:rPr>
                <w:rFonts w:ascii="Calibri" w:hAnsi="Calibri"/>
                <w:b/>
                <w:sz w:val="20"/>
              </w:rPr>
            </w:pPr>
            <w:r w:rsidRPr="005955E6">
              <w:rPr>
                <w:rFonts w:ascii="Calibri" w:hAnsi="Calibri"/>
                <w:b/>
                <w:sz w:val="20"/>
              </w:rPr>
              <w:t>2009/10</w:t>
            </w:r>
          </w:p>
        </w:tc>
        <w:tc>
          <w:tcPr>
            <w:tcW w:w="529" w:type="pct"/>
            <w:shd w:val="clear" w:color="auto" w:fill="FFFFFF" w:themeFill="background1"/>
          </w:tcPr>
          <w:p w:rsidR="005955E6" w:rsidRPr="005955E6" w:rsidRDefault="005955E6" w:rsidP="005955E6">
            <w:pPr>
              <w:jc w:val="both"/>
              <w:rPr>
                <w:rFonts w:ascii="Calibri" w:hAnsi="Calibri"/>
                <w:b/>
                <w:sz w:val="20"/>
              </w:rPr>
            </w:pPr>
            <w:r w:rsidRPr="005955E6">
              <w:rPr>
                <w:rFonts w:ascii="Calibri" w:hAnsi="Calibri"/>
                <w:b/>
                <w:sz w:val="20"/>
              </w:rPr>
              <w:t>2010/11</w:t>
            </w:r>
          </w:p>
        </w:tc>
        <w:tc>
          <w:tcPr>
            <w:tcW w:w="529" w:type="pct"/>
            <w:shd w:val="clear" w:color="auto" w:fill="FFFFFF" w:themeFill="background1"/>
          </w:tcPr>
          <w:p w:rsidR="005955E6" w:rsidRPr="005955E6" w:rsidRDefault="005955E6" w:rsidP="005955E6">
            <w:pPr>
              <w:jc w:val="both"/>
              <w:rPr>
                <w:rFonts w:ascii="Calibri" w:hAnsi="Calibri"/>
                <w:b/>
                <w:sz w:val="20"/>
              </w:rPr>
            </w:pPr>
            <w:r w:rsidRPr="005955E6">
              <w:rPr>
                <w:rFonts w:ascii="Calibri" w:hAnsi="Calibri"/>
                <w:b/>
                <w:sz w:val="20"/>
              </w:rPr>
              <w:t>2011/12</w:t>
            </w:r>
          </w:p>
        </w:tc>
        <w:tc>
          <w:tcPr>
            <w:tcW w:w="529" w:type="pct"/>
            <w:shd w:val="clear" w:color="auto" w:fill="FFFFFF" w:themeFill="background1"/>
          </w:tcPr>
          <w:p w:rsidR="005955E6" w:rsidRPr="005955E6" w:rsidRDefault="005955E6" w:rsidP="005955E6">
            <w:pPr>
              <w:jc w:val="both"/>
              <w:rPr>
                <w:rFonts w:ascii="Calibri" w:hAnsi="Calibri"/>
                <w:b/>
                <w:sz w:val="20"/>
              </w:rPr>
            </w:pPr>
            <w:r w:rsidRPr="005955E6">
              <w:rPr>
                <w:rFonts w:ascii="Calibri" w:hAnsi="Calibri"/>
                <w:b/>
                <w:sz w:val="20"/>
              </w:rPr>
              <w:t>2012/13</w:t>
            </w:r>
          </w:p>
        </w:tc>
        <w:tc>
          <w:tcPr>
            <w:tcW w:w="532" w:type="pct"/>
            <w:shd w:val="clear" w:color="auto" w:fill="FFFFFF" w:themeFill="background1"/>
          </w:tcPr>
          <w:p w:rsidR="005955E6" w:rsidRPr="005955E6" w:rsidRDefault="005955E6" w:rsidP="005955E6">
            <w:pPr>
              <w:jc w:val="both"/>
              <w:rPr>
                <w:rFonts w:ascii="Calibri" w:hAnsi="Calibri"/>
                <w:b/>
                <w:sz w:val="20"/>
              </w:rPr>
            </w:pPr>
            <w:r w:rsidRPr="005955E6">
              <w:rPr>
                <w:rFonts w:ascii="Calibri" w:hAnsi="Calibri"/>
                <w:b/>
                <w:sz w:val="20"/>
              </w:rPr>
              <w:t>2013/14</w:t>
            </w:r>
          </w:p>
        </w:tc>
      </w:tr>
      <w:bookmarkEnd w:id="13"/>
      <w:tr w:rsidR="003C097D" w:rsidRPr="008F5AFD" w:rsidTr="004C689A">
        <w:trPr>
          <w:trHeight w:val="255"/>
          <w:tblHeader/>
        </w:trPr>
        <w:tc>
          <w:tcPr>
            <w:tcW w:w="763" w:type="pct"/>
            <w:shd w:val="clear" w:color="auto" w:fill="FFFFFF" w:themeFill="background1"/>
          </w:tcPr>
          <w:p w:rsidR="005955E6" w:rsidRPr="005955E6" w:rsidRDefault="005955E6" w:rsidP="005955E6">
            <w:pPr>
              <w:jc w:val="both"/>
              <w:rPr>
                <w:rFonts w:ascii="Calibri" w:hAnsi="Calibri"/>
                <w:sz w:val="20"/>
              </w:rPr>
            </w:pPr>
            <w:r w:rsidRPr="005955E6">
              <w:rPr>
                <w:rFonts w:ascii="Calibri" w:hAnsi="Calibri"/>
                <w:sz w:val="20"/>
              </w:rPr>
              <w:t>PRL  Application Received</w:t>
            </w:r>
          </w:p>
        </w:tc>
        <w:tc>
          <w:tcPr>
            <w:tcW w:w="529"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1</w:t>
            </w:r>
          </w:p>
        </w:tc>
        <w:tc>
          <w:tcPr>
            <w:tcW w:w="529"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529"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530"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529"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529"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529" w:type="pct"/>
            <w:shd w:val="clear" w:color="auto" w:fill="FFFFFF" w:themeFill="background1"/>
          </w:tcPr>
          <w:p w:rsidR="005955E6" w:rsidRPr="005955E6" w:rsidRDefault="005955E6" w:rsidP="005955E6">
            <w:pPr>
              <w:jc w:val="center"/>
              <w:rPr>
                <w:rFonts w:ascii="Calibri" w:hAnsi="Calibri"/>
                <w:sz w:val="20"/>
              </w:rPr>
            </w:pPr>
          </w:p>
          <w:p w:rsidR="005955E6" w:rsidRPr="005955E6" w:rsidRDefault="005955E6" w:rsidP="005955E6">
            <w:pPr>
              <w:jc w:val="center"/>
              <w:rPr>
                <w:rFonts w:ascii="Calibri" w:hAnsi="Calibri"/>
                <w:sz w:val="20"/>
              </w:rPr>
            </w:pPr>
            <w:r w:rsidRPr="005955E6">
              <w:rPr>
                <w:rFonts w:ascii="Calibri" w:hAnsi="Calibri"/>
                <w:sz w:val="20"/>
              </w:rPr>
              <w:t>0</w:t>
            </w:r>
          </w:p>
        </w:tc>
        <w:tc>
          <w:tcPr>
            <w:tcW w:w="532" w:type="pct"/>
            <w:shd w:val="clear" w:color="auto" w:fill="FFFFFF" w:themeFill="background1"/>
          </w:tcPr>
          <w:p w:rsidR="005955E6" w:rsidRPr="005955E6" w:rsidRDefault="005955E6" w:rsidP="005955E6">
            <w:pPr>
              <w:jc w:val="center"/>
              <w:rPr>
                <w:rFonts w:ascii="Calibri" w:hAnsi="Calibri"/>
                <w:sz w:val="20"/>
              </w:rPr>
            </w:pPr>
          </w:p>
          <w:p w:rsidR="005955E6" w:rsidRPr="005955E6" w:rsidRDefault="005955E6" w:rsidP="005955E6">
            <w:pPr>
              <w:jc w:val="center"/>
              <w:rPr>
                <w:rFonts w:ascii="Calibri" w:hAnsi="Calibri"/>
                <w:sz w:val="20"/>
              </w:rPr>
            </w:pPr>
            <w:r w:rsidRPr="005955E6">
              <w:rPr>
                <w:rFonts w:ascii="Calibri" w:hAnsi="Calibri"/>
                <w:sz w:val="20"/>
              </w:rPr>
              <w:t>0</w:t>
            </w:r>
          </w:p>
        </w:tc>
      </w:tr>
      <w:tr w:rsidR="003C097D" w:rsidRPr="008F5AFD" w:rsidTr="004C689A">
        <w:trPr>
          <w:trHeight w:val="270"/>
          <w:tblHeader/>
        </w:trPr>
        <w:tc>
          <w:tcPr>
            <w:tcW w:w="763" w:type="pct"/>
            <w:shd w:val="clear" w:color="auto" w:fill="FFFFFF" w:themeFill="background1"/>
          </w:tcPr>
          <w:p w:rsidR="005955E6" w:rsidRPr="005955E6" w:rsidRDefault="005955E6" w:rsidP="005955E6">
            <w:pPr>
              <w:jc w:val="both"/>
              <w:rPr>
                <w:rFonts w:ascii="Calibri" w:hAnsi="Calibri"/>
                <w:sz w:val="20"/>
              </w:rPr>
            </w:pPr>
            <w:r w:rsidRPr="005955E6">
              <w:rPr>
                <w:rFonts w:ascii="Calibri" w:hAnsi="Calibri"/>
                <w:sz w:val="20"/>
              </w:rPr>
              <w:t>PRL  Granted</w:t>
            </w:r>
          </w:p>
        </w:tc>
        <w:tc>
          <w:tcPr>
            <w:tcW w:w="529"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2</w:t>
            </w:r>
          </w:p>
        </w:tc>
        <w:tc>
          <w:tcPr>
            <w:tcW w:w="529"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1</w:t>
            </w:r>
          </w:p>
        </w:tc>
        <w:tc>
          <w:tcPr>
            <w:tcW w:w="529"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530"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529"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529"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529" w:type="pct"/>
            <w:shd w:val="clear" w:color="auto" w:fill="FFFFFF" w:themeFill="background1"/>
          </w:tcPr>
          <w:p w:rsidR="005955E6" w:rsidRPr="005955E6" w:rsidRDefault="005955E6" w:rsidP="005955E6">
            <w:pPr>
              <w:jc w:val="center"/>
              <w:rPr>
                <w:rFonts w:ascii="Calibri" w:hAnsi="Calibri"/>
                <w:sz w:val="20"/>
              </w:rPr>
            </w:pPr>
            <w:r w:rsidRPr="005955E6">
              <w:rPr>
                <w:rFonts w:ascii="Calibri" w:hAnsi="Calibri"/>
                <w:sz w:val="20"/>
              </w:rPr>
              <w:t>0</w:t>
            </w:r>
          </w:p>
        </w:tc>
        <w:tc>
          <w:tcPr>
            <w:tcW w:w="532" w:type="pct"/>
            <w:shd w:val="clear" w:color="auto" w:fill="FFFFFF" w:themeFill="background1"/>
          </w:tcPr>
          <w:p w:rsidR="005955E6" w:rsidRPr="005955E6" w:rsidRDefault="005955E6" w:rsidP="005955E6">
            <w:pPr>
              <w:jc w:val="center"/>
              <w:rPr>
                <w:rFonts w:ascii="Calibri" w:hAnsi="Calibri"/>
                <w:sz w:val="20"/>
              </w:rPr>
            </w:pPr>
            <w:r w:rsidRPr="005955E6">
              <w:rPr>
                <w:rFonts w:ascii="Calibri" w:hAnsi="Calibri"/>
                <w:sz w:val="20"/>
              </w:rPr>
              <w:t>0</w:t>
            </w:r>
          </w:p>
        </w:tc>
      </w:tr>
    </w:tbl>
    <w:p w:rsidR="005955E6" w:rsidRPr="005955E6" w:rsidRDefault="005955E6" w:rsidP="005955E6">
      <w:pPr>
        <w:jc w:val="both"/>
        <w:rPr>
          <w:rFonts w:ascii="Calibri" w:hAnsi="Calibri"/>
          <w:sz w:val="20"/>
        </w:rPr>
      </w:pPr>
      <w:r w:rsidRPr="005955E6">
        <w:rPr>
          <w:rFonts w:ascii="Calibri" w:hAnsi="Calibri"/>
          <w:sz w:val="20"/>
        </w:rPr>
        <w:t>Source: DEDJTR</w:t>
      </w:r>
    </w:p>
    <w:p w:rsidR="005955E6" w:rsidRPr="005955E6" w:rsidRDefault="005955E6" w:rsidP="005955E6">
      <w:pPr>
        <w:jc w:val="both"/>
        <w:rPr>
          <w:rFonts w:ascii="Calibri" w:hAnsi="Calibri"/>
          <w:sz w:val="20"/>
        </w:rPr>
      </w:pPr>
    </w:p>
    <w:p w:rsidR="008C22ED" w:rsidRDefault="005955E6" w:rsidP="005955E6">
      <w:pPr>
        <w:jc w:val="both"/>
        <w:rPr>
          <w:rFonts w:ascii="Calibri" w:hAnsi="Calibri"/>
          <w:sz w:val="20"/>
        </w:rPr>
      </w:pPr>
      <w:r w:rsidRPr="005955E6">
        <w:rPr>
          <w:rFonts w:ascii="Calibri" w:hAnsi="Calibri"/>
          <w:sz w:val="20"/>
        </w:rPr>
        <w:t>No onshore petroleum production licences applications have been received or licences granted in the period between 2006/07 and 2013/14.</w:t>
      </w:r>
    </w:p>
    <w:p w:rsidR="008C22ED" w:rsidRDefault="008C22ED">
      <w:pPr>
        <w:rPr>
          <w:rFonts w:ascii="Calibri" w:hAnsi="Calibri"/>
          <w:sz w:val="20"/>
        </w:rPr>
      </w:pPr>
      <w:r>
        <w:rPr>
          <w:rFonts w:ascii="Calibri" w:hAnsi="Calibri"/>
          <w:sz w:val="20"/>
        </w:rPr>
        <w:br w:type="page"/>
      </w:r>
    </w:p>
    <w:p w:rsidR="005955E6" w:rsidRPr="005955E6" w:rsidRDefault="005955E6" w:rsidP="005955E6">
      <w:pPr>
        <w:jc w:val="both"/>
        <w:rPr>
          <w:rFonts w:ascii="Calibri" w:hAnsi="Calibri"/>
          <w:b/>
          <w:sz w:val="28"/>
          <w:szCs w:val="28"/>
        </w:rPr>
      </w:pPr>
    </w:p>
    <w:p w:rsidR="005955E6" w:rsidRPr="005955E6" w:rsidRDefault="005955E6" w:rsidP="005955E6">
      <w:pPr>
        <w:jc w:val="both"/>
        <w:rPr>
          <w:rFonts w:ascii="Calibri" w:hAnsi="Calibri"/>
          <w:b/>
          <w:sz w:val="28"/>
          <w:szCs w:val="28"/>
        </w:rPr>
      </w:pPr>
      <w:r w:rsidRPr="005955E6">
        <w:rPr>
          <w:rFonts w:ascii="Calibri" w:hAnsi="Calibri"/>
          <w:b/>
          <w:sz w:val="28"/>
          <w:szCs w:val="28"/>
        </w:rPr>
        <w:t>Offshore (State Waters)</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r w:rsidRPr="005955E6">
        <w:rPr>
          <w:rFonts w:ascii="Calibri" w:hAnsi="Calibri"/>
          <w:sz w:val="20"/>
        </w:rPr>
        <w:t xml:space="preserve">No offshore petroleum production licences are current. One application for an offshore petroleum production licence and two applications for an offshore petroleum exploration permit were received in 2013/14. </w:t>
      </w:r>
    </w:p>
    <w:p w:rsidR="005955E6" w:rsidRPr="005955E6" w:rsidRDefault="005955E6" w:rsidP="005955E6">
      <w:pPr>
        <w:jc w:val="both"/>
        <w:rPr>
          <w:rFonts w:ascii="Calibri" w:hAnsi="Calibri"/>
          <w:b/>
          <w:sz w:val="20"/>
        </w:rPr>
      </w:pPr>
    </w:p>
    <w:p w:rsidR="005955E6" w:rsidRPr="005955E6" w:rsidRDefault="005955E6" w:rsidP="009C5F1E">
      <w:pPr>
        <w:pStyle w:val="Heading3"/>
      </w:pPr>
      <w:r w:rsidRPr="005955E6">
        <w:t>Table 2.4 Overview of offshore petroleum exploration permits (VIC/P(V)s)</w:t>
      </w:r>
    </w:p>
    <w:p w:rsidR="005955E6" w:rsidRPr="005955E6" w:rsidRDefault="005955E6" w:rsidP="005955E6">
      <w:pPr>
        <w:jc w:val="both"/>
        <w:rPr>
          <w:rFonts w:ascii="Calibri" w:hAnsi="Calibri"/>
          <w:sz w:val="20"/>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ook w:val="0000" w:firstRow="0" w:lastRow="0" w:firstColumn="0" w:lastColumn="0" w:noHBand="0" w:noVBand="0"/>
      </w:tblPr>
      <w:tblGrid>
        <w:gridCol w:w="1339"/>
        <w:gridCol w:w="1284"/>
        <w:gridCol w:w="1280"/>
        <w:gridCol w:w="1280"/>
        <w:gridCol w:w="1280"/>
        <w:gridCol w:w="1404"/>
        <w:gridCol w:w="1159"/>
        <w:gridCol w:w="1282"/>
      </w:tblGrid>
      <w:tr w:rsidR="003C097D" w:rsidRPr="008F5AFD" w:rsidTr="004C689A">
        <w:trPr>
          <w:trHeight w:val="270"/>
          <w:tblHeader/>
        </w:trPr>
        <w:tc>
          <w:tcPr>
            <w:tcW w:w="649" w:type="pct"/>
            <w:shd w:val="clear" w:color="auto" w:fill="FFFFFF" w:themeFill="background1"/>
            <w:noWrap/>
          </w:tcPr>
          <w:p w:rsidR="005955E6" w:rsidRPr="005955E6" w:rsidRDefault="005955E6" w:rsidP="005955E6">
            <w:pPr>
              <w:jc w:val="both"/>
              <w:rPr>
                <w:rFonts w:ascii="Calibri" w:hAnsi="Calibri"/>
                <w:sz w:val="20"/>
              </w:rPr>
            </w:pPr>
            <w:bookmarkStart w:id="14" w:name="ColumnTitle_2_4"/>
          </w:p>
        </w:tc>
        <w:tc>
          <w:tcPr>
            <w:tcW w:w="623" w:type="pct"/>
            <w:shd w:val="clear" w:color="auto" w:fill="FFFFFF" w:themeFill="background1"/>
            <w:noWrap/>
          </w:tcPr>
          <w:p w:rsidR="005955E6" w:rsidRPr="005955E6" w:rsidRDefault="005955E6" w:rsidP="005955E6">
            <w:pPr>
              <w:jc w:val="center"/>
              <w:rPr>
                <w:rFonts w:ascii="Calibri" w:hAnsi="Calibri"/>
                <w:b/>
                <w:sz w:val="20"/>
              </w:rPr>
            </w:pPr>
            <w:r w:rsidRPr="005955E6">
              <w:rPr>
                <w:rFonts w:ascii="Calibri" w:hAnsi="Calibri"/>
                <w:b/>
                <w:sz w:val="20"/>
              </w:rPr>
              <w:t>2007/08</w:t>
            </w:r>
          </w:p>
        </w:tc>
        <w:tc>
          <w:tcPr>
            <w:tcW w:w="621" w:type="pct"/>
            <w:shd w:val="clear" w:color="auto" w:fill="FFFFFF" w:themeFill="background1"/>
            <w:noWrap/>
          </w:tcPr>
          <w:p w:rsidR="005955E6" w:rsidRPr="005955E6" w:rsidRDefault="005955E6" w:rsidP="005955E6">
            <w:pPr>
              <w:jc w:val="center"/>
              <w:rPr>
                <w:rFonts w:ascii="Calibri" w:hAnsi="Calibri"/>
                <w:b/>
                <w:sz w:val="20"/>
              </w:rPr>
            </w:pPr>
            <w:r w:rsidRPr="005955E6">
              <w:rPr>
                <w:rFonts w:ascii="Calibri" w:hAnsi="Calibri"/>
                <w:b/>
                <w:sz w:val="20"/>
              </w:rPr>
              <w:t>2008/09</w:t>
            </w:r>
          </w:p>
        </w:tc>
        <w:tc>
          <w:tcPr>
            <w:tcW w:w="621" w:type="pct"/>
            <w:shd w:val="clear" w:color="auto" w:fill="FFFFFF" w:themeFill="background1"/>
            <w:noWrap/>
          </w:tcPr>
          <w:p w:rsidR="005955E6" w:rsidRPr="005955E6" w:rsidRDefault="005955E6" w:rsidP="005955E6">
            <w:pPr>
              <w:jc w:val="center"/>
              <w:rPr>
                <w:rFonts w:ascii="Calibri" w:hAnsi="Calibri"/>
                <w:b/>
                <w:sz w:val="20"/>
              </w:rPr>
            </w:pPr>
            <w:r w:rsidRPr="005955E6">
              <w:rPr>
                <w:rFonts w:ascii="Calibri" w:hAnsi="Calibri"/>
                <w:b/>
                <w:sz w:val="20"/>
              </w:rPr>
              <w:t>2009/10</w:t>
            </w:r>
          </w:p>
        </w:tc>
        <w:tc>
          <w:tcPr>
            <w:tcW w:w="621" w:type="pct"/>
            <w:shd w:val="clear" w:color="auto" w:fill="FFFFFF" w:themeFill="background1"/>
          </w:tcPr>
          <w:p w:rsidR="005955E6" w:rsidRPr="005955E6" w:rsidRDefault="005955E6" w:rsidP="005955E6">
            <w:pPr>
              <w:jc w:val="center"/>
              <w:rPr>
                <w:rFonts w:ascii="Calibri" w:hAnsi="Calibri"/>
                <w:b/>
                <w:sz w:val="20"/>
              </w:rPr>
            </w:pPr>
            <w:r w:rsidRPr="005955E6">
              <w:rPr>
                <w:rFonts w:ascii="Calibri" w:hAnsi="Calibri"/>
                <w:b/>
                <w:sz w:val="20"/>
              </w:rPr>
              <w:t>2010/11</w:t>
            </w:r>
          </w:p>
        </w:tc>
        <w:tc>
          <w:tcPr>
            <w:tcW w:w="681" w:type="pct"/>
            <w:shd w:val="clear" w:color="auto" w:fill="FFFFFF" w:themeFill="background1"/>
          </w:tcPr>
          <w:p w:rsidR="005955E6" w:rsidRPr="005955E6" w:rsidRDefault="005955E6" w:rsidP="005955E6">
            <w:pPr>
              <w:jc w:val="center"/>
              <w:rPr>
                <w:rFonts w:ascii="Calibri" w:hAnsi="Calibri"/>
                <w:b/>
                <w:sz w:val="20"/>
              </w:rPr>
            </w:pPr>
            <w:r w:rsidRPr="005955E6">
              <w:rPr>
                <w:rFonts w:ascii="Calibri" w:hAnsi="Calibri"/>
                <w:b/>
                <w:sz w:val="20"/>
              </w:rPr>
              <w:t>2011/12</w:t>
            </w:r>
          </w:p>
        </w:tc>
        <w:tc>
          <w:tcPr>
            <w:tcW w:w="562" w:type="pct"/>
            <w:shd w:val="clear" w:color="auto" w:fill="FFFFFF" w:themeFill="background1"/>
          </w:tcPr>
          <w:p w:rsidR="005955E6" w:rsidRPr="005955E6" w:rsidRDefault="005955E6" w:rsidP="005955E6">
            <w:pPr>
              <w:jc w:val="center"/>
              <w:rPr>
                <w:rFonts w:ascii="Calibri" w:hAnsi="Calibri"/>
                <w:b/>
                <w:sz w:val="20"/>
              </w:rPr>
            </w:pPr>
            <w:r w:rsidRPr="005955E6">
              <w:rPr>
                <w:rFonts w:ascii="Calibri" w:hAnsi="Calibri"/>
                <w:b/>
                <w:sz w:val="20"/>
              </w:rPr>
              <w:t>2012/13</w:t>
            </w:r>
          </w:p>
        </w:tc>
        <w:tc>
          <w:tcPr>
            <w:tcW w:w="622" w:type="pct"/>
            <w:shd w:val="clear" w:color="auto" w:fill="FFFFFF" w:themeFill="background1"/>
          </w:tcPr>
          <w:p w:rsidR="005955E6" w:rsidRPr="005955E6" w:rsidRDefault="005955E6" w:rsidP="005955E6">
            <w:pPr>
              <w:jc w:val="center"/>
              <w:rPr>
                <w:rFonts w:ascii="Calibri" w:hAnsi="Calibri"/>
                <w:b/>
                <w:sz w:val="20"/>
              </w:rPr>
            </w:pPr>
            <w:r w:rsidRPr="005955E6">
              <w:rPr>
                <w:rFonts w:ascii="Calibri" w:hAnsi="Calibri"/>
                <w:b/>
                <w:sz w:val="20"/>
              </w:rPr>
              <w:t>2013/14</w:t>
            </w:r>
          </w:p>
        </w:tc>
      </w:tr>
      <w:bookmarkEnd w:id="14"/>
      <w:tr w:rsidR="003C097D" w:rsidRPr="008F5AFD" w:rsidTr="004C689A">
        <w:trPr>
          <w:trHeight w:val="255"/>
        </w:trPr>
        <w:tc>
          <w:tcPr>
            <w:tcW w:w="649" w:type="pct"/>
            <w:shd w:val="clear" w:color="auto" w:fill="FFFFFF" w:themeFill="background1"/>
          </w:tcPr>
          <w:p w:rsidR="005955E6" w:rsidRPr="005955E6" w:rsidRDefault="005955E6" w:rsidP="005955E6">
            <w:pPr>
              <w:jc w:val="both"/>
              <w:rPr>
                <w:rFonts w:ascii="Calibri" w:hAnsi="Calibri"/>
                <w:sz w:val="20"/>
              </w:rPr>
            </w:pPr>
            <w:r w:rsidRPr="005955E6">
              <w:rPr>
                <w:rFonts w:ascii="Calibri" w:hAnsi="Calibri"/>
                <w:sz w:val="20"/>
              </w:rPr>
              <w:t>VIC/P(V)  Application Received</w:t>
            </w:r>
          </w:p>
        </w:tc>
        <w:tc>
          <w:tcPr>
            <w:tcW w:w="623"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621"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621"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621"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1</w:t>
            </w:r>
          </w:p>
        </w:tc>
        <w:tc>
          <w:tcPr>
            <w:tcW w:w="681"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562"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622"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2</w:t>
            </w:r>
          </w:p>
        </w:tc>
      </w:tr>
      <w:tr w:rsidR="003C097D" w:rsidRPr="008F5AFD" w:rsidTr="004C689A">
        <w:trPr>
          <w:trHeight w:val="270"/>
        </w:trPr>
        <w:tc>
          <w:tcPr>
            <w:tcW w:w="649" w:type="pct"/>
            <w:shd w:val="clear" w:color="auto" w:fill="FFFFFF" w:themeFill="background1"/>
          </w:tcPr>
          <w:p w:rsidR="005955E6" w:rsidRPr="005955E6" w:rsidRDefault="005955E6" w:rsidP="005955E6">
            <w:pPr>
              <w:jc w:val="both"/>
              <w:rPr>
                <w:rFonts w:ascii="Calibri" w:hAnsi="Calibri"/>
                <w:sz w:val="20"/>
              </w:rPr>
            </w:pPr>
            <w:r w:rsidRPr="005955E6">
              <w:rPr>
                <w:rFonts w:ascii="Calibri" w:hAnsi="Calibri"/>
                <w:sz w:val="20"/>
              </w:rPr>
              <w:t>VIC/P(V)  Granted</w:t>
            </w:r>
          </w:p>
        </w:tc>
        <w:tc>
          <w:tcPr>
            <w:tcW w:w="623"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621"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621"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621"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681"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1</w:t>
            </w:r>
          </w:p>
        </w:tc>
        <w:tc>
          <w:tcPr>
            <w:tcW w:w="562"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622"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r>
    </w:tbl>
    <w:p w:rsidR="005955E6" w:rsidRPr="005955E6" w:rsidRDefault="005955E6" w:rsidP="005955E6">
      <w:pPr>
        <w:jc w:val="both"/>
        <w:rPr>
          <w:rFonts w:ascii="Calibri" w:hAnsi="Calibri"/>
          <w:sz w:val="20"/>
        </w:rPr>
      </w:pPr>
      <w:r w:rsidRPr="005955E6">
        <w:rPr>
          <w:rFonts w:ascii="Calibri" w:hAnsi="Calibri"/>
          <w:sz w:val="20"/>
        </w:rPr>
        <w:t>Source: DEDJTR</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p>
    <w:p w:rsidR="005955E6" w:rsidRPr="005955E6" w:rsidRDefault="005955E6" w:rsidP="009C5F1E">
      <w:pPr>
        <w:pStyle w:val="Heading3"/>
      </w:pPr>
      <w:r w:rsidRPr="005955E6">
        <w:t>Table 2.5 Overview of offshore petroleum retention leases (VIC/RL(V)s)</w:t>
      </w:r>
    </w:p>
    <w:p w:rsidR="005955E6" w:rsidRPr="005955E6" w:rsidRDefault="005955E6" w:rsidP="005955E6">
      <w:pPr>
        <w:jc w:val="both"/>
        <w:rPr>
          <w:rFonts w:ascii="Calibri" w:hAnsi="Calibri"/>
          <w:sz w:val="20"/>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ook w:val="0000" w:firstRow="0" w:lastRow="0" w:firstColumn="0" w:lastColumn="0" w:noHBand="0" w:noVBand="0"/>
      </w:tblPr>
      <w:tblGrid>
        <w:gridCol w:w="1339"/>
        <w:gridCol w:w="1282"/>
        <w:gridCol w:w="1280"/>
        <w:gridCol w:w="1280"/>
        <w:gridCol w:w="1282"/>
        <w:gridCol w:w="1404"/>
        <w:gridCol w:w="1266"/>
        <w:gridCol w:w="1175"/>
      </w:tblGrid>
      <w:tr w:rsidR="003C097D" w:rsidRPr="008F5AFD" w:rsidTr="004C689A">
        <w:trPr>
          <w:trHeight w:val="270"/>
          <w:tblHeader/>
        </w:trPr>
        <w:tc>
          <w:tcPr>
            <w:tcW w:w="649" w:type="pct"/>
            <w:shd w:val="clear" w:color="auto" w:fill="FFFFFF" w:themeFill="background1"/>
            <w:noWrap/>
          </w:tcPr>
          <w:p w:rsidR="005955E6" w:rsidRPr="005955E6" w:rsidRDefault="005955E6" w:rsidP="005955E6">
            <w:pPr>
              <w:jc w:val="center"/>
              <w:rPr>
                <w:rFonts w:ascii="Calibri" w:hAnsi="Calibri"/>
                <w:sz w:val="20"/>
              </w:rPr>
            </w:pPr>
            <w:bookmarkStart w:id="15" w:name="ColumnTitle_2_5"/>
          </w:p>
        </w:tc>
        <w:tc>
          <w:tcPr>
            <w:tcW w:w="622" w:type="pct"/>
            <w:shd w:val="clear" w:color="auto" w:fill="FFFFFF" w:themeFill="background1"/>
            <w:noWrap/>
          </w:tcPr>
          <w:p w:rsidR="005955E6" w:rsidRPr="005955E6" w:rsidRDefault="005955E6" w:rsidP="005955E6">
            <w:pPr>
              <w:jc w:val="center"/>
              <w:rPr>
                <w:rFonts w:ascii="Calibri" w:hAnsi="Calibri"/>
                <w:b/>
                <w:sz w:val="20"/>
              </w:rPr>
            </w:pPr>
            <w:r w:rsidRPr="005955E6">
              <w:rPr>
                <w:rFonts w:ascii="Calibri" w:hAnsi="Calibri"/>
                <w:b/>
                <w:sz w:val="20"/>
              </w:rPr>
              <w:t>2007/08</w:t>
            </w:r>
          </w:p>
        </w:tc>
        <w:tc>
          <w:tcPr>
            <w:tcW w:w="621" w:type="pct"/>
            <w:shd w:val="clear" w:color="auto" w:fill="FFFFFF" w:themeFill="background1"/>
            <w:noWrap/>
          </w:tcPr>
          <w:p w:rsidR="005955E6" w:rsidRPr="005955E6" w:rsidRDefault="005955E6" w:rsidP="005955E6">
            <w:pPr>
              <w:jc w:val="center"/>
              <w:rPr>
                <w:rFonts w:ascii="Calibri" w:hAnsi="Calibri"/>
                <w:b/>
                <w:sz w:val="20"/>
              </w:rPr>
            </w:pPr>
            <w:r w:rsidRPr="005955E6">
              <w:rPr>
                <w:rFonts w:ascii="Calibri" w:hAnsi="Calibri"/>
                <w:b/>
                <w:sz w:val="20"/>
              </w:rPr>
              <w:t>2008/09</w:t>
            </w:r>
          </w:p>
        </w:tc>
        <w:tc>
          <w:tcPr>
            <w:tcW w:w="621" w:type="pct"/>
            <w:shd w:val="clear" w:color="auto" w:fill="FFFFFF" w:themeFill="background1"/>
            <w:noWrap/>
          </w:tcPr>
          <w:p w:rsidR="005955E6" w:rsidRPr="005955E6" w:rsidRDefault="005955E6" w:rsidP="005955E6">
            <w:pPr>
              <w:jc w:val="center"/>
              <w:rPr>
                <w:rFonts w:ascii="Calibri" w:hAnsi="Calibri"/>
                <w:b/>
                <w:sz w:val="20"/>
              </w:rPr>
            </w:pPr>
            <w:r w:rsidRPr="005955E6">
              <w:rPr>
                <w:rFonts w:ascii="Calibri" w:hAnsi="Calibri"/>
                <w:b/>
                <w:sz w:val="20"/>
              </w:rPr>
              <w:t>2009/10</w:t>
            </w:r>
          </w:p>
        </w:tc>
        <w:tc>
          <w:tcPr>
            <w:tcW w:w="622" w:type="pct"/>
            <w:shd w:val="clear" w:color="auto" w:fill="FFFFFF" w:themeFill="background1"/>
          </w:tcPr>
          <w:p w:rsidR="005955E6" w:rsidRPr="005955E6" w:rsidRDefault="005955E6" w:rsidP="005955E6">
            <w:pPr>
              <w:jc w:val="center"/>
              <w:rPr>
                <w:rFonts w:ascii="Calibri" w:hAnsi="Calibri"/>
                <w:b/>
                <w:sz w:val="20"/>
              </w:rPr>
            </w:pPr>
            <w:r w:rsidRPr="005955E6">
              <w:rPr>
                <w:rFonts w:ascii="Calibri" w:hAnsi="Calibri"/>
                <w:b/>
                <w:sz w:val="20"/>
              </w:rPr>
              <w:t>2010/11</w:t>
            </w:r>
          </w:p>
        </w:tc>
        <w:tc>
          <w:tcPr>
            <w:tcW w:w="681" w:type="pct"/>
            <w:shd w:val="clear" w:color="auto" w:fill="FFFFFF" w:themeFill="background1"/>
          </w:tcPr>
          <w:p w:rsidR="005955E6" w:rsidRPr="005955E6" w:rsidRDefault="005955E6" w:rsidP="005955E6">
            <w:pPr>
              <w:jc w:val="center"/>
              <w:rPr>
                <w:rFonts w:ascii="Calibri" w:hAnsi="Calibri"/>
                <w:b/>
                <w:sz w:val="20"/>
              </w:rPr>
            </w:pPr>
            <w:r w:rsidRPr="005955E6">
              <w:rPr>
                <w:rFonts w:ascii="Calibri" w:hAnsi="Calibri"/>
                <w:b/>
                <w:sz w:val="20"/>
              </w:rPr>
              <w:t>2011/12</w:t>
            </w:r>
          </w:p>
        </w:tc>
        <w:tc>
          <w:tcPr>
            <w:tcW w:w="614" w:type="pct"/>
            <w:shd w:val="clear" w:color="auto" w:fill="FFFFFF" w:themeFill="background1"/>
          </w:tcPr>
          <w:p w:rsidR="005955E6" w:rsidRPr="005955E6" w:rsidRDefault="005955E6" w:rsidP="005955E6">
            <w:pPr>
              <w:jc w:val="center"/>
              <w:rPr>
                <w:rFonts w:ascii="Calibri" w:hAnsi="Calibri"/>
                <w:b/>
                <w:sz w:val="20"/>
              </w:rPr>
            </w:pPr>
            <w:r w:rsidRPr="005955E6">
              <w:rPr>
                <w:rFonts w:ascii="Calibri" w:hAnsi="Calibri"/>
                <w:b/>
                <w:sz w:val="20"/>
              </w:rPr>
              <w:t>2012/13</w:t>
            </w:r>
          </w:p>
        </w:tc>
        <w:tc>
          <w:tcPr>
            <w:tcW w:w="570" w:type="pct"/>
            <w:shd w:val="clear" w:color="auto" w:fill="FFFFFF" w:themeFill="background1"/>
          </w:tcPr>
          <w:p w:rsidR="005955E6" w:rsidRPr="005955E6" w:rsidRDefault="005955E6" w:rsidP="005955E6">
            <w:pPr>
              <w:jc w:val="center"/>
              <w:rPr>
                <w:rFonts w:ascii="Calibri" w:hAnsi="Calibri"/>
                <w:b/>
                <w:sz w:val="20"/>
              </w:rPr>
            </w:pPr>
            <w:r w:rsidRPr="005955E6">
              <w:rPr>
                <w:rFonts w:ascii="Calibri" w:hAnsi="Calibri"/>
                <w:b/>
                <w:sz w:val="20"/>
              </w:rPr>
              <w:t>2013/14</w:t>
            </w:r>
          </w:p>
        </w:tc>
      </w:tr>
      <w:bookmarkEnd w:id="15"/>
      <w:tr w:rsidR="003C097D" w:rsidRPr="008F5AFD" w:rsidTr="004C689A">
        <w:trPr>
          <w:trHeight w:val="255"/>
        </w:trPr>
        <w:tc>
          <w:tcPr>
            <w:tcW w:w="649" w:type="pct"/>
            <w:shd w:val="clear" w:color="auto" w:fill="FFFFFF" w:themeFill="background1"/>
          </w:tcPr>
          <w:p w:rsidR="005955E6" w:rsidRPr="005955E6" w:rsidRDefault="005955E6" w:rsidP="005955E6">
            <w:pPr>
              <w:jc w:val="both"/>
              <w:rPr>
                <w:rFonts w:ascii="Calibri" w:hAnsi="Calibri"/>
                <w:sz w:val="20"/>
              </w:rPr>
            </w:pPr>
            <w:r w:rsidRPr="005955E6">
              <w:rPr>
                <w:rFonts w:ascii="Calibri" w:hAnsi="Calibri"/>
                <w:sz w:val="20"/>
              </w:rPr>
              <w:t>VIC/RL(V)  Application Received</w:t>
            </w:r>
          </w:p>
        </w:tc>
        <w:tc>
          <w:tcPr>
            <w:tcW w:w="622"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621"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1</w:t>
            </w:r>
          </w:p>
        </w:tc>
        <w:tc>
          <w:tcPr>
            <w:tcW w:w="621"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622"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681"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614" w:type="pct"/>
            <w:shd w:val="clear" w:color="auto" w:fill="FFFFFF" w:themeFill="background1"/>
          </w:tcPr>
          <w:p w:rsidR="005955E6" w:rsidRPr="005955E6" w:rsidRDefault="005955E6" w:rsidP="005955E6">
            <w:pPr>
              <w:jc w:val="center"/>
              <w:rPr>
                <w:rFonts w:ascii="Calibri" w:hAnsi="Calibri"/>
                <w:sz w:val="20"/>
              </w:rPr>
            </w:pPr>
          </w:p>
          <w:p w:rsidR="005955E6" w:rsidRPr="005955E6" w:rsidRDefault="005955E6" w:rsidP="005955E6">
            <w:pPr>
              <w:jc w:val="center"/>
              <w:rPr>
                <w:rFonts w:ascii="Calibri" w:hAnsi="Calibri"/>
                <w:sz w:val="20"/>
              </w:rPr>
            </w:pPr>
            <w:r w:rsidRPr="005955E6">
              <w:rPr>
                <w:rFonts w:ascii="Calibri" w:hAnsi="Calibri"/>
                <w:sz w:val="20"/>
              </w:rPr>
              <w:t>0</w:t>
            </w:r>
          </w:p>
        </w:tc>
        <w:tc>
          <w:tcPr>
            <w:tcW w:w="570" w:type="pct"/>
            <w:shd w:val="clear" w:color="auto" w:fill="FFFFFF" w:themeFill="background1"/>
          </w:tcPr>
          <w:p w:rsidR="005955E6" w:rsidRPr="005955E6" w:rsidRDefault="005955E6" w:rsidP="005955E6">
            <w:pPr>
              <w:jc w:val="center"/>
              <w:rPr>
                <w:rFonts w:ascii="Calibri" w:hAnsi="Calibri"/>
                <w:sz w:val="20"/>
              </w:rPr>
            </w:pPr>
          </w:p>
          <w:p w:rsidR="005955E6" w:rsidRPr="005955E6" w:rsidRDefault="005955E6" w:rsidP="005955E6">
            <w:pPr>
              <w:jc w:val="center"/>
              <w:rPr>
                <w:rFonts w:ascii="Calibri" w:hAnsi="Calibri"/>
                <w:sz w:val="20"/>
              </w:rPr>
            </w:pPr>
            <w:r w:rsidRPr="005955E6">
              <w:rPr>
                <w:rFonts w:ascii="Calibri" w:hAnsi="Calibri"/>
                <w:sz w:val="20"/>
              </w:rPr>
              <w:t>0</w:t>
            </w:r>
          </w:p>
        </w:tc>
      </w:tr>
      <w:tr w:rsidR="003C097D" w:rsidRPr="008F5AFD" w:rsidTr="004C689A">
        <w:trPr>
          <w:trHeight w:val="270"/>
        </w:trPr>
        <w:tc>
          <w:tcPr>
            <w:tcW w:w="649" w:type="pct"/>
            <w:shd w:val="clear" w:color="auto" w:fill="FFFFFF" w:themeFill="background1"/>
          </w:tcPr>
          <w:p w:rsidR="005955E6" w:rsidRPr="005955E6" w:rsidRDefault="005955E6" w:rsidP="005955E6">
            <w:pPr>
              <w:jc w:val="both"/>
              <w:rPr>
                <w:rFonts w:ascii="Calibri" w:hAnsi="Calibri"/>
                <w:sz w:val="20"/>
              </w:rPr>
            </w:pPr>
            <w:r w:rsidRPr="005955E6">
              <w:rPr>
                <w:rFonts w:ascii="Calibri" w:hAnsi="Calibri"/>
                <w:sz w:val="20"/>
              </w:rPr>
              <w:t>VIC/RL(V)  Granted</w:t>
            </w:r>
          </w:p>
        </w:tc>
        <w:tc>
          <w:tcPr>
            <w:tcW w:w="622"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621"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1</w:t>
            </w:r>
          </w:p>
        </w:tc>
        <w:tc>
          <w:tcPr>
            <w:tcW w:w="621"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622"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681"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614" w:type="pct"/>
            <w:shd w:val="clear" w:color="auto" w:fill="FFFFFF" w:themeFill="background1"/>
          </w:tcPr>
          <w:p w:rsidR="005955E6" w:rsidRPr="005955E6" w:rsidRDefault="005955E6" w:rsidP="005955E6">
            <w:pPr>
              <w:jc w:val="center"/>
              <w:rPr>
                <w:rFonts w:ascii="Calibri" w:hAnsi="Calibri"/>
                <w:sz w:val="20"/>
              </w:rPr>
            </w:pPr>
            <w:r w:rsidRPr="005955E6">
              <w:rPr>
                <w:rFonts w:ascii="Calibri" w:hAnsi="Calibri"/>
                <w:sz w:val="20"/>
              </w:rPr>
              <w:t>0</w:t>
            </w:r>
          </w:p>
        </w:tc>
        <w:tc>
          <w:tcPr>
            <w:tcW w:w="570" w:type="pct"/>
            <w:shd w:val="clear" w:color="auto" w:fill="FFFFFF" w:themeFill="background1"/>
          </w:tcPr>
          <w:p w:rsidR="005955E6" w:rsidRPr="005955E6" w:rsidRDefault="005955E6" w:rsidP="005955E6">
            <w:pPr>
              <w:jc w:val="center"/>
              <w:rPr>
                <w:rFonts w:ascii="Calibri" w:hAnsi="Calibri"/>
                <w:sz w:val="20"/>
              </w:rPr>
            </w:pPr>
            <w:r w:rsidRPr="005955E6">
              <w:rPr>
                <w:rFonts w:ascii="Calibri" w:hAnsi="Calibri"/>
                <w:sz w:val="20"/>
              </w:rPr>
              <w:t>0</w:t>
            </w:r>
          </w:p>
        </w:tc>
      </w:tr>
    </w:tbl>
    <w:p w:rsidR="005955E6" w:rsidRPr="005955E6" w:rsidRDefault="005955E6" w:rsidP="005955E6">
      <w:pPr>
        <w:jc w:val="both"/>
        <w:rPr>
          <w:rFonts w:ascii="Calibri" w:hAnsi="Calibri"/>
          <w:sz w:val="20"/>
        </w:rPr>
      </w:pPr>
      <w:r w:rsidRPr="005955E6">
        <w:rPr>
          <w:rFonts w:ascii="Calibri" w:hAnsi="Calibri"/>
          <w:sz w:val="20"/>
        </w:rPr>
        <w:t>Source: DEDJTR</w:t>
      </w:r>
    </w:p>
    <w:p w:rsidR="005955E6" w:rsidRPr="005955E6" w:rsidRDefault="005955E6" w:rsidP="005955E6">
      <w:pPr>
        <w:jc w:val="both"/>
        <w:rPr>
          <w:rFonts w:ascii="Calibri" w:hAnsi="Calibri"/>
          <w:sz w:val="20"/>
        </w:rPr>
      </w:pPr>
    </w:p>
    <w:p w:rsidR="005955E6" w:rsidRPr="005955E6" w:rsidRDefault="005955E6" w:rsidP="009C5F1E">
      <w:pPr>
        <w:pStyle w:val="Heading3"/>
      </w:pPr>
      <w:r w:rsidRPr="005955E6">
        <w:t>Table 2.6 Overview of offshore petroleum production licences (VIC/L(V)s)</w:t>
      </w:r>
    </w:p>
    <w:p w:rsidR="005955E6" w:rsidRPr="005955E6" w:rsidRDefault="005955E6" w:rsidP="005955E6">
      <w:pPr>
        <w:jc w:val="both"/>
        <w:rPr>
          <w:rFonts w:ascii="Calibri" w:hAnsi="Calibri"/>
          <w:sz w:val="20"/>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ook w:val="0000" w:firstRow="0" w:lastRow="0" w:firstColumn="0" w:lastColumn="0" w:noHBand="0" w:noVBand="0"/>
      </w:tblPr>
      <w:tblGrid>
        <w:gridCol w:w="1385"/>
        <w:gridCol w:w="1266"/>
        <w:gridCol w:w="1264"/>
        <w:gridCol w:w="1264"/>
        <w:gridCol w:w="1348"/>
        <w:gridCol w:w="1340"/>
        <w:gridCol w:w="1266"/>
        <w:gridCol w:w="1175"/>
      </w:tblGrid>
      <w:tr w:rsidR="003C097D" w:rsidRPr="008F5AFD" w:rsidTr="004C689A">
        <w:trPr>
          <w:trHeight w:val="270"/>
          <w:tblHeader/>
        </w:trPr>
        <w:tc>
          <w:tcPr>
            <w:tcW w:w="672" w:type="pct"/>
            <w:shd w:val="clear" w:color="auto" w:fill="FFFFFF" w:themeFill="background1"/>
            <w:noWrap/>
          </w:tcPr>
          <w:p w:rsidR="005955E6" w:rsidRPr="005955E6" w:rsidRDefault="005955E6" w:rsidP="005955E6">
            <w:pPr>
              <w:jc w:val="both"/>
              <w:rPr>
                <w:rFonts w:ascii="Calibri" w:hAnsi="Calibri"/>
                <w:sz w:val="20"/>
              </w:rPr>
            </w:pPr>
            <w:bookmarkStart w:id="16" w:name="ColumnTitle_2_6"/>
          </w:p>
        </w:tc>
        <w:tc>
          <w:tcPr>
            <w:tcW w:w="614" w:type="pct"/>
            <w:shd w:val="clear" w:color="auto" w:fill="FFFFFF" w:themeFill="background1"/>
            <w:noWrap/>
          </w:tcPr>
          <w:p w:rsidR="005955E6" w:rsidRPr="005955E6" w:rsidRDefault="005955E6" w:rsidP="005955E6">
            <w:pPr>
              <w:jc w:val="center"/>
              <w:rPr>
                <w:rFonts w:ascii="Calibri" w:hAnsi="Calibri"/>
                <w:b/>
                <w:sz w:val="20"/>
              </w:rPr>
            </w:pPr>
            <w:r w:rsidRPr="005955E6">
              <w:rPr>
                <w:rFonts w:ascii="Calibri" w:hAnsi="Calibri"/>
                <w:b/>
                <w:sz w:val="20"/>
              </w:rPr>
              <w:t>2007/08</w:t>
            </w:r>
          </w:p>
        </w:tc>
        <w:tc>
          <w:tcPr>
            <w:tcW w:w="613" w:type="pct"/>
            <w:shd w:val="clear" w:color="auto" w:fill="FFFFFF" w:themeFill="background1"/>
            <w:noWrap/>
          </w:tcPr>
          <w:p w:rsidR="005955E6" w:rsidRPr="005955E6" w:rsidRDefault="005955E6" w:rsidP="005955E6">
            <w:pPr>
              <w:jc w:val="center"/>
              <w:rPr>
                <w:rFonts w:ascii="Calibri" w:hAnsi="Calibri"/>
                <w:b/>
                <w:sz w:val="20"/>
              </w:rPr>
            </w:pPr>
            <w:r w:rsidRPr="005955E6">
              <w:rPr>
                <w:rFonts w:ascii="Calibri" w:hAnsi="Calibri"/>
                <w:b/>
                <w:sz w:val="20"/>
              </w:rPr>
              <w:t>2008/09</w:t>
            </w:r>
          </w:p>
        </w:tc>
        <w:tc>
          <w:tcPr>
            <w:tcW w:w="613" w:type="pct"/>
            <w:shd w:val="clear" w:color="auto" w:fill="FFFFFF" w:themeFill="background1"/>
            <w:noWrap/>
          </w:tcPr>
          <w:p w:rsidR="005955E6" w:rsidRPr="005955E6" w:rsidRDefault="005955E6" w:rsidP="005955E6">
            <w:pPr>
              <w:jc w:val="center"/>
              <w:rPr>
                <w:rFonts w:ascii="Calibri" w:hAnsi="Calibri"/>
                <w:b/>
                <w:sz w:val="20"/>
              </w:rPr>
            </w:pPr>
            <w:r w:rsidRPr="005955E6">
              <w:rPr>
                <w:rFonts w:ascii="Calibri" w:hAnsi="Calibri"/>
                <w:b/>
                <w:sz w:val="20"/>
              </w:rPr>
              <w:t>2009/10</w:t>
            </w:r>
          </w:p>
        </w:tc>
        <w:tc>
          <w:tcPr>
            <w:tcW w:w="654" w:type="pct"/>
            <w:shd w:val="clear" w:color="auto" w:fill="FFFFFF" w:themeFill="background1"/>
          </w:tcPr>
          <w:p w:rsidR="005955E6" w:rsidRPr="005955E6" w:rsidRDefault="005955E6" w:rsidP="005955E6">
            <w:pPr>
              <w:jc w:val="center"/>
              <w:rPr>
                <w:rFonts w:ascii="Calibri" w:hAnsi="Calibri"/>
                <w:b/>
                <w:sz w:val="20"/>
              </w:rPr>
            </w:pPr>
            <w:r w:rsidRPr="005955E6">
              <w:rPr>
                <w:rFonts w:ascii="Calibri" w:hAnsi="Calibri"/>
                <w:b/>
                <w:sz w:val="20"/>
              </w:rPr>
              <w:t>2010/11</w:t>
            </w:r>
          </w:p>
        </w:tc>
        <w:tc>
          <w:tcPr>
            <w:tcW w:w="650" w:type="pct"/>
            <w:shd w:val="clear" w:color="auto" w:fill="FFFFFF" w:themeFill="background1"/>
          </w:tcPr>
          <w:p w:rsidR="005955E6" w:rsidRPr="005955E6" w:rsidRDefault="005955E6" w:rsidP="005955E6">
            <w:pPr>
              <w:jc w:val="center"/>
              <w:rPr>
                <w:rFonts w:ascii="Calibri" w:hAnsi="Calibri"/>
                <w:b/>
                <w:sz w:val="20"/>
              </w:rPr>
            </w:pPr>
            <w:r w:rsidRPr="005955E6">
              <w:rPr>
                <w:rFonts w:ascii="Calibri" w:hAnsi="Calibri"/>
                <w:b/>
                <w:sz w:val="20"/>
              </w:rPr>
              <w:t>2011/12</w:t>
            </w:r>
          </w:p>
        </w:tc>
        <w:tc>
          <w:tcPr>
            <w:tcW w:w="614" w:type="pct"/>
            <w:shd w:val="clear" w:color="auto" w:fill="FFFFFF" w:themeFill="background1"/>
          </w:tcPr>
          <w:p w:rsidR="005955E6" w:rsidRPr="005955E6" w:rsidRDefault="005955E6" w:rsidP="005955E6">
            <w:pPr>
              <w:jc w:val="center"/>
              <w:rPr>
                <w:rFonts w:ascii="Calibri" w:hAnsi="Calibri"/>
                <w:b/>
                <w:sz w:val="20"/>
              </w:rPr>
            </w:pPr>
            <w:r w:rsidRPr="005955E6">
              <w:rPr>
                <w:rFonts w:ascii="Calibri" w:hAnsi="Calibri"/>
                <w:b/>
                <w:sz w:val="20"/>
              </w:rPr>
              <w:t>2012/13</w:t>
            </w:r>
          </w:p>
        </w:tc>
        <w:tc>
          <w:tcPr>
            <w:tcW w:w="570" w:type="pct"/>
            <w:shd w:val="clear" w:color="auto" w:fill="FFFFFF" w:themeFill="background1"/>
          </w:tcPr>
          <w:p w:rsidR="005955E6" w:rsidRPr="005955E6" w:rsidRDefault="005955E6" w:rsidP="005955E6">
            <w:pPr>
              <w:jc w:val="center"/>
              <w:rPr>
                <w:rFonts w:ascii="Calibri" w:hAnsi="Calibri"/>
                <w:b/>
                <w:sz w:val="20"/>
              </w:rPr>
            </w:pPr>
            <w:r w:rsidRPr="005955E6">
              <w:rPr>
                <w:rFonts w:ascii="Calibri" w:hAnsi="Calibri"/>
                <w:b/>
                <w:sz w:val="20"/>
              </w:rPr>
              <w:t>2013/14</w:t>
            </w:r>
          </w:p>
        </w:tc>
      </w:tr>
      <w:bookmarkEnd w:id="16"/>
      <w:tr w:rsidR="003C097D" w:rsidRPr="008F5AFD" w:rsidTr="004C689A">
        <w:trPr>
          <w:trHeight w:val="255"/>
        </w:trPr>
        <w:tc>
          <w:tcPr>
            <w:tcW w:w="672" w:type="pct"/>
            <w:shd w:val="clear" w:color="auto" w:fill="FFFFFF" w:themeFill="background1"/>
          </w:tcPr>
          <w:p w:rsidR="005955E6" w:rsidRPr="005955E6" w:rsidRDefault="005955E6" w:rsidP="005955E6">
            <w:pPr>
              <w:jc w:val="both"/>
              <w:rPr>
                <w:rFonts w:ascii="Calibri" w:hAnsi="Calibri"/>
                <w:sz w:val="20"/>
              </w:rPr>
            </w:pPr>
            <w:r w:rsidRPr="005955E6">
              <w:rPr>
                <w:rFonts w:ascii="Calibri" w:hAnsi="Calibri"/>
                <w:sz w:val="20"/>
              </w:rPr>
              <w:t>VIC/L(V)  Application Received</w:t>
            </w:r>
          </w:p>
        </w:tc>
        <w:tc>
          <w:tcPr>
            <w:tcW w:w="614"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613"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613"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654"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650"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614"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570"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1</w:t>
            </w:r>
          </w:p>
        </w:tc>
      </w:tr>
      <w:tr w:rsidR="003C097D" w:rsidRPr="008F5AFD" w:rsidTr="004C689A">
        <w:trPr>
          <w:trHeight w:val="270"/>
        </w:trPr>
        <w:tc>
          <w:tcPr>
            <w:tcW w:w="672" w:type="pct"/>
            <w:shd w:val="clear" w:color="auto" w:fill="FFFFFF" w:themeFill="background1"/>
          </w:tcPr>
          <w:p w:rsidR="005955E6" w:rsidRPr="005955E6" w:rsidRDefault="005955E6" w:rsidP="005955E6">
            <w:pPr>
              <w:jc w:val="both"/>
              <w:rPr>
                <w:rFonts w:ascii="Calibri" w:hAnsi="Calibri"/>
                <w:sz w:val="20"/>
              </w:rPr>
            </w:pPr>
            <w:r w:rsidRPr="005955E6">
              <w:rPr>
                <w:rFonts w:ascii="Calibri" w:hAnsi="Calibri"/>
                <w:sz w:val="20"/>
              </w:rPr>
              <w:t>VIC/L(V)  Granted</w:t>
            </w:r>
          </w:p>
        </w:tc>
        <w:tc>
          <w:tcPr>
            <w:tcW w:w="614"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613"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613"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654"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650"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614"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570"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r>
    </w:tbl>
    <w:p w:rsidR="005955E6" w:rsidRPr="005955E6" w:rsidRDefault="005955E6" w:rsidP="005955E6">
      <w:pPr>
        <w:jc w:val="both"/>
        <w:rPr>
          <w:rFonts w:ascii="Calibri" w:hAnsi="Calibri"/>
          <w:sz w:val="20"/>
        </w:rPr>
      </w:pPr>
      <w:r w:rsidRPr="005955E6">
        <w:rPr>
          <w:rFonts w:ascii="Calibri" w:hAnsi="Calibri"/>
          <w:sz w:val="20"/>
        </w:rPr>
        <w:t>Source: DEDJTR</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b/>
          <w:sz w:val="20"/>
        </w:rPr>
      </w:pPr>
    </w:p>
    <w:p w:rsidR="005955E6" w:rsidRPr="005955E6" w:rsidRDefault="005955E6" w:rsidP="00615AA5">
      <w:pPr>
        <w:pStyle w:val="Heading2"/>
        <w:keepNext w:val="0"/>
        <w:numPr>
          <w:ilvl w:val="2"/>
          <w:numId w:val="6"/>
        </w:numPr>
        <w:tabs>
          <w:tab w:val="clear" w:pos="1224"/>
          <w:tab w:val="num" w:pos="567"/>
        </w:tabs>
        <w:spacing w:before="0"/>
        <w:ind w:left="567"/>
        <w:jc w:val="left"/>
        <w:rPr>
          <w:rFonts w:ascii="Calibri" w:hAnsi="Calibri"/>
        </w:rPr>
      </w:pPr>
      <w:r w:rsidRPr="005955E6">
        <w:rPr>
          <w:rFonts w:ascii="Calibri" w:hAnsi="Calibri"/>
        </w:rPr>
        <w:t xml:space="preserve">Petroleum exploration and development </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r w:rsidRPr="005955E6">
        <w:rPr>
          <w:rFonts w:ascii="Calibri" w:hAnsi="Calibri"/>
          <w:sz w:val="20"/>
        </w:rPr>
        <w:t>The level of petroleum exploration activity was low. No drilling was performed in Victoria and seismic activity was limited.</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r w:rsidRPr="005955E6">
        <w:rPr>
          <w:rFonts w:ascii="Calibri" w:hAnsi="Calibri"/>
          <w:sz w:val="20"/>
        </w:rPr>
        <w:t>Approximately $6.7 million in expenditure was reported on onshore petroleum exploration permits and retention leases. Most of this expenditure was spent on the acquisition of the seismic surveys in the Otway Basin. The remaining expenditure was mostly accounted for by geological and geophysical studies, geophysical logging, flaring and administration.</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r w:rsidRPr="005955E6">
        <w:rPr>
          <w:rFonts w:ascii="Calibri" w:hAnsi="Calibri"/>
          <w:sz w:val="20"/>
        </w:rPr>
        <w:t>Petroleum exploration activity in the offshore area was also limited.</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r w:rsidRPr="005955E6">
        <w:rPr>
          <w:rFonts w:ascii="Calibri" w:hAnsi="Calibri"/>
          <w:sz w:val="20"/>
        </w:rPr>
        <w:t>Aro</w:t>
      </w:r>
      <w:bookmarkStart w:id="17" w:name="_GoBack"/>
      <w:bookmarkEnd w:id="17"/>
      <w:r w:rsidRPr="005955E6">
        <w:rPr>
          <w:rFonts w:ascii="Calibri" w:hAnsi="Calibri"/>
          <w:sz w:val="20"/>
        </w:rPr>
        <w:t>und $1.036 million in expenditure was reported on offshore tenements. With no wells drilled or seismic surveys undertaken, most of this expenditure was represented by geological studies, seismic preparation, studies on licensing and permitting, studies on the subsurface, ongoing capital appraisal work and market studies.</w:t>
      </w:r>
    </w:p>
    <w:p w:rsidR="005955E6" w:rsidRPr="005955E6" w:rsidRDefault="005955E6" w:rsidP="005955E6">
      <w:pPr>
        <w:jc w:val="both"/>
        <w:rPr>
          <w:rFonts w:ascii="Calibri" w:hAnsi="Calibri"/>
          <w:sz w:val="20"/>
        </w:rPr>
      </w:pPr>
    </w:p>
    <w:p w:rsidR="008C22ED" w:rsidRDefault="008C22ED">
      <w:pPr>
        <w:rPr>
          <w:rFonts w:ascii="Calibri" w:hAnsi="Calibri"/>
          <w:b/>
          <w:sz w:val="24"/>
        </w:rPr>
      </w:pPr>
    </w:p>
    <w:p w:rsidR="005955E6" w:rsidRPr="005955E6" w:rsidRDefault="005955E6" w:rsidP="005955E6">
      <w:pPr>
        <w:jc w:val="both"/>
        <w:rPr>
          <w:rFonts w:ascii="Calibri" w:hAnsi="Calibri"/>
          <w:b/>
          <w:sz w:val="24"/>
        </w:rPr>
      </w:pPr>
      <w:r w:rsidRPr="005955E6">
        <w:rPr>
          <w:rFonts w:ascii="Calibri" w:hAnsi="Calibri"/>
          <w:b/>
          <w:sz w:val="24"/>
        </w:rPr>
        <w:t xml:space="preserve">Drilling </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r w:rsidRPr="005955E6">
        <w:rPr>
          <w:rFonts w:ascii="Calibri" w:hAnsi="Calibri"/>
          <w:sz w:val="20"/>
        </w:rPr>
        <w:t>In the course of 2013/14, no onshore wells were drilled in Victoria as a result of the moratorium on onshore natural gas and hydraulic fracturing.</w:t>
      </w:r>
    </w:p>
    <w:p w:rsidR="005955E6" w:rsidRPr="005955E6" w:rsidRDefault="005955E6" w:rsidP="005955E6">
      <w:pPr>
        <w:jc w:val="both"/>
        <w:rPr>
          <w:rFonts w:ascii="Calibri" w:hAnsi="Calibri"/>
          <w:sz w:val="20"/>
        </w:rPr>
      </w:pPr>
    </w:p>
    <w:p w:rsidR="005955E6" w:rsidRPr="005955E6" w:rsidRDefault="005955E6" w:rsidP="009C5F1E">
      <w:pPr>
        <w:pStyle w:val="Heading3"/>
      </w:pPr>
      <w:r w:rsidRPr="005955E6">
        <w:t>Table 2.7 Number of exploration wells drilled in Victoria over time</w:t>
      </w:r>
    </w:p>
    <w:p w:rsidR="005955E6" w:rsidRPr="005955E6" w:rsidRDefault="005955E6" w:rsidP="005955E6">
      <w:pPr>
        <w:jc w:val="both"/>
        <w:rPr>
          <w:rFonts w:ascii="Calibri" w:hAnsi="Calibri"/>
          <w:b/>
          <w:sz w:val="20"/>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873"/>
        <w:gridCol w:w="2159"/>
        <w:gridCol w:w="1889"/>
        <w:gridCol w:w="1751"/>
        <w:gridCol w:w="1478"/>
        <w:gridCol w:w="1315"/>
        <w:gridCol w:w="843"/>
      </w:tblGrid>
      <w:tr w:rsidR="004C689A" w:rsidRPr="004C689A" w:rsidTr="004C689A">
        <w:trPr>
          <w:trHeight w:val="298"/>
          <w:tblHeader/>
        </w:trPr>
        <w:tc>
          <w:tcPr>
            <w:tcW w:w="423" w:type="pct"/>
            <w:shd w:val="clear" w:color="auto" w:fill="FFFFFF" w:themeFill="background1"/>
          </w:tcPr>
          <w:p w:rsidR="005955E6" w:rsidRPr="004C689A" w:rsidRDefault="004C689A" w:rsidP="005955E6">
            <w:pPr>
              <w:jc w:val="both"/>
              <w:rPr>
                <w:rFonts w:ascii="Calibri" w:hAnsi="Calibri"/>
                <w:b/>
                <w:sz w:val="20"/>
              </w:rPr>
            </w:pPr>
            <w:bookmarkStart w:id="18" w:name="ColumnTitle_2_7"/>
            <w:r w:rsidRPr="004C689A">
              <w:rPr>
                <w:rFonts w:ascii="Calibri" w:hAnsi="Calibri"/>
                <w:b/>
                <w:sz w:val="20"/>
              </w:rPr>
              <w:t>Year</w:t>
            </w:r>
          </w:p>
        </w:tc>
        <w:tc>
          <w:tcPr>
            <w:tcW w:w="1047" w:type="pct"/>
            <w:shd w:val="clear" w:color="auto" w:fill="FFFFFF" w:themeFill="background1"/>
            <w:noWrap/>
          </w:tcPr>
          <w:p w:rsidR="005955E6" w:rsidRPr="004C689A" w:rsidRDefault="004C689A" w:rsidP="005955E6">
            <w:pPr>
              <w:jc w:val="center"/>
              <w:rPr>
                <w:rFonts w:ascii="Calibri" w:hAnsi="Calibri"/>
                <w:b/>
                <w:sz w:val="20"/>
              </w:rPr>
            </w:pPr>
            <w:r w:rsidRPr="004C689A">
              <w:rPr>
                <w:rFonts w:ascii="Calibri" w:hAnsi="Calibri"/>
                <w:b/>
                <w:sz w:val="20"/>
              </w:rPr>
              <w:t xml:space="preserve">Offshore (Vic): </w:t>
            </w:r>
            <w:r w:rsidR="005955E6" w:rsidRPr="004C689A">
              <w:rPr>
                <w:rFonts w:ascii="Calibri" w:hAnsi="Calibri"/>
                <w:b/>
                <w:sz w:val="20"/>
              </w:rPr>
              <w:t>Gippsland</w:t>
            </w:r>
          </w:p>
        </w:tc>
        <w:tc>
          <w:tcPr>
            <w:tcW w:w="916" w:type="pct"/>
            <w:shd w:val="clear" w:color="auto" w:fill="FFFFFF" w:themeFill="background1"/>
            <w:noWrap/>
          </w:tcPr>
          <w:p w:rsidR="005955E6" w:rsidRPr="004C689A" w:rsidRDefault="004C689A" w:rsidP="005955E6">
            <w:pPr>
              <w:jc w:val="center"/>
              <w:rPr>
                <w:rFonts w:ascii="Calibri" w:hAnsi="Calibri"/>
                <w:b/>
                <w:sz w:val="20"/>
              </w:rPr>
            </w:pPr>
            <w:r w:rsidRPr="004C689A">
              <w:rPr>
                <w:rFonts w:ascii="Calibri" w:hAnsi="Calibri"/>
                <w:b/>
                <w:sz w:val="20"/>
              </w:rPr>
              <w:t xml:space="preserve">Offshore (Vic): </w:t>
            </w:r>
            <w:r w:rsidR="005955E6" w:rsidRPr="004C689A">
              <w:rPr>
                <w:rFonts w:ascii="Calibri" w:hAnsi="Calibri"/>
                <w:b/>
                <w:sz w:val="20"/>
              </w:rPr>
              <w:t>Otway</w:t>
            </w:r>
          </w:p>
        </w:tc>
        <w:tc>
          <w:tcPr>
            <w:tcW w:w="849" w:type="pct"/>
            <w:shd w:val="clear" w:color="auto" w:fill="FFFFFF" w:themeFill="background1"/>
            <w:noWrap/>
          </w:tcPr>
          <w:p w:rsidR="005955E6" w:rsidRPr="004C689A" w:rsidRDefault="004C689A" w:rsidP="005955E6">
            <w:pPr>
              <w:jc w:val="center"/>
              <w:rPr>
                <w:rFonts w:ascii="Calibri" w:hAnsi="Calibri"/>
                <w:b/>
                <w:sz w:val="20"/>
              </w:rPr>
            </w:pPr>
            <w:r w:rsidRPr="004C689A">
              <w:rPr>
                <w:rFonts w:ascii="Calibri" w:hAnsi="Calibri"/>
                <w:b/>
                <w:sz w:val="20"/>
              </w:rPr>
              <w:t xml:space="preserve">Onshore: </w:t>
            </w:r>
            <w:r w:rsidR="005955E6" w:rsidRPr="004C689A">
              <w:rPr>
                <w:rFonts w:ascii="Calibri" w:hAnsi="Calibri"/>
                <w:b/>
                <w:sz w:val="20"/>
              </w:rPr>
              <w:t>Gippsland</w:t>
            </w:r>
          </w:p>
        </w:tc>
        <w:tc>
          <w:tcPr>
            <w:tcW w:w="717" w:type="pct"/>
            <w:shd w:val="clear" w:color="auto" w:fill="FFFFFF" w:themeFill="background1"/>
            <w:noWrap/>
          </w:tcPr>
          <w:p w:rsidR="005955E6" w:rsidRPr="004C689A" w:rsidRDefault="004C689A" w:rsidP="005955E6">
            <w:pPr>
              <w:jc w:val="center"/>
              <w:rPr>
                <w:rFonts w:ascii="Calibri" w:hAnsi="Calibri"/>
                <w:b/>
                <w:sz w:val="20"/>
              </w:rPr>
            </w:pPr>
            <w:r w:rsidRPr="004C689A">
              <w:rPr>
                <w:rFonts w:ascii="Calibri" w:hAnsi="Calibri"/>
                <w:b/>
                <w:sz w:val="20"/>
              </w:rPr>
              <w:t xml:space="preserve">Onshore: </w:t>
            </w:r>
            <w:r w:rsidR="005955E6" w:rsidRPr="004C689A">
              <w:rPr>
                <w:rFonts w:ascii="Calibri" w:hAnsi="Calibri"/>
                <w:b/>
                <w:sz w:val="20"/>
              </w:rPr>
              <w:t>Otway</w:t>
            </w:r>
          </w:p>
        </w:tc>
        <w:tc>
          <w:tcPr>
            <w:tcW w:w="638" w:type="pct"/>
            <w:shd w:val="clear" w:color="auto" w:fill="FFFFFF" w:themeFill="background1"/>
            <w:noWrap/>
          </w:tcPr>
          <w:p w:rsidR="005955E6" w:rsidRPr="004C689A" w:rsidRDefault="004C689A" w:rsidP="005955E6">
            <w:pPr>
              <w:jc w:val="center"/>
              <w:rPr>
                <w:rFonts w:ascii="Calibri" w:hAnsi="Calibri"/>
                <w:b/>
                <w:sz w:val="20"/>
              </w:rPr>
            </w:pPr>
            <w:r w:rsidRPr="004C689A">
              <w:rPr>
                <w:rFonts w:ascii="Calibri" w:hAnsi="Calibri"/>
                <w:b/>
                <w:sz w:val="20"/>
              </w:rPr>
              <w:t xml:space="preserve">Onshore: </w:t>
            </w:r>
            <w:r w:rsidR="005955E6" w:rsidRPr="004C689A">
              <w:rPr>
                <w:rFonts w:ascii="Calibri" w:hAnsi="Calibri"/>
                <w:b/>
                <w:sz w:val="20"/>
              </w:rPr>
              <w:t>Murray</w:t>
            </w:r>
          </w:p>
        </w:tc>
        <w:tc>
          <w:tcPr>
            <w:tcW w:w="409" w:type="pct"/>
            <w:shd w:val="clear" w:color="auto" w:fill="FFFFFF" w:themeFill="background1"/>
          </w:tcPr>
          <w:p w:rsidR="005955E6" w:rsidRPr="004C689A" w:rsidRDefault="004C689A" w:rsidP="005955E6">
            <w:pPr>
              <w:jc w:val="both"/>
              <w:rPr>
                <w:rFonts w:ascii="Calibri" w:hAnsi="Calibri"/>
                <w:b/>
                <w:sz w:val="20"/>
              </w:rPr>
            </w:pPr>
            <w:r w:rsidRPr="004C689A">
              <w:rPr>
                <w:rFonts w:ascii="Calibri" w:hAnsi="Calibri"/>
                <w:b/>
                <w:sz w:val="20"/>
              </w:rPr>
              <w:t>Total wells</w:t>
            </w:r>
          </w:p>
        </w:tc>
      </w:tr>
      <w:bookmarkEnd w:id="18"/>
      <w:tr w:rsidR="004C689A" w:rsidRPr="008F5AFD" w:rsidTr="004C689A">
        <w:trPr>
          <w:trHeight w:val="298"/>
        </w:trPr>
        <w:tc>
          <w:tcPr>
            <w:tcW w:w="423"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1999/00</w:t>
            </w:r>
          </w:p>
        </w:tc>
        <w:tc>
          <w:tcPr>
            <w:tcW w:w="1047"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91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849"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3</w:t>
            </w:r>
          </w:p>
        </w:tc>
        <w:tc>
          <w:tcPr>
            <w:tcW w:w="717"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2</w:t>
            </w:r>
          </w:p>
        </w:tc>
        <w:tc>
          <w:tcPr>
            <w:tcW w:w="63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409"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5</w:t>
            </w:r>
          </w:p>
        </w:tc>
      </w:tr>
      <w:tr w:rsidR="004C689A" w:rsidRPr="008F5AFD" w:rsidTr="004C689A">
        <w:trPr>
          <w:trHeight w:val="298"/>
        </w:trPr>
        <w:tc>
          <w:tcPr>
            <w:tcW w:w="423"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2000/01</w:t>
            </w:r>
          </w:p>
        </w:tc>
        <w:tc>
          <w:tcPr>
            <w:tcW w:w="1047"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91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849"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2</w:t>
            </w:r>
          </w:p>
        </w:tc>
        <w:tc>
          <w:tcPr>
            <w:tcW w:w="717"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5</w:t>
            </w:r>
          </w:p>
        </w:tc>
        <w:tc>
          <w:tcPr>
            <w:tcW w:w="63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409"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7</w:t>
            </w:r>
          </w:p>
        </w:tc>
      </w:tr>
      <w:tr w:rsidR="004C689A" w:rsidRPr="008F5AFD" w:rsidTr="004C689A">
        <w:trPr>
          <w:trHeight w:val="298"/>
        </w:trPr>
        <w:tc>
          <w:tcPr>
            <w:tcW w:w="423"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2001/02</w:t>
            </w:r>
          </w:p>
        </w:tc>
        <w:tc>
          <w:tcPr>
            <w:tcW w:w="1047"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91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849"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4</w:t>
            </w:r>
          </w:p>
        </w:tc>
        <w:tc>
          <w:tcPr>
            <w:tcW w:w="717"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7</w:t>
            </w:r>
          </w:p>
        </w:tc>
        <w:tc>
          <w:tcPr>
            <w:tcW w:w="63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w:t>
            </w:r>
          </w:p>
        </w:tc>
        <w:tc>
          <w:tcPr>
            <w:tcW w:w="409"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12</w:t>
            </w:r>
          </w:p>
        </w:tc>
      </w:tr>
      <w:tr w:rsidR="004C689A" w:rsidRPr="008F5AFD" w:rsidTr="004C689A">
        <w:trPr>
          <w:trHeight w:val="298"/>
        </w:trPr>
        <w:tc>
          <w:tcPr>
            <w:tcW w:w="423"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2002/03</w:t>
            </w:r>
          </w:p>
        </w:tc>
        <w:tc>
          <w:tcPr>
            <w:tcW w:w="1047"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91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849"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3</w:t>
            </w:r>
          </w:p>
        </w:tc>
        <w:tc>
          <w:tcPr>
            <w:tcW w:w="717"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4</w:t>
            </w:r>
          </w:p>
        </w:tc>
        <w:tc>
          <w:tcPr>
            <w:tcW w:w="63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409"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7</w:t>
            </w:r>
          </w:p>
        </w:tc>
      </w:tr>
      <w:tr w:rsidR="004C689A" w:rsidRPr="008F5AFD" w:rsidTr="004C689A">
        <w:trPr>
          <w:trHeight w:val="298"/>
        </w:trPr>
        <w:tc>
          <w:tcPr>
            <w:tcW w:w="423"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2003/04</w:t>
            </w:r>
          </w:p>
        </w:tc>
        <w:tc>
          <w:tcPr>
            <w:tcW w:w="1047"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91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849"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w:t>
            </w:r>
          </w:p>
        </w:tc>
        <w:tc>
          <w:tcPr>
            <w:tcW w:w="717"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2</w:t>
            </w:r>
          </w:p>
        </w:tc>
        <w:tc>
          <w:tcPr>
            <w:tcW w:w="63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409"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3</w:t>
            </w:r>
          </w:p>
        </w:tc>
      </w:tr>
      <w:tr w:rsidR="004C689A" w:rsidRPr="008F5AFD" w:rsidTr="004C689A">
        <w:trPr>
          <w:trHeight w:val="298"/>
        </w:trPr>
        <w:tc>
          <w:tcPr>
            <w:tcW w:w="423"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2004/05</w:t>
            </w:r>
          </w:p>
        </w:tc>
        <w:tc>
          <w:tcPr>
            <w:tcW w:w="1047"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91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w:t>
            </w:r>
          </w:p>
        </w:tc>
        <w:tc>
          <w:tcPr>
            <w:tcW w:w="849"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2</w:t>
            </w:r>
          </w:p>
        </w:tc>
        <w:tc>
          <w:tcPr>
            <w:tcW w:w="717"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63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409"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3</w:t>
            </w:r>
          </w:p>
        </w:tc>
      </w:tr>
      <w:tr w:rsidR="004C689A" w:rsidRPr="008F5AFD" w:rsidTr="004C689A">
        <w:trPr>
          <w:trHeight w:val="298"/>
        </w:trPr>
        <w:tc>
          <w:tcPr>
            <w:tcW w:w="423"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2005/06</w:t>
            </w:r>
          </w:p>
        </w:tc>
        <w:tc>
          <w:tcPr>
            <w:tcW w:w="1047"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91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849"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4</w:t>
            </w:r>
          </w:p>
        </w:tc>
        <w:tc>
          <w:tcPr>
            <w:tcW w:w="717"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4</w:t>
            </w:r>
          </w:p>
        </w:tc>
        <w:tc>
          <w:tcPr>
            <w:tcW w:w="63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409"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8</w:t>
            </w:r>
          </w:p>
        </w:tc>
      </w:tr>
      <w:tr w:rsidR="004C689A" w:rsidRPr="008F5AFD" w:rsidTr="004C689A">
        <w:trPr>
          <w:trHeight w:val="298"/>
        </w:trPr>
        <w:tc>
          <w:tcPr>
            <w:tcW w:w="423"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2006/07</w:t>
            </w:r>
          </w:p>
        </w:tc>
        <w:tc>
          <w:tcPr>
            <w:tcW w:w="1047"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w:t>
            </w:r>
          </w:p>
        </w:tc>
        <w:tc>
          <w:tcPr>
            <w:tcW w:w="91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849"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4</w:t>
            </w:r>
          </w:p>
        </w:tc>
        <w:tc>
          <w:tcPr>
            <w:tcW w:w="717"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2</w:t>
            </w:r>
          </w:p>
        </w:tc>
        <w:tc>
          <w:tcPr>
            <w:tcW w:w="63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409"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7</w:t>
            </w:r>
          </w:p>
        </w:tc>
      </w:tr>
      <w:tr w:rsidR="004C689A" w:rsidRPr="008F5AFD" w:rsidTr="004C689A">
        <w:trPr>
          <w:trHeight w:val="298"/>
        </w:trPr>
        <w:tc>
          <w:tcPr>
            <w:tcW w:w="423"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2007/08</w:t>
            </w:r>
          </w:p>
        </w:tc>
        <w:tc>
          <w:tcPr>
            <w:tcW w:w="1047"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91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849"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717"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2</w:t>
            </w:r>
          </w:p>
        </w:tc>
        <w:tc>
          <w:tcPr>
            <w:tcW w:w="63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409"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2</w:t>
            </w:r>
          </w:p>
        </w:tc>
      </w:tr>
      <w:tr w:rsidR="004C689A" w:rsidRPr="008F5AFD" w:rsidTr="004C689A">
        <w:trPr>
          <w:trHeight w:val="298"/>
        </w:trPr>
        <w:tc>
          <w:tcPr>
            <w:tcW w:w="423"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2008/09</w:t>
            </w:r>
          </w:p>
        </w:tc>
        <w:tc>
          <w:tcPr>
            <w:tcW w:w="1047"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91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849"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717"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w:t>
            </w:r>
          </w:p>
        </w:tc>
        <w:tc>
          <w:tcPr>
            <w:tcW w:w="63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409"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w:t>
            </w:r>
          </w:p>
        </w:tc>
      </w:tr>
      <w:tr w:rsidR="004C689A" w:rsidRPr="008F5AFD" w:rsidTr="004C689A">
        <w:trPr>
          <w:trHeight w:val="298"/>
        </w:trPr>
        <w:tc>
          <w:tcPr>
            <w:tcW w:w="423"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2009/10</w:t>
            </w:r>
          </w:p>
        </w:tc>
        <w:tc>
          <w:tcPr>
            <w:tcW w:w="1047"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91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849"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w:t>
            </w:r>
          </w:p>
        </w:tc>
        <w:tc>
          <w:tcPr>
            <w:tcW w:w="717"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63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409"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w:t>
            </w:r>
          </w:p>
        </w:tc>
      </w:tr>
      <w:tr w:rsidR="004C689A" w:rsidRPr="008F5AFD" w:rsidTr="004C689A">
        <w:trPr>
          <w:trHeight w:val="298"/>
        </w:trPr>
        <w:tc>
          <w:tcPr>
            <w:tcW w:w="423"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2010/11</w:t>
            </w:r>
          </w:p>
        </w:tc>
        <w:tc>
          <w:tcPr>
            <w:tcW w:w="1047"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91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849"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717"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63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409"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r>
      <w:tr w:rsidR="004C689A" w:rsidRPr="008F5AFD" w:rsidTr="004C689A">
        <w:trPr>
          <w:trHeight w:val="298"/>
        </w:trPr>
        <w:tc>
          <w:tcPr>
            <w:tcW w:w="423"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2011/12</w:t>
            </w:r>
          </w:p>
        </w:tc>
        <w:tc>
          <w:tcPr>
            <w:tcW w:w="1047"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91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849"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w:t>
            </w:r>
          </w:p>
        </w:tc>
        <w:tc>
          <w:tcPr>
            <w:tcW w:w="717"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w:t>
            </w:r>
          </w:p>
        </w:tc>
        <w:tc>
          <w:tcPr>
            <w:tcW w:w="63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409"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2</w:t>
            </w:r>
          </w:p>
        </w:tc>
      </w:tr>
      <w:tr w:rsidR="004C689A" w:rsidRPr="008F5AFD" w:rsidTr="004C689A">
        <w:trPr>
          <w:trHeight w:val="298"/>
        </w:trPr>
        <w:tc>
          <w:tcPr>
            <w:tcW w:w="423"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2012/13</w:t>
            </w:r>
          </w:p>
        </w:tc>
        <w:tc>
          <w:tcPr>
            <w:tcW w:w="1047"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91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849"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2</w:t>
            </w:r>
          </w:p>
        </w:tc>
        <w:tc>
          <w:tcPr>
            <w:tcW w:w="717"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63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409"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2</w:t>
            </w:r>
          </w:p>
        </w:tc>
      </w:tr>
      <w:tr w:rsidR="004C689A" w:rsidRPr="008F5AFD" w:rsidTr="004C689A">
        <w:trPr>
          <w:trHeight w:val="298"/>
        </w:trPr>
        <w:tc>
          <w:tcPr>
            <w:tcW w:w="423"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2013/14</w:t>
            </w:r>
          </w:p>
        </w:tc>
        <w:tc>
          <w:tcPr>
            <w:tcW w:w="1047"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91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849"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717"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63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c>
          <w:tcPr>
            <w:tcW w:w="409"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0</w:t>
            </w:r>
          </w:p>
        </w:tc>
      </w:tr>
      <w:tr w:rsidR="004C689A" w:rsidRPr="008E76FF" w:rsidTr="004C689A">
        <w:trPr>
          <w:trHeight w:val="298"/>
        </w:trPr>
        <w:tc>
          <w:tcPr>
            <w:tcW w:w="423" w:type="pct"/>
            <w:shd w:val="clear" w:color="auto" w:fill="FFFFFF" w:themeFill="background1"/>
            <w:noWrap/>
          </w:tcPr>
          <w:p w:rsidR="005955E6" w:rsidRPr="005955E6" w:rsidRDefault="005955E6" w:rsidP="005955E6">
            <w:pPr>
              <w:jc w:val="both"/>
              <w:rPr>
                <w:rFonts w:ascii="Calibri" w:hAnsi="Calibri"/>
                <w:b/>
                <w:sz w:val="20"/>
              </w:rPr>
            </w:pPr>
            <w:r w:rsidRPr="005955E6">
              <w:rPr>
                <w:rFonts w:ascii="Calibri" w:hAnsi="Calibri"/>
                <w:b/>
                <w:sz w:val="20"/>
              </w:rPr>
              <w:t xml:space="preserve">Total </w:t>
            </w:r>
          </w:p>
        </w:tc>
        <w:tc>
          <w:tcPr>
            <w:tcW w:w="1047" w:type="pct"/>
            <w:shd w:val="clear" w:color="auto" w:fill="FFFFFF" w:themeFill="background1"/>
            <w:noWrap/>
          </w:tcPr>
          <w:p w:rsidR="005955E6" w:rsidRPr="005955E6" w:rsidRDefault="005955E6" w:rsidP="005955E6">
            <w:pPr>
              <w:jc w:val="center"/>
              <w:rPr>
                <w:rFonts w:ascii="Calibri" w:hAnsi="Calibri"/>
                <w:b/>
                <w:sz w:val="20"/>
              </w:rPr>
            </w:pPr>
            <w:r w:rsidRPr="005955E6">
              <w:rPr>
                <w:rFonts w:ascii="Calibri" w:hAnsi="Calibri"/>
                <w:b/>
                <w:sz w:val="20"/>
              </w:rPr>
              <w:t>1</w:t>
            </w:r>
          </w:p>
        </w:tc>
        <w:tc>
          <w:tcPr>
            <w:tcW w:w="916" w:type="pct"/>
            <w:shd w:val="clear" w:color="auto" w:fill="FFFFFF" w:themeFill="background1"/>
            <w:noWrap/>
          </w:tcPr>
          <w:p w:rsidR="005955E6" w:rsidRPr="005955E6" w:rsidRDefault="005955E6" w:rsidP="005955E6">
            <w:pPr>
              <w:jc w:val="center"/>
              <w:rPr>
                <w:rFonts w:ascii="Calibri" w:hAnsi="Calibri"/>
                <w:b/>
                <w:sz w:val="20"/>
              </w:rPr>
            </w:pPr>
            <w:r w:rsidRPr="005955E6">
              <w:rPr>
                <w:rFonts w:ascii="Calibri" w:hAnsi="Calibri"/>
                <w:b/>
                <w:sz w:val="20"/>
              </w:rPr>
              <w:t>1</w:t>
            </w:r>
          </w:p>
        </w:tc>
        <w:tc>
          <w:tcPr>
            <w:tcW w:w="849" w:type="pct"/>
            <w:shd w:val="clear" w:color="auto" w:fill="FFFFFF" w:themeFill="background1"/>
            <w:noWrap/>
          </w:tcPr>
          <w:p w:rsidR="005955E6" w:rsidRPr="005955E6" w:rsidRDefault="005955E6" w:rsidP="005955E6">
            <w:pPr>
              <w:jc w:val="center"/>
              <w:rPr>
                <w:rFonts w:ascii="Calibri" w:hAnsi="Calibri"/>
                <w:b/>
                <w:sz w:val="20"/>
              </w:rPr>
            </w:pPr>
            <w:r w:rsidRPr="005955E6">
              <w:rPr>
                <w:rFonts w:ascii="Calibri" w:hAnsi="Calibri"/>
                <w:b/>
                <w:sz w:val="20"/>
              </w:rPr>
              <w:t>27</w:t>
            </w:r>
          </w:p>
        </w:tc>
        <w:tc>
          <w:tcPr>
            <w:tcW w:w="717" w:type="pct"/>
            <w:shd w:val="clear" w:color="auto" w:fill="FFFFFF" w:themeFill="background1"/>
            <w:noWrap/>
          </w:tcPr>
          <w:p w:rsidR="005955E6" w:rsidRPr="005955E6" w:rsidRDefault="005955E6" w:rsidP="005955E6">
            <w:pPr>
              <w:jc w:val="center"/>
              <w:rPr>
                <w:rFonts w:ascii="Calibri" w:hAnsi="Calibri"/>
                <w:b/>
                <w:sz w:val="20"/>
              </w:rPr>
            </w:pPr>
            <w:r w:rsidRPr="005955E6">
              <w:rPr>
                <w:rFonts w:ascii="Calibri" w:hAnsi="Calibri"/>
                <w:b/>
                <w:sz w:val="20"/>
              </w:rPr>
              <w:t>30</w:t>
            </w:r>
          </w:p>
        </w:tc>
        <w:tc>
          <w:tcPr>
            <w:tcW w:w="638" w:type="pct"/>
            <w:shd w:val="clear" w:color="auto" w:fill="FFFFFF" w:themeFill="background1"/>
            <w:noWrap/>
          </w:tcPr>
          <w:p w:rsidR="005955E6" w:rsidRPr="005955E6" w:rsidRDefault="005955E6" w:rsidP="005955E6">
            <w:pPr>
              <w:jc w:val="center"/>
              <w:rPr>
                <w:rFonts w:ascii="Calibri" w:hAnsi="Calibri"/>
                <w:b/>
                <w:sz w:val="20"/>
              </w:rPr>
            </w:pPr>
            <w:r w:rsidRPr="005955E6">
              <w:rPr>
                <w:rFonts w:ascii="Calibri" w:hAnsi="Calibri"/>
                <w:b/>
                <w:sz w:val="20"/>
              </w:rPr>
              <w:t>1</w:t>
            </w:r>
          </w:p>
        </w:tc>
        <w:tc>
          <w:tcPr>
            <w:tcW w:w="409" w:type="pct"/>
            <w:shd w:val="clear" w:color="auto" w:fill="FFFFFF" w:themeFill="background1"/>
            <w:noWrap/>
          </w:tcPr>
          <w:p w:rsidR="005955E6" w:rsidRPr="005955E6" w:rsidRDefault="005955E6" w:rsidP="005955E6">
            <w:pPr>
              <w:jc w:val="center"/>
              <w:rPr>
                <w:rFonts w:ascii="Calibri" w:hAnsi="Calibri"/>
                <w:b/>
                <w:sz w:val="20"/>
              </w:rPr>
            </w:pPr>
            <w:r w:rsidRPr="005955E6">
              <w:rPr>
                <w:rFonts w:ascii="Calibri" w:hAnsi="Calibri"/>
                <w:b/>
                <w:sz w:val="20"/>
              </w:rPr>
              <w:t>60</w:t>
            </w:r>
          </w:p>
        </w:tc>
      </w:tr>
    </w:tbl>
    <w:p w:rsidR="005955E6" w:rsidRPr="005955E6" w:rsidRDefault="005955E6" w:rsidP="005955E6">
      <w:pPr>
        <w:jc w:val="both"/>
        <w:rPr>
          <w:rFonts w:ascii="Calibri" w:hAnsi="Calibri"/>
          <w:sz w:val="20"/>
        </w:rPr>
      </w:pPr>
      <w:r w:rsidRPr="005955E6">
        <w:rPr>
          <w:rFonts w:ascii="Calibri" w:hAnsi="Calibri"/>
          <w:sz w:val="20"/>
        </w:rPr>
        <w:t>Source: DEDJTR</w:t>
      </w:r>
    </w:p>
    <w:p w:rsidR="005955E6" w:rsidRPr="005955E6" w:rsidRDefault="005955E6" w:rsidP="005955E6">
      <w:pPr>
        <w:jc w:val="both"/>
        <w:rPr>
          <w:rFonts w:ascii="Calibri" w:hAnsi="Calibri"/>
          <w:sz w:val="20"/>
        </w:rPr>
      </w:pPr>
    </w:p>
    <w:p w:rsidR="009C5F1E" w:rsidRDefault="009C5F1E">
      <w:pPr>
        <w:rPr>
          <w:rFonts w:ascii="Calibri" w:hAnsi="Calibri"/>
          <w:b/>
          <w:sz w:val="20"/>
        </w:rPr>
      </w:pPr>
      <w:r>
        <w:rPr>
          <w:rFonts w:ascii="Calibri" w:hAnsi="Calibri"/>
          <w:b/>
          <w:sz w:val="20"/>
        </w:rPr>
        <w:br w:type="page"/>
      </w:r>
    </w:p>
    <w:p w:rsidR="005955E6" w:rsidRPr="005955E6" w:rsidRDefault="005955E6" w:rsidP="009C5F1E">
      <w:pPr>
        <w:pStyle w:val="Heading3"/>
      </w:pPr>
      <w:r w:rsidRPr="005955E6">
        <w:lastRenderedPageBreak/>
        <w:t>Graph 2.1 Number of exploration wells drilled over time</w:t>
      </w:r>
    </w:p>
    <w:p w:rsidR="005955E6" w:rsidRPr="005955E6" w:rsidRDefault="005955E6" w:rsidP="005955E6">
      <w:pPr>
        <w:jc w:val="both"/>
        <w:rPr>
          <w:rFonts w:ascii="Calibri" w:hAnsi="Calibri"/>
          <w:b/>
          <w:sz w:val="20"/>
        </w:rPr>
      </w:pPr>
    </w:p>
    <w:p w:rsidR="005955E6" w:rsidRPr="005955E6" w:rsidRDefault="0016613F" w:rsidP="005955E6">
      <w:pPr>
        <w:jc w:val="both"/>
        <w:rPr>
          <w:rFonts w:ascii="Calibri" w:hAnsi="Calibri"/>
          <w:sz w:val="20"/>
        </w:rPr>
      </w:pPr>
      <w:r>
        <w:rPr>
          <w:rFonts w:ascii="Calibri" w:hAnsi="Calibri"/>
          <w:noProof/>
          <w:sz w:val="20"/>
        </w:rPr>
        <w:drawing>
          <wp:inline distT="0" distB="0" distL="0" distR="0" wp14:anchorId="0B4557E8" wp14:editId="7E4A26FC">
            <wp:extent cx="6355715" cy="2632710"/>
            <wp:effectExtent l="0" t="0" r="26035" b="15240"/>
            <wp:docPr id="14" name="Chart 2" descr="This graph shows the number of exploration wells drilled between the 1999/2000 financial year and the 2013/2014 financial year.&#10;&#10;In 1999/2000 there were 5 wells driilled in total. 3 that were on shore in the Gippsland region and 2 that where onshore in the Otway region.&#10;&#10;In 2000/2001 there were 7 wells drilled in total. 2 that were onshore in the Gippsland region and 5 that were onshore in the Otway region.&#10;&#10;In 2001/20002 there were 12 wells drilled in total. 4 onshore wells in the Gippsland region, 7 onshore in the Otway region and 1 onshore in the Murray region.&#10;&#10;In 2002/2003 there were 7 wells drilled in total. 3 onshore in the Gippsland region and 4 onshore in the Otway region.&#10;&#10;In 2003/2004 there were 3 wells drilled in total. 1 in the Gippsland region and 2 in the Otway region.&#10;&#10;In 2004/2005 there were 3 wells drilled in total. 1 offshore in the Otway region and 2 onshore in the Gippsland region.&#10;&#10;in 2005/2006 there were 8 wells drilled in total. 4 onshore in the Gippsland region and 4 onshore in the Otway region.&#10;&#10;In 2006/2007 there were 7 wells drilled in total. 1 onshore in the Murray region, 4 onshore in the Gippsland region and 2 onshore in the Otway region.&#10;&#10;In 2007/2008 there were 2 wells drilled in total, both onshore in the Otway region.&#10;&#10;In 2008/2009 there was 1 well drilled in total, onshore, in the Otway region.&#10;&#10;In 2009/2010 there was 1 well drilled in total, onshore, in the Gippsland region.&#10;&#10;In 2010/2011, no wells were drilled.&#10;&#10;In 2011/2012, there were two wells drilled in total. 1 onshore in the Gippsland region and 1 onshore in the Otway region.&#10;&#10;In 2012/2013 there were two wells drilled. 2 Onshore in the Gippsland region.&#10;&#10;In 2013/2014, no wells were drilled." title="Graph 2.1 - Number of exploration wells drilled over time"/>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097D" w:rsidRDefault="005955E6" w:rsidP="005955E6">
      <w:pPr>
        <w:jc w:val="both"/>
        <w:rPr>
          <w:rFonts w:ascii="Calibri" w:hAnsi="Calibri"/>
          <w:b/>
          <w:sz w:val="24"/>
          <w:szCs w:val="28"/>
        </w:rPr>
      </w:pPr>
      <w:r w:rsidRPr="005955E6">
        <w:rPr>
          <w:rFonts w:ascii="Calibri" w:hAnsi="Calibri"/>
          <w:sz w:val="20"/>
        </w:rPr>
        <w:t>Source: DEDJTR</w:t>
      </w:r>
    </w:p>
    <w:p w:rsidR="009C5F1E" w:rsidRDefault="009C5F1E" w:rsidP="005955E6">
      <w:pPr>
        <w:jc w:val="both"/>
        <w:rPr>
          <w:rFonts w:ascii="Calibri" w:hAnsi="Calibri"/>
          <w:b/>
          <w:sz w:val="24"/>
          <w:szCs w:val="28"/>
        </w:rPr>
      </w:pPr>
    </w:p>
    <w:p w:rsidR="005955E6" w:rsidRPr="005955E6" w:rsidRDefault="005955E6" w:rsidP="005955E6">
      <w:pPr>
        <w:jc w:val="both"/>
        <w:rPr>
          <w:rFonts w:ascii="Calibri" w:hAnsi="Calibri"/>
          <w:b/>
          <w:sz w:val="24"/>
          <w:szCs w:val="28"/>
        </w:rPr>
      </w:pPr>
      <w:r w:rsidRPr="005955E6">
        <w:rPr>
          <w:rFonts w:ascii="Calibri" w:hAnsi="Calibri"/>
          <w:b/>
          <w:sz w:val="24"/>
          <w:szCs w:val="28"/>
        </w:rPr>
        <w:t xml:space="preserve">Geophysical Surveys </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r w:rsidRPr="005955E6">
        <w:rPr>
          <w:rFonts w:ascii="Calibri" w:hAnsi="Calibri"/>
          <w:sz w:val="20"/>
        </w:rPr>
        <w:t>Three onshore 2D seismic surveys (two in Morgan, in the PEP150 and PEP151 area, and one in Ostrea, within the PEP168 area) were undertaken in the Otway Basin in 2013/14.</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r w:rsidRPr="005955E6">
        <w:rPr>
          <w:rFonts w:ascii="Calibri" w:hAnsi="Calibri"/>
          <w:sz w:val="20"/>
        </w:rPr>
        <w:t>No other petroleum geophysical surveys were conducted in the course of 2013/14.</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b/>
          <w:sz w:val="24"/>
        </w:rPr>
      </w:pPr>
      <w:r w:rsidRPr="005955E6">
        <w:rPr>
          <w:rFonts w:ascii="Calibri" w:hAnsi="Calibri"/>
          <w:b/>
          <w:sz w:val="24"/>
        </w:rPr>
        <w:t xml:space="preserve">Hydrocarbon Discoveries </w:t>
      </w:r>
    </w:p>
    <w:p w:rsidR="005955E6" w:rsidRPr="005955E6" w:rsidRDefault="005955E6" w:rsidP="005955E6">
      <w:pPr>
        <w:jc w:val="both"/>
        <w:rPr>
          <w:rFonts w:ascii="Calibri" w:hAnsi="Calibri"/>
          <w:b/>
          <w:sz w:val="20"/>
        </w:rPr>
      </w:pPr>
    </w:p>
    <w:p w:rsidR="005955E6" w:rsidRPr="005955E6" w:rsidRDefault="005955E6" w:rsidP="005955E6">
      <w:pPr>
        <w:jc w:val="both"/>
        <w:rPr>
          <w:rFonts w:ascii="Calibri" w:hAnsi="Calibri"/>
          <w:sz w:val="20"/>
        </w:rPr>
      </w:pPr>
      <w:r w:rsidRPr="005955E6">
        <w:rPr>
          <w:rFonts w:ascii="Calibri" w:hAnsi="Calibri"/>
          <w:sz w:val="20"/>
        </w:rPr>
        <w:t>There were no hydrocarbon discoveries made onshore or offshore in 2013/14.</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b/>
          <w:sz w:val="24"/>
        </w:rPr>
      </w:pPr>
      <w:r w:rsidRPr="005955E6">
        <w:rPr>
          <w:rFonts w:ascii="Calibri" w:hAnsi="Calibri"/>
          <w:b/>
          <w:sz w:val="24"/>
        </w:rPr>
        <w:t>Production</w:t>
      </w:r>
    </w:p>
    <w:p w:rsidR="005955E6" w:rsidRPr="005955E6" w:rsidRDefault="005955E6" w:rsidP="005955E6">
      <w:pPr>
        <w:jc w:val="both"/>
        <w:rPr>
          <w:rFonts w:ascii="Calibri" w:hAnsi="Calibri"/>
          <w:b/>
          <w:sz w:val="20"/>
        </w:rPr>
      </w:pPr>
    </w:p>
    <w:p w:rsidR="005955E6" w:rsidRPr="005955E6" w:rsidRDefault="005955E6" w:rsidP="005955E6">
      <w:pPr>
        <w:jc w:val="both"/>
        <w:rPr>
          <w:rFonts w:ascii="Calibri" w:hAnsi="Calibri"/>
          <w:sz w:val="20"/>
        </w:rPr>
      </w:pPr>
      <w:r w:rsidRPr="005955E6">
        <w:rPr>
          <w:rFonts w:ascii="Calibri" w:hAnsi="Calibri"/>
          <w:sz w:val="20"/>
        </w:rPr>
        <w:t>Production is currently limited to carbon dioxide production at Boggy Creek and gas injection and production at the Iona gas storage facility, both of which are located in the onshore Otway Basin.</w:t>
      </w:r>
    </w:p>
    <w:p w:rsidR="005955E6" w:rsidRPr="005955E6" w:rsidRDefault="005955E6" w:rsidP="005955E6">
      <w:pPr>
        <w:jc w:val="both"/>
        <w:rPr>
          <w:rFonts w:ascii="Calibri" w:hAnsi="Calibri"/>
          <w:sz w:val="20"/>
        </w:rPr>
      </w:pPr>
    </w:p>
    <w:p w:rsidR="005955E6" w:rsidRPr="005955E6" w:rsidRDefault="005955E6" w:rsidP="009C5F1E">
      <w:pPr>
        <w:pStyle w:val="Heading3"/>
      </w:pPr>
      <w:r w:rsidRPr="005955E6">
        <w:t>Table 2.8: Otway onshore production and injection 2013/14</w:t>
      </w:r>
    </w:p>
    <w:p w:rsidR="005955E6" w:rsidRPr="005955E6" w:rsidRDefault="005955E6" w:rsidP="005955E6">
      <w:pPr>
        <w:jc w:val="both"/>
        <w:rPr>
          <w:rFonts w:ascii="Calibri" w:hAnsi="Calibri"/>
          <w:b/>
          <w:sz w:val="20"/>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ook w:val="01E0" w:firstRow="1" w:lastRow="1" w:firstColumn="1" w:lastColumn="1" w:noHBand="0" w:noVBand="0"/>
      </w:tblPr>
      <w:tblGrid>
        <w:gridCol w:w="1660"/>
        <w:gridCol w:w="1761"/>
        <w:gridCol w:w="1676"/>
        <w:gridCol w:w="1779"/>
        <w:gridCol w:w="1779"/>
        <w:gridCol w:w="1653"/>
      </w:tblGrid>
      <w:tr w:rsidR="003C097D" w:rsidRPr="008F5AFD" w:rsidTr="009C5F1E">
        <w:trPr>
          <w:trHeight w:val="284"/>
          <w:tblHeader/>
        </w:trPr>
        <w:tc>
          <w:tcPr>
            <w:tcW w:w="805" w:type="pct"/>
            <w:shd w:val="clear" w:color="auto" w:fill="FFFFFF" w:themeFill="background1"/>
          </w:tcPr>
          <w:p w:rsidR="005955E6" w:rsidRPr="005955E6" w:rsidRDefault="005955E6" w:rsidP="005955E6">
            <w:pPr>
              <w:jc w:val="both"/>
              <w:rPr>
                <w:rFonts w:ascii="Calibri" w:hAnsi="Calibri"/>
                <w:b/>
                <w:sz w:val="20"/>
              </w:rPr>
            </w:pPr>
            <w:bookmarkStart w:id="19" w:name="ColumnTitle_2_8"/>
            <w:r w:rsidRPr="005955E6">
              <w:rPr>
                <w:rFonts w:ascii="Calibri" w:hAnsi="Calibri"/>
                <w:b/>
                <w:sz w:val="20"/>
              </w:rPr>
              <w:t>Field</w:t>
            </w:r>
          </w:p>
        </w:tc>
        <w:tc>
          <w:tcPr>
            <w:tcW w:w="854" w:type="pct"/>
            <w:shd w:val="clear" w:color="auto" w:fill="FFFFFF" w:themeFill="background1"/>
          </w:tcPr>
          <w:p w:rsidR="005955E6" w:rsidRPr="005955E6" w:rsidRDefault="005955E6" w:rsidP="005955E6">
            <w:pPr>
              <w:jc w:val="center"/>
              <w:rPr>
                <w:rFonts w:ascii="Calibri" w:hAnsi="Calibri"/>
                <w:b/>
                <w:sz w:val="20"/>
              </w:rPr>
            </w:pPr>
            <w:r w:rsidRPr="005955E6">
              <w:rPr>
                <w:rFonts w:ascii="Calibri" w:hAnsi="Calibri"/>
                <w:b/>
                <w:sz w:val="20"/>
              </w:rPr>
              <w:t>Condensate (bbl*)</w:t>
            </w:r>
          </w:p>
        </w:tc>
        <w:tc>
          <w:tcPr>
            <w:tcW w:w="813" w:type="pct"/>
            <w:shd w:val="clear" w:color="auto" w:fill="FFFFFF" w:themeFill="background1"/>
          </w:tcPr>
          <w:p w:rsidR="005955E6" w:rsidRPr="005955E6" w:rsidRDefault="005955E6" w:rsidP="005955E6">
            <w:pPr>
              <w:jc w:val="center"/>
              <w:rPr>
                <w:rFonts w:ascii="Calibri" w:hAnsi="Calibri"/>
                <w:b/>
                <w:sz w:val="20"/>
              </w:rPr>
            </w:pPr>
            <w:r w:rsidRPr="005955E6">
              <w:rPr>
                <w:rFonts w:ascii="Calibri" w:hAnsi="Calibri"/>
                <w:b/>
                <w:sz w:val="20"/>
              </w:rPr>
              <w:t>Gas Production (MMscf**)</w:t>
            </w:r>
          </w:p>
        </w:tc>
        <w:tc>
          <w:tcPr>
            <w:tcW w:w="863" w:type="pct"/>
            <w:shd w:val="clear" w:color="auto" w:fill="FFFFFF" w:themeFill="background1"/>
          </w:tcPr>
          <w:p w:rsidR="005955E6" w:rsidRPr="005955E6" w:rsidRDefault="005955E6" w:rsidP="005955E6">
            <w:pPr>
              <w:jc w:val="center"/>
              <w:rPr>
                <w:rFonts w:ascii="Calibri" w:hAnsi="Calibri"/>
                <w:b/>
                <w:sz w:val="20"/>
              </w:rPr>
            </w:pPr>
            <w:r w:rsidRPr="005955E6">
              <w:rPr>
                <w:rFonts w:ascii="Calibri" w:hAnsi="Calibri"/>
                <w:b/>
                <w:sz w:val="20"/>
              </w:rPr>
              <w:t>CO2 Prod. (tonnes)</w:t>
            </w:r>
          </w:p>
        </w:tc>
        <w:tc>
          <w:tcPr>
            <w:tcW w:w="863" w:type="pct"/>
            <w:shd w:val="clear" w:color="auto" w:fill="FFFFFF" w:themeFill="background1"/>
          </w:tcPr>
          <w:p w:rsidR="005955E6" w:rsidRPr="005955E6" w:rsidRDefault="005955E6" w:rsidP="005955E6">
            <w:pPr>
              <w:jc w:val="center"/>
              <w:rPr>
                <w:rFonts w:ascii="Calibri" w:hAnsi="Calibri"/>
                <w:b/>
                <w:sz w:val="20"/>
              </w:rPr>
            </w:pPr>
            <w:r w:rsidRPr="005955E6">
              <w:rPr>
                <w:rFonts w:ascii="Calibri" w:hAnsi="Calibri"/>
                <w:b/>
                <w:sz w:val="20"/>
              </w:rPr>
              <w:t>Gas Injection (MMscf)</w:t>
            </w:r>
          </w:p>
        </w:tc>
        <w:tc>
          <w:tcPr>
            <w:tcW w:w="802" w:type="pct"/>
            <w:shd w:val="clear" w:color="auto" w:fill="FFFFFF" w:themeFill="background1"/>
          </w:tcPr>
          <w:p w:rsidR="005955E6" w:rsidRPr="005955E6" w:rsidRDefault="005955E6" w:rsidP="005955E6">
            <w:pPr>
              <w:jc w:val="center"/>
              <w:rPr>
                <w:rFonts w:ascii="Calibri" w:hAnsi="Calibri"/>
                <w:b/>
                <w:sz w:val="20"/>
              </w:rPr>
            </w:pPr>
            <w:r w:rsidRPr="005955E6">
              <w:rPr>
                <w:rFonts w:ascii="Calibri" w:hAnsi="Calibri"/>
                <w:b/>
                <w:sz w:val="20"/>
              </w:rPr>
              <w:t>Comments</w:t>
            </w:r>
          </w:p>
        </w:tc>
      </w:tr>
      <w:bookmarkEnd w:id="19"/>
      <w:tr w:rsidR="003C097D" w:rsidRPr="008F5AFD" w:rsidTr="009C5F1E">
        <w:trPr>
          <w:trHeight w:val="284"/>
        </w:trPr>
        <w:tc>
          <w:tcPr>
            <w:tcW w:w="805" w:type="pct"/>
            <w:shd w:val="clear" w:color="auto" w:fill="FFFFFF" w:themeFill="background1"/>
          </w:tcPr>
          <w:p w:rsidR="005955E6" w:rsidRPr="005955E6" w:rsidRDefault="005955E6" w:rsidP="005955E6">
            <w:pPr>
              <w:jc w:val="both"/>
              <w:rPr>
                <w:rFonts w:ascii="Calibri" w:hAnsi="Calibri"/>
                <w:sz w:val="20"/>
              </w:rPr>
            </w:pPr>
            <w:r w:rsidRPr="005955E6">
              <w:rPr>
                <w:rFonts w:ascii="Calibri" w:hAnsi="Calibri"/>
                <w:sz w:val="20"/>
              </w:rPr>
              <w:t xml:space="preserve">Iona </w:t>
            </w:r>
          </w:p>
        </w:tc>
        <w:tc>
          <w:tcPr>
            <w:tcW w:w="854"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644.51</w:t>
            </w:r>
          </w:p>
        </w:tc>
        <w:tc>
          <w:tcPr>
            <w:tcW w:w="813"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7,671.43</w:t>
            </w:r>
          </w:p>
        </w:tc>
        <w:tc>
          <w:tcPr>
            <w:tcW w:w="863"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w:t>
            </w:r>
          </w:p>
        </w:tc>
        <w:tc>
          <w:tcPr>
            <w:tcW w:w="863"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8,595.49</w:t>
            </w:r>
          </w:p>
        </w:tc>
        <w:tc>
          <w:tcPr>
            <w:tcW w:w="802"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Gas storage</w:t>
            </w:r>
          </w:p>
        </w:tc>
      </w:tr>
      <w:tr w:rsidR="003C097D" w:rsidRPr="008F5AFD" w:rsidTr="009C5F1E">
        <w:trPr>
          <w:trHeight w:val="284"/>
        </w:trPr>
        <w:tc>
          <w:tcPr>
            <w:tcW w:w="805" w:type="pct"/>
            <w:shd w:val="clear" w:color="auto" w:fill="FFFFFF" w:themeFill="background1"/>
          </w:tcPr>
          <w:p w:rsidR="005955E6" w:rsidRPr="005955E6" w:rsidRDefault="005955E6" w:rsidP="005955E6">
            <w:pPr>
              <w:jc w:val="both"/>
              <w:rPr>
                <w:rFonts w:ascii="Calibri" w:hAnsi="Calibri"/>
                <w:sz w:val="20"/>
              </w:rPr>
            </w:pPr>
            <w:r w:rsidRPr="005955E6">
              <w:rPr>
                <w:rFonts w:ascii="Calibri" w:hAnsi="Calibri"/>
                <w:sz w:val="20"/>
              </w:rPr>
              <w:t xml:space="preserve">Boggy Creek </w:t>
            </w:r>
          </w:p>
        </w:tc>
        <w:tc>
          <w:tcPr>
            <w:tcW w:w="854"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Negligible</w:t>
            </w:r>
          </w:p>
        </w:tc>
        <w:tc>
          <w:tcPr>
            <w:tcW w:w="813"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w:t>
            </w:r>
          </w:p>
        </w:tc>
        <w:tc>
          <w:tcPr>
            <w:tcW w:w="863"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37,145.8</w:t>
            </w:r>
          </w:p>
        </w:tc>
        <w:tc>
          <w:tcPr>
            <w:tcW w:w="863"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w:t>
            </w:r>
          </w:p>
        </w:tc>
        <w:tc>
          <w:tcPr>
            <w:tcW w:w="802"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CO2  production</w:t>
            </w:r>
          </w:p>
        </w:tc>
      </w:tr>
    </w:tbl>
    <w:p w:rsidR="005955E6" w:rsidRPr="005955E6" w:rsidRDefault="005955E6" w:rsidP="005955E6">
      <w:pPr>
        <w:jc w:val="both"/>
        <w:rPr>
          <w:rFonts w:ascii="Calibri" w:hAnsi="Calibri"/>
          <w:sz w:val="20"/>
        </w:rPr>
      </w:pPr>
      <w:r w:rsidRPr="005955E6">
        <w:rPr>
          <w:rFonts w:ascii="Calibri" w:hAnsi="Calibri"/>
          <w:sz w:val="20"/>
        </w:rPr>
        <w:t>Source: DEDJTR</w:t>
      </w:r>
    </w:p>
    <w:p w:rsidR="005955E6" w:rsidRPr="005955E6" w:rsidRDefault="005955E6" w:rsidP="005955E6">
      <w:pPr>
        <w:jc w:val="both"/>
        <w:rPr>
          <w:rFonts w:ascii="Calibri" w:hAnsi="Calibri"/>
          <w:sz w:val="20"/>
        </w:rPr>
      </w:pPr>
      <w:r w:rsidRPr="005955E6">
        <w:rPr>
          <w:rFonts w:ascii="Calibri" w:hAnsi="Calibri"/>
          <w:sz w:val="20"/>
        </w:rPr>
        <w:t>*bbl = barrels</w:t>
      </w:r>
    </w:p>
    <w:p w:rsidR="005955E6" w:rsidRDefault="005955E6" w:rsidP="005955E6">
      <w:pPr>
        <w:jc w:val="both"/>
        <w:rPr>
          <w:rFonts w:ascii="Calibri" w:hAnsi="Calibri"/>
          <w:sz w:val="20"/>
        </w:rPr>
      </w:pPr>
      <w:r w:rsidRPr="005955E6">
        <w:rPr>
          <w:rFonts w:ascii="Calibri" w:hAnsi="Calibri"/>
          <w:sz w:val="20"/>
        </w:rPr>
        <w:t xml:space="preserve">**MMscf = million standard cubic feet </w:t>
      </w:r>
    </w:p>
    <w:p w:rsidR="008C22ED" w:rsidRPr="005955E6" w:rsidRDefault="008C22ED" w:rsidP="005955E6">
      <w:pPr>
        <w:jc w:val="both"/>
        <w:rPr>
          <w:rFonts w:ascii="Calibri" w:hAnsi="Calibri"/>
          <w:sz w:val="20"/>
        </w:rPr>
      </w:pPr>
    </w:p>
    <w:p w:rsidR="005955E6" w:rsidRPr="005955E6" w:rsidRDefault="005955E6" w:rsidP="00615AA5">
      <w:pPr>
        <w:pStyle w:val="Heading2"/>
        <w:keepNext w:val="0"/>
        <w:numPr>
          <w:ilvl w:val="1"/>
          <w:numId w:val="6"/>
        </w:numPr>
        <w:tabs>
          <w:tab w:val="clear" w:pos="792"/>
          <w:tab w:val="num" w:pos="567"/>
        </w:tabs>
        <w:spacing w:before="0"/>
        <w:ind w:left="567" w:hanging="567"/>
        <w:jc w:val="left"/>
        <w:rPr>
          <w:rFonts w:ascii="Calibri" w:hAnsi="Calibri"/>
        </w:rPr>
      </w:pPr>
      <w:r w:rsidRPr="005955E6">
        <w:rPr>
          <w:rFonts w:ascii="Calibri" w:hAnsi="Calibri"/>
        </w:rPr>
        <w:t>Geothermal Energy</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r w:rsidRPr="005955E6">
        <w:rPr>
          <w:rFonts w:ascii="Calibri" w:hAnsi="Calibri"/>
          <w:sz w:val="20"/>
        </w:rPr>
        <w:t xml:space="preserve">As at 30 June 2014, six geothermal energy exploration permits were current, following the surrender of seven permits in 2013/14. There were no granted geothermal energy retention leases or production licences. Any geothermal energy activities in Victoria remain limited to exploration. </w:t>
      </w:r>
    </w:p>
    <w:p w:rsidR="009C5F1E" w:rsidRDefault="009C5F1E">
      <w:pPr>
        <w:rPr>
          <w:rFonts w:ascii="Calibri" w:hAnsi="Calibri"/>
          <w:sz w:val="20"/>
        </w:rPr>
      </w:pPr>
    </w:p>
    <w:p w:rsidR="005955E6" w:rsidRPr="005955E6" w:rsidRDefault="005955E6" w:rsidP="005955E6">
      <w:pPr>
        <w:jc w:val="both"/>
        <w:rPr>
          <w:rFonts w:ascii="Calibri" w:hAnsi="Calibri"/>
          <w:sz w:val="20"/>
        </w:rPr>
      </w:pPr>
    </w:p>
    <w:p w:rsidR="005955E6" w:rsidRPr="005955E6" w:rsidRDefault="005955E6" w:rsidP="00615AA5">
      <w:pPr>
        <w:pStyle w:val="Heading2"/>
        <w:keepNext w:val="0"/>
        <w:numPr>
          <w:ilvl w:val="2"/>
          <w:numId w:val="6"/>
        </w:numPr>
        <w:tabs>
          <w:tab w:val="clear" w:pos="1224"/>
          <w:tab w:val="num" w:pos="567"/>
        </w:tabs>
        <w:spacing w:before="0"/>
        <w:ind w:left="567" w:hanging="567"/>
        <w:jc w:val="left"/>
        <w:rPr>
          <w:rFonts w:ascii="Calibri" w:hAnsi="Calibri"/>
        </w:rPr>
      </w:pPr>
      <w:r w:rsidRPr="005955E6">
        <w:rPr>
          <w:rFonts w:ascii="Calibri" w:hAnsi="Calibri"/>
        </w:rPr>
        <w:t>Geothermal energy tenements</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r w:rsidRPr="005955E6">
        <w:rPr>
          <w:rFonts w:ascii="Calibri" w:hAnsi="Calibri"/>
          <w:sz w:val="20"/>
        </w:rPr>
        <w:t>No geothermal energy tenements were applied for or granted in 2013/14.</w:t>
      </w:r>
    </w:p>
    <w:p w:rsidR="005955E6" w:rsidRPr="005955E6" w:rsidRDefault="005955E6" w:rsidP="005955E6">
      <w:pPr>
        <w:jc w:val="both"/>
        <w:rPr>
          <w:rFonts w:ascii="Calibri" w:hAnsi="Calibri"/>
          <w:sz w:val="20"/>
        </w:rPr>
      </w:pPr>
    </w:p>
    <w:p w:rsidR="005955E6" w:rsidRPr="005955E6" w:rsidRDefault="005955E6" w:rsidP="009C5F1E">
      <w:pPr>
        <w:pStyle w:val="Heading3"/>
      </w:pPr>
      <w:r w:rsidRPr="005955E6">
        <w:t>Table 2.9 Overview of geothermal energy tenements</w:t>
      </w:r>
    </w:p>
    <w:p w:rsidR="005955E6" w:rsidRPr="005955E6" w:rsidRDefault="005955E6" w:rsidP="005955E6">
      <w:pPr>
        <w:jc w:val="both"/>
        <w:rPr>
          <w:rFonts w:ascii="Calibri" w:hAnsi="Calibri"/>
          <w:b/>
          <w:sz w:val="20"/>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ook w:val="0000" w:firstRow="0" w:lastRow="0" w:firstColumn="0" w:lastColumn="0" w:noHBand="0" w:noVBand="0"/>
      </w:tblPr>
      <w:tblGrid>
        <w:gridCol w:w="1531"/>
        <w:gridCol w:w="1096"/>
        <w:gridCol w:w="1097"/>
        <w:gridCol w:w="1097"/>
        <w:gridCol w:w="1097"/>
        <w:gridCol w:w="1097"/>
        <w:gridCol w:w="1097"/>
        <w:gridCol w:w="1097"/>
        <w:gridCol w:w="1099"/>
      </w:tblGrid>
      <w:tr w:rsidR="003C097D" w:rsidRPr="008F5AFD" w:rsidTr="009C5F1E">
        <w:trPr>
          <w:trHeight w:val="255"/>
          <w:tblHeader/>
        </w:trPr>
        <w:tc>
          <w:tcPr>
            <w:tcW w:w="743" w:type="pct"/>
            <w:shd w:val="clear" w:color="auto" w:fill="FFFFFF" w:themeFill="background1"/>
          </w:tcPr>
          <w:p w:rsidR="005955E6" w:rsidRPr="005955E6" w:rsidRDefault="005955E6" w:rsidP="005955E6">
            <w:pPr>
              <w:jc w:val="both"/>
              <w:rPr>
                <w:rFonts w:ascii="Calibri" w:hAnsi="Calibri"/>
                <w:b/>
                <w:sz w:val="20"/>
              </w:rPr>
            </w:pPr>
            <w:bookmarkStart w:id="20" w:name="ColumnTitle_2_9"/>
            <w:r w:rsidRPr="005955E6">
              <w:rPr>
                <w:rFonts w:ascii="Calibri" w:hAnsi="Calibri"/>
                <w:b/>
                <w:sz w:val="20"/>
              </w:rPr>
              <w:t>Description</w:t>
            </w:r>
          </w:p>
        </w:tc>
        <w:tc>
          <w:tcPr>
            <w:tcW w:w="532" w:type="pct"/>
            <w:shd w:val="clear" w:color="auto" w:fill="FFFFFF" w:themeFill="background1"/>
            <w:noWrap/>
          </w:tcPr>
          <w:p w:rsidR="005955E6" w:rsidRPr="005955E6" w:rsidRDefault="005955E6" w:rsidP="005955E6">
            <w:pPr>
              <w:jc w:val="center"/>
              <w:rPr>
                <w:rFonts w:ascii="Calibri" w:hAnsi="Calibri"/>
                <w:b/>
                <w:sz w:val="20"/>
              </w:rPr>
            </w:pPr>
            <w:r w:rsidRPr="005955E6">
              <w:rPr>
                <w:rFonts w:ascii="Calibri" w:hAnsi="Calibri"/>
                <w:b/>
                <w:sz w:val="20"/>
              </w:rPr>
              <w:t>2006/07</w:t>
            </w:r>
          </w:p>
        </w:tc>
        <w:tc>
          <w:tcPr>
            <w:tcW w:w="532" w:type="pct"/>
            <w:shd w:val="clear" w:color="auto" w:fill="FFFFFF" w:themeFill="background1"/>
            <w:noWrap/>
          </w:tcPr>
          <w:p w:rsidR="005955E6" w:rsidRPr="005955E6" w:rsidRDefault="005955E6" w:rsidP="005955E6">
            <w:pPr>
              <w:jc w:val="center"/>
              <w:rPr>
                <w:rFonts w:ascii="Calibri" w:hAnsi="Calibri"/>
                <w:b/>
                <w:sz w:val="20"/>
              </w:rPr>
            </w:pPr>
            <w:r w:rsidRPr="005955E6">
              <w:rPr>
                <w:rFonts w:ascii="Calibri" w:hAnsi="Calibri"/>
                <w:b/>
                <w:sz w:val="20"/>
              </w:rPr>
              <w:t>2007/08</w:t>
            </w:r>
          </w:p>
        </w:tc>
        <w:tc>
          <w:tcPr>
            <w:tcW w:w="532" w:type="pct"/>
            <w:shd w:val="clear" w:color="auto" w:fill="FFFFFF" w:themeFill="background1"/>
            <w:noWrap/>
          </w:tcPr>
          <w:p w:rsidR="005955E6" w:rsidRPr="005955E6" w:rsidRDefault="005955E6" w:rsidP="005955E6">
            <w:pPr>
              <w:jc w:val="center"/>
              <w:rPr>
                <w:rFonts w:ascii="Calibri" w:hAnsi="Calibri"/>
                <w:b/>
                <w:sz w:val="20"/>
              </w:rPr>
            </w:pPr>
            <w:r w:rsidRPr="005955E6">
              <w:rPr>
                <w:rFonts w:ascii="Calibri" w:hAnsi="Calibri"/>
                <w:b/>
                <w:sz w:val="20"/>
              </w:rPr>
              <w:t>2008/09</w:t>
            </w:r>
          </w:p>
        </w:tc>
        <w:tc>
          <w:tcPr>
            <w:tcW w:w="532" w:type="pct"/>
            <w:shd w:val="clear" w:color="auto" w:fill="FFFFFF" w:themeFill="background1"/>
            <w:noWrap/>
          </w:tcPr>
          <w:p w:rsidR="005955E6" w:rsidRPr="005955E6" w:rsidRDefault="005955E6" w:rsidP="005955E6">
            <w:pPr>
              <w:jc w:val="center"/>
              <w:rPr>
                <w:rFonts w:ascii="Calibri" w:hAnsi="Calibri"/>
                <w:b/>
                <w:sz w:val="20"/>
              </w:rPr>
            </w:pPr>
            <w:r w:rsidRPr="005955E6">
              <w:rPr>
                <w:rFonts w:ascii="Calibri" w:hAnsi="Calibri"/>
                <w:b/>
                <w:sz w:val="20"/>
              </w:rPr>
              <w:t>2009/10</w:t>
            </w:r>
          </w:p>
        </w:tc>
        <w:tc>
          <w:tcPr>
            <w:tcW w:w="532" w:type="pct"/>
            <w:shd w:val="clear" w:color="auto" w:fill="FFFFFF" w:themeFill="background1"/>
          </w:tcPr>
          <w:p w:rsidR="005955E6" w:rsidRPr="005955E6" w:rsidRDefault="005955E6" w:rsidP="005955E6">
            <w:pPr>
              <w:jc w:val="center"/>
              <w:rPr>
                <w:rFonts w:ascii="Calibri" w:hAnsi="Calibri"/>
                <w:b/>
                <w:sz w:val="20"/>
              </w:rPr>
            </w:pPr>
            <w:r w:rsidRPr="005955E6">
              <w:rPr>
                <w:rFonts w:ascii="Calibri" w:hAnsi="Calibri"/>
                <w:b/>
                <w:sz w:val="20"/>
              </w:rPr>
              <w:t>2010/11</w:t>
            </w:r>
          </w:p>
        </w:tc>
        <w:tc>
          <w:tcPr>
            <w:tcW w:w="532" w:type="pct"/>
            <w:shd w:val="clear" w:color="auto" w:fill="FFFFFF" w:themeFill="background1"/>
          </w:tcPr>
          <w:p w:rsidR="005955E6" w:rsidRPr="005955E6" w:rsidRDefault="005955E6" w:rsidP="005955E6">
            <w:pPr>
              <w:jc w:val="center"/>
              <w:rPr>
                <w:rFonts w:ascii="Calibri" w:hAnsi="Calibri"/>
                <w:b/>
                <w:sz w:val="20"/>
              </w:rPr>
            </w:pPr>
            <w:r w:rsidRPr="005955E6">
              <w:rPr>
                <w:rFonts w:ascii="Calibri" w:hAnsi="Calibri"/>
                <w:b/>
                <w:sz w:val="20"/>
              </w:rPr>
              <w:t>2011/12</w:t>
            </w:r>
          </w:p>
        </w:tc>
        <w:tc>
          <w:tcPr>
            <w:tcW w:w="532" w:type="pct"/>
            <w:shd w:val="clear" w:color="auto" w:fill="FFFFFF" w:themeFill="background1"/>
          </w:tcPr>
          <w:p w:rsidR="005955E6" w:rsidRPr="005955E6" w:rsidRDefault="005955E6" w:rsidP="005955E6">
            <w:pPr>
              <w:jc w:val="center"/>
              <w:rPr>
                <w:rFonts w:ascii="Calibri" w:hAnsi="Calibri"/>
                <w:b/>
                <w:sz w:val="20"/>
              </w:rPr>
            </w:pPr>
            <w:r w:rsidRPr="005955E6">
              <w:rPr>
                <w:rFonts w:ascii="Calibri" w:hAnsi="Calibri"/>
                <w:b/>
                <w:sz w:val="20"/>
              </w:rPr>
              <w:t>2012/13</w:t>
            </w:r>
          </w:p>
        </w:tc>
        <w:tc>
          <w:tcPr>
            <w:tcW w:w="533" w:type="pct"/>
            <w:shd w:val="clear" w:color="auto" w:fill="FFFFFF" w:themeFill="background1"/>
          </w:tcPr>
          <w:p w:rsidR="005955E6" w:rsidRPr="005955E6" w:rsidRDefault="005955E6" w:rsidP="005955E6">
            <w:pPr>
              <w:jc w:val="center"/>
              <w:rPr>
                <w:rFonts w:ascii="Calibri" w:hAnsi="Calibri"/>
                <w:b/>
                <w:sz w:val="20"/>
              </w:rPr>
            </w:pPr>
            <w:r w:rsidRPr="005955E6">
              <w:rPr>
                <w:rFonts w:ascii="Calibri" w:hAnsi="Calibri"/>
                <w:b/>
                <w:sz w:val="20"/>
              </w:rPr>
              <w:t>2013/14</w:t>
            </w:r>
          </w:p>
        </w:tc>
      </w:tr>
      <w:bookmarkEnd w:id="20"/>
      <w:tr w:rsidR="003C097D" w:rsidRPr="008F5AFD" w:rsidTr="009C5F1E">
        <w:trPr>
          <w:trHeight w:val="255"/>
        </w:trPr>
        <w:tc>
          <w:tcPr>
            <w:tcW w:w="743" w:type="pct"/>
            <w:shd w:val="clear" w:color="auto" w:fill="FFFFFF" w:themeFill="background1"/>
          </w:tcPr>
          <w:p w:rsidR="005955E6" w:rsidRPr="005955E6" w:rsidRDefault="005955E6" w:rsidP="005955E6">
            <w:pPr>
              <w:jc w:val="both"/>
              <w:rPr>
                <w:rFonts w:ascii="Calibri" w:hAnsi="Calibri"/>
                <w:sz w:val="20"/>
              </w:rPr>
            </w:pPr>
            <w:r w:rsidRPr="005955E6">
              <w:rPr>
                <w:rFonts w:ascii="Calibri" w:hAnsi="Calibri"/>
                <w:sz w:val="20"/>
              </w:rPr>
              <w:t>GEP Application Received</w:t>
            </w:r>
          </w:p>
        </w:tc>
        <w:tc>
          <w:tcPr>
            <w:tcW w:w="532"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20</w:t>
            </w:r>
          </w:p>
        </w:tc>
        <w:tc>
          <w:tcPr>
            <w:tcW w:w="532"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26</w:t>
            </w:r>
          </w:p>
        </w:tc>
        <w:tc>
          <w:tcPr>
            <w:tcW w:w="532"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532"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532"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532"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532"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533"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r>
      <w:tr w:rsidR="003C097D" w:rsidRPr="008F5AFD" w:rsidTr="009C5F1E">
        <w:trPr>
          <w:trHeight w:val="270"/>
        </w:trPr>
        <w:tc>
          <w:tcPr>
            <w:tcW w:w="743" w:type="pct"/>
            <w:shd w:val="clear" w:color="auto" w:fill="FFFFFF" w:themeFill="background1"/>
          </w:tcPr>
          <w:p w:rsidR="005955E6" w:rsidRPr="005955E6" w:rsidRDefault="005955E6" w:rsidP="005955E6">
            <w:pPr>
              <w:jc w:val="both"/>
              <w:rPr>
                <w:rFonts w:ascii="Calibri" w:hAnsi="Calibri"/>
                <w:sz w:val="20"/>
              </w:rPr>
            </w:pPr>
            <w:r w:rsidRPr="005955E6">
              <w:rPr>
                <w:rFonts w:ascii="Calibri" w:hAnsi="Calibri"/>
                <w:sz w:val="20"/>
              </w:rPr>
              <w:t>GEP Granted</w:t>
            </w:r>
          </w:p>
        </w:tc>
        <w:tc>
          <w:tcPr>
            <w:tcW w:w="532"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12</w:t>
            </w:r>
          </w:p>
        </w:tc>
        <w:tc>
          <w:tcPr>
            <w:tcW w:w="532"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11</w:t>
            </w:r>
          </w:p>
        </w:tc>
        <w:tc>
          <w:tcPr>
            <w:tcW w:w="532"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532"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532"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532"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532"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533"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r>
    </w:tbl>
    <w:p w:rsidR="005955E6" w:rsidRPr="005955E6" w:rsidRDefault="005955E6" w:rsidP="005955E6">
      <w:pPr>
        <w:jc w:val="both"/>
        <w:rPr>
          <w:rFonts w:ascii="Calibri" w:hAnsi="Calibri"/>
          <w:sz w:val="20"/>
        </w:rPr>
      </w:pPr>
      <w:r w:rsidRPr="005955E6">
        <w:rPr>
          <w:rFonts w:ascii="Calibri" w:hAnsi="Calibri"/>
          <w:sz w:val="20"/>
        </w:rPr>
        <w:t>Source: DEDJTR</w:t>
      </w:r>
    </w:p>
    <w:p w:rsidR="005955E6" w:rsidRPr="005955E6" w:rsidRDefault="005955E6" w:rsidP="005955E6">
      <w:pPr>
        <w:jc w:val="both"/>
        <w:rPr>
          <w:rFonts w:ascii="Calibri" w:hAnsi="Calibri"/>
          <w:sz w:val="20"/>
        </w:rPr>
      </w:pPr>
    </w:p>
    <w:p w:rsidR="005955E6" w:rsidRPr="005955E6" w:rsidRDefault="005955E6" w:rsidP="00615AA5">
      <w:pPr>
        <w:pStyle w:val="Heading2"/>
        <w:keepNext w:val="0"/>
        <w:numPr>
          <w:ilvl w:val="2"/>
          <w:numId w:val="6"/>
        </w:numPr>
        <w:spacing w:before="0"/>
        <w:jc w:val="left"/>
        <w:rPr>
          <w:rFonts w:ascii="Calibri" w:hAnsi="Calibri"/>
        </w:rPr>
      </w:pPr>
      <w:r w:rsidRPr="005955E6">
        <w:rPr>
          <w:rFonts w:ascii="Calibri" w:hAnsi="Calibri"/>
        </w:rPr>
        <w:t xml:space="preserve">Geothermal energy exploration </w:t>
      </w:r>
    </w:p>
    <w:p w:rsidR="005955E6" w:rsidRPr="005955E6" w:rsidRDefault="005955E6" w:rsidP="005955E6">
      <w:pPr>
        <w:jc w:val="both"/>
        <w:rPr>
          <w:rFonts w:ascii="Calibri" w:hAnsi="Calibri"/>
          <w:sz w:val="20"/>
        </w:rPr>
      </w:pPr>
    </w:p>
    <w:p w:rsidR="008C22ED" w:rsidRDefault="005955E6" w:rsidP="005955E6">
      <w:pPr>
        <w:jc w:val="both"/>
        <w:rPr>
          <w:rFonts w:ascii="Calibri" w:hAnsi="Calibri"/>
          <w:sz w:val="20"/>
        </w:rPr>
      </w:pPr>
      <w:r w:rsidRPr="005955E6">
        <w:rPr>
          <w:rFonts w:ascii="Calibri" w:hAnsi="Calibri"/>
          <w:sz w:val="20"/>
        </w:rPr>
        <w:t>Exploration activities in the geothermal energy sector in 2013/14 were subdued, with $0.908 million reported on exploration permit expenditure. There were no exploration activities that involved drilling or geophysical surveys. Most of the reported activities comprised of geological and geophysical data compilation and analysis, geothermal modelling and administration.</w:t>
      </w:r>
    </w:p>
    <w:p w:rsidR="008C22ED" w:rsidRDefault="008C22ED">
      <w:pPr>
        <w:rPr>
          <w:rFonts w:ascii="Calibri" w:hAnsi="Calibri"/>
          <w:sz w:val="20"/>
        </w:rPr>
      </w:pPr>
    </w:p>
    <w:p w:rsidR="008C22ED" w:rsidRDefault="008C22ED" w:rsidP="005955E6">
      <w:pPr>
        <w:jc w:val="both"/>
        <w:rPr>
          <w:rFonts w:ascii="Calibri" w:hAnsi="Calibri"/>
          <w:sz w:val="20"/>
        </w:rPr>
      </w:pPr>
    </w:p>
    <w:p w:rsidR="005955E6" w:rsidRPr="005955E6" w:rsidRDefault="005955E6" w:rsidP="00615AA5">
      <w:pPr>
        <w:pStyle w:val="Heading2"/>
        <w:keepNext w:val="0"/>
        <w:numPr>
          <w:ilvl w:val="1"/>
          <w:numId w:val="6"/>
        </w:numPr>
        <w:tabs>
          <w:tab w:val="clear" w:pos="792"/>
          <w:tab w:val="num" w:pos="567"/>
        </w:tabs>
        <w:spacing w:before="0"/>
        <w:ind w:left="567" w:hanging="567"/>
        <w:jc w:val="left"/>
        <w:rPr>
          <w:rFonts w:ascii="Calibri" w:hAnsi="Calibri"/>
        </w:rPr>
      </w:pPr>
      <w:r w:rsidRPr="005955E6">
        <w:rPr>
          <w:rFonts w:ascii="Calibri" w:hAnsi="Calibri"/>
        </w:rPr>
        <w:t xml:space="preserve"> Pipelines </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r w:rsidRPr="005955E6">
        <w:rPr>
          <w:rFonts w:ascii="Calibri" w:hAnsi="Calibri"/>
          <w:sz w:val="20"/>
        </w:rPr>
        <w:t xml:space="preserve">Licences are granted for the construction and operation of high pressure pipelines, primarily to convey hydrocarbons, including natural gas, crude oil and petroleum products. Pipeline licences are granted onshore under the </w:t>
      </w:r>
      <w:r w:rsidRPr="005955E6">
        <w:rPr>
          <w:rFonts w:ascii="Calibri" w:hAnsi="Calibri"/>
          <w:i/>
          <w:sz w:val="20"/>
        </w:rPr>
        <w:t>Pipelines Act</w:t>
      </w:r>
      <w:r w:rsidRPr="005955E6">
        <w:rPr>
          <w:rFonts w:ascii="Calibri" w:hAnsi="Calibri"/>
          <w:sz w:val="20"/>
        </w:rPr>
        <w:t xml:space="preserve"> 2005 and offshore in Victorian waters under the </w:t>
      </w:r>
      <w:r w:rsidRPr="005955E6">
        <w:rPr>
          <w:rFonts w:ascii="Calibri" w:hAnsi="Calibri"/>
          <w:i/>
          <w:sz w:val="20"/>
        </w:rPr>
        <w:t xml:space="preserve">Offshore Petroleum and Greenhouse Gas Storage Act </w:t>
      </w:r>
      <w:r w:rsidRPr="005955E6">
        <w:rPr>
          <w:rFonts w:ascii="Calibri" w:hAnsi="Calibri"/>
          <w:sz w:val="20"/>
        </w:rPr>
        <w:t>2010. Pipeline licences in offshore Victorian waters are used to convey onshore hydrocarbons originating from petroleum production facilities in offshore (Commonwealth) waters to onshore processing facilities.</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r w:rsidRPr="005955E6">
        <w:rPr>
          <w:rFonts w:ascii="Calibri" w:hAnsi="Calibri"/>
          <w:sz w:val="20"/>
        </w:rPr>
        <w:t>In 2013/14, two pipeline licences were applied for, and one pipeline licence was granted.</w:t>
      </w:r>
    </w:p>
    <w:p w:rsidR="005955E6" w:rsidRPr="005955E6" w:rsidRDefault="005955E6" w:rsidP="005955E6">
      <w:pPr>
        <w:jc w:val="both"/>
        <w:rPr>
          <w:rFonts w:ascii="Calibri" w:hAnsi="Calibri"/>
          <w:sz w:val="20"/>
        </w:rPr>
      </w:pPr>
    </w:p>
    <w:p w:rsidR="005955E6" w:rsidRPr="005955E6" w:rsidRDefault="005955E6" w:rsidP="009C5F1E">
      <w:pPr>
        <w:pStyle w:val="Heading3"/>
      </w:pPr>
      <w:r w:rsidRPr="005955E6">
        <w:t>Table 2.10 Onshore pipeline licences (PL) applications received and granted</w:t>
      </w:r>
    </w:p>
    <w:p w:rsidR="005955E6" w:rsidRPr="005955E6" w:rsidRDefault="005955E6" w:rsidP="005955E6">
      <w:pPr>
        <w:jc w:val="both"/>
        <w:rPr>
          <w:rFonts w:ascii="Calibri" w:hAnsi="Calibri"/>
          <w:sz w:val="20"/>
        </w:rPr>
      </w:pPr>
      <w:r w:rsidRPr="005955E6">
        <w:rPr>
          <w:rFonts w:ascii="Calibri" w:hAnsi="Calibri"/>
          <w:sz w:val="20"/>
        </w:rPr>
        <w:t>Source: DEDJTR</w:t>
      </w:r>
    </w:p>
    <w:tbl>
      <w:tblPr>
        <w:tblpPr w:leftFromText="180" w:rightFromText="180" w:vertAnchor="text" w:horzAnchor="margin" w:tblpY="-26"/>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ook w:val="0000" w:firstRow="0" w:lastRow="0" w:firstColumn="0" w:lastColumn="0" w:noHBand="0" w:noVBand="0"/>
      </w:tblPr>
      <w:tblGrid>
        <w:gridCol w:w="2096"/>
        <w:gridCol w:w="1026"/>
        <w:gridCol w:w="1026"/>
        <w:gridCol w:w="1027"/>
        <w:gridCol w:w="1027"/>
        <w:gridCol w:w="1027"/>
        <w:gridCol w:w="1027"/>
        <w:gridCol w:w="1027"/>
        <w:gridCol w:w="1025"/>
      </w:tblGrid>
      <w:tr w:rsidR="003C097D" w:rsidRPr="008F5AFD" w:rsidTr="009C5F1E">
        <w:trPr>
          <w:trHeight w:val="270"/>
          <w:tblHeader/>
        </w:trPr>
        <w:tc>
          <w:tcPr>
            <w:tcW w:w="1017" w:type="pct"/>
            <w:shd w:val="clear" w:color="auto" w:fill="FFFFFF" w:themeFill="background1"/>
            <w:noWrap/>
          </w:tcPr>
          <w:p w:rsidR="005955E6" w:rsidRPr="005955E6" w:rsidRDefault="005955E6" w:rsidP="005955E6">
            <w:pPr>
              <w:jc w:val="both"/>
              <w:rPr>
                <w:rFonts w:ascii="Calibri" w:hAnsi="Calibri"/>
                <w:sz w:val="20"/>
              </w:rPr>
            </w:pPr>
            <w:bookmarkStart w:id="21" w:name="ColumnTitle_2_10" w:colFirst="0" w:colLast="8"/>
          </w:p>
        </w:tc>
        <w:tc>
          <w:tcPr>
            <w:tcW w:w="498" w:type="pct"/>
            <w:shd w:val="clear" w:color="auto" w:fill="FFFFFF" w:themeFill="background1"/>
            <w:noWrap/>
          </w:tcPr>
          <w:p w:rsidR="005955E6" w:rsidRPr="005955E6" w:rsidRDefault="005955E6" w:rsidP="005955E6">
            <w:pPr>
              <w:jc w:val="both"/>
              <w:rPr>
                <w:rFonts w:ascii="Calibri" w:hAnsi="Calibri"/>
                <w:b/>
                <w:sz w:val="20"/>
              </w:rPr>
            </w:pPr>
            <w:r w:rsidRPr="005955E6">
              <w:rPr>
                <w:rFonts w:ascii="Calibri" w:hAnsi="Calibri"/>
                <w:b/>
                <w:sz w:val="20"/>
              </w:rPr>
              <w:t>2006/07</w:t>
            </w:r>
          </w:p>
        </w:tc>
        <w:tc>
          <w:tcPr>
            <w:tcW w:w="498" w:type="pct"/>
            <w:shd w:val="clear" w:color="auto" w:fill="FFFFFF" w:themeFill="background1"/>
            <w:noWrap/>
          </w:tcPr>
          <w:p w:rsidR="005955E6" w:rsidRPr="005955E6" w:rsidRDefault="005955E6" w:rsidP="005955E6">
            <w:pPr>
              <w:jc w:val="both"/>
              <w:rPr>
                <w:rFonts w:ascii="Calibri" w:hAnsi="Calibri"/>
                <w:b/>
                <w:sz w:val="20"/>
              </w:rPr>
            </w:pPr>
            <w:r w:rsidRPr="005955E6">
              <w:rPr>
                <w:rFonts w:ascii="Calibri" w:hAnsi="Calibri"/>
                <w:b/>
                <w:sz w:val="20"/>
              </w:rPr>
              <w:t>2007/08</w:t>
            </w:r>
          </w:p>
        </w:tc>
        <w:tc>
          <w:tcPr>
            <w:tcW w:w="498" w:type="pct"/>
            <w:shd w:val="clear" w:color="auto" w:fill="FFFFFF" w:themeFill="background1"/>
            <w:noWrap/>
          </w:tcPr>
          <w:p w:rsidR="005955E6" w:rsidRPr="005955E6" w:rsidRDefault="005955E6" w:rsidP="005955E6">
            <w:pPr>
              <w:jc w:val="both"/>
              <w:rPr>
                <w:rFonts w:ascii="Calibri" w:hAnsi="Calibri"/>
                <w:b/>
                <w:sz w:val="20"/>
              </w:rPr>
            </w:pPr>
            <w:r w:rsidRPr="005955E6">
              <w:rPr>
                <w:rFonts w:ascii="Calibri" w:hAnsi="Calibri"/>
                <w:b/>
                <w:sz w:val="20"/>
              </w:rPr>
              <w:t>2008/09</w:t>
            </w:r>
          </w:p>
        </w:tc>
        <w:tc>
          <w:tcPr>
            <w:tcW w:w="498" w:type="pct"/>
            <w:shd w:val="clear" w:color="auto" w:fill="FFFFFF" w:themeFill="background1"/>
            <w:noWrap/>
          </w:tcPr>
          <w:p w:rsidR="005955E6" w:rsidRPr="005955E6" w:rsidRDefault="005955E6" w:rsidP="005955E6">
            <w:pPr>
              <w:jc w:val="both"/>
              <w:rPr>
                <w:rFonts w:ascii="Calibri" w:hAnsi="Calibri"/>
                <w:b/>
                <w:sz w:val="20"/>
              </w:rPr>
            </w:pPr>
            <w:r w:rsidRPr="005955E6">
              <w:rPr>
                <w:rFonts w:ascii="Calibri" w:hAnsi="Calibri"/>
                <w:b/>
                <w:sz w:val="20"/>
              </w:rPr>
              <w:t>2009/10</w:t>
            </w:r>
          </w:p>
        </w:tc>
        <w:tc>
          <w:tcPr>
            <w:tcW w:w="498" w:type="pct"/>
            <w:shd w:val="clear" w:color="auto" w:fill="FFFFFF" w:themeFill="background1"/>
          </w:tcPr>
          <w:p w:rsidR="005955E6" w:rsidRPr="005955E6" w:rsidRDefault="005955E6" w:rsidP="005955E6">
            <w:pPr>
              <w:jc w:val="both"/>
              <w:rPr>
                <w:rFonts w:ascii="Calibri" w:hAnsi="Calibri"/>
                <w:b/>
                <w:sz w:val="20"/>
              </w:rPr>
            </w:pPr>
            <w:r w:rsidRPr="005955E6">
              <w:rPr>
                <w:rFonts w:ascii="Calibri" w:hAnsi="Calibri"/>
                <w:b/>
                <w:sz w:val="20"/>
              </w:rPr>
              <w:t>2010/11</w:t>
            </w:r>
          </w:p>
        </w:tc>
        <w:tc>
          <w:tcPr>
            <w:tcW w:w="498" w:type="pct"/>
            <w:shd w:val="clear" w:color="auto" w:fill="FFFFFF" w:themeFill="background1"/>
          </w:tcPr>
          <w:p w:rsidR="005955E6" w:rsidRPr="005955E6" w:rsidRDefault="005955E6" w:rsidP="005955E6">
            <w:pPr>
              <w:jc w:val="both"/>
              <w:rPr>
                <w:rFonts w:ascii="Calibri" w:hAnsi="Calibri"/>
                <w:b/>
                <w:sz w:val="20"/>
              </w:rPr>
            </w:pPr>
            <w:r w:rsidRPr="005955E6">
              <w:rPr>
                <w:rFonts w:ascii="Calibri" w:hAnsi="Calibri"/>
                <w:b/>
                <w:sz w:val="20"/>
              </w:rPr>
              <w:t>2011/12</w:t>
            </w:r>
          </w:p>
        </w:tc>
        <w:tc>
          <w:tcPr>
            <w:tcW w:w="498" w:type="pct"/>
            <w:shd w:val="clear" w:color="auto" w:fill="FFFFFF" w:themeFill="background1"/>
          </w:tcPr>
          <w:p w:rsidR="005955E6" w:rsidRPr="005955E6" w:rsidRDefault="005955E6" w:rsidP="005955E6">
            <w:pPr>
              <w:jc w:val="both"/>
              <w:rPr>
                <w:rFonts w:ascii="Calibri" w:hAnsi="Calibri"/>
                <w:b/>
                <w:sz w:val="20"/>
              </w:rPr>
            </w:pPr>
            <w:r w:rsidRPr="005955E6">
              <w:rPr>
                <w:rFonts w:ascii="Calibri" w:hAnsi="Calibri"/>
                <w:b/>
                <w:sz w:val="20"/>
              </w:rPr>
              <w:t>2012/13</w:t>
            </w:r>
          </w:p>
        </w:tc>
        <w:tc>
          <w:tcPr>
            <w:tcW w:w="497" w:type="pct"/>
            <w:shd w:val="clear" w:color="auto" w:fill="FFFFFF" w:themeFill="background1"/>
          </w:tcPr>
          <w:p w:rsidR="005955E6" w:rsidRPr="005955E6" w:rsidRDefault="005955E6" w:rsidP="005955E6">
            <w:pPr>
              <w:jc w:val="both"/>
              <w:rPr>
                <w:rFonts w:ascii="Calibri" w:hAnsi="Calibri"/>
                <w:b/>
                <w:sz w:val="20"/>
              </w:rPr>
            </w:pPr>
            <w:r w:rsidRPr="005955E6">
              <w:rPr>
                <w:rFonts w:ascii="Calibri" w:hAnsi="Calibri"/>
                <w:b/>
                <w:sz w:val="20"/>
              </w:rPr>
              <w:t>2013/14</w:t>
            </w:r>
          </w:p>
        </w:tc>
      </w:tr>
      <w:bookmarkEnd w:id="21"/>
      <w:tr w:rsidR="003C097D" w:rsidRPr="008F5AFD" w:rsidTr="009C5F1E">
        <w:trPr>
          <w:trHeight w:val="255"/>
        </w:trPr>
        <w:tc>
          <w:tcPr>
            <w:tcW w:w="1017" w:type="pct"/>
            <w:shd w:val="clear" w:color="auto" w:fill="FFFFFF" w:themeFill="background1"/>
          </w:tcPr>
          <w:p w:rsidR="005955E6" w:rsidRPr="005955E6" w:rsidRDefault="005955E6" w:rsidP="005955E6">
            <w:pPr>
              <w:rPr>
                <w:rFonts w:ascii="Calibri" w:hAnsi="Calibri"/>
                <w:sz w:val="20"/>
              </w:rPr>
            </w:pPr>
            <w:r w:rsidRPr="005955E6">
              <w:rPr>
                <w:rFonts w:ascii="Calibri" w:hAnsi="Calibri"/>
                <w:sz w:val="20"/>
              </w:rPr>
              <w:t>PL Application Received</w:t>
            </w:r>
          </w:p>
        </w:tc>
        <w:tc>
          <w:tcPr>
            <w:tcW w:w="498"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9</w:t>
            </w:r>
          </w:p>
        </w:tc>
        <w:tc>
          <w:tcPr>
            <w:tcW w:w="498"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498"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498"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498"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1</w:t>
            </w:r>
          </w:p>
        </w:tc>
        <w:tc>
          <w:tcPr>
            <w:tcW w:w="498"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498"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497"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2</w:t>
            </w:r>
          </w:p>
        </w:tc>
      </w:tr>
      <w:tr w:rsidR="003C097D" w:rsidRPr="008F5AFD" w:rsidTr="009C5F1E">
        <w:trPr>
          <w:trHeight w:val="270"/>
        </w:trPr>
        <w:tc>
          <w:tcPr>
            <w:tcW w:w="1017" w:type="pct"/>
            <w:shd w:val="clear" w:color="auto" w:fill="FFFFFF" w:themeFill="background1"/>
          </w:tcPr>
          <w:p w:rsidR="005955E6" w:rsidRPr="005955E6" w:rsidRDefault="005955E6" w:rsidP="005955E6">
            <w:pPr>
              <w:jc w:val="both"/>
              <w:rPr>
                <w:rFonts w:ascii="Calibri" w:hAnsi="Calibri"/>
                <w:sz w:val="20"/>
              </w:rPr>
            </w:pPr>
            <w:r w:rsidRPr="005955E6">
              <w:rPr>
                <w:rFonts w:ascii="Calibri" w:hAnsi="Calibri"/>
                <w:sz w:val="20"/>
              </w:rPr>
              <w:t>PL  Granted</w:t>
            </w:r>
          </w:p>
        </w:tc>
        <w:tc>
          <w:tcPr>
            <w:tcW w:w="498"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7</w:t>
            </w:r>
          </w:p>
        </w:tc>
        <w:tc>
          <w:tcPr>
            <w:tcW w:w="498"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2</w:t>
            </w:r>
          </w:p>
        </w:tc>
        <w:tc>
          <w:tcPr>
            <w:tcW w:w="498"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1</w:t>
            </w:r>
          </w:p>
        </w:tc>
        <w:tc>
          <w:tcPr>
            <w:tcW w:w="498"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498"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498"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1</w:t>
            </w:r>
          </w:p>
        </w:tc>
        <w:tc>
          <w:tcPr>
            <w:tcW w:w="498"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497"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1</w:t>
            </w:r>
          </w:p>
        </w:tc>
      </w:tr>
    </w:tbl>
    <w:p w:rsidR="005955E6" w:rsidRPr="005955E6" w:rsidRDefault="005955E6" w:rsidP="005955E6">
      <w:pPr>
        <w:jc w:val="both"/>
        <w:rPr>
          <w:rFonts w:ascii="Calibri" w:hAnsi="Calibri"/>
          <w:sz w:val="20"/>
        </w:rPr>
      </w:pPr>
    </w:p>
    <w:p w:rsidR="005955E6" w:rsidRPr="005955E6" w:rsidRDefault="005955E6" w:rsidP="009C5F1E">
      <w:pPr>
        <w:pStyle w:val="Heading3"/>
      </w:pPr>
      <w:r w:rsidRPr="005955E6">
        <w:t>Table 2.11 Offshore pipeline licences (PL) applications received and granted (state waters)</w:t>
      </w:r>
    </w:p>
    <w:p w:rsidR="005955E6" w:rsidRPr="005955E6" w:rsidRDefault="005955E6" w:rsidP="005955E6">
      <w:pPr>
        <w:jc w:val="both"/>
        <w:rPr>
          <w:rFonts w:ascii="Calibri" w:hAnsi="Calibri"/>
          <w:b/>
          <w:sz w:val="20"/>
        </w:rPr>
      </w:pPr>
    </w:p>
    <w:tbl>
      <w:tblPr>
        <w:tblpPr w:leftFromText="180" w:rightFromText="180" w:vertAnchor="text" w:horzAnchor="margin" w:tblpY="5"/>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096"/>
        <w:gridCol w:w="1026"/>
        <w:gridCol w:w="1026"/>
        <w:gridCol w:w="1027"/>
        <w:gridCol w:w="1027"/>
        <w:gridCol w:w="1027"/>
        <w:gridCol w:w="1027"/>
        <w:gridCol w:w="1027"/>
        <w:gridCol w:w="1025"/>
      </w:tblGrid>
      <w:tr w:rsidR="003C097D" w:rsidRPr="008F5AFD" w:rsidTr="009C5F1E">
        <w:trPr>
          <w:trHeight w:val="270"/>
          <w:tblHeader/>
        </w:trPr>
        <w:tc>
          <w:tcPr>
            <w:tcW w:w="1017" w:type="pct"/>
            <w:shd w:val="clear" w:color="auto" w:fill="FFFFFF" w:themeFill="background1"/>
            <w:noWrap/>
          </w:tcPr>
          <w:p w:rsidR="005955E6" w:rsidRPr="005955E6" w:rsidRDefault="005955E6" w:rsidP="005955E6">
            <w:pPr>
              <w:jc w:val="both"/>
              <w:rPr>
                <w:rFonts w:ascii="Calibri" w:hAnsi="Calibri"/>
                <w:sz w:val="20"/>
              </w:rPr>
            </w:pPr>
            <w:bookmarkStart w:id="22" w:name="ColumnTitle_2_11" w:colFirst="0" w:colLast="8"/>
          </w:p>
        </w:tc>
        <w:tc>
          <w:tcPr>
            <w:tcW w:w="498" w:type="pct"/>
            <w:shd w:val="clear" w:color="auto" w:fill="FFFFFF" w:themeFill="background1"/>
            <w:noWrap/>
          </w:tcPr>
          <w:p w:rsidR="005955E6" w:rsidRPr="005955E6" w:rsidRDefault="005955E6" w:rsidP="005955E6">
            <w:pPr>
              <w:jc w:val="both"/>
              <w:rPr>
                <w:rFonts w:ascii="Calibri" w:hAnsi="Calibri"/>
                <w:b/>
                <w:sz w:val="20"/>
              </w:rPr>
            </w:pPr>
            <w:r w:rsidRPr="005955E6">
              <w:rPr>
                <w:rFonts w:ascii="Calibri" w:hAnsi="Calibri"/>
                <w:b/>
                <w:sz w:val="20"/>
              </w:rPr>
              <w:t>2006/07</w:t>
            </w:r>
          </w:p>
        </w:tc>
        <w:tc>
          <w:tcPr>
            <w:tcW w:w="498" w:type="pct"/>
            <w:shd w:val="clear" w:color="auto" w:fill="FFFFFF" w:themeFill="background1"/>
            <w:noWrap/>
          </w:tcPr>
          <w:p w:rsidR="005955E6" w:rsidRPr="005955E6" w:rsidRDefault="005955E6" w:rsidP="005955E6">
            <w:pPr>
              <w:jc w:val="both"/>
              <w:rPr>
                <w:rFonts w:ascii="Calibri" w:hAnsi="Calibri"/>
                <w:b/>
                <w:sz w:val="20"/>
              </w:rPr>
            </w:pPr>
            <w:r w:rsidRPr="005955E6">
              <w:rPr>
                <w:rFonts w:ascii="Calibri" w:hAnsi="Calibri"/>
                <w:b/>
                <w:sz w:val="20"/>
              </w:rPr>
              <w:t>2007/08</w:t>
            </w:r>
          </w:p>
        </w:tc>
        <w:tc>
          <w:tcPr>
            <w:tcW w:w="498" w:type="pct"/>
            <w:shd w:val="clear" w:color="auto" w:fill="FFFFFF" w:themeFill="background1"/>
            <w:noWrap/>
          </w:tcPr>
          <w:p w:rsidR="005955E6" w:rsidRPr="005955E6" w:rsidRDefault="005955E6" w:rsidP="005955E6">
            <w:pPr>
              <w:jc w:val="both"/>
              <w:rPr>
                <w:rFonts w:ascii="Calibri" w:hAnsi="Calibri"/>
                <w:b/>
                <w:sz w:val="20"/>
              </w:rPr>
            </w:pPr>
            <w:r w:rsidRPr="005955E6">
              <w:rPr>
                <w:rFonts w:ascii="Calibri" w:hAnsi="Calibri"/>
                <w:b/>
                <w:sz w:val="20"/>
              </w:rPr>
              <w:t>2008/09</w:t>
            </w:r>
          </w:p>
        </w:tc>
        <w:tc>
          <w:tcPr>
            <w:tcW w:w="498" w:type="pct"/>
            <w:shd w:val="clear" w:color="auto" w:fill="FFFFFF" w:themeFill="background1"/>
            <w:noWrap/>
          </w:tcPr>
          <w:p w:rsidR="005955E6" w:rsidRPr="005955E6" w:rsidRDefault="005955E6" w:rsidP="005955E6">
            <w:pPr>
              <w:jc w:val="both"/>
              <w:rPr>
                <w:rFonts w:ascii="Calibri" w:hAnsi="Calibri"/>
                <w:b/>
                <w:sz w:val="20"/>
              </w:rPr>
            </w:pPr>
            <w:r w:rsidRPr="005955E6">
              <w:rPr>
                <w:rFonts w:ascii="Calibri" w:hAnsi="Calibri"/>
                <w:b/>
                <w:sz w:val="20"/>
              </w:rPr>
              <w:t>2009/10</w:t>
            </w:r>
          </w:p>
        </w:tc>
        <w:tc>
          <w:tcPr>
            <w:tcW w:w="498" w:type="pct"/>
            <w:shd w:val="clear" w:color="auto" w:fill="FFFFFF" w:themeFill="background1"/>
          </w:tcPr>
          <w:p w:rsidR="005955E6" w:rsidRPr="005955E6" w:rsidRDefault="005955E6" w:rsidP="005955E6">
            <w:pPr>
              <w:jc w:val="both"/>
              <w:rPr>
                <w:rFonts w:ascii="Calibri" w:hAnsi="Calibri"/>
                <w:b/>
                <w:sz w:val="20"/>
              </w:rPr>
            </w:pPr>
            <w:r w:rsidRPr="005955E6">
              <w:rPr>
                <w:rFonts w:ascii="Calibri" w:hAnsi="Calibri"/>
                <w:b/>
                <w:sz w:val="20"/>
              </w:rPr>
              <w:t>2010/11</w:t>
            </w:r>
          </w:p>
        </w:tc>
        <w:tc>
          <w:tcPr>
            <w:tcW w:w="498" w:type="pct"/>
            <w:shd w:val="clear" w:color="auto" w:fill="FFFFFF" w:themeFill="background1"/>
          </w:tcPr>
          <w:p w:rsidR="005955E6" w:rsidRPr="005955E6" w:rsidRDefault="005955E6" w:rsidP="005955E6">
            <w:pPr>
              <w:jc w:val="both"/>
              <w:rPr>
                <w:rFonts w:ascii="Calibri" w:hAnsi="Calibri"/>
                <w:b/>
                <w:sz w:val="20"/>
              </w:rPr>
            </w:pPr>
            <w:r w:rsidRPr="005955E6">
              <w:rPr>
                <w:rFonts w:ascii="Calibri" w:hAnsi="Calibri"/>
                <w:b/>
                <w:sz w:val="20"/>
              </w:rPr>
              <w:t>2011/12</w:t>
            </w:r>
          </w:p>
        </w:tc>
        <w:tc>
          <w:tcPr>
            <w:tcW w:w="498" w:type="pct"/>
            <w:shd w:val="clear" w:color="auto" w:fill="FFFFFF" w:themeFill="background1"/>
          </w:tcPr>
          <w:p w:rsidR="005955E6" w:rsidRPr="005955E6" w:rsidRDefault="005955E6" w:rsidP="005955E6">
            <w:pPr>
              <w:jc w:val="both"/>
              <w:rPr>
                <w:rFonts w:ascii="Calibri" w:hAnsi="Calibri"/>
                <w:b/>
                <w:sz w:val="20"/>
              </w:rPr>
            </w:pPr>
            <w:r w:rsidRPr="005955E6">
              <w:rPr>
                <w:rFonts w:ascii="Calibri" w:hAnsi="Calibri"/>
                <w:b/>
                <w:sz w:val="20"/>
              </w:rPr>
              <w:t>2012/13</w:t>
            </w:r>
          </w:p>
        </w:tc>
        <w:tc>
          <w:tcPr>
            <w:tcW w:w="497" w:type="pct"/>
            <w:shd w:val="clear" w:color="auto" w:fill="FFFFFF" w:themeFill="background1"/>
          </w:tcPr>
          <w:p w:rsidR="005955E6" w:rsidRPr="005955E6" w:rsidRDefault="005955E6" w:rsidP="005955E6">
            <w:pPr>
              <w:jc w:val="both"/>
              <w:rPr>
                <w:rFonts w:ascii="Calibri" w:hAnsi="Calibri"/>
                <w:b/>
                <w:sz w:val="20"/>
              </w:rPr>
            </w:pPr>
            <w:r w:rsidRPr="005955E6">
              <w:rPr>
                <w:rFonts w:ascii="Calibri" w:hAnsi="Calibri"/>
                <w:b/>
                <w:sz w:val="20"/>
              </w:rPr>
              <w:t>2013/14</w:t>
            </w:r>
          </w:p>
        </w:tc>
      </w:tr>
      <w:bookmarkEnd w:id="22"/>
      <w:tr w:rsidR="003C097D" w:rsidRPr="008F5AFD" w:rsidTr="009C5F1E">
        <w:trPr>
          <w:trHeight w:val="255"/>
        </w:trPr>
        <w:tc>
          <w:tcPr>
            <w:tcW w:w="1017" w:type="pct"/>
            <w:shd w:val="clear" w:color="auto" w:fill="FFFFFF" w:themeFill="background1"/>
          </w:tcPr>
          <w:p w:rsidR="005955E6" w:rsidRPr="005955E6" w:rsidRDefault="005955E6" w:rsidP="005955E6">
            <w:pPr>
              <w:rPr>
                <w:rFonts w:ascii="Calibri" w:hAnsi="Calibri"/>
                <w:sz w:val="20"/>
              </w:rPr>
            </w:pPr>
            <w:r w:rsidRPr="005955E6">
              <w:rPr>
                <w:rFonts w:ascii="Calibri" w:hAnsi="Calibri"/>
                <w:sz w:val="20"/>
              </w:rPr>
              <w:t>PL Application Received</w:t>
            </w:r>
          </w:p>
        </w:tc>
        <w:tc>
          <w:tcPr>
            <w:tcW w:w="498"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498"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498"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1</w:t>
            </w:r>
          </w:p>
        </w:tc>
        <w:tc>
          <w:tcPr>
            <w:tcW w:w="498"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498"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498"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498"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497"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r>
      <w:tr w:rsidR="003C097D" w:rsidRPr="008F5AFD" w:rsidTr="009C5F1E">
        <w:trPr>
          <w:trHeight w:val="270"/>
        </w:trPr>
        <w:tc>
          <w:tcPr>
            <w:tcW w:w="1017" w:type="pct"/>
            <w:shd w:val="clear" w:color="auto" w:fill="FFFFFF" w:themeFill="background1"/>
          </w:tcPr>
          <w:p w:rsidR="005955E6" w:rsidRPr="005955E6" w:rsidRDefault="005955E6" w:rsidP="005955E6">
            <w:pPr>
              <w:jc w:val="both"/>
              <w:rPr>
                <w:rFonts w:ascii="Calibri" w:hAnsi="Calibri"/>
                <w:sz w:val="20"/>
              </w:rPr>
            </w:pPr>
            <w:r w:rsidRPr="005955E6">
              <w:rPr>
                <w:rFonts w:ascii="Calibri" w:hAnsi="Calibri"/>
                <w:sz w:val="20"/>
              </w:rPr>
              <w:t>PL  Granted</w:t>
            </w:r>
          </w:p>
        </w:tc>
        <w:tc>
          <w:tcPr>
            <w:tcW w:w="498"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498"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498"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498" w:type="pct"/>
            <w:shd w:val="clear" w:color="auto" w:fill="FFFFFF" w:themeFill="background1"/>
            <w:noWrap/>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498"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498"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498"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c>
          <w:tcPr>
            <w:tcW w:w="497" w:type="pct"/>
            <w:shd w:val="clear" w:color="auto" w:fill="FFFFFF" w:themeFill="background1"/>
            <w:vAlign w:val="center"/>
          </w:tcPr>
          <w:p w:rsidR="005955E6" w:rsidRPr="005955E6" w:rsidRDefault="005955E6" w:rsidP="005955E6">
            <w:pPr>
              <w:jc w:val="center"/>
              <w:rPr>
                <w:rFonts w:ascii="Calibri" w:hAnsi="Calibri"/>
                <w:sz w:val="20"/>
              </w:rPr>
            </w:pPr>
            <w:r w:rsidRPr="005955E6">
              <w:rPr>
                <w:rFonts w:ascii="Calibri" w:hAnsi="Calibri"/>
                <w:sz w:val="20"/>
              </w:rPr>
              <w:t>0</w:t>
            </w:r>
          </w:p>
        </w:tc>
      </w:tr>
    </w:tbl>
    <w:p w:rsidR="005955E6" w:rsidRPr="005955E6" w:rsidRDefault="005955E6" w:rsidP="005955E6">
      <w:pPr>
        <w:jc w:val="both"/>
        <w:rPr>
          <w:rFonts w:ascii="Calibri" w:hAnsi="Calibri"/>
          <w:sz w:val="20"/>
        </w:rPr>
      </w:pPr>
      <w:r w:rsidRPr="005955E6">
        <w:rPr>
          <w:rFonts w:ascii="Calibri" w:hAnsi="Calibri"/>
          <w:sz w:val="20"/>
        </w:rPr>
        <w:t>Source: DEDJTR</w:t>
      </w:r>
    </w:p>
    <w:p w:rsidR="005955E6" w:rsidRPr="005955E6" w:rsidRDefault="005955E6" w:rsidP="005955E6">
      <w:pPr>
        <w:jc w:val="both"/>
        <w:rPr>
          <w:rFonts w:ascii="Calibri" w:hAnsi="Calibri"/>
          <w:sz w:val="20"/>
        </w:rPr>
      </w:pPr>
    </w:p>
    <w:p w:rsidR="009C5F1E" w:rsidRDefault="009C5F1E">
      <w:pPr>
        <w:rPr>
          <w:rFonts w:ascii="Calibri" w:hAnsi="Calibri"/>
          <w:sz w:val="20"/>
        </w:rPr>
      </w:pPr>
      <w:r>
        <w:rPr>
          <w:rFonts w:ascii="Calibri" w:hAnsi="Calibri"/>
          <w:sz w:val="20"/>
        </w:rPr>
        <w:br w:type="page"/>
      </w:r>
    </w:p>
    <w:p w:rsidR="005955E6" w:rsidRPr="005955E6" w:rsidRDefault="005955E6" w:rsidP="005955E6">
      <w:pPr>
        <w:jc w:val="both"/>
        <w:rPr>
          <w:rFonts w:ascii="Calibri" w:hAnsi="Calibri"/>
          <w:sz w:val="20"/>
        </w:rPr>
      </w:pPr>
    </w:p>
    <w:bookmarkEnd w:id="8"/>
    <w:bookmarkEnd w:id="9"/>
    <w:bookmarkEnd w:id="10"/>
    <w:p w:rsidR="005955E6" w:rsidRPr="005955E6" w:rsidRDefault="005955E6" w:rsidP="009C5F1E">
      <w:pPr>
        <w:pStyle w:val="Heading3"/>
      </w:pPr>
      <w:r w:rsidRPr="005955E6">
        <w:t>Table 2.12 Pipeline licences (PLs) current as at 30 June 2014</w:t>
      </w:r>
    </w:p>
    <w:p w:rsidR="005955E6" w:rsidRPr="005955E6" w:rsidRDefault="005955E6" w:rsidP="005955E6">
      <w:pPr>
        <w:jc w:val="both"/>
        <w:rPr>
          <w:rFonts w:ascii="Calibri" w:hAnsi="Calibri"/>
          <w:b/>
          <w:sz w:val="20"/>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032"/>
        <w:gridCol w:w="5276"/>
      </w:tblGrid>
      <w:tr w:rsidR="003C097D" w:rsidRPr="008F5AFD" w:rsidTr="009C5F1E">
        <w:trPr>
          <w:trHeight w:val="255"/>
          <w:tblHeader/>
        </w:trPr>
        <w:tc>
          <w:tcPr>
            <w:tcW w:w="2441" w:type="pct"/>
            <w:shd w:val="clear" w:color="auto" w:fill="FFFFFF" w:themeFill="background1"/>
            <w:noWrap/>
          </w:tcPr>
          <w:p w:rsidR="005955E6" w:rsidRPr="005955E6" w:rsidRDefault="005955E6" w:rsidP="005955E6">
            <w:pPr>
              <w:jc w:val="both"/>
              <w:rPr>
                <w:rFonts w:ascii="Calibri" w:hAnsi="Calibri"/>
                <w:b/>
                <w:sz w:val="20"/>
              </w:rPr>
            </w:pPr>
            <w:bookmarkStart w:id="23" w:name="ColumnTitle_2_12" w:colFirst="0" w:colLast="1"/>
            <w:r w:rsidRPr="005955E6">
              <w:rPr>
                <w:rFonts w:ascii="Calibri" w:hAnsi="Calibri"/>
                <w:b/>
                <w:sz w:val="20"/>
              </w:rPr>
              <w:t>Tenement</w:t>
            </w:r>
          </w:p>
        </w:tc>
        <w:tc>
          <w:tcPr>
            <w:tcW w:w="2559" w:type="pct"/>
            <w:shd w:val="clear" w:color="auto" w:fill="FFFFFF" w:themeFill="background1"/>
            <w:noWrap/>
          </w:tcPr>
          <w:p w:rsidR="005955E6" w:rsidRPr="005955E6" w:rsidRDefault="005955E6" w:rsidP="005955E6">
            <w:pPr>
              <w:jc w:val="center"/>
              <w:rPr>
                <w:rFonts w:ascii="Calibri" w:hAnsi="Calibri"/>
                <w:b/>
                <w:sz w:val="20"/>
              </w:rPr>
            </w:pPr>
            <w:r w:rsidRPr="005955E6">
              <w:rPr>
                <w:rFonts w:ascii="Calibri" w:hAnsi="Calibri"/>
                <w:b/>
                <w:sz w:val="20"/>
              </w:rPr>
              <w:t>Number of PLs</w:t>
            </w:r>
          </w:p>
        </w:tc>
      </w:tr>
      <w:bookmarkEnd w:id="23"/>
      <w:tr w:rsidR="003C097D" w:rsidRPr="008E76FF" w:rsidTr="009C5F1E">
        <w:trPr>
          <w:trHeight w:val="255"/>
        </w:trPr>
        <w:tc>
          <w:tcPr>
            <w:tcW w:w="2441" w:type="pct"/>
            <w:shd w:val="clear" w:color="auto" w:fill="FFFFFF" w:themeFill="background1"/>
          </w:tcPr>
          <w:p w:rsidR="005955E6" w:rsidRPr="005955E6" w:rsidRDefault="005955E6" w:rsidP="00615AA5">
            <w:pPr>
              <w:rPr>
                <w:rFonts w:ascii="Calibri" w:hAnsi="Calibri"/>
                <w:color w:val="000000"/>
                <w:sz w:val="20"/>
              </w:rPr>
            </w:pPr>
            <w:r w:rsidRPr="005955E6">
              <w:rPr>
                <w:rFonts w:ascii="Calibri" w:hAnsi="Calibri"/>
                <w:color w:val="000000"/>
                <w:sz w:val="20"/>
              </w:rPr>
              <w:t>Onshore</w:t>
            </w:r>
          </w:p>
        </w:tc>
        <w:tc>
          <w:tcPr>
            <w:tcW w:w="2559"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214</w:t>
            </w:r>
          </w:p>
        </w:tc>
      </w:tr>
      <w:tr w:rsidR="003C097D" w:rsidRPr="008F5AFD" w:rsidTr="009C5F1E">
        <w:trPr>
          <w:trHeight w:val="255"/>
        </w:trPr>
        <w:tc>
          <w:tcPr>
            <w:tcW w:w="2441" w:type="pct"/>
            <w:shd w:val="clear" w:color="auto" w:fill="FFFFFF" w:themeFill="background1"/>
          </w:tcPr>
          <w:p w:rsidR="005955E6" w:rsidRPr="005955E6" w:rsidRDefault="005955E6" w:rsidP="00615AA5">
            <w:pPr>
              <w:rPr>
                <w:rFonts w:ascii="Calibri" w:hAnsi="Calibri"/>
                <w:color w:val="000000"/>
                <w:sz w:val="20"/>
              </w:rPr>
            </w:pPr>
            <w:r w:rsidRPr="005955E6">
              <w:rPr>
                <w:rFonts w:ascii="Calibri" w:hAnsi="Calibri"/>
                <w:color w:val="000000"/>
                <w:sz w:val="20"/>
              </w:rPr>
              <w:t>Offshore (Vic)</w:t>
            </w:r>
          </w:p>
        </w:tc>
        <w:tc>
          <w:tcPr>
            <w:tcW w:w="2559"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13</w:t>
            </w:r>
          </w:p>
        </w:tc>
      </w:tr>
    </w:tbl>
    <w:p w:rsidR="005955E6" w:rsidRPr="005955E6" w:rsidRDefault="005955E6" w:rsidP="005955E6">
      <w:pPr>
        <w:jc w:val="both"/>
        <w:rPr>
          <w:rFonts w:ascii="Calibri" w:hAnsi="Calibri"/>
          <w:sz w:val="20"/>
        </w:rPr>
      </w:pPr>
      <w:r w:rsidRPr="005955E6">
        <w:rPr>
          <w:rFonts w:ascii="Calibri" w:hAnsi="Calibri"/>
          <w:sz w:val="20"/>
        </w:rPr>
        <w:t>Source: DEDJTR</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p>
    <w:p w:rsidR="005955E6" w:rsidRPr="005955E6" w:rsidRDefault="005955E6" w:rsidP="005955E6">
      <w:pPr>
        <w:spacing w:after="200" w:line="276" w:lineRule="auto"/>
        <w:rPr>
          <w:rFonts w:ascii="Calibri" w:hAnsi="Calibri"/>
          <w:b/>
          <w:noProof/>
          <w:kern w:val="32"/>
          <w:sz w:val="32"/>
        </w:rPr>
      </w:pPr>
      <w:bookmarkStart w:id="24" w:name="_Toc96317351"/>
      <w:bookmarkStart w:id="25" w:name="_Toc125447282"/>
      <w:bookmarkStart w:id="26" w:name="_Toc157232801"/>
      <w:bookmarkStart w:id="27" w:name="_Toc228784369"/>
      <w:bookmarkStart w:id="28" w:name="_Toc279573130"/>
      <w:r w:rsidRPr="005955E6">
        <w:rPr>
          <w:rFonts w:ascii="Calibri" w:hAnsi="Calibri"/>
        </w:rPr>
        <w:br w:type="page"/>
      </w:r>
    </w:p>
    <w:p w:rsidR="005955E6" w:rsidRPr="005955E6" w:rsidRDefault="005955E6" w:rsidP="00615AA5">
      <w:pPr>
        <w:pStyle w:val="Heading1"/>
        <w:keepNext w:val="0"/>
        <w:framePr w:w="0" w:hRule="auto" w:hSpace="0" w:wrap="auto" w:vAnchor="margin" w:hAnchor="text" w:xAlign="left" w:yAlign="inline"/>
        <w:numPr>
          <w:ilvl w:val="0"/>
          <w:numId w:val="6"/>
        </w:numPr>
        <w:tabs>
          <w:tab w:val="clear" w:pos="502"/>
          <w:tab w:val="num" w:pos="426"/>
        </w:tabs>
        <w:spacing w:after="0" w:line="240" w:lineRule="auto"/>
        <w:ind w:hanging="502"/>
        <w:rPr>
          <w:rFonts w:ascii="Calibri" w:hAnsi="Calibri"/>
        </w:rPr>
      </w:pPr>
      <w:r w:rsidRPr="005955E6">
        <w:rPr>
          <w:rFonts w:ascii="Calibri" w:hAnsi="Calibri"/>
        </w:rPr>
        <w:lastRenderedPageBreak/>
        <w:t>Minerals</w:t>
      </w:r>
      <w:bookmarkEnd w:id="24"/>
      <w:bookmarkEnd w:id="25"/>
      <w:bookmarkEnd w:id="26"/>
      <w:bookmarkEnd w:id="27"/>
      <w:bookmarkEnd w:id="28"/>
      <w:r w:rsidRPr="005955E6">
        <w:rPr>
          <w:rFonts w:ascii="Calibri" w:hAnsi="Calibri"/>
        </w:rPr>
        <w:t xml:space="preserve"> </w:t>
      </w:r>
    </w:p>
    <w:p w:rsidR="005955E6" w:rsidRPr="005955E6" w:rsidRDefault="005955E6" w:rsidP="005955E6">
      <w:pPr>
        <w:jc w:val="both"/>
        <w:rPr>
          <w:rFonts w:ascii="Calibri" w:hAnsi="Calibri"/>
          <w:sz w:val="20"/>
        </w:rPr>
      </w:pPr>
    </w:p>
    <w:p w:rsidR="005955E6" w:rsidRPr="005955E6" w:rsidRDefault="005955E6" w:rsidP="00615AA5">
      <w:pPr>
        <w:pStyle w:val="Heading2"/>
        <w:keepNext w:val="0"/>
        <w:numPr>
          <w:ilvl w:val="1"/>
          <w:numId w:val="6"/>
        </w:numPr>
        <w:tabs>
          <w:tab w:val="clear" w:pos="792"/>
          <w:tab w:val="num" w:pos="567"/>
        </w:tabs>
        <w:spacing w:before="0"/>
        <w:ind w:left="567" w:hanging="567"/>
        <w:jc w:val="left"/>
        <w:rPr>
          <w:rFonts w:ascii="Calibri" w:hAnsi="Calibri"/>
        </w:rPr>
      </w:pPr>
      <w:bookmarkStart w:id="29" w:name="_Hlt124312325"/>
      <w:bookmarkStart w:id="30" w:name="_Toc96317352"/>
      <w:bookmarkStart w:id="31" w:name="_Toc279573131"/>
      <w:bookmarkStart w:id="32" w:name="_Toc125447283"/>
      <w:bookmarkStart w:id="33" w:name="_Toc157232802"/>
      <w:bookmarkStart w:id="34" w:name="_Toc279573132"/>
      <w:bookmarkEnd w:id="29"/>
      <w:r w:rsidRPr="005955E6">
        <w:rPr>
          <w:rFonts w:ascii="Calibri" w:hAnsi="Calibri"/>
        </w:rPr>
        <w:t>Mineral tenements</w:t>
      </w:r>
      <w:bookmarkEnd w:id="30"/>
      <w:bookmarkEnd w:id="31"/>
      <w:bookmarkEnd w:id="32"/>
      <w:bookmarkEnd w:id="33"/>
      <w:bookmarkEnd w:id="34"/>
    </w:p>
    <w:p w:rsidR="005955E6" w:rsidRPr="005955E6" w:rsidRDefault="005955E6" w:rsidP="005955E6">
      <w:pPr>
        <w:jc w:val="both"/>
        <w:rPr>
          <w:rFonts w:ascii="Calibri" w:hAnsi="Calibri"/>
          <w:sz w:val="20"/>
        </w:rPr>
      </w:pPr>
    </w:p>
    <w:p w:rsidR="005955E6" w:rsidRPr="005955E6" w:rsidRDefault="005955E6" w:rsidP="00DA5950">
      <w:pPr>
        <w:pStyle w:val="Heading3"/>
      </w:pPr>
      <w:bookmarkStart w:id="35" w:name="_Hlt90121298"/>
      <w:bookmarkEnd w:id="35"/>
      <w:r w:rsidRPr="005955E6">
        <w:t xml:space="preserve">Table 3.1 Licences current as at 30 June </w:t>
      </w:r>
    </w:p>
    <w:p w:rsidR="005955E6" w:rsidRPr="005955E6" w:rsidRDefault="005955E6" w:rsidP="005955E6">
      <w:pPr>
        <w:jc w:val="both"/>
        <w:rPr>
          <w:rFonts w:ascii="Calibri" w:hAnsi="Calibri"/>
          <w:b/>
          <w:sz w:val="20"/>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ayout w:type="fixed"/>
        <w:tblLook w:val="04A0" w:firstRow="1" w:lastRow="0" w:firstColumn="1" w:lastColumn="0" w:noHBand="0" w:noVBand="1"/>
      </w:tblPr>
      <w:tblGrid>
        <w:gridCol w:w="2129"/>
        <w:gridCol w:w="1023"/>
        <w:gridCol w:w="1023"/>
        <w:gridCol w:w="1023"/>
        <w:gridCol w:w="1023"/>
        <w:gridCol w:w="1023"/>
        <w:gridCol w:w="1023"/>
        <w:gridCol w:w="1023"/>
        <w:gridCol w:w="1018"/>
      </w:tblGrid>
      <w:tr w:rsidR="003C097D" w:rsidRPr="008F5AFD" w:rsidTr="00DA5950">
        <w:trPr>
          <w:trHeight w:val="315"/>
          <w:tblHeader/>
        </w:trPr>
        <w:tc>
          <w:tcPr>
            <w:tcW w:w="1033" w:type="pct"/>
            <w:shd w:val="clear" w:color="auto" w:fill="FFFFFF" w:themeFill="background1"/>
            <w:noWrap/>
            <w:hideMark/>
          </w:tcPr>
          <w:p w:rsidR="005955E6" w:rsidRPr="005955E6" w:rsidRDefault="005955E6" w:rsidP="005955E6">
            <w:pPr>
              <w:jc w:val="both"/>
              <w:rPr>
                <w:rFonts w:ascii="Calibri" w:hAnsi="Calibri"/>
                <w:b/>
                <w:sz w:val="20"/>
              </w:rPr>
            </w:pPr>
            <w:bookmarkStart w:id="36" w:name="ColumnTitle_3_1"/>
            <w:r w:rsidRPr="005955E6">
              <w:rPr>
                <w:rFonts w:ascii="Calibri" w:hAnsi="Calibri"/>
                <w:b/>
                <w:sz w:val="20"/>
              </w:rPr>
              <w:t>Tenement Type</w:t>
            </w:r>
          </w:p>
        </w:tc>
        <w:tc>
          <w:tcPr>
            <w:tcW w:w="496" w:type="pct"/>
            <w:shd w:val="clear" w:color="auto" w:fill="FFFFFF" w:themeFill="background1"/>
            <w:hideMark/>
          </w:tcPr>
          <w:p w:rsidR="005955E6" w:rsidRPr="005955E6" w:rsidRDefault="005955E6" w:rsidP="005955E6">
            <w:pPr>
              <w:jc w:val="center"/>
              <w:rPr>
                <w:rFonts w:ascii="Calibri" w:hAnsi="Calibri"/>
                <w:b/>
                <w:sz w:val="20"/>
              </w:rPr>
            </w:pPr>
            <w:r w:rsidRPr="005955E6">
              <w:rPr>
                <w:rFonts w:ascii="Calibri" w:hAnsi="Calibri"/>
                <w:b/>
                <w:sz w:val="20"/>
              </w:rPr>
              <w:t>2007</w:t>
            </w:r>
          </w:p>
        </w:tc>
        <w:tc>
          <w:tcPr>
            <w:tcW w:w="496" w:type="pct"/>
            <w:shd w:val="clear" w:color="auto" w:fill="FFFFFF" w:themeFill="background1"/>
            <w:hideMark/>
          </w:tcPr>
          <w:p w:rsidR="005955E6" w:rsidRPr="005955E6" w:rsidRDefault="005955E6" w:rsidP="005955E6">
            <w:pPr>
              <w:jc w:val="center"/>
              <w:rPr>
                <w:rFonts w:ascii="Calibri" w:hAnsi="Calibri"/>
                <w:b/>
                <w:sz w:val="20"/>
              </w:rPr>
            </w:pPr>
            <w:r w:rsidRPr="005955E6">
              <w:rPr>
                <w:rFonts w:ascii="Calibri" w:hAnsi="Calibri"/>
                <w:b/>
                <w:sz w:val="20"/>
              </w:rPr>
              <w:t>2008</w:t>
            </w:r>
          </w:p>
        </w:tc>
        <w:tc>
          <w:tcPr>
            <w:tcW w:w="496" w:type="pct"/>
            <w:shd w:val="clear" w:color="auto" w:fill="FFFFFF" w:themeFill="background1"/>
            <w:hideMark/>
          </w:tcPr>
          <w:p w:rsidR="005955E6" w:rsidRPr="005955E6" w:rsidRDefault="005955E6" w:rsidP="005955E6">
            <w:pPr>
              <w:jc w:val="center"/>
              <w:rPr>
                <w:rFonts w:ascii="Calibri" w:hAnsi="Calibri"/>
                <w:b/>
                <w:sz w:val="20"/>
              </w:rPr>
            </w:pPr>
            <w:r w:rsidRPr="005955E6">
              <w:rPr>
                <w:rFonts w:ascii="Calibri" w:hAnsi="Calibri"/>
                <w:b/>
                <w:sz w:val="20"/>
              </w:rPr>
              <w:t>2009</w:t>
            </w:r>
          </w:p>
        </w:tc>
        <w:tc>
          <w:tcPr>
            <w:tcW w:w="496" w:type="pct"/>
            <w:shd w:val="clear" w:color="auto" w:fill="FFFFFF" w:themeFill="background1"/>
            <w:hideMark/>
          </w:tcPr>
          <w:p w:rsidR="005955E6" w:rsidRPr="005955E6" w:rsidRDefault="005955E6" w:rsidP="005955E6">
            <w:pPr>
              <w:jc w:val="center"/>
              <w:rPr>
                <w:rFonts w:ascii="Calibri" w:hAnsi="Calibri"/>
                <w:b/>
                <w:sz w:val="20"/>
              </w:rPr>
            </w:pPr>
            <w:r w:rsidRPr="005955E6">
              <w:rPr>
                <w:rFonts w:ascii="Calibri" w:hAnsi="Calibri"/>
                <w:b/>
                <w:sz w:val="20"/>
              </w:rPr>
              <w:t>2010</w:t>
            </w:r>
          </w:p>
        </w:tc>
        <w:tc>
          <w:tcPr>
            <w:tcW w:w="496" w:type="pct"/>
            <w:shd w:val="clear" w:color="auto" w:fill="FFFFFF" w:themeFill="background1"/>
            <w:hideMark/>
          </w:tcPr>
          <w:p w:rsidR="005955E6" w:rsidRPr="005955E6" w:rsidRDefault="005955E6" w:rsidP="005955E6">
            <w:pPr>
              <w:jc w:val="center"/>
              <w:rPr>
                <w:rFonts w:ascii="Calibri" w:hAnsi="Calibri"/>
                <w:b/>
                <w:sz w:val="20"/>
              </w:rPr>
            </w:pPr>
            <w:r w:rsidRPr="005955E6">
              <w:rPr>
                <w:rFonts w:ascii="Calibri" w:hAnsi="Calibri"/>
                <w:b/>
                <w:sz w:val="20"/>
              </w:rPr>
              <w:t>2011</w:t>
            </w:r>
          </w:p>
        </w:tc>
        <w:tc>
          <w:tcPr>
            <w:tcW w:w="496" w:type="pct"/>
            <w:shd w:val="clear" w:color="auto" w:fill="FFFFFF" w:themeFill="background1"/>
            <w:noWrap/>
            <w:hideMark/>
          </w:tcPr>
          <w:p w:rsidR="005955E6" w:rsidRPr="005955E6" w:rsidRDefault="005955E6" w:rsidP="005955E6">
            <w:pPr>
              <w:jc w:val="center"/>
              <w:rPr>
                <w:rFonts w:ascii="Calibri" w:hAnsi="Calibri"/>
                <w:b/>
                <w:sz w:val="20"/>
              </w:rPr>
            </w:pPr>
            <w:r w:rsidRPr="005955E6">
              <w:rPr>
                <w:rFonts w:ascii="Calibri" w:hAnsi="Calibri"/>
                <w:b/>
                <w:sz w:val="20"/>
              </w:rPr>
              <w:t>2012</w:t>
            </w:r>
          </w:p>
        </w:tc>
        <w:tc>
          <w:tcPr>
            <w:tcW w:w="496" w:type="pct"/>
            <w:shd w:val="clear" w:color="auto" w:fill="FFFFFF" w:themeFill="background1"/>
            <w:hideMark/>
          </w:tcPr>
          <w:p w:rsidR="005955E6" w:rsidRPr="005955E6" w:rsidRDefault="005955E6" w:rsidP="005955E6">
            <w:pPr>
              <w:jc w:val="center"/>
              <w:rPr>
                <w:rFonts w:ascii="Calibri" w:hAnsi="Calibri"/>
                <w:b/>
                <w:sz w:val="20"/>
              </w:rPr>
            </w:pPr>
            <w:r w:rsidRPr="005955E6">
              <w:rPr>
                <w:rFonts w:ascii="Calibri" w:hAnsi="Calibri"/>
                <w:b/>
                <w:sz w:val="20"/>
              </w:rPr>
              <w:t>2013</w:t>
            </w:r>
          </w:p>
        </w:tc>
        <w:tc>
          <w:tcPr>
            <w:tcW w:w="494" w:type="pct"/>
            <w:shd w:val="clear" w:color="auto" w:fill="FFFFFF" w:themeFill="background1"/>
            <w:hideMark/>
          </w:tcPr>
          <w:p w:rsidR="005955E6" w:rsidRPr="005955E6" w:rsidRDefault="005955E6" w:rsidP="005955E6">
            <w:pPr>
              <w:jc w:val="center"/>
              <w:rPr>
                <w:rFonts w:ascii="Calibri" w:hAnsi="Calibri"/>
                <w:b/>
                <w:sz w:val="20"/>
              </w:rPr>
            </w:pPr>
            <w:r w:rsidRPr="005955E6">
              <w:rPr>
                <w:rFonts w:ascii="Calibri" w:hAnsi="Calibri"/>
                <w:b/>
                <w:sz w:val="20"/>
              </w:rPr>
              <w:t>2014</w:t>
            </w:r>
          </w:p>
        </w:tc>
      </w:tr>
      <w:bookmarkEnd w:id="36"/>
      <w:tr w:rsidR="003C097D" w:rsidRPr="008F5AFD" w:rsidTr="00DA5950">
        <w:trPr>
          <w:trHeight w:val="315"/>
        </w:trPr>
        <w:tc>
          <w:tcPr>
            <w:tcW w:w="1033" w:type="pct"/>
            <w:shd w:val="clear" w:color="auto" w:fill="FFFFFF" w:themeFill="background1"/>
            <w:noWrap/>
            <w:vAlign w:val="center"/>
            <w:hideMark/>
          </w:tcPr>
          <w:p w:rsidR="005955E6" w:rsidRPr="005955E6" w:rsidRDefault="005955E6" w:rsidP="00615AA5">
            <w:pPr>
              <w:rPr>
                <w:rFonts w:ascii="Calibri" w:hAnsi="Calibri"/>
                <w:sz w:val="20"/>
              </w:rPr>
            </w:pPr>
            <w:r w:rsidRPr="005955E6">
              <w:rPr>
                <w:rFonts w:ascii="Calibri" w:hAnsi="Calibri"/>
                <w:sz w:val="20"/>
              </w:rPr>
              <w:t>Exploration Licences</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280</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326</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298</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285</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302</w:t>
            </w:r>
          </w:p>
        </w:tc>
        <w:tc>
          <w:tcPr>
            <w:tcW w:w="496" w:type="pct"/>
            <w:shd w:val="clear" w:color="auto" w:fill="FFFFFF" w:themeFill="background1"/>
            <w:noWrap/>
            <w:hideMark/>
          </w:tcPr>
          <w:p w:rsidR="005955E6" w:rsidRPr="005955E6" w:rsidRDefault="005955E6" w:rsidP="005955E6">
            <w:pPr>
              <w:jc w:val="center"/>
              <w:rPr>
                <w:rFonts w:ascii="Calibri" w:hAnsi="Calibri"/>
                <w:sz w:val="20"/>
              </w:rPr>
            </w:pPr>
            <w:r w:rsidRPr="005955E6">
              <w:rPr>
                <w:rFonts w:ascii="Calibri" w:hAnsi="Calibri"/>
                <w:sz w:val="20"/>
              </w:rPr>
              <w:t>326</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311</w:t>
            </w:r>
          </w:p>
        </w:tc>
        <w:tc>
          <w:tcPr>
            <w:tcW w:w="494"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271</w:t>
            </w:r>
          </w:p>
        </w:tc>
      </w:tr>
      <w:tr w:rsidR="003C097D" w:rsidRPr="008F5AFD" w:rsidTr="00DA5950">
        <w:trPr>
          <w:trHeight w:val="315"/>
        </w:trPr>
        <w:tc>
          <w:tcPr>
            <w:tcW w:w="1033" w:type="pct"/>
            <w:shd w:val="clear" w:color="auto" w:fill="FFFFFF" w:themeFill="background1"/>
            <w:noWrap/>
            <w:vAlign w:val="center"/>
            <w:hideMark/>
          </w:tcPr>
          <w:p w:rsidR="005955E6" w:rsidRPr="005955E6" w:rsidRDefault="005955E6" w:rsidP="00615AA5">
            <w:pPr>
              <w:rPr>
                <w:rFonts w:ascii="Calibri" w:hAnsi="Calibri"/>
                <w:sz w:val="20"/>
              </w:rPr>
            </w:pPr>
            <w:r w:rsidRPr="005955E6">
              <w:rPr>
                <w:rFonts w:ascii="Calibri" w:hAnsi="Calibri"/>
                <w:sz w:val="20"/>
              </w:rPr>
              <w:t>Mining Licences</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240</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236</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211</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216</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218</w:t>
            </w:r>
          </w:p>
        </w:tc>
        <w:tc>
          <w:tcPr>
            <w:tcW w:w="496" w:type="pct"/>
            <w:shd w:val="clear" w:color="auto" w:fill="FFFFFF" w:themeFill="background1"/>
            <w:noWrap/>
            <w:hideMark/>
          </w:tcPr>
          <w:p w:rsidR="005955E6" w:rsidRPr="005955E6" w:rsidRDefault="005955E6" w:rsidP="005955E6">
            <w:pPr>
              <w:jc w:val="center"/>
              <w:rPr>
                <w:rFonts w:ascii="Calibri" w:hAnsi="Calibri"/>
                <w:sz w:val="20"/>
              </w:rPr>
            </w:pPr>
            <w:r w:rsidRPr="005955E6">
              <w:rPr>
                <w:rFonts w:ascii="Calibri" w:hAnsi="Calibri"/>
                <w:sz w:val="20"/>
              </w:rPr>
              <w:t>208</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212</w:t>
            </w:r>
          </w:p>
        </w:tc>
        <w:tc>
          <w:tcPr>
            <w:tcW w:w="494"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191</w:t>
            </w:r>
          </w:p>
        </w:tc>
      </w:tr>
      <w:tr w:rsidR="003C097D" w:rsidRPr="008F5AFD" w:rsidTr="00DA5950">
        <w:trPr>
          <w:trHeight w:val="315"/>
        </w:trPr>
        <w:tc>
          <w:tcPr>
            <w:tcW w:w="1033" w:type="pct"/>
            <w:shd w:val="clear" w:color="auto" w:fill="FFFFFF" w:themeFill="background1"/>
            <w:noWrap/>
            <w:vAlign w:val="center"/>
            <w:hideMark/>
          </w:tcPr>
          <w:p w:rsidR="005955E6" w:rsidRPr="005955E6" w:rsidRDefault="005955E6" w:rsidP="00615AA5">
            <w:pPr>
              <w:rPr>
                <w:rFonts w:ascii="Calibri" w:hAnsi="Calibri"/>
                <w:sz w:val="20"/>
              </w:rPr>
            </w:pPr>
            <w:r w:rsidRPr="005955E6">
              <w:rPr>
                <w:rFonts w:ascii="Calibri" w:hAnsi="Calibri"/>
                <w:sz w:val="20"/>
              </w:rPr>
              <w:t>Prospecting Licences</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n/a</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n/a</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n/a</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n/a</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n/a</w:t>
            </w:r>
          </w:p>
        </w:tc>
        <w:tc>
          <w:tcPr>
            <w:tcW w:w="496" w:type="pct"/>
            <w:shd w:val="clear" w:color="auto" w:fill="FFFFFF" w:themeFill="background1"/>
            <w:noWrap/>
            <w:hideMark/>
          </w:tcPr>
          <w:p w:rsidR="005955E6" w:rsidRPr="005955E6" w:rsidRDefault="005955E6" w:rsidP="005955E6">
            <w:pPr>
              <w:jc w:val="center"/>
              <w:rPr>
                <w:rFonts w:ascii="Calibri" w:hAnsi="Calibri"/>
                <w:sz w:val="20"/>
              </w:rPr>
            </w:pPr>
            <w:r w:rsidRPr="005955E6">
              <w:rPr>
                <w:rFonts w:ascii="Calibri" w:hAnsi="Calibri"/>
                <w:sz w:val="20"/>
              </w:rPr>
              <w:t>1</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13</w:t>
            </w:r>
          </w:p>
        </w:tc>
        <w:tc>
          <w:tcPr>
            <w:tcW w:w="494"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31</w:t>
            </w:r>
          </w:p>
        </w:tc>
      </w:tr>
      <w:tr w:rsidR="003C097D" w:rsidRPr="008F5AFD" w:rsidTr="00DA5950">
        <w:trPr>
          <w:trHeight w:val="315"/>
        </w:trPr>
        <w:tc>
          <w:tcPr>
            <w:tcW w:w="1033" w:type="pct"/>
            <w:shd w:val="clear" w:color="auto" w:fill="FFFFFF" w:themeFill="background1"/>
            <w:noWrap/>
            <w:vAlign w:val="center"/>
            <w:hideMark/>
          </w:tcPr>
          <w:p w:rsidR="005955E6" w:rsidRPr="005955E6" w:rsidRDefault="005955E6" w:rsidP="00615AA5">
            <w:pPr>
              <w:rPr>
                <w:rFonts w:ascii="Calibri" w:hAnsi="Calibri"/>
                <w:sz w:val="20"/>
              </w:rPr>
            </w:pPr>
            <w:r w:rsidRPr="005955E6">
              <w:rPr>
                <w:rFonts w:ascii="Calibri" w:hAnsi="Calibri"/>
                <w:sz w:val="20"/>
              </w:rPr>
              <w:t>Retention Licences</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n/a</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n/a</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n/a</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n/a</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0</w:t>
            </w:r>
          </w:p>
        </w:tc>
        <w:tc>
          <w:tcPr>
            <w:tcW w:w="496" w:type="pct"/>
            <w:shd w:val="clear" w:color="auto" w:fill="FFFFFF" w:themeFill="background1"/>
            <w:noWrap/>
            <w:hideMark/>
          </w:tcPr>
          <w:p w:rsidR="005955E6" w:rsidRPr="005955E6" w:rsidRDefault="005955E6" w:rsidP="005955E6">
            <w:pPr>
              <w:jc w:val="center"/>
              <w:rPr>
                <w:rFonts w:ascii="Calibri" w:hAnsi="Calibri"/>
                <w:sz w:val="20"/>
              </w:rPr>
            </w:pPr>
            <w:r w:rsidRPr="005955E6">
              <w:rPr>
                <w:rFonts w:ascii="Calibri" w:hAnsi="Calibri"/>
                <w:sz w:val="20"/>
              </w:rPr>
              <w:t>0</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1</w:t>
            </w:r>
          </w:p>
        </w:tc>
        <w:tc>
          <w:tcPr>
            <w:tcW w:w="494"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1</w:t>
            </w:r>
          </w:p>
        </w:tc>
      </w:tr>
      <w:tr w:rsidR="003C097D" w:rsidRPr="008F5AFD" w:rsidTr="00DA5950">
        <w:trPr>
          <w:trHeight w:val="315"/>
        </w:trPr>
        <w:tc>
          <w:tcPr>
            <w:tcW w:w="1033" w:type="pct"/>
            <w:shd w:val="clear" w:color="auto" w:fill="FFFFFF" w:themeFill="background1"/>
            <w:noWrap/>
            <w:vAlign w:val="center"/>
            <w:hideMark/>
          </w:tcPr>
          <w:p w:rsidR="005955E6" w:rsidRPr="005955E6" w:rsidRDefault="005955E6" w:rsidP="00615AA5">
            <w:pPr>
              <w:rPr>
                <w:rFonts w:ascii="Calibri" w:hAnsi="Calibri"/>
                <w:sz w:val="20"/>
              </w:rPr>
            </w:pPr>
            <w:r w:rsidRPr="005955E6">
              <w:rPr>
                <w:rFonts w:ascii="Calibri" w:hAnsi="Calibri"/>
                <w:sz w:val="20"/>
              </w:rPr>
              <w:t>Totals</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520</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562</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509</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501</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520</w:t>
            </w:r>
          </w:p>
        </w:tc>
        <w:tc>
          <w:tcPr>
            <w:tcW w:w="496" w:type="pct"/>
            <w:shd w:val="clear" w:color="auto" w:fill="FFFFFF" w:themeFill="background1"/>
            <w:noWrap/>
            <w:hideMark/>
          </w:tcPr>
          <w:p w:rsidR="005955E6" w:rsidRPr="005955E6" w:rsidRDefault="005955E6" w:rsidP="005955E6">
            <w:pPr>
              <w:jc w:val="center"/>
              <w:rPr>
                <w:rFonts w:ascii="Calibri" w:hAnsi="Calibri"/>
                <w:sz w:val="20"/>
              </w:rPr>
            </w:pPr>
            <w:r w:rsidRPr="005955E6">
              <w:rPr>
                <w:rFonts w:ascii="Calibri" w:hAnsi="Calibri"/>
                <w:sz w:val="20"/>
              </w:rPr>
              <w:t>535</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537</w:t>
            </w:r>
          </w:p>
        </w:tc>
        <w:tc>
          <w:tcPr>
            <w:tcW w:w="494"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494</w:t>
            </w:r>
          </w:p>
        </w:tc>
      </w:tr>
      <w:tr w:rsidR="003C097D" w:rsidRPr="008F5AFD" w:rsidTr="00DA5950">
        <w:trPr>
          <w:trHeight w:val="315"/>
        </w:trPr>
        <w:tc>
          <w:tcPr>
            <w:tcW w:w="1033" w:type="pct"/>
            <w:shd w:val="clear" w:color="auto" w:fill="FFFFFF" w:themeFill="background1"/>
            <w:noWrap/>
            <w:vAlign w:val="center"/>
            <w:hideMark/>
          </w:tcPr>
          <w:p w:rsidR="005955E6" w:rsidRPr="005955E6" w:rsidRDefault="005955E6" w:rsidP="00615AA5">
            <w:pPr>
              <w:rPr>
                <w:rFonts w:ascii="Calibri" w:hAnsi="Calibri"/>
                <w:sz w:val="20"/>
              </w:rPr>
            </w:pPr>
            <w:r w:rsidRPr="005955E6">
              <w:rPr>
                <w:rFonts w:ascii="Calibri" w:hAnsi="Calibri"/>
                <w:sz w:val="20"/>
              </w:rPr>
              <w:t>Change year-on-year (%)</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8.1</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-9.4</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-1.6</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3.8</w:t>
            </w:r>
          </w:p>
        </w:tc>
        <w:tc>
          <w:tcPr>
            <w:tcW w:w="496" w:type="pct"/>
            <w:shd w:val="clear" w:color="auto" w:fill="FFFFFF" w:themeFill="background1"/>
            <w:noWrap/>
            <w:hideMark/>
          </w:tcPr>
          <w:p w:rsidR="005955E6" w:rsidRPr="005955E6" w:rsidRDefault="005955E6" w:rsidP="005955E6">
            <w:pPr>
              <w:jc w:val="center"/>
              <w:rPr>
                <w:rFonts w:ascii="Calibri" w:hAnsi="Calibri"/>
                <w:sz w:val="20"/>
              </w:rPr>
            </w:pPr>
            <w:r w:rsidRPr="005955E6">
              <w:rPr>
                <w:rFonts w:ascii="Calibri" w:hAnsi="Calibri"/>
                <w:sz w:val="20"/>
              </w:rPr>
              <w:t>2.9</w:t>
            </w:r>
          </w:p>
        </w:tc>
        <w:tc>
          <w:tcPr>
            <w:tcW w:w="496"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0.4</w:t>
            </w:r>
          </w:p>
        </w:tc>
        <w:tc>
          <w:tcPr>
            <w:tcW w:w="494" w:type="pct"/>
            <w:shd w:val="clear" w:color="auto" w:fill="FFFFFF" w:themeFill="background1"/>
            <w:hideMark/>
          </w:tcPr>
          <w:p w:rsidR="005955E6" w:rsidRPr="005955E6" w:rsidRDefault="005955E6" w:rsidP="005955E6">
            <w:pPr>
              <w:jc w:val="center"/>
              <w:rPr>
                <w:rFonts w:ascii="Calibri" w:hAnsi="Calibri"/>
                <w:sz w:val="20"/>
              </w:rPr>
            </w:pPr>
            <w:r w:rsidRPr="005955E6">
              <w:rPr>
                <w:rFonts w:ascii="Calibri" w:hAnsi="Calibri"/>
                <w:sz w:val="20"/>
              </w:rPr>
              <w:t>-8.0</w:t>
            </w:r>
          </w:p>
        </w:tc>
      </w:tr>
    </w:tbl>
    <w:p w:rsidR="005955E6" w:rsidRPr="005955E6" w:rsidRDefault="005955E6" w:rsidP="005955E6">
      <w:pPr>
        <w:jc w:val="both"/>
        <w:rPr>
          <w:rFonts w:ascii="Calibri" w:hAnsi="Calibri"/>
          <w:sz w:val="20"/>
        </w:rPr>
      </w:pPr>
      <w:r w:rsidRPr="005955E6">
        <w:rPr>
          <w:rFonts w:ascii="Calibri" w:hAnsi="Calibri"/>
          <w:sz w:val="20"/>
        </w:rPr>
        <w:t>Source: DEDJTR</w:t>
      </w:r>
    </w:p>
    <w:p w:rsidR="005955E6" w:rsidRPr="005955E6" w:rsidRDefault="005955E6" w:rsidP="005955E6">
      <w:pPr>
        <w:jc w:val="both"/>
        <w:rPr>
          <w:rFonts w:ascii="Calibri" w:hAnsi="Calibri"/>
          <w:sz w:val="20"/>
          <w:highlight w:val="yellow"/>
        </w:rPr>
      </w:pPr>
    </w:p>
    <w:p w:rsidR="005955E6" w:rsidRPr="005955E6" w:rsidRDefault="005955E6" w:rsidP="005955E6">
      <w:pPr>
        <w:jc w:val="both"/>
        <w:rPr>
          <w:rFonts w:ascii="Calibri" w:hAnsi="Calibri"/>
          <w:b/>
          <w:sz w:val="20"/>
        </w:rPr>
      </w:pPr>
    </w:p>
    <w:p w:rsidR="005955E6" w:rsidRPr="005955E6" w:rsidRDefault="005955E6" w:rsidP="00DA5950">
      <w:pPr>
        <w:pStyle w:val="Heading3"/>
      </w:pPr>
      <w:r w:rsidRPr="005955E6">
        <w:t xml:space="preserve">Graph 3.1 Licences current as at 30 June </w:t>
      </w:r>
    </w:p>
    <w:p w:rsidR="005955E6" w:rsidRPr="005955E6" w:rsidRDefault="005955E6" w:rsidP="005955E6">
      <w:pPr>
        <w:jc w:val="both"/>
        <w:rPr>
          <w:rFonts w:ascii="Calibri" w:hAnsi="Calibri"/>
          <w:b/>
          <w:sz w:val="20"/>
        </w:rPr>
      </w:pPr>
    </w:p>
    <w:p w:rsidR="005955E6" w:rsidRPr="005955E6" w:rsidRDefault="0016613F" w:rsidP="005955E6">
      <w:pPr>
        <w:jc w:val="both"/>
        <w:rPr>
          <w:rFonts w:ascii="Calibri" w:hAnsi="Calibri"/>
          <w:b/>
          <w:sz w:val="20"/>
        </w:rPr>
      </w:pPr>
      <w:r>
        <w:rPr>
          <w:noProof/>
        </w:rPr>
        <w:drawing>
          <wp:inline distT="0" distB="0" distL="0" distR="0" wp14:anchorId="7DC68B3A" wp14:editId="44D82FAC">
            <wp:extent cx="6445250" cy="3065145"/>
            <wp:effectExtent l="0" t="0" r="12700" b="20955"/>
            <wp:docPr id="2" name="Chart 8" descr="This graph displays how many mineral tenements were active between the 2006/2007 financial year and the 2013/2014 financial year. The graph also shows how many licences of each type were active through each financial year.&#10;&#10;In the 2006/2007 financial year, 280 exploration licences and 240 mining licences were active.&#10;&#10;In the 2007/2008 financial year, 326 exploration licences and 236 mining licences were active.&#10;&#10;In the 2008/2009 financial year, 298 exploration licences and 211 mining licences were active. &#10;&#10;In the 2009/2010 financial year 285 exploration licences and 2016 mining licences were active.&#10;&#10;In the 2010/2011 financial year 302 exploration licences and 218 mining licences were active.&#10;&#10;In the 2011/2012 financial year 326 exploration licences, 208 mining licences and 1 prospecting licence were active.&#10;&#10;In the 2012/2013 financial year 311 exploration licences, 212 mining licences, 13 prospecting licences and 1 retention licence were active.&#10;&#10;In the 2013/2014 financial year, 270 exploration licences, 191 mining licences, 31 prospecting licences and 1 retention licence were active.&#10;" title="Graph 3.1 - Mineral tenements - Current licences as at 30 June 20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955E6" w:rsidRPr="005955E6" w:rsidRDefault="005955E6" w:rsidP="005955E6">
      <w:pPr>
        <w:jc w:val="both"/>
        <w:rPr>
          <w:rFonts w:ascii="Calibri" w:hAnsi="Calibri"/>
          <w:sz w:val="20"/>
        </w:rPr>
      </w:pPr>
      <w:r w:rsidRPr="005955E6">
        <w:rPr>
          <w:rFonts w:ascii="Calibri" w:hAnsi="Calibri"/>
          <w:sz w:val="20"/>
        </w:rPr>
        <w:t>Source: DEDJTR</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r w:rsidRPr="005955E6">
        <w:rPr>
          <w:rFonts w:ascii="Calibri" w:hAnsi="Calibri"/>
          <w:sz w:val="20"/>
        </w:rPr>
        <w:t xml:space="preserve">The number of exploration, mining, prospecting and retention licences fell in relation to the previous year due to licence expirations and surrenders, and a reduction in the overall number of applications received for new licences. </w:t>
      </w:r>
    </w:p>
    <w:p w:rsidR="005955E6" w:rsidRPr="005955E6" w:rsidRDefault="005955E6" w:rsidP="005955E6">
      <w:pPr>
        <w:jc w:val="both"/>
        <w:rPr>
          <w:rFonts w:ascii="Calibri" w:hAnsi="Calibri"/>
          <w:sz w:val="20"/>
        </w:rPr>
      </w:pPr>
    </w:p>
    <w:p w:rsidR="008C22ED" w:rsidRDefault="005955E6" w:rsidP="005955E6">
      <w:pPr>
        <w:jc w:val="both"/>
        <w:rPr>
          <w:rFonts w:ascii="Calibri" w:hAnsi="Calibri"/>
          <w:sz w:val="20"/>
        </w:rPr>
      </w:pPr>
      <w:r w:rsidRPr="005955E6">
        <w:rPr>
          <w:rFonts w:ascii="Calibri" w:hAnsi="Calibri"/>
          <w:sz w:val="20"/>
        </w:rPr>
        <w:t xml:space="preserve">As in the previous year, the majority of the applications for new licences under the MRSDA were made for exploration licences, although there was also a slight increase in the number of applications for prospecting (up from 13 to 17) and retention (up from 10 to 11) licences. </w:t>
      </w:r>
    </w:p>
    <w:p w:rsidR="008C22ED" w:rsidRDefault="008C22ED">
      <w:pPr>
        <w:rPr>
          <w:rFonts w:ascii="Calibri" w:hAnsi="Calibri"/>
          <w:sz w:val="20"/>
        </w:rPr>
      </w:pPr>
      <w:r>
        <w:rPr>
          <w:rFonts w:ascii="Calibri" w:hAnsi="Calibri"/>
          <w:sz w:val="20"/>
        </w:rPr>
        <w:br w:type="page"/>
      </w:r>
    </w:p>
    <w:p w:rsidR="005955E6" w:rsidRPr="005955E6" w:rsidRDefault="005955E6" w:rsidP="00DA5950">
      <w:pPr>
        <w:pStyle w:val="Heading3"/>
      </w:pPr>
      <w:r w:rsidRPr="005955E6">
        <w:lastRenderedPageBreak/>
        <w:t>Table 3.2 New licence applications and licence renewals 2013/14</w:t>
      </w:r>
    </w:p>
    <w:p w:rsidR="005955E6" w:rsidRPr="005955E6" w:rsidRDefault="005955E6" w:rsidP="005955E6">
      <w:pPr>
        <w:jc w:val="both"/>
        <w:rPr>
          <w:rFonts w:ascii="Calibri" w:hAnsi="Calibri"/>
          <w:b/>
          <w:sz w:val="20"/>
        </w:rPr>
      </w:pPr>
    </w:p>
    <w:tbl>
      <w:tblPr>
        <w:tblW w:w="5000" w:type="pct"/>
        <w:shd w:val="clear" w:color="auto" w:fill="FFFFFF" w:themeFill="background1"/>
        <w:tblLayout w:type="fixed"/>
        <w:tblLook w:val="04A0" w:firstRow="1" w:lastRow="0" w:firstColumn="1" w:lastColumn="0" w:noHBand="0" w:noVBand="1"/>
      </w:tblPr>
      <w:tblGrid>
        <w:gridCol w:w="3759"/>
        <w:gridCol w:w="1638"/>
        <w:gridCol w:w="1637"/>
        <w:gridCol w:w="1637"/>
        <w:gridCol w:w="1637"/>
      </w:tblGrid>
      <w:tr w:rsidR="005955E6" w:rsidRPr="008F5AFD" w:rsidTr="00DA5950">
        <w:trPr>
          <w:trHeight w:val="454"/>
          <w:tblHeader/>
        </w:trPr>
        <w:tc>
          <w:tcPr>
            <w:tcW w:w="1823" w:type="pct"/>
            <w:tcBorders>
              <w:top w:val="single" w:sz="8" w:space="0" w:color="auto"/>
              <w:left w:val="single" w:sz="8" w:space="0" w:color="auto"/>
              <w:bottom w:val="nil"/>
              <w:right w:val="single" w:sz="8" w:space="0" w:color="auto"/>
            </w:tcBorders>
            <w:shd w:val="clear" w:color="auto" w:fill="FFFFFF" w:themeFill="background1"/>
            <w:noWrap/>
            <w:vAlign w:val="center"/>
            <w:hideMark/>
          </w:tcPr>
          <w:p w:rsidR="005955E6" w:rsidRPr="005955E6" w:rsidRDefault="005955E6" w:rsidP="00615AA5">
            <w:pPr>
              <w:rPr>
                <w:rFonts w:ascii="Calibri" w:hAnsi="Calibri" w:cs="Arial"/>
                <w:b/>
                <w:color w:val="000000"/>
                <w:sz w:val="20"/>
              </w:rPr>
            </w:pPr>
            <w:bookmarkStart w:id="37" w:name="ColumnTitle_3_2"/>
            <w:r w:rsidRPr="005955E6">
              <w:rPr>
                <w:rFonts w:ascii="Calibri" w:hAnsi="Calibri" w:cs="Arial"/>
                <w:b/>
                <w:color w:val="000000"/>
                <w:sz w:val="20"/>
              </w:rPr>
              <w:t> </w:t>
            </w:r>
          </w:p>
        </w:tc>
        <w:tc>
          <w:tcPr>
            <w:tcW w:w="794" w:type="pct"/>
            <w:tcBorders>
              <w:top w:val="single" w:sz="8" w:space="0" w:color="auto"/>
              <w:left w:val="nil"/>
              <w:bottom w:val="nil"/>
              <w:right w:val="single" w:sz="8" w:space="0" w:color="auto"/>
            </w:tcBorders>
            <w:shd w:val="clear" w:color="auto" w:fill="FFFFFF" w:themeFill="background1"/>
            <w:noWrap/>
            <w:vAlign w:val="center"/>
            <w:hideMark/>
          </w:tcPr>
          <w:p w:rsidR="005955E6" w:rsidRPr="005955E6" w:rsidRDefault="005955E6" w:rsidP="00615AA5">
            <w:pPr>
              <w:jc w:val="center"/>
              <w:rPr>
                <w:rFonts w:ascii="Calibri" w:hAnsi="Calibri" w:cs="Arial"/>
                <w:b/>
                <w:color w:val="000000"/>
                <w:sz w:val="20"/>
              </w:rPr>
            </w:pPr>
            <w:r w:rsidRPr="005955E6">
              <w:rPr>
                <w:rFonts w:ascii="Calibri" w:hAnsi="Calibri" w:cs="Arial"/>
                <w:b/>
                <w:color w:val="000000"/>
                <w:sz w:val="20"/>
              </w:rPr>
              <w:t>Received</w:t>
            </w:r>
          </w:p>
        </w:tc>
        <w:tc>
          <w:tcPr>
            <w:tcW w:w="794" w:type="pct"/>
            <w:tcBorders>
              <w:top w:val="single" w:sz="8" w:space="0" w:color="auto"/>
              <w:left w:val="nil"/>
              <w:bottom w:val="nil"/>
              <w:right w:val="single" w:sz="8" w:space="0" w:color="auto"/>
            </w:tcBorders>
            <w:shd w:val="clear" w:color="auto" w:fill="FFFFFF" w:themeFill="background1"/>
            <w:vAlign w:val="center"/>
            <w:hideMark/>
          </w:tcPr>
          <w:p w:rsidR="005955E6" w:rsidRPr="005955E6" w:rsidRDefault="005955E6" w:rsidP="00615AA5">
            <w:pPr>
              <w:jc w:val="center"/>
              <w:rPr>
                <w:rFonts w:ascii="Calibri" w:hAnsi="Calibri" w:cs="Arial"/>
                <w:b/>
                <w:color w:val="000000"/>
                <w:sz w:val="20"/>
              </w:rPr>
            </w:pPr>
            <w:r w:rsidRPr="005955E6">
              <w:rPr>
                <w:rFonts w:ascii="Calibri" w:hAnsi="Calibri" w:cs="Arial"/>
                <w:b/>
                <w:color w:val="000000"/>
                <w:sz w:val="20"/>
              </w:rPr>
              <w:t>Granted / Renewed</w:t>
            </w:r>
          </w:p>
        </w:tc>
        <w:tc>
          <w:tcPr>
            <w:tcW w:w="794" w:type="pct"/>
            <w:tcBorders>
              <w:top w:val="single" w:sz="8" w:space="0" w:color="auto"/>
              <w:left w:val="nil"/>
              <w:bottom w:val="nil"/>
              <w:right w:val="nil"/>
            </w:tcBorders>
            <w:shd w:val="clear" w:color="auto" w:fill="FFFFFF" w:themeFill="background1"/>
            <w:noWrap/>
            <w:vAlign w:val="center"/>
            <w:hideMark/>
          </w:tcPr>
          <w:p w:rsidR="005955E6" w:rsidRPr="005955E6" w:rsidRDefault="005955E6" w:rsidP="00615AA5">
            <w:pPr>
              <w:jc w:val="center"/>
              <w:rPr>
                <w:rFonts w:ascii="Calibri" w:hAnsi="Calibri" w:cs="Arial"/>
                <w:b/>
                <w:color w:val="000000"/>
                <w:sz w:val="20"/>
              </w:rPr>
            </w:pPr>
            <w:r w:rsidRPr="005955E6">
              <w:rPr>
                <w:rFonts w:ascii="Calibri" w:hAnsi="Calibri" w:cs="Arial"/>
                <w:b/>
                <w:color w:val="000000"/>
                <w:sz w:val="20"/>
              </w:rPr>
              <w:t>Withdrawn</w:t>
            </w:r>
          </w:p>
        </w:tc>
        <w:tc>
          <w:tcPr>
            <w:tcW w:w="794" w:type="pct"/>
            <w:tcBorders>
              <w:top w:val="single" w:sz="8" w:space="0" w:color="auto"/>
              <w:left w:val="single" w:sz="8" w:space="0" w:color="auto"/>
              <w:bottom w:val="nil"/>
              <w:right w:val="single" w:sz="8" w:space="0" w:color="auto"/>
            </w:tcBorders>
            <w:shd w:val="clear" w:color="auto" w:fill="FFFFFF" w:themeFill="background1"/>
            <w:noWrap/>
            <w:vAlign w:val="center"/>
            <w:hideMark/>
          </w:tcPr>
          <w:p w:rsidR="005955E6" w:rsidRPr="005955E6" w:rsidRDefault="005955E6" w:rsidP="00615AA5">
            <w:pPr>
              <w:jc w:val="center"/>
              <w:rPr>
                <w:rFonts w:ascii="Calibri" w:hAnsi="Calibri" w:cs="Arial"/>
                <w:b/>
                <w:color w:val="000000"/>
                <w:sz w:val="20"/>
              </w:rPr>
            </w:pPr>
            <w:r w:rsidRPr="005955E6">
              <w:rPr>
                <w:rFonts w:ascii="Calibri" w:hAnsi="Calibri" w:cs="Arial"/>
                <w:b/>
                <w:color w:val="000000"/>
                <w:sz w:val="20"/>
              </w:rPr>
              <w:t>Refused</w:t>
            </w:r>
          </w:p>
        </w:tc>
      </w:tr>
      <w:bookmarkEnd w:id="37"/>
      <w:tr w:rsidR="005955E6" w:rsidRPr="008F5AFD" w:rsidTr="00DA5950">
        <w:trPr>
          <w:trHeight w:val="454"/>
        </w:trPr>
        <w:tc>
          <w:tcPr>
            <w:tcW w:w="18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New Exploration Licence Applications</w:t>
            </w:r>
          </w:p>
        </w:tc>
        <w:tc>
          <w:tcPr>
            <w:tcW w:w="79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color w:val="000000"/>
                <w:sz w:val="20"/>
              </w:rPr>
            </w:pPr>
            <w:r w:rsidRPr="005955E6">
              <w:rPr>
                <w:rFonts w:ascii="Calibri" w:hAnsi="Calibri" w:cs="Arial"/>
                <w:color w:val="000000"/>
                <w:sz w:val="20"/>
              </w:rPr>
              <w:t>28</w:t>
            </w:r>
          </w:p>
        </w:tc>
        <w:tc>
          <w:tcPr>
            <w:tcW w:w="79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color w:val="000000"/>
                <w:sz w:val="20"/>
              </w:rPr>
            </w:pPr>
            <w:r w:rsidRPr="005955E6">
              <w:rPr>
                <w:rFonts w:ascii="Calibri" w:hAnsi="Calibri" w:cs="Arial"/>
                <w:color w:val="000000"/>
                <w:sz w:val="20"/>
              </w:rPr>
              <w:t>37</w:t>
            </w:r>
          </w:p>
        </w:tc>
        <w:tc>
          <w:tcPr>
            <w:tcW w:w="79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color w:val="000000"/>
                <w:sz w:val="20"/>
              </w:rPr>
            </w:pPr>
            <w:r w:rsidRPr="005955E6">
              <w:rPr>
                <w:rFonts w:ascii="Calibri" w:hAnsi="Calibri" w:cs="Arial"/>
                <w:color w:val="000000"/>
                <w:sz w:val="20"/>
              </w:rPr>
              <w:t>0</w:t>
            </w:r>
          </w:p>
        </w:tc>
        <w:tc>
          <w:tcPr>
            <w:tcW w:w="79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color w:val="000000"/>
                <w:sz w:val="20"/>
              </w:rPr>
            </w:pPr>
            <w:r w:rsidRPr="005955E6">
              <w:rPr>
                <w:rFonts w:ascii="Calibri" w:hAnsi="Calibri" w:cs="Arial"/>
                <w:color w:val="000000"/>
                <w:sz w:val="20"/>
              </w:rPr>
              <w:t>0</w:t>
            </w:r>
          </w:p>
        </w:tc>
      </w:tr>
      <w:tr w:rsidR="005955E6" w:rsidRPr="008F5AFD" w:rsidTr="00DA5950">
        <w:trPr>
          <w:trHeight w:val="454"/>
        </w:trPr>
        <w:tc>
          <w:tcPr>
            <w:tcW w:w="1823" w:type="pct"/>
            <w:tcBorders>
              <w:top w:val="nil"/>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Renewal Exploration Licence Applications</w:t>
            </w:r>
          </w:p>
        </w:tc>
        <w:tc>
          <w:tcPr>
            <w:tcW w:w="794" w:type="pct"/>
            <w:tcBorders>
              <w:top w:val="nil"/>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color w:val="000000"/>
                <w:sz w:val="20"/>
              </w:rPr>
            </w:pPr>
            <w:r w:rsidRPr="005955E6">
              <w:rPr>
                <w:rFonts w:ascii="Calibri" w:hAnsi="Calibri" w:cs="Arial"/>
                <w:color w:val="000000"/>
                <w:sz w:val="20"/>
              </w:rPr>
              <w:t>59</w:t>
            </w:r>
          </w:p>
        </w:tc>
        <w:tc>
          <w:tcPr>
            <w:tcW w:w="794" w:type="pct"/>
            <w:tcBorders>
              <w:top w:val="nil"/>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color w:val="000000"/>
                <w:sz w:val="20"/>
              </w:rPr>
            </w:pPr>
            <w:r w:rsidRPr="005955E6">
              <w:rPr>
                <w:rFonts w:ascii="Calibri" w:hAnsi="Calibri" w:cs="Arial"/>
                <w:color w:val="000000"/>
                <w:sz w:val="20"/>
              </w:rPr>
              <w:t>57</w:t>
            </w:r>
          </w:p>
        </w:tc>
        <w:tc>
          <w:tcPr>
            <w:tcW w:w="794" w:type="pct"/>
            <w:tcBorders>
              <w:top w:val="nil"/>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color w:val="000000"/>
                <w:sz w:val="20"/>
              </w:rPr>
            </w:pPr>
            <w:r w:rsidRPr="005955E6">
              <w:rPr>
                <w:rFonts w:ascii="Calibri" w:hAnsi="Calibri" w:cs="Arial"/>
                <w:color w:val="000000"/>
                <w:sz w:val="20"/>
              </w:rPr>
              <w:t>0</w:t>
            </w:r>
          </w:p>
        </w:tc>
        <w:tc>
          <w:tcPr>
            <w:tcW w:w="794" w:type="pct"/>
            <w:tcBorders>
              <w:top w:val="nil"/>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color w:val="000000"/>
                <w:sz w:val="20"/>
              </w:rPr>
            </w:pPr>
            <w:r w:rsidRPr="005955E6">
              <w:rPr>
                <w:rFonts w:ascii="Calibri" w:hAnsi="Calibri" w:cs="Arial"/>
                <w:color w:val="000000"/>
                <w:sz w:val="20"/>
              </w:rPr>
              <w:t>0</w:t>
            </w:r>
          </w:p>
        </w:tc>
      </w:tr>
      <w:tr w:rsidR="005955E6" w:rsidRPr="008F5AFD" w:rsidTr="00DA5950">
        <w:trPr>
          <w:trHeight w:val="454"/>
        </w:trPr>
        <w:tc>
          <w:tcPr>
            <w:tcW w:w="1823" w:type="pct"/>
            <w:tcBorders>
              <w:top w:val="nil"/>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rPr>
                <w:rFonts w:ascii="Calibri" w:hAnsi="Calibri" w:cs="Arial"/>
                <w:b/>
                <w:bCs/>
                <w:color w:val="000000"/>
                <w:sz w:val="20"/>
              </w:rPr>
            </w:pPr>
            <w:r w:rsidRPr="005955E6">
              <w:rPr>
                <w:rFonts w:ascii="Calibri" w:hAnsi="Calibri" w:cs="Arial"/>
                <w:b/>
                <w:bCs/>
                <w:color w:val="000000"/>
                <w:sz w:val="20"/>
              </w:rPr>
              <w:t>Sub Total Exploration Licence Applications</w:t>
            </w:r>
          </w:p>
        </w:tc>
        <w:tc>
          <w:tcPr>
            <w:tcW w:w="794" w:type="pct"/>
            <w:tcBorders>
              <w:top w:val="nil"/>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b/>
                <w:bCs/>
                <w:color w:val="000000"/>
                <w:sz w:val="20"/>
              </w:rPr>
            </w:pPr>
            <w:r w:rsidRPr="005955E6">
              <w:rPr>
                <w:rFonts w:ascii="Calibri" w:hAnsi="Calibri" w:cs="Arial"/>
                <w:b/>
                <w:bCs/>
                <w:color w:val="000000"/>
                <w:sz w:val="20"/>
              </w:rPr>
              <w:t>87</w:t>
            </w:r>
          </w:p>
        </w:tc>
        <w:tc>
          <w:tcPr>
            <w:tcW w:w="794" w:type="pct"/>
            <w:tcBorders>
              <w:top w:val="nil"/>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b/>
                <w:bCs/>
                <w:color w:val="000000"/>
                <w:sz w:val="20"/>
              </w:rPr>
            </w:pPr>
            <w:r w:rsidRPr="005955E6">
              <w:rPr>
                <w:rFonts w:ascii="Calibri" w:hAnsi="Calibri" w:cs="Arial"/>
                <w:b/>
                <w:bCs/>
                <w:color w:val="000000"/>
                <w:sz w:val="20"/>
              </w:rPr>
              <w:t>94</w:t>
            </w:r>
          </w:p>
        </w:tc>
        <w:tc>
          <w:tcPr>
            <w:tcW w:w="794" w:type="pct"/>
            <w:tcBorders>
              <w:top w:val="nil"/>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b/>
                <w:bCs/>
                <w:color w:val="000000"/>
                <w:sz w:val="20"/>
              </w:rPr>
            </w:pPr>
            <w:r w:rsidRPr="005955E6">
              <w:rPr>
                <w:rFonts w:ascii="Calibri" w:hAnsi="Calibri" w:cs="Arial"/>
                <w:b/>
                <w:bCs/>
                <w:color w:val="000000"/>
                <w:sz w:val="20"/>
              </w:rPr>
              <w:t>0</w:t>
            </w:r>
          </w:p>
        </w:tc>
        <w:tc>
          <w:tcPr>
            <w:tcW w:w="794" w:type="pct"/>
            <w:tcBorders>
              <w:top w:val="nil"/>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b/>
                <w:bCs/>
                <w:color w:val="000000"/>
                <w:sz w:val="20"/>
              </w:rPr>
            </w:pPr>
            <w:r w:rsidRPr="005955E6">
              <w:rPr>
                <w:rFonts w:ascii="Calibri" w:hAnsi="Calibri" w:cs="Arial"/>
                <w:b/>
                <w:bCs/>
                <w:color w:val="000000"/>
                <w:sz w:val="20"/>
              </w:rPr>
              <w:t>0</w:t>
            </w:r>
          </w:p>
        </w:tc>
      </w:tr>
      <w:tr w:rsidR="005955E6" w:rsidRPr="008F5AFD" w:rsidTr="00DA5950">
        <w:trPr>
          <w:trHeight w:val="454"/>
        </w:trPr>
        <w:tc>
          <w:tcPr>
            <w:tcW w:w="1823" w:type="pct"/>
            <w:tcBorders>
              <w:top w:val="nil"/>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New Mining Licence Applications</w:t>
            </w:r>
          </w:p>
        </w:tc>
        <w:tc>
          <w:tcPr>
            <w:tcW w:w="794" w:type="pct"/>
            <w:tcBorders>
              <w:top w:val="nil"/>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color w:val="000000"/>
                <w:sz w:val="20"/>
              </w:rPr>
            </w:pPr>
            <w:r w:rsidRPr="005955E6">
              <w:rPr>
                <w:rFonts w:ascii="Calibri" w:hAnsi="Calibri" w:cs="Arial"/>
                <w:color w:val="000000"/>
                <w:sz w:val="20"/>
              </w:rPr>
              <w:t>4</w:t>
            </w:r>
          </w:p>
        </w:tc>
        <w:tc>
          <w:tcPr>
            <w:tcW w:w="794" w:type="pct"/>
            <w:tcBorders>
              <w:top w:val="nil"/>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color w:val="000000"/>
                <w:sz w:val="20"/>
              </w:rPr>
            </w:pPr>
            <w:r w:rsidRPr="005955E6">
              <w:rPr>
                <w:rFonts w:ascii="Calibri" w:hAnsi="Calibri" w:cs="Arial"/>
                <w:color w:val="000000"/>
                <w:sz w:val="20"/>
              </w:rPr>
              <w:t>9</w:t>
            </w:r>
          </w:p>
        </w:tc>
        <w:tc>
          <w:tcPr>
            <w:tcW w:w="794" w:type="pct"/>
            <w:tcBorders>
              <w:top w:val="nil"/>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color w:val="000000"/>
                <w:sz w:val="20"/>
              </w:rPr>
            </w:pPr>
            <w:r w:rsidRPr="005955E6">
              <w:rPr>
                <w:rFonts w:ascii="Calibri" w:hAnsi="Calibri" w:cs="Arial"/>
                <w:color w:val="000000"/>
                <w:sz w:val="20"/>
              </w:rPr>
              <w:t>0</w:t>
            </w:r>
          </w:p>
        </w:tc>
        <w:tc>
          <w:tcPr>
            <w:tcW w:w="794" w:type="pct"/>
            <w:tcBorders>
              <w:top w:val="nil"/>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color w:val="000000"/>
                <w:sz w:val="20"/>
              </w:rPr>
            </w:pPr>
            <w:r w:rsidRPr="005955E6">
              <w:rPr>
                <w:rFonts w:ascii="Calibri" w:hAnsi="Calibri" w:cs="Arial"/>
                <w:color w:val="000000"/>
                <w:sz w:val="20"/>
              </w:rPr>
              <w:t>0</w:t>
            </w:r>
          </w:p>
        </w:tc>
      </w:tr>
      <w:tr w:rsidR="005955E6" w:rsidRPr="008F5AFD" w:rsidTr="00DA5950">
        <w:trPr>
          <w:trHeight w:val="454"/>
        </w:trPr>
        <w:tc>
          <w:tcPr>
            <w:tcW w:w="1823" w:type="pct"/>
            <w:tcBorders>
              <w:top w:val="nil"/>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Renewal Mining Licence Applications</w:t>
            </w:r>
          </w:p>
        </w:tc>
        <w:tc>
          <w:tcPr>
            <w:tcW w:w="794" w:type="pct"/>
            <w:tcBorders>
              <w:top w:val="nil"/>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color w:val="000000"/>
                <w:sz w:val="20"/>
              </w:rPr>
            </w:pPr>
            <w:r w:rsidRPr="005955E6">
              <w:rPr>
                <w:rFonts w:ascii="Calibri" w:hAnsi="Calibri" w:cs="Arial"/>
                <w:color w:val="000000"/>
                <w:sz w:val="20"/>
              </w:rPr>
              <w:t>32</w:t>
            </w:r>
          </w:p>
        </w:tc>
        <w:tc>
          <w:tcPr>
            <w:tcW w:w="794" w:type="pct"/>
            <w:tcBorders>
              <w:top w:val="nil"/>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color w:val="000000"/>
                <w:sz w:val="20"/>
              </w:rPr>
            </w:pPr>
            <w:r w:rsidRPr="005955E6">
              <w:rPr>
                <w:rFonts w:ascii="Calibri" w:hAnsi="Calibri" w:cs="Arial"/>
                <w:color w:val="000000"/>
                <w:sz w:val="20"/>
              </w:rPr>
              <w:t>28</w:t>
            </w:r>
          </w:p>
        </w:tc>
        <w:tc>
          <w:tcPr>
            <w:tcW w:w="794" w:type="pct"/>
            <w:tcBorders>
              <w:top w:val="nil"/>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color w:val="000000"/>
                <w:sz w:val="20"/>
              </w:rPr>
            </w:pPr>
            <w:r w:rsidRPr="005955E6">
              <w:rPr>
                <w:rFonts w:ascii="Calibri" w:hAnsi="Calibri" w:cs="Arial"/>
                <w:color w:val="000000"/>
                <w:sz w:val="20"/>
              </w:rPr>
              <w:t>0</w:t>
            </w:r>
          </w:p>
        </w:tc>
        <w:tc>
          <w:tcPr>
            <w:tcW w:w="794" w:type="pct"/>
            <w:tcBorders>
              <w:top w:val="nil"/>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color w:val="000000"/>
                <w:sz w:val="20"/>
              </w:rPr>
            </w:pPr>
            <w:r w:rsidRPr="005955E6">
              <w:rPr>
                <w:rFonts w:ascii="Calibri" w:hAnsi="Calibri" w:cs="Arial"/>
                <w:color w:val="000000"/>
                <w:sz w:val="20"/>
              </w:rPr>
              <w:t>2</w:t>
            </w:r>
          </w:p>
        </w:tc>
      </w:tr>
      <w:tr w:rsidR="005955E6" w:rsidRPr="008F5AFD" w:rsidTr="00DA5950">
        <w:trPr>
          <w:trHeight w:val="454"/>
        </w:trPr>
        <w:tc>
          <w:tcPr>
            <w:tcW w:w="1823" w:type="pct"/>
            <w:tcBorders>
              <w:top w:val="nil"/>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rPr>
                <w:rFonts w:ascii="Calibri" w:hAnsi="Calibri" w:cs="Arial"/>
                <w:b/>
                <w:bCs/>
                <w:color w:val="000000"/>
                <w:sz w:val="20"/>
              </w:rPr>
            </w:pPr>
            <w:r w:rsidRPr="005955E6">
              <w:rPr>
                <w:rFonts w:ascii="Calibri" w:hAnsi="Calibri" w:cs="Arial"/>
                <w:b/>
                <w:bCs/>
                <w:color w:val="000000"/>
                <w:sz w:val="20"/>
              </w:rPr>
              <w:t>Sub Total Mining Licence Applications</w:t>
            </w:r>
          </w:p>
        </w:tc>
        <w:tc>
          <w:tcPr>
            <w:tcW w:w="794" w:type="pct"/>
            <w:tcBorders>
              <w:top w:val="nil"/>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b/>
                <w:bCs/>
                <w:color w:val="000000"/>
                <w:sz w:val="20"/>
              </w:rPr>
            </w:pPr>
            <w:r w:rsidRPr="005955E6">
              <w:rPr>
                <w:rFonts w:ascii="Calibri" w:hAnsi="Calibri" w:cs="Arial"/>
                <w:b/>
                <w:bCs/>
                <w:color w:val="000000"/>
                <w:sz w:val="20"/>
              </w:rPr>
              <w:t>36</w:t>
            </w:r>
          </w:p>
        </w:tc>
        <w:tc>
          <w:tcPr>
            <w:tcW w:w="794" w:type="pct"/>
            <w:tcBorders>
              <w:top w:val="nil"/>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b/>
                <w:bCs/>
                <w:color w:val="000000"/>
                <w:sz w:val="20"/>
              </w:rPr>
            </w:pPr>
            <w:r w:rsidRPr="005955E6">
              <w:rPr>
                <w:rFonts w:ascii="Calibri" w:hAnsi="Calibri" w:cs="Arial"/>
                <w:b/>
                <w:bCs/>
                <w:color w:val="000000"/>
                <w:sz w:val="20"/>
              </w:rPr>
              <w:t>37</w:t>
            </w:r>
          </w:p>
        </w:tc>
        <w:tc>
          <w:tcPr>
            <w:tcW w:w="794" w:type="pct"/>
            <w:tcBorders>
              <w:top w:val="nil"/>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b/>
                <w:bCs/>
                <w:color w:val="000000"/>
                <w:sz w:val="20"/>
              </w:rPr>
            </w:pPr>
            <w:r w:rsidRPr="005955E6">
              <w:rPr>
                <w:rFonts w:ascii="Calibri" w:hAnsi="Calibri" w:cs="Arial"/>
                <w:b/>
                <w:bCs/>
                <w:color w:val="000000"/>
                <w:sz w:val="20"/>
              </w:rPr>
              <w:t>0</w:t>
            </w:r>
          </w:p>
        </w:tc>
        <w:tc>
          <w:tcPr>
            <w:tcW w:w="794" w:type="pct"/>
            <w:tcBorders>
              <w:top w:val="nil"/>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b/>
                <w:bCs/>
                <w:color w:val="000000"/>
                <w:sz w:val="20"/>
              </w:rPr>
            </w:pPr>
            <w:r w:rsidRPr="005955E6">
              <w:rPr>
                <w:rFonts w:ascii="Calibri" w:hAnsi="Calibri" w:cs="Arial"/>
                <w:b/>
                <w:bCs/>
                <w:color w:val="000000"/>
                <w:sz w:val="20"/>
              </w:rPr>
              <w:t>2</w:t>
            </w:r>
          </w:p>
        </w:tc>
      </w:tr>
      <w:tr w:rsidR="005955E6" w:rsidRPr="008F5AFD" w:rsidTr="00DA5950">
        <w:trPr>
          <w:trHeight w:val="454"/>
        </w:trPr>
        <w:tc>
          <w:tcPr>
            <w:tcW w:w="1823" w:type="pct"/>
            <w:tcBorders>
              <w:top w:val="nil"/>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New Prospecting Licence Applications</w:t>
            </w:r>
          </w:p>
        </w:tc>
        <w:tc>
          <w:tcPr>
            <w:tcW w:w="794" w:type="pct"/>
            <w:tcBorders>
              <w:top w:val="nil"/>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color w:val="000000"/>
                <w:sz w:val="20"/>
              </w:rPr>
            </w:pPr>
            <w:r w:rsidRPr="005955E6">
              <w:rPr>
                <w:rFonts w:ascii="Calibri" w:hAnsi="Calibri" w:cs="Arial"/>
                <w:color w:val="000000"/>
                <w:sz w:val="20"/>
              </w:rPr>
              <w:t>17</w:t>
            </w:r>
          </w:p>
        </w:tc>
        <w:tc>
          <w:tcPr>
            <w:tcW w:w="794" w:type="pct"/>
            <w:tcBorders>
              <w:top w:val="nil"/>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color w:val="000000"/>
                <w:sz w:val="20"/>
              </w:rPr>
            </w:pPr>
            <w:r w:rsidRPr="005955E6">
              <w:rPr>
                <w:rFonts w:ascii="Calibri" w:hAnsi="Calibri" w:cs="Arial"/>
                <w:color w:val="000000"/>
                <w:sz w:val="20"/>
              </w:rPr>
              <w:t>18</w:t>
            </w:r>
          </w:p>
        </w:tc>
        <w:tc>
          <w:tcPr>
            <w:tcW w:w="794" w:type="pct"/>
            <w:tcBorders>
              <w:top w:val="nil"/>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color w:val="000000"/>
                <w:sz w:val="20"/>
              </w:rPr>
            </w:pPr>
            <w:r w:rsidRPr="005955E6">
              <w:rPr>
                <w:rFonts w:ascii="Calibri" w:hAnsi="Calibri" w:cs="Arial"/>
                <w:color w:val="000000"/>
                <w:sz w:val="20"/>
              </w:rPr>
              <w:t>0</w:t>
            </w:r>
          </w:p>
        </w:tc>
        <w:tc>
          <w:tcPr>
            <w:tcW w:w="794" w:type="pct"/>
            <w:tcBorders>
              <w:top w:val="nil"/>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color w:val="000000"/>
                <w:sz w:val="20"/>
              </w:rPr>
            </w:pPr>
            <w:r w:rsidRPr="005955E6">
              <w:rPr>
                <w:rFonts w:ascii="Calibri" w:hAnsi="Calibri" w:cs="Arial"/>
                <w:color w:val="000000"/>
                <w:sz w:val="20"/>
              </w:rPr>
              <w:t>0</w:t>
            </w:r>
          </w:p>
        </w:tc>
      </w:tr>
      <w:tr w:rsidR="005955E6" w:rsidRPr="008F5AFD" w:rsidTr="00DA5950">
        <w:trPr>
          <w:trHeight w:val="454"/>
        </w:trPr>
        <w:tc>
          <w:tcPr>
            <w:tcW w:w="1823" w:type="pct"/>
            <w:tcBorders>
              <w:top w:val="nil"/>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New Retention Licence Applications</w:t>
            </w:r>
          </w:p>
        </w:tc>
        <w:tc>
          <w:tcPr>
            <w:tcW w:w="794" w:type="pct"/>
            <w:tcBorders>
              <w:top w:val="nil"/>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color w:val="000000"/>
                <w:sz w:val="20"/>
              </w:rPr>
            </w:pPr>
            <w:r w:rsidRPr="005955E6">
              <w:rPr>
                <w:rFonts w:ascii="Calibri" w:hAnsi="Calibri" w:cs="Arial"/>
                <w:color w:val="000000"/>
                <w:sz w:val="20"/>
              </w:rPr>
              <w:t>11</w:t>
            </w:r>
          </w:p>
        </w:tc>
        <w:tc>
          <w:tcPr>
            <w:tcW w:w="794" w:type="pct"/>
            <w:tcBorders>
              <w:top w:val="nil"/>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color w:val="000000"/>
                <w:sz w:val="20"/>
              </w:rPr>
            </w:pPr>
            <w:r w:rsidRPr="005955E6">
              <w:rPr>
                <w:rFonts w:ascii="Calibri" w:hAnsi="Calibri" w:cs="Arial"/>
                <w:color w:val="000000"/>
                <w:sz w:val="20"/>
              </w:rPr>
              <w:t>1</w:t>
            </w:r>
          </w:p>
        </w:tc>
        <w:tc>
          <w:tcPr>
            <w:tcW w:w="794" w:type="pct"/>
            <w:tcBorders>
              <w:top w:val="nil"/>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color w:val="000000"/>
                <w:sz w:val="20"/>
              </w:rPr>
            </w:pPr>
            <w:r w:rsidRPr="005955E6">
              <w:rPr>
                <w:rFonts w:ascii="Calibri" w:hAnsi="Calibri" w:cs="Arial"/>
                <w:color w:val="000000"/>
                <w:sz w:val="20"/>
              </w:rPr>
              <w:t>0</w:t>
            </w:r>
          </w:p>
        </w:tc>
        <w:tc>
          <w:tcPr>
            <w:tcW w:w="794" w:type="pct"/>
            <w:tcBorders>
              <w:top w:val="nil"/>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color w:val="000000"/>
                <w:sz w:val="20"/>
              </w:rPr>
            </w:pPr>
            <w:r w:rsidRPr="005955E6">
              <w:rPr>
                <w:rFonts w:ascii="Calibri" w:hAnsi="Calibri" w:cs="Arial"/>
                <w:color w:val="000000"/>
                <w:sz w:val="20"/>
              </w:rPr>
              <w:t>0</w:t>
            </w:r>
          </w:p>
        </w:tc>
      </w:tr>
      <w:tr w:rsidR="005955E6" w:rsidRPr="008F5AFD" w:rsidTr="00DA5950">
        <w:trPr>
          <w:trHeight w:val="454"/>
        </w:trPr>
        <w:tc>
          <w:tcPr>
            <w:tcW w:w="1823" w:type="pct"/>
            <w:tcBorders>
              <w:top w:val="nil"/>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rPr>
                <w:rFonts w:ascii="Calibri" w:hAnsi="Calibri" w:cs="Arial"/>
                <w:b/>
                <w:bCs/>
                <w:color w:val="000000"/>
                <w:sz w:val="20"/>
              </w:rPr>
            </w:pPr>
            <w:r w:rsidRPr="005955E6">
              <w:rPr>
                <w:rFonts w:ascii="Calibri" w:hAnsi="Calibri" w:cs="Arial"/>
                <w:b/>
                <w:bCs/>
                <w:color w:val="000000"/>
                <w:sz w:val="20"/>
              </w:rPr>
              <w:t xml:space="preserve">Total </w:t>
            </w:r>
          </w:p>
        </w:tc>
        <w:tc>
          <w:tcPr>
            <w:tcW w:w="794" w:type="pct"/>
            <w:tcBorders>
              <w:top w:val="nil"/>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b/>
                <w:bCs/>
                <w:color w:val="000000"/>
                <w:sz w:val="20"/>
              </w:rPr>
            </w:pPr>
            <w:r w:rsidRPr="005955E6">
              <w:rPr>
                <w:rFonts w:ascii="Calibri" w:hAnsi="Calibri" w:cs="Arial"/>
                <w:b/>
                <w:bCs/>
                <w:color w:val="000000"/>
                <w:sz w:val="20"/>
              </w:rPr>
              <w:t>151</w:t>
            </w:r>
          </w:p>
        </w:tc>
        <w:tc>
          <w:tcPr>
            <w:tcW w:w="794" w:type="pct"/>
            <w:tcBorders>
              <w:top w:val="nil"/>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b/>
                <w:bCs/>
                <w:color w:val="000000"/>
                <w:sz w:val="20"/>
              </w:rPr>
            </w:pPr>
            <w:r w:rsidRPr="005955E6">
              <w:rPr>
                <w:rFonts w:ascii="Calibri" w:hAnsi="Calibri" w:cs="Arial"/>
                <w:b/>
                <w:bCs/>
                <w:color w:val="000000"/>
                <w:sz w:val="20"/>
              </w:rPr>
              <w:t>150</w:t>
            </w:r>
          </w:p>
        </w:tc>
        <w:tc>
          <w:tcPr>
            <w:tcW w:w="794" w:type="pct"/>
            <w:tcBorders>
              <w:top w:val="nil"/>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b/>
                <w:bCs/>
                <w:color w:val="000000"/>
                <w:sz w:val="20"/>
              </w:rPr>
            </w:pPr>
            <w:r w:rsidRPr="005955E6">
              <w:rPr>
                <w:rFonts w:ascii="Calibri" w:hAnsi="Calibri" w:cs="Arial"/>
                <w:b/>
                <w:bCs/>
                <w:color w:val="000000"/>
                <w:sz w:val="20"/>
              </w:rPr>
              <w:t>0</w:t>
            </w:r>
          </w:p>
        </w:tc>
        <w:tc>
          <w:tcPr>
            <w:tcW w:w="794" w:type="pct"/>
            <w:tcBorders>
              <w:top w:val="nil"/>
              <w:left w:val="nil"/>
              <w:bottom w:val="single" w:sz="4" w:space="0" w:color="auto"/>
              <w:right w:val="single" w:sz="4" w:space="0" w:color="auto"/>
            </w:tcBorders>
            <w:shd w:val="clear" w:color="auto" w:fill="FFFFFF" w:themeFill="background1"/>
            <w:noWrap/>
            <w:vAlign w:val="center"/>
            <w:hideMark/>
          </w:tcPr>
          <w:p w:rsidR="005955E6" w:rsidRPr="005955E6" w:rsidRDefault="005955E6" w:rsidP="00615AA5">
            <w:pPr>
              <w:jc w:val="center"/>
              <w:rPr>
                <w:rFonts w:ascii="Calibri" w:hAnsi="Calibri" w:cs="Arial"/>
                <w:b/>
                <w:bCs/>
                <w:color w:val="000000"/>
                <w:sz w:val="20"/>
              </w:rPr>
            </w:pPr>
            <w:r w:rsidRPr="005955E6">
              <w:rPr>
                <w:rFonts w:ascii="Calibri" w:hAnsi="Calibri" w:cs="Arial"/>
                <w:b/>
                <w:bCs/>
                <w:color w:val="000000"/>
                <w:sz w:val="20"/>
              </w:rPr>
              <w:t>2</w:t>
            </w:r>
          </w:p>
        </w:tc>
      </w:tr>
    </w:tbl>
    <w:p w:rsidR="005955E6" w:rsidRPr="005955E6" w:rsidRDefault="005955E6" w:rsidP="005955E6">
      <w:pPr>
        <w:jc w:val="both"/>
        <w:rPr>
          <w:rFonts w:ascii="Calibri" w:hAnsi="Calibri"/>
          <w:sz w:val="20"/>
        </w:rPr>
      </w:pPr>
      <w:r w:rsidRPr="005955E6">
        <w:rPr>
          <w:rFonts w:ascii="Calibri" w:hAnsi="Calibri"/>
          <w:sz w:val="20"/>
        </w:rPr>
        <w:t>Source: DEDJTR</w:t>
      </w:r>
    </w:p>
    <w:p w:rsidR="005955E6" w:rsidRPr="005955E6" w:rsidRDefault="005955E6" w:rsidP="005955E6">
      <w:pPr>
        <w:jc w:val="both"/>
        <w:rPr>
          <w:rFonts w:ascii="Calibri" w:hAnsi="Calibri"/>
          <w:sz w:val="20"/>
        </w:rPr>
      </w:pPr>
    </w:p>
    <w:p w:rsidR="005955E6" w:rsidRPr="005955E6" w:rsidRDefault="005955E6" w:rsidP="00DA5950">
      <w:pPr>
        <w:pStyle w:val="Heading3"/>
      </w:pPr>
      <w:r w:rsidRPr="005955E6">
        <w:t>Table 3.3 Licences granted and renewed over time</w:t>
      </w:r>
    </w:p>
    <w:p w:rsidR="005955E6" w:rsidRPr="005955E6" w:rsidRDefault="005955E6" w:rsidP="005955E6">
      <w:pPr>
        <w:jc w:val="both"/>
        <w:rPr>
          <w:rFonts w:ascii="Calibri" w:hAnsi="Calibri"/>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38"/>
        <w:gridCol w:w="1109"/>
        <w:gridCol w:w="1109"/>
        <w:gridCol w:w="1109"/>
        <w:gridCol w:w="1109"/>
        <w:gridCol w:w="1109"/>
        <w:gridCol w:w="1109"/>
        <w:gridCol w:w="1109"/>
        <w:gridCol w:w="1107"/>
      </w:tblGrid>
      <w:tr w:rsidR="005955E6" w:rsidRPr="008F5AFD" w:rsidTr="00DA5950">
        <w:trPr>
          <w:trHeight w:val="315"/>
          <w:tblHeader/>
        </w:trPr>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rPr>
                <w:rFonts w:ascii="Calibri" w:hAnsi="Calibri"/>
                <w:b/>
                <w:sz w:val="20"/>
              </w:rPr>
            </w:pPr>
            <w:bookmarkStart w:id="38" w:name="ColumnTitle_3_3"/>
            <w:r w:rsidRPr="005955E6">
              <w:rPr>
                <w:rFonts w:ascii="Calibri" w:hAnsi="Calibri"/>
                <w:b/>
                <w:sz w:val="20"/>
              </w:rPr>
              <w:t> Year</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b/>
                <w:sz w:val="20"/>
              </w:rPr>
            </w:pPr>
            <w:r w:rsidRPr="005955E6">
              <w:rPr>
                <w:rFonts w:ascii="Calibri" w:hAnsi="Calibri"/>
                <w:b/>
                <w:sz w:val="20"/>
              </w:rPr>
              <w:t>2006/07</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b/>
                <w:sz w:val="20"/>
              </w:rPr>
            </w:pPr>
            <w:r w:rsidRPr="005955E6">
              <w:rPr>
                <w:rFonts w:ascii="Calibri" w:hAnsi="Calibri"/>
                <w:b/>
                <w:sz w:val="20"/>
              </w:rPr>
              <w:t>2007/08</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b/>
                <w:sz w:val="20"/>
              </w:rPr>
            </w:pPr>
            <w:r w:rsidRPr="005955E6">
              <w:rPr>
                <w:rFonts w:ascii="Calibri" w:hAnsi="Calibri"/>
                <w:b/>
                <w:sz w:val="20"/>
              </w:rPr>
              <w:t>2008/09</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b/>
                <w:sz w:val="20"/>
              </w:rPr>
            </w:pPr>
            <w:r w:rsidRPr="005955E6">
              <w:rPr>
                <w:rFonts w:ascii="Calibri" w:hAnsi="Calibri"/>
                <w:b/>
                <w:sz w:val="20"/>
              </w:rPr>
              <w:t>2009/10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b/>
                <w:sz w:val="20"/>
              </w:rPr>
            </w:pPr>
            <w:r w:rsidRPr="005955E6">
              <w:rPr>
                <w:rFonts w:ascii="Calibri" w:hAnsi="Calibri"/>
                <w:b/>
                <w:sz w:val="20"/>
              </w:rPr>
              <w:t>2010/11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b/>
                <w:sz w:val="20"/>
              </w:rPr>
            </w:pPr>
            <w:r w:rsidRPr="005955E6">
              <w:rPr>
                <w:rFonts w:ascii="Calibri" w:hAnsi="Calibri"/>
                <w:b/>
                <w:sz w:val="20"/>
              </w:rPr>
              <w:t>2011/12</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b/>
                <w:sz w:val="20"/>
              </w:rPr>
            </w:pPr>
            <w:r w:rsidRPr="005955E6">
              <w:rPr>
                <w:rFonts w:ascii="Calibri" w:hAnsi="Calibri"/>
                <w:b/>
                <w:sz w:val="20"/>
              </w:rPr>
              <w:t>2012/13</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b/>
                <w:sz w:val="20"/>
              </w:rPr>
            </w:pPr>
            <w:r w:rsidRPr="005955E6">
              <w:rPr>
                <w:rFonts w:ascii="Calibri" w:hAnsi="Calibri"/>
                <w:b/>
                <w:sz w:val="20"/>
              </w:rPr>
              <w:t>2013/14</w:t>
            </w:r>
          </w:p>
        </w:tc>
      </w:tr>
      <w:bookmarkEnd w:id="38"/>
      <w:tr w:rsidR="005955E6" w:rsidRPr="008F5AFD" w:rsidTr="00DA5950">
        <w:trPr>
          <w:trHeight w:val="315"/>
        </w:trPr>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rPr>
                <w:rFonts w:ascii="Calibri" w:hAnsi="Calibri"/>
                <w:szCs w:val="18"/>
              </w:rPr>
            </w:pPr>
            <w:r w:rsidRPr="005955E6">
              <w:rPr>
                <w:rFonts w:ascii="Calibri" w:hAnsi="Calibri"/>
                <w:szCs w:val="18"/>
              </w:rPr>
              <w:t>Exploration Licences Granted</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89</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91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57</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61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73</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62</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41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37</w:t>
            </w:r>
          </w:p>
        </w:tc>
      </w:tr>
      <w:tr w:rsidR="005955E6" w:rsidRPr="008F5AFD" w:rsidTr="00DA5950">
        <w:trPr>
          <w:trHeight w:val="315"/>
        </w:trPr>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rPr>
                <w:rFonts w:ascii="Calibri" w:hAnsi="Calibri"/>
                <w:szCs w:val="18"/>
              </w:rPr>
            </w:pPr>
            <w:r w:rsidRPr="005955E6">
              <w:rPr>
                <w:rFonts w:ascii="Calibri" w:hAnsi="Calibri"/>
                <w:szCs w:val="18"/>
              </w:rPr>
              <w:t>Exploration Licences Renewed</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59</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58</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51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55</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60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74</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52</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57</w:t>
            </w:r>
          </w:p>
        </w:tc>
      </w:tr>
      <w:tr w:rsidR="005955E6" w:rsidRPr="008F5AFD" w:rsidTr="00DA5950">
        <w:trPr>
          <w:trHeight w:val="315"/>
        </w:trPr>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rPr>
                <w:rFonts w:ascii="Calibri" w:hAnsi="Calibri"/>
                <w:b/>
                <w:szCs w:val="18"/>
              </w:rPr>
            </w:pPr>
            <w:r w:rsidRPr="005955E6">
              <w:rPr>
                <w:rFonts w:ascii="Calibri" w:hAnsi="Calibri"/>
                <w:b/>
                <w:szCs w:val="18"/>
              </w:rPr>
              <w:t>Subtotal Exploration Licences Granted and Renewed</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b/>
                <w:sz w:val="20"/>
              </w:rPr>
            </w:pPr>
            <w:r w:rsidRPr="005955E6">
              <w:rPr>
                <w:rFonts w:ascii="Calibri" w:hAnsi="Calibri"/>
                <w:b/>
                <w:sz w:val="20"/>
              </w:rPr>
              <w:t>148</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b/>
                <w:sz w:val="20"/>
              </w:rPr>
            </w:pPr>
            <w:r w:rsidRPr="005955E6">
              <w:rPr>
                <w:rFonts w:ascii="Calibri" w:hAnsi="Calibri"/>
                <w:b/>
                <w:sz w:val="20"/>
              </w:rPr>
              <w:t>149</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b/>
                <w:sz w:val="20"/>
              </w:rPr>
            </w:pPr>
            <w:r w:rsidRPr="005955E6">
              <w:rPr>
                <w:rFonts w:ascii="Calibri" w:hAnsi="Calibri"/>
                <w:b/>
                <w:sz w:val="20"/>
              </w:rPr>
              <w:t>108</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b/>
                <w:sz w:val="20"/>
              </w:rPr>
            </w:pPr>
            <w:r w:rsidRPr="005955E6">
              <w:rPr>
                <w:rFonts w:ascii="Calibri" w:hAnsi="Calibri"/>
                <w:b/>
                <w:sz w:val="20"/>
              </w:rPr>
              <w:t>116</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b/>
                <w:sz w:val="20"/>
              </w:rPr>
            </w:pPr>
            <w:r w:rsidRPr="005955E6">
              <w:rPr>
                <w:rFonts w:ascii="Calibri" w:hAnsi="Calibri"/>
                <w:b/>
                <w:sz w:val="20"/>
              </w:rPr>
              <w:t>133</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b/>
                <w:sz w:val="20"/>
              </w:rPr>
            </w:pPr>
            <w:r w:rsidRPr="005955E6">
              <w:rPr>
                <w:rFonts w:ascii="Calibri" w:hAnsi="Calibri"/>
                <w:b/>
                <w:sz w:val="20"/>
              </w:rPr>
              <w:t>136</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b/>
                <w:sz w:val="20"/>
              </w:rPr>
            </w:pPr>
            <w:r w:rsidRPr="005955E6">
              <w:rPr>
                <w:rFonts w:ascii="Calibri" w:hAnsi="Calibri"/>
                <w:b/>
                <w:sz w:val="20"/>
              </w:rPr>
              <w:t>93</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b/>
                <w:sz w:val="20"/>
              </w:rPr>
            </w:pPr>
            <w:r w:rsidRPr="005955E6">
              <w:rPr>
                <w:rFonts w:ascii="Calibri" w:hAnsi="Calibri"/>
                <w:b/>
                <w:sz w:val="20"/>
              </w:rPr>
              <w:t>94</w:t>
            </w:r>
          </w:p>
        </w:tc>
      </w:tr>
      <w:tr w:rsidR="005955E6" w:rsidRPr="008F5AFD" w:rsidTr="00DA5950">
        <w:trPr>
          <w:trHeight w:val="315"/>
        </w:trPr>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rPr>
                <w:rFonts w:ascii="Calibri" w:hAnsi="Calibri"/>
                <w:szCs w:val="18"/>
              </w:rPr>
            </w:pPr>
            <w:r w:rsidRPr="005955E6">
              <w:rPr>
                <w:rFonts w:ascii="Calibri" w:hAnsi="Calibri"/>
                <w:szCs w:val="18"/>
              </w:rPr>
              <w:t>Mining Licences Granted</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19</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11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14</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15</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20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12</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11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9</w:t>
            </w:r>
          </w:p>
        </w:tc>
      </w:tr>
      <w:tr w:rsidR="005955E6" w:rsidRPr="008F5AFD" w:rsidTr="00DA5950">
        <w:trPr>
          <w:trHeight w:val="315"/>
        </w:trPr>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rPr>
                <w:rFonts w:ascii="Calibri" w:hAnsi="Calibri"/>
                <w:szCs w:val="18"/>
              </w:rPr>
            </w:pPr>
            <w:r w:rsidRPr="005955E6">
              <w:rPr>
                <w:rFonts w:ascii="Calibri" w:hAnsi="Calibri"/>
                <w:szCs w:val="18"/>
              </w:rPr>
              <w:t>Mining Licences Renewed</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56</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21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41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30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23</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21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14</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28</w:t>
            </w:r>
          </w:p>
        </w:tc>
      </w:tr>
      <w:tr w:rsidR="005955E6" w:rsidRPr="008F5AFD" w:rsidTr="00DA5950">
        <w:trPr>
          <w:trHeight w:val="315"/>
        </w:trPr>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rPr>
                <w:rFonts w:ascii="Calibri" w:hAnsi="Calibri"/>
                <w:b/>
                <w:szCs w:val="18"/>
              </w:rPr>
            </w:pPr>
            <w:r w:rsidRPr="005955E6">
              <w:rPr>
                <w:rFonts w:ascii="Calibri" w:hAnsi="Calibri"/>
                <w:b/>
                <w:szCs w:val="18"/>
              </w:rPr>
              <w:t>Sub Total Mining Licences Granted and Renewed</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b/>
                <w:sz w:val="20"/>
              </w:rPr>
            </w:pPr>
            <w:r w:rsidRPr="005955E6">
              <w:rPr>
                <w:rFonts w:ascii="Calibri" w:hAnsi="Calibri"/>
                <w:b/>
                <w:sz w:val="20"/>
              </w:rPr>
              <w:t>75</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b/>
                <w:sz w:val="20"/>
              </w:rPr>
            </w:pPr>
            <w:r w:rsidRPr="005955E6">
              <w:rPr>
                <w:rFonts w:ascii="Calibri" w:hAnsi="Calibri"/>
                <w:b/>
                <w:sz w:val="20"/>
              </w:rPr>
              <w:t>32</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b/>
                <w:sz w:val="20"/>
              </w:rPr>
            </w:pPr>
            <w:r w:rsidRPr="005955E6">
              <w:rPr>
                <w:rFonts w:ascii="Calibri" w:hAnsi="Calibri"/>
                <w:b/>
                <w:sz w:val="20"/>
              </w:rPr>
              <w:t>55</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b/>
                <w:sz w:val="20"/>
              </w:rPr>
            </w:pPr>
            <w:r w:rsidRPr="005955E6">
              <w:rPr>
                <w:rFonts w:ascii="Calibri" w:hAnsi="Calibri"/>
                <w:b/>
                <w:sz w:val="20"/>
              </w:rPr>
              <w:t>45</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b/>
                <w:sz w:val="20"/>
              </w:rPr>
            </w:pPr>
            <w:r w:rsidRPr="005955E6">
              <w:rPr>
                <w:rFonts w:ascii="Calibri" w:hAnsi="Calibri"/>
                <w:b/>
                <w:sz w:val="20"/>
              </w:rPr>
              <w:t>43</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b/>
                <w:sz w:val="20"/>
              </w:rPr>
            </w:pPr>
            <w:r w:rsidRPr="005955E6">
              <w:rPr>
                <w:rFonts w:ascii="Calibri" w:hAnsi="Calibri"/>
                <w:b/>
                <w:sz w:val="20"/>
              </w:rPr>
              <w:t>33</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b/>
                <w:sz w:val="20"/>
              </w:rPr>
            </w:pPr>
            <w:r w:rsidRPr="005955E6">
              <w:rPr>
                <w:rFonts w:ascii="Calibri" w:hAnsi="Calibri"/>
                <w:b/>
                <w:sz w:val="20"/>
              </w:rPr>
              <w:t>25</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b/>
                <w:sz w:val="20"/>
              </w:rPr>
            </w:pPr>
            <w:r w:rsidRPr="005955E6">
              <w:rPr>
                <w:rFonts w:ascii="Calibri" w:hAnsi="Calibri"/>
                <w:b/>
                <w:sz w:val="20"/>
              </w:rPr>
              <w:t>37</w:t>
            </w:r>
          </w:p>
        </w:tc>
      </w:tr>
      <w:tr w:rsidR="005955E6" w:rsidRPr="008F5AFD" w:rsidTr="00DA5950">
        <w:trPr>
          <w:trHeight w:val="315"/>
        </w:trPr>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rPr>
                <w:rFonts w:ascii="Calibri" w:hAnsi="Calibri"/>
                <w:szCs w:val="18"/>
              </w:rPr>
            </w:pPr>
            <w:r w:rsidRPr="005955E6">
              <w:rPr>
                <w:rFonts w:ascii="Calibri" w:hAnsi="Calibri"/>
                <w:szCs w:val="18"/>
              </w:rPr>
              <w:t>Prospecting Licences Granted</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12</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18</w:t>
            </w:r>
          </w:p>
        </w:tc>
      </w:tr>
      <w:tr w:rsidR="005955E6" w:rsidRPr="008F5AFD" w:rsidTr="00DA5950">
        <w:trPr>
          <w:trHeight w:val="315"/>
        </w:trPr>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rPr>
                <w:rFonts w:ascii="Calibri" w:hAnsi="Calibri"/>
                <w:szCs w:val="18"/>
              </w:rPr>
            </w:pPr>
            <w:r w:rsidRPr="005955E6">
              <w:rPr>
                <w:rFonts w:ascii="Calibri" w:hAnsi="Calibri"/>
                <w:szCs w:val="18"/>
              </w:rPr>
              <w:t>Retention Licences Granted</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sz w:val="20"/>
              </w:rPr>
            </w:pPr>
            <w:r w:rsidRPr="005955E6">
              <w:rPr>
                <w:rFonts w:ascii="Calibri" w:hAnsi="Calibri"/>
                <w:sz w:val="20"/>
              </w:rPr>
              <w:t>1</w:t>
            </w:r>
          </w:p>
        </w:tc>
      </w:tr>
      <w:tr w:rsidR="005955E6" w:rsidRPr="008F5AFD" w:rsidTr="00DA5950">
        <w:trPr>
          <w:trHeight w:val="315"/>
        </w:trPr>
        <w:tc>
          <w:tcPr>
            <w:tcW w:w="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rPr>
                <w:rFonts w:ascii="Calibri" w:hAnsi="Calibri"/>
                <w:b/>
                <w:szCs w:val="18"/>
              </w:rPr>
            </w:pPr>
            <w:r w:rsidRPr="005955E6">
              <w:rPr>
                <w:rFonts w:ascii="Calibri" w:hAnsi="Calibri"/>
                <w:b/>
                <w:szCs w:val="18"/>
              </w:rPr>
              <w:t xml:space="preserve">Total Licences </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b/>
                <w:sz w:val="20"/>
              </w:rPr>
            </w:pPr>
            <w:r w:rsidRPr="005955E6">
              <w:rPr>
                <w:rFonts w:ascii="Calibri" w:hAnsi="Calibri"/>
                <w:b/>
                <w:sz w:val="20"/>
              </w:rPr>
              <w:t>223</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b/>
                <w:sz w:val="20"/>
              </w:rPr>
            </w:pPr>
            <w:r w:rsidRPr="005955E6">
              <w:rPr>
                <w:rFonts w:ascii="Calibri" w:hAnsi="Calibri"/>
                <w:b/>
                <w:sz w:val="20"/>
              </w:rPr>
              <w:t>181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b/>
                <w:sz w:val="20"/>
              </w:rPr>
            </w:pPr>
            <w:r w:rsidRPr="005955E6">
              <w:rPr>
                <w:rFonts w:ascii="Calibri" w:hAnsi="Calibri"/>
                <w:b/>
                <w:sz w:val="20"/>
              </w:rPr>
              <w:t>163</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b/>
                <w:sz w:val="20"/>
              </w:rPr>
            </w:pPr>
            <w:r w:rsidRPr="005955E6">
              <w:rPr>
                <w:rFonts w:ascii="Calibri" w:hAnsi="Calibri"/>
                <w:b/>
                <w:sz w:val="20"/>
              </w:rPr>
              <w:t>161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b/>
                <w:sz w:val="20"/>
              </w:rPr>
            </w:pPr>
            <w:r w:rsidRPr="005955E6">
              <w:rPr>
                <w:rFonts w:ascii="Calibri" w:hAnsi="Calibri"/>
                <w:b/>
                <w:sz w:val="20"/>
              </w:rPr>
              <w:t>176</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b/>
                <w:sz w:val="20"/>
              </w:rPr>
            </w:pPr>
            <w:r w:rsidRPr="005955E6">
              <w:rPr>
                <w:rFonts w:ascii="Calibri" w:hAnsi="Calibri"/>
                <w:b/>
                <w:sz w:val="20"/>
              </w:rPr>
              <w:t>170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b/>
                <w:sz w:val="20"/>
              </w:rPr>
            </w:pPr>
            <w:r w:rsidRPr="005955E6">
              <w:rPr>
                <w:rFonts w:ascii="Calibri" w:hAnsi="Calibri"/>
                <w:b/>
                <w:sz w:val="20"/>
              </w:rPr>
              <w:t>130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55E6" w:rsidRPr="005955E6" w:rsidRDefault="005955E6" w:rsidP="00615AA5">
            <w:pPr>
              <w:jc w:val="center"/>
              <w:rPr>
                <w:rFonts w:ascii="Calibri" w:hAnsi="Calibri"/>
                <w:b/>
                <w:sz w:val="20"/>
              </w:rPr>
            </w:pPr>
            <w:r w:rsidRPr="005955E6">
              <w:rPr>
                <w:rFonts w:ascii="Calibri" w:hAnsi="Calibri"/>
                <w:b/>
                <w:sz w:val="20"/>
              </w:rPr>
              <w:t>150</w:t>
            </w:r>
          </w:p>
        </w:tc>
      </w:tr>
    </w:tbl>
    <w:p w:rsidR="008C22ED" w:rsidRDefault="005955E6" w:rsidP="005955E6">
      <w:pPr>
        <w:jc w:val="both"/>
        <w:rPr>
          <w:rFonts w:ascii="Calibri" w:hAnsi="Calibri"/>
          <w:sz w:val="20"/>
        </w:rPr>
      </w:pPr>
      <w:r w:rsidRPr="005955E6">
        <w:rPr>
          <w:rFonts w:ascii="Calibri" w:hAnsi="Calibri"/>
          <w:sz w:val="20"/>
        </w:rPr>
        <w:t>Source: DEDJTR</w:t>
      </w:r>
    </w:p>
    <w:p w:rsidR="008C22ED" w:rsidRDefault="008C22ED">
      <w:pPr>
        <w:rPr>
          <w:rFonts w:ascii="Calibri" w:hAnsi="Calibri"/>
          <w:sz w:val="20"/>
        </w:rPr>
      </w:pPr>
      <w:r>
        <w:rPr>
          <w:rFonts w:ascii="Calibri" w:hAnsi="Calibri"/>
          <w:sz w:val="20"/>
        </w:rPr>
        <w:br w:type="page"/>
      </w:r>
    </w:p>
    <w:p w:rsidR="005955E6" w:rsidRPr="005955E6" w:rsidRDefault="005955E6" w:rsidP="00DA5950">
      <w:pPr>
        <w:pStyle w:val="Heading3"/>
      </w:pPr>
      <w:r w:rsidRPr="005955E6">
        <w:lastRenderedPageBreak/>
        <w:t xml:space="preserve">Graph 3.2: Exploration licences granted and renewed </w:t>
      </w:r>
    </w:p>
    <w:p w:rsidR="005955E6" w:rsidRPr="005955E6" w:rsidRDefault="005955E6" w:rsidP="005955E6">
      <w:pPr>
        <w:jc w:val="both"/>
        <w:rPr>
          <w:rFonts w:ascii="Calibri" w:hAnsi="Calibri"/>
          <w:sz w:val="20"/>
        </w:rPr>
      </w:pPr>
    </w:p>
    <w:p w:rsidR="005955E6" w:rsidRPr="005955E6" w:rsidRDefault="0016613F" w:rsidP="005955E6">
      <w:pPr>
        <w:jc w:val="both"/>
        <w:rPr>
          <w:rFonts w:ascii="Calibri" w:hAnsi="Calibri"/>
          <w:sz w:val="20"/>
        </w:rPr>
      </w:pPr>
      <w:r>
        <w:rPr>
          <w:rFonts w:ascii="Calibri" w:hAnsi="Calibri"/>
          <w:noProof/>
        </w:rPr>
        <w:drawing>
          <wp:inline distT="0" distB="0" distL="0" distR="0" wp14:anchorId="34A9C036" wp14:editId="6F3FB294">
            <wp:extent cx="6257925" cy="2143125"/>
            <wp:effectExtent l="0" t="0" r="0" b="0"/>
            <wp:docPr id="3" name="Chart 7" descr="This chart shows how many exploration licences have been granted and renewed from the 2006/2007 financial year through to the 2013/2014 financial year.&#10;&#10;In the 2006/2007 financial year, 89 exploration licences were granted and 59 were renewed.&#10;&#10;In the 2007/2008 financial year, 91 exploration licences were granted and 58 were renewed.&#10;&#10;In the 2008/2009 financial year, 57 exploration licences were granted and 51 were renewed.&#10;&#10;In the 2009/2010 financial year, 61 exploration licences were granted and 55 were renewed.&#10;&#10;In the 2010/2011 financial year 73 exploration licences were granted and 60 were renewed.&#10;&#10;In the 2011/2012 financial year 62 exploration licences were granted and 74 were renewed.&#10;&#10;In the 2012/2013 financial year 41 exploration licences were granted and 52 were renewed.&#10;&#10;In the 2013/2015 financial year, 37 exploration licences were granted and 57 were renewed. " title="Graph 3.2 - Exploration licences granted and renewed"/>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955E6" w:rsidRPr="005955E6" w:rsidRDefault="005955E6" w:rsidP="005955E6">
      <w:pPr>
        <w:jc w:val="both"/>
        <w:rPr>
          <w:rFonts w:ascii="Calibri" w:hAnsi="Calibri"/>
          <w:sz w:val="20"/>
        </w:rPr>
      </w:pPr>
      <w:r w:rsidRPr="005955E6">
        <w:rPr>
          <w:rFonts w:ascii="Calibri" w:hAnsi="Calibri"/>
          <w:sz w:val="20"/>
        </w:rPr>
        <w:t>Source: DEDJTR</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p>
    <w:p w:rsidR="005955E6" w:rsidRPr="005955E6" w:rsidRDefault="005955E6" w:rsidP="00DA5950">
      <w:pPr>
        <w:pStyle w:val="Heading3"/>
      </w:pPr>
      <w:r w:rsidRPr="005955E6">
        <w:t>Graph 3.3: Mining licences granted and renewed</w:t>
      </w:r>
    </w:p>
    <w:p w:rsidR="005955E6" w:rsidRPr="005955E6" w:rsidRDefault="005955E6" w:rsidP="005955E6">
      <w:pPr>
        <w:jc w:val="both"/>
        <w:rPr>
          <w:rFonts w:ascii="Calibri" w:hAnsi="Calibri"/>
          <w:b/>
          <w:sz w:val="20"/>
        </w:rPr>
      </w:pPr>
    </w:p>
    <w:p w:rsidR="005955E6" w:rsidRPr="005955E6" w:rsidRDefault="0016613F" w:rsidP="005955E6">
      <w:pPr>
        <w:jc w:val="both"/>
        <w:rPr>
          <w:rFonts w:ascii="Calibri" w:hAnsi="Calibri"/>
          <w:b/>
          <w:sz w:val="20"/>
        </w:rPr>
      </w:pPr>
      <w:r>
        <w:rPr>
          <w:rFonts w:ascii="Calibri" w:hAnsi="Calibri"/>
          <w:noProof/>
        </w:rPr>
        <w:drawing>
          <wp:inline distT="0" distB="0" distL="0" distR="0" wp14:anchorId="79B2C53C" wp14:editId="5A45772C">
            <wp:extent cx="6257925" cy="2360295"/>
            <wp:effectExtent l="0" t="0" r="0" b="1905"/>
            <wp:docPr id="4" name="Chart 4" descr="This chart shows how many mining  licences have been granted and renewed from the 2006/2007 financial year through to the 2013/2014 financial year.&#10;&#10;In the 2006/2007 financial year, 19 mining licences were granted and 56 were renewed.&#10;&#10;In the 2007/2008 financial year, 11 mining licences were granted and 21 were renewed.&#10;&#10;In the 2008/2009 financial year, 14 mining licences were granted and 41 were renewed.&#10;&#10;In the 2009/2010 financial year, 15 mining licences were granted and 30 were renewed.&#10;&#10;In the 2010/2011 financial year  20 mining licences were granted and 23 were renewed.&#10;&#10;In the 2011/2012 financial year 12 mining licences were granted and 21 were renewed.&#10;&#10;In the 2012/2013 financial year 11 mining licences were granted and 14 were renewed.&#10;&#10;In the 2013/2014 financial year, 9 mining licences were granted and 28 were renewed. " title="Graph 3.3 - Mining licences granted and renewed"/>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955E6" w:rsidRPr="005955E6" w:rsidRDefault="005955E6" w:rsidP="005955E6">
      <w:pPr>
        <w:jc w:val="both"/>
        <w:rPr>
          <w:rFonts w:ascii="Calibri" w:hAnsi="Calibri"/>
          <w:sz w:val="20"/>
        </w:rPr>
      </w:pPr>
      <w:r w:rsidRPr="005955E6">
        <w:rPr>
          <w:rFonts w:ascii="Calibri" w:hAnsi="Calibri"/>
          <w:sz w:val="20"/>
        </w:rPr>
        <w:t>Source: DEDJTR</w:t>
      </w:r>
    </w:p>
    <w:p w:rsidR="005955E6" w:rsidRPr="005955E6" w:rsidRDefault="005955E6" w:rsidP="005955E6">
      <w:pPr>
        <w:jc w:val="both"/>
        <w:rPr>
          <w:rFonts w:ascii="Calibri" w:hAnsi="Calibri"/>
          <w:b/>
          <w:sz w:val="20"/>
        </w:rPr>
      </w:pPr>
    </w:p>
    <w:p w:rsidR="005955E6" w:rsidRPr="005955E6" w:rsidRDefault="005955E6" w:rsidP="00DA5950">
      <w:pPr>
        <w:pStyle w:val="Heading3"/>
      </w:pPr>
      <w:r w:rsidRPr="005955E6">
        <w:t xml:space="preserve">Graph 3.4: Prospecting* and retention licences granted </w:t>
      </w:r>
    </w:p>
    <w:p w:rsidR="005955E6" w:rsidRPr="005955E6" w:rsidRDefault="005955E6" w:rsidP="005955E6">
      <w:pPr>
        <w:jc w:val="both"/>
        <w:rPr>
          <w:rFonts w:ascii="Calibri" w:hAnsi="Calibri"/>
          <w:b/>
          <w:sz w:val="20"/>
        </w:rPr>
      </w:pPr>
    </w:p>
    <w:p w:rsidR="005955E6" w:rsidRPr="005955E6" w:rsidRDefault="0016613F" w:rsidP="005955E6">
      <w:pPr>
        <w:jc w:val="both"/>
        <w:rPr>
          <w:rFonts w:ascii="Calibri" w:hAnsi="Calibri"/>
          <w:sz w:val="20"/>
        </w:rPr>
      </w:pPr>
      <w:r>
        <w:rPr>
          <w:rFonts w:ascii="Calibri" w:hAnsi="Calibri"/>
          <w:noProof/>
        </w:rPr>
        <w:drawing>
          <wp:inline distT="0" distB="0" distL="0" distR="0" wp14:anchorId="35F9ADE0" wp14:editId="46902A83">
            <wp:extent cx="6257925" cy="2112010"/>
            <wp:effectExtent l="0" t="0" r="0" b="2540"/>
            <wp:docPr id="5" name="Chart 13" descr="This graph outlines the number of prospecting and retention licences granted. Please note that prospecting licences may not be renewed.&#10;&#10;From the 2006/2007 financial year to the2010/2011 financial year, there were not any prospecting or retention licences granted.&#10;&#10;In the 2011/2012 financial year 1 prospecting licences was granted.&#10;&#10;In the 2012/2013 financial year12 prospecting licences were granted.&#10;&#10;In the 2013/2014 financial year 18 prospecting licences and 1 retention licences were granted.&#10;&#10;" title="Graph 3.4 - Prospecting and retention licences granted"/>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955E6" w:rsidRPr="005955E6" w:rsidRDefault="005955E6" w:rsidP="005955E6">
      <w:pPr>
        <w:jc w:val="both"/>
        <w:rPr>
          <w:rFonts w:ascii="Calibri" w:hAnsi="Calibri"/>
          <w:sz w:val="20"/>
        </w:rPr>
      </w:pPr>
      <w:r w:rsidRPr="005955E6">
        <w:rPr>
          <w:rFonts w:ascii="Calibri" w:hAnsi="Calibri"/>
          <w:sz w:val="20"/>
        </w:rPr>
        <w:t>Source: DEDJTR</w:t>
      </w:r>
    </w:p>
    <w:p w:rsidR="005955E6" w:rsidRPr="005955E6" w:rsidRDefault="005955E6" w:rsidP="005955E6">
      <w:pPr>
        <w:jc w:val="both"/>
        <w:rPr>
          <w:rFonts w:ascii="Calibri" w:hAnsi="Calibri"/>
          <w:sz w:val="16"/>
          <w:szCs w:val="16"/>
        </w:rPr>
      </w:pPr>
      <w:r w:rsidRPr="005955E6">
        <w:rPr>
          <w:rFonts w:ascii="Calibri" w:hAnsi="Calibri"/>
          <w:sz w:val="16"/>
          <w:szCs w:val="16"/>
        </w:rPr>
        <w:t>* Prospecting licence cannot be renewed.</w:t>
      </w:r>
    </w:p>
    <w:p w:rsidR="005955E6" w:rsidRPr="005955E6" w:rsidRDefault="005955E6" w:rsidP="005955E6">
      <w:pPr>
        <w:jc w:val="both"/>
        <w:rPr>
          <w:rFonts w:ascii="Calibri" w:hAnsi="Calibri"/>
          <w:sz w:val="20"/>
        </w:rPr>
      </w:pPr>
      <w:r w:rsidRPr="005955E6">
        <w:rPr>
          <w:rFonts w:ascii="Calibri" w:hAnsi="Calibri"/>
          <w:sz w:val="20"/>
        </w:rPr>
        <w:lastRenderedPageBreak/>
        <w:t xml:space="preserve">The total area of the state covered by exploration licences (current and in application) on 30 June 2014 was 75,018 km², which marked a marginal fall in relation to the previous year and mirrors a general downward trend observed over the five years to 2013/14, reflecting the wider state of the industry. </w:t>
      </w:r>
    </w:p>
    <w:p w:rsidR="005955E6" w:rsidRPr="005955E6" w:rsidRDefault="005955E6" w:rsidP="005955E6">
      <w:pPr>
        <w:jc w:val="both"/>
        <w:rPr>
          <w:rFonts w:ascii="Calibri" w:hAnsi="Calibri"/>
          <w:b/>
          <w:sz w:val="20"/>
        </w:rPr>
      </w:pPr>
    </w:p>
    <w:p w:rsidR="005955E6" w:rsidRPr="005955E6" w:rsidRDefault="005955E6" w:rsidP="00DA5950">
      <w:pPr>
        <w:pStyle w:val="Heading3"/>
      </w:pPr>
      <w:r w:rsidRPr="005955E6">
        <w:t xml:space="preserve">Table 3.5 Total area covered by exploration licences (current and in application as at 30 June) </w:t>
      </w:r>
    </w:p>
    <w:p w:rsidR="005955E6" w:rsidRPr="005955E6" w:rsidRDefault="005955E6" w:rsidP="005955E6">
      <w:pPr>
        <w:jc w:val="both"/>
        <w:rPr>
          <w:rFonts w:ascii="Calibri" w:hAnsi="Calibri"/>
          <w:b/>
          <w:sz w:val="20"/>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ook w:val="04A0" w:firstRow="1" w:lastRow="0" w:firstColumn="1" w:lastColumn="0" w:noHBand="0" w:noVBand="1"/>
      </w:tblPr>
      <w:tblGrid>
        <w:gridCol w:w="1384"/>
        <w:gridCol w:w="1012"/>
        <w:gridCol w:w="1130"/>
        <w:gridCol w:w="1130"/>
        <w:gridCol w:w="1130"/>
        <w:gridCol w:w="1130"/>
        <w:gridCol w:w="1130"/>
        <w:gridCol w:w="1130"/>
        <w:gridCol w:w="1132"/>
      </w:tblGrid>
      <w:tr w:rsidR="003C097D" w:rsidRPr="008F5AFD" w:rsidTr="00DA5950">
        <w:trPr>
          <w:trHeight w:val="300"/>
          <w:tblHeader/>
        </w:trPr>
        <w:tc>
          <w:tcPr>
            <w:tcW w:w="671" w:type="pct"/>
            <w:shd w:val="clear" w:color="auto" w:fill="FFFFFF" w:themeFill="background1"/>
            <w:hideMark/>
          </w:tcPr>
          <w:p w:rsidR="005955E6" w:rsidRPr="005955E6" w:rsidRDefault="005955E6" w:rsidP="005955E6">
            <w:pPr>
              <w:jc w:val="both"/>
              <w:rPr>
                <w:rFonts w:ascii="Calibri" w:hAnsi="Calibri"/>
                <w:b/>
                <w:sz w:val="20"/>
              </w:rPr>
            </w:pPr>
            <w:bookmarkStart w:id="39" w:name="ColumnTitle_3_5"/>
            <w:r w:rsidRPr="005955E6">
              <w:rPr>
                <w:rFonts w:ascii="Calibri" w:hAnsi="Calibri"/>
                <w:b/>
                <w:sz w:val="20"/>
              </w:rPr>
              <w:t> </w:t>
            </w:r>
          </w:p>
        </w:tc>
        <w:tc>
          <w:tcPr>
            <w:tcW w:w="491" w:type="pct"/>
            <w:shd w:val="clear" w:color="auto" w:fill="FFFFFF" w:themeFill="background1"/>
            <w:hideMark/>
          </w:tcPr>
          <w:p w:rsidR="005955E6" w:rsidRPr="005955E6" w:rsidRDefault="005955E6" w:rsidP="005955E6">
            <w:pPr>
              <w:jc w:val="center"/>
              <w:rPr>
                <w:rFonts w:ascii="Calibri" w:hAnsi="Calibri"/>
                <w:b/>
                <w:sz w:val="20"/>
              </w:rPr>
            </w:pPr>
            <w:r w:rsidRPr="005955E6">
              <w:rPr>
                <w:rFonts w:ascii="Calibri" w:hAnsi="Calibri"/>
                <w:b/>
                <w:sz w:val="20"/>
              </w:rPr>
              <w:t>2007</w:t>
            </w:r>
          </w:p>
        </w:tc>
        <w:tc>
          <w:tcPr>
            <w:tcW w:w="548" w:type="pct"/>
            <w:shd w:val="clear" w:color="auto" w:fill="FFFFFF" w:themeFill="background1"/>
            <w:hideMark/>
          </w:tcPr>
          <w:p w:rsidR="005955E6" w:rsidRPr="005955E6" w:rsidRDefault="005955E6" w:rsidP="005955E6">
            <w:pPr>
              <w:jc w:val="center"/>
              <w:rPr>
                <w:rFonts w:ascii="Calibri" w:hAnsi="Calibri"/>
                <w:b/>
                <w:sz w:val="20"/>
              </w:rPr>
            </w:pPr>
            <w:r w:rsidRPr="005955E6">
              <w:rPr>
                <w:rFonts w:ascii="Calibri" w:hAnsi="Calibri"/>
                <w:b/>
                <w:sz w:val="20"/>
              </w:rPr>
              <w:t>2008</w:t>
            </w:r>
          </w:p>
        </w:tc>
        <w:tc>
          <w:tcPr>
            <w:tcW w:w="548" w:type="pct"/>
            <w:shd w:val="clear" w:color="auto" w:fill="FFFFFF" w:themeFill="background1"/>
            <w:hideMark/>
          </w:tcPr>
          <w:p w:rsidR="005955E6" w:rsidRPr="005955E6" w:rsidRDefault="005955E6" w:rsidP="005955E6">
            <w:pPr>
              <w:jc w:val="center"/>
              <w:rPr>
                <w:rFonts w:ascii="Calibri" w:hAnsi="Calibri"/>
                <w:b/>
                <w:sz w:val="20"/>
              </w:rPr>
            </w:pPr>
            <w:r w:rsidRPr="005955E6">
              <w:rPr>
                <w:rFonts w:ascii="Calibri" w:hAnsi="Calibri"/>
                <w:b/>
                <w:sz w:val="20"/>
              </w:rPr>
              <w:t>2009</w:t>
            </w:r>
          </w:p>
        </w:tc>
        <w:tc>
          <w:tcPr>
            <w:tcW w:w="548" w:type="pct"/>
            <w:shd w:val="clear" w:color="auto" w:fill="FFFFFF" w:themeFill="background1"/>
            <w:hideMark/>
          </w:tcPr>
          <w:p w:rsidR="005955E6" w:rsidRPr="005955E6" w:rsidRDefault="005955E6" w:rsidP="005955E6">
            <w:pPr>
              <w:jc w:val="center"/>
              <w:rPr>
                <w:rFonts w:ascii="Calibri" w:hAnsi="Calibri"/>
                <w:b/>
                <w:sz w:val="20"/>
              </w:rPr>
            </w:pPr>
            <w:r w:rsidRPr="005955E6">
              <w:rPr>
                <w:rFonts w:ascii="Calibri" w:hAnsi="Calibri"/>
                <w:b/>
                <w:sz w:val="20"/>
              </w:rPr>
              <w:t>2010</w:t>
            </w:r>
          </w:p>
        </w:tc>
        <w:tc>
          <w:tcPr>
            <w:tcW w:w="548" w:type="pct"/>
            <w:shd w:val="clear" w:color="auto" w:fill="FFFFFF" w:themeFill="background1"/>
            <w:hideMark/>
          </w:tcPr>
          <w:p w:rsidR="005955E6" w:rsidRPr="005955E6" w:rsidRDefault="005955E6" w:rsidP="005955E6">
            <w:pPr>
              <w:jc w:val="center"/>
              <w:rPr>
                <w:rFonts w:ascii="Calibri" w:hAnsi="Calibri"/>
                <w:b/>
                <w:sz w:val="20"/>
              </w:rPr>
            </w:pPr>
            <w:r w:rsidRPr="005955E6">
              <w:rPr>
                <w:rFonts w:ascii="Calibri" w:hAnsi="Calibri"/>
                <w:b/>
                <w:sz w:val="20"/>
              </w:rPr>
              <w:t>2011</w:t>
            </w:r>
          </w:p>
        </w:tc>
        <w:tc>
          <w:tcPr>
            <w:tcW w:w="548" w:type="pct"/>
            <w:shd w:val="clear" w:color="auto" w:fill="FFFFFF" w:themeFill="background1"/>
            <w:hideMark/>
          </w:tcPr>
          <w:p w:rsidR="005955E6" w:rsidRPr="005955E6" w:rsidRDefault="005955E6" w:rsidP="005955E6">
            <w:pPr>
              <w:jc w:val="center"/>
              <w:rPr>
                <w:rFonts w:ascii="Calibri" w:hAnsi="Calibri"/>
                <w:b/>
                <w:sz w:val="20"/>
              </w:rPr>
            </w:pPr>
            <w:r w:rsidRPr="005955E6">
              <w:rPr>
                <w:rFonts w:ascii="Calibri" w:hAnsi="Calibri"/>
                <w:b/>
                <w:sz w:val="20"/>
              </w:rPr>
              <w:t>2012</w:t>
            </w:r>
          </w:p>
        </w:tc>
        <w:tc>
          <w:tcPr>
            <w:tcW w:w="548" w:type="pct"/>
            <w:shd w:val="clear" w:color="auto" w:fill="FFFFFF" w:themeFill="background1"/>
            <w:hideMark/>
          </w:tcPr>
          <w:p w:rsidR="005955E6" w:rsidRPr="005955E6" w:rsidRDefault="005955E6" w:rsidP="005955E6">
            <w:pPr>
              <w:jc w:val="center"/>
              <w:rPr>
                <w:rFonts w:ascii="Calibri" w:hAnsi="Calibri"/>
                <w:b/>
                <w:sz w:val="20"/>
              </w:rPr>
            </w:pPr>
            <w:r w:rsidRPr="005955E6">
              <w:rPr>
                <w:rFonts w:ascii="Calibri" w:hAnsi="Calibri"/>
                <w:b/>
                <w:sz w:val="20"/>
              </w:rPr>
              <w:t>2013</w:t>
            </w:r>
          </w:p>
        </w:tc>
        <w:tc>
          <w:tcPr>
            <w:tcW w:w="549" w:type="pct"/>
            <w:shd w:val="clear" w:color="auto" w:fill="FFFFFF" w:themeFill="background1"/>
            <w:hideMark/>
          </w:tcPr>
          <w:p w:rsidR="005955E6" w:rsidRPr="005955E6" w:rsidRDefault="005955E6" w:rsidP="005955E6">
            <w:pPr>
              <w:jc w:val="center"/>
              <w:rPr>
                <w:rFonts w:ascii="Calibri" w:hAnsi="Calibri"/>
                <w:b/>
                <w:sz w:val="20"/>
              </w:rPr>
            </w:pPr>
            <w:r w:rsidRPr="005955E6">
              <w:rPr>
                <w:rFonts w:ascii="Calibri" w:hAnsi="Calibri"/>
                <w:b/>
                <w:sz w:val="20"/>
              </w:rPr>
              <w:t>2014</w:t>
            </w:r>
          </w:p>
        </w:tc>
      </w:tr>
      <w:bookmarkEnd w:id="39"/>
      <w:tr w:rsidR="003C097D" w:rsidRPr="008F5AFD" w:rsidTr="00DA5950">
        <w:trPr>
          <w:trHeight w:val="456"/>
        </w:trPr>
        <w:tc>
          <w:tcPr>
            <w:tcW w:w="671" w:type="pct"/>
            <w:shd w:val="clear" w:color="auto" w:fill="FFFFFF" w:themeFill="background1"/>
            <w:hideMark/>
          </w:tcPr>
          <w:p w:rsidR="005955E6" w:rsidRPr="005955E6" w:rsidRDefault="005955E6" w:rsidP="00615AA5">
            <w:pPr>
              <w:rPr>
                <w:rFonts w:ascii="Calibri" w:hAnsi="Calibri"/>
                <w:sz w:val="20"/>
              </w:rPr>
            </w:pPr>
            <w:r w:rsidRPr="005955E6">
              <w:rPr>
                <w:rFonts w:ascii="Calibri" w:hAnsi="Calibri"/>
                <w:sz w:val="20"/>
              </w:rPr>
              <w:t>Total area (km2)</w:t>
            </w:r>
          </w:p>
        </w:tc>
        <w:tc>
          <w:tcPr>
            <w:tcW w:w="491" w:type="pct"/>
            <w:shd w:val="clear" w:color="auto" w:fill="FFFFFF" w:themeFill="background1"/>
            <w:vAlign w:val="center"/>
            <w:hideMark/>
          </w:tcPr>
          <w:p w:rsidR="005955E6" w:rsidRPr="005955E6" w:rsidRDefault="005955E6" w:rsidP="005955E6">
            <w:pPr>
              <w:jc w:val="center"/>
              <w:rPr>
                <w:rFonts w:ascii="Calibri" w:hAnsi="Calibri"/>
                <w:sz w:val="20"/>
              </w:rPr>
            </w:pPr>
            <w:r w:rsidRPr="005955E6">
              <w:rPr>
                <w:rFonts w:ascii="Calibri" w:hAnsi="Calibri"/>
                <w:sz w:val="20"/>
              </w:rPr>
              <w:t>91,500</w:t>
            </w:r>
          </w:p>
        </w:tc>
        <w:tc>
          <w:tcPr>
            <w:tcW w:w="548" w:type="pct"/>
            <w:shd w:val="clear" w:color="auto" w:fill="FFFFFF" w:themeFill="background1"/>
            <w:vAlign w:val="center"/>
            <w:hideMark/>
          </w:tcPr>
          <w:p w:rsidR="005955E6" w:rsidRPr="005955E6" w:rsidRDefault="005955E6" w:rsidP="005955E6">
            <w:pPr>
              <w:jc w:val="center"/>
              <w:rPr>
                <w:rFonts w:ascii="Calibri" w:hAnsi="Calibri"/>
                <w:sz w:val="20"/>
              </w:rPr>
            </w:pPr>
            <w:r w:rsidRPr="005955E6">
              <w:rPr>
                <w:rFonts w:ascii="Calibri" w:hAnsi="Calibri"/>
                <w:sz w:val="20"/>
              </w:rPr>
              <w:t>98,086</w:t>
            </w:r>
          </w:p>
        </w:tc>
        <w:tc>
          <w:tcPr>
            <w:tcW w:w="548" w:type="pct"/>
            <w:shd w:val="clear" w:color="auto" w:fill="FFFFFF" w:themeFill="background1"/>
            <w:vAlign w:val="center"/>
            <w:hideMark/>
          </w:tcPr>
          <w:p w:rsidR="005955E6" w:rsidRPr="005955E6" w:rsidRDefault="005955E6" w:rsidP="005955E6">
            <w:pPr>
              <w:jc w:val="center"/>
              <w:rPr>
                <w:rFonts w:ascii="Calibri" w:hAnsi="Calibri"/>
                <w:sz w:val="20"/>
              </w:rPr>
            </w:pPr>
            <w:r w:rsidRPr="005955E6">
              <w:rPr>
                <w:rFonts w:ascii="Calibri" w:hAnsi="Calibri"/>
                <w:sz w:val="20"/>
              </w:rPr>
              <w:t>95,240</w:t>
            </w:r>
          </w:p>
        </w:tc>
        <w:tc>
          <w:tcPr>
            <w:tcW w:w="548" w:type="pct"/>
            <w:shd w:val="clear" w:color="auto" w:fill="FFFFFF" w:themeFill="background1"/>
            <w:vAlign w:val="center"/>
            <w:hideMark/>
          </w:tcPr>
          <w:p w:rsidR="005955E6" w:rsidRPr="005955E6" w:rsidRDefault="005955E6" w:rsidP="005955E6">
            <w:pPr>
              <w:jc w:val="center"/>
              <w:rPr>
                <w:rFonts w:ascii="Calibri" w:hAnsi="Calibri"/>
                <w:sz w:val="20"/>
              </w:rPr>
            </w:pPr>
            <w:r w:rsidRPr="005955E6">
              <w:rPr>
                <w:rFonts w:ascii="Calibri" w:hAnsi="Calibri"/>
                <w:sz w:val="20"/>
              </w:rPr>
              <w:t>86,365</w:t>
            </w:r>
          </w:p>
        </w:tc>
        <w:tc>
          <w:tcPr>
            <w:tcW w:w="548" w:type="pct"/>
            <w:shd w:val="clear" w:color="auto" w:fill="FFFFFF" w:themeFill="background1"/>
            <w:vAlign w:val="center"/>
            <w:hideMark/>
          </w:tcPr>
          <w:p w:rsidR="005955E6" w:rsidRPr="005955E6" w:rsidRDefault="005955E6" w:rsidP="005955E6">
            <w:pPr>
              <w:jc w:val="center"/>
              <w:rPr>
                <w:rFonts w:ascii="Calibri" w:hAnsi="Calibri"/>
                <w:sz w:val="20"/>
              </w:rPr>
            </w:pPr>
            <w:r w:rsidRPr="005955E6">
              <w:rPr>
                <w:rFonts w:ascii="Calibri" w:hAnsi="Calibri"/>
                <w:sz w:val="20"/>
              </w:rPr>
              <w:t>75,753</w:t>
            </w:r>
          </w:p>
        </w:tc>
        <w:tc>
          <w:tcPr>
            <w:tcW w:w="548" w:type="pct"/>
            <w:shd w:val="clear" w:color="auto" w:fill="FFFFFF" w:themeFill="background1"/>
            <w:vAlign w:val="center"/>
            <w:hideMark/>
          </w:tcPr>
          <w:p w:rsidR="005955E6" w:rsidRPr="005955E6" w:rsidRDefault="005955E6" w:rsidP="005955E6">
            <w:pPr>
              <w:jc w:val="center"/>
              <w:rPr>
                <w:rFonts w:ascii="Calibri" w:hAnsi="Calibri"/>
                <w:sz w:val="20"/>
              </w:rPr>
            </w:pPr>
            <w:r w:rsidRPr="005955E6">
              <w:rPr>
                <w:rFonts w:ascii="Calibri" w:hAnsi="Calibri"/>
                <w:sz w:val="20"/>
              </w:rPr>
              <w:t>83,900</w:t>
            </w:r>
          </w:p>
        </w:tc>
        <w:tc>
          <w:tcPr>
            <w:tcW w:w="548" w:type="pct"/>
            <w:shd w:val="clear" w:color="auto" w:fill="FFFFFF" w:themeFill="background1"/>
            <w:vAlign w:val="center"/>
            <w:hideMark/>
          </w:tcPr>
          <w:p w:rsidR="005955E6" w:rsidRPr="005955E6" w:rsidRDefault="005955E6" w:rsidP="005955E6">
            <w:pPr>
              <w:jc w:val="center"/>
              <w:rPr>
                <w:rFonts w:ascii="Calibri" w:hAnsi="Calibri"/>
                <w:sz w:val="20"/>
              </w:rPr>
            </w:pPr>
            <w:r w:rsidRPr="005955E6">
              <w:rPr>
                <w:rFonts w:ascii="Calibri" w:hAnsi="Calibri"/>
                <w:sz w:val="20"/>
              </w:rPr>
              <w:t>77,366</w:t>
            </w:r>
          </w:p>
        </w:tc>
        <w:tc>
          <w:tcPr>
            <w:tcW w:w="549" w:type="pct"/>
            <w:shd w:val="clear" w:color="auto" w:fill="FFFFFF" w:themeFill="background1"/>
            <w:vAlign w:val="center"/>
            <w:hideMark/>
          </w:tcPr>
          <w:p w:rsidR="005955E6" w:rsidRPr="005955E6" w:rsidRDefault="005955E6" w:rsidP="005955E6">
            <w:pPr>
              <w:jc w:val="center"/>
              <w:rPr>
                <w:rFonts w:ascii="Calibri" w:hAnsi="Calibri"/>
                <w:sz w:val="20"/>
              </w:rPr>
            </w:pPr>
            <w:r w:rsidRPr="005955E6">
              <w:rPr>
                <w:rFonts w:ascii="Calibri" w:hAnsi="Calibri"/>
                <w:sz w:val="20"/>
              </w:rPr>
              <w:t>75,018</w:t>
            </w:r>
          </w:p>
        </w:tc>
      </w:tr>
    </w:tbl>
    <w:p w:rsidR="005955E6" w:rsidRPr="005955E6" w:rsidRDefault="005955E6" w:rsidP="005955E6">
      <w:pPr>
        <w:jc w:val="both"/>
        <w:rPr>
          <w:rFonts w:ascii="Calibri" w:hAnsi="Calibri"/>
          <w:sz w:val="20"/>
        </w:rPr>
      </w:pPr>
      <w:r w:rsidRPr="005955E6">
        <w:rPr>
          <w:rFonts w:ascii="Calibri" w:hAnsi="Calibri"/>
          <w:sz w:val="20"/>
        </w:rPr>
        <w:t>Source: DEDJTR</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b/>
          <w:sz w:val="20"/>
        </w:rPr>
      </w:pPr>
    </w:p>
    <w:p w:rsidR="005955E6" w:rsidRPr="005955E6" w:rsidRDefault="005955E6" w:rsidP="00DA5950">
      <w:pPr>
        <w:pStyle w:val="Heading3"/>
      </w:pPr>
      <w:r w:rsidRPr="005955E6">
        <w:t>Graph 3.5: Total area covered by licences (current and in application as at 30 June)</w:t>
      </w:r>
    </w:p>
    <w:p w:rsidR="005955E6" w:rsidRPr="005955E6" w:rsidRDefault="005955E6" w:rsidP="005955E6">
      <w:pPr>
        <w:jc w:val="both"/>
        <w:rPr>
          <w:rFonts w:ascii="Calibri" w:hAnsi="Calibri"/>
          <w:b/>
          <w:sz w:val="20"/>
        </w:rPr>
      </w:pPr>
    </w:p>
    <w:p w:rsidR="005955E6" w:rsidRPr="005955E6" w:rsidRDefault="0016613F" w:rsidP="005955E6">
      <w:pPr>
        <w:jc w:val="both"/>
        <w:rPr>
          <w:rFonts w:ascii="Calibri" w:hAnsi="Calibri"/>
          <w:b/>
          <w:sz w:val="20"/>
        </w:rPr>
      </w:pPr>
      <w:r>
        <w:rPr>
          <w:rFonts w:ascii="Calibri" w:hAnsi="Calibri"/>
          <w:noProof/>
        </w:rPr>
        <w:drawing>
          <wp:inline distT="0" distB="0" distL="0" distR="0" wp14:anchorId="23BBD003" wp14:editId="7727D68F">
            <wp:extent cx="6350000" cy="2914015"/>
            <wp:effectExtent l="0" t="0" r="12700" b="19685"/>
            <wp:docPr id="6" name="Chart 15" descr="This graph includes both area that is covered by current licences and licences that are in the application stage.&#10;&#10;The total area is presented in kilometres squared.&#10;&#10;In 2007, the total area covered by exploration licences was 91,500.&#10;&#10;In 2008, the total area covered by exploration licences was 98,086.&#10;&#10;In 2009, the total area covered by exploration licences was 95,240.&#10;&#10;In 2010, the total area covered by exploration licences was 86,365.&#10;&#10;In 2011, the total area covered by exploration licences was 75,753.&#10;&#10;In 2012, the total area covered by exploration licences was 83,900.&#10;&#10;In 2013, the total area covered by exploration licences was 77,366.&#10;&#10;In 2014, the total area covered by exploration licences was 75,018.&#10;&#10;" title="Graph 3.5 - Total area covered by exploration licences as at 30 June 20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955E6" w:rsidRPr="005955E6" w:rsidRDefault="005955E6" w:rsidP="005955E6">
      <w:pPr>
        <w:jc w:val="both"/>
        <w:rPr>
          <w:rFonts w:ascii="Calibri" w:hAnsi="Calibri"/>
          <w:sz w:val="20"/>
        </w:rPr>
      </w:pPr>
      <w:bookmarkStart w:id="40" w:name="_Toc96317353"/>
      <w:r w:rsidRPr="005955E6">
        <w:rPr>
          <w:rFonts w:ascii="Calibri" w:hAnsi="Calibri"/>
          <w:sz w:val="20"/>
        </w:rPr>
        <w:t>Source: DEDJTR</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p>
    <w:p w:rsidR="005955E6" w:rsidRPr="005955E6" w:rsidRDefault="005955E6" w:rsidP="00615AA5">
      <w:pPr>
        <w:pStyle w:val="Heading2"/>
        <w:keepNext w:val="0"/>
        <w:numPr>
          <w:ilvl w:val="1"/>
          <w:numId w:val="6"/>
        </w:numPr>
        <w:tabs>
          <w:tab w:val="clear" w:pos="792"/>
          <w:tab w:val="num" w:pos="567"/>
        </w:tabs>
        <w:spacing w:before="0"/>
        <w:ind w:left="567" w:hanging="567"/>
        <w:jc w:val="left"/>
        <w:rPr>
          <w:rFonts w:ascii="Calibri" w:hAnsi="Calibri"/>
        </w:rPr>
      </w:pPr>
      <w:bookmarkStart w:id="41" w:name="_Toc125447284"/>
      <w:bookmarkStart w:id="42" w:name="_Toc157232803"/>
      <w:bookmarkStart w:id="43" w:name="_Toc228784370"/>
      <w:bookmarkStart w:id="44" w:name="_Toc279573133"/>
      <w:r w:rsidRPr="005955E6">
        <w:rPr>
          <w:rFonts w:ascii="Calibri" w:hAnsi="Calibri"/>
        </w:rPr>
        <w:t>Mineral exploration</w:t>
      </w:r>
      <w:bookmarkEnd w:id="40"/>
      <w:bookmarkEnd w:id="41"/>
      <w:bookmarkEnd w:id="42"/>
      <w:r w:rsidRPr="005955E6">
        <w:rPr>
          <w:rFonts w:ascii="Calibri" w:hAnsi="Calibri"/>
        </w:rPr>
        <w:t xml:space="preserve"> and mining expenditure</w:t>
      </w:r>
      <w:bookmarkEnd w:id="43"/>
      <w:bookmarkEnd w:id="44"/>
    </w:p>
    <w:p w:rsidR="005955E6" w:rsidRPr="005955E6" w:rsidRDefault="005955E6" w:rsidP="005955E6">
      <w:pPr>
        <w:jc w:val="both"/>
        <w:rPr>
          <w:rFonts w:ascii="Calibri" w:hAnsi="Calibri"/>
          <w:sz w:val="20"/>
        </w:rPr>
      </w:pPr>
      <w:bookmarkStart w:id="45" w:name="_Toc126483782"/>
      <w:bookmarkStart w:id="46" w:name="_Toc157237377"/>
    </w:p>
    <w:p w:rsidR="005955E6" w:rsidRPr="005955E6" w:rsidRDefault="005955E6" w:rsidP="005955E6">
      <w:pPr>
        <w:jc w:val="both"/>
        <w:rPr>
          <w:rFonts w:ascii="Calibri" w:hAnsi="Calibri"/>
          <w:sz w:val="20"/>
        </w:rPr>
      </w:pPr>
      <w:r w:rsidRPr="005955E6">
        <w:rPr>
          <w:rFonts w:ascii="Calibri" w:hAnsi="Calibri"/>
          <w:sz w:val="20"/>
        </w:rPr>
        <w:t>Mineral exploration expenditure is a lead indicator of mineral industry activity. ABS data shows a fall of 15.5% in Victorian exploration expenditure in 2013/14, compared to the previous year. While significant, this fall is reflective of falls in exploration expenditure Australia-wide over the same period, from $3,055.4 million to $2,108.8 million (30.9%). MRSDA data on mining also show a continuous decline in the dollar amounts spent on exploration and mining, in line with the trend observed in previous years, with exploration expenditure falling more dramatically (by 10% y-o-y, as compared to 7% for mining).</w:t>
      </w:r>
    </w:p>
    <w:p w:rsidR="001B540A" w:rsidRDefault="001B540A">
      <w:pPr>
        <w:rPr>
          <w:rFonts w:ascii="Calibri" w:hAnsi="Calibri"/>
          <w:b/>
          <w:sz w:val="20"/>
        </w:rPr>
      </w:pPr>
      <w:bookmarkStart w:id="47" w:name="_Toc279573239"/>
      <w:bookmarkEnd w:id="45"/>
      <w:bookmarkEnd w:id="46"/>
      <w:r>
        <w:rPr>
          <w:rFonts w:ascii="Calibri" w:hAnsi="Calibri"/>
          <w:b/>
          <w:sz w:val="20"/>
        </w:rPr>
        <w:br w:type="page"/>
      </w:r>
    </w:p>
    <w:p w:rsidR="005955E6" w:rsidRPr="005955E6" w:rsidRDefault="005955E6" w:rsidP="00DA5950">
      <w:pPr>
        <w:pStyle w:val="Heading3"/>
      </w:pPr>
      <w:r w:rsidRPr="005955E6">
        <w:lastRenderedPageBreak/>
        <w:t xml:space="preserve">Graph 3.6: Expenditure on mineral exploration and mining development </w:t>
      </w:r>
      <w:bookmarkEnd w:id="47"/>
    </w:p>
    <w:p w:rsidR="005955E6" w:rsidRPr="005955E6" w:rsidRDefault="005955E6" w:rsidP="005955E6">
      <w:pPr>
        <w:jc w:val="both"/>
        <w:rPr>
          <w:rFonts w:ascii="Calibri" w:hAnsi="Calibri"/>
          <w:b/>
          <w:sz w:val="20"/>
        </w:rPr>
      </w:pPr>
    </w:p>
    <w:p w:rsidR="005955E6" w:rsidRPr="005955E6" w:rsidRDefault="0016613F" w:rsidP="005955E6">
      <w:pPr>
        <w:jc w:val="both"/>
        <w:rPr>
          <w:rFonts w:ascii="Calibri" w:hAnsi="Calibri"/>
          <w:sz w:val="20"/>
        </w:rPr>
      </w:pPr>
      <w:r>
        <w:rPr>
          <w:rFonts w:ascii="Calibri" w:hAnsi="Calibri"/>
          <w:noProof/>
        </w:rPr>
        <w:drawing>
          <wp:inline distT="0" distB="0" distL="0" distR="0" wp14:anchorId="4E5F1320" wp14:editId="306D911C">
            <wp:extent cx="6400165" cy="1989455"/>
            <wp:effectExtent l="0" t="0" r="635" b="0"/>
            <wp:docPr id="7" name="Chart 12" descr="This graph shows the expenditure on mineral exploration and mining development in Victoria in Australian dollars per million. There are three figures reported, one gathered from the Australian Bureau of Statistics that measures mineral exploration, one from the MRSDA that measures mineral exploration and one from the MRSDA that measures mining exploration expenditure.&#10;In the 2006/2007 financial year, 82.5 million was reported by the ABS as expenditure on mineral exploration, 105.4 million was reported as per the MRSDA in relation to mineral exploration expenditure and 527.8 million was reported as mining expenditure as per the MRSDA.&#10;In the 2007/2008 financial year, 93.7 million was reported by the ABS as expenditure on mineral exploration, 107.8 million was reported as per the MRSDA in relation to mineral exploration expenditure and 576.6 million was reported as mining expenditure as per the MRSDA.&#10;In the 2008/2009 financial year, 62.2 million was reported by the ABS as expenditure on mineral exploration, 103.3 million was reported as per the MRSDA in relation to mineral exploration expenditure and 923.3 million was reported as mining expenditure as per the MRSDA.&#10;In the 2009/2010 financial year, 84.8 million was reported by the ABS as expenditure on mineral exploration, 94.3 million was reported as per the MRSDA in relation to mineral exploration expenditure and 742 million was reported as mining expenditure as per the MRSDA.&#10;In the 2010/2011 financial year, 57.4 million was reported by the ABS as expenditure on mineral exploration, 64.6 million was reported as per the MRSDA in relation to mineral exploration expenditure and 719.2 million was reported as mining expenditure as per the MRSDA.&#10;In the 2006/2007 financial year, 58.5 million was reported by the ABS as expenditure on mineral exploration, 65.1 million was reported as per the MRSDA in relation to mineral exploration expenditure and 813.8 million was reported as mining expenditure as per the MRSDA.&#10;In the 2012/2013 financial year, 38.6 million was reported by the ABS as expenditure on mineral exploration, 59.7 million was reported as per the MRSDA in relation to mineral exploration expenditure and 701.2 million was reported as mining expenditure as per the MRSDA.&#10;In the 2013/2014 financial year, 32.6 million was reported by the ABS as expenditure on mineral exploration, 53.5 million was reported as per the MRSDA in relation to mineral exploration expenditure and 650.3 million was reported as mining expenditure as per the MRSDA.&#10;" title="Graph 3.6 - Expenditure on mineral exploration and mining development"/>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955E6" w:rsidRPr="005955E6" w:rsidRDefault="005955E6" w:rsidP="005955E6">
      <w:pPr>
        <w:jc w:val="both"/>
        <w:rPr>
          <w:rFonts w:ascii="Calibri" w:hAnsi="Calibri"/>
          <w:sz w:val="20"/>
        </w:rPr>
      </w:pPr>
      <w:r w:rsidRPr="005955E6">
        <w:rPr>
          <w:rFonts w:ascii="Calibri" w:hAnsi="Calibri"/>
          <w:sz w:val="20"/>
        </w:rPr>
        <w:t>Source: DEDJTR</w:t>
      </w:r>
    </w:p>
    <w:p w:rsidR="005955E6" w:rsidRPr="005955E6" w:rsidRDefault="005955E6" w:rsidP="005955E6">
      <w:pPr>
        <w:jc w:val="both"/>
        <w:rPr>
          <w:rFonts w:ascii="Calibri" w:hAnsi="Calibri"/>
          <w:sz w:val="16"/>
          <w:szCs w:val="16"/>
        </w:rPr>
      </w:pPr>
      <w:r w:rsidRPr="005955E6">
        <w:rPr>
          <w:rFonts w:ascii="Calibri" w:hAnsi="Calibri"/>
          <w:sz w:val="20"/>
          <w:vertAlign w:val="superscript"/>
        </w:rPr>
        <w:t xml:space="preserve">1 </w:t>
      </w:r>
      <w:r w:rsidRPr="005955E6">
        <w:rPr>
          <w:rFonts w:ascii="Calibri" w:hAnsi="Calibri"/>
          <w:sz w:val="16"/>
          <w:szCs w:val="16"/>
        </w:rPr>
        <w:t>The Australian Bureau of Statistics (ABS) reports quarterly on private mineral exploration expenditure for all Australian States and the Northern Territory (NT). Victorian mineral exploration and mining expenditure is also reported in accordance with the requirement of the MRSDA. The ABS exploration expenditure statistics can vary significantly from expenditure reported under the MRSDA. The difference between these two exploration expenditure data sets is mainly due to the difference in methodologies for data collection, and the inclusion of the exploration expenditure on mining licences in the MRSDA figure.</w:t>
      </w:r>
    </w:p>
    <w:p w:rsidR="005955E6" w:rsidRPr="005955E6" w:rsidRDefault="005955E6" w:rsidP="005955E6">
      <w:pPr>
        <w:jc w:val="both"/>
        <w:rPr>
          <w:rFonts w:ascii="Calibri" w:hAnsi="Calibri"/>
          <w:sz w:val="16"/>
          <w:szCs w:val="16"/>
        </w:rPr>
      </w:pPr>
      <w:r w:rsidRPr="005955E6">
        <w:rPr>
          <w:rFonts w:ascii="Calibri" w:hAnsi="Calibri"/>
          <w:sz w:val="16"/>
          <w:szCs w:val="16"/>
        </w:rPr>
        <w:t>The ABS statistics are a valid basis for comparison of Victorian expenditure with that of other States/NT. However, the MRSDA figures provide greater detail.</w:t>
      </w:r>
    </w:p>
    <w:p w:rsidR="005955E6" w:rsidRPr="005955E6" w:rsidRDefault="005955E6" w:rsidP="005955E6">
      <w:pPr>
        <w:jc w:val="both"/>
        <w:rPr>
          <w:rFonts w:ascii="Calibri" w:hAnsi="Calibri"/>
          <w:sz w:val="16"/>
          <w:szCs w:val="16"/>
        </w:rPr>
      </w:pPr>
      <w:r w:rsidRPr="005955E6">
        <w:rPr>
          <w:rFonts w:ascii="Calibri" w:hAnsi="Calibri"/>
          <w:sz w:val="20"/>
          <w:vertAlign w:val="superscript"/>
        </w:rPr>
        <w:t>2</w:t>
      </w:r>
      <w:r w:rsidRPr="005955E6">
        <w:rPr>
          <w:rFonts w:ascii="Calibri" w:hAnsi="Calibri"/>
          <w:sz w:val="16"/>
          <w:szCs w:val="16"/>
        </w:rPr>
        <w:t xml:space="preserve"> The MRSDA exploration expenditure figure is derived from the activity reports required for the period 1 July-30 June. The MRSDA figure covers exploration carried out on exploration, mining and prospecting licences, and includes all expenditure on exploration licences (including overheads, wages/salaries, land access and rehabilitation expenses) and specified exploration expenditure on mining and prospecting licences. </w:t>
      </w:r>
    </w:p>
    <w:p w:rsidR="005955E6" w:rsidRPr="005955E6" w:rsidRDefault="005955E6" w:rsidP="005955E6">
      <w:pPr>
        <w:jc w:val="both"/>
        <w:rPr>
          <w:rFonts w:ascii="Calibri" w:hAnsi="Calibri"/>
          <w:sz w:val="16"/>
          <w:szCs w:val="16"/>
        </w:rPr>
      </w:pPr>
      <w:r w:rsidRPr="005955E6">
        <w:rPr>
          <w:rFonts w:ascii="Calibri" w:hAnsi="Calibri"/>
          <w:sz w:val="20"/>
          <w:vertAlign w:val="superscript"/>
        </w:rPr>
        <w:t xml:space="preserve">3 </w:t>
      </w:r>
      <w:r w:rsidRPr="005955E6">
        <w:rPr>
          <w:rFonts w:ascii="Calibri" w:hAnsi="Calibri"/>
          <w:sz w:val="16"/>
          <w:szCs w:val="16"/>
        </w:rPr>
        <w:t>The MRSDA mining expenditure figure covers all expenditure on mining and prospecting licences (including capital and operating expenses), less any specified exploration expenditure on mining and prospecting licences.</w:t>
      </w:r>
    </w:p>
    <w:p w:rsidR="005955E6" w:rsidRPr="005955E6" w:rsidRDefault="005955E6" w:rsidP="005955E6">
      <w:pPr>
        <w:jc w:val="both"/>
        <w:rPr>
          <w:rFonts w:ascii="Calibri" w:hAnsi="Calibri"/>
          <w:b/>
          <w:sz w:val="20"/>
        </w:rPr>
      </w:pPr>
    </w:p>
    <w:p w:rsidR="005955E6" w:rsidRPr="005955E6" w:rsidRDefault="005955E6" w:rsidP="005955E6">
      <w:pPr>
        <w:jc w:val="both"/>
        <w:rPr>
          <w:rFonts w:ascii="Calibri" w:hAnsi="Calibri"/>
          <w:b/>
          <w:sz w:val="20"/>
        </w:rPr>
      </w:pPr>
    </w:p>
    <w:p w:rsidR="005955E6" w:rsidRPr="005955E6" w:rsidRDefault="005955E6" w:rsidP="00DA5950">
      <w:pPr>
        <w:pStyle w:val="Heading3"/>
      </w:pPr>
      <w:bookmarkStart w:id="48" w:name="_Toc279573154"/>
      <w:r w:rsidRPr="005955E6">
        <w:t>Table 3.6 Expenditure on mineral exploration and mining development ($A million</w:t>
      </w:r>
      <w:bookmarkEnd w:id="48"/>
      <w:r w:rsidRPr="005955E6">
        <w:t xml:space="preserve">) </w:t>
      </w:r>
    </w:p>
    <w:p w:rsidR="005955E6" w:rsidRPr="005955E6" w:rsidRDefault="005955E6" w:rsidP="005955E6">
      <w:pPr>
        <w:jc w:val="both"/>
        <w:rPr>
          <w:rFonts w:ascii="Calibri" w:hAnsi="Calibri"/>
          <w:b/>
          <w:sz w:val="20"/>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ook w:val="04A0" w:firstRow="1" w:lastRow="0" w:firstColumn="1" w:lastColumn="0" w:noHBand="0" w:noVBand="1"/>
      </w:tblPr>
      <w:tblGrid>
        <w:gridCol w:w="1386"/>
        <w:gridCol w:w="1116"/>
        <w:gridCol w:w="1116"/>
        <w:gridCol w:w="1115"/>
        <w:gridCol w:w="1115"/>
        <w:gridCol w:w="1115"/>
        <w:gridCol w:w="1115"/>
        <w:gridCol w:w="1115"/>
        <w:gridCol w:w="1115"/>
      </w:tblGrid>
      <w:tr w:rsidR="003C097D" w:rsidRPr="008F5AFD" w:rsidTr="00DA5950">
        <w:trPr>
          <w:trHeight w:val="240"/>
          <w:tblHeader/>
        </w:trPr>
        <w:tc>
          <w:tcPr>
            <w:tcW w:w="672" w:type="pct"/>
            <w:shd w:val="clear" w:color="auto" w:fill="FFFFFF" w:themeFill="background1"/>
            <w:noWrap/>
            <w:hideMark/>
          </w:tcPr>
          <w:p w:rsidR="005955E6" w:rsidRPr="005955E6" w:rsidRDefault="005955E6" w:rsidP="00615AA5">
            <w:pPr>
              <w:rPr>
                <w:rFonts w:ascii="Calibri" w:hAnsi="Calibri" w:cs="Arial"/>
                <w:b/>
                <w:color w:val="000000"/>
                <w:sz w:val="20"/>
              </w:rPr>
            </w:pPr>
            <w:bookmarkStart w:id="49" w:name="ColumnTitle_3_6"/>
            <w:r w:rsidRPr="005955E6">
              <w:rPr>
                <w:rFonts w:ascii="Calibri" w:hAnsi="Calibri" w:cs="Arial"/>
                <w:b/>
                <w:color w:val="000000"/>
                <w:sz w:val="20"/>
              </w:rPr>
              <w:t>Year</w:t>
            </w:r>
          </w:p>
        </w:tc>
        <w:tc>
          <w:tcPr>
            <w:tcW w:w="541" w:type="pct"/>
            <w:shd w:val="clear" w:color="auto" w:fill="FFFFFF" w:themeFill="background1"/>
            <w:hideMark/>
          </w:tcPr>
          <w:p w:rsidR="005955E6" w:rsidRPr="005955E6" w:rsidRDefault="005955E6" w:rsidP="005955E6">
            <w:pPr>
              <w:jc w:val="center"/>
              <w:rPr>
                <w:rFonts w:ascii="Calibri" w:hAnsi="Calibri" w:cs="Arial"/>
                <w:b/>
                <w:color w:val="000000"/>
                <w:sz w:val="20"/>
              </w:rPr>
            </w:pPr>
            <w:r w:rsidRPr="005955E6">
              <w:rPr>
                <w:rFonts w:ascii="Calibri" w:hAnsi="Calibri" w:cs="Arial"/>
                <w:b/>
                <w:color w:val="000000"/>
                <w:sz w:val="20"/>
              </w:rPr>
              <w:t>2006/07</w:t>
            </w:r>
          </w:p>
        </w:tc>
        <w:tc>
          <w:tcPr>
            <w:tcW w:w="541" w:type="pct"/>
            <w:shd w:val="clear" w:color="auto" w:fill="FFFFFF" w:themeFill="background1"/>
            <w:hideMark/>
          </w:tcPr>
          <w:p w:rsidR="005955E6" w:rsidRPr="005955E6" w:rsidRDefault="005955E6" w:rsidP="005955E6">
            <w:pPr>
              <w:jc w:val="center"/>
              <w:rPr>
                <w:rFonts w:ascii="Calibri" w:hAnsi="Calibri" w:cs="Arial"/>
                <w:b/>
                <w:color w:val="000000"/>
                <w:sz w:val="20"/>
              </w:rPr>
            </w:pPr>
            <w:r w:rsidRPr="005955E6">
              <w:rPr>
                <w:rFonts w:ascii="Calibri" w:hAnsi="Calibri" w:cs="Arial"/>
                <w:b/>
                <w:color w:val="000000"/>
                <w:sz w:val="20"/>
              </w:rPr>
              <w:t>2007/08</w:t>
            </w:r>
          </w:p>
        </w:tc>
        <w:tc>
          <w:tcPr>
            <w:tcW w:w="541" w:type="pct"/>
            <w:shd w:val="clear" w:color="auto" w:fill="FFFFFF" w:themeFill="background1"/>
            <w:hideMark/>
          </w:tcPr>
          <w:p w:rsidR="005955E6" w:rsidRPr="005955E6" w:rsidRDefault="005955E6" w:rsidP="005955E6">
            <w:pPr>
              <w:jc w:val="center"/>
              <w:rPr>
                <w:rFonts w:ascii="Calibri" w:hAnsi="Calibri" w:cs="Arial"/>
                <w:b/>
                <w:color w:val="000000"/>
                <w:sz w:val="20"/>
              </w:rPr>
            </w:pPr>
            <w:r w:rsidRPr="005955E6">
              <w:rPr>
                <w:rFonts w:ascii="Calibri" w:hAnsi="Calibri" w:cs="Arial"/>
                <w:b/>
                <w:color w:val="000000"/>
                <w:sz w:val="20"/>
              </w:rPr>
              <w:t>2008/09</w:t>
            </w:r>
          </w:p>
        </w:tc>
        <w:tc>
          <w:tcPr>
            <w:tcW w:w="541" w:type="pct"/>
            <w:shd w:val="clear" w:color="auto" w:fill="FFFFFF" w:themeFill="background1"/>
            <w:hideMark/>
          </w:tcPr>
          <w:p w:rsidR="005955E6" w:rsidRPr="005955E6" w:rsidRDefault="005955E6" w:rsidP="005955E6">
            <w:pPr>
              <w:jc w:val="center"/>
              <w:rPr>
                <w:rFonts w:ascii="Calibri" w:hAnsi="Calibri" w:cs="Arial"/>
                <w:b/>
                <w:color w:val="000000"/>
                <w:sz w:val="20"/>
              </w:rPr>
            </w:pPr>
            <w:r w:rsidRPr="005955E6">
              <w:rPr>
                <w:rFonts w:ascii="Calibri" w:hAnsi="Calibri" w:cs="Arial"/>
                <w:b/>
                <w:color w:val="000000"/>
                <w:sz w:val="20"/>
              </w:rPr>
              <w:t>2009/10</w:t>
            </w:r>
          </w:p>
        </w:tc>
        <w:tc>
          <w:tcPr>
            <w:tcW w:w="541" w:type="pct"/>
            <w:shd w:val="clear" w:color="auto" w:fill="FFFFFF" w:themeFill="background1"/>
            <w:hideMark/>
          </w:tcPr>
          <w:p w:rsidR="005955E6" w:rsidRPr="005955E6" w:rsidRDefault="005955E6" w:rsidP="005955E6">
            <w:pPr>
              <w:jc w:val="center"/>
              <w:rPr>
                <w:rFonts w:ascii="Calibri" w:hAnsi="Calibri" w:cs="Arial"/>
                <w:b/>
                <w:color w:val="000000"/>
                <w:sz w:val="20"/>
              </w:rPr>
            </w:pPr>
            <w:r w:rsidRPr="005955E6">
              <w:rPr>
                <w:rFonts w:ascii="Calibri" w:hAnsi="Calibri" w:cs="Arial"/>
                <w:b/>
                <w:color w:val="000000"/>
                <w:sz w:val="20"/>
              </w:rPr>
              <w:t>2010/11</w:t>
            </w:r>
          </w:p>
        </w:tc>
        <w:tc>
          <w:tcPr>
            <w:tcW w:w="541" w:type="pct"/>
            <w:shd w:val="clear" w:color="auto" w:fill="FFFFFF" w:themeFill="background1"/>
            <w:noWrap/>
            <w:hideMark/>
          </w:tcPr>
          <w:p w:rsidR="005955E6" w:rsidRPr="005955E6" w:rsidRDefault="005955E6" w:rsidP="005955E6">
            <w:pPr>
              <w:jc w:val="center"/>
              <w:rPr>
                <w:rFonts w:ascii="Calibri" w:hAnsi="Calibri" w:cs="Arial"/>
                <w:b/>
                <w:color w:val="000000"/>
                <w:sz w:val="20"/>
              </w:rPr>
            </w:pPr>
            <w:r w:rsidRPr="005955E6">
              <w:rPr>
                <w:rFonts w:ascii="Calibri" w:hAnsi="Calibri" w:cs="Arial"/>
                <w:b/>
                <w:color w:val="000000"/>
                <w:sz w:val="20"/>
              </w:rPr>
              <w:t>2011/12</w:t>
            </w:r>
          </w:p>
        </w:tc>
        <w:tc>
          <w:tcPr>
            <w:tcW w:w="541" w:type="pct"/>
            <w:shd w:val="clear" w:color="auto" w:fill="FFFFFF" w:themeFill="background1"/>
            <w:hideMark/>
          </w:tcPr>
          <w:p w:rsidR="005955E6" w:rsidRPr="005955E6" w:rsidRDefault="005955E6" w:rsidP="005955E6">
            <w:pPr>
              <w:jc w:val="center"/>
              <w:rPr>
                <w:rFonts w:ascii="Calibri" w:hAnsi="Calibri" w:cs="Arial"/>
                <w:b/>
                <w:color w:val="000000"/>
                <w:sz w:val="20"/>
              </w:rPr>
            </w:pPr>
            <w:r w:rsidRPr="005955E6">
              <w:rPr>
                <w:rFonts w:ascii="Calibri" w:hAnsi="Calibri" w:cs="Arial"/>
                <w:b/>
                <w:color w:val="000000"/>
                <w:sz w:val="20"/>
              </w:rPr>
              <w:t>2012/13</w:t>
            </w:r>
          </w:p>
        </w:tc>
        <w:tc>
          <w:tcPr>
            <w:tcW w:w="541" w:type="pct"/>
            <w:shd w:val="clear" w:color="auto" w:fill="FFFFFF" w:themeFill="background1"/>
            <w:hideMark/>
          </w:tcPr>
          <w:p w:rsidR="005955E6" w:rsidRPr="005955E6" w:rsidRDefault="005955E6" w:rsidP="005955E6">
            <w:pPr>
              <w:jc w:val="center"/>
              <w:rPr>
                <w:rFonts w:ascii="Calibri" w:hAnsi="Calibri" w:cs="Arial"/>
                <w:b/>
                <w:color w:val="000000"/>
                <w:sz w:val="20"/>
              </w:rPr>
            </w:pPr>
            <w:r w:rsidRPr="005955E6">
              <w:rPr>
                <w:rFonts w:ascii="Calibri" w:hAnsi="Calibri" w:cs="Arial"/>
                <w:b/>
                <w:color w:val="000000"/>
                <w:sz w:val="20"/>
              </w:rPr>
              <w:t>2013/14</w:t>
            </w:r>
          </w:p>
        </w:tc>
      </w:tr>
      <w:bookmarkEnd w:id="49"/>
      <w:tr w:rsidR="003C097D" w:rsidRPr="008F5AFD" w:rsidTr="00DA5950">
        <w:trPr>
          <w:trHeight w:val="720"/>
        </w:trPr>
        <w:tc>
          <w:tcPr>
            <w:tcW w:w="672" w:type="pct"/>
            <w:shd w:val="clear" w:color="auto" w:fill="FFFFFF" w:themeFill="background1"/>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Mineral Exploration (ABS)</w:t>
            </w:r>
            <w:r w:rsidRPr="005955E6">
              <w:rPr>
                <w:rFonts w:ascii="Calibri" w:hAnsi="Calibri" w:cs="Arial"/>
                <w:color w:val="000000"/>
                <w:sz w:val="20"/>
                <w:vertAlign w:val="superscript"/>
              </w:rPr>
              <w:t>1</w:t>
            </w:r>
          </w:p>
        </w:tc>
        <w:tc>
          <w:tcPr>
            <w:tcW w:w="541" w:type="pct"/>
            <w:shd w:val="clear" w:color="auto" w:fill="FFFFFF" w:themeFill="background1"/>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82.5</w:t>
            </w:r>
          </w:p>
        </w:tc>
        <w:tc>
          <w:tcPr>
            <w:tcW w:w="541" w:type="pct"/>
            <w:shd w:val="clear" w:color="auto" w:fill="FFFFFF" w:themeFill="background1"/>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93.7</w:t>
            </w:r>
          </w:p>
        </w:tc>
        <w:tc>
          <w:tcPr>
            <w:tcW w:w="541" w:type="pct"/>
            <w:shd w:val="clear" w:color="auto" w:fill="FFFFFF" w:themeFill="background1"/>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62.2</w:t>
            </w:r>
          </w:p>
        </w:tc>
        <w:tc>
          <w:tcPr>
            <w:tcW w:w="541" w:type="pct"/>
            <w:shd w:val="clear" w:color="auto" w:fill="FFFFFF" w:themeFill="background1"/>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84.8</w:t>
            </w:r>
          </w:p>
        </w:tc>
        <w:tc>
          <w:tcPr>
            <w:tcW w:w="541" w:type="pct"/>
            <w:shd w:val="clear" w:color="auto" w:fill="FFFFFF" w:themeFill="background1"/>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57.4</w:t>
            </w:r>
          </w:p>
        </w:tc>
        <w:tc>
          <w:tcPr>
            <w:tcW w:w="541"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58.5</w:t>
            </w:r>
          </w:p>
        </w:tc>
        <w:tc>
          <w:tcPr>
            <w:tcW w:w="541" w:type="pct"/>
            <w:shd w:val="clear" w:color="auto" w:fill="FFFFFF" w:themeFill="background1"/>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38.6</w:t>
            </w:r>
          </w:p>
        </w:tc>
        <w:tc>
          <w:tcPr>
            <w:tcW w:w="541" w:type="pct"/>
            <w:shd w:val="clear" w:color="auto" w:fill="FFFFFF" w:themeFill="background1"/>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32.6</w:t>
            </w:r>
          </w:p>
        </w:tc>
      </w:tr>
      <w:tr w:rsidR="003C097D" w:rsidRPr="008F5AFD" w:rsidTr="00DA5950">
        <w:trPr>
          <w:trHeight w:val="720"/>
        </w:trPr>
        <w:tc>
          <w:tcPr>
            <w:tcW w:w="672" w:type="pct"/>
            <w:shd w:val="clear" w:color="auto" w:fill="FFFFFF" w:themeFill="background1"/>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MRSDA Exploration</w:t>
            </w:r>
            <w:r w:rsidRPr="005955E6">
              <w:rPr>
                <w:rFonts w:ascii="Calibri" w:hAnsi="Calibri" w:cs="Arial"/>
                <w:color w:val="000000"/>
                <w:sz w:val="20"/>
                <w:vertAlign w:val="superscript"/>
              </w:rPr>
              <w:t>2</w:t>
            </w:r>
            <w:r w:rsidRPr="005955E6">
              <w:rPr>
                <w:rFonts w:ascii="Calibri" w:hAnsi="Calibri" w:cs="Arial"/>
                <w:color w:val="000000"/>
                <w:sz w:val="20"/>
              </w:rPr>
              <w:t xml:space="preserve"> </w:t>
            </w:r>
          </w:p>
        </w:tc>
        <w:tc>
          <w:tcPr>
            <w:tcW w:w="541" w:type="pct"/>
            <w:shd w:val="clear" w:color="auto" w:fill="FFFFFF" w:themeFill="background1"/>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105.4</w:t>
            </w:r>
          </w:p>
        </w:tc>
        <w:tc>
          <w:tcPr>
            <w:tcW w:w="541" w:type="pct"/>
            <w:shd w:val="clear" w:color="auto" w:fill="FFFFFF" w:themeFill="background1"/>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107.8</w:t>
            </w:r>
          </w:p>
        </w:tc>
        <w:tc>
          <w:tcPr>
            <w:tcW w:w="541" w:type="pct"/>
            <w:shd w:val="clear" w:color="auto" w:fill="FFFFFF" w:themeFill="background1"/>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103.3</w:t>
            </w:r>
          </w:p>
        </w:tc>
        <w:tc>
          <w:tcPr>
            <w:tcW w:w="541" w:type="pct"/>
            <w:shd w:val="clear" w:color="auto" w:fill="FFFFFF" w:themeFill="background1"/>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94.3</w:t>
            </w:r>
          </w:p>
        </w:tc>
        <w:tc>
          <w:tcPr>
            <w:tcW w:w="541" w:type="pct"/>
            <w:shd w:val="clear" w:color="auto" w:fill="FFFFFF" w:themeFill="background1"/>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64.6</w:t>
            </w:r>
          </w:p>
        </w:tc>
        <w:tc>
          <w:tcPr>
            <w:tcW w:w="541"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65.1</w:t>
            </w:r>
          </w:p>
        </w:tc>
        <w:tc>
          <w:tcPr>
            <w:tcW w:w="541" w:type="pct"/>
            <w:shd w:val="clear" w:color="auto" w:fill="FFFFFF" w:themeFill="background1"/>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59.7</w:t>
            </w:r>
          </w:p>
        </w:tc>
        <w:tc>
          <w:tcPr>
            <w:tcW w:w="541" w:type="pct"/>
            <w:shd w:val="clear" w:color="auto" w:fill="FFFFFF" w:themeFill="background1"/>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53.5</w:t>
            </w:r>
          </w:p>
        </w:tc>
      </w:tr>
      <w:tr w:rsidR="003C097D" w:rsidRPr="008F5AFD" w:rsidTr="00DA5950">
        <w:trPr>
          <w:trHeight w:val="480"/>
        </w:trPr>
        <w:tc>
          <w:tcPr>
            <w:tcW w:w="672" w:type="pct"/>
            <w:shd w:val="clear" w:color="auto" w:fill="FFFFFF" w:themeFill="background1"/>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MRSDA Mining</w:t>
            </w:r>
            <w:r w:rsidRPr="005955E6">
              <w:rPr>
                <w:rFonts w:ascii="Calibri" w:hAnsi="Calibri" w:cs="Arial"/>
                <w:color w:val="000000"/>
                <w:sz w:val="20"/>
                <w:vertAlign w:val="superscript"/>
              </w:rPr>
              <w:t>3</w:t>
            </w:r>
          </w:p>
        </w:tc>
        <w:tc>
          <w:tcPr>
            <w:tcW w:w="541" w:type="pct"/>
            <w:shd w:val="clear" w:color="auto" w:fill="FFFFFF" w:themeFill="background1"/>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527.8</w:t>
            </w:r>
          </w:p>
        </w:tc>
        <w:tc>
          <w:tcPr>
            <w:tcW w:w="541" w:type="pct"/>
            <w:shd w:val="clear" w:color="auto" w:fill="FFFFFF" w:themeFill="background1"/>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576.6</w:t>
            </w:r>
          </w:p>
        </w:tc>
        <w:tc>
          <w:tcPr>
            <w:tcW w:w="541" w:type="pct"/>
            <w:shd w:val="clear" w:color="auto" w:fill="FFFFFF" w:themeFill="background1"/>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923.3</w:t>
            </w:r>
          </w:p>
        </w:tc>
        <w:tc>
          <w:tcPr>
            <w:tcW w:w="541" w:type="pct"/>
            <w:shd w:val="clear" w:color="auto" w:fill="FFFFFF" w:themeFill="background1"/>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742</w:t>
            </w:r>
          </w:p>
        </w:tc>
        <w:tc>
          <w:tcPr>
            <w:tcW w:w="541" w:type="pct"/>
            <w:shd w:val="clear" w:color="auto" w:fill="FFFFFF" w:themeFill="background1"/>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719.2</w:t>
            </w:r>
          </w:p>
        </w:tc>
        <w:tc>
          <w:tcPr>
            <w:tcW w:w="541"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813.8</w:t>
            </w:r>
          </w:p>
        </w:tc>
        <w:tc>
          <w:tcPr>
            <w:tcW w:w="541" w:type="pct"/>
            <w:shd w:val="clear" w:color="auto" w:fill="FFFFFF" w:themeFill="background1"/>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701.2</w:t>
            </w:r>
          </w:p>
        </w:tc>
        <w:tc>
          <w:tcPr>
            <w:tcW w:w="541" w:type="pct"/>
            <w:shd w:val="clear" w:color="auto" w:fill="FFFFFF" w:themeFill="background1"/>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650.3</w:t>
            </w:r>
          </w:p>
        </w:tc>
      </w:tr>
    </w:tbl>
    <w:p w:rsidR="005955E6" w:rsidRPr="005955E6" w:rsidRDefault="005955E6" w:rsidP="005955E6">
      <w:pPr>
        <w:jc w:val="both"/>
        <w:rPr>
          <w:rFonts w:ascii="Calibri" w:hAnsi="Calibri"/>
          <w:sz w:val="20"/>
        </w:rPr>
      </w:pPr>
      <w:r w:rsidRPr="005955E6">
        <w:rPr>
          <w:rFonts w:ascii="Calibri" w:hAnsi="Calibri"/>
          <w:sz w:val="20"/>
        </w:rPr>
        <w:t>Source: Figures collated from activity reports forwarded to DEDJTR required by the MRSDA, and ABS, Actual and Expected Private Mineral Exploration (Catalogue No. 8412.0)</w:t>
      </w:r>
    </w:p>
    <w:p w:rsidR="005955E6" w:rsidRPr="005955E6" w:rsidRDefault="005955E6" w:rsidP="005955E6">
      <w:pPr>
        <w:jc w:val="both"/>
        <w:rPr>
          <w:rFonts w:ascii="Calibri" w:hAnsi="Calibri"/>
          <w:sz w:val="16"/>
          <w:szCs w:val="16"/>
        </w:rPr>
      </w:pPr>
      <w:r w:rsidRPr="005955E6">
        <w:rPr>
          <w:rFonts w:ascii="Calibri" w:hAnsi="Calibri"/>
          <w:sz w:val="20"/>
          <w:vertAlign w:val="superscript"/>
        </w:rPr>
        <w:t xml:space="preserve">1 </w:t>
      </w:r>
      <w:r w:rsidRPr="005955E6">
        <w:rPr>
          <w:rFonts w:ascii="Calibri" w:hAnsi="Calibri"/>
          <w:sz w:val="16"/>
          <w:szCs w:val="16"/>
        </w:rPr>
        <w:t>The Australian Bureau of Statistics (ABS) reports quarterly on private mineral exploration expenditure for all Australian States and the Northern Territory (NT). Victorian mineral exploration and mining expenditure is also reported in accordance with the requirement of the MRSDA. The ABS exploration expenditure statistics can vary significantly from expenditure reported under the MRSDA. The difference between these two exploration expenditure data sets is mainly due to the difference in methodologies for data collection, and the inclusion of the exploration expenditure on mining licences in the MRSDA figure.</w:t>
      </w:r>
    </w:p>
    <w:p w:rsidR="005955E6" w:rsidRPr="005955E6" w:rsidRDefault="005955E6" w:rsidP="005955E6">
      <w:pPr>
        <w:jc w:val="both"/>
        <w:rPr>
          <w:rFonts w:ascii="Calibri" w:hAnsi="Calibri"/>
          <w:sz w:val="16"/>
          <w:szCs w:val="16"/>
        </w:rPr>
      </w:pPr>
      <w:r w:rsidRPr="005955E6">
        <w:rPr>
          <w:rFonts w:ascii="Calibri" w:hAnsi="Calibri"/>
          <w:sz w:val="16"/>
          <w:szCs w:val="16"/>
        </w:rPr>
        <w:t>The ABS statistics are a valid basis for comparison of Victorian expenditure with that of other States/NT. However, the MRSDA figures provide greater detail.</w:t>
      </w:r>
    </w:p>
    <w:p w:rsidR="005955E6" w:rsidRPr="005955E6" w:rsidRDefault="005955E6" w:rsidP="005955E6">
      <w:pPr>
        <w:jc w:val="both"/>
        <w:rPr>
          <w:rFonts w:ascii="Calibri" w:hAnsi="Calibri"/>
          <w:sz w:val="16"/>
          <w:szCs w:val="16"/>
        </w:rPr>
      </w:pPr>
      <w:r w:rsidRPr="005955E6">
        <w:rPr>
          <w:rFonts w:ascii="Calibri" w:hAnsi="Calibri"/>
          <w:sz w:val="20"/>
          <w:vertAlign w:val="superscript"/>
        </w:rPr>
        <w:t>2</w:t>
      </w:r>
      <w:r w:rsidRPr="005955E6">
        <w:rPr>
          <w:rFonts w:ascii="Calibri" w:hAnsi="Calibri"/>
          <w:sz w:val="16"/>
          <w:szCs w:val="16"/>
        </w:rPr>
        <w:t xml:space="preserve"> The MRSDA exploration expenditure figure is derived from the activity reports required for the period 1 July-30 June. The MRSDA figure covers exploration carried out on exploration, mining and prospecting licences, and includes all expenditure on exploration licences (including overheads, wages/salaries, land access and rehabilitation expenses) and specified exploration expenditure on mining and prospecting licences. </w:t>
      </w:r>
    </w:p>
    <w:p w:rsidR="005955E6" w:rsidRPr="005955E6" w:rsidRDefault="005955E6" w:rsidP="005955E6">
      <w:pPr>
        <w:jc w:val="both"/>
        <w:rPr>
          <w:rFonts w:ascii="Calibri" w:hAnsi="Calibri"/>
          <w:sz w:val="16"/>
          <w:szCs w:val="16"/>
        </w:rPr>
      </w:pPr>
      <w:r w:rsidRPr="005955E6">
        <w:rPr>
          <w:rFonts w:ascii="Calibri" w:hAnsi="Calibri"/>
          <w:sz w:val="20"/>
          <w:vertAlign w:val="superscript"/>
        </w:rPr>
        <w:t xml:space="preserve">3 </w:t>
      </w:r>
      <w:r w:rsidRPr="005955E6">
        <w:rPr>
          <w:rFonts w:ascii="Calibri" w:hAnsi="Calibri"/>
          <w:sz w:val="16"/>
          <w:szCs w:val="16"/>
        </w:rPr>
        <w:t>The MRSDA mining expenditure figure covers all expenditure on mining and prospecting licences (including capital and operating expenses), less any specified exploration expenditure on mining and prospecting licences.</w:t>
      </w:r>
    </w:p>
    <w:p w:rsidR="005955E6" w:rsidRPr="005955E6" w:rsidRDefault="005955E6" w:rsidP="005955E6">
      <w:pPr>
        <w:jc w:val="both"/>
        <w:rPr>
          <w:rFonts w:ascii="Calibri" w:hAnsi="Calibri"/>
          <w:b/>
          <w:sz w:val="20"/>
        </w:rPr>
      </w:pP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r w:rsidRPr="005955E6">
        <w:rPr>
          <w:rFonts w:ascii="Calibri" w:hAnsi="Calibri"/>
          <w:sz w:val="20"/>
        </w:rPr>
        <w:t xml:space="preserve">By sector, exploration on gold mining continues to account for the largest proportion of the total by single sector (over one third of the total exploration expenditure and also of the total mining expenditure). Exploration activities in the brown coal sector were considerably lower than in the previous year, reflecting wider industry trends. </w:t>
      </w:r>
    </w:p>
    <w:p w:rsidR="005955E6" w:rsidRPr="005955E6" w:rsidRDefault="005955E6" w:rsidP="005955E6">
      <w:pPr>
        <w:jc w:val="both"/>
        <w:rPr>
          <w:rFonts w:ascii="Calibri" w:hAnsi="Calibri"/>
          <w:b/>
          <w:sz w:val="20"/>
        </w:rPr>
      </w:pPr>
      <w:bookmarkStart w:id="50" w:name="_Toc126484573"/>
      <w:bookmarkStart w:id="51" w:name="_Toc279573241"/>
      <w:bookmarkStart w:id="52" w:name="_Toc94694200"/>
      <w:bookmarkStart w:id="53" w:name="_Toc96511035"/>
    </w:p>
    <w:p w:rsidR="005955E6" w:rsidRPr="005955E6" w:rsidRDefault="005955E6" w:rsidP="00DA5950">
      <w:pPr>
        <w:pStyle w:val="Heading3"/>
      </w:pPr>
      <w:r w:rsidRPr="005955E6">
        <w:t>Graph 3.7 Mineral exploration and mining development expenditure by sector (MRSDA) 2013/</w:t>
      </w:r>
      <w:bookmarkEnd w:id="50"/>
      <w:r w:rsidRPr="005955E6">
        <w:t>1</w:t>
      </w:r>
      <w:bookmarkEnd w:id="51"/>
      <w:r w:rsidRPr="005955E6">
        <w:t>4</w:t>
      </w:r>
    </w:p>
    <w:p w:rsidR="005955E6" w:rsidRPr="005955E6" w:rsidRDefault="005955E6" w:rsidP="005955E6">
      <w:pPr>
        <w:jc w:val="both"/>
        <w:rPr>
          <w:rFonts w:ascii="Calibri" w:hAnsi="Calibri"/>
          <w:b/>
          <w:sz w:val="20"/>
        </w:rPr>
      </w:pPr>
    </w:p>
    <w:p w:rsidR="005955E6" w:rsidRPr="005955E6" w:rsidRDefault="0016613F" w:rsidP="005955E6">
      <w:pPr>
        <w:jc w:val="both"/>
        <w:rPr>
          <w:rFonts w:ascii="Calibri" w:hAnsi="Calibri"/>
          <w:b/>
          <w:sz w:val="20"/>
        </w:rPr>
      </w:pPr>
      <w:r>
        <w:rPr>
          <w:noProof/>
        </w:rPr>
        <w:drawing>
          <wp:inline distT="0" distB="0" distL="0" distR="0" wp14:anchorId="7664BAE2" wp14:editId="11625688">
            <wp:extent cx="6362700" cy="1463675"/>
            <wp:effectExtent l="0" t="0" r="0" b="3175"/>
            <wp:docPr id="8" name="Chart 22" descr="This graph displays the mineral exploration and mining development expenditure by each sector as per MRSDA reporting requirements for the 2013/2014 financial year.&#10;&#10;The brown coal sector spent 1.2 million dollars on exploration and 261 million dollars on mining development.&#10;&#10;The gold sector spent 18.5 million dollars on exploration and 216 million dollars on mining development.&#10;&#10;The heavy mineral sands sector spent 4.2 million dollars on exploration and 77.3 million dollars on mining development.&#10;&#10;Other sectors in combination spent 29.6 million dollars on mineral exploration and 650.3 dollars on mining development." title="Graph 3.7 - Mineral exploration and mining development expendentiture by sector (MRSDA) 2013/20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bookmarkEnd w:id="52"/>
    <w:bookmarkEnd w:id="53"/>
    <w:p w:rsidR="005955E6" w:rsidRPr="005955E6" w:rsidRDefault="005955E6" w:rsidP="005955E6">
      <w:pPr>
        <w:jc w:val="both"/>
        <w:rPr>
          <w:rFonts w:ascii="Calibri" w:hAnsi="Calibri"/>
          <w:sz w:val="20"/>
        </w:rPr>
      </w:pPr>
      <w:r w:rsidRPr="005955E6">
        <w:rPr>
          <w:rFonts w:ascii="Calibri" w:hAnsi="Calibri"/>
          <w:sz w:val="20"/>
        </w:rPr>
        <w:t xml:space="preserve"> Source: DEDJTR</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b/>
          <w:sz w:val="20"/>
        </w:rPr>
      </w:pPr>
    </w:p>
    <w:p w:rsidR="005955E6" w:rsidRPr="005955E6" w:rsidRDefault="005955E6" w:rsidP="00DA5950">
      <w:pPr>
        <w:pStyle w:val="Heading3"/>
      </w:pPr>
      <w:r w:rsidRPr="005955E6">
        <w:t xml:space="preserve">Table 3.7 Expenditure on mineral exploration and mining development by sector* </w:t>
      </w:r>
    </w:p>
    <w:p w:rsidR="005955E6" w:rsidRPr="005955E6" w:rsidRDefault="005955E6" w:rsidP="005955E6">
      <w:pPr>
        <w:jc w:val="both"/>
        <w:rPr>
          <w:rFonts w:ascii="Calibri" w:hAnsi="Calibri"/>
          <w:b/>
          <w:sz w:val="20"/>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ook w:val="04A0" w:firstRow="1" w:lastRow="0" w:firstColumn="1" w:lastColumn="0" w:noHBand="0" w:noVBand="1"/>
      </w:tblPr>
      <w:tblGrid>
        <w:gridCol w:w="2333"/>
        <w:gridCol w:w="2530"/>
        <w:gridCol w:w="1901"/>
        <w:gridCol w:w="2066"/>
        <w:gridCol w:w="1478"/>
      </w:tblGrid>
      <w:tr w:rsidR="003C097D" w:rsidRPr="00AE6904" w:rsidTr="00DA5950">
        <w:trPr>
          <w:trHeight w:val="476"/>
          <w:tblHeader/>
        </w:trPr>
        <w:tc>
          <w:tcPr>
            <w:tcW w:w="1132" w:type="pct"/>
            <w:shd w:val="clear" w:color="auto" w:fill="FFFFFF" w:themeFill="background1"/>
            <w:noWrap/>
            <w:vAlign w:val="center"/>
            <w:hideMark/>
          </w:tcPr>
          <w:p w:rsidR="005955E6" w:rsidRPr="005955E6" w:rsidRDefault="005955E6" w:rsidP="00615AA5">
            <w:pPr>
              <w:rPr>
                <w:rFonts w:ascii="Calibri" w:hAnsi="Calibri" w:cs="Arial"/>
                <w:b/>
                <w:bCs/>
                <w:color w:val="000000"/>
                <w:sz w:val="20"/>
              </w:rPr>
            </w:pPr>
            <w:bookmarkStart w:id="54" w:name="ColumnTitle_3_7"/>
            <w:r w:rsidRPr="005955E6">
              <w:rPr>
                <w:rFonts w:ascii="Calibri" w:hAnsi="Calibri" w:cs="Arial"/>
                <w:b/>
                <w:bCs/>
                <w:color w:val="000000"/>
                <w:sz w:val="20"/>
              </w:rPr>
              <w:t>Sector</w:t>
            </w:r>
          </w:p>
        </w:tc>
        <w:tc>
          <w:tcPr>
            <w:tcW w:w="1227" w:type="pct"/>
            <w:shd w:val="clear" w:color="auto" w:fill="FFFFFF" w:themeFill="background1"/>
            <w:vAlign w:val="center"/>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Exploration ($A million)</w:t>
            </w:r>
          </w:p>
        </w:tc>
        <w:tc>
          <w:tcPr>
            <w:tcW w:w="922" w:type="pct"/>
            <w:shd w:val="clear" w:color="auto" w:fill="FFFFFF" w:themeFill="background1"/>
            <w:vAlign w:val="center"/>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As % of total</w:t>
            </w:r>
          </w:p>
        </w:tc>
        <w:tc>
          <w:tcPr>
            <w:tcW w:w="1002" w:type="pct"/>
            <w:shd w:val="clear" w:color="auto" w:fill="FFFFFF" w:themeFill="background1"/>
            <w:vAlign w:val="center"/>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Mining ($A million)</w:t>
            </w:r>
          </w:p>
        </w:tc>
        <w:tc>
          <w:tcPr>
            <w:tcW w:w="717" w:type="pct"/>
            <w:shd w:val="clear" w:color="auto" w:fill="FFFFFF" w:themeFill="background1"/>
            <w:vAlign w:val="center"/>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As % of total</w:t>
            </w:r>
          </w:p>
        </w:tc>
      </w:tr>
      <w:bookmarkEnd w:id="54"/>
      <w:tr w:rsidR="003C097D" w:rsidRPr="00AE6904" w:rsidTr="00DA5950">
        <w:trPr>
          <w:trHeight w:val="240"/>
        </w:trPr>
        <w:tc>
          <w:tcPr>
            <w:tcW w:w="1132"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 xml:space="preserve">Brown Coal </w:t>
            </w:r>
          </w:p>
        </w:tc>
        <w:tc>
          <w:tcPr>
            <w:tcW w:w="1227"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1.2</w:t>
            </w:r>
          </w:p>
        </w:tc>
        <w:tc>
          <w:tcPr>
            <w:tcW w:w="922"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2.2</w:t>
            </w:r>
          </w:p>
        </w:tc>
        <w:tc>
          <w:tcPr>
            <w:tcW w:w="1002"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261.0</w:t>
            </w:r>
          </w:p>
        </w:tc>
        <w:tc>
          <w:tcPr>
            <w:tcW w:w="717"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40.1</w:t>
            </w:r>
          </w:p>
        </w:tc>
      </w:tr>
      <w:tr w:rsidR="003C097D" w:rsidRPr="00AE6904" w:rsidTr="00DA5950">
        <w:trPr>
          <w:trHeight w:val="240"/>
        </w:trPr>
        <w:tc>
          <w:tcPr>
            <w:tcW w:w="1132"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 xml:space="preserve">Gold </w:t>
            </w:r>
          </w:p>
        </w:tc>
        <w:tc>
          <w:tcPr>
            <w:tcW w:w="1227"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18.5</w:t>
            </w:r>
          </w:p>
        </w:tc>
        <w:tc>
          <w:tcPr>
            <w:tcW w:w="922"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34.5</w:t>
            </w:r>
          </w:p>
        </w:tc>
        <w:tc>
          <w:tcPr>
            <w:tcW w:w="1002"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216.0</w:t>
            </w:r>
          </w:p>
        </w:tc>
        <w:tc>
          <w:tcPr>
            <w:tcW w:w="717"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33.2</w:t>
            </w:r>
          </w:p>
        </w:tc>
      </w:tr>
      <w:tr w:rsidR="003C097D" w:rsidRPr="00AE6904" w:rsidTr="00DA5950">
        <w:trPr>
          <w:trHeight w:val="240"/>
        </w:trPr>
        <w:tc>
          <w:tcPr>
            <w:tcW w:w="1132"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Heavy Mineral Sands</w:t>
            </w:r>
          </w:p>
        </w:tc>
        <w:tc>
          <w:tcPr>
            <w:tcW w:w="1227"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4.2</w:t>
            </w:r>
          </w:p>
        </w:tc>
        <w:tc>
          <w:tcPr>
            <w:tcW w:w="922"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7.8</w:t>
            </w:r>
          </w:p>
        </w:tc>
        <w:tc>
          <w:tcPr>
            <w:tcW w:w="1002"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96.1</w:t>
            </w:r>
          </w:p>
        </w:tc>
        <w:tc>
          <w:tcPr>
            <w:tcW w:w="717"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14.8</w:t>
            </w:r>
          </w:p>
        </w:tc>
      </w:tr>
      <w:tr w:rsidR="003C097D" w:rsidRPr="00AE6904" w:rsidTr="00DA5950">
        <w:trPr>
          <w:trHeight w:val="240"/>
        </w:trPr>
        <w:tc>
          <w:tcPr>
            <w:tcW w:w="1132"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Other</w:t>
            </w:r>
          </w:p>
        </w:tc>
        <w:tc>
          <w:tcPr>
            <w:tcW w:w="1227"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29.6</w:t>
            </w:r>
          </w:p>
        </w:tc>
        <w:tc>
          <w:tcPr>
            <w:tcW w:w="922"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55.4</w:t>
            </w:r>
          </w:p>
        </w:tc>
        <w:tc>
          <w:tcPr>
            <w:tcW w:w="1002"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77.3</w:t>
            </w:r>
          </w:p>
        </w:tc>
        <w:tc>
          <w:tcPr>
            <w:tcW w:w="717"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11.9</w:t>
            </w:r>
          </w:p>
        </w:tc>
      </w:tr>
      <w:tr w:rsidR="003C097D" w:rsidRPr="00AE6904" w:rsidTr="00DA5950">
        <w:trPr>
          <w:trHeight w:val="240"/>
        </w:trPr>
        <w:tc>
          <w:tcPr>
            <w:tcW w:w="1132" w:type="pct"/>
            <w:shd w:val="clear" w:color="auto" w:fill="FFFFFF" w:themeFill="background1"/>
            <w:noWrap/>
            <w:hideMark/>
          </w:tcPr>
          <w:p w:rsidR="005955E6" w:rsidRPr="005955E6" w:rsidRDefault="005955E6" w:rsidP="00615AA5">
            <w:pPr>
              <w:rPr>
                <w:rFonts w:ascii="Calibri" w:hAnsi="Calibri" w:cs="Arial"/>
                <w:b/>
                <w:bCs/>
                <w:color w:val="000000"/>
                <w:sz w:val="20"/>
              </w:rPr>
            </w:pPr>
            <w:r w:rsidRPr="005955E6">
              <w:rPr>
                <w:rFonts w:ascii="Calibri" w:hAnsi="Calibri" w:cs="Arial"/>
                <w:b/>
                <w:bCs/>
                <w:color w:val="000000"/>
                <w:sz w:val="20"/>
              </w:rPr>
              <w:t>Total</w:t>
            </w:r>
          </w:p>
        </w:tc>
        <w:tc>
          <w:tcPr>
            <w:tcW w:w="1227"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53.5</w:t>
            </w:r>
          </w:p>
        </w:tc>
        <w:tc>
          <w:tcPr>
            <w:tcW w:w="922"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100.0</w:t>
            </w:r>
          </w:p>
        </w:tc>
        <w:tc>
          <w:tcPr>
            <w:tcW w:w="1002"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650.3</w:t>
            </w:r>
          </w:p>
        </w:tc>
        <w:tc>
          <w:tcPr>
            <w:tcW w:w="717"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100.0</w:t>
            </w:r>
          </w:p>
        </w:tc>
      </w:tr>
    </w:tbl>
    <w:p w:rsidR="005955E6" w:rsidRPr="005955E6" w:rsidRDefault="005955E6" w:rsidP="005955E6">
      <w:pPr>
        <w:jc w:val="both"/>
        <w:rPr>
          <w:rFonts w:ascii="Calibri" w:hAnsi="Calibri"/>
          <w:sz w:val="20"/>
        </w:rPr>
      </w:pPr>
      <w:r w:rsidRPr="005955E6">
        <w:rPr>
          <w:rFonts w:ascii="Calibri" w:hAnsi="Calibri"/>
          <w:sz w:val="20"/>
        </w:rPr>
        <w:t>Source: DEDJTR</w:t>
      </w:r>
    </w:p>
    <w:p w:rsidR="005955E6" w:rsidRDefault="005955E6" w:rsidP="005955E6">
      <w:pPr>
        <w:jc w:val="both"/>
        <w:rPr>
          <w:rFonts w:ascii="Calibri" w:hAnsi="Calibri"/>
          <w:sz w:val="20"/>
        </w:rPr>
      </w:pPr>
      <w:r w:rsidRPr="005955E6">
        <w:rPr>
          <w:rFonts w:ascii="Calibri" w:hAnsi="Calibri"/>
          <w:sz w:val="20"/>
        </w:rPr>
        <w:t>*Notes:  Expenditures are allocated to commodity according to the primary nominated mineral commodity on the licence. Brown coal includes all coal types.</w:t>
      </w:r>
    </w:p>
    <w:p w:rsidR="001B540A" w:rsidRPr="005955E6" w:rsidRDefault="001B540A" w:rsidP="005955E6">
      <w:pPr>
        <w:jc w:val="both"/>
        <w:rPr>
          <w:rFonts w:ascii="Calibri" w:hAnsi="Calibri"/>
          <w:sz w:val="20"/>
        </w:rPr>
      </w:pPr>
    </w:p>
    <w:p w:rsidR="005955E6" w:rsidRPr="005955E6" w:rsidRDefault="005955E6" w:rsidP="00615AA5">
      <w:pPr>
        <w:pStyle w:val="Heading2"/>
        <w:keepNext w:val="0"/>
        <w:numPr>
          <w:ilvl w:val="1"/>
          <w:numId w:val="6"/>
        </w:numPr>
        <w:tabs>
          <w:tab w:val="clear" w:pos="792"/>
          <w:tab w:val="num" w:pos="567"/>
        </w:tabs>
        <w:spacing w:before="0"/>
        <w:ind w:left="567" w:hanging="567"/>
        <w:jc w:val="left"/>
        <w:rPr>
          <w:rFonts w:ascii="Calibri" w:hAnsi="Calibri"/>
        </w:rPr>
      </w:pPr>
      <w:bookmarkStart w:id="55" w:name="_Toc96317354"/>
      <w:bookmarkStart w:id="56" w:name="_Toc125447285"/>
      <w:bookmarkStart w:id="57" w:name="_Toc157232804"/>
      <w:bookmarkStart w:id="58" w:name="_Toc228784371"/>
      <w:bookmarkStart w:id="59" w:name="_Toc279573134"/>
      <w:r w:rsidRPr="005955E6">
        <w:rPr>
          <w:rFonts w:ascii="Calibri" w:hAnsi="Calibri"/>
        </w:rPr>
        <w:t>Mineral production</w:t>
      </w:r>
      <w:bookmarkEnd w:id="55"/>
      <w:bookmarkEnd w:id="56"/>
      <w:bookmarkEnd w:id="57"/>
      <w:bookmarkEnd w:id="58"/>
      <w:bookmarkEnd w:id="59"/>
    </w:p>
    <w:p w:rsidR="005955E6" w:rsidRPr="005955E6" w:rsidRDefault="005955E6" w:rsidP="005955E6">
      <w:pPr>
        <w:jc w:val="both"/>
        <w:rPr>
          <w:rFonts w:ascii="Calibri" w:hAnsi="Calibri"/>
          <w:sz w:val="20"/>
        </w:rPr>
      </w:pPr>
      <w:bookmarkStart w:id="60" w:name="_Toc126483784"/>
      <w:bookmarkStart w:id="61" w:name="_Toc157237379"/>
      <w:bookmarkStart w:id="62" w:name="_Toc279573156"/>
    </w:p>
    <w:p w:rsidR="005955E6" w:rsidRPr="005955E6" w:rsidRDefault="005955E6" w:rsidP="005955E6">
      <w:pPr>
        <w:jc w:val="both"/>
        <w:rPr>
          <w:rFonts w:ascii="Calibri" w:hAnsi="Calibri"/>
          <w:sz w:val="20"/>
        </w:rPr>
      </w:pPr>
      <w:r w:rsidRPr="005955E6">
        <w:rPr>
          <w:rFonts w:ascii="Calibri" w:hAnsi="Calibri"/>
          <w:sz w:val="20"/>
        </w:rPr>
        <w:t xml:space="preserve">Victorian mineral production remains mostly brown coal, minerals sands, gold and, to a lesser degree, antimony. </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r w:rsidRPr="005955E6">
        <w:rPr>
          <w:rFonts w:ascii="Calibri" w:hAnsi="Calibri"/>
          <w:sz w:val="20"/>
        </w:rPr>
        <w:t>Brown coal production remains dominated by the electricity generation companies in the Latrobe Valley, namely Hazelwood Power Corporation, Loy Yang Power Ltd and Yallourn Energy Pty Ltd. The other major brown coal miner was Alcoa Australia Ltd, which produced brown coal at Anglesea to generate electricity for its Point Henry aluminium smelter. The Maddingley Brown Coal Company produces a very small amount of coal at Bacchus Marsh, mainly for fuel and soil conditioning purposes.</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r w:rsidRPr="005955E6">
        <w:rPr>
          <w:rFonts w:ascii="Calibri" w:hAnsi="Calibri"/>
          <w:sz w:val="20"/>
        </w:rPr>
        <w:t>Brown coal production in the Latrobe Valley fell by 1.5 million tonnes in 2013/14, though this was a marked recovery from the previous year’s fall of nearly 9 million tonnes. The largest fall was reported by the Loy Yang mine, which is partly explained by portfolio effect, following the take-over by AGL in mid-2012 and the achievement of cost and product efficiencies. Output from the Hazelwood mine was also negatively impacted by the February/March 2013 fires. The production at the Yallourn mine, which had been significantly impacted by the collapse of the Morwell River Diversion in June 2012 that resulted in flooding of part of the mine, recovered somewhat, but remains significantly below the pre-flooding levels. Additionally, brown coal production fluctuations can partly be explained by the changes in energy demand and also by the changes in the mix of energy sources.</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r w:rsidRPr="005955E6">
        <w:rPr>
          <w:rFonts w:ascii="Calibri" w:hAnsi="Calibri"/>
          <w:sz w:val="20"/>
        </w:rPr>
        <w:t>Gold production also fell, though only slightly, with volumes down to 225,148 ounces (from 225,776 in 2012/13). Gold production values, however, experienced a sharper decline, falling to 303.4 million from 333.1 million.</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highlight w:val="yellow"/>
        </w:rPr>
      </w:pPr>
      <w:r w:rsidRPr="005955E6">
        <w:rPr>
          <w:rFonts w:ascii="Calibri" w:hAnsi="Calibri"/>
          <w:sz w:val="20"/>
        </w:rPr>
        <w:t>Volume production of minerals increased significantly in 2013/14, on account of investment in production of heavy mineral sands.</w:t>
      </w:r>
    </w:p>
    <w:p w:rsidR="005955E6" w:rsidRPr="005955E6" w:rsidRDefault="005955E6" w:rsidP="005955E6">
      <w:pPr>
        <w:jc w:val="both"/>
        <w:rPr>
          <w:rFonts w:ascii="Calibri" w:hAnsi="Calibri"/>
          <w:sz w:val="20"/>
          <w:highlight w:val="yellow"/>
        </w:rPr>
      </w:pPr>
    </w:p>
    <w:p w:rsidR="005955E6" w:rsidRPr="005955E6" w:rsidRDefault="005955E6" w:rsidP="005955E6">
      <w:pPr>
        <w:jc w:val="both"/>
        <w:rPr>
          <w:rFonts w:ascii="Calibri" w:hAnsi="Calibri"/>
          <w:sz w:val="20"/>
        </w:rPr>
      </w:pPr>
      <w:r w:rsidRPr="005955E6">
        <w:rPr>
          <w:rFonts w:ascii="Calibri" w:hAnsi="Calibri"/>
          <w:sz w:val="20"/>
        </w:rPr>
        <w:lastRenderedPageBreak/>
        <w:t>In terms of value of mineral production (excluding brown coal), the total fell significantly from $1,007 million in 2011/12 to $660 million in 2012/13. The decline continued into 2013/14, though not to the same degree, with the total value down to $647 million.</w:t>
      </w:r>
    </w:p>
    <w:p w:rsidR="005955E6" w:rsidRPr="005955E6" w:rsidRDefault="005955E6" w:rsidP="005955E6">
      <w:pPr>
        <w:jc w:val="both"/>
        <w:rPr>
          <w:rFonts w:ascii="Calibri" w:hAnsi="Calibri"/>
          <w:sz w:val="20"/>
        </w:rPr>
      </w:pPr>
    </w:p>
    <w:p w:rsidR="005955E6" w:rsidRPr="005955E6" w:rsidRDefault="005955E6" w:rsidP="00DA5950">
      <w:pPr>
        <w:pStyle w:val="Heading3"/>
      </w:pPr>
      <w:r w:rsidRPr="005955E6">
        <w:t>Table 3.8 Mineral production</w:t>
      </w:r>
      <w:bookmarkEnd w:id="60"/>
      <w:bookmarkEnd w:id="61"/>
      <w:bookmarkEnd w:id="62"/>
      <w:r w:rsidRPr="005955E6">
        <w:t xml:space="preserve"> over time*</w:t>
      </w:r>
    </w:p>
    <w:p w:rsidR="005955E6" w:rsidRPr="005955E6" w:rsidRDefault="005955E6" w:rsidP="005955E6">
      <w:pPr>
        <w:jc w:val="both"/>
        <w:rPr>
          <w:rFonts w:ascii="Calibri" w:hAnsi="Calibri"/>
          <w:b/>
          <w:sz w:val="20"/>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ayout w:type="fixed"/>
        <w:tblLook w:val="04A0" w:firstRow="1" w:lastRow="0" w:firstColumn="1" w:lastColumn="0" w:noHBand="0" w:noVBand="1"/>
      </w:tblPr>
      <w:tblGrid>
        <w:gridCol w:w="752"/>
        <w:gridCol w:w="1107"/>
        <w:gridCol w:w="790"/>
        <w:gridCol w:w="633"/>
        <w:gridCol w:w="1109"/>
        <w:gridCol w:w="1105"/>
        <w:gridCol w:w="948"/>
        <w:gridCol w:w="922"/>
        <w:gridCol w:w="740"/>
        <w:gridCol w:w="744"/>
        <w:gridCol w:w="726"/>
        <w:gridCol w:w="732"/>
      </w:tblGrid>
      <w:tr w:rsidR="003C097D" w:rsidRPr="00C51A82" w:rsidTr="00DF2B38">
        <w:trPr>
          <w:trHeight w:val="735"/>
          <w:tblHeader/>
        </w:trPr>
        <w:tc>
          <w:tcPr>
            <w:tcW w:w="365" w:type="pct"/>
            <w:shd w:val="clear" w:color="auto" w:fill="FFFFFF" w:themeFill="background1"/>
            <w:hideMark/>
          </w:tcPr>
          <w:p w:rsidR="005955E6" w:rsidRPr="005955E6" w:rsidRDefault="00DF2B38" w:rsidP="00615AA5">
            <w:pPr>
              <w:rPr>
                <w:rFonts w:ascii="Calibri" w:hAnsi="Calibri" w:cs="Arial"/>
                <w:color w:val="000000"/>
                <w:sz w:val="20"/>
                <w:vertAlign w:val="subscript"/>
              </w:rPr>
            </w:pPr>
            <w:bookmarkStart w:id="63" w:name="ColumnTitle_3_8"/>
            <w:r w:rsidRPr="005955E6">
              <w:rPr>
                <w:rFonts w:ascii="Calibri" w:hAnsi="Calibri" w:cs="Arial"/>
                <w:color w:val="000000"/>
                <w:sz w:val="20"/>
                <w:vertAlign w:val="subscript"/>
              </w:rPr>
              <w:t>Year</w:t>
            </w:r>
          </w:p>
        </w:tc>
        <w:tc>
          <w:tcPr>
            <w:tcW w:w="537" w:type="pct"/>
            <w:shd w:val="clear" w:color="auto" w:fill="FFFFFF" w:themeFill="background1"/>
            <w:hideMark/>
          </w:tcPr>
          <w:p w:rsidR="005955E6" w:rsidRPr="005955E6" w:rsidRDefault="00DF2B38"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Fuel Minerals</w:t>
            </w:r>
            <w:r>
              <w:rPr>
                <w:rFonts w:ascii="Calibri" w:hAnsi="Calibri" w:cs="Arial"/>
                <w:color w:val="000000"/>
                <w:sz w:val="20"/>
                <w:vertAlign w:val="subscript"/>
              </w:rPr>
              <w:t>:</w:t>
            </w:r>
            <w:r w:rsidRPr="005955E6">
              <w:rPr>
                <w:rFonts w:ascii="Calibri" w:hAnsi="Calibri" w:cs="Arial"/>
                <w:color w:val="000000"/>
                <w:sz w:val="20"/>
                <w:vertAlign w:val="subscript"/>
              </w:rPr>
              <w:t xml:space="preserve"> </w:t>
            </w:r>
            <w:r w:rsidR="005955E6" w:rsidRPr="005955E6">
              <w:rPr>
                <w:rFonts w:ascii="Calibri" w:hAnsi="Calibri" w:cs="Arial"/>
                <w:color w:val="000000"/>
                <w:sz w:val="20"/>
                <w:vertAlign w:val="subscript"/>
              </w:rPr>
              <w:t>Brown Coal</w:t>
            </w:r>
          </w:p>
        </w:tc>
        <w:tc>
          <w:tcPr>
            <w:tcW w:w="383" w:type="pct"/>
            <w:shd w:val="clear" w:color="auto" w:fill="FFFFFF" w:themeFill="background1"/>
            <w:hideMark/>
          </w:tcPr>
          <w:p w:rsidR="005955E6" w:rsidRPr="005955E6" w:rsidRDefault="00DF2B38"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Metallic Minerals </w:t>
            </w:r>
            <w:r>
              <w:rPr>
                <w:rFonts w:ascii="Calibri" w:hAnsi="Calibri" w:cs="Arial"/>
                <w:color w:val="000000"/>
                <w:sz w:val="20"/>
                <w:vertAlign w:val="subscript"/>
              </w:rPr>
              <w:t>:</w:t>
            </w:r>
            <w:r w:rsidRPr="005955E6">
              <w:rPr>
                <w:rFonts w:ascii="Calibri" w:hAnsi="Calibri" w:cs="Arial"/>
                <w:color w:val="000000"/>
                <w:sz w:val="20"/>
                <w:vertAlign w:val="subscript"/>
              </w:rPr>
              <w:t xml:space="preserve"> </w:t>
            </w:r>
            <w:r w:rsidR="005955E6" w:rsidRPr="005955E6">
              <w:rPr>
                <w:rFonts w:ascii="Calibri" w:hAnsi="Calibri" w:cs="Arial"/>
                <w:color w:val="000000"/>
                <w:sz w:val="20"/>
                <w:vertAlign w:val="subscript"/>
              </w:rPr>
              <w:t>Gold</w:t>
            </w:r>
          </w:p>
        </w:tc>
        <w:tc>
          <w:tcPr>
            <w:tcW w:w="307" w:type="pct"/>
            <w:shd w:val="clear" w:color="auto" w:fill="FFFFFF" w:themeFill="background1"/>
            <w:hideMark/>
          </w:tcPr>
          <w:p w:rsidR="005955E6" w:rsidRPr="005955E6" w:rsidRDefault="00DF2B38" w:rsidP="00615AA5">
            <w:pPr>
              <w:rPr>
                <w:rFonts w:ascii="Calibri" w:hAnsi="Calibri" w:cs="Arial"/>
                <w:color w:val="000000"/>
                <w:sz w:val="20"/>
                <w:vertAlign w:val="subscript"/>
              </w:rPr>
            </w:pPr>
            <w:r w:rsidRPr="005955E6">
              <w:rPr>
                <w:rFonts w:ascii="Calibri" w:hAnsi="Calibri" w:cs="Arial"/>
                <w:color w:val="000000"/>
                <w:sz w:val="20"/>
                <w:vertAlign w:val="subscript"/>
              </w:rPr>
              <w:t>Metallic Minerals </w:t>
            </w:r>
            <w:r>
              <w:rPr>
                <w:rFonts w:ascii="Calibri" w:hAnsi="Calibri" w:cs="Arial"/>
                <w:color w:val="000000"/>
                <w:sz w:val="20"/>
                <w:vertAlign w:val="subscript"/>
              </w:rPr>
              <w:t>:</w:t>
            </w:r>
            <w:r w:rsidRPr="005955E6">
              <w:rPr>
                <w:rFonts w:ascii="Calibri" w:hAnsi="Calibri" w:cs="Arial"/>
                <w:color w:val="000000"/>
                <w:sz w:val="20"/>
                <w:vertAlign w:val="subscript"/>
              </w:rPr>
              <w:t xml:space="preserve"> </w:t>
            </w:r>
            <w:r w:rsidR="005955E6" w:rsidRPr="005955E6">
              <w:rPr>
                <w:rFonts w:ascii="Calibri" w:hAnsi="Calibri" w:cs="Arial"/>
                <w:color w:val="000000"/>
                <w:sz w:val="20"/>
                <w:vertAlign w:val="subscript"/>
              </w:rPr>
              <w:t xml:space="preserve">Anti-mony </w:t>
            </w:r>
          </w:p>
        </w:tc>
        <w:tc>
          <w:tcPr>
            <w:tcW w:w="538" w:type="pct"/>
            <w:shd w:val="clear" w:color="auto" w:fill="FFFFFF" w:themeFill="background1"/>
            <w:hideMark/>
          </w:tcPr>
          <w:p w:rsidR="005955E6" w:rsidRPr="005955E6" w:rsidRDefault="00DF2B38"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Metallic Minerals </w:t>
            </w:r>
            <w:r>
              <w:rPr>
                <w:rFonts w:ascii="Calibri" w:hAnsi="Calibri" w:cs="Arial"/>
                <w:color w:val="000000"/>
                <w:sz w:val="20"/>
                <w:vertAlign w:val="subscript"/>
              </w:rPr>
              <w:t>:</w:t>
            </w:r>
            <w:r w:rsidRPr="005955E6">
              <w:rPr>
                <w:rFonts w:ascii="Calibri" w:hAnsi="Calibri" w:cs="Arial"/>
                <w:color w:val="000000"/>
                <w:sz w:val="20"/>
                <w:vertAlign w:val="subscript"/>
              </w:rPr>
              <w:t xml:space="preserve"> </w:t>
            </w:r>
            <w:r w:rsidR="005955E6" w:rsidRPr="005955E6">
              <w:rPr>
                <w:rFonts w:ascii="Calibri" w:hAnsi="Calibri" w:cs="Arial"/>
                <w:color w:val="000000"/>
                <w:sz w:val="20"/>
                <w:vertAlign w:val="subscript"/>
              </w:rPr>
              <w:t>Copper Concentrate</w:t>
            </w:r>
          </w:p>
        </w:tc>
        <w:tc>
          <w:tcPr>
            <w:tcW w:w="536" w:type="pct"/>
            <w:shd w:val="clear" w:color="auto" w:fill="FFFFFF" w:themeFill="background1"/>
            <w:hideMark/>
          </w:tcPr>
          <w:p w:rsidR="005955E6" w:rsidRPr="005955E6" w:rsidRDefault="00DF2B38"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Metallic Minerals </w:t>
            </w:r>
            <w:r>
              <w:rPr>
                <w:rFonts w:ascii="Calibri" w:hAnsi="Calibri" w:cs="Arial"/>
                <w:color w:val="000000"/>
                <w:sz w:val="20"/>
                <w:vertAlign w:val="subscript"/>
              </w:rPr>
              <w:t>:</w:t>
            </w:r>
            <w:r w:rsidRPr="005955E6">
              <w:rPr>
                <w:rFonts w:ascii="Calibri" w:hAnsi="Calibri" w:cs="Arial"/>
                <w:color w:val="000000"/>
                <w:sz w:val="20"/>
                <w:vertAlign w:val="subscript"/>
              </w:rPr>
              <w:t xml:space="preserve"> </w:t>
            </w:r>
            <w:r w:rsidR="005955E6" w:rsidRPr="005955E6">
              <w:rPr>
                <w:rFonts w:ascii="Calibri" w:hAnsi="Calibri" w:cs="Arial"/>
                <w:color w:val="000000"/>
                <w:sz w:val="20"/>
                <w:vertAlign w:val="subscript"/>
              </w:rPr>
              <w:t>Zinc Concentrate</w:t>
            </w:r>
          </w:p>
        </w:tc>
        <w:tc>
          <w:tcPr>
            <w:tcW w:w="460" w:type="pct"/>
            <w:shd w:val="clear" w:color="auto" w:fill="FFFFFF" w:themeFill="background1"/>
            <w:hideMark/>
          </w:tcPr>
          <w:p w:rsidR="005955E6" w:rsidRPr="005955E6" w:rsidRDefault="00DF2B38"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Heavy Mineral Sands</w:t>
            </w:r>
            <w:r>
              <w:rPr>
                <w:rFonts w:ascii="Calibri" w:hAnsi="Calibri" w:cs="Arial"/>
                <w:color w:val="000000"/>
                <w:sz w:val="20"/>
                <w:vertAlign w:val="subscript"/>
              </w:rPr>
              <w:t>:</w:t>
            </w:r>
            <w:r w:rsidRPr="005955E6">
              <w:rPr>
                <w:rFonts w:ascii="Calibri" w:hAnsi="Calibri" w:cs="Arial"/>
                <w:color w:val="000000"/>
                <w:sz w:val="20"/>
                <w:vertAlign w:val="subscript"/>
              </w:rPr>
              <w:t xml:space="preserve"> </w:t>
            </w:r>
            <w:r w:rsidR="005955E6" w:rsidRPr="005955E6">
              <w:rPr>
                <w:rFonts w:ascii="Calibri" w:hAnsi="Calibri" w:cs="Arial"/>
                <w:color w:val="000000"/>
                <w:sz w:val="20"/>
                <w:vertAlign w:val="subscript"/>
              </w:rPr>
              <w:t>Zircon</w:t>
            </w:r>
          </w:p>
        </w:tc>
        <w:tc>
          <w:tcPr>
            <w:tcW w:w="447" w:type="pct"/>
            <w:shd w:val="clear" w:color="auto" w:fill="FFFFFF" w:themeFill="background1"/>
            <w:hideMark/>
          </w:tcPr>
          <w:p w:rsidR="005955E6" w:rsidRPr="005955E6" w:rsidRDefault="00DF2B38"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Heavy Mineral Sands</w:t>
            </w:r>
            <w:r>
              <w:rPr>
                <w:rFonts w:ascii="Calibri" w:hAnsi="Calibri" w:cs="Arial"/>
                <w:color w:val="000000"/>
                <w:sz w:val="20"/>
                <w:vertAlign w:val="subscript"/>
              </w:rPr>
              <w:t>:</w:t>
            </w:r>
            <w:r w:rsidRPr="005955E6">
              <w:rPr>
                <w:rFonts w:ascii="Calibri" w:hAnsi="Calibri" w:cs="Arial"/>
                <w:color w:val="000000"/>
                <w:sz w:val="20"/>
                <w:vertAlign w:val="subscript"/>
              </w:rPr>
              <w:t xml:space="preserve"> </w:t>
            </w:r>
            <w:r w:rsidR="005955E6" w:rsidRPr="005955E6">
              <w:rPr>
                <w:rFonts w:ascii="Calibri" w:hAnsi="Calibri" w:cs="Arial"/>
                <w:color w:val="000000"/>
                <w:sz w:val="20"/>
                <w:vertAlign w:val="subscript"/>
              </w:rPr>
              <w:t>Rutile</w:t>
            </w:r>
          </w:p>
        </w:tc>
        <w:tc>
          <w:tcPr>
            <w:tcW w:w="359" w:type="pct"/>
            <w:shd w:val="clear" w:color="auto" w:fill="FFFFFF" w:themeFill="background1"/>
            <w:hideMark/>
          </w:tcPr>
          <w:p w:rsidR="005955E6" w:rsidRPr="005955E6" w:rsidRDefault="00DF2B38"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Heavy Mineral Sands</w:t>
            </w:r>
            <w:r>
              <w:rPr>
                <w:rFonts w:ascii="Calibri" w:hAnsi="Calibri" w:cs="Arial"/>
                <w:color w:val="000000"/>
                <w:sz w:val="20"/>
                <w:vertAlign w:val="subscript"/>
              </w:rPr>
              <w:t>:</w:t>
            </w:r>
            <w:r w:rsidRPr="005955E6">
              <w:rPr>
                <w:rFonts w:ascii="Calibri" w:hAnsi="Calibri" w:cs="Arial"/>
                <w:color w:val="000000"/>
                <w:sz w:val="20"/>
                <w:vertAlign w:val="subscript"/>
              </w:rPr>
              <w:t xml:space="preserve"> </w:t>
            </w:r>
            <w:r w:rsidR="005955E6" w:rsidRPr="005955E6">
              <w:rPr>
                <w:rFonts w:ascii="Calibri" w:hAnsi="Calibri" w:cs="Arial"/>
                <w:color w:val="000000"/>
                <w:sz w:val="20"/>
                <w:vertAlign w:val="subscript"/>
              </w:rPr>
              <w:t>Ilmenite</w:t>
            </w:r>
          </w:p>
        </w:tc>
        <w:tc>
          <w:tcPr>
            <w:tcW w:w="361" w:type="pct"/>
            <w:shd w:val="clear" w:color="auto" w:fill="FFFFFF" w:themeFill="background1"/>
            <w:hideMark/>
          </w:tcPr>
          <w:p w:rsidR="005955E6" w:rsidRPr="005955E6" w:rsidRDefault="00DF2B38"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Industrial Minerals</w:t>
            </w:r>
            <w:r>
              <w:rPr>
                <w:rFonts w:ascii="Calibri" w:hAnsi="Calibri" w:cs="Arial"/>
                <w:color w:val="000000"/>
                <w:sz w:val="20"/>
                <w:vertAlign w:val="subscript"/>
              </w:rPr>
              <w:t>:</w:t>
            </w:r>
            <w:r w:rsidRPr="005955E6">
              <w:rPr>
                <w:rFonts w:ascii="Calibri" w:hAnsi="Calibri" w:cs="Arial"/>
                <w:color w:val="000000"/>
                <w:sz w:val="20"/>
                <w:vertAlign w:val="subscript"/>
              </w:rPr>
              <w:t xml:space="preserve"> </w:t>
            </w:r>
            <w:r w:rsidR="005955E6" w:rsidRPr="005955E6">
              <w:rPr>
                <w:rFonts w:ascii="Calibri" w:hAnsi="Calibri" w:cs="Arial"/>
                <w:color w:val="000000"/>
                <w:sz w:val="20"/>
                <w:vertAlign w:val="subscript"/>
              </w:rPr>
              <w:t>Feldspar</w:t>
            </w:r>
          </w:p>
        </w:tc>
        <w:tc>
          <w:tcPr>
            <w:tcW w:w="352" w:type="pct"/>
            <w:shd w:val="clear" w:color="auto" w:fill="FFFFFF" w:themeFill="background1"/>
            <w:hideMark/>
          </w:tcPr>
          <w:p w:rsidR="005955E6" w:rsidRPr="005955E6" w:rsidRDefault="00DF2B38"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Industrial Minerals</w:t>
            </w:r>
            <w:r>
              <w:rPr>
                <w:rFonts w:ascii="Calibri" w:hAnsi="Calibri" w:cs="Arial"/>
                <w:color w:val="000000"/>
                <w:sz w:val="20"/>
                <w:vertAlign w:val="subscript"/>
              </w:rPr>
              <w:t>:</w:t>
            </w:r>
            <w:r w:rsidRPr="005955E6">
              <w:rPr>
                <w:rFonts w:ascii="Calibri" w:hAnsi="Calibri" w:cs="Arial"/>
                <w:color w:val="000000"/>
                <w:sz w:val="20"/>
                <w:vertAlign w:val="subscript"/>
              </w:rPr>
              <w:t xml:space="preserve"> </w:t>
            </w:r>
            <w:r w:rsidR="005955E6" w:rsidRPr="005955E6">
              <w:rPr>
                <w:rFonts w:ascii="Calibri" w:hAnsi="Calibri" w:cs="Arial"/>
                <w:color w:val="000000"/>
                <w:sz w:val="20"/>
                <w:vertAlign w:val="subscript"/>
              </w:rPr>
              <w:t>Gypsum</w:t>
            </w:r>
          </w:p>
        </w:tc>
        <w:tc>
          <w:tcPr>
            <w:tcW w:w="355" w:type="pct"/>
            <w:shd w:val="clear" w:color="auto" w:fill="FFFFFF" w:themeFill="background1"/>
            <w:hideMark/>
          </w:tcPr>
          <w:p w:rsidR="005955E6" w:rsidRPr="005955E6" w:rsidRDefault="00DF2B38"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Industrial Minerals</w:t>
            </w:r>
            <w:r>
              <w:rPr>
                <w:rFonts w:ascii="Calibri" w:hAnsi="Calibri" w:cs="Arial"/>
                <w:color w:val="000000"/>
                <w:sz w:val="20"/>
                <w:vertAlign w:val="subscript"/>
              </w:rPr>
              <w:t>:</w:t>
            </w:r>
            <w:r w:rsidRPr="005955E6">
              <w:rPr>
                <w:rFonts w:ascii="Calibri" w:hAnsi="Calibri" w:cs="Arial"/>
                <w:color w:val="000000"/>
                <w:sz w:val="20"/>
                <w:vertAlign w:val="subscript"/>
              </w:rPr>
              <w:t xml:space="preserve"> </w:t>
            </w:r>
            <w:r w:rsidR="005955E6" w:rsidRPr="005955E6">
              <w:rPr>
                <w:rFonts w:ascii="Calibri" w:hAnsi="Calibri" w:cs="Arial"/>
                <w:color w:val="000000"/>
                <w:sz w:val="20"/>
                <w:vertAlign w:val="subscript"/>
              </w:rPr>
              <w:t>Kaolin and fine clay</w:t>
            </w:r>
          </w:p>
        </w:tc>
      </w:tr>
      <w:bookmarkEnd w:id="63"/>
      <w:tr w:rsidR="003C097D" w:rsidRPr="00C51A82" w:rsidTr="00DF2B38">
        <w:trPr>
          <w:trHeight w:val="270"/>
        </w:trPr>
        <w:tc>
          <w:tcPr>
            <w:tcW w:w="365" w:type="pct"/>
            <w:shd w:val="clear" w:color="auto" w:fill="FFFFFF" w:themeFill="background1"/>
            <w:noWrap/>
            <w:hideMark/>
          </w:tcPr>
          <w:p w:rsidR="005955E6" w:rsidRPr="005955E6" w:rsidRDefault="005955E6" w:rsidP="00615AA5">
            <w:pPr>
              <w:rPr>
                <w:rFonts w:ascii="Calibri" w:hAnsi="Calibri" w:cs="Arial"/>
                <w:color w:val="000000"/>
                <w:sz w:val="20"/>
                <w:vertAlign w:val="subscript"/>
              </w:rPr>
            </w:pPr>
            <w:r w:rsidRPr="005955E6">
              <w:rPr>
                <w:rFonts w:ascii="Calibri" w:hAnsi="Calibri" w:cs="Arial"/>
                <w:color w:val="000000"/>
                <w:sz w:val="20"/>
                <w:vertAlign w:val="subscript"/>
              </w:rPr>
              <w:t>1993/94</w:t>
            </w:r>
          </w:p>
        </w:tc>
        <w:tc>
          <w:tcPr>
            <w:tcW w:w="53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49,683</w:t>
            </w:r>
          </w:p>
        </w:tc>
        <w:tc>
          <w:tcPr>
            <w:tcW w:w="383"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125,960</w:t>
            </w:r>
          </w:p>
        </w:tc>
        <w:tc>
          <w:tcPr>
            <w:tcW w:w="30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538" w:type="pct"/>
            <w:shd w:val="clear" w:color="auto" w:fill="FFFFFF" w:themeFill="background1"/>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16,287</w:t>
            </w:r>
          </w:p>
        </w:tc>
        <w:tc>
          <w:tcPr>
            <w:tcW w:w="536"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1,012</w:t>
            </w:r>
          </w:p>
        </w:tc>
        <w:tc>
          <w:tcPr>
            <w:tcW w:w="460"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44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359"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361"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352"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176,800</w:t>
            </w:r>
          </w:p>
        </w:tc>
        <w:tc>
          <w:tcPr>
            <w:tcW w:w="355"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105,400</w:t>
            </w:r>
          </w:p>
        </w:tc>
      </w:tr>
      <w:tr w:rsidR="003C097D" w:rsidRPr="00C51A82" w:rsidTr="00DF2B38">
        <w:trPr>
          <w:trHeight w:val="270"/>
        </w:trPr>
        <w:tc>
          <w:tcPr>
            <w:tcW w:w="365" w:type="pct"/>
            <w:shd w:val="clear" w:color="auto" w:fill="FFFFFF" w:themeFill="background1"/>
            <w:noWrap/>
            <w:hideMark/>
          </w:tcPr>
          <w:p w:rsidR="005955E6" w:rsidRPr="005955E6" w:rsidRDefault="005955E6" w:rsidP="00615AA5">
            <w:pPr>
              <w:rPr>
                <w:rFonts w:ascii="Calibri" w:hAnsi="Calibri" w:cs="Arial"/>
                <w:color w:val="000000"/>
                <w:sz w:val="20"/>
                <w:vertAlign w:val="subscript"/>
              </w:rPr>
            </w:pPr>
            <w:r w:rsidRPr="005955E6">
              <w:rPr>
                <w:rFonts w:ascii="Calibri" w:hAnsi="Calibri" w:cs="Arial"/>
                <w:color w:val="000000"/>
                <w:sz w:val="20"/>
                <w:vertAlign w:val="subscript"/>
              </w:rPr>
              <w:t>1994/95</w:t>
            </w:r>
          </w:p>
        </w:tc>
        <w:tc>
          <w:tcPr>
            <w:tcW w:w="53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49,922</w:t>
            </w:r>
          </w:p>
        </w:tc>
        <w:tc>
          <w:tcPr>
            <w:tcW w:w="383"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138,876</w:t>
            </w:r>
          </w:p>
        </w:tc>
        <w:tc>
          <w:tcPr>
            <w:tcW w:w="30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538" w:type="pct"/>
            <w:shd w:val="clear" w:color="auto" w:fill="FFFFFF" w:themeFill="background1"/>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13,163</w:t>
            </w:r>
          </w:p>
        </w:tc>
        <w:tc>
          <w:tcPr>
            <w:tcW w:w="536"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5,947</w:t>
            </w:r>
          </w:p>
        </w:tc>
        <w:tc>
          <w:tcPr>
            <w:tcW w:w="460"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44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359"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361"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352"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193,100</w:t>
            </w:r>
          </w:p>
        </w:tc>
        <w:tc>
          <w:tcPr>
            <w:tcW w:w="355"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79,500</w:t>
            </w:r>
          </w:p>
        </w:tc>
      </w:tr>
      <w:tr w:rsidR="003C097D" w:rsidRPr="00C51A82" w:rsidTr="00DF2B38">
        <w:trPr>
          <w:trHeight w:val="270"/>
        </w:trPr>
        <w:tc>
          <w:tcPr>
            <w:tcW w:w="365" w:type="pct"/>
            <w:shd w:val="clear" w:color="auto" w:fill="FFFFFF" w:themeFill="background1"/>
            <w:noWrap/>
            <w:hideMark/>
          </w:tcPr>
          <w:p w:rsidR="005955E6" w:rsidRPr="005955E6" w:rsidRDefault="005955E6" w:rsidP="00615AA5">
            <w:pPr>
              <w:rPr>
                <w:rFonts w:ascii="Calibri" w:hAnsi="Calibri" w:cs="Arial"/>
                <w:color w:val="000000"/>
                <w:sz w:val="20"/>
                <w:vertAlign w:val="subscript"/>
              </w:rPr>
            </w:pPr>
            <w:r w:rsidRPr="005955E6">
              <w:rPr>
                <w:rFonts w:ascii="Calibri" w:hAnsi="Calibri" w:cs="Arial"/>
                <w:color w:val="000000"/>
                <w:sz w:val="20"/>
                <w:vertAlign w:val="subscript"/>
              </w:rPr>
              <w:t>1995/96</w:t>
            </w:r>
          </w:p>
        </w:tc>
        <w:tc>
          <w:tcPr>
            <w:tcW w:w="53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54,281</w:t>
            </w:r>
          </w:p>
        </w:tc>
        <w:tc>
          <w:tcPr>
            <w:tcW w:w="383"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155,550</w:t>
            </w:r>
          </w:p>
        </w:tc>
        <w:tc>
          <w:tcPr>
            <w:tcW w:w="30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538" w:type="pct"/>
            <w:shd w:val="clear" w:color="auto" w:fill="FFFFFF" w:themeFill="background1"/>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1,338</w:t>
            </w:r>
          </w:p>
        </w:tc>
        <w:tc>
          <w:tcPr>
            <w:tcW w:w="536"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6,384</w:t>
            </w:r>
          </w:p>
        </w:tc>
        <w:tc>
          <w:tcPr>
            <w:tcW w:w="460"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44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359"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361"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352"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198,667</w:t>
            </w:r>
          </w:p>
        </w:tc>
        <w:tc>
          <w:tcPr>
            <w:tcW w:w="355"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55,065</w:t>
            </w:r>
          </w:p>
        </w:tc>
      </w:tr>
      <w:tr w:rsidR="003C097D" w:rsidRPr="00C51A82" w:rsidTr="00DF2B38">
        <w:trPr>
          <w:trHeight w:val="270"/>
        </w:trPr>
        <w:tc>
          <w:tcPr>
            <w:tcW w:w="365" w:type="pct"/>
            <w:shd w:val="clear" w:color="auto" w:fill="FFFFFF" w:themeFill="background1"/>
            <w:noWrap/>
            <w:hideMark/>
          </w:tcPr>
          <w:p w:rsidR="005955E6" w:rsidRPr="005955E6" w:rsidRDefault="005955E6" w:rsidP="00615AA5">
            <w:pPr>
              <w:rPr>
                <w:rFonts w:ascii="Calibri" w:hAnsi="Calibri" w:cs="Arial"/>
                <w:color w:val="000000"/>
                <w:sz w:val="20"/>
                <w:vertAlign w:val="subscript"/>
              </w:rPr>
            </w:pPr>
            <w:r w:rsidRPr="005955E6">
              <w:rPr>
                <w:rFonts w:ascii="Calibri" w:hAnsi="Calibri" w:cs="Arial"/>
                <w:color w:val="000000"/>
                <w:sz w:val="20"/>
                <w:vertAlign w:val="subscript"/>
              </w:rPr>
              <w:t>1996/97</w:t>
            </w:r>
          </w:p>
        </w:tc>
        <w:tc>
          <w:tcPr>
            <w:tcW w:w="53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60,795</w:t>
            </w:r>
          </w:p>
        </w:tc>
        <w:tc>
          <w:tcPr>
            <w:tcW w:w="383"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151,229</w:t>
            </w:r>
          </w:p>
        </w:tc>
        <w:tc>
          <w:tcPr>
            <w:tcW w:w="30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538" w:type="pct"/>
            <w:shd w:val="clear" w:color="auto" w:fill="FFFFFF" w:themeFill="background1"/>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536"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460"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44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359"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361"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352"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501,495</w:t>
            </w:r>
          </w:p>
        </w:tc>
        <w:tc>
          <w:tcPr>
            <w:tcW w:w="355"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114,778</w:t>
            </w:r>
          </w:p>
        </w:tc>
      </w:tr>
      <w:tr w:rsidR="003C097D" w:rsidRPr="00C51A82" w:rsidTr="00DF2B38">
        <w:trPr>
          <w:trHeight w:val="270"/>
        </w:trPr>
        <w:tc>
          <w:tcPr>
            <w:tcW w:w="365" w:type="pct"/>
            <w:shd w:val="clear" w:color="auto" w:fill="FFFFFF" w:themeFill="background1"/>
            <w:noWrap/>
            <w:hideMark/>
          </w:tcPr>
          <w:p w:rsidR="005955E6" w:rsidRPr="005955E6" w:rsidRDefault="005955E6" w:rsidP="00615AA5">
            <w:pPr>
              <w:rPr>
                <w:rFonts w:ascii="Calibri" w:hAnsi="Calibri" w:cs="Arial"/>
                <w:color w:val="000000"/>
                <w:sz w:val="20"/>
                <w:vertAlign w:val="subscript"/>
              </w:rPr>
            </w:pPr>
            <w:r w:rsidRPr="005955E6">
              <w:rPr>
                <w:rFonts w:ascii="Calibri" w:hAnsi="Calibri" w:cs="Arial"/>
                <w:color w:val="000000"/>
                <w:sz w:val="20"/>
                <w:vertAlign w:val="subscript"/>
              </w:rPr>
              <w:t>1997/98</w:t>
            </w:r>
          </w:p>
        </w:tc>
        <w:tc>
          <w:tcPr>
            <w:tcW w:w="53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65,274</w:t>
            </w:r>
          </w:p>
        </w:tc>
        <w:tc>
          <w:tcPr>
            <w:tcW w:w="383"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160,122</w:t>
            </w:r>
          </w:p>
        </w:tc>
        <w:tc>
          <w:tcPr>
            <w:tcW w:w="30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538" w:type="pct"/>
            <w:shd w:val="clear" w:color="auto" w:fill="FFFFFF" w:themeFill="background1"/>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536"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460"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44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359"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361"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25,703</w:t>
            </w:r>
          </w:p>
        </w:tc>
        <w:tc>
          <w:tcPr>
            <w:tcW w:w="352"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479,820</w:t>
            </w:r>
          </w:p>
        </w:tc>
        <w:tc>
          <w:tcPr>
            <w:tcW w:w="355"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166,100</w:t>
            </w:r>
          </w:p>
        </w:tc>
      </w:tr>
      <w:tr w:rsidR="003C097D" w:rsidRPr="00C51A82" w:rsidTr="00DF2B38">
        <w:trPr>
          <w:trHeight w:val="270"/>
        </w:trPr>
        <w:tc>
          <w:tcPr>
            <w:tcW w:w="365" w:type="pct"/>
            <w:shd w:val="clear" w:color="auto" w:fill="FFFFFF" w:themeFill="background1"/>
            <w:noWrap/>
            <w:hideMark/>
          </w:tcPr>
          <w:p w:rsidR="005955E6" w:rsidRPr="005955E6" w:rsidRDefault="005955E6" w:rsidP="00615AA5">
            <w:pPr>
              <w:rPr>
                <w:rFonts w:ascii="Calibri" w:hAnsi="Calibri" w:cs="Arial"/>
                <w:color w:val="000000"/>
                <w:sz w:val="20"/>
                <w:vertAlign w:val="subscript"/>
              </w:rPr>
            </w:pPr>
            <w:r w:rsidRPr="005955E6">
              <w:rPr>
                <w:rFonts w:ascii="Calibri" w:hAnsi="Calibri" w:cs="Arial"/>
                <w:color w:val="000000"/>
                <w:sz w:val="20"/>
                <w:vertAlign w:val="subscript"/>
              </w:rPr>
              <w:t>1998/99</w:t>
            </w:r>
          </w:p>
        </w:tc>
        <w:tc>
          <w:tcPr>
            <w:tcW w:w="53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66,648</w:t>
            </w:r>
          </w:p>
        </w:tc>
        <w:tc>
          <w:tcPr>
            <w:tcW w:w="383"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159,088</w:t>
            </w:r>
          </w:p>
        </w:tc>
        <w:tc>
          <w:tcPr>
            <w:tcW w:w="30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538" w:type="pct"/>
            <w:shd w:val="clear" w:color="auto" w:fill="FFFFFF" w:themeFill="background1"/>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536"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460"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44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359"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361"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45,293</w:t>
            </w:r>
          </w:p>
        </w:tc>
        <w:tc>
          <w:tcPr>
            <w:tcW w:w="352"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404,917</w:t>
            </w:r>
          </w:p>
        </w:tc>
        <w:tc>
          <w:tcPr>
            <w:tcW w:w="355"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180,634</w:t>
            </w:r>
          </w:p>
        </w:tc>
      </w:tr>
      <w:tr w:rsidR="003C097D" w:rsidRPr="00C51A82" w:rsidTr="00DF2B38">
        <w:trPr>
          <w:trHeight w:val="270"/>
        </w:trPr>
        <w:tc>
          <w:tcPr>
            <w:tcW w:w="365" w:type="pct"/>
            <w:shd w:val="clear" w:color="auto" w:fill="FFFFFF" w:themeFill="background1"/>
            <w:noWrap/>
            <w:hideMark/>
          </w:tcPr>
          <w:p w:rsidR="005955E6" w:rsidRPr="005955E6" w:rsidRDefault="005955E6" w:rsidP="00615AA5">
            <w:pPr>
              <w:rPr>
                <w:rFonts w:ascii="Calibri" w:hAnsi="Calibri" w:cs="Arial"/>
                <w:color w:val="000000"/>
                <w:sz w:val="20"/>
                <w:vertAlign w:val="subscript"/>
              </w:rPr>
            </w:pPr>
            <w:r w:rsidRPr="005955E6">
              <w:rPr>
                <w:rFonts w:ascii="Calibri" w:hAnsi="Calibri" w:cs="Arial"/>
                <w:color w:val="000000"/>
                <w:sz w:val="20"/>
                <w:vertAlign w:val="subscript"/>
              </w:rPr>
              <w:t>1999/00</w:t>
            </w:r>
          </w:p>
        </w:tc>
        <w:tc>
          <w:tcPr>
            <w:tcW w:w="53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67,363</w:t>
            </w:r>
          </w:p>
        </w:tc>
        <w:tc>
          <w:tcPr>
            <w:tcW w:w="383"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154,043</w:t>
            </w:r>
          </w:p>
        </w:tc>
        <w:tc>
          <w:tcPr>
            <w:tcW w:w="30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538" w:type="pct"/>
            <w:shd w:val="clear" w:color="auto" w:fill="FFFFFF" w:themeFill="background1"/>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536"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460"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44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359"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361"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46,162</w:t>
            </w:r>
          </w:p>
        </w:tc>
        <w:tc>
          <w:tcPr>
            <w:tcW w:w="352"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462,806</w:t>
            </w:r>
          </w:p>
        </w:tc>
        <w:tc>
          <w:tcPr>
            <w:tcW w:w="355"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201,436</w:t>
            </w:r>
          </w:p>
        </w:tc>
      </w:tr>
      <w:tr w:rsidR="003C097D" w:rsidRPr="00C51A82" w:rsidTr="00DF2B38">
        <w:trPr>
          <w:trHeight w:val="270"/>
        </w:trPr>
        <w:tc>
          <w:tcPr>
            <w:tcW w:w="365" w:type="pct"/>
            <w:shd w:val="clear" w:color="auto" w:fill="FFFFFF" w:themeFill="background1"/>
            <w:noWrap/>
            <w:hideMark/>
          </w:tcPr>
          <w:p w:rsidR="005955E6" w:rsidRPr="005955E6" w:rsidRDefault="005955E6" w:rsidP="00615AA5">
            <w:pPr>
              <w:rPr>
                <w:rFonts w:ascii="Calibri" w:hAnsi="Calibri" w:cs="Arial"/>
                <w:color w:val="000000"/>
                <w:sz w:val="20"/>
                <w:vertAlign w:val="subscript"/>
              </w:rPr>
            </w:pPr>
            <w:r w:rsidRPr="005955E6">
              <w:rPr>
                <w:rFonts w:ascii="Calibri" w:hAnsi="Calibri" w:cs="Arial"/>
                <w:color w:val="000000"/>
                <w:sz w:val="20"/>
                <w:vertAlign w:val="subscript"/>
              </w:rPr>
              <w:t>2000/01</w:t>
            </w:r>
          </w:p>
        </w:tc>
        <w:tc>
          <w:tcPr>
            <w:tcW w:w="53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64,958</w:t>
            </w:r>
          </w:p>
        </w:tc>
        <w:tc>
          <w:tcPr>
            <w:tcW w:w="383"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122,632</w:t>
            </w:r>
          </w:p>
        </w:tc>
        <w:tc>
          <w:tcPr>
            <w:tcW w:w="30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538" w:type="pct"/>
            <w:shd w:val="clear" w:color="auto" w:fill="FFFFFF" w:themeFill="background1"/>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536"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460"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1,307</w:t>
            </w:r>
          </w:p>
        </w:tc>
        <w:tc>
          <w:tcPr>
            <w:tcW w:w="44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5,921</w:t>
            </w:r>
          </w:p>
        </w:tc>
        <w:tc>
          <w:tcPr>
            <w:tcW w:w="359"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361"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53,148</w:t>
            </w:r>
          </w:p>
        </w:tc>
        <w:tc>
          <w:tcPr>
            <w:tcW w:w="352"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437,694</w:t>
            </w:r>
          </w:p>
        </w:tc>
        <w:tc>
          <w:tcPr>
            <w:tcW w:w="355"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203,753</w:t>
            </w:r>
          </w:p>
        </w:tc>
      </w:tr>
      <w:tr w:rsidR="003C097D" w:rsidRPr="00C51A82" w:rsidTr="00DF2B38">
        <w:trPr>
          <w:trHeight w:val="270"/>
        </w:trPr>
        <w:tc>
          <w:tcPr>
            <w:tcW w:w="365" w:type="pct"/>
            <w:shd w:val="clear" w:color="auto" w:fill="FFFFFF" w:themeFill="background1"/>
            <w:noWrap/>
            <w:hideMark/>
          </w:tcPr>
          <w:p w:rsidR="005955E6" w:rsidRPr="005955E6" w:rsidRDefault="005955E6" w:rsidP="00615AA5">
            <w:pPr>
              <w:rPr>
                <w:rFonts w:ascii="Calibri" w:hAnsi="Calibri" w:cs="Arial"/>
                <w:color w:val="000000"/>
                <w:sz w:val="20"/>
                <w:vertAlign w:val="subscript"/>
              </w:rPr>
            </w:pPr>
            <w:r w:rsidRPr="005955E6">
              <w:rPr>
                <w:rFonts w:ascii="Calibri" w:hAnsi="Calibri" w:cs="Arial"/>
                <w:color w:val="000000"/>
                <w:sz w:val="20"/>
                <w:vertAlign w:val="subscript"/>
              </w:rPr>
              <w:t>2001/02</w:t>
            </w:r>
          </w:p>
        </w:tc>
        <w:tc>
          <w:tcPr>
            <w:tcW w:w="53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66,661</w:t>
            </w:r>
          </w:p>
        </w:tc>
        <w:tc>
          <w:tcPr>
            <w:tcW w:w="383"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112,283</w:t>
            </w:r>
          </w:p>
        </w:tc>
        <w:tc>
          <w:tcPr>
            <w:tcW w:w="30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538" w:type="pct"/>
            <w:shd w:val="clear" w:color="auto" w:fill="FFFFFF" w:themeFill="background1"/>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536"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460"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3,702</w:t>
            </w:r>
          </w:p>
        </w:tc>
        <w:tc>
          <w:tcPr>
            <w:tcW w:w="44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16,805</w:t>
            </w:r>
          </w:p>
        </w:tc>
        <w:tc>
          <w:tcPr>
            <w:tcW w:w="359"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28,123</w:t>
            </w:r>
          </w:p>
        </w:tc>
        <w:tc>
          <w:tcPr>
            <w:tcW w:w="361"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56,757</w:t>
            </w:r>
          </w:p>
        </w:tc>
        <w:tc>
          <w:tcPr>
            <w:tcW w:w="352"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600,931</w:t>
            </w:r>
          </w:p>
        </w:tc>
        <w:tc>
          <w:tcPr>
            <w:tcW w:w="355"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202,370</w:t>
            </w:r>
          </w:p>
        </w:tc>
      </w:tr>
      <w:tr w:rsidR="003C097D" w:rsidRPr="00C51A82" w:rsidTr="00DF2B38">
        <w:trPr>
          <w:trHeight w:val="270"/>
        </w:trPr>
        <w:tc>
          <w:tcPr>
            <w:tcW w:w="365" w:type="pct"/>
            <w:shd w:val="clear" w:color="auto" w:fill="FFFFFF" w:themeFill="background1"/>
            <w:noWrap/>
            <w:hideMark/>
          </w:tcPr>
          <w:p w:rsidR="005955E6" w:rsidRPr="005955E6" w:rsidRDefault="005955E6" w:rsidP="00615AA5">
            <w:pPr>
              <w:rPr>
                <w:rFonts w:ascii="Calibri" w:hAnsi="Calibri" w:cs="Arial"/>
                <w:color w:val="000000"/>
                <w:sz w:val="20"/>
                <w:vertAlign w:val="subscript"/>
              </w:rPr>
            </w:pPr>
            <w:r w:rsidRPr="005955E6">
              <w:rPr>
                <w:rFonts w:ascii="Calibri" w:hAnsi="Calibri" w:cs="Arial"/>
                <w:color w:val="000000"/>
                <w:sz w:val="20"/>
                <w:vertAlign w:val="subscript"/>
              </w:rPr>
              <w:t>2002/03</w:t>
            </w:r>
          </w:p>
        </w:tc>
        <w:tc>
          <w:tcPr>
            <w:tcW w:w="53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66,809</w:t>
            </w:r>
          </w:p>
        </w:tc>
        <w:tc>
          <w:tcPr>
            <w:tcW w:w="383"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107,544</w:t>
            </w:r>
          </w:p>
        </w:tc>
        <w:tc>
          <w:tcPr>
            <w:tcW w:w="30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538" w:type="pct"/>
            <w:shd w:val="clear" w:color="auto" w:fill="FFFFFF" w:themeFill="background1"/>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536"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460"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10,841</w:t>
            </w:r>
          </w:p>
        </w:tc>
        <w:tc>
          <w:tcPr>
            <w:tcW w:w="44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28,329</w:t>
            </w:r>
          </w:p>
        </w:tc>
        <w:tc>
          <w:tcPr>
            <w:tcW w:w="359"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50,984</w:t>
            </w:r>
          </w:p>
        </w:tc>
        <w:tc>
          <w:tcPr>
            <w:tcW w:w="361"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68,198</w:t>
            </w:r>
          </w:p>
        </w:tc>
        <w:tc>
          <w:tcPr>
            <w:tcW w:w="352"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420,293</w:t>
            </w:r>
          </w:p>
        </w:tc>
        <w:tc>
          <w:tcPr>
            <w:tcW w:w="355"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248,692</w:t>
            </w:r>
          </w:p>
        </w:tc>
      </w:tr>
      <w:tr w:rsidR="003C097D" w:rsidRPr="00C51A82" w:rsidTr="00DF2B38">
        <w:trPr>
          <w:trHeight w:val="270"/>
        </w:trPr>
        <w:tc>
          <w:tcPr>
            <w:tcW w:w="365" w:type="pct"/>
            <w:shd w:val="clear" w:color="auto" w:fill="FFFFFF" w:themeFill="background1"/>
            <w:noWrap/>
            <w:hideMark/>
          </w:tcPr>
          <w:p w:rsidR="005955E6" w:rsidRPr="005955E6" w:rsidRDefault="005955E6" w:rsidP="00615AA5">
            <w:pPr>
              <w:rPr>
                <w:rFonts w:ascii="Calibri" w:hAnsi="Calibri" w:cs="Arial"/>
                <w:color w:val="000000"/>
                <w:sz w:val="20"/>
                <w:vertAlign w:val="subscript"/>
              </w:rPr>
            </w:pPr>
            <w:r w:rsidRPr="005955E6">
              <w:rPr>
                <w:rFonts w:ascii="Calibri" w:hAnsi="Calibri" w:cs="Arial"/>
                <w:color w:val="000000"/>
                <w:sz w:val="20"/>
                <w:vertAlign w:val="subscript"/>
              </w:rPr>
              <w:t>2003/04</w:t>
            </w:r>
          </w:p>
        </w:tc>
        <w:tc>
          <w:tcPr>
            <w:tcW w:w="53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66,343</w:t>
            </w:r>
          </w:p>
        </w:tc>
        <w:tc>
          <w:tcPr>
            <w:tcW w:w="383"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104,188</w:t>
            </w:r>
          </w:p>
        </w:tc>
        <w:tc>
          <w:tcPr>
            <w:tcW w:w="30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538" w:type="pct"/>
            <w:shd w:val="clear" w:color="auto" w:fill="FFFFFF" w:themeFill="background1"/>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536"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460"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4,645</w:t>
            </w:r>
          </w:p>
        </w:tc>
        <w:tc>
          <w:tcPr>
            <w:tcW w:w="44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11,239</w:t>
            </w:r>
          </w:p>
        </w:tc>
        <w:tc>
          <w:tcPr>
            <w:tcW w:w="359"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19,978</w:t>
            </w:r>
          </w:p>
        </w:tc>
        <w:tc>
          <w:tcPr>
            <w:tcW w:w="361"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69,552</w:t>
            </w:r>
          </w:p>
        </w:tc>
        <w:tc>
          <w:tcPr>
            <w:tcW w:w="352"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439,906</w:t>
            </w:r>
          </w:p>
        </w:tc>
        <w:tc>
          <w:tcPr>
            <w:tcW w:w="355"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251,392</w:t>
            </w:r>
          </w:p>
        </w:tc>
      </w:tr>
      <w:tr w:rsidR="003C097D" w:rsidRPr="00C51A82" w:rsidTr="00DF2B38">
        <w:trPr>
          <w:trHeight w:val="270"/>
        </w:trPr>
        <w:tc>
          <w:tcPr>
            <w:tcW w:w="365" w:type="pct"/>
            <w:shd w:val="clear" w:color="auto" w:fill="FFFFFF" w:themeFill="background1"/>
            <w:noWrap/>
            <w:hideMark/>
          </w:tcPr>
          <w:p w:rsidR="005955E6" w:rsidRPr="005955E6" w:rsidRDefault="005955E6" w:rsidP="00615AA5">
            <w:pPr>
              <w:rPr>
                <w:rFonts w:ascii="Calibri" w:hAnsi="Calibri" w:cs="Arial"/>
                <w:color w:val="000000"/>
                <w:sz w:val="20"/>
                <w:vertAlign w:val="subscript"/>
              </w:rPr>
            </w:pPr>
            <w:r w:rsidRPr="005955E6">
              <w:rPr>
                <w:rFonts w:ascii="Calibri" w:hAnsi="Calibri" w:cs="Arial"/>
                <w:color w:val="000000"/>
                <w:sz w:val="20"/>
                <w:vertAlign w:val="subscript"/>
              </w:rPr>
              <w:t>2004/05</w:t>
            </w:r>
          </w:p>
        </w:tc>
        <w:tc>
          <w:tcPr>
            <w:tcW w:w="53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67,152</w:t>
            </w:r>
          </w:p>
        </w:tc>
        <w:tc>
          <w:tcPr>
            <w:tcW w:w="383"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123,308</w:t>
            </w:r>
          </w:p>
        </w:tc>
        <w:tc>
          <w:tcPr>
            <w:tcW w:w="30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538" w:type="pct"/>
            <w:shd w:val="clear" w:color="auto" w:fill="FFFFFF" w:themeFill="background1"/>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536"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460"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44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359"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361"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75,683</w:t>
            </w:r>
          </w:p>
        </w:tc>
        <w:tc>
          <w:tcPr>
            <w:tcW w:w="352"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346,522</w:t>
            </w:r>
          </w:p>
        </w:tc>
        <w:tc>
          <w:tcPr>
            <w:tcW w:w="355"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189,237</w:t>
            </w:r>
          </w:p>
        </w:tc>
      </w:tr>
      <w:tr w:rsidR="003C097D" w:rsidRPr="00C51A82" w:rsidTr="00DF2B38">
        <w:trPr>
          <w:trHeight w:val="270"/>
        </w:trPr>
        <w:tc>
          <w:tcPr>
            <w:tcW w:w="365" w:type="pct"/>
            <w:shd w:val="clear" w:color="auto" w:fill="FFFFFF" w:themeFill="background1"/>
            <w:noWrap/>
            <w:hideMark/>
          </w:tcPr>
          <w:p w:rsidR="005955E6" w:rsidRPr="005955E6" w:rsidRDefault="005955E6" w:rsidP="00615AA5">
            <w:pPr>
              <w:rPr>
                <w:rFonts w:ascii="Calibri" w:hAnsi="Calibri" w:cs="Arial"/>
                <w:color w:val="000000"/>
                <w:sz w:val="20"/>
                <w:vertAlign w:val="subscript"/>
              </w:rPr>
            </w:pPr>
            <w:r w:rsidRPr="005955E6">
              <w:rPr>
                <w:rFonts w:ascii="Calibri" w:hAnsi="Calibri" w:cs="Arial"/>
                <w:color w:val="000000"/>
                <w:sz w:val="20"/>
                <w:vertAlign w:val="subscript"/>
              </w:rPr>
              <w:t>2005/06</w:t>
            </w:r>
          </w:p>
        </w:tc>
        <w:tc>
          <w:tcPr>
            <w:tcW w:w="53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67,737</w:t>
            </w:r>
          </w:p>
        </w:tc>
        <w:tc>
          <w:tcPr>
            <w:tcW w:w="383"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203,352</w:t>
            </w:r>
          </w:p>
        </w:tc>
        <w:tc>
          <w:tcPr>
            <w:tcW w:w="30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538" w:type="pct"/>
            <w:shd w:val="clear" w:color="auto" w:fill="FFFFFF" w:themeFill="background1"/>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536"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460"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44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359"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361"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69,876</w:t>
            </w:r>
          </w:p>
        </w:tc>
        <w:tc>
          <w:tcPr>
            <w:tcW w:w="352"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416,294</w:t>
            </w:r>
          </w:p>
        </w:tc>
        <w:tc>
          <w:tcPr>
            <w:tcW w:w="355"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149,218</w:t>
            </w:r>
          </w:p>
        </w:tc>
      </w:tr>
      <w:tr w:rsidR="003C097D" w:rsidRPr="00C51A82" w:rsidTr="00DF2B38">
        <w:trPr>
          <w:trHeight w:val="270"/>
        </w:trPr>
        <w:tc>
          <w:tcPr>
            <w:tcW w:w="365" w:type="pct"/>
            <w:shd w:val="clear" w:color="auto" w:fill="FFFFFF" w:themeFill="background1"/>
            <w:noWrap/>
            <w:hideMark/>
          </w:tcPr>
          <w:p w:rsidR="005955E6" w:rsidRPr="005955E6" w:rsidRDefault="005955E6" w:rsidP="00615AA5">
            <w:pPr>
              <w:rPr>
                <w:rFonts w:ascii="Calibri" w:hAnsi="Calibri" w:cs="Arial"/>
                <w:color w:val="000000"/>
                <w:sz w:val="20"/>
                <w:vertAlign w:val="subscript"/>
              </w:rPr>
            </w:pPr>
            <w:r w:rsidRPr="005955E6">
              <w:rPr>
                <w:rFonts w:ascii="Calibri" w:hAnsi="Calibri" w:cs="Arial"/>
                <w:color w:val="000000"/>
                <w:sz w:val="20"/>
                <w:vertAlign w:val="subscript"/>
              </w:rPr>
              <w:t>2006/07</w:t>
            </w:r>
          </w:p>
        </w:tc>
        <w:tc>
          <w:tcPr>
            <w:tcW w:w="53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65,613</w:t>
            </w:r>
          </w:p>
        </w:tc>
        <w:tc>
          <w:tcPr>
            <w:tcW w:w="383"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224,927</w:t>
            </w:r>
          </w:p>
        </w:tc>
        <w:tc>
          <w:tcPr>
            <w:tcW w:w="30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1,033</w:t>
            </w:r>
          </w:p>
        </w:tc>
        <w:tc>
          <w:tcPr>
            <w:tcW w:w="538" w:type="pct"/>
            <w:shd w:val="clear" w:color="auto" w:fill="FFFFFF" w:themeFill="background1"/>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536"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460"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48,636</w:t>
            </w:r>
          </w:p>
        </w:tc>
        <w:tc>
          <w:tcPr>
            <w:tcW w:w="44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22,263</w:t>
            </w:r>
          </w:p>
        </w:tc>
        <w:tc>
          <w:tcPr>
            <w:tcW w:w="359"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361"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76,187</w:t>
            </w:r>
          </w:p>
        </w:tc>
        <w:tc>
          <w:tcPr>
            <w:tcW w:w="352"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235,266</w:t>
            </w:r>
          </w:p>
        </w:tc>
        <w:tc>
          <w:tcPr>
            <w:tcW w:w="355"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170,727</w:t>
            </w:r>
          </w:p>
        </w:tc>
      </w:tr>
      <w:tr w:rsidR="003C097D" w:rsidRPr="00C51A82" w:rsidTr="00DF2B38">
        <w:trPr>
          <w:trHeight w:val="270"/>
        </w:trPr>
        <w:tc>
          <w:tcPr>
            <w:tcW w:w="365" w:type="pct"/>
            <w:shd w:val="clear" w:color="auto" w:fill="FFFFFF" w:themeFill="background1"/>
            <w:noWrap/>
            <w:hideMark/>
          </w:tcPr>
          <w:p w:rsidR="005955E6" w:rsidRPr="005955E6" w:rsidRDefault="005955E6" w:rsidP="00615AA5">
            <w:pPr>
              <w:rPr>
                <w:rFonts w:ascii="Calibri" w:hAnsi="Calibri" w:cs="Arial"/>
                <w:color w:val="000000"/>
                <w:sz w:val="20"/>
                <w:vertAlign w:val="subscript"/>
              </w:rPr>
            </w:pPr>
            <w:r w:rsidRPr="005955E6">
              <w:rPr>
                <w:rFonts w:ascii="Calibri" w:hAnsi="Calibri" w:cs="Arial"/>
                <w:color w:val="000000"/>
                <w:sz w:val="20"/>
                <w:vertAlign w:val="subscript"/>
              </w:rPr>
              <w:t>2007/08</w:t>
            </w:r>
          </w:p>
        </w:tc>
        <w:tc>
          <w:tcPr>
            <w:tcW w:w="53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66,033</w:t>
            </w:r>
          </w:p>
        </w:tc>
        <w:tc>
          <w:tcPr>
            <w:tcW w:w="383"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181,100</w:t>
            </w:r>
          </w:p>
        </w:tc>
        <w:tc>
          <w:tcPr>
            <w:tcW w:w="30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1,468</w:t>
            </w:r>
          </w:p>
        </w:tc>
        <w:tc>
          <w:tcPr>
            <w:tcW w:w="538" w:type="pct"/>
            <w:shd w:val="clear" w:color="auto" w:fill="FFFFFF" w:themeFill="background1"/>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536"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460"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140,853</w:t>
            </w:r>
          </w:p>
        </w:tc>
        <w:tc>
          <w:tcPr>
            <w:tcW w:w="44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72,166</w:t>
            </w:r>
          </w:p>
        </w:tc>
        <w:tc>
          <w:tcPr>
            <w:tcW w:w="359"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13,503</w:t>
            </w:r>
          </w:p>
        </w:tc>
        <w:tc>
          <w:tcPr>
            <w:tcW w:w="361"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75,384</w:t>
            </w:r>
          </w:p>
        </w:tc>
        <w:tc>
          <w:tcPr>
            <w:tcW w:w="352"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395,717</w:t>
            </w:r>
          </w:p>
        </w:tc>
        <w:tc>
          <w:tcPr>
            <w:tcW w:w="355"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151,669</w:t>
            </w:r>
          </w:p>
        </w:tc>
      </w:tr>
      <w:tr w:rsidR="003C097D" w:rsidRPr="00C51A82" w:rsidTr="00DF2B38">
        <w:trPr>
          <w:trHeight w:val="270"/>
        </w:trPr>
        <w:tc>
          <w:tcPr>
            <w:tcW w:w="365" w:type="pct"/>
            <w:shd w:val="clear" w:color="auto" w:fill="FFFFFF" w:themeFill="background1"/>
            <w:noWrap/>
            <w:hideMark/>
          </w:tcPr>
          <w:p w:rsidR="005955E6" w:rsidRPr="005955E6" w:rsidRDefault="005955E6" w:rsidP="00615AA5">
            <w:pPr>
              <w:rPr>
                <w:rFonts w:ascii="Calibri" w:hAnsi="Calibri" w:cs="Arial"/>
                <w:color w:val="000000"/>
                <w:sz w:val="20"/>
                <w:vertAlign w:val="subscript"/>
              </w:rPr>
            </w:pPr>
            <w:r w:rsidRPr="005955E6">
              <w:rPr>
                <w:rFonts w:ascii="Calibri" w:hAnsi="Calibri" w:cs="Arial"/>
                <w:color w:val="000000"/>
                <w:sz w:val="20"/>
                <w:vertAlign w:val="subscript"/>
              </w:rPr>
              <w:t>2008/09</w:t>
            </w:r>
          </w:p>
        </w:tc>
        <w:tc>
          <w:tcPr>
            <w:tcW w:w="53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68,252</w:t>
            </w:r>
          </w:p>
        </w:tc>
        <w:tc>
          <w:tcPr>
            <w:tcW w:w="383"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248,918</w:t>
            </w:r>
          </w:p>
        </w:tc>
        <w:tc>
          <w:tcPr>
            <w:tcW w:w="30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2,133</w:t>
            </w:r>
          </w:p>
        </w:tc>
        <w:tc>
          <w:tcPr>
            <w:tcW w:w="538" w:type="pct"/>
            <w:shd w:val="clear" w:color="auto" w:fill="FFFFFF" w:themeFill="background1"/>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536"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460"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102,123</w:t>
            </w:r>
          </w:p>
        </w:tc>
        <w:tc>
          <w:tcPr>
            <w:tcW w:w="44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80,317</w:t>
            </w:r>
          </w:p>
        </w:tc>
        <w:tc>
          <w:tcPr>
            <w:tcW w:w="359"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361"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73,893</w:t>
            </w:r>
          </w:p>
        </w:tc>
        <w:tc>
          <w:tcPr>
            <w:tcW w:w="352"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313,145</w:t>
            </w:r>
          </w:p>
        </w:tc>
        <w:tc>
          <w:tcPr>
            <w:tcW w:w="355"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90,553</w:t>
            </w:r>
          </w:p>
        </w:tc>
      </w:tr>
      <w:tr w:rsidR="003C097D" w:rsidRPr="00C51A82" w:rsidTr="00DF2B38">
        <w:trPr>
          <w:trHeight w:val="270"/>
        </w:trPr>
        <w:tc>
          <w:tcPr>
            <w:tcW w:w="365" w:type="pct"/>
            <w:shd w:val="clear" w:color="auto" w:fill="FFFFFF" w:themeFill="background1"/>
            <w:noWrap/>
            <w:hideMark/>
          </w:tcPr>
          <w:p w:rsidR="005955E6" w:rsidRPr="005955E6" w:rsidRDefault="005955E6" w:rsidP="00615AA5">
            <w:pPr>
              <w:rPr>
                <w:rFonts w:ascii="Calibri" w:hAnsi="Calibri" w:cs="Arial"/>
                <w:color w:val="000000"/>
                <w:sz w:val="20"/>
                <w:vertAlign w:val="subscript"/>
              </w:rPr>
            </w:pPr>
            <w:r w:rsidRPr="005955E6">
              <w:rPr>
                <w:rFonts w:ascii="Calibri" w:hAnsi="Calibri" w:cs="Arial"/>
                <w:color w:val="000000"/>
                <w:sz w:val="20"/>
                <w:vertAlign w:val="subscript"/>
              </w:rPr>
              <w:t>2009/10</w:t>
            </w:r>
          </w:p>
        </w:tc>
        <w:tc>
          <w:tcPr>
            <w:tcW w:w="53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68,750</w:t>
            </w:r>
          </w:p>
        </w:tc>
        <w:tc>
          <w:tcPr>
            <w:tcW w:w="383"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241,965</w:t>
            </w:r>
          </w:p>
        </w:tc>
        <w:tc>
          <w:tcPr>
            <w:tcW w:w="30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2,357</w:t>
            </w:r>
          </w:p>
        </w:tc>
        <w:tc>
          <w:tcPr>
            <w:tcW w:w="538" w:type="pct"/>
            <w:shd w:val="clear" w:color="auto" w:fill="FFFFFF" w:themeFill="background1"/>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536"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460"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90,671</w:t>
            </w:r>
          </w:p>
        </w:tc>
        <w:tc>
          <w:tcPr>
            <w:tcW w:w="44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117,314</w:t>
            </w:r>
          </w:p>
        </w:tc>
        <w:tc>
          <w:tcPr>
            <w:tcW w:w="359"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27,904</w:t>
            </w:r>
          </w:p>
        </w:tc>
        <w:tc>
          <w:tcPr>
            <w:tcW w:w="361"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66,507</w:t>
            </w:r>
          </w:p>
        </w:tc>
        <w:tc>
          <w:tcPr>
            <w:tcW w:w="352"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315,509</w:t>
            </w:r>
          </w:p>
        </w:tc>
        <w:tc>
          <w:tcPr>
            <w:tcW w:w="355"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92,862</w:t>
            </w:r>
          </w:p>
        </w:tc>
      </w:tr>
      <w:tr w:rsidR="003C097D" w:rsidRPr="00C51A82" w:rsidTr="00DF2B38">
        <w:trPr>
          <w:trHeight w:val="270"/>
        </w:trPr>
        <w:tc>
          <w:tcPr>
            <w:tcW w:w="365" w:type="pct"/>
            <w:shd w:val="clear" w:color="auto" w:fill="FFFFFF" w:themeFill="background1"/>
            <w:noWrap/>
            <w:hideMark/>
          </w:tcPr>
          <w:p w:rsidR="005955E6" w:rsidRPr="005955E6" w:rsidRDefault="005955E6" w:rsidP="00615AA5">
            <w:pPr>
              <w:rPr>
                <w:rFonts w:ascii="Calibri" w:hAnsi="Calibri" w:cs="Arial"/>
                <w:color w:val="000000"/>
                <w:sz w:val="20"/>
                <w:vertAlign w:val="subscript"/>
              </w:rPr>
            </w:pPr>
            <w:r w:rsidRPr="005955E6">
              <w:rPr>
                <w:rFonts w:ascii="Calibri" w:hAnsi="Calibri" w:cs="Arial"/>
                <w:color w:val="000000"/>
                <w:sz w:val="20"/>
                <w:vertAlign w:val="subscript"/>
              </w:rPr>
              <w:t>2010/11</w:t>
            </w:r>
          </w:p>
        </w:tc>
        <w:tc>
          <w:tcPr>
            <w:tcW w:w="53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66,733</w:t>
            </w:r>
          </w:p>
        </w:tc>
        <w:tc>
          <w:tcPr>
            <w:tcW w:w="383"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186,146</w:t>
            </w:r>
          </w:p>
        </w:tc>
        <w:tc>
          <w:tcPr>
            <w:tcW w:w="30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4,859</w:t>
            </w:r>
          </w:p>
        </w:tc>
        <w:tc>
          <w:tcPr>
            <w:tcW w:w="538" w:type="pct"/>
            <w:shd w:val="clear" w:color="auto" w:fill="FFFFFF" w:themeFill="background1"/>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536"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460"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188,663</w:t>
            </w:r>
          </w:p>
        </w:tc>
        <w:tc>
          <w:tcPr>
            <w:tcW w:w="44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209,919</w:t>
            </w:r>
          </w:p>
        </w:tc>
        <w:tc>
          <w:tcPr>
            <w:tcW w:w="359"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82,075</w:t>
            </w:r>
          </w:p>
        </w:tc>
        <w:tc>
          <w:tcPr>
            <w:tcW w:w="361"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74,806</w:t>
            </w:r>
          </w:p>
        </w:tc>
        <w:tc>
          <w:tcPr>
            <w:tcW w:w="352"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289,528</w:t>
            </w:r>
          </w:p>
        </w:tc>
        <w:tc>
          <w:tcPr>
            <w:tcW w:w="355"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31,683</w:t>
            </w:r>
          </w:p>
        </w:tc>
      </w:tr>
      <w:tr w:rsidR="003C097D" w:rsidRPr="00C51A82" w:rsidTr="00DF2B38">
        <w:trPr>
          <w:trHeight w:val="270"/>
        </w:trPr>
        <w:tc>
          <w:tcPr>
            <w:tcW w:w="365" w:type="pct"/>
            <w:shd w:val="clear" w:color="auto" w:fill="FFFFFF" w:themeFill="background1"/>
            <w:noWrap/>
            <w:hideMark/>
          </w:tcPr>
          <w:p w:rsidR="005955E6" w:rsidRPr="005955E6" w:rsidRDefault="005955E6" w:rsidP="00615AA5">
            <w:pPr>
              <w:rPr>
                <w:rFonts w:ascii="Calibri" w:hAnsi="Calibri" w:cs="Arial"/>
                <w:color w:val="000000"/>
                <w:sz w:val="20"/>
                <w:vertAlign w:val="subscript"/>
              </w:rPr>
            </w:pPr>
            <w:r w:rsidRPr="005955E6">
              <w:rPr>
                <w:rFonts w:ascii="Calibri" w:hAnsi="Calibri" w:cs="Arial"/>
                <w:color w:val="000000"/>
                <w:sz w:val="20"/>
                <w:vertAlign w:val="subscript"/>
              </w:rPr>
              <w:t>2011/12</w:t>
            </w:r>
          </w:p>
        </w:tc>
        <w:tc>
          <w:tcPr>
            <w:tcW w:w="53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69,124</w:t>
            </w:r>
          </w:p>
        </w:tc>
        <w:tc>
          <w:tcPr>
            <w:tcW w:w="383"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211,201</w:t>
            </w:r>
          </w:p>
        </w:tc>
        <w:tc>
          <w:tcPr>
            <w:tcW w:w="30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5,007</w:t>
            </w:r>
          </w:p>
        </w:tc>
        <w:tc>
          <w:tcPr>
            <w:tcW w:w="538" w:type="pct"/>
            <w:shd w:val="clear" w:color="auto" w:fill="FFFFFF" w:themeFill="background1"/>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536"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460"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187,538</w:t>
            </w:r>
          </w:p>
        </w:tc>
        <w:tc>
          <w:tcPr>
            <w:tcW w:w="44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261,744</w:t>
            </w:r>
          </w:p>
        </w:tc>
        <w:tc>
          <w:tcPr>
            <w:tcW w:w="359"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42,814</w:t>
            </w:r>
          </w:p>
        </w:tc>
        <w:tc>
          <w:tcPr>
            <w:tcW w:w="361"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95,310</w:t>
            </w:r>
          </w:p>
        </w:tc>
        <w:tc>
          <w:tcPr>
            <w:tcW w:w="352"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630,258</w:t>
            </w:r>
          </w:p>
        </w:tc>
        <w:tc>
          <w:tcPr>
            <w:tcW w:w="355"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80,202</w:t>
            </w:r>
          </w:p>
        </w:tc>
      </w:tr>
      <w:tr w:rsidR="003C097D" w:rsidRPr="00C51A82" w:rsidTr="00DF2B38">
        <w:trPr>
          <w:trHeight w:val="270"/>
        </w:trPr>
        <w:tc>
          <w:tcPr>
            <w:tcW w:w="365" w:type="pct"/>
            <w:shd w:val="clear" w:color="auto" w:fill="FFFFFF" w:themeFill="background1"/>
            <w:noWrap/>
            <w:hideMark/>
          </w:tcPr>
          <w:p w:rsidR="005955E6" w:rsidRPr="005955E6" w:rsidRDefault="005955E6" w:rsidP="00615AA5">
            <w:pPr>
              <w:rPr>
                <w:rFonts w:ascii="Calibri" w:hAnsi="Calibri" w:cs="Arial"/>
                <w:color w:val="000000"/>
                <w:sz w:val="20"/>
                <w:vertAlign w:val="subscript"/>
              </w:rPr>
            </w:pPr>
            <w:r w:rsidRPr="005955E6">
              <w:rPr>
                <w:rFonts w:ascii="Calibri" w:hAnsi="Calibri" w:cs="Arial"/>
                <w:color w:val="000000"/>
                <w:sz w:val="20"/>
                <w:vertAlign w:val="subscript"/>
              </w:rPr>
              <w:t>2012/13</w:t>
            </w:r>
          </w:p>
        </w:tc>
        <w:tc>
          <w:tcPr>
            <w:tcW w:w="53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59,854</w:t>
            </w:r>
          </w:p>
        </w:tc>
        <w:tc>
          <w:tcPr>
            <w:tcW w:w="383"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225,776</w:t>
            </w:r>
          </w:p>
        </w:tc>
        <w:tc>
          <w:tcPr>
            <w:tcW w:w="30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4,558</w:t>
            </w:r>
          </w:p>
        </w:tc>
        <w:tc>
          <w:tcPr>
            <w:tcW w:w="538" w:type="pct"/>
            <w:shd w:val="clear" w:color="auto" w:fill="FFFFFF" w:themeFill="background1"/>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536"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460"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86,243</w:t>
            </w:r>
          </w:p>
        </w:tc>
        <w:tc>
          <w:tcPr>
            <w:tcW w:w="44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140,842</w:t>
            </w:r>
          </w:p>
        </w:tc>
        <w:tc>
          <w:tcPr>
            <w:tcW w:w="359"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67,067</w:t>
            </w:r>
          </w:p>
        </w:tc>
        <w:tc>
          <w:tcPr>
            <w:tcW w:w="361"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61,578</w:t>
            </w:r>
          </w:p>
        </w:tc>
        <w:tc>
          <w:tcPr>
            <w:tcW w:w="352"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499,681</w:t>
            </w:r>
          </w:p>
        </w:tc>
        <w:tc>
          <w:tcPr>
            <w:tcW w:w="355"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204,164</w:t>
            </w:r>
          </w:p>
        </w:tc>
      </w:tr>
      <w:tr w:rsidR="003C097D" w:rsidRPr="00C51A82" w:rsidTr="00DF2B38">
        <w:trPr>
          <w:trHeight w:val="270"/>
        </w:trPr>
        <w:tc>
          <w:tcPr>
            <w:tcW w:w="365" w:type="pct"/>
            <w:shd w:val="clear" w:color="auto" w:fill="FFFFFF" w:themeFill="background1"/>
            <w:noWrap/>
            <w:hideMark/>
          </w:tcPr>
          <w:p w:rsidR="005955E6" w:rsidRPr="005955E6" w:rsidRDefault="005955E6" w:rsidP="00615AA5">
            <w:pPr>
              <w:rPr>
                <w:rFonts w:ascii="Calibri" w:hAnsi="Calibri" w:cs="Arial"/>
                <w:color w:val="000000"/>
                <w:sz w:val="20"/>
                <w:vertAlign w:val="subscript"/>
              </w:rPr>
            </w:pPr>
            <w:r w:rsidRPr="005955E6">
              <w:rPr>
                <w:rFonts w:ascii="Calibri" w:hAnsi="Calibri" w:cs="Arial"/>
                <w:color w:val="000000"/>
                <w:sz w:val="20"/>
                <w:vertAlign w:val="subscript"/>
              </w:rPr>
              <w:t>2013/14</w:t>
            </w:r>
          </w:p>
        </w:tc>
        <w:tc>
          <w:tcPr>
            <w:tcW w:w="53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58,001</w:t>
            </w:r>
          </w:p>
        </w:tc>
        <w:tc>
          <w:tcPr>
            <w:tcW w:w="383"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225,168</w:t>
            </w:r>
          </w:p>
        </w:tc>
        <w:tc>
          <w:tcPr>
            <w:tcW w:w="30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5,336</w:t>
            </w:r>
          </w:p>
        </w:tc>
        <w:tc>
          <w:tcPr>
            <w:tcW w:w="538" w:type="pct"/>
            <w:shd w:val="clear" w:color="auto" w:fill="FFFFFF" w:themeFill="background1"/>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536"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460"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128,064</w:t>
            </w:r>
          </w:p>
        </w:tc>
        <w:tc>
          <w:tcPr>
            <w:tcW w:w="44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243,355</w:t>
            </w:r>
          </w:p>
        </w:tc>
        <w:tc>
          <w:tcPr>
            <w:tcW w:w="359"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563,371</w:t>
            </w:r>
          </w:p>
        </w:tc>
        <w:tc>
          <w:tcPr>
            <w:tcW w:w="361"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44,254</w:t>
            </w:r>
          </w:p>
        </w:tc>
        <w:tc>
          <w:tcPr>
            <w:tcW w:w="352"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454,526</w:t>
            </w:r>
          </w:p>
        </w:tc>
        <w:tc>
          <w:tcPr>
            <w:tcW w:w="355"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167,333</w:t>
            </w:r>
          </w:p>
        </w:tc>
      </w:tr>
      <w:tr w:rsidR="003C097D" w:rsidRPr="00C51A82" w:rsidTr="00DF2B38">
        <w:trPr>
          <w:trHeight w:val="270"/>
        </w:trPr>
        <w:tc>
          <w:tcPr>
            <w:tcW w:w="365" w:type="pct"/>
            <w:shd w:val="clear" w:color="auto" w:fill="FFFFFF" w:themeFill="background1"/>
            <w:noWrap/>
            <w:hideMark/>
          </w:tcPr>
          <w:p w:rsidR="005955E6" w:rsidRPr="005955E6" w:rsidRDefault="005955E6" w:rsidP="00615AA5">
            <w:pPr>
              <w:rPr>
                <w:rFonts w:ascii="Calibri" w:hAnsi="Calibri" w:cs="Arial"/>
                <w:color w:val="000000"/>
                <w:sz w:val="20"/>
                <w:vertAlign w:val="subscript"/>
              </w:rPr>
            </w:pPr>
            <w:r w:rsidRPr="005955E6">
              <w:rPr>
                <w:rFonts w:ascii="Calibri" w:hAnsi="Calibri" w:cs="Arial"/>
                <w:color w:val="000000"/>
                <w:sz w:val="20"/>
                <w:vertAlign w:val="subscript"/>
              </w:rPr>
              <w:t>Change year-on-year (%)</w:t>
            </w:r>
          </w:p>
        </w:tc>
        <w:tc>
          <w:tcPr>
            <w:tcW w:w="53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-3.10</w:t>
            </w:r>
          </w:p>
        </w:tc>
        <w:tc>
          <w:tcPr>
            <w:tcW w:w="383"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-0.27</w:t>
            </w:r>
          </w:p>
        </w:tc>
        <w:tc>
          <w:tcPr>
            <w:tcW w:w="30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17.06</w:t>
            </w:r>
          </w:p>
        </w:tc>
        <w:tc>
          <w:tcPr>
            <w:tcW w:w="538"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536"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w:t>
            </w:r>
          </w:p>
        </w:tc>
        <w:tc>
          <w:tcPr>
            <w:tcW w:w="460"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48.49</w:t>
            </w:r>
          </w:p>
        </w:tc>
        <w:tc>
          <w:tcPr>
            <w:tcW w:w="447"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72.79</w:t>
            </w:r>
          </w:p>
        </w:tc>
        <w:tc>
          <w:tcPr>
            <w:tcW w:w="359"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740.01</w:t>
            </w:r>
          </w:p>
        </w:tc>
        <w:tc>
          <w:tcPr>
            <w:tcW w:w="361"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-28.13</w:t>
            </w:r>
          </w:p>
        </w:tc>
        <w:tc>
          <w:tcPr>
            <w:tcW w:w="352"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-9.04</w:t>
            </w:r>
          </w:p>
        </w:tc>
        <w:tc>
          <w:tcPr>
            <w:tcW w:w="355" w:type="pct"/>
            <w:shd w:val="clear" w:color="auto" w:fill="FFFFFF" w:themeFill="background1"/>
            <w:noWrap/>
            <w:hideMark/>
          </w:tcPr>
          <w:p w:rsidR="005955E6" w:rsidRPr="005955E6" w:rsidRDefault="005955E6" w:rsidP="005955E6">
            <w:pPr>
              <w:jc w:val="center"/>
              <w:rPr>
                <w:rFonts w:ascii="Calibri" w:hAnsi="Calibri" w:cs="Arial"/>
                <w:color w:val="000000"/>
                <w:sz w:val="20"/>
                <w:vertAlign w:val="subscript"/>
              </w:rPr>
            </w:pPr>
            <w:r w:rsidRPr="005955E6">
              <w:rPr>
                <w:rFonts w:ascii="Calibri" w:hAnsi="Calibri" w:cs="Arial"/>
                <w:color w:val="000000"/>
                <w:sz w:val="20"/>
                <w:vertAlign w:val="subscript"/>
              </w:rPr>
              <w:t>-18.04</w:t>
            </w:r>
          </w:p>
        </w:tc>
      </w:tr>
    </w:tbl>
    <w:p w:rsidR="005955E6" w:rsidRPr="005955E6" w:rsidRDefault="005955E6" w:rsidP="005955E6">
      <w:pPr>
        <w:jc w:val="both"/>
        <w:rPr>
          <w:rFonts w:ascii="Calibri" w:hAnsi="Calibri"/>
          <w:sz w:val="20"/>
        </w:rPr>
      </w:pPr>
      <w:r w:rsidRPr="005955E6">
        <w:rPr>
          <w:rFonts w:ascii="Calibri" w:hAnsi="Calibri"/>
          <w:sz w:val="20"/>
        </w:rPr>
        <w:t>Source: DEDJTR, Statutory returns under the MRSDA.</w:t>
      </w:r>
    </w:p>
    <w:p w:rsidR="005955E6" w:rsidRDefault="005955E6" w:rsidP="005955E6">
      <w:pPr>
        <w:jc w:val="both"/>
        <w:rPr>
          <w:rFonts w:ascii="Calibri" w:hAnsi="Calibri"/>
          <w:sz w:val="16"/>
          <w:szCs w:val="16"/>
        </w:rPr>
      </w:pPr>
      <w:r w:rsidRPr="005955E6">
        <w:rPr>
          <w:rFonts w:ascii="Calibri" w:hAnsi="Calibri"/>
          <w:sz w:val="16"/>
          <w:szCs w:val="16"/>
        </w:rPr>
        <w:t xml:space="preserve">*Gold reported in ounces, brown coal in million tonnes, gypsum in cubic meters, and the remainder in tonnes. </w:t>
      </w:r>
    </w:p>
    <w:p w:rsidR="001B540A" w:rsidRPr="005955E6" w:rsidRDefault="001B540A" w:rsidP="005955E6">
      <w:pPr>
        <w:jc w:val="both"/>
        <w:rPr>
          <w:rFonts w:ascii="Calibri" w:hAnsi="Calibri"/>
          <w:sz w:val="20"/>
        </w:rPr>
      </w:pPr>
    </w:p>
    <w:p w:rsidR="00DF2B38" w:rsidRDefault="00DF2B38">
      <w:pPr>
        <w:rPr>
          <w:rFonts w:ascii="Calibri" w:hAnsi="Calibri"/>
          <w:b/>
          <w:sz w:val="20"/>
        </w:rPr>
      </w:pPr>
      <w:bookmarkStart w:id="64" w:name="_Hlt125529909"/>
      <w:bookmarkStart w:id="65" w:name="_Toc126483785"/>
      <w:bookmarkStart w:id="66" w:name="_Toc157237380"/>
      <w:bookmarkStart w:id="67" w:name="_Toc279573157"/>
      <w:bookmarkEnd w:id="64"/>
      <w:r>
        <w:rPr>
          <w:rFonts w:ascii="Calibri" w:hAnsi="Calibri"/>
          <w:b/>
          <w:sz w:val="20"/>
        </w:rPr>
        <w:br w:type="page"/>
      </w:r>
    </w:p>
    <w:p w:rsidR="005955E6" w:rsidRPr="005955E6" w:rsidRDefault="005955E6" w:rsidP="00DF2B38">
      <w:pPr>
        <w:pStyle w:val="Heading3"/>
      </w:pPr>
      <w:r w:rsidRPr="005955E6">
        <w:lastRenderedPageBreak/>
        <w:t>Table 3.9 Mineral production sales values (A$ million) 2013/</w:t>
      </w:r>
      <w:bookmarkEnd w:id="65"/>
      <w:bookmarkEnd w:id="66"/>
      <w:r w:rsidRPr="005955E6">
        <w:t>14</w:t>
      </w:r>
      <w:bookmarkEnd w:id="67"/>
    </w:p>
    <w:p w:rsidR="005955E6" w:rsidRPr="005955E6" w:rsidRDefault="005955E6" w:rsidP="005955E6">
      <w:pPr>
        <w:jc w:val="both"/>
        <w:rPr>
          <w:rFonts w:ascii="Calibri" w:hAnsi="Calibri"/>
          <w:b/>
          <w:sz w:val="20"/>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ook w:val="04A0" w:firstRow="1" w:lastRow="0" w:firstColumn="1" w:lastColumn="0" w:noHBand="0" w:noVBand="1"/>
      </w:tblPr>
      <w:tblGrid>
        <w:gridCol w:w="2808"/>
        <w:gridCol w:w="2532"/>
        <w:gridCol w:w="2286"/>
        <w:gridCol w:w="2682"/>
      </w:tblGrid>
      <w:tr w:rsidR="003C097D" w:rsidRPr="008E4AEF" w:rsidTr="00DF2B38">
        <w:trPr>
          <w:trHeight w:val="240"/>
          <w:tblHeader/>
        </w:trPr>
        <w:tc>
          <w:tcPr>
            <w:tcW w:w="1362" w:type="pct"/>
            <w:shd w:val="clear" w:color="auto" w:fill="FFFFFF" w:themeFill="background1"/>
            <w:noWrap/>
            <w:hideMark/>
          </w:tcPr>
          <w:p w:rsidR="005955E6" w:rsidRPr="005955E6" w:rsidRDefault="005955E6" w:rsidP="00615AA5">
            <w:pPr>
              <w:rPr>
                <w:rFonts w:ascii="Calibri" w:hAnsi="Calibri" w:cs="Arial"/>
                <w:b/>
                <w:bCs/>
                <w:color w:val="000000"/>
                <w:sz w:val="20"/>
              </w:rPr>
            </w:pPr>
            <w:bookmarkStart w:id="68" w:name="ColumnTitle_3_9"/>
            <w:r w:rsidRPr="005955E6">
              <w:rPr>
                <w:rFonts w:ascii="Calibri" w:hAnsi="Calibri" w:cs="Arial"/>
                <w:b/>
                <w:bCs/>
                <w:color w:val="000000"/>
                <w:sz w:val="20"/>
              </w:rPr>
              <w:t>Mineral</w:t>
            </w:r>
          </w:p>
        </w:tc>
        <w:tc>
          <w:tcPr>
            <w:tcW w:w="1228" w:type="pct"/>
            <w:shd w:val="clear" w:color="auto" w:fill="FFFFFF" w:themeFill="background1"/>
            <w:noWrap/>
            <w:hideMark/>
          </w:tcPr>
          <w:p w:rsidR="005955E6" w:rsidRPr="005955E6" w:rsidRDefault="005955E6" w:rsidP="005955E6">
            <w:pPr>
              <w:jc w:val="center"/>
              <w:rPr>
                <w:rFonts w:ascii="Calibri" w:hAnsi="Calibri" w:cs="Arial"/>
                <w:b/>
                <w:color w:val="000000"/>
                <w:sz w:val="20"/>
              </w:rPr>
            </w:pPr>
            <w:r w:rsidRPr="005955E6">
              <w:rPr>
                <w:rFonts w:ascii="Calibri" w:hAnsi="Calibri" w:cs="Arial"/>
                <w:b/>
                <w:color w:val="000000"/>
                <w:sz w:val="20"/>
              </w:rPr>
              <w:t>2012/13</w:t>
            </w:r>
          </w:p>
        </w:tc>
        <w:tc>
          <w:tcPr>
            <w:tcW w:w="1109" w:type="pct"/>
            <w:shd w:val="clear" w:color="auto" w:fill="FFFFFF" w:themeFill="background1"/>
            <w:noWrap/>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2013/14</w:t>
            </w:r>
          </w:p>
        </w:tc>
        <w:tc>
          <w:tcPr>
            <w:tcW w:w="1301" w:type="pct"/>
            <w:shd w:val="clear" w:color="auto" w:fill="FFFFFF" w:themeFill="background1"/>
            <w:noWrap/>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Change year-on-year (%)</w:t>
            </w:r>
          </w:p>
        </w:tc>
      </w:tr>
      <w:bookmarkEnd w:id="68"/>
      <w:tr w:rsidR="003C097D" w:rsidRPr="008E4AEF" w:rsidTr="00DF2B38">
        <w:trPr>
          <w:trHeight w:val="240"/>
        </w:trPr>
        <w:tc>
          <w:tcPr>
            <w:tcW w:w="1362"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Brown Coal*</w:t>
            </w:r>
          </w:p>
        </w:tc>
        <w:tc>
          <w:tcPr>
            <w:tcW w:w="1228"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n/a</w:t>
            </w:r>
          </w:p>
        </w:tc>
        <w:tc>
          <w:tcPr>
            <w:tcW w:w="1109"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n/a</w:t>
            </w:r>
          </w:p>
        </w:tc>
        <w:tc>
          <w:tcPr>
            <w:tcW w:w="1301"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n/a</w:t>
            </w:r>
          </w:p>
        </w:tc>
      </w:tr>
      <w:tr w:rsidR="003C097D" w:rsidRPr="008E4AEF" w:rsidTr="00DF2B38">
        <w:trPr>
          <w:trHeight w:val="240"/>
        </w:trPr>
        <w:tc>
          <w:tcPr>
            <w:tcW w:w="1362"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Gold</w:t>
            </w:r>
          </w:p>
        </w:tc>
        <w:tc>
          <w:tcPr>
            <w:tcW w:w="1228"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333.1</w:t>
            </w:r>
          </w:p>
        </w:tc>
        <w:tc>
          <w:tcPr>
            <w:tcW w:w="1109"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303.4</w:t>
            </w:r>
          </w:p>
        </w:tc>
        <w:tc>
          <w:tcPr>
            <w:tcW w:w="1301"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-8.9</w:t>
            </w:r>
          </w:p>
        </w:tc>
      </w:tr>
      <w:tr w:rsidR="003C097D" w:rsidRPr="008E4AEF" w:rsidTr="00DF2B38">
        <w:trPr>
          <w:trHeight w:val="240"/>
        </w:trPr>
        <w:tc>
          <w:tcPr>
            <w:tcW w:w="1362"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Antimony</w:t>
            </w:r>
          </w:p>
        </w:tc>
        <w:tc>
          <w:tcPr>
            <w:tcW w:w="1228"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30.8</w:t>
            </w:r>
          </w:p>
        </w:tc>
        <w:tc>
          <w:tcPr>
            <w:tcW w:w="1109"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12.5</w:t>
            </w:r>
          </w:p>
        </w:tc>
        <w:tc>
          <w:tcPr>
            <w:tcW w:w="1301"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-59.3</w:t>
            </w:r>
          </w:p>
        </w:tc>
      </w:tr>
      <w:tr w:rsidR="003C097D" w:rsidRPr="008E4AEF" w:rsidTr="00DF2B38">
        <w:trPr>
          <w:trHeight w:val="240"/>
        </w:trPr>
        <w:tc>
          <w:tcPr>
            <w:tcW w:w="1362"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Heavy Mineral Sands</w:t>
            </w:r>
          </w:p>
        </w:tc>
        <w:tc>
          <w:tcPr>
            <w:tcW w:w="1228"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282.7</w:t>
            </w:r>
          </w:p>
        </w:tc>
        <w:tc>
          <w:tcPr>
            <w:tcW w:w="1109"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316.5</w:t>
            </w:r>
          </w:p>
        </w:tc>
        <w:tc>
          <w:tcPr>
            <w:tcW w:w="1301"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12.0</w:t>
            </w:r>
          </w:p>
        </w:tc>
      </w:tr>
      <w:tr w:rsidR="003C097D" w:rsidRPr="008E4AEF" w:rsidTr="00DF2B38">
        <w:trPr>
          <w:trHeight w:val="240"/>
        </w:trPr>
        <w:tc>
          <w:tcPr>
            <w:tcW w:w="1362"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Industrial Minerals</w:t>
            </w:r>
          </w:p>
        </w:tc>
        <w:tc>
          <w:tcPr>
            <w:tcW w:w="1228"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12.8</w:t>
            </w:r>
          </w:p>
        </w:tc>
        <w:tc>
          <w:tcPr>
            <w:tcW w:w="1109"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14.1</w:t>
            </w:r>
          </w:p>
        </w:tc>
        <w:tc>
          <w:tcPr>
            <w:tcW w:w="1301"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9.8</w:t>
            </w:r>
          </w:p>
        </w:tc>
      </w:tr>
      <w:tr w:rsidR="003C097D" w:rsidRPr="008E4AEF" w:rsidTr="00DF2B38">
        <w:trPr>
          <w:trHeight w:val="240"/>
        </w:trPr>
        <w:tc>
          <w:tcPr>
            <w:tcW w:w="1362"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Others</w:t>
            </w:r>
          </w:p>
        </w:tc>
        <w:tc>
          <w:tcPr>
            <w:tcW w:w="1228"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0.3</w:t>
            </w:r>
          </w:p>
        </w:tc>
        <w:tc>
          <w:tcPr>
            <w:tcW w:w="1109"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0.2</w:t>
            </w:r>
          </w:p>
        </w:tc>
        <w:tc>
          <w:tcPr>
            <w:tcW w:w="1301" w:type="pct"/>
            <w:shd w:val="clear" w:color="auto" w:fill="FFFFFF" w:themeFill="background1"/>
            <w:noWrap/>
            <w:vAlign w:val="bottom"/>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-47.6</w:t>
            </w:r>
          </w:p>
        </w:tc>
      </w:tr>
      <w:tr w:rsidR="003C097D" w:rsidRPr="008E4AEF" w:rsidTr="00DF2B38">
        <w:trPr>
          <w:trHeight w:val="240"/>
        </w:trPr>
        <w:tc>
          <w:tcPr>
            <w:tcW w:w="1362" w:type="pct"/>
            <w:shd w:val="clear" w:color="auto" w:fill="FFFFFF" w:themeFill="background1"/>
            <w:noWrap/>
            <w:hideMark/>
          </w:tcPr>
          <w:p w:rsidR="005955E6" w:rsidRPr="005955E6" w:rsidRDefault="005955E6" w:rsidP="00615AA5">
            <w:pPr>
              <w:rPr>
                <w:rFonts w:ascii="Calibri" w:hAnsi="Calibri" w:cs="Arial"/>
                <w:b/>
                <w:bCs/>
                <w:color w:val="000000"/>
                <w:sz w:val="20"/>
              </w:rPr>
            </w:pPr>
            <w:r w:rsidRPr="005955E6">
              <w:rPr>
                <w:rFonts w:ascii="Calibri" w:hAnsi="Calibri" w:cs="Arial"/>
                <w:b/>
                <w:bCs/>
                <w:color w:val="000000"/>
                <w:sz w:val="20"/>
              </w:rPr>
              <w:t>Total (excl. brown coal)</w:t>
            </w:r>
          </w:p>
        </w:tc>
        <w:tc>
          <w:tcPr>
            <w:tcW w:w="1228" w:type="pct"/>
            <w:shd w:val="clear" w:color="auto" w:fill="FFFFFF" w:themeFill="background1"/>
            <w:noWrap/>
            <w:vAlign w:val="bottom"/>
            <w:hideMark/>
          </w:tcPr>
          <w:p w:rsidR="005955E6" w:rsidRPr="005955E6" w:rsidRDefault="005955E6" w:rsidP="005955E6">
            <w:pPr>
              <w:jc w:val="center"/>
              <w:rPr>
                <w:rFonts w:ascii="Calibri" w:hAnsi="Calibri" w:cs="Arial"/>
                <w:b/>
                <w:color w:val="000000"/>
                <w:sz w:val="20"/>
              </w:rPr>
            </w:pPr>
            <w:r w:rsidRPr="005955E6">
              <w:rPr>
                <w:rFonts w:ascii="Calibri" w:hAnsi="Calibri" w:cs="Arial"/>
                <w:b/>
                <w:color w:val="000000"/>
                <w:sz w:val="20"/>
              </w:rPr>
              <w:t>659.7</w:t>
            </w:r>
          </w:p>
        </w:tc>
        <w:tc>
          <w:tcPr>
            <w:tcW w:w="1109" w:type="pct"/>
            <w:shd w:val="clear" w:color="auto" w:fill="FFFFFF" w:themeFill="background1"/>
            <w:noWrap/>
            <w:vAlign w:val="bottom"/>
            <w:hideMark/>
          </w:tcPr>
          <w:p w:rsidR="005955E6" w:rsidRPr="005955E6" w:rsidRDefault="005955E6" w:rsidP="005955E6">
            <w:pPr>
              <w:jc w:val="center"/>
              <w:rPr>
                <w:rFonts w:ascii="Calibri" w:hAnsi="Calibri" w:cs="Arial"/>
                <w:b/>
                <w:color w:val="000000"/>
                <w:sz w:val="20"/>
              </w:rPr>
            </w:pPr>
            <w:r w:rsidRPr="005955E6">
              <w:rPr>
                <w:rFonts w:ascii="Calibri" w:hAnsi="Calibri" w:cs="Arial"/>
                <w:b/>
                <w:color w:val="000000"/>
                <w:sz w:val="20"/>
              </w:rPr>
              <w:t>646.6</w:t>
            </w:r>
          </w:p>
        </w:tc>
        <w:tc>
          <w:tcPr>
            <w:tcW w:w="1301" w:type="pct"/>
            <w:shd w:val="clear" w:color="auto" w:fill="FFFFFF" w:themeFill="background1"/>
            <w:noWrap/>
            <w:vAlign w:val="bottom"/>
          </w:tcPr>
          <w:p w:rsidR="005955E6" w:rsidRPr="005955E6" w:rsidRDefault="005955E6" w:rsidP="005955E6">
            <w:pPr>
              <w:jc w:val="center"/>
              <w:rPr>
                <w:rFonts w:ascii="Calibri" w:hAnsi="Calibri" w:cs="Arial"/>
                <w:b/>
                <w:color w:val="000000"/>
                <w:sz w:val="20"/>
              </w:rPr>
            </w:pPr>
            <w:r w:rsidRPr="005955E6">
              <w:rPr>
                <w:rFonts w:ascii="Calibri" w:hAnsi="Calibri" w:cs="Arial"/>
                <w:b/>
                <w:color w:val="000000"/>
                <w:sz w:val="20"/>
              </w:rPr>
              <w:t>-2.0</w:t>
            </w:r>
          </w:p>
        </w:tc>
      </w:tr>
    </w:tbl>
    <w:p w:rsidR="005955E6" w:rsidRPr="005955E6" w:rsidRDefault="005955E6" w:rsidP="005955E6">
      <w:pPr>
        <w:jc w:val="both"/>
        <w:rPr>
          <w:rFonts w:ascii="Calibri" w:hAnsi="Calibri"/>
          <w:sz w:val="20"/>
        </w:rPr>
      </w:pPr>
      <w:r w:rsidRPr="005955E6">
        <w:rPr>
          <w:rFonts w:ascii="Calibri" w:hAnsi="Calibri"/>
          <w:sz w:val="20"/>
        </w:rPr>
        <w:t>Source: DEDJTR, Statutory returns under the MRSDA.</w:t>
      </w:r>
    </w:p>
    <w:p w:rsidR="001B540A" w:rsidRDefault="005955E6" w:rsidP="005955E6">
      <w:pPr>
        <w:jc w:val="both"/>
        <w:rPr>
          <w:rFonts w:ascii="Calibri" w:hAnsi="Calibri"/>
          <w:sz w:val="16"/>
          <w:szCs w:val="16"/>
        </w:rPr>
      </w:pPr>
      <w:r w:rsidRPr="005955E6">
        <w:rPr>
          <w:rFonts w:ascii="Calibri" w:hAnsi="Calibri"/>
          <w:sz w:val="16"/>
          <w:szCs w:val="16"/>
        </w:rPr>
        <w:t xml:space="preserve">*No unit value is assigned to brown coal for the purposes of determining its production value. Brown coal is almost entirely used for electricity production and is largely an internal transfer within mining/generation entities. As such, there is no available market price for brown coal. </w:t>
      </w:r>
      <w:bookmarkStart w:id="69" w:name="_Toc94694203"/>
      <w:bookmarkStart w:id="70" w:name="_Toc96511038"/>
      <w:bookmarkStart w:id="71" w:name="_Toc126484575"/>
      <w:bookmarkStart w:id="72" w:name="_Toc279573242"/>
    </w:p>
    <w:p w:rsidR="00DF2B38" w:rsidRDefault="00DF2B38" w:rsidP="005955E6">
      <w:pPr>
        <w:jc w:val="both"/>
        <w:rPr>
          <w:rFonts w:ascii="Calibri" w:hAnsi="Calibri"/>
          <w:b/>
          <w:sz w:val="20"/>
        </w:rPr>
      </w:pPr>
    </w:p>
    <w:p w:rsidR="005955E6" w:rsidRPr="005955E6" w:rsidRDefault="005955E6" w:rsidP="00DF2B38">
      <w:pPr>
        <w:pStyle w:val="Heading3"/>
      </w:pPr>
      <w:r w:rsidRPr="005955E6">
        <w:t>Table 3.10 Gold Producers (production more than 500 ounces) 2013/14</w:t>
      </w:r>
    </w:p>
    <w:p w:rsidR="005955E6" w:rsidRPr="005955E6" w:rsidRDefault="005955E6" w:rsidP="005955E6">
      <w:pPr>
        <w:jc w:val="both"/>
        <w:rPr>
          <w:rFonts w:ascii="Calibri" w:hAnsi="Calibri"/>
          <w:b/>
          <w:sz w:val="20"/>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ook w:val="0000" w:firstRow="0" w:lastRow="0" w:firstColumn="0" w:lastColumn="0" w:noHBand="0" w:noVBand="0"/>
      </w:tblPr>
      <w:tblGrid>
        <w:gridCol w:w="4384"/>
        <w:gridCol w:w="1620"/>
        <w:gridCol w:w="1051"/>
        <w:gridCol w:w="1721"/>
        <w:gridCol w:w="1532"/>
      </w:tblGrid>
      <w:tr w:rsidR="003C097D" w:rsidRPr="008F5AFD" w:rsidTr="00DF2B38">
        <w:trPr>
          <w:trHeight w:val="20"/>
          <w:tblHeader/>
        </w:trPr>
        <w:tc>
          <w:tcPr>
            <w:tcW w:w="2126" w:type="pct"/>
            <w:shd w:val="clear" w:color="auto" w:fill="FFFFFF" w:themeFill="background1"/>
          </w:tcPr>
          <w:p w:rsidR="005955E6" w:rsidRPr="005955E6" w:rsidRDefault="005955E6" w:rsidP="005955E6">
            <w:pPr>
              <w:jc w:val="both"/>
              <w:rPr>
                <w:rFonts w:ascii="Calibri" w:hAnsi="Calibri"/>
                <w:b/>
                <w:sz w:val="20"/>
              </w:rPr>
            </w:pPr>
            <w:bookmarkStart w:id="73" w:name="ColumnTitle_3_10"/>
            <w:r w:rsidRPr="005955E6">
              <w:rPr>
                <w:rFonts w:ascii="Calibri" w:hAnsi="Calibri"/>
                <w:b/>
                <w:sz w:val="20"/>
              </w:rPr>
              <w:t>Producer</w:t>
            </w:r>
          </w:p>
        </w:tc>
        <w:tc>
          <w:tcPr>
            <w:tcW w:w="786" w:type="pct"/>
            <w:shd w:val="clear" w:color="auto" w:fill="FFFFFF" w:themeFill="background1"/>
          </w:tcPr>
          <w:p w:rsidR="005955E6" w:rsidRPr="005955E6" w:rsidRDefault="005955E6" w:rsidP="005955E6">
            <w:pPr>
              <w:jc w:val="both"/>
              <w:rPr>
                <w:rFonts w:ascii="Calibri" w:hAnsi="Calibri"/>
                <w:b/>
                <w:sz w:val="20"/>
              </w:rPr>
            </w:pPr>
            <w:r w:rsidRPr="005955E6">
              <w:rPr>
                <w:rFonts w:ascii="Calibri" w:hAnsi="Calibri"/>
                <w:b/>
                <w:sz w:val="20"/>
              </w:rPr>
              <w:t>Location</w:t>
            </w:r>
          </w:p>
        </w:tc>
        <w:tc>
          <w:tcPr>
            <w:tcW w:w="510" w:type="pct"/>
            <w:shd w:val="clear" w:color="auto" w:fill="FFFFFF" w:themeFill="background1"/>
          </w:tcPr>
          <w:p w:rsidR="005955E6" w:rsidRPr="005955E6" w:rsidRDefault="005955E6" w:rsidP="005955E6">
            <w:pPr>
              <w:jc w:val="both"/>
              <w:rPr>
                <w:rFonts w:ascii="Calibri" w:hAnsi="Calibri"/>
                <w:b/>
                <w:sz w:val="20"/>
              </w:rPr>
            </w:pPr>
            <w:r w:rsidRPr="005955E6">
              <w:rPr>
                <w:rFonts w:ascii="Calibri" w:hAnsi="Calibri"/>
                <w:b/>
                <w:sz w:val="20"/>
              </w:rPr>
              <w:t>Licence</w:t>
            </w:r>
          </w:p>
        </w:tc>
        <w:tc>
          <w:tcPr>
            <w:tcW w:w="835" w:type="pct"/>
            <w:shd w:val="clear" w:color="auto" w:fill="FFFFFF" w:themeFill="background1"/>
          </w:tcPr>
          <w:p w:rsidR="005955E6" w:rsidRPr="005955E6" w:rsidRDefault="005955E6" w:rsidP="005955E6">
            <w:pPr>
              <w:jc w:val="center"/>
              <w:rPr>
                <w:rFonts w:ascii="Calibri" w:hAnsi="Calibri"/>
                <w:b/>
                <w:sz w:val="20"/>
              </w:rPr>
            </w:pPr>
            <w:r w:rsidRPr="005955E6">
              <w:rPr>
                <w:rFonts w:ascii="Calibri" w:hAnsi="Calibri"/>
                <w:b/>
                <w:sz w:val="20"/>
              </w:rPr>
              <w:t>Production (oz)</w:t>
            </w:r>
          </w:p>
        </w:tc>
        <w:tc>
          <w:tcPr>
            <w:tcW w:w="743" w:type="pct"/>
            <w:shd w:val="clear" w:color="auto" w:fill="FFFFFF" w:themeFill="background1"/>
          </w:tcPr>
          <w:p w:rsidR="005955E6" w:rsidRPr="005955E6" w:rsidRDefault="005955E6" w:rsidP="005955E6">
            <w:pPr>
              <w:jc w:val="center"/>
              <w:rPr>
                <w:rFonts w:ascii="Calibri" w:hAnsi="Calibri"/>
                <w:b/>
                <w:sz w:val="20"/>
              </w:rPr>
            </w:pPr>
            <w:r w:rsidRPr="005955E6">
              <w:rPr>
                <w:rFonts w:ascii="Calibri" w:hAnsi="Calibri"/>
                <w:b/>
                <w:sz w:val="20"/>
              </w:rPr>
              <w:t>Value ($Am)**</w:t>
            </w:r>
          </w:p>
        </w:tc>
      </w:tr>
      <w:bookmarkEnd w:id="73"/>
      <w:tr w:rsidR="003C097D" w:rsidRPr="008F5AFD" w:rsidTr="00DF2B38">
        <w:trPr>
          <w:trHeight w:val="20"/>
        </w:trPr>
        <w:tc>
          <w:tcPr>
            <w:tcW w:w="2126"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 xml:space="preserve">Fosterville Gold Mine Pty Ltd </w:t>
            </w:r>
          </w:p>
        </w:tc>
        <w:tc>
          <w:tcPr>
            <w:tcW w:w="786"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Fosterville</w:t>
            </w:r>
          </w:p>
        </w:tc>
        <w:tc>
          <w:tcPr>
            <w:tcW w:w="510"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MIN 5404</w:t>
            </w:r>
          </w:p>
        </w:tc>
        <w:tc>
          <w:tcPr>
            <w:tcW w:w="835"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99,381</w:t>
            </w:r>
          </w:p>
        </w:tc>
        <w:tc>
          <w:tcPr>
            <w:tcW w:w="743" w:type="pct"/>
            <w:shd w:val="clear" w:color="auto" w:fill="FFFFFF" w:themeFill="background1"/>
            <w:noWrap/>
            <w:vAlign w:val="bottom"/>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140.1</w:t>
            </w:r>
          </w:p>
        </w:tc>
      </w:tr>
      <w:tr w:rsidR="003C097D" w:rsidRPr="008F5AFD" w:rsidTr="00DF2B38">
        <w:trPr>
          <w:trHeight w:val="20"/>
        </w:trPr>
        <w:tc>
          <w:tcPr>
            <w:tcW w:w="2126"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 xml:space="preserve">Stawell Gold Mines Pty Ltd </w:t>
            </w:r>
          </w:p>
        </w:tc>
        <w:tc>
          <w:tcPr>
            <w:tcW w:w="786"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Stawell</w:t>
            </w:r>
          </w:p>
        </w:tc>
        <w:tc>
          <w:tcPr>
            <w:tcW w:w="510"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MIN 5260</w:t>
            </w:r>
          </w:p>
        </w:tc>
        <w:tc>
          <w:tcPr>
            <w:tcW w:w="835"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47,797</w:t>
            </w:r>
          </w:p>
        </w:tc>
        <w:tc>
          <w:tcPr>
            <w:tcW w:w="743" w:type="pct"/>
            <w:shd w:val="clear" w:color="auto" w:fill="FFFFFF" w:themeFill="background1"/>
            <w:noWrap/>
            <w:vAlign w:val="bottom"/>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54.6</w:t>
            </w:r>
          </w:p>
        </w:tc>
      </w:tr>
      <w:tr w:rsidR="003C097D" w:rsidRPr="008F5AFD" w:rsidTr="00DF2B38">
        <w:trPr>
          <w:trHeight w:val="20"/>
        </w:trPr>
        <w:tc>
          <w:tcPr>
            <w:tcW w:w="2126"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Balmaine Gold Pty Ltd</w:t>
            </w:r>
          </w:p>
        </w:tc>
        <w:tc>
          <w:tcPr>
            <w:tcW w:w="786"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Ballarat</w:t>
            </w:r>
          </w:p>
        </w:tc>
        <w:tc>
          <w:tcPr>
            <w:tcW w:w="510"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MIN 5396</w:t>
            </w:r>
          </w:p>
        </w:tc>
        <w:tc>
          <w:tcPr>
            <w:tcW w:w="835"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39,095</w:t>
            </w:r>
          </w:p>
        </w:tc>
        <w:tc>
          <w:tcPr>
            <w:tcW w:w="743" w:type="pct"/>
            <w:shd w:val="clear" w:color="auto" w:fill="FFFFFF" w:themeFill="background1"/>
            <w:noWrap/>
            <w:vAlign w:val="bottom"/>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55.2</w:t>
            </w:r>
          </w:p>
        </w:tc>
      </w:tr>
      <w:tr w:rsidR="003C097D" w:rsidRPr="008F5AFD" w:rsidTr="00DF2B38">
        <w:trPr>
          <w:trHeight w:val="20"/>
        </w:trPr>
        <w:tc>
          <w:tcPr>
            <w:tcW w:w="2126"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Mandalay Resources Costerfield Operations Pty Ltd</w:t>
            </w:r>
          </w:p>
        </w:tc>
        <w:tc>
          <w:tcPr>
            <w:tcW w:w="786"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Costerfield South</w:t>
            </w:r>
          </w:p>
        </w:tc>
        <w:tc>
          <w:tcPr>
            <w:tcW w:w="510"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MIN 4644</w:t>
            </w:r>
          </w:p>
        </w:tc>
        <w:tc>
          <w:tcPr>
            <w:tcW w:w="835"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34,555</w:t>
            </w:r>
          </w:p>
        </w:tc>
        <w:tc>
          <w:tcPr>
            <w:tcW w:w="743" w:type="pct"/>
            <w:shd w:val="clear" w:color="auto" w:fill="FFFFFF" w:themeFill="background1"/>
            <w:noWrap/>
            <w:vAlign w:val="center"/>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48.6</w:t>
            </w:r>
          </w:p>
        </w:tc>
      </w:tr>
      <w:tr w:rsidR="003C097D" w:rsidRPr="008F5AFD" w:rsidTr="00DF2B38">
        <w:trPr>
          <w:trHeight w:val="20"/>
        </w:trPr>
        <w:tc>
          <w:tcPr>
            <w:tcW w:w="2126"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 xml:space="preserve"> Unity Mining Ltd</w:t>
            </w:r>
          </w:p>
        </w:tc>
        <w:tc>
          <w:tcPr>
            <w:tcW w:w="786"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Bendigo</w:t>
            </w:r>
          </w:p>
        </w:tc>
        <w:tc>
          <w:tcPr>
            <w:tcW w:w="510"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MIN5344</w:t>
            </w:r>
          </w:p>
        </w:tc>
        <w:tc>
          <w:tcPr>
            <w:tcW w:w="835"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w:t>
            </w:r>
          </w:p>
        </w:tc>
        <w:tc>
          <w:tcPr>
            <w:tcW w:w="743" w:type="pct"/>
            <w:shd w:val="clear" w:color="auto" w:fill="FFFFFF" w:themeFill="background1"/>
            <w:noWrap/>
            <w:vAlign w:val="bottom"/>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w:t>
            </w:r>
          </w:p>
        </w:tc>
      </w:tr>
      <w:tr w:rsidR="003C097D" w:rsidRPr="008F5AFD" w:rsidTr="00DF2B38">
        <w:trPr>
          <w:trHeight w:val="20"/>
        </w:trPr>
        <w:tc>
          <w:tcPr>
            <w:tcW w:w="2126"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 xml:space="preserve"> Other (in total)*</w:t>
            </w:r>
          </w:p>
        </w:tc>
        <w:tc>
          <w:tcPr>
            <w:tcW w:w="786" w:type="pct"/>
            <w:shd w:val="clear" w:color="auto" w:fill="FFFFFF" w:themeFill="background1"/>
            <w:noWrap/>
          </w:tcPr>
          <w:p w:rsidR="005955E6" w:rsidRPr="005955E6" w:rsidRDefault="005955E6" w:rsidP="005955E6">
            <w:pPr>
              <w:jc w:val="both"/>
              <w:rPr>
                <w:rFonts w:ascii="Calibri" w:hAnsi="Calibri"/>
                <w:sz w:val="20"/>
              </w:rPr>
            </w:pPr>
          </w:p>
        </w:tc>
        <w:tc>
          <w:tcPr>
            <w:tcW w:w="510" w:type="pct"/>
            <w:shd w:val="clear" w:color="auto" w:fill="FFFFFF" w:themeFill="background1"/>
            <w:noWrap/>
          </w:tcPr>
          <w:p w:rsidR="005955E6" w:rsidRPr="005955E6" w:rsidRDefault="005955E6" w:rsidP="005955E6">
            <w:pPr>
              <w:jc w:val="both"/>
              <w:rPr>
                <w:rFonts w:ascii="Calibri" w:hAnsi="Calibri"/>
                <w:sz w:val="20"/>
              </w:rPr>
            </w:pPr>
          </w:p>
        </w:tc>
        <w:tc>
          <w:tcPr>
            <w:tcW w:w="835"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4,319</w:t>
            </w:r>
          </w:p>
        </w:tc>
        <w:tc>
          <w:tcPr>
            <w:tcW w:w="743" w:type="pct"/>
            <w:shd w:val="clear" w:color="auto" w:fill="FFFFFF" w:themeFill="background1"/>
            <w:noWrap/>
            <w:vAlign w:val="bottom"/>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4.9</w:t>
            </w:r>
          </w:p>
        </w:tc>
      </w:tr>
      <w:tr w:rsidR="003C097D" w:rsidRPr="008F5AFD" w:rsidTr="00DF2B38">
        <w:trPr>
          <w:trHeight w:val="20"/>
        </w:trPr>
        <w:tc>
          <w:tcPr>
            <w:tcW w:w="2126" w:type="pct"/>
            <w:shd w:val="clear" w:color="auto" w:fill="FFFFFF" w:themeFill="background1"/>
            <w:noWrap/>
          </w:tcPr>
          <w:p w:rsidR="005955E6" w:rsidRPr="005955E6" w:rsidRDefault="005955E6" w:rsidP="005955E6">
            <w:pPr>
              <w:jc w:val="both"/>
              <w:rPr>
                <w:rFonts w:ascii="Calibri" w:hAnsi="Calibri"/>
                <w:b/>
                <w:sz w:val="20"/>
              </w:rPr>
            </w:pPr>
            <w:r w:rsidRPr="005955E6">
              <w:rPr>
                <w:rFonts w:ascii="Calibri" w:hAnsi="Calibri"/>
                <w:b/>
                <w:sz w:val="20"/>
              </w:rPr>
              <w:t>Total Production</w:t>
            </w:r>
          </w:p>
        </w:tc>
        <w:tc>
          <w:tcPr>
            <w:tcW w:w="786" w:type="pct"/>
            <w:shd w:val="clear" w:color="auto" w:fill="FFFFFF" w:themeFill="background1"/>
            <w:noWrap/>
          </w:tcPr>
          <w:p w:rsidR="005955E6" w:rsidRPr="005955E6" w:rsidRDefault="005955E6" w:rsidP="005955E6">
            <w:pPr>
              <w:jc w:val="both"/>
              <w:rPr>
                <w:rFonts w:ascii="Calibri" w:hAnsi="Calibri"/>
                <w:b/>
                <w:sz w:val="20"/>
              </w:rPr>
            </w:pPr>
          </w:p>
        </w:tc>
        <w:tc>
          <w:tcPr>
            <w:tcW w:w="510" w:type="pct"/>
            <w:shd w:val="clear" w:color="auto" w:fill="FFFFFF" w:themeFill="background1"/>
            <w:noWrap/>
          </w:tcPr>
          <w:p w:rsidR="005955E6" w:rsidRPr="005955E6" w:rsidRDefault="005955E6" w:rsidP="005955E6">
            <w:pPr>
              <w:jc w:val="both"/>
              <w:rPr>
                <w:rFonts w:ascii="Calibri" w:hAnsi="Calibri"/>
                <w:b/>
                <w:sz w:val="20"/>
              </w:rPr>
            </w:pPr>
          </w:p>
        </w:tc>
        <w:tc>
          <w:tcPr>
            <w:tcW w:w="835" w:type="pct"/>
            <w:shd w:val="clear" w:color="auto" w:fill="FFFFFF" w:themeFill="background1"/>
            <w:noWrap/>
          </w:tcPr>
          <w:p w:rsidR="005955E6" w:rsidRPr="005955E6" w:rsidRDefault="005955E6" w:rsidP="005955E6">
            <w:pPr>
              <w:jc w:val="center"/>
              <w:rPr>
                <w:rFonts w:ascii="Calibri" w:hAnsi="Calibri"/>
                <w:b/>
                <w:sz w:val="20"/>
              </w:rPr>
            </w:pPr>
            <w:r w:rsidRPr="005955E6">
              <w:rPr>
                <w:rFonts w:ascii="Calibri" w:hAnsi="Calibri"/>
                <w:b/>
                <w:sz w:val="20"/>
              </w:rPr>
              <w:t>225,148</w:t>
            </w:r>
          </w:p>
        </w:tc>
        <w:tc>
          <w:tcPr>
            <w:tcW w:w="743" w:type="pct"/>
            <w:shd w:val="clear" w:color="auto" w:fill="FFFFFF" w:themeFill="background1"/>
            <w:noWrap/>
            <w:vAlign w:val="bottom"/>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303.4</w:t>
            </w:r>
          </w:p>
        </w:tc>
      </w:tr>
    </w:tbl>
    <w:p w:rsidR="005955E6" w:rsidRPr="005955E6" w:rsidRDefault="005955E6" w:rsidP="005955E6">
      <w:pPr>
        <w:jc w:val="both"/>
        <w:rPr>
          <w:rFonts w:ascii="Calibri" w:hAnsi="Calibri"/>
          <w:sz w:val="20"/>
        </w:rPr>
      </w:pPr>
      <w:r w:rsidRPr="005955E6">
        <w:rPr>
          <w:rFonts w:ascii="Calibri" w:hAnsi="Calibri"/>
          <w:sz w:val="20"/>
        </w:rPr>
        <w:t>Source: DEDJTR, Statutory returns under the MRSDA.</w:t>
      </w:r>
    </w:p>
    <w:p w:rsidR="005955E6" w:rsidRPr="005955E6" w:rsidRDefault="005955E6" w:rsidP="005955E6">
      <w:pPr>
        <w:jc w:val="both"/>
        <w:rPr>
          <w:rFonts w:ascii="Calibri" w:hAnsi="Calibri"/>
          <w:sz w:val="16"/>
          <w:szCs w:val="16"/>
        </w:rPr>
      </w:pPr>
      <w:r w:rsidRPr="005955E6">
        <w:rPr>
          <w:rFonts w:ascii="Calibri" w:hAnsi="Calibri"/>
          <w:sz w:val="16"/>
          <w:szCs w:val="16"/>
        </w:rPr>
        <w:t xml:space="preserve">* Production of less than 500 ounces was reported from 18 producers </w:t>
      </w:r>
    </w:p>
    <w:p w:rsidR="003C097D" w:rsidRDefault="005955E6" w:rsidP="001B540A">
      <w:pPr>
        <w:jc w:val="both"/>
        <w:rPr>
          <w:rFonts w:ascii="Calibri" w:hAnsi="Calibri"/>
          <w:sz w:val="16"/>
          <w:szCs w:val="16"/>
        </w:rPr>
      </w:pPr>
      <w:r w:rsidRPr="005955E6">
        <w:rPr>
          <w:rFonts w:ascii="Calibri" w:hAnsi="Calibri"/>
          <w:sz w:val="16"/>
          <w:szCs w:val="16"/>
        </w:rPr>
        <w:t>**Estimated value based on the reported average gold price of major producers</w:t>
      </w:r>
    </w:p>
    <w:p w:rsidR="001B540A" w:rsidRDefault="001B540A" w:rsidP="001B540A">
      <w:pPr>
        <w:jc w:val="both"/>
        <w:rPr>
          <w:rFonts w:ascii="Calibri" w:hAnsi="Calibri"/>
          <w:sz w:val="16"/>
          <w:szCs w:val="16"/>
        </w:rPr>
      </w:pPr>
    </w:p>
    <w:p w:rsidR="001B540A" w:rsidRDefault="001B540A" w:rsidP="001B540A">
      <w:pPr>
        <w:jc w:val="both"/>
        <w:rPr>
          <w:rFonts w:ascii="Calibri" w:hAnsi="Calibri"/>
          <w:b/>
          <w:sz w:val="20"/>
        </w:rPr>
      </w:pPr>
    </w:p>
    <w:p w:rsidR="005955E6" w:rsidRPr="005955E6" w:rsidRDefault="005955E6" w:rsidP="00DF2B38">
      <w:pPr>
        <w:pStyle w:val="Heading3"/>
      </w:pPr>
      <w:r w:rsidRPr="005955E6">
        <w:t xml:space="preserve">Graph 3.8 Gold production (ounces) </w:t>
      </w:r>
      <w:bookmarkEnd w:id="69"/>
      <w:bookmarkEnd w:id="70"/>
      <w:bookmarkEnd w:id="71"/>
      <w:bookmarkEnd w:id="72"/>
      <w:r w:rsidRPr="005955E6">
        <w:t>by year</w:t>
      </w:r>
    </w:p>
    <w:p w:rsidR="005955E6" w:rsidRPr="005955E6" w:rsidRDefault="005955E6" w:rsidP="005955E6">
      <w:pPr>
        <w:rPr>
          <w:rFonts w:ascii="Calibri" w:hAnsi="Calibri"/>
          <w:b/>
          <w:sz w:val="20"/>
        </w:rPr>
      </w:pPr>
    </w:p>
    <w:p w:rsidR="00C0310C" w:rsidRDefault="0016613F" w:rsidP="001B540A">
      <w:pPr>
        <w:rPr>
          <w:rFonts w:ascii="Calibri" w:hAnsi="Calibri"/>
          <w:sz w:val="20"/>
        </w:rPr>
      </w:pPr>
      <w:r>
        <w:rPr>
          <w:rFonts w:ascii="Calibri" w:hAnsi="Calibri"/>
          <w:noProof/>
          <w:sz w:val="20"/>
        </w:rPr>
        <w:drawing>
          <wp:inline distT="0" distB="0" distL="0" distR="0" wp14:anchorId="049E5E93" wp14:editId="4A9EE599">
            <wp:extent cx="6270625" cy="3099435"/>
            <wp:effectExtent l="0" t="0" r="15875" b="24765"/>
            <wp:docPr id="9" name="Chart 6" descr="This graph outlines gold production on a yearly basis.&#10;&#10;In the 1993/1994 financial year, 125,960 ounces of gold were produced.&#10;&#10;In the 1994/1995 financial year, 138,876 ounces of gold were produced.&#10;&#10;In the 1995/1996 financial year, 155,550 ounces of gold were produced.&#10;&#10;In the 1996/1997 financial year, 151,229 ounces of gold were produced.&#10;&#10;In the 1997/1998 financial year, 160,122 ounces of gold were produced.&#10;&#10;In the 1998/1999 financial year,  159,088 ounces of gold were produced.&#10;&#10;In the 1999/2000 financial year, 154,043 ounces of gold were produced.&#10;&#10;In the 2000/2001 financial year, 122,632 ounces of gold were produced.&#10;&#10;In the 2001/2002 financial year, 112,283 ounces of gold were produced.&#10;&#10;In the 2002/2003 financial year, 107,544 ounces of gold were produced.&#10;&#10;In the 2003/2004 financial year, 104,188 ounces of gold were produced.&#10;&#10;In the 2004/2005 financial year, 123,308 ounces of gold were produced.&#10;&#10;In the 2005/2006 financial year, 203,352 ounces of gold were produced.&#10;&#10;In the 2006/2007 financial year, 224,927 ounces of gold were produced.&#10;&#10;In the 2007/2008 financial year, 181,100 ounces of gold were produced.&#10;&#10;In the 2008/2009 financial year, 248,918 ounces of gold were produced.&#10;&#10;In the 2009/2010 financial year, 241,965 ounces of gold were produced.&#10;&#10;In the 2010/2011 financial year, 186,146 ounces of gold were produced.&#10;&#10;In the 2011/2012 financial year, 211,201 ounces of gold were produced.&#10;&#10;In the 2012/2013 financial year, 225,776 ounces of gold were produced.&#10;&#10;In the 2013/2014 financial year, 225,168 ounces of gold were produced.&#10;" title="Graph 3.8 - Gold production by year (Ounce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5955E6" w:rsidRPr="005955E6" w:rsidDel="00D004C4">
        <w:rPr>
          <w:rFonts w:ascii="Calibri" w:hAnsi="Calibri"/>
          <w:sz w:val="20"/>
        </w:rPr>
        <w:t xml:space="preserve"> </w:t>
      </w:r>
      <w:r w:rsidR="005955E6" w:rsidRPr="005955E6">
        <w:rPr>
          <w:rFonts w:ascii="Calibri" w:hAnsi="Calibri"/>
          <w:sz w:val="20"/>
        </w:rPr>
        <w:t>Source: DEDJTR</w:t>
      </w:r>
      <w:bookmarkStart w:id="74" w:name="_Toc126483787"/>
      <w:bookmarkStart w:id="75" w:name="_Toc157233695"/>
      <w:bookmarkStart w:id="76" w:name="_Toc157234698"/>
      <w:bookmarkStart w:id="77" w:name="_Toc157237169"/>
      <w:bookmarkStart w:id="78" w:name="_Toc279573159"/>
    </w:p>
    <w:p w:rsidR="001B540A" w:rsidRDefault="001B540A" w:rsidP="001B540A">
      <w:pPr>
        <w:rPr>
          <w:rFonts w:ascii="Calibri" w:hAnsi="Calibri"/>
          <w:b/>
          <w:sz w:val="20"/>
        </w:rPr>
      </w:pPr>
    </w:p>
    <w:p w:rsidR="005955E6" w:rsidRPr="005955E6" w:rsidRDefault="005955E6" w:rsidP="00DF2B38">
      <w:pPr>
        <w:pStyle w:val="Heading3"/>
      </w:pPr>
      <w:r w:rsidRPr="005955E6">
        <w:lastRenderedPageBreak/>
        <w:t>Table 3.11 Brown coal production (thousand tonnes</w:t>
      </w:r>
      <w:bookmarkEnd w:id="74"/>
      <w:bookmarkEnd w:id="75"/>
      <w:bookmarkEnd w:id="76"/>
      <w:bookmarkEnd w:id="77"/>
      <w:bookmarkEnd w:id="78"/>
      <w:r w:rsidRPr="005955E6">
        <w:t>) by year</w:t>
      </w:r>
    </w:p>
    <w:p w:rsidR="005955E6" w:rsidRPr="005955E6" w:rsidRDefault="005955E6" w:rsidP="005955E6">
      <w:pPr>
        <w:jc w:val="both"/>
        <w:rPr>
          <w:rFonts w:ascii="Calibri" w:hAnsi="Calibri"/>
          <w:b/>
          <w:sz w:val="20"/>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ook w:val="0000" w:firstRow="0" w:lastRow="0" w:firstColumn="0" w:lastColumn="0" w:noHBand="0" w:noVBand="0"/>
      </w:tblPr>
      <w:tblGrid>
        <w:gridCol w:w="1062"/>
        <w:gridCol w:w="1827"/>
        <w:gridCol w:w="1117"/>
        <w:gridCol w:w="1171"/>
        <w:gridCol w:w="1227"/>
        <w:gridCol w:w="1278"/>
        <w:gridCol w:w="1439"/>
        <w:gridCol w:w="1187"/>
      </w:tblGrid>
      <w:tr w:rsidR="003C097D" w:rsidRPr="008F5AFD" w:rsidTr="00DF2B38">
        <w:trPr>
          <w:trHeight w:val="972"/>
          <w:tblHeader/>
        </w:trPr>
        <w:tc>
          <w:tcPr>
            <w:tcW w:w="515" w:type="pct"/>
            <w:shd w:val="clear" w:color="auto" w:fill="FFFFFF" w:themeFill="background1"/>
            <w:vAlign w:val="center"/>
          </w:tcPr>
          <w:p w:rsidR="005955E6" w:rsidRPr="005955E6" w:rsidRDefault="005955E6" w:rsidP="00615AA5">
            <w:pPr>
              <w:rPr>
                <w:rFonts w:ascii="Calibri" w:hAnsi="Calibri"/>
                <w:b/>
                <w:sz w:val="20"/>
              </w:rPr>
            </w:pPr>
            <w:bookmarkStart w:id="79" w:name="_Hlt125448789"/>
            <w:bookmarkStart w:id="80" w:name="ColumnTitle_3_11"/>
            <w:bookmarkEnd w:id="79"/>
            <w:r w:rsidRPr="005955E6">
              <w:rPr>
                <w:rFonts w:ascii="Calibri" w:hAnsi="Calibri"/>
                <w:b/>
                <w:sz w:val="20"/>
              </w:rPr>
              <w:t>Year</w:t>
            </w:r>
          </w:p>
        </w:tc>
        <w:tc>
          <w:tcPr>
            <w:tcW w:w="886" w:type="pct"/>
            <w:shd w:val="clear" w:color="auto" w:fill="FFFFFF" w:themeFill="background1"/>
            <w:vAlign w:val="center"/>
          </w:tcPr>
          <w:p w:rsidR="005955E6" w:rsidRPr="005955E6" w:rsidRDefault="005955E6" w:rsidP="001B540A">
            <w:pPr>
              <w:jc w:val="center"/>
              <w:rPr>
                <w:rFonts w:ascii="Calibri" w:hAnsi="Calibri"/>
                <w:b/>
                <w:sz w:val="20"/>
              </w:rPr>
            </w:pPr>
            <w:r w:rsidRPr="005955E6">
              <w:rPr>
                <w:rFonts w:ascii="Calibri" w:hAnsi="Calibri"/>
                <w:b/>
                <w:sz w:val="20"/>
              </w:rPr>
              <w:t>Maddingley Brown Coal Co. Bacchus Marsh</w:t>
            </w:r>
          </w:p>
        </w:tc>
        <w:tc>
          <w:tcPr>
            <w:tcW w:w="542" w:type="pct"/>
            <w:shd w:val="clear" w:color="auto" w:fill="FFFFFF" w:themeFill="background1"/>
            <w:vAlign w:val="center"/>
          </w:tcPr>
          <w:p w:rsidR="005955E6" w:rsidRPr="005955E6" w:rsidRDefault="005955E6" w:rsidP="005955E6">
            <w:pPr>
              <w:jc w:val="center"/>
              <w:rPr>
                <w:rFonts w:ascii="Calibri" w:hAnsi="Calibri"/>
                <w:b/>
                <w:sz w:val="20"/>
              </w:rPr>
            </w:pPr>
            <w:r w:rsidRPr="005955E6">
              <w:rPr>
                <w:rFonts w:ascii="Calibri" w:hAnsi="Calibri"/>
                <w:b/>
                <w:sz w:val="20"/>
              </w:rPr>
              <w:t>Alcoa Anglesea</w:t>
            </w:r>
          </w:p>
        </w:tc>
        <w:tc>
          <w:tcPr>
            <w:tcW w:w="568" w:type="pct"/>
            <w:shd w:val="clear" w:color="auto" w:fill="FFFFFF" w:themeFill="background1"/>
            <w:vAlign w:val="center"/>
          </w:tcPr>
          <w:p w:rsidR="005955E6" w:rsidRPr="005955E6" w:rsidRDefault="005955E6" w:rsidP="005955E6">
            <w:pPr>
              <w:jc w:val="center"/>
              <w:rPr>
                <w:rFonts w:ascii="Calibri" w:hAnsi="Calibri"/>
                <w:b/>
                <w:sz w:val="20"/>
              </w:rPr>
            </w:pPr>
            <w:r w:rsidRPr="005955E6">
              <w:rPr>
                <w:rFonts w:ascii="Calibri" w:hAnsi="Calibri"/>
                <w:b/>
                <w:sz w:val="20"/>
              </w:rPr>
              <w:t>SECV*</w:t>
            </w:r>
          </w:p>
        </w:tc>
        <w:tc>
          <w:tcPr>
            <w:tcW w:w="595" w:type="pct"/>
            <w:shd w:val="clear" w:color="auto" w:fill="FFFFFF" w:themeFill="background1"/>
            <w:vAlign w:val="center"/>
          </w:tcPr>
          <w:p w:rsidR="005955E6" w:rsidRPr="005955E6" w:rsidRDefault="005955E6" w:rsidP="005955E6">
            <w:pPr>
              <w:jc w:val="center"/>
              <w:rPr>
                <w:rFonts w:ascii="Calibri" w:hAnsi="Calibri"/>
                <w:b/>
                <w:sz w:val="20"/>
              </w:rPr>
            </w:pPr>
            <w:r w:rsidRPr="005955E6">
              <w:rPr>
                <w:rFonts w:ascii="Calibri" w:hAnsi="Calibri"/>
                <w:b/>
                <w:sz w:val="20"/>
              </w:rPr>
              <w:t>Loy Yang</w:t>
            </w:r>
          </w:p>
        </w:tc>
        <w:tc>
          <w:tcPr>
            <w:tcW w:w="620" w:type="pct"/>
            <w:shd w:val="clear" w:color="auto" w:fill="FFFFFF" w:themeFill="background1"/>
            <w:vAlign w:val="center"/>
          </w:tcPr>
          <w:p w:rsidR="005955E6" w:rsidRPr="005955E6" w:rsidRDefault="005955E6" w:rsidP="005955E6">
            <w:pPr>
              <w:jc w:val="center"/>
              <w:rPr>
                <w:rFonts w:ascii="Calibri" w:hAnsi="Calibri"/>
                <w:b/>
                <w:sz w:val="20"/>
              </w:rPr>
            </w:pPr>
            <w:r w:rsidRPr="005955E6">
              <w:rPr>
                <w:rFonts w:ascii="Calibri" w:hAnsi="Calibri"/>
                <w:b/>
                <w:sz w:val="20"/>
              </w:rPr>
              <w:t>Yallourn</w:t>
            </w:r>
          </w:p>
        </w:tc>
        <w:tc>
          <w:tcPr>
            <w:tcW w:w="698" w:type="pct"/>
            <w:shd w:val="clear" w:color="auto" w:fill="FFFFFF" w:themeFill="background1"/>
            <w:vAlign w:val="center"/>
          </w:tcPr>
          <w:p w:rsidR="005955E6" w:rsidRPr="005955E6" w:rsidRDefault="005955E6" w:rsidP="005955E6">
            <w:pPr>
              <w:jc w:val="center"/>
              <w:rPr>
                <w:rFonts w:ascii="Calibri" w:hAnsi="Calibri"/>
                <w:b/>
                <w:sz w:val="20"/>
              </w:rPr>
            </w:pPr>
            <w:r w:rsidRPr="005955E6">
              <w:rPr>
                <w:rFonts w:ascii="Calibri" w:hAnsi="Calibri"/>
                <w:b/>
                <w:sz w:val="20"/>
              </w:rPr>
              <w:t>Hazelwood</w:t>
            </w:r>
          </w:p>
        </w:tc>
        <w:tc>
          <w:tcPr>
            <w:tcW w:w="576" w:type="pct"/>
            <w:shd w:val="clear" w:color="auto" w:fill="FFFFFF" w:themeFill="background1"/>
            <w:vAlign w:val="center"/>
          </w:tcPr>
          <w:p w:rsidR="005955E6" w:rsidRPr="005955E6" w:rsidRDefault="005955E6" w:rsidP="005955E6">
            <w:pPr>
              <w:jc w:val="center"/>
              <w:rPr>
                <w:rFonts w:ascii="Calibri" w:hAnsi="Calibri"/>
                <w:b/>
                <w:sz w:val="20"/>
              </w:rPr>
            </w:pPr>
            <w:r w:rsidRPr="005955E6">
              <w:rPr>
                <w:rFonts w:ascii="Calibri" w:hAnsi="Calibri"/>
                <w:b/>
                <w:sz w:val="20"/>
              </w:rPr>
              <w:t>Annual Total</w:t>
            </w:r>
          </w:p>
        </w:tc>
      </w:tr>
      <w:bookmarkEnd w:id="80"/>
      <w:tr w:rsidR="003C097D" w:rsidRPr="008F5AFD" w:rsidTr="00DF2B38">
        <w:trPr>
          <w:trHeight w:val="360"/>
        </w:trPr>
        <w:tc>
          <w:tcPr>
            <w:tcW w:w="515"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1993/94</w:t>
            </w:r>
          </w:p>
        </w:tc>
        <w:tc>
          <w:tcPr>
            <w:tcW w:w="88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31.00</w:t>
            </w:r>
          </w:p>
        </w:tc>
        <w:tc>
          <w:tcPr>
            <w:tcW w:w="542"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1,093.00</w:t>
            </w:r>
          </w:p>
        </w:tc>
        <w:tc>
          <w:tcPr>
            <w:tcW w:w="56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48,559.00</w:t>
            </w:r>
          </w:p>
        </w:tc>
        <w:tc>
          <w:tcPr>
            <w:tcW w:w="595"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w:t>
            </w:r>
          </w:p>
        </w:tc>
        <w:tc>
          <w:tcPr>
            <w:tcW w:w="620"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w:t>
            </w:r>
          </w:p>
        </w:tc>
        <w:tc>
          <w:tcPr>
            <w:tcW w:w="69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w:t>
            </w:r>
          </w:p>
        </w:tc>
        <w:tc>
          <w:tcPr>
            <w:tcW w:w="57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49,683.00</w:t>
            </w:r>
          </w:p>
        </w:tc>
      </w:tr>
      <w:tr w:rsidR="003C097D" w:rsidRPr="008F5AFD" w:rsidTr="00DF2B38">
        <w:trPr>
          <w:trHeight w:val="360"/>
        </w:trPr>
        <w:tc>
          <w:tcPr>
            <w:tcW w:w="515"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1994/95</w:t>
            </w:r>
          </w:p>
        </w:tc>
        <w:tc>
          <w:tcPr>
            <w:tcW w:w="88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43.00</w:t>
            </w:r>
          </w:p>
        </w:tc>
        <w:tc>
          <w:tcPr>
            <w:tcW w:w="542"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1,162.00</w:t>
            </w:r>
          </w:p>
        </w:tc>
        <w:tc>
          <w:tcPr>
            <w:tcW w:w="56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48,717.00</w:t>
            </w:r>
          </w:p>
        </w:tc>
        <w:tc>
          <w:tcPr>
            <w:tcW w:w="595"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w:t>
            </w:r>
          </w:p>
        </w:tc>
        <w:tc>
          <w:tcPr>
            <w:tcW w:w="620"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w:t>
            </w:r>
          </w:p>
        </w:tc>
        <w:tc>
          <w:tcPr>
            <w:tcW w:w="69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w:t>
            </w:r>
          </w:p>
        </w:tc>
        <w:tc>
          <w:tcPr>
            <w:tcW w:w="57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49,922.00</w:t>
            </w:r>
          </w:p>
        </w:tc>
      </w:tr>
      <w:tr w:rsidR="003C097D" w:rsidRPr="008F5AFD" w:rsidTr="00DF2B38">
        <w:trPr>
          <w:trHeight w:val="360"/>
        </w:trPr>
        <w:tc>
          <w:tcPr>
            <w:tcW w:w="515"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1995/96</w:t>
            </w:r>
          </w:p>
        </w:tc>
        <w:tc>
          <w:tcPr>
            <w:tcW w:w="88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40.00</w:t>
            </w:r>
          </w:p>
        </w:tc>
        <w:tc>
          <w:tcPr>
            <w:tcW w:w="542"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836.00</w:t>
            </w:r>
          </w:p>
        </w:tc>
        <w:tc>
          <w:tcPr>
            <w:tcW w:w="56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w:t>
            </w:r>
          </w:p>
        </w:tc>
        <w:tc>
          <w:tcPr>
            <w:tcW w:w="595"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25,000.00</w:t>
            </w:r>
          </w:p>
        </w:tc>
        <w:tc>
          <w:tcPr>
            <w:tcW w:w="620"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17,460.00</w:t>
            </w:r>
          </w:p>
        </w:tc>
        <w:tc>
          <w:tcPr>
            <w:tcW w:w="69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10,945.00</w:t>
            </w:r>
          </w:p>
        </w:tc>
        <w:tc>
          <w:tcPr>
            <w:tcW w:w="57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54,281.00</w:t>
            </w:r>
          </w:p>
        </w:tc>
      </w:tr>
      <w:tr w:rsidR="003C097D" w:rsidRPr="008F5AFD" w:rsidTr="00DF2B38">
        <w:trPr>
          <w:trHeight w:val="360"/>
        </w:trPr>
        <w:tc>
          <w:tcPr>
            <w:tcW w:w="515"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1996/97</w:t>
            </w:r>
          </w:p>
        </w:tc>
        <w:tc>
          <w:tcPr>
            <w:tcW w:w="88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39.00</w:t>
            </w:r>
          </w:p>
        </w:tc>
        <w:tc>
          <w:tcPr>
            <w:tcW w:w="542"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1,005.00</w:t>
            </w:r>
          </w:p>
        </w:tc>
        <w:tc>
          <w:tcPr>
            <w:tcW w:w="56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w:t>
            </w:r>
          </w:p>
        </w:tc>
        <w:tc>
          <w:tcPr>
            <w:tcW w:w="595"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27,808.00</w:t>
            </w:r>
          </w:p>
        </w:tc>
        <w:tc>
          <w:tcPr>
            <w:tcW w:w="620"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17,083.00</w:t>
            </w:r>
          </w:p>
        </w:tc>
        <w:tc>
          <w:tcPr>
            <w:tcW w:w="69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14,860.00</w:t>
            </w:r>
          </w:p>
        </w:tc>
        <w:tc>
          <w:tcPr>
            <w:tcW w:w="57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60,795.00</w:t>
            </w:r>
          </w:p>
        </w:tc>
      </w:tr>
      <w:tr w:rsidR="003C097D" w:rsidRPr="008F5AFD" w:rsidTr="00DF2B38">
        <w:trPr>
          <w:trHeight w:val="360"/>
        </w:trPr>
        <w:tc>
          <w:tcPr>
            <w:tcW w:w="515"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1997/98</w:t>
            </w:r>
          </w:p>
        </w:tc>
        <w:tc>
          <w:tcPr>
            <w:tcW w:w="88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28.00</w:t>
            </w:r>
          </w:p>
        </w:tc>
        <w:tc>
          <w:tcPr>
            <w:tcW w:w="542"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1,030.00</w:t>
            </w:r>
          </w:p>
        </w:tc>
        <w:tc>
          <w:tcPr>
            <w:tcW w:w="56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w:t>
            </w:r>
          </w:p>
        </w:tc>
        <w:tc>
          <w:tcPr>
            <w:tcW w:w="595"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29,766.00</w:t>
            </w:r>
          </w:p>
        </w:tc>
        <w:tc>
          <w:tcPr>
            <w:tcW w:w="620"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17,924.00</w:t>
            </w:r>
          </w:p>
        </w:tc>
        <w:tc>
          <w:tcPr>
            <w:tcW w:w="69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16,525.00</w:t>
            </w:r>
          </w:p>
        </w:tc>
        <w:tc>
          <w:tcPr>
            <w:tcW w:w="57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65,274.00</w:t>
            </w:r>
          </w:p>
        </w:tc>
      </w:tr>
      <w:tr w:rsidR="003C097D" w:rsidRPr="008F5AFD" w:rsidTr="00DF2B38">
        <w:trPr>
          <w:trHeight w:val="360"/>
        </w:trPr>
        <w:tc>
          <w:tcPr>
            <w:tcW w:w="515"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1998/99</w:t>
            </w:r>
          </w:p>
        </w:tc>
        <w:tc>
          <w:tcPr>
            <w:tcW w:w="88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22.00</w:t>
            </w:r>
          </w:p>
        </w:tc>
        <w:tc>
          <w:tcPr>
            <w:tcW w:w="542"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1,091.00</w:t>
            </w:r>
          </w:p>
        </w:tc>
        <w:tc>
          <w:tcPr>
            <w:tcW w:w="56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w:t>
            </w:r>
          </w:p>
        </w:tc>
        <w:tc>
          <w:tcPr>
            <w:tcW w:w="595"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30,510.00</w:t>
            </w:r>
          </w:p>
        </w:tc>
        <w:tc>
          <w:tcPr>
            <w:tcW w:w="620"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17,350.00</w:t>
            </w:r>
          </w:p>
        </w:tc>
        <w:tc>
          <w:tcPr>
            <w:tcW w:w="69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17,675.00</w:t>
            </w:r>
          </w:p>
        </w:tc>
        <w:tc>
          <w:tcPr>
            <w:tcW w:w="57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66,648.00</w:t>
            </w:r>
          </w:p>
        </w:tc>
      </w:tr>
      <w:tr w:rsidR="003C097D" w:rsidRPr="008F5AFD" w:rsidTr="00DF2B38">
        <w:trPr>
          <w:trHeight w:val="360"/>
        </w:trPr>
        <w:tc>
          <w:tcPr>
            <w:tcW w:w="515"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1999/00</w:t>
            </w:r>
          </w:p>
        </w:tc>
        <w:tc>
          <w:tcPr>
            <w:tcW w:w="88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4.00</w:t>
            </w:r>
          </w:p>
        </w:tc>
        <w:tc>
          <w:tcPr>
            <w:tcW w:w="542"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926.00</w:t>
            </w:r>
          </w:p>
        </w:tc>
        <w:tc>
          <w:tcPr>
            <w:tcW w:w="56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w:t>
            </w:r>
          </w:p>
        </w:tc>
        <w:tc>
          <w:tcPr>
            <w:tcW w:w="595"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30,865.00</w:t>
            </w:r>
          </w:p>
        </w:tc>
        <w:tc>
          <w:tcPr>
            <w:tcW w:w="620"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16,098.00</w:t>
            </w:r>
          </w:p>
        </w:tc>
        <w:tc>
          <w:tcPr>
            <w:tcW w:w="69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19,470.00</w:t>
            </w:r>
          </w:p>
        </w:tc>
        <w:tc>
          <w:tcPr>
            <w:tcW w:w="57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67,363.00</w:t>
            </w:r>
          </w:p>
        </w:tc>
      </w:tr>
      <w:tr w:rsidR="003C097D" w:rsidRPr="008F5AFD" w:rsidTr="00DF2B38">
        <w:trPr>
          <w:trHeight w:val="360"/>
        </w:trPr>
        <w:tc>
          <w:tcPr>
            <w:tcW w:w="515"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2000/01</w:t>
            </w:r>
          </w:p>
        </w:tc>
        <w:tc>
          <w:tcPr>
            <w:tcW w:w="88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11.00</w:t>
            </w:r>
          </w:p>
        </w:tc>
        <w:tc>
          <w:tcPr>
            <w:tcW w:w="542"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963.00</w:t>
            </w:r>
          </w:p>
        </w:tc>
        <w:tc>
          <w:tcPr>
            <w:tcW w:w="56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w:t>
            </w:r>
          </w:p>
        </w:tc>
        <w:tc>
          <w:tcPr>
            <w:tcW w:w="595"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28,686.00</w:t>
            </w:r>
          </w:p>
        </w:tc>
        <w:tc>
          <w:tcPr>
            <w:tcW w:w="620"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16,234.00</w:t>
            </w:r>
          </w:p>
        </w:tc>
        <w:tc>
          <w:tcPr>
            <w:tcW w:w="69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19,063.00</w:t>
            </w:r>
          </w:p>
        </w:tc>
        <w:tc>
          <w:tcPr>
            <w:tcW w:w="57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64,958.00</w:t>
            </w:r>
          </w:p>
        </w:tc>
      </w:tr>
      <w:tr w:rsidR="003C097D" w:rsidRPr="008F5AFD" w:rsidTr="00DF2B38">
        <w:trPr>
          <w:trHeight w:val="360"/>
        </w:trPr>
        <w:tc>
          <w:tcPr>
            <w:tcW w:w="515"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2001/02</w:t>
            </w:r>
          </w:p>
        </w:tc>
        <w:tc>
          <w:tcPr>
            <w:tcW w:w="88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10.00</w:t>
            </w:r>
          </w:p>
        </w:tc>
        <w:tc>
          <w:tcPr>
            <w:tcW w:w="542"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1,069.00</w:t>
            </w:r>
          </w:p>
        </w:tc>
        <w:tc>
          <w:tcPr>
            <w:tcW w:w="56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w:t>
            </w:r>
          </w:p>
        </w:tc>
        <w:tc>
          <w:tcPr>
            <w:tcW w:w="595"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30,949.00</w:t>
            </w:r>
          </w:p>
        </w:tc>
        <w:tc>
          <w:tcPr>
            <w:tcW w:w="620"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15,650.00</w:t>
            </w:r>
          </w:p>
        </w:tc>
        <w:tc>
          <w:tcPr>
            <w:tcW w:w="69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18,982.00</w:t>
            </w:r>
          </w:p>
        </w:tc>
        <w:tc>
          <w:tcPr>
            <w:tcW w:w="57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66,661.00</w:t>
            </w:r>
          </w:p>
        </w:tc>
      </w:tr>
      <w:tr w:rsidR="003C097D" w:rsidRPr="008F5AFD" w:rsidTr="00DF2B38">
        <w:trPr>
          <w:trHeight w:val="360"/>
        </w:trPr>
        <w:tc>
          <w:tcPr>
            <w:tcW w:w="515"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2002/03</w:t>
            </w:r>
          </w:p>
        </w:tc>
        <w:tc>
          <w:tcPr>
            <w:tcW w:w="88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15.00</w:t>
            </w:r>
          </w:p>
        </w:tc>
        <w:tc>
          <w:tcPr>
            <w:tcW w:w="542"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1,051.00</w:t>
            </w:r>
          </w:p>
        </w:tc>
        <w:tc>
          <w:tcPr>
            <w:tcW w:w="56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w:t>
            </w:r>
          </w:p>
        </w:tc>
        <w:tc>
          <w:tcPr>
            <w:tcW w:w="595"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29,017.00</w:t>
            </w:r>
          </w:p>
        </w:tc>
        <w:tc>
          <w:tcPr>
            <w:tcW w:w="620"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17,515.00</w:t>
            </w:r>
          </w:p>
        </w:tc>
        <w:tc>
          <w:tcPr>
            <w:tcW w:w="69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19,210.00</w:t>
            </w:r>
          </w:p>
        </w:tc>
        <w:tc>
          <w:tcPr>
            <w:tcW w:w="57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66,809.00</w:t>
            </w:r>
          </w:p>
        </w:tc>
      </w:tr>
      <w:tr w:rsidR="003C097D" w:rsidRPr="008F5AFD" w:rsidTr="00DF2B38">
        <w:trPr>
          <w:trHeight w:val="360"/>
        </w:trPr>
        <w:tc>
          <w:tcPr>
            <w:tcW w:w="515"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2003/04</w:t>
            </w:r>
          </w:p>
        </w:tc>
        <w:tc>
          <w:tcPr>
            <w:tcW w:w="88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18.00</w:t>
            </w:r>
          </w:p>
        </w:tc>
        <w:tc>
          <w:tcPr>
            <w:tcW w:w="542"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1,107.00</w:t>
            </w:r>
          </w:p>
        </w:tc>
        <w:tc>
          <w:tcPr>
            <w:tcW w:w="56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w:t>
            </w:r>
          </w:p>
        </w:tc>
        <w:tc>
          <w:tcPr>
            <w:tcW w:w="595"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29,577.00</w:t>
            </w:r>
          </w:p>
        </w:tc>
        <w:tc>
          <w:tcPr>
            <w:tcW w:w="620"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16,585.00</w:t>
            </w:r>
          </w:p>
        </w:tc>
        <w:tc>
          <w:tcPr>
            <w:tcW w:w="69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19,056.00</w:t>
            </w:r>
          </w:p>
        </w:tc>
        <w:tc>
          <w:tcPr>
            <w:tcW w:w="57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66,343.00</w:t>
            </w:r>
          </w:p>
        </w:tc>
      </w:tr>
      <w:tr w:rsidR="003C097D" w:rsidRPr="008F5AFD" w:rsidTr="00DF2B38">
        <w:trPr>
          <w:trHeight w:val="360"/>
        </w:trPr>
        <w:tc>
          <w:tcPr>
            <w:tcW w:w="515"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2004/05</w:t>
            </w:r>
          </w:p>
        </w:tc>
        <w:tc>
          <w:tcPr>
            <w:tcW w:w="88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19.00</w:t>
            </w:r>
          </w:p>
        </w:tc>
        <w:tc>
          <w:tcPr>
            <w:tcW w:w="542"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943.00</w:t>
            </w:r>
          </w:p>
        </w:tc>
        <w:tc>
          <w:tcPr>
            <w:tcW w:w="56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w:t>
            </w:r>
          </w:p>
        </w:tc>
        <w:tc>
          <w:tcPr>
            <w:tcW w:w="595"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29,826.00</w:t>
            </w:r>
          </w:p>
        </w:tc>
        <w:tc>
          <w:tcPr>
            <w:tcW w:w="620"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17,663.00</w:t>
            </w:r>
          </w:p>
        </w:tc>
        <w:tc>
          <w:tcPr>
            <w:tcW w:w="69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18,701.00</w:t>
            </w:r>
          </w:p>
        </w:tc>
        <w:tc>
          <w:tcPr>
            <w:tcW w:w="57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67,152.00</w:t>
            </w:r>
          </w:p>
        </w:tc>
      </w:tr>
      <w:tr w:rsidR="003C097D" w:rsidRPr="008F5AFD" w:rsidTr="00DF2B38">
        <w:trPr>
          <w:trHeight w:val="360"/>
        </w:trPr>
        <w:tc>
          <w:tcPr>
            <w:tcW w:w="515"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2005/06</w:t>
            </w:r>
          </w:p>
        </w:tc>
        <w:tc>
          <w:tcPr>
            <w:tcW w:w="88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22.00</w:t>
            </w:r>
          </w:p>
        </w:tc>
        <w:tc>
          <w:tcPr>
            <w:tcW w:w="542"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1,101.00</w:t>
            </w:r>
          </w:p>
        </w:tc>
        <w:tc>
          <w:tcPr>
            <w:tcW w:w="56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w:t>
            </w:r>
          </w:p>
        </w:tc>
        <w:tc>
          <w:tcPr>
            <w:tcW w:w="595"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30,937.00</w:t>
            </w:r>
          </w:p>
        </w:tc>
        <w:tc>
          <w:tcPr>
            <w:tcW w:w="620"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16,933.00</w:t>
            </w:r>
          </w:p>
        </w:tc>
        <w:tc>
          <w:tcPr>
            <w:tcW w:w="69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18,743.00</w:t>
            </w:r>
          </w:p>
        </w:tc>
        <w:tc>
          <w:tcPr>
            <w:tcW w:w="57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67,737.00</w:t>
            </w:r>
          </w:p>
        </w:tc>
      </w:tr>
      <w:tr w:rsidR="003C097D" w:rsidRPr="008F5AFD" w:rsidTr="00DF2B38">
        <w:trPr>
          <w:trHeight w:val="300"/>
        </w:trPr>
        <w:tc>
          <w:tcPr>
            <w:tcW w:w="515"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2006/07</w:t>
            </w:r>
          </w:p>
        </w:tc>
        <w:tc>
          <w:tcPr>
            <w:tcW w:w="88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15.00</w:t>
            </w:r>
          </w:p>
        </w:tc>
        <w:tc>
          <w:tcPr>
            <w:tcW w:w="542"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1,049.00</w:t>
            </w:r>
          </w:p>
        </w:tc>
        <w:tc>
          <w:tcPr>
            <w:tcW w:w="56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w:t>
            </w:r>
          </w:p>
        </w:tc>
        <w:tc>
          <w:tcPr>
            <w:tcW w:w="595"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29,146.00</w:t>
            </w:r>
          </w:p>
        </w:tc>
        <w:tc>
          <w:tcPr>
            <w:tcW w:w="620"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16,090.00</w:t>
            </w:r>
          </w:p>
        </w:tc>
        <w:tc>
          <w:tcPr>
            <w:tcW w:w="69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19,313.00</w:t>
            </w:r>
          </w:p>
        </w:tc>
        <w:tc>
          <w:tcPr>
            <w:tcW w:w="57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65,613.00</w:t>
            </w:r>
          </w:p>
        </w:tc>
      </w:tr>
      <w:tr w:rsidR="003C097D" w:rsidRPr="008F5AFD" w:rsidTr="00DF2B38">
        <w:trPr>
          <w:trHeight w:val="300"/>
        </w:trPr>
        <w:tc>
          <w:tcPr>
            <w:tcW w:w="515"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2007/08</w:t>
            </w:r>
          </w:p>
        </w:tc>
        <w:tc>
          <w:tcPr>
            <w:tcW w:w="88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16.00</w:t>
            </w:r>
          </w:p>
        </w:tc>
        <w:tc>
          <w:tcPr>
            <w:tcW w:w="542"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1,066.00</w:t>
            </w:r>
          </w:p>
        </w:tc>
        <w:tc>
          <w:tcPr>
            <w:tcW w:w="56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w:t>
            </w:r>
          </w:p>
        </w:tc>
        <w:tc>
          <w:tcPr>
            <w:tcW w:w="595"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30,745.00</w:t>
            </w:r>
          </w:p>
        </w:tc>
        <w:tc>
          <w:tcPr>
            <w:tcW w:w="620"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15,467.00</w:t>
            </w:r>
          </w:p>
        </w:tc>
        <w:tc>
          <w:tcPr>
            <w:tcW w:w="69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18,739.00</w:t>
            </w:r>
          </w:p>
        </w:tc>
        <w:tc>
          <w:tcPr>
            <w:tcW w:w="57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66,033.00</w:t>
            </w:r>
          </w:p>
        </w:tc>
      </w:tr>
      <w:tr w:rsidR="003C097D" w:rsidRPr="008F5AFD" w:rsidTr="00DF2B38">
        <w:trPr>
          <w:trHeight w:val="300"/>
        </w:trPr>
        <w:tc>
          <w:tcPr>
            <w:tcW w:w="515"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2008/09</w:t>
            </w:r>
          </w:p>
        </w:tc>
        <w:tc>
          <w:tcPr>
            <w:tcW w:w="88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14.00</w:t>
            </w:r>
          </w:p>
        </w:tc>
        <w:tc>
          <w:tcPr>
            <w:tcW w:w="542"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966.00</w:t>
            </w:r>
          </w:p>
        </w:tc>
        <w:tc>
          <w:tcPr>
            <w:tcW w:w="56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w:t>
            </w:r>
          </w:p>
        </w:tc>
        <w:tc>
          <w:tcPr>
            <w:tcW w:w="595"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29,007.00</w:t>
            </w:r>
          </w:p>
        </w:tc>
        <w:tc>
          <w:tcPr>
            <w:tcW w:w="620"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18,229.00</w:t>
            </w:r>
          </w:p>
        </w:tc>
        <w:tc>
          <w:tcPr>
            <w:tcW w:w="69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20,036.00</w:t>
            </w:r>
          </w:p>
        </w:tc>
        <w:tc>
          <w:tcPr>
            <w:tcW w:w="57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68,252.00</w:t>
            </w:r>
          </w:p>
        </w:tc>
      </w:tr>
      <w:tr w:rsidR="003C097D" w:rsidRPr="008F5AFD" w:rsidTr="00DF2B38">
        <w:trPr>
          <w:trHeight w:val="300"/>
        </w:trPr>
        <w:tc>
          <w:tcPr>
            <w:tcW w:w="515"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2009/10</w:t>
            </w:r>
          </w:p>
        </w:tc>
        <w:tc>
          <w:tcPr>
            <w:tcW w:w="88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11.00</w:t>
            </w:r>
          </w:p>
        </w:tc>
        <w:tc>
          <w:tcPr>
            <w:tcW w:w="542"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1,077.00</w:t>
            </w:r>
          </w:p>
        </w:tc>
        <w:tc>
          <w:tcPr>
            <w:tcW w:w="56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w:t>
            </w:r>
          </w:p>
        </w:tc>
        <w:tc>
          <w:tcPr>
            <w:tcW w:w="595"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30,446.00</w:t>
            </w:r>
          </w:p>
        </w:tc>
        <w:tc>
          <w:tcPr>
            <w:tcW w:w="620"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17,685.00</w:t>
            </w:r>
          </w:p>
        </w:tc>
        <w:tc>
          <w:tcPr>
            <w:tcW w:w="69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19,531.00</w:t>
            </w:r>
          </w:p>
        </w:tc>
        <w:tc>
          <w:tcPr>
            <w:tcW w:w="57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68,750.00</w:t>
            </w:r>
          </w:p>
        </w:tc>
      </w:tr>
      <w:tr w:rsidR="003C097D" w:rsidRPr="008F5AFD" w:rsidTr="00DF2B38">
        <w:trPr>
          <w:trHeight w:val="300"/>
        </w:trPr>
        <w:tc>
          <w:tcPr>
            <w:tcW w:w="515"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2010/11</w:t>
            </w:r>
          </w:p>
        </w:tc>
        <w:tc>
          <w:tcPr>
            <w:tcW w:w="88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16.00</w:t>
            </w:r>
          </w:p>
        </w:tc>
        <w:tc>
          <w:tcPr>
            <w:tcW w:w="542"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1,070.00</w:t>
            </w:r>
          </w:p>
        </w:tc>
        <w:tc>
          <w:tcPr>
            <w:tcW w:w="56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w:t>
            </w:r>
          </w:p>
        </w:tc>
        <w:tc>
          <w:tcPr>
            <w:tcW w:w="595"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29,895.00</w:t>
            </w:r>
          </w:p>
        </w:tc>
        <w:tc>
          <w:tcPr>
            <w:tcW w:w="620"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17,705.00</w:t>
            </w:r>
          </w:p>
        </w:tc>
        <w:tc>
          <w:tcPr>
            <w:tcW w:w="69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18,047.00</w:t>
            </w:r>
          </w:p>
        </w:tc>
        <w:tc>
          <w:tcPr>
            <w:tcW w:w="57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66,733.00</w:t>
            </w:r>
          </w:p>
        </w:tc>
      </w:tr>
      <w:tr w:rsidR="003C097D" w:rsidRPr="008F5AFD" w:rsidTr="00DF2B38">
        <w:trPr>
          <w:trHeight w:val="300"/>
        </w:trPr>
        <w:tc>
          <w:tcPr>
            <w:tcW w:w="515"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2011/12</w:t>
            </w:r>
          </w:p>
        </w:tc>
        <w:tc>
          <w:tcPr>
            <w:tcW w:w="88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21.00</w:t>
            </w:r>
          </w:p>
        </w:tc>
        <w:tc>
          <w:tcPr>
            <w:tcW w:w="542"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1,022.00</w:t>
            </w:r>
          </w:p>
        </w:tc>
        <w:tc>
          <w:tcPr>
            <w:tcW w:w="56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w:t>
            </w:r>
          </w:p>
        </w:tc>
        <w:tc>
          <w:tcPr>
            <w:tcW w:w="595"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30,237.00</w:t>
            </w:r>
          </w:p>
        </w:tc>
        <w:tc>
          <w:tcPr>
            <w:tcW w:w="620"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17,404.00</w:t>
            </w:r>
          </w:p>
        </w:tc>
        <w:tc>
          <w:tcPr>
            <w:tcW w:w="69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20,440.00</w:t>
            </w:r>
          </w:p>
        </w:tc>
        <w:tc>
          <w:tcPr>
            <w:tcW w:w="57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69,124.00</w:t>
            </w:r>
          </w:p>
        </w:tc>
      </w:tr>
      <w:tr w:rsidR="003C097D" w:rsidRPr="008F5AFD" w:rsidTr="00DF2B38">
        <w:trPr>
          <w:trHeight w:val="300"/>
        </w:trPr>
        <w:tc>
          <w:tcPr>
            <w:tcW w:w="515"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2012/13</w:t>
            </w:r>
          </w:p>
        </w:tc>
        <w:tc>
          <w:tcPr>
            <w:tcW w:w="88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18.00</w:t>
            </w:r>
          </w:p>
        </w:tc>
        <w:tc>
          <w:tcPr>
            <w:tcW w:w="542"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913.00</w:t>
            </w:r>
          </w:p>
        </w:tc>
        <w:tc>
          <w:tcPr>
            <w:tcW w:w="56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w:t>
            </w:r>
          </w:p>
        </w:tc>
        <w:tc>
          <w:tcPr>
            <w:tcW w:w="595"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28,921.00</w:t>
            </w:r>
          </w:p>
        </w:tc>
        <w:tc>
          <w:tcPr>
            <w:tcW w:w="620"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12,885.00</w:t>
            </w:r>
          </w:p>
        </w:tc>
        <w:tc>
          <w:tcPr>
            <w:tcW w:w="69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17,118.00</w:t>
            </w:r>
          </w:p>
        </w:tc>
        <w:tc>
          <w:tcPr>
            <w:tcW w:w="57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59,854.00</w:t>
            </w:r>
          </w:p>
        </w:tc>
      </w:tr>
      <w:tr w:rsidR="003C097D" w:rsidRPr="008F5AFD" w:rsidTr="00DF2B38">
        <w:trPr>
          <w:trHeight w:val="300"/>
        </w:trPr>
        <w:tc>
          <w:tcPr>
            <w:tcW w:w="515" w:type="pct"/>
            <w:shd w:val="clear" w:color="auto" w:fill="FFFFFF" w:themeFill="background1"/>
            <w:noWrap/>
          </w:tcPr>
          <w:p w:rsidR="005955E6" w:rsidRPr="005955E6" w:rsidRDefault="005955E6" w:rsidP="005955E6">
            <w:pPr>
              <w:jc w:val="both"/>
              <w:rPr>
                <w:rFonts w:ascii="Calibri" w:hAnsi="Calibri"/>
                <w:sz w:val="20"/>
              </w:rPr>
            </w:pPr>
            <w:r w:rsidRPr="005955E6">
              <w:rPr>
                <w:rFonts w:ascii="Calibri" w:hAnsi="Calibri"/>
                <w:sz w:val="20"/>
              </w:rPr>
              <w:t>2013/14</w:t>
            </w:r>
          </w:p>
        </w:tc>
        <w:tc>
          <w:tcPr>
            <w:tcW w:w="88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18.77</w:t>
            </w:r>
          </w:p>
        </w:tc>
        <w:tc>
          <w:tcPr>
            <w:tcW w:w="542"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1,034.30</w:t>
            </w:r>
          </w:p>
        </w:tc>
        <w:tc>
          <w:tcPr>
            <w:tcW w:w="56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w:t>
            </w:r>
          </w:p>
        </w:tc>
        <w:tc>
          <w:tcPr>
            <w:tcW w:w="595"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26,966.65</w:t>
            </w:r>
          </w:p>
        </w:tc>
        <w:tc>
          <w:tcPr>
            <w:tcW w:w="620"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13,494.25</w:t>
            </w:r>
          </w:p>
        </w:tc>
        <w:tc>
          <w:tcPr>
            <w:tcW w:w="698"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16,486.94</w:t>
            </w:r>
          </w:p>
        </w:tc>
        <w:tc>
          <w:tcPr>
            <w:tcW w:w="576" w:type="pct"/>
            <w:shd w:val="clear" w:color="auto" w:fill="FFFFFF" w:themeFill="background1"/>
            <w:noWrap/>
          </w:tcPr>
          <w:p w:rsidR="005955E6" w:rsidRPr="005955E6" w:rsidRDefault="005955E6" w:rsidP="005955E6">
            <w:pPr>
              <w:jc w:val="center"/>
              <w:rPr>
                <w:rFonts w:ascii="Calibri" w:hAnsi="Calibri"/>
                <w:sz w:val="20"/>
              </w:rPr>
            </w:pPr>
            <w:r w:rsidRPr="005955E6">
              <w:rPr>
                <w:rFonts w:ascii="Calibri" w:hAnsi="Calibri"/>
                <w:sz w:val="20"/>
              </w:rPr>
              <w:t>58,000.91</w:t>
            </w:r>
          </w:p>
        </w:tc>
      </w:tr>
    </w:tbl>
    <w:p w:rsidR="005955E6" w:rsidRPr="005955E6" w:rsidRDefault="005955E6" w:rsidP="005955E6">
      <w:pPr>
        <w:jc w:val="both"/>
        <w:rPr>
          <w:rFonts w:ascii="Calibri" w:hAnsi="Calibri"/>
          <w:b/>
          <w:noProof/>
          <w:kern w:val="32"/>
          <w:sz w:val="32"/>
        </w:rPr>
      </w:pPr>
      <w:r w:rsidRPr="005955E6">
        <w:rPr>
          <w:rFonts w:ascii="Calibri" w:hAnsi="Calibri"/>
          <w:sz w:val="20"/>
        </w:rPr>
        <w:t>Source: DEDJTR, Statutory returns under the MRSDA.</w:t>
      </w:r>
    </w:p>
    <w:p w:rsidR="005955E6" w:rsidRPr="005955E6" w:rsidRDefault="005955E6" w:rsidP="005955E6">
      <w:pPr>
        <w:jc w:val="both"/>
        <w:rPr>
          <w:rFonts w:ascii="Calibri" w:hAnsi="Calibri"/>
          <w:sz w:val="20"/>
        </w:rPr>
      </w:pPr>
      <w:r w:rsidRPr="005955E6">
        <w:rPr>
          <w:rFonts w:ascii="Calibri" w:hAnsi="Calibri"/>
          <w:sz w:val="20"/>
        </w:rPr>
        <w:t>* State Electricity Commission of Victoria, disaggregated in 1994.</w:t>
      </w:r>
    </w:p>
    <w:p w:rsidR="005955E6" w:rsidRPr="005955E6" w:rsidRDefault="005955E6" w:rsidP="005955E6">
      <w:pPr>
        <w:spacing w:after="200" w:line="276" w:lineRule="auto"/>
        <w:rPr>
          <w:rFonts w:ascii="Calibri" w:hAnsi="Calibri"/>
          <w:b/>
          <w:noProof/>
          <w:kern w:val="32"/>
          <w:sz w:val="32"/>
        </w:rPr>
      </w:pPr>
      <w:r w:rsidRPr="005955E6">
        <w:rPr>
          <w:rFonts w:ascii="Calibri" w:hAnsi="Calibri"/>
        </w:rPr>
        <w:br w:type="page"/>
      </w:r>
    </w:p>
    <w:p w:rsidR="005955E6" w:rsidRPr="005955E6" w:rsidRDefault="005955E6" w:rsidP="00615AA5">
      <w:pPr>
        <w:pStyle w:val="Heading1"/>
        <w:keepNext w:val="0"/>
        <w:framePr w:w="0" w:hRule="auto" w:hSpace="0" w:wrap="auto" w:vAnchor="margin" w:hAnchor="text" w:xAlign="left" w:yAlign="inline"/>
        <w:numPr>
          <w:ilvl w:val="0"/>
          <w:numId w:val="6"/>
        </w:numPr>
        <w:spacing w:after="0" w:line="240" w:lineRule="auto"/>
        <w:ind w:hanging="502"/>
        <w:rPr>
          <w:rFonts w:ascii="Calibri" w:hAnsi="Calibri"/>
        </w:rPr>
      </w:pPr>
      <w:r w:rsidRPr="005955E6">
        <w:rPr>
          <w:rFonts w:ascii="Calibri" w:hAnsi="Calibri"/>
        </w:rPr>
        <w:lastRenderedPageBreak/>
        <w:t>Extractive Industry</w:t>
      </w:r>
      <w:bookmarkEnd w:id="0"/>
      <w:bookmarkEnd w:id="1"/>
      <w:bookmarkEnd w:id="2"/>
      <w:bookmarkEnd w:id="3"/>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r w:rsidRPr="005955E6">
        <w:rPr>
          <w:rFonts w:ascii="Calibri" w:hAnsi="Calibri"/>
          <w:sz w:val="20"/>
        </w:rPr>
        <w:t xml:space="preserve">Extractive industries provide the raw materials for building and construction, which are vital to the State’s development. The industry operates quarries that produce a range of “stone” products, predominantly being hard rock, clay, sand and gravel. </w:t>
      </w:r>
    </w:p>
    <w:p w:rsidR="005955E6" w:rsidRPr="005955E6" w:rsidRDefault="005955E6" w:rsidP="005955E6">
      <w:pPr>
        <w:jc w:val="both"/>
        <w:rPr>
          <w:rFonts w:ascii="Calibri" w:hAnsi="Calibri"/>
          <w:sz w:val="20"/>
        </w:rPr>
      </w:pPr>
    </w:p>
    <w:p w:rsidR="001B540A" w:rsidRDefault="005955E6" w:rsidP="001B540A">
      <w:pPr>
        <w:rPr>
          <w:rFonts w:ascii="Calibri" w:hAnsi="Calibri"/>
          <w:sz w:val="20"/>
        </w:rPr>
      </w:pPr>
      <w:r w:rsidRPr="005955E6">
        <w:rPr>
          <w:rFonts w:ascii="Calibri" w:hAnsi="Calibri"/>
          <w:sz w:val="20"/>
        </w:rPr>
        <w:t>As at 30 June 2014, 881 quarries were operating under the MRSDA in Victoria. The total number of quarries has been relatively stable over the last decade.</w:t>
      </w:r>
    </w:p>
    <w:p w:rsidR="005955E6" w:rsidRPr="005955E6" w:rsidRDefault="001B540A" w:rsidP="001B540A">
      <w:pPr>
        <w:rPr>
          <w:rFonts w:ascii="Calibri" w:hAnsi="Calibri"/>
          <w:sz w:val="20"/>
        </w:rPr>
      </w:pPr>
      <w:r w:rsidRPr="005955E6">
        <w:rPr>
          <w:rFonts w:ascii="Calibri" w:hAnsi="Calibri"/>
          <w:sz w:val="20"/>
        </w:rPr>
        <w:t xml:space="preserve"> </w:t>
      </w:r>
    </w:p>
    <w:p w:rsidR="005955E6" w:rsidRPr="005955E6" w:rsidRDefault="005955E6" w:rsidP="008A5423">
      <w:pPr>
        <w:pStyle w:val="Heading3"/>
      </w:pPr>
      <w:r w:rsidRPr="005955E6">
        <w:t>Table 4.1 Status of extractive industry work authorities* as at 30 June 2014</w:t>
      </w:r>
    </w:p>
    <w:p w:rsidR="005955E6" w:rsidRPr="005955E6" w:rsidRDefault="005955E6" w:rsidP="005955E6">
      <w:pPr>
        <w:jc w:val="both"/>
        <w:rPr>
          <w:rFonts w:ascii="Calibri" w:hAnsi="Calibri"/>
          <w:sz w:val="20"/>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ook w:val="04A0" w:firstRow="1" w:lastRow="0" w:firstColumn="1" w:lastColumn="0" w:noHBand="0" w:noVBand="1"/>
      </w:tblPr>
      <w:tblGrid>
        <w:gridCol w:w="2596"/>
        <w:gridCol w:w="2303"/>
        <w:gridCol w:w="2515"/>
        <w:gridCol w:w="2894"/>
      </w:tblGrid>
      <w:tr w:rsidR="003C097D" w:rsidRPr="008F5AFD" w:rsidTr="008A5423">
        <w:trPr>
          <w:trHeight w:val="315"/>
          <w:tblHeader/>
        </w:trPr>
        <w:tc>
          <w:tcPr>
            <w:tcW w:w="1259" w:type="pct"/>
            <w:shd w:val="clear" w:color="auto" w:fill="FFFFFF" w:themeFill="background1"/>
            <w:noWrap/>
            <w:hideMark/>
          </w:tcPr>
          <w:p w:rsidR="005955E6" w:rsidRPr="005955E6" w:rsidRDefault="005955E6" w:rsidP="005955E6">
            <w:pPr>
              <w:jc w:val="both"/>
              <w:rPr>
                <w:rFonts w:ascii="Calibri" w:hAnsi="Calibri"/>
                <w:b/>
                <w:sz w:val="20"/>
              </w:rPr>
            </w:pPr>
            <w:bookmarkStart w:id="81" w:name="ColumnTitle_4_1"/>
            <w:r w:rsidRPr="005955E6">
              <w:rPr>
                <w:rFonts w:ascii="Calibri" w:hAnsi="Calibri"/>
                <w:b/>
                <w:sz w:val="20"/>
              </w:rPr>
              <w:t>Tenement</w:t>
            </w:r>
          </w:p>
        </w:tc>
        <w:tc>
          <w:tcPr>
            <w:tcW w:w="1117" w:type="pct"/>
            <w:shd w:val="clear" w:color="auto" w:fill="FFFFFF" w:themeFill="background1"/>
            <w:noWrap/>
            <w:hideMark/>
          </w:tcPr>
          <w:p w:rsidR="005955E6" w:rsidRPr="005955E6" w:rsidRDefault="005955E6" w:rsidP="005955E6">
            <w:pPr>
              <w:jc w:val="center"/>
              <w:rPr>
                <w:rFonts w:ascii="Calibri" w:hAnsi="Calibri"/>
                <w:b/>
                <w:sz w:val="20"/>
              </w:rPr>
            </w:pPr>
            <w:r w:rsidRPr="005955E6">
              <w:rPr>
                <w:rFonts w:ascii="Calibri" w:hAnsi="Calibri"/>
                <w:b/>
                <w:sz w:val="20"/>
              </w:rPr>
              <w:t>Proposal**</w:t>
            </w:r>
          </w:p>
        </w:tc>
        <w:tc>
          <w:tcPr>
            <w:tcW w:w="1220" w:type="pct"/>
            <w:shd w:val="clear" w:color="auto" w:fill="FFFFFF" w:themeFill="background1"/>
            <w:noWrap/>
            <w:hideMark/>
          </w:tcPr>
          <w:p w:rsidR="005955E6" w:rsidRPr="005955E6" w:rsidRDefault="005955E6" w:rsidP="005955E6">
            <w:pPr>
              <w:jc w:val="center"/>
              <w:rPr>
                <w:rFonts w:ascii="Calibri" w:hAnsi="Calibri"/>
                <w:b/>
                <w:sz w:val="20"/>
              </w:rPr>
            </w:pPr>
            <w:r w:rsidRPr="005955E6">
              <w:rPr>
                <w:rFonts w:ascii="Calibri" w:hAnsi="Calibri"/>
                <w:b/>
                <w:sz w:val="20"/>
              </w:rPr>
              <w:t>Application***</w:t>
            </w:r>
          </w:p>
        </w:tc>
        <w:tc>
          <w:tcPr>
            <w:tcW w:w="1404" w:type="pct"/>
            <w:shd w:val="clear" w:color="auto" w:fill="FFFFFF" w:themeFill="background1"/>
            <w:noWrap/>
            <w:hideMark/>
          </w:tcPr>
          <w:p w:rsidR="005955E6" w:rsidRPr="005955E6" w:rsidRDefault="005955E6" w:rsidP="005955E6">
            <w:pPr>
              <w:jc w:val="center"/>
              <w:rPr>
                <w:rFonts w:ascii="Calibri" w:hAnsi="Calibri"/>
                <w:b/>
                <w:sz w:val="20"/>
              </w:rPr>
            </w:pPr>
            <w:r w:rsidRPr="005955E6">
              <w:rPr>
                <w:rFonts w:ascii="Calibri" w:hAnsi="Calibri"/>
                <w:b/>
                <w:sz w:val="20"/>
              </w:rPr>
              <w:t>Current</w:t>
            </w:r>
          </w:p>
        </w:tc>
      </w:tr>
      <w:bookmarkEnd w:id="81"/>
      <w:tr w:rsidR="003C097D" w:rsidRPr="008F5AFD" w:rsidTr="008A5423">
        <w:trPr>
          <w:trHeight w:val="315"/>
        </w:trPr>
        <w:tc>
          <w:tcPr>
            <w:tcW w:w="1259" w:type="pct"/>
            <w:shd w:val="clear" w:color="auto" w:fill="FFFFFF" w:themeFill="background1"/>
            <w:noWrap/>
            <w:hideMark/>
          </w:tcPr>
          <w:p w:rsidR="005955E6" w:rsidRPr="005955E6" w:rsidRDefault="005955E6" w:rsidP="005955E6">
            <w:pPr>
              <w:jc w:val="both"/>
              <w:rPr>
                <w:rFonts w:ascii="Calibri" w:hAnsi="Calibri"/>
                <w:sz w:val="20"/>
              </w:rPr>
            </w:pPr>
            <w:r w:rsidRPr="005955E6">
              <w:rPr>
                <w:rFonts w:ascii="Calibri" w:hAnsi="Calibri"/>
                <w:sz w:val="20"/>
              </w:rPr>
              <w:t>Work Authority</w:t>
            </w:r>
          </w:p>
        </w:tc>
        <w:tc>
          <w:tcPr>
            <w:tcW w:w="1117" w:type="pct"/>
            <w:shd w:val="clear" w:color="auto" w:fill="FFFFFF" w:themeFill="background1"/>
            <w:noWrap/>
            <w:hideMark/>
          </w:tcPr>
          <w:p w:rsidR="005955E6" w:rsidRPr="005955E6" w:rsidRDefault="005955E6" w:rsidP="005955E6">
            <w:pPr>
              <w:jc w:val="center"/>
              <w:rPr>
                <w:rFonts w:ascii="Calibri" w:hAnsi="Calibri"/>
                <w:sz w:val="20"/>
              </w:rPr>
            </w:pPr>
            <w:r w:rsidRPr="005955E6">
              <w:rPr>
                <w:rFonts w:ascii="Calibri" w:hAnsi="Calibri"/>
                <w:sz w:val="20"/>
              </w:rPr>
              <w:t>120</w:t>
            </w:r>
          </w:p>
        </w:tc>
        <w:tc>
          <w:tcPr>
            <w:tcW w:w="1220" w:type="pct"/>
            <w:shd w:val="clear" w:color="auto" w:fill="FFFFFF" w:themeFill="background1"/>
            <w:noWrap/>
            <w:hideMark/>
          </w:tcPr>
          <w:p w:rsidR="005955E6" w:rsidRPr="005955E6" w:rsidRDefault="005955E6" w:rsidP="005955E6">
            <w:pPr>
              <w:jc w:val="center"/>
              <w:rPr>
                <w:rFonts w:ascii="Calibri" w:hAnsi="Calibri"/>
                <w:sz w:val="20"/>
              </w:rPr>
            </w:pPr>
            <w:r w:rsidRPr="005955E6">
              <w:rPr>
                <w:rFonts w:ascii="Calibri" w:hAnsi="Calibri"/>
                <w:sz w:val="20"/>
              </w:rPr>
              <w:t>15</w:t>
            </w:r>
          </w:p>
        </w:tc>
        <w:tc>
          <w:tcPr>
            <w:tcW w:w="1404" w:type="pct"/>
            <w:shd w:val="clear" w:color="auto" w:fill="FFFFFF" w:themeFill="background1"/>
            <w:noWrap/>
            <w:hideMark/>
          </w:tcPr>
          <w:p w:rsidR="005955E6" w:rsidRPr="005955E6" w:rsidRDefault="005955E6" w:rsidP="005955E6">
            <w:pPr>
              <w:jc w:val="center"/>
              <w:rPr>
                <w:rFonts w:ascii="Calibri" w:hAnsi="Calibri"/>
                <w:sz w:val="20"/>
              </w:rPr>
            </w:pPr>
            <w:r w:rsidRPr="005955E6">
              <w:rPr>
                <w:rFonts w:ascii="Calibri" w:hAnsi="Calibri"/>
                <w:sz w:val="20"/>
              </w:rPr>
              <w:t>881</w:t>
            </w:r>
          </w:p>
        </w:tc>
      </w:tr>
    </w:tbl>
    <w:p w:rsidR="005955E6" w:rsidRPr="005955E6" w:rsidRDefault="005955E6" w:rsidP="005955E6">
      <w:pPr>
        <w:jc w:val="both"/>
        <w:rPr>
          <w:rFonts w:ascii="Calibri" w:hAnsi="Calibri"/>
          <w:sz w:val="20"/>
        </w:rPr>
      </w:pPr>
      <w:r w:rsidRPr="005955E6">
        <w:rPr>
          <w:rFonts w:ascii="Calibri" w:hAnsi="Calibri"/>
          <w:sz w:val="20"/>
        </w:rPr>
        <w:t>Source: DEDJTR</w:t>
      </w:r>
    </w:p>
    <w:p w:rsidR="005955E6" w:rsidRPr="005955E6" w:rsidRDefault="005955E6" w:rsidP="005955E6">
      <w:pPr>
        <w:rPr>
          <w:rFonts w:ascii="Calibri" w:hAnsi="Calibri"/>
          <w:sz w:val="16"/>
          <w:szCs w:val="16"/>
        </w:rPr>
      </w:pPr>
      <w:r w:rsidRPr="005955E6">
        <w:rPr>
          <w:rFonts w:ascii="Calibri" w:hAnsi="Calibri"/>
          <w:sz w:val="16"/>
          <w:szCs w:val="16"/>
        </w:rPr>
        <w:t>*A Work Authority is granted under the MRSDA.</w:t>
      </w:r>
    </w:p>
    <w:p w:rsidR="005955E6" w:rsidRPr="005955E6" w:rsidRDefault="005955E6" w:rsidP="005955E6">
      <w:pPr>
        <w:rPr>
          <w:rFonts w:ascii="Calibri" w:hAnsi="Calibri"/>
          <w:sz w:val="16"/>
          <w:szCs w:val="16"/>
        </w:rPr>
      </w:pPr>
      <w:r w:rsidRPr="005955E6">
        <w:rPr>
          <w:rFonts w:ascii="Calibri" w:hAnsi="Calibri"/>
          <w:sz w:val="16"/>
          <w:szCs w:val="16"/>
        </w:rPr>
        <w:t xml:space="preserve">** Work Authority is in proposal stage when an initial site meeting takes place attended by the Inspector and other relevant parties. </w:t>
      </w:r>
    </w:p>
    <w:p w:rsidR="001B540A" w:rsidRDefault="005955E6" w:rsidP="001B540A">
      <w:pPr>
        <w:rPr>
          <w:rFonts w:ascii="Calibri" w:hAnsi="Calibri"/>
          <w:sz w:val="16"/>
          <w:szCs w:val="16"/>
        </w:rPr>
      </w:pPr>
      <w:r w:rsidRPr="005955E6">
        <w:rPr>
          <w:rFonts w:ascii="Calibri" w:hAnsi="Calibri"/>
          <w:sz w:val="16"/>
          <w:szCs w:val="16"/>
        </w:rPr>
        <w:t>** *Application stage is when a Work Authority application is lodged with all requirements to obtain an approved Work Plan.</w:t>
      </w:r>
      <w:bookmarkStart w:id="82" w:name="_Toc279573243"/>
    </w:p>
    <w:p w:rsidR="005955E6" w:rsidRPr="005955E6" w:rsidRDefault="001B540A" w:rsidP="001B540A">
      <w:pPr>
        <w:rPr>
          <w:rFonts w:ascii="Calibri" w:hAnsi="Calibri"/>
          <w:b/>
          <w:sz w:val="20"/>
        </w:rPr>
      </w:pPr>
      <w:r w:rsidRPr="005955E6">
        <w:rPr>
          <w:rFonts w:ascii="Calibri" w:hAnsi="Calibri"/>
          <w:b/>
          <w:sz w:val="20"/>
        </w:rPr>
        <w:t xml:space="preserve"> </w:t>
      </w:r>
    </w:p>
    <w:p w:rsidR="005955E6" w:rsidRPr="005955E6" w:rsidRDefault="005955E6" w:rsidP="008A5423">
      <w:pPr>
        <w:pStyle w:val="Heading3"/>
      </w:pPr>
      <w:r w:rsidRPr="005955E6">
        <w:t>Graph 4.1 Extractive industry quarries and sales</w:t>
      </w:r>
      <w:bookmarkEnd w:id="82"/>
      <w:r w:rsidRPr="005955E6">
        <w:t xml:space="preserve"> </w:t>
      </w:r>
      <w:bookmarkStart w:id="83" w:name="_Toc211917940"/>
    </w:p>
    <w:p w:rsidR="005955E6" w:rsidRPr="005955E6" w:rsidRDefault="0016613F" w:rsidP="005955E6">
      <w:pPr>
        <w:jc w:val="both"/>
        <w:rPr>
          <w:rFonts w:ascii="Calibri" w:hAnsi="Calibri"/>
          <w:sz w:val="20"/>
        </w:rPr>
      </w:pPr>
      <w:r>
        <w:rPr>
          <w:rFonts w:ascii="Calibri" w:hAnsi="Calibri"/>
          <w:noProof/>
          <w:sz w:val="20"/>
        </w:rPr>
        <w:drawing>
          <wp:inline distT="0" distB="0" distL="0" distR="0" wp14:anchorId="4CDB0143" wp14:editId="08CC49A6">
            <wp:extent cx="6324600" cy="2465070"/>
            <wp:effectExtent l="0" t="0" r="0" b="0"/>
            <wp:docPr id="10" name="Chart 1" descr="In the 2006/2007 financial year, there were roughly 880 quarries in operation that sold 50 million tonnes worth of material.&#10;&#10;In the 2007/2008 financial year, there were roughly 880 quarries in operation that sold 55 million tonnes worth of material.&#10;&#10;In the 2008/2009 financial year, there were roughly 880 quarries in operation that sold 48 million tonnes worth of material.&#10;&#10;In the 2009/2010 financial year, there were roughly 880 quarries in operation that sold 40 million tonnes worth of material.&#10;&#10;In the 2010/2011 financial year, there were roughly 880 quarries in operation that sold 55 million tonnes worth of &#10;material.&#10;&#10;In the 2011/2012 financial year, there were roughly 880 quarries in operation that sold 60 million tonnes worth of material.&#10;&#10;In the 2012/2013 financial year, there were roughly 880 quarries in operation that sold 45 million tonnes worth of material.&#10;&#10;In the 2013/2014 financial year, there were roughly 880 quarries in operation that sold 35 million tonnes worth of material." title="Graph 4.1 - Extractive industry quarries and sale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955E6" w:rsidRPr="005955E6" w:rsidRDefault="005955E6" w:rsidP="005955E6">
      <w:pPr>
        <w:jc w:val="both"/>
        <w:rPr>
          <w:rFonts w:ascii="Calibri" w:hAnsi="Calibri"/>
          <w:sz w:val="20"/>
        </w:rPr>
      </w:pPr>
      <w:bookmarkStart w:id="84" w:name="_Toc125447287"/>
      <w:bookmarkStart w:id="85" w:name="_Toc157232806"/>
      <w:bookmarkStart w:id="86" w:name="_Toc279573136"/>
      <w:r w:rsidRPr="005955E6">
        <w:rPr>
          <w:rFonts w:ascii="Calibri" w:hAnsi="Calibri"/>
          <w:sz w:val="20"/>
        </w:rPr>
        <w:t>Source: DEDJTR</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r w:rsidRPr="005955E6">
        <w:rPr>
          <w:rFonts w:ascii="Calibri" w:hAnsi="Calibri"/>
          <w:sz w:val="20"/>
        </w:rPr>
        <w:t xml:space="preserve">Sales of quarry products fluctuate from year to year, reflecting domestic demand changes from the building and construction sector. The fall in demand in 2013/14 is explained by the continued slowing of activity related to major infrastructure projects, as was the case in 2012/3. </w:t>
      </w:r>
    </w:p>
    <w:p w:rsidR="005955E6" w:rsidRPr="005955E6" w:rsidRDefault="005955E6" w:rsidP="005955E6">
      <w:pPr>
        <w:jc w:val="both"/>
        <w:rPr>
          <w:rFonts w:ascii="Calibri" w:hAnsi="Calibri"/>
          <w:sz w:val="20"/>
        </w:rPr>
      </w:pPr>
    </w:p>
    <w:p w:rsidR="005955E6" w:rsidRPr="005955E6" w:rsidRDefault="005955E6" w:rsidP="005955E6">
      <w:pPr>
        <w:jc w:val="both"/>
        <w:rPr>
          <w:rFonts w:ascii="Calibri" w:hAnsi="Calibri"/>
          <w:sz w:val="20"/>
        </w:rPr>
      </w:pPr>
      <w:r w:rsidRPr="005955E6">
        <w:rPr>
          <w:rFonts w:ascii="Calibri" w:hAnsi="Calibri"/>
          <w:sz w:val="20"/>
        </w:rPr>
        <w:t>A total of 485 quarries reported production in 2013/14, with total sales volume being 40.33 million tonnes.  In 2012/13, the number of producing quarries stood at 535, with volume output of 47.44 million.</w:t>
      </w:r>
    </w:p>
    <w:p w:rsidR="005955E6" w:rsidRPr="005955E6" w:rsidRDefault="005955E6" w:rsidP="005955E6">
      <w:pPr>
        <w:jc w:val="both"/>
        <w:rPr>
          <w:rFonts w:ascii="Calibri" w:hAnsi="Calibri"/>
          <w:sz w:val="20"/>
        </w:rPr>
      </w:pPr>
    </w:p>
    <w:p w:rsidR="001B540A" w:rsidRDefault="005955E6" w:rsidP="005955E6">
      <w:pPr>
        <w:jc w:val="both"/>
        <w:rPr>
          <w:rFonts w:ascii="Calibri" w:hAnsi="Calibri"/>
          <w:sz w:val="20"/>
        </w:rPr>
      </w:pPr>
      <w:r w:rsidRPr="005955E6">
        <w:rPr>
          <w:rFonts w:ascii="Calibri" w:hAnsi="Calibri"/>
          <w:sz w:val="20"/>
        </w:rPr>
        <w:t>Volume sales of extractive industry (quarry) products in 2013/14 fell by around 7.1 million tonnes, or 17% on a y-o-y basis, which is broadly in line with the previous year’s trend (an 18% y-o-y drop). Value drop was less pronounced, at 9% y-o-y to $676.55 million.</w:t>
      </w:r>
    </w:p>
    <w:p w:rsidR="001B540A" w:rsidRDefault="001B540A">
      <w:pPr>
        <w:rPr>
          <w:rFonts w:ascii="Calibri" w:hAnsi="Calibri"/>
          <w:sz w:val="20"/>
        </w:rPr>
      </w:pPr>
      <w:r>
        <w:rPr>
          <w:rFonts w:ascii="Calibri" w:hAnsi="Calibri"/>
          <w:sz w:val="20"/>
        </w:rPr>
        <w:br w:type="page"/>
      </w:r>
    </w:p>
    <w:p w:rsidR="005955E6" w:rsidRPr="005955E6" w:rsidRDefault="001B540A" w:rsidP="008A5423">
      <w:pPr>
        <w:pStyle w:val="Heading3"/>
      </w:pPr>
      <w:r w:rsidRPr="005955E6">
        <w:lastRenderedPageBreak/>
        <w:t xml:space="preserve"> </w:t>
      </w:r>
      <w:r w:rsidR="005955E6" w:rsidRPr="005955E6">
        <w:t>Table 4.2 Victorian extractive industries sales by product type 2013/14</w:t>
      </w:r>
    </w:p>
    <w:p w:rsidR="005955E6" w:rsidRPr="005955E6" w:rsidRDefault="005955E6" w:rsidP="005955E6">
      <w:pPr>
        <w:jc w:val="both"/>
        <w:rPr>
          <w:rFonts w:ascii="Calibri" w:hAnsi="Calibri"/>
          <w:b/>
          <w:sz w:val="20"/>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ook w:val="04A0" w:firstRow="1" w:lastRow="0" w:firstColumn="1" w:lastColumn="0" w:noHBand="0" w:noVBand="1"/>
      </w:tblPr>
      <w:tblGrid>
        <w:gridCol w:w="3382"/>
        <w:gridCol w:w="2229"/>
        <w:gridCol w:w="2635"/>
        <w:gridCol w:w="2062"/>
      </w:tblGrid>
      <w:tr w:rsidR="003C097D" w:rsidRPr="007235F6" w:rsidTr="008A5423">
        <w:trPr>
          <w:trHeight w:val="662"/>
          <w:tblHeader/>
        </w:trPr>
        <w:tc>
          <w:tcPr>
            <w:tcW w:w="1641" w:type="pct"/>
            <w:shd w:val="clear" w:color="auto" w:fill="FFFFFF" w:themeFill="background1"/>
            <w:noWrap/>
            <w:vAlign w:val="center"/>
            <w:hideMark/>
          </w:tcPr>
          <w:p w:rsidR="005955E6" w:rsidRPr="005955E6" w:rsidRDefault="005955E6" w:rsidP="00615AA5">
            <w:pPr>
              <w:rPr>
                <w:rFonts w:ascii="Calibri" w:hAnsi="Calibri" w:cs="Arial"/>
                <w:b/>
                <w:bCs/>
                <w:color w:val="000000"/>
                <w:sz w:val="20"/>
              </w:rPr>
            </w:pPr>
            <w:bookmarkStart w:id="87" w:name="ColumnTitle_4_2"/>
            <w:r w:rsidRPr="005955E6">
              <w:rPr>
                <w:rFonts w:ascii="Calibri" w:hAnsi="Calibri" w:cs="Arial"/>
                <w:b/>
                <w:bCs/>
                <w:color w:val="000000"/>
                <w:sz w:val="20"/>
              </w:rPr>
              <w:t>Produ</w:t>
            </w:r>
            <w:bookmarkStart w:id="88" w:name="Title_4_2"/>
            <w:bookmarkEnd w:id="88"/>
            <w:r w:rsidRPr="005955E6">
              <w:rPr>
                <w:rFonts w:ascii="Calibri" w:hAnsi="Calibri" w:cs="Arial"/>
                <w:b/>
                <w:bCs/>
                <w:color w:val="000000"/>
                <w:sz w:val="20"/>
              </w:rPr>
              <w:t>ct Group</w:t>
            </w:r>
          </w:p>
        </w:tc>
        <w:tc>
          <w:tcPr>
            <w:tcW w:w="1081" w:type="pct"/>
            <w:shd w:val="clear" w:color="auto" w:fill="FFFFFF" w:themeFill="background1"/>
            <w:noWrap/>
            <w:vAlign w:val="center"/>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Product Type</w:t>
            </w:r>
          </w:p>
        </w:tc>
        <w:tc>
          <w:tcPr>
            <w:tcW w:w="1278" w:type="pct"/>
            <w:shd w:val="clear" w:color="auto" w:fill="FFFFFF" w:themeFill="background1"/>
            <w:noWrap/>
            <w:vAlign w:val="center"/>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Sales - volume (m tonnes)</w:t>
            </w:r>
          </w:p>
        </w:tc>
        <w:tc>
          <w:tcPr>
            <w:tcW w:w="1000" w:type="pct"/>
            <w:shd w:val="clear" w:color="auto" w:fill="FFFFFF" w:themeFill="background1"/>
            <w:noWrap/>
            <w:vAlign w:val="center"/>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Sales - value ($Am)</w:t>
            </w:r>
          </w:p>
        </w:tc>
      </w:tr>
      <w:bookmarkEnd w:id="87"/>
      <w:tr w:rsidR="003C097D" w:rsidRPr="007235F6" w:rsidTr="008A5423">
        <w:trPr>
          <w:trHeight w:val="315"/>
        </w:trPr>
        <w:tc>
          <w:tcPr>
            <w:tcW w:w="1641"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Single size products</w:t>
            </w:r>
          </w:p>
        </w:tc>
        <w:tc>
          <w:tcPr>
            <w:tcW w:w="1081"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Aggregate</w:t>
            </w:r>
          </w:p>
        </w:tc>
        <w:tc>
          <w:tcPr>
            <w:tcW w:w="127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13.27</w:t>
            </w:r>
          </w:p>
        </w:tc>
        <w:tc>
          <w:tcPr>
            <w:tcW w:w="1000"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265.48</w:t>
            </w:r>
          </w:p>
        </w:tc>
      </w:tr>
      <w:tr w:rsidR="003C097D" w:rsidRPr="007235F6" w:rsidTr="008A5423">
        <w:trPr>
          <w:trHeight w:val="315"/>
        </w:trPr>
        <w:tc>
          <w:tcPr>
            <w:tcW w:w="1641"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 </w:t>
            </w:r>
          </w:p>
        </w:tc>
        <w:tc>
          <w:tcPr>
            <w:tcW w:w="1081"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Armour</w:t>
            </w:r>
          </w:p>
        </w:tc>
        <w:tc>
          <w:tcPr>
            <w:tcW w:w="127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0.16</w:t>
            </w:r>
          </w:p>
        </w:tc>
        <w:tc>
          <w:tcPr>
            <w:tcW w:w="1000"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6.80</w:t>
            </w:r>
          </w:p>
        </w:tc>
      </w:tr>
      <w:tr w:rsidR="003C097D" w:rsidRPr="007235F6" w:rsidTr="008A5423">
        <w:trPr>
          <w:trHeight w:val="315"/>
        </w:trPr>
        <w:tc>
          <w:tcPr>
            <w:tcW w:w="2722" w:type="pct"/>
            <w:gridSpan w:val="2"/>
            <w:shd w:val="clear" w:color="auto" w:fill="FFFFFF" w:themeFill="background1"/>
            <w:noWrap/>
            <w:vAlign w:val="center"/>
            <w:hideMark/>
          </w:tcPr>
          <w:p w:rsidR="005955E6" w:rsidRPr="005955E6" w:rsidRDefault="005955E6" w:rsidP="00615AA5">
            <w:pPr>
              <w:rPr>
                <w:rFonts w:ascii="Calibri" w:hAnsi="Calibri" w:cs="Arial"/>
                <w:b/>
                <w:bCs/>
                <w:color w:val="000000"/>
                <w:sz w:val="20"/>
              </w:rPr>
            </w:pPr>
            <w:r w:rsidRPr="005955E6">
              <w:rPr>
                <w:rFonts w:ascii="Calibri" w:hAnsi="Calibri" w:cs="Arial"/>
                <w:b/>
                <w:bCs/>
                <w:color w:val="000000"/>
                <w:sz w:val="20"/>
              </w:rPr>
              <w:t>Single size products total</w:t>
            </w:r>
          </w:p>
        </w:tc>
        <w:tc>
          <w:tcPr>
            <w:tcW w:w="1278" w:type="pct"/>
            <w:shd w:val="clear" w:color="auto" w:fill="FFFFFF" w:themeFill="background1"/>
            <w:noWrap/>
            <w:vAlign w:val="center"/>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13.44</w:t>
            </w:r>
          </w:p>
        </w:tc>
        <w:tc>
          <w:tcPr>
            <w:tcW w:w="1000" w:type="pct"/>
            <w:shd w:val="clear" w:color="auto" w:fill="FFFFFF" w:themeFill="background1"/>
            <w:noWrap/>
            <w:vAlign w:val="center"/>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272.28</w:t>
            </w:r>
          </w:p>
        </w:tc>
      </w:tr>
      <w:tr w:rsidR="003C097D" w:rsidRPr="007235F6" w:rsidTr="008A5423">
        <w:trPr>
          <w:trHeight w:val="315"/>
        </w:trPr>
        <w:tc>
          <w:tcPr>
            <w:tcW w:w="1641"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Multi size products</w:t>
            </w:r>
          </w:p>
        </w:tc>
        <w:tc>
          <w:tcPr>
            <w:tcW w:w="1081"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Road base</w:t>
            </w:r>
          </w:p>
        </w:tc>
        <w:tc>
          <w:tcPr>
            <w:tcW w:w="127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4.89</w:t>
            </w:r>
          </w:p>
        </w:tc>
        <w:tc>
          <w:tcPr>
            <w:tcW w:w="1000"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82.05</w:t>
            </w:r>
          </w:p>
        </w:tc>
      </w:tr>
      <w:tr w:rsidR="003C097D" w:rsidRPr="007235F6" w:rsidTr="008A5423">
        <w:trPr>
          <w:trHeight w:val="315"/>
        </w:trPr>
        <w:tc>
          <w:tcPr>
            <w:tcW w:w="1641"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 </w:t>
            </w:r>
          </w:p>
        </w:tc>
        <w:tc>
          <w:tcPr>
            <w:tcW w:w="1081"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Road sub-base</w:t>
            </w:r>
          </w:p>
        </w:tc>
        <w:tc>
          <w:tcPr>
            <w:tcW w:w="127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8.88</w:t>
            </w:r>
          </w:p>
        </w:tc>
        <w:tc>
          <w:tcPr>
            <w:tcW w:w="1000"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128.50</w:t>
            </w:r>
          </w:p>
        </w:tc>
      </w:tr>
      <w:tr w:rsidR="003C097D" w:rsidRPr="007235F6" w:rsidTr="008A5423">
        <w:trPr>
          <w:trHeight w:val="315"/>
        </w:trPr>
        <w:tc>
          <w:tcPr>
            <w:tcW w:w="1641"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 </w:t>
            </w:r>
          </w:p>
        </w:tc>
        <w:tc>
          <w:tcPr>
            <w:tcW w:w="1081"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Fill</w:t>
            </w:r>
          </w:p>
        </w:tc>
        <w:tc>
          <w:tcPr>
            <w:tcW w:w="127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3.01</w:t>
            </w:r>
          </w:p>
        </w:tc>
        <w:tc>
          <w:tcPr>
            <w:tcW w:w="1000"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28.87</w:t>
            </w:r>
          </w:p>
        </w:tc>
      </w:tr>
      <w:tr w:rsidR="003C097D" w:rsidRPr="007235F6" w:rsidTr="008A5423">
        <w:trPr>
          <w:trHeight w:val="315"/>
        </w:trPr>
        <w:tc>
          <w:tcPr>
            <w:tcW w:w="2722" w:type="pct"/>
            <w:gridSpan w:val="2"/>
            <w:shd w:val="clear" w:color="auto" w:fill="FFFFFF" w:themeFill="background1"/>
            <w:noWrap/>
            <w:vAlign w:val="center"/>
            <w:hideMark/>
          </w:tcPr>
          <w:p w:rsidR="005955E6" w:rsidRPr="005955E6" w:rsidRDefault="005955E6" w:rsidP="00615AA5">
            <w:pPr>
              <w:rPr>
                <w:rFonts w:ascii="Calibri" w:hAnsi="Calibri" w:cs="Arial"/>
                <w:b/>
                <w:bCs/>
                <w:color w:val="000000"/>
                <w:sz w:val="20"/>
              </w:rPr>
            </w:pPr>
            <w:r w:rsidRPr="005955E6">
              <w:rPr>
                <w:rFonts w:ascii="Calibri" w:hAnsi="Calibri" w:cs="Arial"/>
                <w:b/>
                <w:bCs/>
                <w:color w:val="000000"/>
                <w:sz w:val="20"/>
              </w:rPr>
              <w:t>Multi size products total</w:t>
            </w:r>
          </w:p>
        </w:tc>
        <w:tc>
          <w:tcPr>
            <w:tcW w:w="1278" w:type="pct"/>
            <w:shd w:val="clear" w:color="auto" w:fill="FFFFFF" w:themeFill="background1"/>
            <w:noWrap/>
            <w:vAlign w:val="center"/>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16.78</w:t>
            </w:r>
          </w:p>
        </w:tc>
        <w:tc>
          <w:tcPr>
            <w:tcW w:w="1000" w:type="pct"/>
            <w:shd w:val="clear" w:color="auto" w:fill="FFFFFF" w:themeFill="background1"/>
            <w:noWrap/>
            <w:vAlign w:val="center"/>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239.42</w:t>
            </w:r>
          </w:p>
        </w:tc>
      </w:tr>
      <w:tr w:rsidR="003C097D" w:rsidRPr="007235F6" w:rsidTr="008A5423">
        <w:trPr>
          <w:trHeight w:val="315"/>
        </w:trPr>
        <w:tc>
          <w:tcPr>
            <w:tcW w:w="1641"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 xml:space="preserve">Sand products </w:t>
            </w:r>
          </w:p>
        </w:tc>
        <w:tc>
          <w:tcPr>
            <w:tcW w:w="1081"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Concrete sand</w:t>
            </w:r>
          </w:p>
        </w:tc>
        <w:tc>
          <w:tcPr>
            <w:tcW w:w="127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6.24</w:t>
            </w:r>
          </w:p>
        </w:tc>
        <w:tc>
          <w:tcPr>
            <w:tcW w:w="1000"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103.44</w:t>
            </w:r>
          </w:p>
        </w:tc>
      </w:tr>
      <w:tr w:rsidR="003C097D" w:rsidRPr="007235F6" w:rsidTr="008A5423">
        <w:trPr>
          <w:trHeight w:val="315"/>
        </w:trPr>
        <w:tc>
          <w:tcPr>
            <w:tcW w:w="1641"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 </w:t>
            </w:r>
          </w:p>
        </w:tc>
        <w:tc>
          <w:tcPr>
            <w:tcW w:w="1081"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Fine sand</w:t>
            </w:r>
          </w:p>
        </w:tc>
        <w:tc>
          <w:tcPr>
            <w:tcW w:w="127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1.15</w:t>
            </w:r>
          </w:p>
        </w:tc>
        <w:tc>
          <w:tcPr>
            <w:tcW w:w="1000"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14.39</w:t>
            </w:r>
          </w:p>
        </w:tc>
      </w:tr>
      <w:tr w:rsidR="003C097D" w:rsidRPr="007235F6" w:rsidTr="008A5423">
        <w:trPr>
          <w:trHeight w:val="315"/>
        </w:trPr>
        <w:tc>
          <w:tcPr>
            <w:tcW w:w="1641"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 </w:t>
            </w:r>
          </w:p>
        </w:tc>
        <w:tc>
          <w:tcPr>
            <w:tcW w:w="1081"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Industrial</w:t>
            </w:r>
          </w:p>
        </w:tc>
        <w:tc>
          <w:tcPr>
            <w:tcW w:w="127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0.19</w:t>
            </w:r>
          </w:p>
        </w:tc>
        <w:tc>
          <w:tcPr>
            <w:tcW w:w="1000"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5.23</w:t>
            </w:r>
          </w:p>
        </w:tc>
      </w:tr>
      <w:tr w:rsidR="003C097D" w:rsidRPr="007235F6" w:rsidTr="008A5423">
        <w:trPr>
          <w:trHeight w:val="315"/>
        </w:trPr>
        <w:tc>
          <w:tcPr>
            <w:tcW w:w="1641"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 </w:t>
            </w:r>
          </w:p>
        </w:tc>
        <w:tc>
          <w:tcPr>
            <w:tcW w:w="1081"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Foundry</w:t>
            </w:r>
          </w:p>
        </w:tc>
        <w:tc>
          <w:tcPr>
            <w:tcW w:w="127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0.11</w:t>
            </w:r>
          </w:p>
        </w:tc>
        <w:tc>
          <w:tcPr>
            <w:tcW w:w="1000"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5.00</w:t>
            </w:r>
          </w:p>
        </w:tc>
      </w:tr>
      <w:tr w:rsidR="003C097D" w:rsidRPr="007235F6" w:rsidTr="008A5423">
        <w:trPr>
          <w:trHeight w:val="315"/>
        </w:trPr>
        <w:tc>
          <w:tcPr>
            <w:tcW w:w="1641"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 </w:t>
            </w:r>
          </w:p>
        </w:tc>
        <w:tc>
          <w:tcPr>
            <w:tcW w:w="1081"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Glass sand</w:t>
            </w:r>
          </w:p>
        </w:tc>
        <w:tc>
          <w:tcPr>
            <w:tcW w:w="127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0.20</w:t>
            </w:r>
          </w:p>
        </w:tc>
        <w:tc>
          <w:tcPr>
            <w:tcW w:w="1000"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0.00</w:t>
            </w:r>
          </w:p>
        </w:tc>
      </w:tr>
      <w:tr w:rsidR="003C097D" w:rsidRPr="007235F6" w:rsidTr="008A5423">
        <w:trPr>
          <w:trHeight w:val="315"/>
        </w:trPr>
        <w:tc>
          <w:tcPr>
            <w:tcW w:w="2722" w:type="pct"/>
            <w:gridSpan w:val="2"/>
            <w:shd w:val="clear" w:color="auto" w:fill="FFFFFF" w:themeFill="background1"/>
            <w:noWrap/>
            <w:vAlign w:val="center"/>
            <w:hideMark/>
          </w:tcPr>
          <w:p w:rsidR="005955E6" w:rsidRPr="005955E6" w:rsidRDefault="005955E6" w:rsidP="00615AA5">
            <w:pPr>
              <w:rPr>
                <w:rFonts w:ascii="Calibri" w:hAnsi="Calibri" w:cs="Arial"/>
                <w:b/>
                <w:bCs/>
                <w:color w:val="000000"/>
                <w:sz w:val="20"/>
              </w:rPr>
            </w:pPr>
            <w:r w:rsidRPr="005955E6">
              <w:rPr>
                <w:rFonts w:ascii="Calibri" w:hAnsi="Calibri" w:cs="Arial"/>
                <w:b/>
                <w:bCs/>
                <w:color w:val="000000"/>
                <w:sz w:val="20"/>
              </w:rPr>
              <w:t>Sand products total</w:t>
            </w:r>
          </w:p>
        </w:tc>
        <w:tc>
          <w:tcPr>
            <w:tcW w:w="1278" w:type="pct"/>
            <w:shd w:val="clear" w:color="auto" w:fill="FFFFFF" w:themeFill="background1"/>
            <w:noWrap/>
            <w:vAlign w:val="center"/>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7.89</w:t>
            </w:r>
          </w:p>
        </w:tc>
        <w:tc>
          <w:tcPr>
            <w:tcW w:w="1000" w:type="pct"/>
            <w:shd w:val="clear" w:color="auto" w:fill="FFFFFF" w:themeFill="background1"/>
            <w:noWrap/>
            <w:vAlign w:val="center"/>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128.06</w:t>
            </w:r>
          </w:p>
        </w:tc>
      </w:tr>
      <w:tr w:rsidR="003C097D" w:rsidRPr="007235F6" w:rsidTr="008A5423">
        <w:trPr>
          <w:trHeight w:val="315"/>
        </w:trPr>
        <w:tc>
          <w:tcPr>
            <w:tcW w:w="1641"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Limestone Products</w:t>
            </w:r>
          </w:p>
        </w:tc>
        <w:tc>
          <w:tcPr>
            <w:tcW w:w="1081"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Cement</w:t>
            </w:r>
          </w:p>
        </w:tc>
        <w:tc>
          <w:tcPr>
            <w:tcW w:w="127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0.00</w:t>
            </w:r>
          </w:p>
        </w:tc>
        <w:tc>
          <w:tcPr>
            <w:tcW w:w="1000"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1.26</w:t>
            </w:r>
          </w:p>
        </w:tc>
      </w:tr>
      <w:tr w:rsidR="003C097D" w:rsidRPr="007235F6" w:rsidTr="008A5423">
        <w:trPr>
          <w:trHeight w:val="315"/>
        </w:trPr>
        <w:tc>
          <w:tcPr>
            <w:tcW w:w="1641"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 </w:t>
            </w:r>
          </w:p>
        </w:tc>
        <w:tc>
          <w:tcPr>
            <w:tcW w:w="1081"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Agriculture</w:t>
            </w:r>
          </w:p>
        </w:tc>
        <w:tc>
          <w:tcPr>
            <w:tcW w:w="127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0.46</w:t>
            </w:r>
          </w:p>
        </w:tc>
        <w:tc>
          <w:tcPr>
            <w:tcW w:w="1000"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8.53</w:t>
            </w:r>
          </w:p>
        </w:tc>
      </w:tr>
      <w:tr w:rsidR="003C097D" w:rsidRPr="007235F6" w:rsidTr="008A5423">
        <w:trPr>
          <w:trHeight w:val="315"/>
        </w:trPr>
        <w:tc>
          <w:tcPr>
            <w:tcW w:w="1641"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 </w:t>
            </w:r>
          </w:p>
        </w:tc>
        <w:tc>
          <w:tcPr>
            <w:tcW w:w="1081"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Lime</w:t>
            </w:r>
          </w:p>
        </w:tc>
        <w:tc>
          <w:tcPr>
            <w:tcW w:w="127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0.19</w:t>
            </w:r>
          </w:p>
        </w:tc>
        <w:tc>
          <w:tcPr>
            <w:tcW w:w="1000"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10.88</w:t>
            </w:r>
          </w:p>
        </w:tc>
      </w:tr>
      <w:tr w:rsidR="003C097D" w:rsidRPr="007235F6" w:rsidTr="008A5423">
        <w:trPr>
          <w:trHeight w:val="315"/>
        </w:trPr>
        <w:tc>
          <w:tcPr>
            <w:tcW w:w="2722" w:type="pct"/>
            <w:gridSpan w:val="2"/>
            <w:shd w:val="clear" w:color="auto" w:fill="FFFFFF" w:themeFill="background1"/>
            <w:noWrap/>
            <w:vAlign w:val="center"/>
            <w:hideMark/>
          </w:tcPr>
          <w:p w:rsidR="005955E6" w:rsidRPr="005955E6" w:rsidRDefault="005955E6" w:rsidP="00615AA5">
            <w:pPr>
              <w:rPr>
                <w:rFonts w:ascii="Calibri" w:hAnsi="Calibri" w:cs="Arial"/>
                <w:b/>
                <w:bCs/>
                <w:color w:val="000000"/>
                <w:sz w:val="20"/>
              </w:rPr>
            </w:pPr>
            <w:r w:rsidRPr="005955E6">
              <w:rPr>
                <w:rFonts w:ascii="Calibri" w:hAnsi="Calibri" w:cs="Arial"/>
                <w:b/>
                <w:bCs/>
                <w:color w:val="000000"/>
                <w:sz w:val="20"/>
              </w:rPr>
              <w:t>Limestone products total</w:t>
            </w:r>
          </w:p>
        </w:tc>
        <w:tc>
          <w:tcPr>
            <w:tcW w:w="1278" w:type="pct"/>
            <w:shd w:val="clear" w:color="auto" w:fill="FFFFFF" w:themeFill="background1"/>
            <w:noWrap/>
            <w:vAlign w:val="center"/>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0.65</w:t>
            </w:r>
          </w:p>
        </w:tc>
        <w:tc>
          <w:tcPr>
            <w:tcW w:w="1000" w:type="pct"/>
            <w:shd w:val="clear" w:color="auto" w:fill="FFFFFF" w:themeFill="background1"/>
            <w:noWrap/>
            <w:vAlign w:val="center"/>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20.68</w:t>
            </w:r>
          </w:p>
        </w:tc>
      </w:tr>
      <w:tr w:rsidR="003C097D" w:rsidRPr="007235F6" w:rsidTr="008A5423">
        <w:trPr>
          <w:trHeight w:val="315"/>
        </w:trPr>
        <w:tc>
          <w:tcPr>
            <w:tcW w:w="1641"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 xml:space="preserve">Clay products </w:t>
            </w:r>
          </w:p>
        </w:tc>
        <w:tc>
          <w:tcPr>
            <w:tcW w:w="1081"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Brick</w:t>
            </w:r>
          </w:p>
        </w:tc>
        <w:tc>
          <w:tcPr>
            <w:tcW w:w="127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0.52</w:t>
            </w:r>
          </w:p>
        </w:tc>
        <w:tc>
          <w:tcPr>
            <w:tcW w:w="1000"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6.46</w:t>
            </w:r>
          </w:p>
        </w:tc>
      </w:tr>
      <w:tr w:rsidR="003C097D" w:rsidRPr="007235F6" w:rsidTr="008A5423">
        <w:trPr>
          <w:trHeight w:val="315"/>
        </w:trPr>
        <w:tc>
          <w:tcPr>
            <w:tcW w:w="1641"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 </w:t>
            </w:r>
          </w:p>
        </w:tc>
        <w:tc>
          <w:tcPr>
            <w:tcW w:w="1081"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Stoneware</w:t>
            </w:r>
          </w:p>
        </w:tc>
        <w:tc>
          <w:tcPr>
            <w:tcW w:w="127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0.00</w:t>
            </w:r>
          </w:p>
        </w:tc>
        <w:tc>
          <w:tcPr>
            <w:tcW w:w="1000"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0.00</w:t>
            </w:r>
          </w:p>
        </w:tc>
      </w:tr>
      <w:tr w:rsidR="003C097D" w:rsidRPr="007235F6" w:rsidTr="008A5423">
        <w:trPr>
          <w:trHeight w:val="315"/>
        </w:trPr>
        <w:tc>
          <w:tcPr>
            <w:tcW w:w="1641"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 </w:t>
            </w:r>
          </w:p>
        </w:tc>
        <w:tc>
          <w:tcPr>
            <w:tcW w:w="1081"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Tile/pipe</w:t>
            </w:r>
          </w:p>
        </w:tc>
        <w:tc>
          <w:tcPr>
            <w:tcW w:w="127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0.04</w:t>
            </w:r>
          </w:p>
        </w:tc>
        <w:tc>
          <w:tcPr>
            <w:tcW w:w="1000"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0.07</w:t>
            </w:r>
          </w:p>
        </w:tc>
      </w:tr>
      <w:tr w:rsidR="003C097D" w:rsidRPr="007235F6" w:rsidTr="008A5423">
        <w:trPr>
          <w:trHeight w:val="315"/>
        </w:trPr>
        <w:tc>
          <w:tcPr>
            <w:tcW w:w="2722" w:type="pct"/>
            <w:gridSpan w:val="2"/>
            <w:shd w:val="clear" w:color="auto" w:fill="FFFFFF" w:themeFill="background1"/>
            <w:noWrap/>
            <w:vAlign w:val="center"/>
            <w:hideMark/>
          </w:tcPr>
          <w:p w:rsidR="005955E6" w:rsidRPr="005955E6" w:rsidRDefault="005955E6" w:rsidP="00615AA5">
            <w:pPr>
              <w:rPr>
                <w:rFonts w:ascii="Calibri" w:hAnsi="Calibri" w:cs="Arial"/>
                <w:b/>
                <w:bCs/>
                <w:color w:val="000000"/>
                <w:sz w:val="20"/>
              </w:rPr>
            </w:pPr>
            <w:r w:rsidRPr="005955E6">
              <w:rPr>
                <w:rFonts w:ascii="Calibri" w:hAnsi="Calibri" w:cs="Arial"/>
                <w:b/>
                <w:bCs/>
                <w:color w:val="000000"/>
                <w:sz w:val="20"/>
              </w:rPr>
              <w:t>Clay products total</w:t>
            </w:r>
          </w:p>
        </w:tc>
        <w:tc>
          <w:tcPr>
            <w:tcW w:w="1278" w:type="pct"/>
            <w:shd w:val="clear" w:color="auto" w:fill="FFFFFF" w:themeFill="background1"/>
            <w:noWrap/>
            <w:vAlign w:val="center"/>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0.56</w:t>
            </w:r>
          </w:p>
        </w:tc>
        <w:tc>
          <w:tcPr>
            <w:tcW w:w="1000" w:type="pct"/>
            <w:shd w:val="clear" w:color="auto" w:fill="FFFFFF" w:themeFill="background1"/>
            <w:noWrap/>
            <w:vAlign w:val="center"/>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6.53</w:t>
            </w:r>
          </w:p>
        </w:tc>
      </w:tr>
      <w:tr w:rsidR="003C097D" w:rsidRPr="007235F6" w:rsidTr="008A5423">
        <w:trPr>
          <w:trHeight w:val="300"/>
        </w:trPr>
        <w:tc>
          <w:tcPr>
            <w:tcW w:w="1641"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Miscellaneous</w:t>
            </w:r>
          </w:p>
        </w:tc>
        <w:tc>
          <w:tcPr>
            <w:tcW w:w="1081"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Dimension stone</w:t>
            </w:r>
          </w:p>
        </w:tc>
        <w:tc>
          <w:tcPr>
            <w:tcW w:w="127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0.00</w:t>
            </w:r>
          </w:p>
        </w:tc>
        <w:tc>
          <w:tcPr>
            <w:tcW w:w="1000"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0.69</w:t>
            </w:r>
          </w:p>
        </w:tc>
      </w:tr>
      <w:tr w:rsidR="003C097D" w:rsidRPr="007235F6" w:rsidTr="008A5423">
        <w:trPr>
          <w:trHeight w:val="300"/>
        </w:trPr>
        <w:tc>
          <w:tcPr>
            <w:tcW w:w="1641"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 </w:t>
            </w:r>
          </w:p>
        </w:tc>
        <w:tc>
          <w:tcPr>
            <w:tcW w:w="1081"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Unspecified</w:t>
            </w:r>
          </w:p>
        </w:tc>
        <w:tc>
          <w:tcPr>
            <w:tcW w:w="127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1.01</w:t>
            </w:r>
          </w:p>
        </w:tc>
        <w:tc>
          <w:tcPr>
            <w:tcW w:w="1000"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8.90</w:t>
            </w:r>
          </w:p>
        </w:tc>
      </w:tr>
      <w:tr w:rsidR="003C097D" w:rsidRPr="007235F6" w:rsidTr="008A5423">
        <w:trPr>
          <w:trHeight w:val="300"/>
        </w:trPr>
        <w:tc>
          <w:tcPr>
            <w:tcW w:w="2722" w:type="pct"/>
            <w:gridSpan w:val="2"/>
            <w:shd w:val="clear" w:color="auto" w:fill="FFFFFF" w:themeFill="background1"/>
            <w:noWrap/>
            <w:vAlign w:val="center"/>
            <w:hideMark/>
          </w:tcPr>
          <w:p w:rsidR="005955E6" w:rsidRPr="005955E6" w:rsidRDefault="005955E6" w:rsidP="00615AA5">
            <w:pPr>
              <w:rPr>
                <w:rFonts w:ascii="Calibri" w:hAnsi="Calibri" w:cs="Arial"/>
                <w:b/>
                <w:bCs/>
                <w:color w:val="000000"/>
                <w:sz w:val="20"/>
              </w:rPr>
            </w:pPr>
            <w:r w:rsidRPr="005955E6">
              <w:rPr>
                <w:rFonts w:ascii="Calibri" w:hAnsi="Calibri" w:cs="Arial"/>
                <w:b/>
                <w:bCs/>
                <w:color w:val="000000"/>
                <w:sz w:val="20"/>
              </w:rPr>
              <w:t>Miscellaneous total</w:t>
            </w:r>
          </w:p>
        </w:tc>
        <w:tc>
          <w:tcPr>
            <w:tcW w:w="1278" w:type="pct"/>
            <w:shd w:val="clear" w:color="auto" w:fill="FFFFFF" w:themeFill="background1"/>
            <w:vAlign w:val="center"/>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1.01</w:t>
            </w:r>
          </w:p>
        </w:tc>
        <w:tc>
          <w:tcPr>
            <w:tcW w:w="1000" w:type="pct"/>
            <w:shd w:val="clear" w:color="auto" w:fill="FFFFFF" w:themeFill="background1"/>
            <w:vAlign w:val="center"/>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9.59</w:t>
            </w:r>
          </w:p>
        </w:tc>
      </w:tr>
      <w:tr w:rsidR="003C097D" w:rsidRPr="007235F6" w:rsidTr="008A5423">
        <w:trPr>
          <w:trHeight w:val="300"/>
        </w:trPr>
        <w:tc>
          <w:tcPr>
            <w:tcW w:w="2722" w:type="pct"/>
            <w:gridSpan w:val="2"/>
            <w:shd w:val="clear" w:color="auto" w:fill="FFFFFF" w:themeFill="background1"/>
            <w:noWrap/>
            <w:vAlign w:val="center"/>
            <w:hideMark/>
          </w:tcPr>
          <w:p w:rsidR="005955E6" w:rsidRPr="005955E6" w:rsidRDefault="005955E6" w:rsidP="00615AA5">
            <w:pPr>
              <w:rPr>
                <w:rFonts w:ascii="Calibri" w:hAnsi="Calibri" w:cs="Arial"/>
                <w:b/>
                <w:bCs/>
                <w:color w:val="000000"/>
                <w:sz w:val="20"/>
              </w:rPr>
            </w:pPr>
            <w:r w:rsidRPr="005955E6">
              <w:rPr>
                <w:rFonts w:ascii="Calibri" w:hAnsi="Calibri" w:cs="Arial"/>
                <w:b/>
                <w:bCs/>
                <w:color w:val="000000"/>
                <w:sz w:val="20"/>
              </w:rPr>
              <w:t>GRAND TOTAL</w:t>
            </w:r>
          </w:p>
        </w:tc>
        <w:tc>
          <w:tcPr>
            <w:tcW w:w="1278" w:type="pct"/>
            <w:shd w:val="clear" w:color="auto" w:fill="FFFFFF" w:themeFill="background1"/>
            <w:noWrap/>
            <w:vAlign w:val="center"/>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40.33</w:t>
            </w:r>
          </w:p>
        </w:tc>
        <w:tc>
          <w:tcPr>
            <w:tcW w:w="1000" w:type="pct"/>
            <w:shd w:val="clear" w:color="auto" w:fill="FFFFFF" w:themeFill="background1"/>
            <w:noWrap/>
            <w:vAlign w:val="center"/>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676.55</w:t>
            </w:r>
          </w:p>
        </w:tc>
      </w:tr>
    </w:tbl>
    <w:p w:rsidR="001B540A" w:rsidRDefault="005955E6" w:rsidP="005955E6">
      <w:pPr>
        <w:jc w:val="both"/>
        <w:rPr>
          <w:rFonts w:ascii="Calibri" w:hAnsi="Calibri"/>
          <w:sz w:val="20"/>
        </w:rPr>
      </w:pPr>
      <w:r w:rsidRPr="005955E6">
        <w:rPr>
          <w:rFonts w:ascii="Calibri" w:hAnsi="Calibri"/>
          <w:sz w:val="20"/>
        </w:rPr>
        <w:t>Source: DEDJTR, statutory returns under the MRSDA.</w:t>
      </w:r>
      <w:bookmarkEnd w:id="83"/>
      <w:bookmarkEnd w:id="84"/>
      <w:bookmarkEnd w:id="85"/>
      <w:bookmarkEnd w:id="86"/>
    </w:p>
    <w:p w:rsidR="001B540A" w:rsidRDefault="001B540A">
      <w:pPr>
        <w:rPr>
          <w:rFonts w:ascii="Calibri" w:hAnsi="Calibri"/>
          <w:sz w:val="20"/>
        </w:rPr>
      </w:pPr>
      <w:r>
        <w:rPr>
          <w:rFonts w:ascii="Calibri" w:hAnsi="Calibri"/>
          <w:sz w:val="20"/>
        </w:rPr>
        <w:br w:type="page"/>
      </w:r>
    </w:p>
    <w:p w:rsidR="005955E6" w:rsidRPr="005955E6" w:rsidRDefault="001B540A" w:rsidP="008A5423">
      <w:pPr>
        <w:pStyle w:val="Heading3"/>
      </w:pPr>
      <w:r w:rsidRPr="005955E6">
        <w:lastRenderedPageBreak/>
        <w:t xml:space="preserve"> </w:t>
      </w:r>
      <w:r w:rsidR="005955E6" w:rsidRPr="005955E6">
        <w:t>T</w:t>
      </w:r>
      <w:bookmarkStart w:id="89" w:name="_Toc126483789"/>
      <w:bookmarkStart w:id="90" w:name="_Toc157237383"/>
      <w:bookmarkStart w:id="91" w:name="_Toc279573161"/>
      <w:r w:rsidR="005955E6" w:rsidRPr="005955E6">
        <w:t xml:space="preserve">able 4.3 Victorian extractive industries sales by rock type </w:t>
      </w:r>
      <w:bookmarkEnd w:id="89"/>
      <w:bookmarkEnd w:id="90"/>
      <w:bookmarkEnd w:id="91"/>
      <w:r w:rsidR="005955E6" w:rsidRPr="005955E6">
        <w:t>2013/2014</w:t>
      </w:r>
    </w:p>
    <w:p w:rsidR="005955E6" w:rsidRPr="005955E6" w:rsidRDefault="005955E6" w:rsidP="005955E6">
      <w:pPr>
        <w:jc w:val="both"/>
        <w:rPr>
          <w:rFonts w:ascii="Calibri" w:hAnsi="Calibri"/>
          <w:b/>
          <w:sz w:val="20"/>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ook w:val="04A0" w:firstRow="1" w:lastRow="0" w:firstColumn="1" w:lastColumn="0" w:noHBand="0" w:noVBand="1"/>
      </w:tblPr>
      <w:tblGrid>
        <w:gridCol w:w="2725"/>
        <w:gridCol w:w="3086"/>
        <w:gridCol w:w="2367"/>
        <w:gridCol w:w="2130"/>
      </w:tblGrid>
      <w:tr w:rsidR="003C097D" w:rsidRPr="007235F6" w:rsidTr="008A5423">
        <w:trPr>
          <w:trHeight w:val="483"/>
          <w:tblHeader/>
        </w:trPr>
        <w:tc>
          <w:tcPr>
            <w:tcW w:w="1322" w:type="pct"/>
            <w:shd w:val="clear" w:color="auto" w:fill="FFFFFF" w:themeFill="background1"/>
            <w:noWrap/>
            <w:vAlign w:val="center"/>
            <w:hideMark/>
          </w:tcPr>
          <w:p w:rsidR="005955E6" w:rsidRPr="005955E6" w:rsidRDefault="005955E6" w:rsidP="00615AA5">
            <w:pPr>
              <w:rPr>
                <w:rFonts w:ascii="Calibri" w:hAnsi="Calibri" w:cs="Arial"/>
                <w:b/>
                <w:bCs/>
                <w:color w:val="000000"/>
                <w:sz w:val="20"/>
              </w:rPr>
            </w:pPr>
            <w:r w:rsidRPr="005955E6">
              <w:rPr>
                <w:rFonts w:ascii="Calibri" w:hAnsi="Calibri" w:cs="Arial"/>
                <w:b/>
                <w:bCs/>
                <w:color w:val="000000"/>
                <w:sz w:val="20"/>
              </w:rPr>
              <w:t>Product Gr</w:t>
            </w:r>
            <w:bookmarkStart w:id="92" w:name="Title_4_3"/>
            <w:bookmarkEnd w:id="92"/>
            <w:r w:rsidRPr="005955E6">
              <w:rPr>
                <w:rFonts w:ascii="Calibri" w:hAnsi="Calibri" w:cs="Arial"/>
                <w:b/>
                <w:bCs/>
                <w:color w:val="000000"/>
                <w:sz w:val="20"/>
              </w:rPr>
              <w:t>oup</w:t>
            </w:r>
          </w:p>
        </w:tc>
        <w:tc>
          <w:tcPr>
            <w:tcW w:w="1497" w:type="pct"/>
            <w:shd w:val="clear" w:color="auto" w:fill="FFFFFF" w:themeFill="background1"/>
            <w:noWrap/>
            <w:vAlign w:val="center"/>
            <w:hideMark/>
          </w:tcPr>
          <w:p w:rsidR="005955E6" w:rsidRPr="005955E6" w:rsidRDefault="005955E6" w:rsidP="00615AA5">
            <w:pPr>
              <w:rPr>
                <w:rFonts w:ascii="Calibri" w:hAnsi="Calibri" w:cs="Arial"/>
                <w:b/>
                <w:bCs/>
                <w:color w:val="000000"/>
                <w:sz w:val="20"/>
              </w:rPr>
            </w:pPr>
            <w:r w:rsidRPr="005955E6">
              <w:rPr>
                <w:rFonts w:ascii="Calibri" w:hAnsi="Calibri" w:cs="Arial"/>
                <w:b/>
                <w:bCs/>
                <w:color w:val="000000"/>
                <w:sz w:val="20"/>
              </w:rPr>
              <w:t>Product Type</w:t>
            </w:r>
          </w:p>
        </w:tc>
        <w:tc>
          <w:tcPr>
            <w:tcW w:w="1148" w:type="pct"/>
            <w:shd w:val="clear" w:color="auto" w:fill="FFFFFF" w:themeFill="background1"/>
            <w:vAlign w:val="center"/>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Sales - volume (m tonnes)</w:t>
            </w:r>
          </w:p>
        </w:tc>
        <w:tc>
          <w:tcPr>
            <w:tcW w:w="1033" w:type="pct"/>
            <w:shd w:val="clear" w:color="auto" w:fill="FFFFFF" w:themeFill="background1"/>
            <w:vAlign w:val="center"/>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Sales - value ($Am)</w:t>
            </w:r>
          </w:p>
        </w:tc>
      </w:tr>
      <w:tr w:rsidR="003C097D" w:rsidRPr="007235F6" w:rsidTr="008A5423">
        <w:trPr>
          <w:trHeight w:val="315"/>
        </w:trPr>
        <w:tc>
          <w:tcPr>
            <w:tcW w:w="1322" w:type="pct"/>
            <w:shd w:val="clear" w:color="auto" w:fill="FFFFFF" w:themeFill="background1"/>
            <w:noWrap/>
            <w:vAlign w:val="center"/>
            <w:hideMark/>
          </w:tcPr>
          <w:p w:rsidR="005955E6" w:rsidRPr="005955E6" w:rsidRDefault="005955E6" w:rsidP="00615AA5">
            <w:pPr>
              <w:rPr>
                <w:rFonts w:ascii="Calibri" w:hAnsi="Calibri" w:cs="Arial"/>
                <w:b/>
                <w:bCs/>
                <w:color w:val="000000"/>
                <w:sz w:val="20"/>
              </w:rPr>
            </w:pPr>
            <w:r w:rsidRPr="005955E6">
              <w:rPr>
                <w:rFonts w:ascii="Calibri" w:hAnsi="Calibri" w:cs="Arial"/>
                <w:b/>
                <w:bCs/>
                <w:color w:val="000000"/>
                <w:sz w:val="20"/>
              </w:rPr>
              <w:t>Hard Rock</w:t>
            </w:r>
          </w:p>
        </w:tc>
        <w:tc>
          <w:tcPr>
            <w:tcW w:w="1497"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BASALT</w:t>
            </w:r>
          </w:p>
        </w:tc>
        <w:tc>
          <w:tcPr>
            <w:tcW w:w="114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16.12</w:t>
            </w:r>
          </w:p>
        </w:tc>
        <w:tc>
          <w:tcPr>
            <w:tcW w:w="1033"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291.39</w:t>
            </w:r>
          </w:p>
        </w:tc>
      </w:tr>
      <w:tr w:rsidR="003C097D" w:rsidRPr="007235F6" w:rsidTr="008A5423">
        <w:trPr>
          <w:trHeight w:val="315"/>
        </w:trPr>
        <w:tc>
          <w:tcPr>
            <w:tcW w:w="1322"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p>
        </w:tc>
        <w:tc>
          <w:tcPr>
            <w:tcW w:w="1497"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DOLERITE</w:t>
            </w:r>
          </w:p>
        </w:tc>
        <w:tc>
          <w:tcPr>
            <w:tcW w:w="114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0.30</w:t>
            </w:r>
          </w:p>
        </w:tc>
        <w:tc>
          <w:tcPr>
            <w:tcW w:w="1033"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6.80</w:t>
            </w:r>
          </w:p>
        </w:tc>
      </w:tr>
      <w:tr w:rsidR="003C097D" w:rsidRPr="007235F6" w:rsidTr="008A5423">
        <w:trPr>
          <w:trHeight w:val="315"/>
        </w:trPr>
        <w:tc>
          <w:tcPr>
            <w:tcW w:w="1322"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p>
        </w:tc>
        <w:tc>
          <w:tcPr>
            <w:tcW w:w="1497"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GNEISS</w:t>
            </w:r>
          </w:p>
        </w:tc>
        <w:tc>
          <w:tcPr>
            <w:tcW w:w="114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0.01</w:t>
            </w:r>
          </w:p>
        </w:tc>
        <w:tc>
          <w:tcPr>
            <w:tcW w:w="1033"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0.08</w:t>
            </w:r>
          </w:p>
        </w:tc>
      </w:tr>
      <w:tr w:rsidR="003C097D" w:rsidRPr="007235F6" w:rsidTr="008A5423">
        <w:trPr>
          <w:trHeight w:val="315"/>
        </w:trPr>
        <w:tc>
          <w:tcPr>
            <w:tcW w:w="1322"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p>
        </w:tc>
        <w:tc>
          <w:tcPr>
            <w:tcW w:w="1497"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GRANITE</w:t>
            </w:r>
          </w:p>
        </w:tc>
        <w:tc>
          <w:tcPr>
            <w:tcW w:w="114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3.15</w:t>
            </w:r>
          </w:p>
        </w:tc>
        <w:tc>
          <w:tcPr>
            <w:tcW w:w="1033"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60.39</w:t>
            </w:r>
          </w:p>
        </w:tc>
      </w:tr>
      <w:tr w:rsidR="003C097D" w:rsidRPr="007235F6" w:rsidTr="008A5423">
        <w:trPr>
          <w:trHeight w:val="315"/>
        </w:trPr>
        <w:tc>
          <w:tcPr>
            <w:tcW w:w="1322"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p>
        </w:tc>
        <w:tc>
          <w:tcPr>
            <w:tcW w:w="1497"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HORNFELS</w:t>
            </w:r>
          </w:p>
        </w:tc>
        <w:tc>
          <w:tcPr>
            <w:tcW w:w="114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2.62</w:t>
            </w:r>
          </w:p>
        </w:tc>
        <w:tc>
          <w:tcPr>
            <w:tcW w:w="1033"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41.98</w:t>
            </w:r>
          </w:p>
        </w:tc>
      </w:tr>
      <w:tr w:rsidR="003C097D" w:rsidRPr="007235F6" w:rsidTr="008A5423">
        <w:trPr>
          <w:trHeight w:val="315"/>
        </w:trPr>
        <w:tc>
          <w:tcPr>
            <w:tcW w:w="1322"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p>
        </w:tc>
        <w:tc>
          <w:tcPr>
            <w:tcW w:w="1497"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MARBLE</w:t>
            </w:r>
          </w:p>
        </w:tc>
        <w:tc>
          <w:tcPr>
            <w:tcW w:w="114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w:t>
            </w:r>
          </w:p>
        </w:tc>
        <w:tc>
          <w:tcPr>
            <w:tcW w:w="1033"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w:t>
            </w:r>
          </w:p>
        </w:tc>
      </w:tr>
      <w:tr w:rsidR="003C097D" w:rsidRPr="007235F6" w:rsidTr="008A5423">
        <w:trPr>
          <w:trHeight w:val="315"/>
        </w:trPr>
        <w:tc>
          <w:tcPr>
            <w:tcW w:w="1322"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p>
        </w:tc>
        <w:tc>
          <w:tcPr>
            <w:tcW w:w="1497"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QUARTZITE</w:t>
            </w:r>
          </w:p>
        </w:tc>
        <w:tc>
          <w:tcPr>
            <w:tcW w:w="114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0.21</w:t>
            </w:r>
          </w:p>
        </w:tc>
        <w:tc>
          <w:tcPr>
            <w:tcW w:w="1033"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1.35</w:t>
            </w:r>
          </w:p>
        </w:tc>
      </w:tr>
      <w:tr w:rsidR="003C097D" w:rsidRPr="007235F6" w:rsidTr="008A5423">
        <w:trPr>
          <w:trHeight w:val="315"/>
        </w:trPr>
        <w:tc>
          <w:tcPr>
            <w:tcW w:w="1322"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p>
        </w:tc>
        <w:tc>
          <w:tcPr>
            <w:tcW w:w="1497"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RHYODACITE</w:t>
            </w:r>
          </w:p>
        </w:tc>
        <w:tc>
          <w:tcPr>
            <w:tcW w:w="114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1.40</w:t>
            </w:r>
          </w:p>
        </w:tc>
        <w:tc>
          <w:tcPr>
            <w:tcW w:w="1033"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30.51</w:t>
            </w:r>
          </w:p>
        </w:tc>
      </w:tr>
      <w:tr w:rsidR="003C097D" w:rsidRPr="007235F6" w:rsidTr="008A5423">
        <w:trPr>
          <w:trHeight w:val="315"/>
        </w:trPr>
        <w:tc>
          <w:tcPr>
            <w:tcW w:w="1322"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p>
        </w:tc>
        <w:tc>
          <w:tcPr>
            <w:tcW w:w="1497"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SCHIST</w:t>
            </w:r>
          </w:p>
        </w:tc>
        <w:tc>
          <w:tcPr>
            <w:tcW w:w="114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0.20</w:t>
            </w:r>
          </w:p>
        </w:tc>
        <w:tc>
          <w:tcPr>
            <w:tcW w:w="1033"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3.93</w:t>
            </w:r>
          </w:p>
        </w:tc>
      </w:tr>
      <w:tr w:rsidR="003C097D" w:rsidRPr="007235F6" w:rsidTr="008A5423">
        <w:trPr>
          <w:trHeight w:val="315"/>
        </w:trPr>
        <w:tc>
          <w:tcPr>
            <w:tcW w:w="1322"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p>
        </w:tc>
        <w:tc>
          <w:tcPr>
            <w:tcW w:w="1497"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SEDIMENTARY</w:t>
            </w:r>
          </w:p>
        </w:tc>
        <w:tc>
          <w:tcPr>
            <w:tcW w:w="114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2.37</w:t>
            </w:r>
          </w:p>
        </w:tc>
        <w:tc>
          <w:tcPr>
            <w:tcW w:w="1033"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25.92</w:t>
            </w:r>
          </w:p>
        </w:tc>
      </w:tr>
      <w:tr w:rsidR="003C097D" w:rsidRPr="007235F6" w:rsidTr="008A5423">
        <w:trPr>
          <w:trHeight w:val="315"/>
        </w:trPr>
        <w:tc>
          <w:tcPr>
            <w:tcW w:w="1322"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p>
        </w:tc>
        <w:tc>
          <w:tcPr>
            <w:tcW w:w="1497"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SLATE</w:t>
            </w:r>
          </w:p>
        </w:tc>
        <w:tc>
          <w:tcPr>
            <w:tcW w:w="114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0.00</w:t>
            </w:r>
          </w:p>
        </w:tc>
        <w:tc>
          <w:tcPr>
            <w:tcW w:w="1033"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0.04</w:t>
            </w:r>
          </w:p>
        </w:tc>
      </w:tr>
      <w:tr w:rsidR="003C097D" w:rsidRPr="007235F6" w:rsidTr="008A5423">
        <w:trPr>
          <w:trHeight w:val="315"/>
        </w:trPr>
        <w:tc>
          <w:tcPr>
            <w:tcW w:w="1322"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p>
        </w:tc>
        <w:tc>
          <w:tcPr>
            <w:tcW w:w="1497"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TRACHYTE</w:t>
            </w:r>
          </w:p>
        </w:tc>
        <w:tc>
          <w:tcPr>
            <w:tcW w:w="114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0.02</w:t>
            </w:r>
          </w:p>
        </w:tc>
        <w:tc>
          <w:tcPr>
            <w:tcW w:w="1033"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0.38</w:t>
            </w:r>
          </w:p>
        </w:tc>
      </w:tr>
      <w:tr w:rsidR="003C097D" w:rsidRPr="007235F6" w:rsidTr="008A5423">
        <w:trPr>
          <w:trHeight w:val="315"/>
        </w:trPr>
        <w:tc>
          <w:tcPr>
            <w:tcW w:w="2819" w:type="pct"/>
            <w:gridSpan w:val="2"/>
            <w:shd w:val="clear" w:color="auto" w:fill="FFFFFF" w:themeFill="background1"/>
            <w:noWrap/>
            <w:vAlign w:val="center"/>
            <w:hideMark/>
          </w:tcPr>
          <w:p w:rsidR="005955E6" w:rsidRPr="005955E6" w:rsidRDefault="005955E6" w:rsidP="00615AA5">
            <w:pPr>
              <w:rPr>
                <w:rFonts w:ascii="Calibri" w:hAnsi="Calibri" w:cs="Arial"/>
                <w:b/>
                <w:bCs/>
                <w:color w:val="000000"/>
                <w:sz w:val="20"/>
              </w:rPr>
            </w:pPr>
            <w:r w:rsidRPr="005955E6">
              <w:rPr>
                <w:rFonts w:ascii="Calibri" w:hAnsi="Calibri" w:cs="Arial"/>
                <w:b/>
                <w:bCs/>
                <w:color w:val="000000"/>
                <w:sz w:val="20"/>
              </w:rPr>
              <w:t>Hard Rock  Total</w:t>
            </w:r>
          </w:p>
        </w:tc>
        <w:tc>
          <w:tcPr>
            <w:tcW w:w="1148"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26.40</w:t>
            </w:r>
          </w:p>
        </w:tc>
        <w:tc>
          <w:tcPr>
            <w:tcW w:w="1033"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462.77</w:t>
            </w:r>
          </w:p>
        </w:tc>
      </w:tr>
      <w:tr w:rsidR="003C097D" w:rsidRPr="007235F6" w:rsidTr="008A5423">
        <w:trPr>
          <w:trHeight w:val="315"/>
        </w:trPr>
        <w:tc>
          <w:tcPr>
            <w:tcW w:w="1322" w:type="pct"/>
            <w:shd w:val="clear" w:color="auto" w:fill="FFFFFF" w:themeFill="background1"/>
            <w:noWrap/>
            <w:vAlign w:val="center"/>
            <w:hideMark/>
          </w:tcPr>
          <w:p w:rsidR="005955E6" w:rsidRPr="005955E6" w:rsidRDefault="005955E6" w:rsidP="00615AA5">
            <w:pPr>
              <w:rPr>
                <w:rFonts w:ascii="Calibri" w:hAnsi="Calibri" w:cs="Arial"/>
                <w:b/>
                <w:bCs/>
                <w:color w:val="000000"/>
                <w:sz w:val="20"/>
              </w:rPr>
            </w:pPr>
            <w:r w:rsidRPr="005955E6">
              <w:rPr>
                <w:rFonts w:ascii="Calibri" w:hAnsi="Calibri" w:cs="Arial"/>
                <w:b/>
                <w:bCs/>
                <w:color w:val="000000"/>
                <w:sz w:val="20"/>
              </w:rPr>
              <w:t>Soft Rock</w:t>
            </w:r>
          </w:p>
        </w:tc>
        <w:tc>
          <w:tcPr>
            <w:tcW w:w="1497"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CLAY &amp; CLAY SHALE</w:t>
            </w:r>
          </w:p>
        </w:tc>
        <w:tc>
          <w:tcPr>
            <w:tcW w:w="114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0.61</w:t>
            </w:r>
          </w:p>
        </w:tc>
        <w:tc>
          <w:tcPr>
            <w:tcW w:w="1033"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3.02</w:t>
            </w:r>
          </w:p>
        </w:tc>
      </w:tr>
      <w:tr w:rsidR="003C097D" w:rsidRPr="007235F6" w:rsidTr="008A5423">
        <w:trPr>
          <w:trHeight w:val="315"/>
        </w:trPr>
        <w:tc>
          <w:tcPr>
            <w:tcW w:w="1322"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p>
        </w:tc>
        <w:tc>
          <w:tcPr>
            <w:tcW w:w="1497"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LIMESTONE</w:t>
            </w:r>
          </w:p>
        </w:tc>
        <w:tc>
          <w:tcPr>
            <w:tcW w:w="114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1.53</w:t>
            </w:r>
          </w:p>
        </w:tc>
        <w:tc>
          <w:tcPr>
            <w:tcW w:w="1033"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34.17</w:t>
            </w:r>
          </w:p>
        </w:tc>
      </w:tr>
      <w:tr w:rsidR="003C097D" w:rsidRPr="007235F6" w:rsidTr="008A5423">
        <w:trPr>
          <w:trHeight w:val="315"/>
        </w:trPr>
        <w:tc>
          <w:tcPr>
            <w:tcW w:w="1322"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p>
        </w:tc>
        <w:tc>
          <w:tcPr>
            <w:tcW w:w="1497"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SAND &amp; GRAVEL</w:t>
            </w:r>
          </w:p>
        </w:tc>
        <w:tc>
          <w:tcPr>
            <w:tcW w:w="114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10.81</w:t>
            </w:r>
          </w:p>
        </w:tc>
        <w:tc>
          <w:tcPr>
            <w:tcW w:w="1033"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166.08</w:t>
            </w:r>
          </w:p>
        </w:tc>
      </w:tr>
      <w:tr w:rsidR="003C097D" w:rsidRPr="007235F6" w:rsidTr="008A5423">
        <w:trPr>
          <w:trHeight w:val="315"/>
        </w:trPr>
        <w:tc>
          <w:tcPr>
            <w:tcW w:w="1322"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p>
        </w:tc>
        <w:tc>
          <w:tcPr>
            <w:tcW w:w="1497"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SCORIA</w:t>
            </w:r>
          </w:p>
        </w:tc>
        <w:tc>
          <w:tcPr>
            <w:tcW w:w="114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0.64</w:t>
            </w:r>
          </w:p>
        </w:tc>
        <w:tc>
          <w:tcPr>
            <w:tcW w:w="1033"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7.95</w:t>
            </w:r>
          </w:p>
        </w:tc>
      </w:tr>
      <w:tr w:rsidR="003C097D" w:rsidRPr="007235F6" w:rsidTr="008A5423">
        <w:trPr>
          <w:trHeight w:val="315"/>
        </w:trPr>
        <w:tc>
          <w:tcPr>
            <w:tcW w:w="1322"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p>
        </w:tc>
        <w:tc>
          <w:tcPr>
            <w:tcW w:w="1497"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SOIL</w:t>
            </w:r>
          </w:p>
        </w:tc>
        <w:tc>
          <w:tcPr>
            <w:tcW w:w="114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0.02</w:t>
            </w:r>
          </w:p>
        </w:tc>
        <w:tc>
          <w:tcPr>
            <w:tcW w:w="1033"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0.15</w:t>
            </w:r>
          </w:p>
        </w:tc>
      </w:tr>
      <w:tr w:rsidR="003C097D" w:rsidRPr="007235F6" w:rsidTr="008A5423">
        <w:trPr>
          <w:trHeight w:val="315"/>
        </w:trPr>
        <w:tc>
          <w:tcPr>
            <w:tcW w:w="1322"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p>
        </w:tc>
        <w:tc>
          <w:tcPr>
            <w:tcW w:w="1497"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TUFF</w:t>
            </w:r>
          </w:p>
        </w:tc>
        <w:tc>
          <w:tcPr>
            <w:tcW w:w="1148"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0.31</w:t>
            </w:r>
          </w:p>
        </w:tc>
        <w:tc>
          <w:tcPr>
            <w:tcW w:w="1033"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2.40</w:t>
            </w:r>
          </w:p>
        </w:tc>
      </w:tr>
      <w:tr w:rsidR="003C097D" w:rsidRPr="007235F6" w:rsidTr="008A5423">
        <w:trPr>
          <w:trHeight w:val="315"/>
        </w:trPr>
        <w:tc>
          <w:tcPr>
            <w:tcW w:w="2819" w:type="pct"/>
            <w:gridSpan w:val="2"/>
            <w:shd w:val="clear" w:color="auto" w:fill="FFFFFF" w:themeFill="background1"/>
            <w:noWrap/>
            <w:vAlign w:val="center"/>
            <w:hideMark/>
          </w:tcPr>
          <w:p w:rsidR="005955E6" w:rsidRPr="005955E6" w:rsidRDefault="005955E6" w:rsidP="00615AA5">
            <w:pPr>
              <w:rPr>
                <w:rFonts w:ascii="Calibri" w:hAnsi="Calibri" w:cs="Arial"/>
                <w:b/>
                <w:bCs/>
                <w:color w:val="000000"/>
                <w:sz w:val="20"/>
              </w:rPr>
            </w:pPr>
            <w:r w:rsidRPr="005955E6">
              <w:rPr>
                <w:rFonts w:ascii="Calibri" w:hAnsi="Calibri" w:cs="Arial"/>
                <w:b/>
                <w:bCs/>
                <w:color w:val="000000"/>
                <w:sz w:val="20"/>
              </w:rPr>
              <w:t>Soft Rock  Total</w:t>
            </w:r>
          </w:p>
        </w:tc>
        <w:tc>
          <w:tcPr>
            <w:tcW w:w="1148"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13.93</w:t>
            </w:r>
          </w:p>
        </w:tc>
        <w:tc>
          <w:tcPr>
            <w:tcW w:w="1033"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213.78</w:t>
            </w:r>
          </w:p>
        </w:tc>
      </w:tr>
      <w:tr w:rsidR="003C097D" w:rsidRPr="007235F6" w:rsidTr="008A5423">
        <w:trPr>
          <w:trHeight w:val="315"/>
        </w:trPr>
        <w:tc>
          <w:tcPr>
            <w:tcW w:w="2819" w:type="pct"/>
            <w:gridSpan w:val="2"/>
            <w:shd w:val="clear" w:color="auto" w:fill="FFFFFF" w:themeFill="background1"/>
            <w:noWrap/>
            <w:vAlign w:val="center"/>
            <w:hideMark/>
          </w:tcPr>
          <w:p w:rsidR="005955E6" w:rsidRPr="005955E6" w:rsidRDefault="005955E6" w:rsidP="00615AA5">
            <w:pPr>
              <w:rPr>
                <w:rFonts w:ascii="Calibri" w:hAnsi="Calibri" w:cs="Arial"/>
                <w:b/>
                <w:bCs/>
                <w:color w:val="000000"/>
                <w:sz w:val="20"/>
              </w:rPr>
            </w:pPr>
            <w:r w:rsidRPr="005955E6">
              <w:rPr>
                <w:rFonts w:ascii="Calibri" w:hAnsi="Calibri" w:cs="Arial"/>
                <w:b/>
                <w:bCs/>
                <w:color w:val="000000"/>
                <w:sz w:val="20"/>
              </w:rPr>
              <w:t>GRAND TOTAL</w:t>
            </w:r>
          </w:p>
        </w:tc>
        <w:tc>
          <w:tcPr>
            <w:tcW w:w="1148"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40.33</w:t>
            </w:r>
          </w:p>
        </w:tc>
        <w:tc>
          <w:tcPr>
            <w:tcW w:w="1033"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676.55</w:t>
            </w:r>
          </w:p>
        </w:tc>
      </w:tr>
    </w:tbl>
    <w:p w:rsidR="005955E6" w:rsidRPr="005955E6" w:rsidRDefault="005955E6" w:rsidP="005955E6">
      <w:pPr>
        <w:jc w:val="both"/>
        <w:rPr>
          <w:rFonts w:ascii="Calibri" w:hAnsi="Calibri"/>
          <w:sz w:val="20"/>
        </w:rPr>
      </w:pPr>
      <w:r w:rsidRPr="005955E6">
        <w:rPr>
          <w:rFonts w:ascii="Calibri" w:hAnsi="Calibri"/>
          <w:sz w:val="20"/>
        </w:rPr>
        <w:t>Source: DEDJTR, statutory returns under the MRSDA.</w:t>
      </w:r>
    </w:p>
    <w:p w:rsidR="005955E6" w:rsidRPr="005955E6" w:rsidRDefault="005955E6" w:rsidP="005955E6">
      <w:pPr>
        <w:jc w:val="both"/>
        <w:rPr>
          <w:rFonts w:ascii="Calibri" w:hAnsi="Calibri"/>
          <w:b/>
          <w:noProof/>
          <w:kern w:val="32"/>
          <w:sz w:val="32"/>
        </w:rPr>
      </w:pPr>
      <w:r w:rsidRPr="005955E6">
        <w:rPr>
          <w:rFonts w:ascii="Calibri" w:hAnsi="Calibri"/>
          <w:sz w:val="20"/>
        </w:rPr>
        <w:t xml:space="preserve"> </w:t>
      </w:r>
      <w:r w:rsidRPr="005955E6">
        <w:rPr>
          <w:rFonts w:ascii="Calibri" w:hAnsi="Calibri"/>
        </w:rPr>
        <w:br w:type="page"/>
      </w:r>
    </w:p>
    <w:p w:rsidR="005955E6" w:rsidRPr="005955E6" w:rsidRDefault="005955E6" w:rsidP="00615AA5">
      <w:pPr>
        <w:pStyle w:val="Heading1"/>
        <w:keepNext w:val="0"/>
        <w:framePr w:w="0" w:hRule="auto" w:hSpace="0" w:wrap="auto" w:vAnchor="margin" w:hAnchor="text" w:xAlign="left" w:yAlign="inline"/>
        <w:numPr>
          <w:ilvl w:val="0"/>
          <w:numId w:val="6"/>
        </w:numPr>
        <w:spacing w:after="0" w:line="240" w:lineRule="auto"/>
        <w:ind w:hanging="502"/>
        <w:rPr>
          <w:rFonts w:ascii="Calibri" w:hAnsi="Calibri"/>
        </w:rPr>
      </w:pPr>
      <w:r w:rsidRPr="005955E6">
        <w:rPr>
          <w:rFonts w:ascii="Calibri" w:hAnsi="Calibri"/>
        </w:rPr>
        <w:lastRenderedPageBreak/>
        <w:t>Revenue and Bonds</w:t>
      </w:r>
    </w:p>
    <w:p w:rsidR="005955E6" w:rsidRPr="005955E6" w:rsidRDefault="005955E6" w:rsidP="005955E6">
      <w:pPr>
        <w:rPr>
          <w:rFonts w:ascii="Calibri" w:hAnsi="Calibri"/>
        </w:rPr>
      </w:pPr>
    </w:p>
    <w:p w:rsidR="005955E6" w:rsidRDefault="005955E6" w:rsidP="00615AA5">
      <w:pPr>
        <w:pStyle w:val="Heading2"/>
        <w:keepNext w:val="0"/>
        <w:numPr>
          <w:ilvl w:val="1"/>
          <w:numId w:val="6"/>
        </w:numPr>
        <w:tabs>
          <w:tab w:val="clear" w:pos="792"/>
          <w:tab w:val="num" w:pos="567"/>
        </w:tabs>
        <w:spacing w:before="0"/>
        <w:ind w:left="567" w:hanging="567"/>
        <w:jc w:val="left"/>
      </w:pPr>
      <w:r>
        <w:t>Revenue</w:t>
      </w:r>
    </w:p>
    <w:p w:rsidR="005955E6" w:rsidRPr="0020329B" w:rsidRDefault="005955E6" w:rsidP="005955E6"/>
    <w:p w:rsidR="005955E6" w:rsidRPr="005955E6" w:rsidRDefault="005955E6" w:rsidP="005955E6">
      <w:pPr>
        <w:rPr>
          <w:rFonts w:ascii="Calibri" w:hAnsi="Calibri"/>
          <w:sz w:val="20"/>
        </w:rPr>
      </w:pPr>
      <w:r w:rsidRPr="005955E6">
        <w:rPr>
          <w:rFonts w:ascii="Calibri" w:hAnsi="Calibri"/>
          <w:sz w:val="20"/>
        </w:rPr>
        <w:t>In 2013/14, a total of $50.1 million was collected from the industry in royalties, rentals, and levies, fees and charges under the Acts administered by the department. This compares with $57.2 million collected in 2012/13.</w:t>
      </w:r>
    </w:p>
    <w:p w:rsidR="005955E6" w:rsidRPr="005955E6" w:rsidRDefault="005955E6" w:rsidP="005955E6">
      <w:pPr>
        <w:rPr>
          <w:rFonts w:ascii="Calibri" w:hAnsi="Calibri"/>
          <w:sz w:val="20"/>
        </w:rPr>
      </w:pPr>
    </w:p>
    <w:p w:rsidR="005955E6" w:rsidRPr="005955E6" w:rsidRDefault="005955E6" w:rsidP="005955E6">
      <w:pPr>
        <w:rPr>
          <w:rFonts w:ascii="Calibri" w:hAnsi="Calibri"/>
          <w:sz w:val="20"/>
        </w:rPr>
      </w:pPr>
      <w:r w:rsidRPr="005955E6">
        <w:rPr>
          <w:rFonts w:ascii="Calibri" w:hAnsi="Calibri"/>
          <w:sz w:val="20"/>
        </w:rPr>
        <w:t>Royalties fell from $51.9 million in 2012/13 to $45.1 million, on account of lower production from the mining and extractive industry sectors. Petroleum royalties remained stable, again totalling $0.1 million.</w:t>
      </w:r>
    </w:p>
    <w:p w:rsidR="005955E6" w:rsidRPr="005955E6" w:rsidRDefault="005955E6" w:rsidP="005955E6">
      <w:pPr>
        <w:rPr>
          <w:rFonts w:ascii="Calibri" w:hAnsi="Calibri"/>
          <w:sz w:val="20"/>
        </w:rPr>
      </w:pPr>
    </w:p>
    <w:p w:rsidR="005955E6" w:rsidRPr="005955E6" w:rsidRDefault="005955E6" w:rsidP="008A5423">
      <w:pPr>
        <w:pStyle w:val="Heading3"/>
      </w:pPr>
      <w:r w:rsidRPr="005955E6">
        <w:t>Table 5.1 Minerals, extractive and petroleum revenue 2013/14</w:t>
      </w:r>
    </w:p>
    <w:p w:rsidR="005955E6" w:rsidRPr="005955E6" w:rsidRDefault="005955E6" w:rsidP="005955E6">
      <w:pPr>
        <w:rPr>
          <w:rFonts w:ascii="Calibri" w:hAnsi="Calibri"/>
          <w:b/>
          <w:sz w:val="20"/>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ook w:val="04A0" w:firstRow="1" w:lastRow="0" w:firstColumn="1" w:lastColumn="0" w:noHBand="0" w:noVBand="1"/>
      </w:tblPr>
      <w:tblGrid>
        <w:gridCol w:w="5239"/>
        <w:gridCol w:w="5069"/>
      </w:tblGrid>
      <w:tr w:rsidR="003C097D" w:rsidRPr="000D4728" w:rsidTr="008A5423">
        <w:trPr>
          <w:trHeight w:val="240"/>
          <w:tblHeader/>
        </w:trPr>
        <w:tc>
          <w:tcPr>
            <w:tcW w:w="2541" w:type="pct"/>
            <w:shd w:val="clear" w:color="auto" w:fill="FFFFFF" w:themeFill="background1"/>
            <w:noWrap/>
            <w:vAlign w:val="center"/>
            <w:hideMark/>
          </w:tcPr>
          <w:p w:rsidR="005955E6" w:rsidRPr="005955E6" w:rsidRDefault="005955E6" w:rsidP="00615AA5">
            <w:pPr>
              <w:rPr>
                <w:rFonts w:ascii="Calibri" w:hAnsi="Calibri" w:cs="Arial"/>
                <w:b/>
                <w:color w:val="000000"/>
                <w:sz w:val="20"/>
              </w:rPr>
            </w:pPr>
            <w:bookmarkStart w:id="93" w:name="ColumnTitle_5_1"/>
            <w:r w:rsidRPr="005955E6">
              <w:rPr>
                <w:rFonts w:ascii="Calibri" w:hAnsi="Calibri" w:cs="Arial"/>
                <w:b/>
                <w:color w:val="000000"/>
                <w:sz w:val="20"/>
              </w:rPr>
              <w:t>Revenue Stream</w:t>
            </w:r>
          </w:p>
        </w:tc>
        <w:tc>
          <w:tcPr>
            <w:tcW w:w="2459" w:type="pct"/>
            <w:shd w:val="clear" w:color="auto" w:fill="FFFFFF" w:themeFill="background1"/>
            <w:noWrap/>
            <w:vAlign w:val="center"/>
            <w:hideMark/>
          </w:tcPr>
          <w:p w:rsidR="005955E6" w:rsidRPr="005955E6" w:rsidRDefault="005955E6" w:rsidP="005955E6">
            <w:pPr>
              <w:jc w:val="center"/>
              <w:rPr>
                <w:rFonts w:ascii="Calibri" w:hAnsi="Calibri" w:cs="Arial"/>
                <w:b/>
                <w:color w:val="000000"/>
                <w:sz w:val="20"/>
              </w:rPr>
            </w:pPr>
            <w:r w:rsidRPr="005955E6">
              <w:rPr>
                <w:rFonts w:ascii="Calibri" w:hAnsi="Calibri" w:cs="Arial"/>
                <w:b/>
                <w:color w:val="000000"/>
                <w:sz w:val="20"/>
              </w:rPr>
              <w:t>Revenue ($A million)</w:t>
            </w:r>
          </w:p>
        </w:tc>
      </w:tr>
      <w:bookmarkEnd w:id="93"/>
      <w:tr w:rsidR="003C097D" w:rsidRPr="000D4728" w:rsidTr="008A5423">
        <w:trPr>
          <w:trHeight w:val="240"/>
        </w:trPr>
        <w:tc>
          <w:tcPr>
            <w:tcW w:w="2541"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Fees and charges</w:t>
            </w:r>
          </w:p>
        </w:tc>
        <w:tc>
          <w:tcPr>
            <w:tcW w:w="2459"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1.1</w:t>
            </w:r>
          </w:p>
        </w:tc>
      </w:tr>
      <w:tr w:rsidR="003C097D" w:rsidRPr="000D4728" w:rsidTr="008A5423">
        <w:trPr>
          <w:trHeight w:val="240"/>
        </w:trPr>
        <w:tc>
          <w:tcPr>
            <w:tcW w:w="2541"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Rent</w:t>
            </w:r>
          </w:p>
        </w:tc>
        <w:tc>
          <w:tcPr>
            <w:tcW w:w="2459"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2.6</w:t>
            </w:r>
          </w:p>
        </w:tc>
      </w:tr>
      <w:tr w:rsidR="003C097D" w:rsidRPr="000D4728" w:rsidTr="008A5423">
        <w:trPr>
          <w:trHeight w:val="240"/>
        </w:trPr>
        <w:tc>
          <w:tcPr>
            <w:tcW w:w="2541"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Royalty</w:t>
            </w:r>
          </w:p>
        </w:tc>
        <w:tc>
          <w:tcPr>
            <w:tcW w:w="2459"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45.1</w:t>
            </w:r>
          </w:p>
        </w:tc>
      </w:tr>
      <w:tr w:rsidR="003C097D" w:rsidRPr="000D4728" w:rsidTr="008A5423">
        <w:trPr>
          <w:trHeight w:val="240"/>
        </w:trPr>
        <w:tc>
          <w:tcPr>
            <w:tcW w:w="2541" w:type="pct"/>
            <w:shd w:val="clear" w:color="auto" w:fill="FFFFFF" w:themeFill="background1"/>
            <w:noWrap/>
            <w:vAlign w:val="center"/>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Mine Stability Levy</w:t>
            </w:r>
          </w:p>
        </w:tc>
        <w:tc>
          <w:tcPr>
            <w:tcW w:w="2459"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1.3</w:t>
            </w:r>
          </w:p>
        </w:tc>
      </w:tr>
      <w:tr w:rsidR="003C097D" w:rsidRPr="000D4728" w:rsidTr="008A5423">
        <w:trPr>
          <w:trHeight w:val="240"/>
        </w:trPr>
        <w:tc>
          <w:tcPr>
            <w:tcW w:w="2541" w:type="pct"/>
            <w:shd w:val="clear" w:color="auto" w:fill="FFFFFF" w:themeFill="background1"/>
            <w:noWrap/>
            <w:vAlign w:val="center"/>
            <w:hideMark/>
          </w:tcPr>
          <w:p w:rsidR="005955E6" w:rsidRPr="005955E6" w:rsidRDefault="005955E6" w:rsidP="00615AA5">
            <w:pPr>
              <w:rPr>
                <w:rFonts w:ascii="Calibri" w:hAnsi="Calibri" w:cs="Arial"/>
                <w:b/>
                <w:color w:val="000000"/>
                <w:sz w:val="20"/>
              </w:rPr>
            </w:pPr>
            <w:r w:rsidRPr="005955E6">
              <w:rPr>
                <w:rFonts w:ascii="Calibri" w:hAnsi="Calibri" w:cs="Arial"/>
                <w:b/>
                <w:color w:val="000000"/>
                <w:sz w:val="20"/>
              </w:rPr>
              <w:t>Total</w:t>
            </w:r>
          </w:p>
        </w:tc>
        <w:tc>
          <w:tcPr>
            <w:tcW w:w="2459" w:type="pct"/>
            <w:shd w:val="clear" w:color="auto" w:fill="FFFFFF" w:themeFill="background1"/>
            <w:noWrap/>
            <w:vAlign w:val="center"/>
            <w:hideMark/>
          </w:tcPr>
          <w:p w:rsidR="005955E6" w:rsidRPr="005955E6" w:rsidRDefault="005955E6" w:rsidP="005955E6">
            <w:pPr>
              <w:jc w:val="center"/>
              <w:rPr>
                <w:rFonts w:ascii="Calibri" w:hAnsi="Calibri" w:cs="Arial"/>
                <w:b/>
                <w:color w:val="000000"/>
                <w:sz w:val="20"/>
              </w:rPr>
            </w:pPr>
            <w:r w:rsidRPr="005955E6">
              <w:rPr>
                <w:rFonts w:ascii="Calibri" w:hAnsi="Calibri" w:cs="Arial"/>
                <w:b/>
                <w:color w:val="000000"/>
                <w:sz w:val="20"/>
              </w:rPr>
              <w:t>50.1</w:t>
            </w:r>
          </w:p>
        </w:tc>
      </w:tr>
    </w:tbl>
    <w:p w:rsidR="005955E6" w:rsidRPr="005955E6" w:rsidRDefault="005955E6" w:rsidP="005955E6">
      <w:pPr>
        <w:rPr>
          <w:rFonts w:ascii="Calibri" w:hAnsi="Calibri"/>
          <w:sz w:val="20"/>
        </w:rPr>
      </w:pPr>
      <w:r w:rsidRPr="005955E6">
        <w:rPr>
          <w:rFonts w:ascii="Calibri" w:hAnsi="Calibri"/>
          <w:sz w:val="20"/>
        </w:rPr>
        <w:t>Source: DEDJTR</w:t>
      </w:r>
    </w:p>
    <w:p w:rsidR="005955E6" w:rsidRPr="005955E6" w:rsidRDefault="005955E6" w:rsidP="005955E6">
      <w:pPr>
        <w:rPr>
          <w:rFonts w:ascii="Calibri" w:hAnsi="Calibri"/>
          <w:sz w:val="20"/>
        </w:rPr>
      </w:pPr>
    </w:p>
    <w:p w:rsidR="005955E6" w:rsidRPr="005955E6" w:rsidRDefault="005955E6" w:rsidP="005955E6">
      <w:pPr>
        <w:rPr>
          <w:rFonts w:ascii="Calibri" w:hAnsi="Calibri"/>
          <w:b/>
          <w:sz w:val="20"/>
        </w:rPr>
      </w:pPr>
    </w:p>
    <w:p w:rsidR="005955E6" w:rsidRPr="005955E6" w:rsidRDefault="005955E6" w:rsidP="008A5423">
      <w:pPr>
        <w:pStyle w:val="Heading3"/>
      </w:pPr>
      <w:r w:rsidRPr="005955E6">
        <w:t>Graph 5.1 Minerals, extractive and petroleum revenue 2013/14</w:t>
      </w:r>
    </w:p>
    <w:p w:rsidR="005955E6" w:rsidRPr="005955E6" w:rsidRDefault="005955E6" w:rsidP="005955E6">
      <w:pPr>
        <w:rPr>
          <w:rFonts w:ascii="Calibri" w:hAnsi="Calibri"/>
          <w:b/>
          <w:sz w:val="20"/>
        </w:rPr>
      </w:pPr>
    </w:p>
    <w:p w:rsidR="005955E6" w:rsidRPr="005955E6" w:rsidRDefault="005955E6" w:rsidP="005955E6">
      <w:pPr>
        <w:rPr>
          <w:rFonts w:ascii="Calibri" w:hAnsi="Calibri"/>
          <w:b/>
          <w:sz w:val="20"/>
        </w:rPr>
      </w:pPr>
    </w:p>
    <w:p w:rsidR="005955E6" w:rsidRPr="005955E6" w:rsidRDefault="0016613F" w:rsidP="005955E6">
      <w:pPr>
        <w:rPr>
          <w:rFonts w:ascii="Calibri" w:hAnsi="Calibri"/>
          <w:sz w:val="20"/>
        </w:rPr>
      </w:pPr>
      <w:r>
        <w:rPr>
          <w:rFonts w:ascii="Calibri" w:hAnsi="Calibri"/>
          <w:b/>
          <w:noProof/>
          <w:sz w:val="20"/>
        </w:rPr>
        <w:drawing>
          <wp:inline distT="0" distB="0" distL="0" distR="0" wp14:anchorId="203224C5" wp14:editId="3EB96DA3">
            <wp:extent cx="4429125" cy="2293620"/>
            <wp:effectExtent l="0" t="0" r="0" b="0"/>
            <wp:docPr id="11" name="Chart 17" descr="This pie chart displays the breakdown of where revenues were generated from for the 2013/2014 financial year.&#10;&#10;1.1 million dollars were collected through fees and charges.&#10;&#10;2.6 million dollars were collected through rent.&#10;&#10;45.1 million dollars were collected through royalties.&#10;&#10;1.3 million dollars were collected through mine stability levies.&#10;&#10;a total of 50.1 million dollars were collected." title="Graph 5.1 - Minerals, extractive industries and petroleum revenue"/>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B540A" w:rsidRDefault="005955E6" w:rsidP="005955E6">
      <w:pPr>
        <w:rPr>
          <w:rFonts w:ascii="Calibri" w:hAnsi="Calibri"/>
          <w:sz w:val="20"/>
        </w:rPr>
      </w:pPr>
      <w:r w:rsidRPr="005955E6">
        <w:rPr>
          <w:rFonts w:ascii="Calibri" w:hAnsi="Calibri"/>
          <w:sz w:val="20"/>
        </w:rPr>
        <w:t>Source: DEDJTR</w:t>
      </w:r>
    </w:p>
    <w:p w:rsidR="001B540A" w:rsidRDefault="001B540A" w:rsidP="005955E6">
      <w:pPr>
        <w:rPr>
          <w:rFonts w:ascii="Calibri" w:hAnsi="Calibri"/>
          <w:sz w:val="20"/>
        </w:rPr>
      </w:pPr>
    </w:p>
    <w:p w:rsidR="005955E6" w:rsidRPr="005955E6" w:rsidRDefault="005955E6" w:rsidP="008A5423">
      <w:pPr>
        <w:pStyle w:val="Heading3"/>
      </w:pPr>
      <w:r w:rsidRPr="005955E6">
        <w:t>Table 5.2 Minerals, extractive and petroleum royalties 2013/14</w:t>
      </w:r>
    </w:p>
    <w:p w:rsidR="005955E6" w:rsidRPr="005955E6" w:rsidRDefault="005955E6" w:rsidP="005955E6">
      <w:pPr>
        <w:rPr>
          <w:rFonts w:ascii="Calibri" w:hAnsi="Calibri"/>
          <w:b/>
          <w:sz w:val="20"/>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ook w:val="04A0" w:firstRow="1" w:lastRow="0" w:firstColumn="1" w:lastColumn="0" w:noHBand="0" w:noVBand="1"/>
      </w:tblPr>
      <w:tblGrid>
        <w:gridCol w:w="5234"/>
        <w:gridCol w:w="5074"/>
      </w:tblGrid>
      <w:tr w:rsidR="003C097D" w:rsidRPr="000D4728" w:rsidTr="008A5423">
        <w:trPr>
          <w:trHeight w:val="240"/>
          <w:tblHeader/>
        </w:trPr>
        <w:tc>
          <w:tcPr>
            <w:tcW w:w="2539" w:type="pct"/>
            <w:shd w:val="clear" w:color="auto" w:fill="FFFFFF" w:themeFill="background1"/>
            <w:noWrap/>
            <w:hideMark/>
          </w:tcPr>
          <w:p w:rsidR="005955E6" w:rsidRPr="005955E6" w:rsidRDefault="005955E6" w:rsidP="00615AA5">
            <w:pPr>
              <w:rPr>
                <w:rFonts w:ascii="Calibri" w:hAnsi="Calibri" w:cs="Arial"/>
                <w:b/>
                <w:color w:val="000000"/>
                <w:sz w:val="20"/>
              </w:rPr>
            </w:pPr>
            <w:bookmarkStart w:id="94" w:name="ColumnTitle_5_2"/>
            <w:r w:rsidRPr="005955E6">
              <w:rPr>
                <w:rFonts w:ascii="Calibri" w:hAnsi="Calibri" w:cs="Arial"/>
                <w:b/>
                <w:color w:val="000000"/>
                <w:sz w:val="20"/>
              </w:rPr>
              <w:t>Sector</w:t>
            </w:r>
          </w:p>
        </w:tc>
        <w:tc>
          <w:tcPr>
            <w:tcW w:w="2461" w:type="pct"/>
            <w:shd w:val="clear" w:color="auto" w:fill="FFFFFF" w:themeFill="background1"/>
            <w:noWrap/>
            <w:hideMark/>
          </w:tcPr>
          <w:p w:rsidR="005955E6" w:rsidRPr="005955E6" w:rsidRDefault="005955E6" w:rsidP="005955E6">
            <w:pPr>
              <w:jc w:val="center"/>
              <w:rPr>
                <w:rFonts w:ascii="Calibri" w:hAnsi="Calibri" w:cs="Arial"/>
                <w:b/>
                <w:color w:val="000000"/>
                <w:sz w:val="20"/>
              </w:rPr>
            </w:pPr>
            <w:r w:rsidRPr="005955E6">
              <w:rPr>
                <w:rFonts w:ascii="Calibri" w:hAnsi="Calibri" w:cs="Arial"/>
                <w:b/>
                <w:color w:val="000000"/>
                <w:sz w:val="20"/>
              </w:rPr>
              <w:t>Royalties ($A million)</w:t>
            </w:r>
          </w:p>
        </w:tc>
      </w:tr>
      <w:bookmarkEnd w:id="94"/>
      <w:tr w:rsidR="003C097D" w:rsidRPr="000D4728" w:rsidTr="008A5423">
        <w:trPr>
          <w:trHeight w:val="240"/>
        </w:trPr>
        <w:tc>
          <w:tcPr>
            <w:tcW w:w="2539"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Mining</w:t>
            </w:r>
          </w:p>
        </w:tc>
        <w:tc>
          <w:tcPr>
            <w:tcW w:w="2461"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40.6</w:t>
            </w:r>
          </w:p>
        </w:tc>
      </w:tr>
      <w:tr w:rsidR="003C097D" w:rsidRPr="000D4728" w:rsidTr="008A5423">
        <w:trPr>
          <w:trHeight w:val="240"/>
        </w:trPr>
        <w:tc>
          <w:tcPr>
            <w:tcW w:w="2539"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Extractive</w:t>
            </w:r>
          </w:p>
        </w:tc>
        <w:tc>
          <w:tcPr>
            <w:tcW w:w="2461"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4.4</w:t>
            </w:r>
          </w:p>
        </w:tc>
      </w:tr>
      <w:tr w:rsidR="003C097D" w:rsidRPr="000D4728" w:rsidTr="008A5423">
        <w:trPr>
          <w:trHeight w:val="240"/>
        </w:trPr>
        <w:tc>
          <w:tcPr>
            <w:tcW w:w="2539" w:type="pct"/>
            <w:shd w:val="clear" w:color="auto" w:fill="FFFFFF" w:themeFill="background1"/>
            <w:noWrap/>
            <w:hideMark/>
          </w:tcPr>
          <w:p w:rsidR="005955E6" w:rsidRPr="005955E6" w:rsidRDefault="005955E6" w:rsidP="00615AA5">
            <w:pPr>
              <w:rPr>
                <w:rFonts w:ascii="Calibri" w:hAnsi="Calibri" w:cs="Arial"/>
                <w:color w:val="000000"/>
                <w:sz w:val="20"/>
              </w:rPr>
            </w:pPr>
            <w:r w:rsidRPr="005955E6">
              <w:rPr>
                <w:rFonts w:ascii="Calibri" w:hAnsi="Calibri" w:cs="Arial"/>
                <w:color w:val="000000"/>
                <w:sz w:val="20"/>
              </w:rPr>
              <w:t>Petroleum (Onshore)*</w:t>
            </w:r>
          </w:p>
        </w:tc>
        <w:tc>
          <w:tcPr>
            <w:tcW w:w="2461"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0.1</w:t>
            </w:r>
          </w:p>
        </w:tc>
      </w:tr>
      <w:tr w:rsidR="003C097D" w:rsidRPr="000D4728" w:rsidTr="008A5423">
        <w:trPr>
          <w:trHeight w:val="240"/>
        </w:trPr>
        <w:tc>
          <w:tcPr>
            <w:tcW w:w="2539" w:type="pct"/>
            <w:shd w:val="clear" w:color="auto" w:fill="FFFFFF" w:themeFill="background1"/>
            <w:noWrap/>
            <w:hideMark/>
          </w:tcPr>
          <w:p w:rsidR="005955E6" w:rsidRPr="005955E6" w:rsidRDefault="005955E6" w:rsidP="00615AA5">
            <w:pPr>
              <w:rPr>
                <w:rFonts w:ascii="Calibri" w:hAnsi="Calibri" w:cs="Arial"/>
                <w:b/>
                <w:color w:val="000000"/>
                <w:sz w:val="20"/>
              </w:rPr>
            </w:pPr>
            <w:r w:rsidRPr="005955E6">
              <w:rPr>
                <w:rFonts w:ascii="Calibri" w:hAnsi="Calibri" w:cs="Arial"/>
                <w:b/>
                <w:color w:val="000000"/>
                <w:sz w:val="20"/>
              </w:rPr>
              <w:t>Total</w:t>
            </w:r>
          </w:p>
        </w:tc>
        <w:tc>
          <w:tcPr>
            <w:tcW w:w="2461" w:type="pct"/>
            <w:shd w:val="clear" w:color="auto" w:fill="FFFFFF" w:themeFill="background1"/>
            <w:noWrap/>
            <w:hideMark/>
          </w:tcPr>
          <w:p w:rsidR="005955E6" w:rsidRPr="005955E6" w:rsidRDefault="005955E6" w:rsidP="005955E6">
            <w:pPr>
              <w:jc w:val="center"/>
              <w:rPr>
                <w:rFonts w:ascii="Calibri" w:hAnsi="Calibri" w:cs="Arial"/>
                <w:b/>
                <w:color w:val="000000"/>
                <w:sz w:val="20"/>
              </w:rPr>
            </w:pPr>
            <w:r w:rsidRPr="005955E6">
              <w:rPr>
                <w:rFonts w:ascii="Calibri" w:hAnsi="Calibri" w:cs="Arial"/>
                <w:b/>
                <w:color w:val="000000"/>
                <w:sz w:val="20"/>
              </w:rPr>
              <w:t>45.1</w:t>
            </w:r>
          </w:p>
        </w:tc>
      </w:tr>
    </w:tbl>
    <w:p w:rsidR="001B540A" w:rsidRDefault="005955E6" w:rsidP="005955E6">
      <w:pPr>
        <w:rPr>
          <w:rFonts w:ascii="Calibri" w:hAnsi="Calibri"/>
          <w:sz w:val="20"/>
        </w:rPr>
      </w:pPr>
      <w:r w:rsidRPr="005955E6">
        <w:rPr>
          <w:rFonts w:ascii="Calibri" w:hAnsi="Calibri"/>
          <w:sz w:val="20"/>
        </w:rPr>
        <w:t>Source: DEDJTR</w:t>
      </w:r>
    </w:p>
    <w:p w:rsidR="001B540A" w:rsidRDefault="001B540A">
      <w:pPr>
        <w:rPr>
          <w:rFonts w:ascii="Calibri" w:hAnsi="Calibri"/>
          <w:sz w:val="20"/>
        </w:rPr>
      </w:pPr>
      <w:r>
        <w:rPr>
          <w:rFonts w:ascii="Calibri" w:hAnsi="Calibri"/>
          <w:sz w:val="20"/>
        </w:rPr>
        <w:br w:type="page"/>
      </w:r>
    </w:p>
    <w:p w:rsidR="005955E6" w:rsidRPr="005955E6" w:rsidRDefault="005955E6" w:rsidP="008A5423">
      <w:pPr>
        <w:pStyle w:val="Heading3"/>
      </w:pPr>
      <w:r w:rsidRPr="005955E6">
        <w:lastRenderedPageBreak/>
        <w:t>Table 5.2 Minerals, extractive and petroleum royalties 2013/14</w:t>
      </w:r>
    </w:p>
    <w:p w:rsidR="005955E6" w:rsidRPr="005955E6" w:rsidRDefault="005955E6" w:rsidP="005955E6">
      <w:pPr>
        <w:rPr>
          <w:rFonts w:ascii="Calibri" w:hAnsi="Calibri"/>
          <w:b/>
          <w:sz w:val="20"/>
        </w:rPr>
      </w:pPr>
    </w:p>
    <w:p w:rsidR="005955E6" w:rsidRPr="005955E6" w:rsidRDefault="0016613F" w:rsidP="005955E6">
      <w:pPr>
        <w:rPr>
          <w:rFonts w:ascii="Calibri" w:hAnsi="Calibri"/>
          <w:sz w:val="20"/>
        </w:rPr>
      </w:pPr>
      <w:r>
        <w:rPr>
          <w:rFonts w:ascii="Calibri" w:hAnsi="Calibri"/>
          <w:noProof/>
          <w:sz w:val="20"/>
        </w:rPr>
        <w:drawing>
          <wp:inline distT="0" distB="0" distL="0" distR="0" wp14:anchorId="6AAFD869" wp14:editId="770E17F2">
            <wp:extent cx="4341495" cy="2349500"/>
            <wp:effectExtent l="0" t="0" r="20955" b="12700"/>
            <wp:docPr id="12" name="Chart 18" descr="This pie chart features a breakdown of where royalties were generated from.&#10;&#10;90 percent of royalties were generated through mining, 10 percent were gnerated through extractive industires and 0 percent were generated through onshore petroleum." title="Graph 5.2 - Minerals, extractive and petroleum royalties 2013/20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955E6" w:rsidRPr="005955E6" w:rsidRDefault="005955E6" w:rsidP="005955E6">
      <w:pPr>
        <w:rPr>
          <w:rFonts w:ascii="Calibri" w:hAnsi="Calibri"/>
          <w:sz w:val="20"/>
        </w:rPr>
      </w:pPr>
      <w:r w:rsidRPr="005955E6">
        <w:rPr>
          <w:rFonts w:ascii="Calibri" w:hAnsi="Calibri"/>
          <w:sz w:val="20"/>
        </w:rPr>
        <w:t>Source: DEDJTR</w:t>
      </w:r>
    </w:p>
    <w:p w:rsidR="00C0310C" w:rsidRDefault="00C0310C" w:rsidP="005955E6">
      <w:pPr>
        <w:rPr>
          <w:rFonts w:ascii="Calibri" w:hAnsi="Calibri"/>
          <w:sz w:val="20"/>
        </w:rPr>
      </w:pPr>
    </w:p>
    <w:p w:rsidR="005955E6" w:rsidRDefault="005955E6" w:rsidP="00615AA5">
      <w:pPr>
        <w:pStyle w:val="Heading2"/>
        <w:keepNext w:val="0"/>
        <w:numPr>
          <w:ilvl w:val="1"/>
          <w:numId w:val="6"/>
        </w:numPr>
        <w:tabs>
          <w:tab w:val="clear" w:pos="792"/>
          <w:tab w:val="num" w:pos="567"/>
        </w:tabs>
        <w:spacing w:before="0"/>
        <w:ind w:left="567" w:hanging="567"/>
        <w:jc w:val="left"/>
      </w:pPr>
      <w:r>
        <w:t>Rehabilitation Bonds</w:t>
      </w:r>
    </w:p>
    <w:p w:rsidR="005955E6" w:rsidRPr="005955E6" w:rsidRDefault="005955E6" w:rsidP="005955E6">
      <w:pPr>
        <w:rPr>
          <w:rFonts w:ascii="Calibri" w:hAnsi="Calibri"/>
        </w:rPr>
      </w:pPr>
    </w:p>
    <w:p w:rsidR="003C097D" w:rsidRDefault="005955E6" w:rsidP="005955E6">
      <w:pPr>
        <w:rPr>
          <w:rFonts w:ascii="Calibri" w:hAnsi="Calibri"/>
          <w:sz w:val="20"/>
        </w:rPr>
      </w:pPr>
      <w:r w:rsidRPr="005955E6">
        <w:rPr>
          <w:rFonts w:ascii="Calibri" w:hAnsi="Calibri"/>
          <w:sz w:val="20"/>
        </w:rPr>
        <w:t xml:space="preserve">The sum of rehabilitation bonds held by the Department in 2013/14 was $276.5 million. A reduction in the value of exploration licence bonds between 2012/13 and 2013/14 reflect the reduction in the number of exploration licences from 311 to 271 in the same period and also the </w:t>
      </w:r>
      <w:r w:rsidRPr="005955E6">
        <w:rPr>
          <w:rFonts w:ascii="Calibri" w:eastAsia="Calibri" w:hAnsi="Calibri" w:cs="Helv"/>
          <w:color w:val="000000"/>
          <w:sz w:val="20"/>
          <w:lang w:eastAsia="en-US"/>
        </w:rPr>
        <w:t>return of  bonds following the rehabilitation of the site, without necessarily the licence being cancelled or expired or surrendered</w:t>
      </w:r>
      <w:r w:rsidRPr="005955E6">
        <w:rPr>
          <w:rFonts w:ascii="Calibri" w:hAnsi="Calibri"/>
          <w:sz w:val="20"/>
        </w:rPr>
        <w:t>. In contrast, the value of rehabilitation bonds held against mining licences and work authorities increased, reflecting the recalculation of the rehabilitation liability that exists on those sites, despite the reduction in the number of mining licences from 212 to 191.</w:t>
      </w:r>
    </w:p>
    <w:p w:rsidR="005955E6" w:rsidRDefault="005955E6" w:rsidP="005955E6">
      <w:pPr>
        <w:rPr>
          <w:rFonts w:ascii="Calibri" w:hAnsi="Calibri"/>
          <w:sz w:val="20"/>
        </w:rPr>
      </w:pPr>
    </w:p>
    <w:p w:rsidR="005955E6" w:rsidRDefault="005955E6" w:rsidP="00FB68AE">
      <w:pPr>
        <w:pStyle w:val="Heading3"/>
      </w:pPr>
      <w:r w:rsidRPr="0020329B">
        <w:t>Table 5.3 Value of rehabilitation bonds by authority type ($A million) 2013/14</w:t>
      </w:r>
    </w:p>
    <w:p w:rsidR="005955E6" w:rsidRDefault="005955E6" w:rsidP="005955E6">
      <w:pPr>
        <w:rPr>
          <w:rFonts w:ascii="Calibri" w:hAnsi="Calibri"/>
          <w:b/>
          <w:sz w:val="20"/>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ayout w:type="fixed"/>
        <w:tblLook w:val="04A0" w:firstRow="1" w:lastRow="0" w:firstColumn="1" w:lastColumn="0" w:noHBand="0" w:noVBand="1"/>
      </w:tblPr>
      <w:tblGrid>
        <w:gridCol w:w="1228"/>
        <w:gridCol w:w="1423"/>
        <w:gridCol w:w="1581"/>
        <w:gridCol w:w="1658"/>
        <w:gridCol w:w="1472"/>
        <w:gridCol w:w="1930"/>
        <w:gridCol w:w="1016"/>
      </w:tblGrid>
      <w:tr w:rsidR="003C097D" w:rsidRPr="00E84E0A" w:rsidTr="00FB68AE">
        <w:trPr>
          <w:trHeight w:val="720"/>
          <w:tblHeader/>
        </w:trPr>
        <w:tc>
          <w:tcPr>
            <w:tcW w:w="596" w:type="pct"/>
            <w:shd w:val="clear" w:color="auto" w:fill="FFFFFF" w:themeFill="background1"/>
            <w:noWrap/>
            <w:hideMark/>
          </w:tcPr>
          <w:p w:rsidR="005955E6" w:rsidRPr="005955E6" w:rsidRDefault="005955E6" w:rsidP="005955E6">
            <w:pPr>
              <w:jc w:val="center"/>
              <w:rPr>
                <w:rFonts w:ascii="Calibri" w:hAnsi="Calibri" w:cs="Arial"/>
                <w:b/>
                <w:color w:val="000000"/>
                <w:sz w:val="20"/>
              </w:rPr>
            </w:pPr>
            <w:bookmarkStart w:id="95" w:name="ColumnTitle_5_3"/>
            <w:r w:rsidRPr="005955E6">
              <w:rPr>
                <w:rFonts w:ascii="Calibri" w:hAnsi="Calibri" w:cs="Arial"/>
                <w:b/>
                <w:color w:val="000000"/>
                <w:sz w:val="20"/>
              </w:rPr>
              <w:t>Year</w:t>
            </w:r>
          </w:p>
        </w:tc>
        <w:tc>
          <w:tcPr>
            <w:tcW w:w="690" w:type="pct"/>
            <w:shd w:val="clear" w:color="auto" w:fill="FFFFFF" w:themeFill="background1"/>
            <w:noWrap/>
            <w:hideMark/>
          </w:tcPr>
          <w:p w:rsidR="005955E6" w:rsidRPr="005955E6" w:rsidRDefault="005955E6" w:rsidP="005955E6">
            <w:pPr>
              <w:jc w:val="center"/>
              <w:rPr>
                <w:rFonts w:ascii="Calibri" w:hAnsi="Calibri" w:cs="Arial"/>
                <w:b/>
                <w:color w:val="000000"/>
                <w:sz w:val="20"/>
              </w:rPr>
            </w:pPr>
            <w:r w:rsidRPr="005955E6">
              <w:rPr>
                <w:rFonts w:ascii="Calibri" w:hAnsi="Calibri" w:cs="Arial"/>
                <w:b/>
                <w:color w:val="000000"/>
                <w:sz w:val="20"/>
              </w:rPr>
              <w:t>Exploration Licence</w:t>
            </w:r>
          </w:p>
        </w:tc>
        <w:tc>
          <w:tcPr>
            <w:tcW w:w="767" w:type="pct"/>
            <w:shd w:val="clear" w:color="auto" w:fill="FFFFFF" w:themeFill="background1"/>
            <w:noWrap/>
            <w:hideMark/>
          </w:tcPr>
          <w:p w:rsidR="005955E6" w:rsidRPr="005955E6" w:rsidRDefault="005955E6" w:rsidP="005955E6">
            <w:pPr>
              <w:jc w:val="center"/>
              <w:rPr>
                <w:rFonts w:ascii="Calibri" w:hAnsi="Calibri" w:cs="Arial"/>
                <w:b/>
                <w:color w:val="000000"/>
                <w:sz w:val="20"/>
              </w:rPr>
            </w:pPr>
            <w:r w:rsidRPr="005955E6">
              <w:rPr>
                <w:rFonts w:ascii="Calibri" w:hAnsi="Calibri" w:cs="Arial"/>
                <w:b/>
                <w:color w:val="000000"/>
                <w:sz w:val="20"/>
              </w:rPr>
              <w:t xml:space="preserve">Mining Licence </w:t>
            </w:r>
          </w:p>
        </w:tc>
        <w:tc>
          <w:tcPr>
            <w:tcW w:w="804" w:type="pct"/>
            <w:shd w:val="clear" w:color="auto" w:fill="FFFFFF" w:themeFill="background1"/>
            <w:hideMark/>
          </w:tcPr>
          <w:p w:rsidR="005955E6" w:rsidRPr="005955E6" w:rsidRDefault="005955E6" w:rsidP="005955E6">
            <w:pPr>
              <w:jc w:val="center"/>
              <w:rPr>
                <w:rFonts w:ascii="Calibri" w:hAnsi="Calibri" w:cs="Arial"/>
                <w:b/>
                <w:color w:val="000000"/>
                <w:sz w:val="20"/>
              </w:rPr>
            </w:pPr>
            <w:r w:rsidRPr="005955E6">
              <w:rPr>
                <w:rFonts w:ascii="Calibri" w:hAnsi="Calibri" w:cs="Arial"/>
                <w:b/>
                <w:color w:val="000000"/>
                <w:sz w:val="20"/>
              </w:rPr>
              <w:t xml:space="preserve">Prospecting Licence </w:t>
            </w:r>
          </w:p>
        </w:tc>
        <w:tc>
          <w:tcPr>
            <w:tcW w:w="714" w:type="pct"/>
            <w:shd w:val="clear" w:color="auto" w:fill="FFFFFF" w:themeFill="background1"/>
            <w:hideMark/>
          </w:tcPr>
          <w:p w:rsidR="005955E6" w:rsidRPr="005955E6" w:rsidRDefault="005955E6" w:rsidP="005955E6">
            <w:pPr>
              <w:jc w:val="center"/>
              <w:rPr>
                <w:rFonts w:ascii="Calibri" w:hAnsi="Calibri" w:cs="Arial"/>
                <w:b/>
                <w:color w:val="000000"/>
                <w:sz w:val="20"/>
              </w:rPr>
            </w:pPr>
            <w:r w:rsidRPr="005955E6">
              <w:rPr>
                <w:rFonts w:ascii="Calibri" w:hAnsi="Calibri" w:cs="Arial"/>
                <w:b/>
                <w:color w:val="000000"/>
                <w:sz w:val="20"/>
              </w:rPr>
              <w:t xml:space="preserve">Retention Licence </w:t>
            </w:r>
          </w:p>
        </w:tc>
        <w:tc>
          <w:tcPr>
            <w:tcW w:w="936" w:type="pct"/>
            <w:shd w:val="clear" w:color="auto" w:fill="FFFFFF" w:themeFill="background1"/>
            <w:noWrap/>
            <w:hideMark/>
          </w:tcPr>
          <w:p w:rsidR="005955E6" w:rsidRPr="005955E6" w:rsidRDefault="005955E6" w:rsidP="005955E6">
            <w:pPr>
              <w:jc w:val="center"/>
              <w:rPr>
                <w:rFonts w:ascii="Calibri" w:hAnsi="Calibri" w:cs="Arial"/>
                <w:b/>
                <w:color w:val="000000"/>
                <w:sz w:val="20"/>
              </w:rPr>
            </w:pPr>
            <w:r w:rsidRPr="005955E6">
              <w:rPr>
                <w:rFonts w:ascii="Calibri" w:hAnsi="Calibri" w:cs="Arial"/>
                <w:b/>
                <w:color w:val="000000"/>
                <w:sz w:val="20"/>
              </w:rPr>
              <w:t>Extractive Industry Work Authority</w:t>
            </w:r>
          </w:p>
        </w:tc>
        <w:tc>
          <w:tcPr>
            <w:tcW w:w="493" w:type="pct"/>
            <w:shd w:val="clear" w:color="auto" w:fill="FFFFFF" w:themeFill="background1"/>
            <w:noWrap/>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Total</w:t>
            </w:r>
          </w:p>
        </w:tc>
      </w:tr>
      <w:bookmarkEnd w:id="95"/>
      <w:tr w:rsidR="003C097D" w:rsidRPr="00B4395A" w:rsidTr="00FB68AE">
        <w:trPr>
          <w:trHeight w:val="240"/>
        </w:trPr>
        <w:tc>
          <w:tcPr>
            <w:tcW w:w="596"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2006/07</w:t>
            </w:r>
          </w:p>
        </w:tc>
        <w:tc>
          <w:tcPr>
            <w:tcW w:w="690"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2.8</w:t>
            </w:r>
          </w:p>
        </w:tc>
        <w:tc>
          <w:tcPr>
            <w:tcW w:w="767"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73.7</w:t>
            </w:r>
          </w:p>
        </w:tc>
        <w:tc>
          <w:tcPr>
            <w:tcW w:w="804" w:type="pct"/>
            <w:shd w:val="clear" w:color="auto" w:fill="FFFFFF" w:themeFill="background1"/>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n/a</w:t>
            </w:r>
          </w:p>
        </w:tc>
        <w:tc>
          <w:tcPr>
            <w:tcW w:w="714" w:type="pct"/>
            <w:shd w:val="clear" w:color="auto" w:fill="FFFFFF" w:themeFill="background1"/>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n/a</w:t>
            </w:r>
          </w:p>
        </w:tc>
        <w:tc>
          <w:tcPr>
            <w:tcW w:w="936"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57.5</w:t>
            </w:r>
          </w:p>
        </w:tc>
        <w:tc>
          <w:tcPr>
            <w:tcW w:w="493" w:type="pct"/>
            <w:shd w:val="clear" w:color="auto" w:fill="FFFFFF" w:themeFill="background1"/>
            <w:noWrap/>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134.0</w:t>
            </w:r>
          </w:p>
        </w:tc>
      </w:tr>
      <w:tr w:rsidR="003C097D" w:rsidRPr="00B4395A" w:rsidTr="00FB68AE">
        <w:trPr>
          <w:trHeight w:val="240"/>
        </w:trPr>
        <w:tc>
          <w:tcPr>
            <w:tcW w:w="596"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2007/08</w:t>
            </w:r>
          </w:p>
        </w:tc>
        <w:tc>
          <w:tcPr>
            <w:tcW w:w="690"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3.1</w:t>
            </w:r>
          </w:p>
        </w:tc>
        <w:tc>
          <w:tcPr>
            <w:tcW w:w="767"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75.6</w:t>
            </w:r>
          </w:p>
        </w:tc>
        <w:tc>
          <w:tcPr>
            <w:tcW w:w="804" w:type="pct"/>
            <w:shd w:val="clear" w:color="auto" w:fill="FFFFFF" w:themeFill="background1"/>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n/a</w:t>
            </w:r>
          </w:p>
        </w:tc>
        <w:tc>
          <w:tcPr>
            <w:tcW w:w="714" w:type="pct"/>
            <w:shd w:val="clear" w:color="auto" w:fill="FFFFFF" w:themeFill="background1"/>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n/a</w:t>
            </w:r>
          </w:p>
        </w:tc>
        <w:tc>
          <w:tcPr>
            <w:tcW w:w="936"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58.8</w:t>
            </w:r>
          </w:p>
        </w:tc>
        <w:tc>
          <w:tcPr>
            <w:tcW w:w="493" w:type="pct"/>
            <w:shd w:val="clear" w:color="auto" w:fill="FFFFFF" w:themeFill="background1"/>
            <w:noWrap/>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137.5</w:t>
            </w:r>
          </w:p>
        </w:tc>
      </w:tr>
      <w:tr w:rsidR="003C097D" w:rsidRPr="00B4395A" w:rsidTr="00FB68AE">
        <w:trPr>
          <w:trHeight w:val="240"/>
        </w:trPr>
        <w:tc>
          <w:tcPr>
            <w:tcW w:w="596"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2008/09</w:t>
            </w:r>
          </w:p>
        </w:tc>
        <w:tc>
          <w:tcPr>
            <w:tcW w:w="690"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2.0</w:t>
            </w:r>
          </w:p>
        </w:tc>
        <w:tc>
          <w:tcPr>
            <w:tcW w:w="767"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97.1</w:t>
            </w:r>
          </w:p>
        </w:tc>
        <w:tc>
          <w:tcPr>
            <w:tcW w:w="804" w:type="pct"/>
            <w:shd w:val="clear" w:color="auto" w:fill="FFFFFF" w:themeFill="background1"/>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n/a</w:t>
            </w:r>
          </w:p>
        </w:tc>
        <w:tc>
          <w:tcPr>
            <w:tcW w:w="714" w:type="pct"/>
            <w:shd w:val="clear" w:color="auto" w:fill="FFFFFF" w:themeFill="background1"/>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n/a</w:t>
            </w:r>
          </w:p>
        </w:tc>
        <w:tc>
          <w:tcPr>
            <w:tcW w:w="936"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64.9</w:t>
            </w:r>
          </w:p>
        </w:tc>
        <w:tc>
          <w:tcPr>
            <w:tcW w:w="493" w:type="pct"/>
            <w:shd w:val="clear" w:color="auto" w:fill="FFFFFF" w:themeFill="background1"/>
            <w:noWrap/>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164.0</w:t>
            </w:r>
          </w:p>
        </w:tc>
      </w:tr>
      <w:tr w:rsidR="003C097D" w:rsidRPr="00B4395A" w:rsidTr="00FB68AE">
        <w:trPr>
          <w:trHeight w:val="240"/>
        </w:trPr>
        <w:tc>
          <w:tcPr>
            <w:tcW w:w="596"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2009/10</w:t>
            </w:r>
          </w:p>
        </w:tc>
        <w:tc>
          <w:tcPr>
            <w:tcW w:w="690"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2.3</w:t>
            </w:r>
          </w:p>
        </w:tc>
        <w:tc>
          <w:tcPr>
            <w:tcW w:w="767"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103.7</w:t>
            </w:r>
          </w:p>
        </w:tc>
        <w:tc>
          <w:tcPr>
            <w:tcW w:w="804" w:type="pct"/>
            <w:shd w:val="clear" w:color="auto" w:fill="FFFFFF" w:themeFill="background1"/>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n/a</w:t>
            </w:r>
          </w:p>
        </w:tc>
        <w:tc>
          <w:tcPr>
            <w:tcW w:w="714" w:type="pct"/>
            <w:shd w:val="clear" w:color="auto" w:fill="FFFFFF" w:themeFill="background1"/>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n/a</w:t>
            </w:r>
          </w:p>
        </w:tc>
        <w:tc>
          <w:tcPr>
            <w:tcW w:w="936"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72.3</w:t>
            </w:r>
          </w:p>
        </w:tc>
        <w:tc>
          <w:tcPr>
            <w:tcW w:w="493" w:type="pct"/>
            <w:shd w:val="clear" w:color="auto" w:fill="FFFFFF" w:themeFill="background1"/>
            <w:noWrap/>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178.3</w:t>
            </w:r>
          </w:p>
        </w:tc>
      </w:tr>
      <w:tr w:rsidR="003C097D" w:rsidRPr="00B4395A" w:rsidTr="00FB68AE">
        <w:trPr>
          <w:trHeight w:val="240"/>
        </w:trPr>
        <w:tc>
          <w:tcPr>
            <w:tcW w:w="596"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2010/11</w:t>
            </w:r>
          </w:p>
        </w:tc>
        <w:tc>
          <w:tcPr>
            <w:tcW w:w="690"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1.9</w:t>
            </w:r>
          </w:p>
        </w:tc>
        <w:tc>
          <w:tcPr>
            <w:tcW w:w="767"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122.1</w:t>
            </w:r>
          </w:p>
        </w:tc>
        <w:tc>
          <w:tcPr>
            <w:tcW w:w="804" w:type="pct"/>
            <w:shd w:val="clear" w:color="auto" w:fill="FFFFFF" w:themeFill="background1"/>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n/a</w:t>
            </w:r>
          </w:p>
        </w:tc>
        <w:tc>
          <w:tcPr>
            <w:tcW w:w="714" w:type="pct"/>
            <w:shd w:val="clear" w:color="auto" w:fill="FFFFFF" w:themeFill="background1"/>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n/a</w:t>
            </w:r>
          </w:p>
        </w:tc>
        <w:tc>
          <w:tcPr>
            <w:tcW w:w="936"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65.0</w:t>
            </w:r>
          </w:p>
        </w:tc>
        <w:tc>
          <w:tcPr>
            <w:tcW w:w="493" w:type="pct"/>
            <w:shd w:val="clear" w:color="auto" w:fill="FFFFFF" w:themeFill="background1"/>
            <w:noWrap/>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189.0</w:t>
            </w:r>
          </w:p>
        </w:tc>
      </w:tr>
      <w:tr w:rsidR="003C097D" w:rsidRPr="00B4395A" w:rsidTr="00FB68AE">
        <w:trPr>
          <w:trHeight w:val="240"/>
        </w:trPr>
        <w:tc>
          <w:tcPr>
            <w:tcW w:w="596"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2011/12</w:t>
            </w:r>
          </w:p>
        </w:tc>
        <w:tc>
          <w:tcPr>
            <w:tcW w:w="690"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2.5</w:t>
            </w:r>
          </w:p>
        </w:tc>
        <w:tc>
          <w:tcPr>
            <w:tcW w:w="767"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156.9</w:t>
            </w:r>
          </w:p>
        </w:tc>
        <w:tc>
          <w:tcPr>
            <w:tcW w:w="804" w:type="pct"/>
            <w:shd w:val="clear" w:color="auto" w:fill="FFFFFF" w:themeFill="background1"/>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w:t>
            </w:r>
          </w:p>
        </w:tc>
        <w:tc>
          <w:tcPr>
            <w:tcW w:w="714" w:type="pct"/>
            <w:shd w:val="clear" w:color="auto" w:fill="FFFFFF" w:themeFill="background1"/>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n/a</w:t>
            </w:r>
          </w:p>
        </w:tc>
        <w:tc>
          <w:tcPr>
            <w:tcW w:w="936"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80.9</w:t>
            </w:r>
          </w:p>
        </w:tc>
        <w:tc>
          <w:tcPr>
            <w:tcW w:w="493" w:type="pct"/>
            <w:shd w:val="clear" w:color="auto" w:fill="FFFFFF" w:themeFill="background1"/>
            <w:noWrap/>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240.3</w:t>
            </w:r>
          </w:p>
        </w:tc>
      </w:tr>
      <w:tr w:rsidR="003C097D" w:rsidRPr="00B4395A" w:rsidTr="00FB68AE">
        <w:trPr>
          <w:trHeight w:val="240"/>
        </w:trPr>
        <w:tc>
          <w:tcPr>
            <w:tcW w:w="596"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2012/13</w:t>
            </w:r>
          </w:p>
        </w:tc>
        <w:tc>
          <w:tcPr>
            <w:tcW w:w="690"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2.4</w:t>
            </w:r>
          </w:p>
        </w:tc>
        <w:tc>
          <w:tcPr>
            <w:tcW w:w="767"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158.3</w:t>
            </w:r>
          </w:p>
        </w:tc>
        <w:tc>
          <w:tcPr>
            <w:tcW w:w="804" w:type="pct"/>
            <w:shd w:val="clear" w:color="auto" w:fill="FFFFFF" w:themeFill="background1"/>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0.025</w:t>
            </w:r>
          </w:p>
        </w:tc>
        <w:tc>
          <w:tcPr>
            <w:tcW w:w="714" w:type="pct"/>
            <w:shd w:val="clear" w:color="auto" w:fill="FFFFFF" w:themeFill="background1"/>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n/a</w:t>
            </w:r>
          </w:p>
        </w:tc>
        <w:tc>
          <w:tcPr>
            <w:tcW w:w="936"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81.0</w:t>
            </w:r>
          </w:p>
        </w:tc>
        <w:tc>
          <w:tcPr>
            <w:tcW w:w="493" w:type="pct"/>
            <w:shd w:val="clear" w:color="auto" w:fill="FFFFFF" w:themeFill="background1"/>
            <w:noWrap/>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241.7</w:t>
            </w:r>
          </w:p>
        </w:tc>
      </w:tr>
      <w:tr w:rsidR="003C097D" w:rsidRPr="00B4395A" w:rsidTr="00FB68AE">
        <w:trPr>
          <w:trHeight w:val="240"/>
        </w:trPr>
        <w:tc>
          <w:tcPr>
            <w:tcW w:w="596"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2013/14</w:t>
            </w:r>
          </w:p>
        </w:tc>
        <w:tc>
          <w:tcPr>
            <w:tcW w:w="690"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2.1</w:t>
            </w:r>
          </w:p>
        </w:tc>
        <w:tc>
          <w:tcPr>
            <w:tcW w:w="767"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183.4</w:t>
            </w:r>
          </w:p>
        </w:tc>
        <w:tc>
          <w:tcPr>
            <w:tcW w:w="804" w:type="pct"/>
            <w:shd w:val="clear" w:color="auto" w:fill="FFFFFF" w:themeFill="background1"/>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0.091</w:t>
            </w:r>
          </w:p>
        </w:tc>
        <w:tc>
          <w:tcPr>
            <w:tcW w:w="714" w:type="pct"/>
            <w:shd w:val="clear" w:color="auto" w:fill="FFFFFF" w:themeFill="background1"/>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0.010</w:t>
            </w:r>
          </w:p>
        </w:tc>
        <w:tc>
          <w:tcPr>
            <w:tcW w:w="936" w:type="pct"/>
            <w:shd w:val="clear" w:color="auto" w:fill="FFFFFF" w:themeFill="background1"/>
            <w:noWrap/>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90.9</w:t>
            </w:r>
          </w:p>
        </w:tc>
        <w:tc>
          <w:tcPr>
            <w:tcW w:w="493" w:type="pct"/>
            <w:shd w:val="clear" w:color="auto" w:fill="FFFFFF" w:themeFill="background1"/>
            <w:noWrap/>
            <w:hideMark/>
          </w:tcPr>
          <w:p w:rsidR="005955E6" w:rsidRPr="005955E6" w:rsidRDefault="005955E6" w:rsidP="005955E6">
            <w:pPr>
              <w:jc w:val="center"/>
              <w:rPr>
                <w:rFonts w:ascii="Calibri" w:hAnsi="Calibri" w:cs="Arial"/>
                <w:b/>
                <w:bCs/>
                <w:color w:val="000000"/>
                <w:sz w:val="20"/>
              </w:rPr>
            </w:pPr>
            <w:r w:rsidRPr="005955E6">
              <w:rPr>
                <w:rFonts w:ascii="Calibri" w:hAnsi="Calibri" w:cs="Arial"/>
                <w:b/>
                <w:bCs/>
                <w:color w:val="000000"/>
                <w:sz w:val="20"/>
              </w:rPr>
              <w:t>276.5</w:t>
            </w:r>
          </w:p>
        </w:tc>
      </w:tr>
    </w:tbl>
    <w:p w:rsidR="001B540A" w:rsidRDefault="005955E6" w:rsidP="005955E6">
      <w:pPr>
        <w:rPr>
          <w:rFonts w:ascii="Calibri" w:hAnsi="Calibri"/>
          <w:sz w:val="20"/>
        </w:rPr>
      </w:pPr>
      <w:r w:rsidRPr="0020329B">
        <w:rPr>
          <w:rFonts w:ascii="Calibri" w:hAnsi="Calibri"/>
          <w:sz w:val="20"/>
        </w:rPr>
        <w:t>Source: DEDJTR</w:t>
      </w:r>
    </w:p>
    <w:p w:rsidR="001B540A" w:rsidRDefault="001B540A">
      <w:pPr>
        <w:rPr>
          <w:rFonts w:ascii="Calibri" w:hAnsi="Calibri"/>
          <w:sz w:val="20"/>
        </w:rPr>
      </w:pPr>
      <w:r>
        <w:rPr>
          <w:rFonts w:ascii="Calibri" w:hAnsi="Calibri"/>
          <w:sz w:val="20"/>
        </w:rPr>
        <w:br w:type="page"/>
      </w:r>
    </w:p>
    <w:p w:rsidR="005955E6" w:rsidRDefault="005955E6" w:rsidP="00FB68AE">
      <w:pPr>
        <w:pStyle w:val="Heading3"/>
      </w:pPr>
      <w:r>
        <w:lastRenderedPageBreak/>
        <w:t>Graph</w:t>
      </w:r>
      <w:r w:rsidRPr="0020329B">
        <w:t xml:space="preserve"> 5.3 Value of rehabilitation bonds by authority type ($A million) 2013/14</w:t>
      </w:r>
      <w:r>
        <w:t>*</w:t>
      </w:r>
    </w:p>
    <w:p w:rsidR="005955E6" w:rsidRPr="0020329B" w:rsidRDefault="005955E6" w:rsidP="005955E6">
      <w:pPr>
        <w:rPr>
          <w:rFonts w:ascii="Calibri" w:hAnsi="Calibri"/>
          <w:b/>
          <w:sz w:val="20"/>
        </w:rPr>
      </w:pPr>
    </w:p>
    <w:p w:rsidR="005955E6" w:rsidRPr="0020329B" w:rsidRDefault="0016613F" w:rsidP="005955E6">
      <w:pPr>
        <w:rPr>
          <w:rFonts w:ascii="Calibri" w:hAnsi="Calibri"/>
          <w:sz w:val="20"/>
          <w:highlight w:val="yellow"/>
        </w:rPr>
      </w:pPr>
      <w:r>
        <w:rPr>
          <w:noProof/>
        </w:rPr>
        <w:drawing>
          <wp:inline distT="0" distB="0" distL="0" distR="0" wp14:anchorId="72B99D04" wp14:editId="55C99744">
            <wp:extent cx="6492875" cy="2740025"/>
            <wp:effectExtent l="0" t="0" r="22225" b="22225"/>
            <wp:docPr id="13" name="Chart 23" descr="This chart outlines the value of rehabilitation bonds by authority type.&#10;&#10;In the 2006/2007 financial year, 2.8 million dollars were held in relation to exploration licences bonds, 73.7 million dollars in relation to mining licence bonds and 57.5 million dollars were held forwork authority bonds for a total of 134 million dollars held for bonds overall.&#10;&#10;In the 2007/2008 financial year, 3.1 million dollars were held in relation to exploration licences bonds, 75.6 million dollars in relation to mining licence bonds and 58.8 million dollars were held forwork authority bonds for a total of 137.5 million dollars held for bonds overall.&#10;&#10;In the 2008/2009 financial year, 2 million dollars were held in relation to exploration licences bonds, 97.1 million dollars in relation to mining licence bonds and 64.9 million dollars were held forwork authority bonds for a total 164 million dollars held for bonds overall.&#10;&#10;In the 2009/2010 financial year, 2.3 million dollars were held in relation to exploration licences bonds, 103.7 million dollars in relation to mining licence bonds and 72.3 million dollars were held forwork authority bonds for a total of 178.3 million dollars held for bonds overall.&#10;&#10;In the 2010/2011 financial year, 1.9 million dollars were held in relation to exploration licences bonds, 122.1 million dollars in relation to mining licence bonds and 65 million dollars were held forwork authority bonds for a total of 189 million dollars held for bonds overall.&#10;&#10;In the 2011/2012 financial year, 2.5 million dollars were held in relation to exploration licences bonds, 156.9 million dollars in relation to mining licence bonds and 80.9 million dollars were held forwork authority bonds for a total of 240.3 million dollars held for bonds overall.&#10;&#10;In the 2012/2013 financial year, 2.4 million dollars were held in relation to exploration licences bonds, 158.3 million dollars in relation to mining licence bonds, .025 million dollars were held in relation to prospecting licence rehabilitation bonds and 81 million dollars were held forwork authority bonds for a total of 241.7 million dollars held for bonds overall.&#10;&#10;In the 2013/2014 financial year, 2.1 million dollars were held in relation to exploration licences bonds, 183.4 million dollars in relation to mining licence bonds, .091 million dollars were held in relation to prospecting licence rehabilitation bonds and 90.9 million dollars were held forwork authority bonds for a total of 276.5 million dollars held for bonds overall.&#10;" title="Graph 5.3 - Value of rehabilitation bonds by authority type"/>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955E6" w:rsidRDefault="005955E6" w:rsidP="005955E6">
      <w:pPr>
        <w:rPr>
          <w:rFonts w:ascii="Calibri" w:hAnsi="Calibri"/>
          <w:sz w:val="20"/>
        </w:rPr>
      </w:pPr>
      <w:r w:rsidRPr="0020329B">
        <w:rPr>
          <w:rFonts w:ascii="Calibri" w:hAnsi="Calibri"/>
          <w:sz w:val="20"/>
        </w:rPr>
        <w:t>Source: DEDJTR</w:t>
      </w:r>
    </w:p>
    <w:p w:rsidR="005955E6" w:rsidRPr="0020329B" w:rsidRDefault="005955E6" w:rsidP="005955E6">
      <w:pPr>
        <w:rPr>
          <w:rFonts w:ascii="Calibri" w:hAnsi="Calibri"/>
          <w:sz w:val="20"/>
        </w:rPr>
      </w:pPr>
      <w:r>
        <w:rPr>
          <w:rFonts w:ascii="Calibri" w:hAnsi="Calibri"/>
          <w:sz w:val="20"/>
        </w:rPr>
        <w:t>*Prospecting and retention licence bonds not shown.</w:t>
      </w:r>
    </w:p>
    <w:p w:rsidR="005955E6" w:rsidRDefault="005955E6" w:rsidP="005955E6">
      <w:pPr>
        <w:spacing w:after="200" w:line="276" w:lineRule="auto"/>
        <w:rPr>
          <w:rFonts w:ascii="Calibri" w:hAnsi="Calibri"/>
          <w:sz w:val="20"/>
        </w:rPr>
      </w:pPr>
    </w:p>
    <w:p w:rsidR="003C097D" w:rsidRDefault="003C097D" w:rsidP="005955E6">
      <w:pPr>
        <w:spacing w:after="200" w:line="276" w:lineRule="auto"/>
        <w:rPr>
          <w:rFonts w:ascii="Calibri" w:hAnsi="Calibri"/>
          <w:sz w:val="20"/>
        </w:rPr>
      </w:pPr>
    </w:p>
    <w:p w:rsidR="005955E6" w:rsidRPr="0020329B" w:rsidRDefault="005955E6" w:rsidP="00FB68AE">
      <w:pPr>
        <w:pStyle w:val="Heading3"/>
      </w:pPr>
      <w:r w:rsidRPr="0020329B">
        <w:t>Table 5.4 Rehabilitation bond reviews over time</w:t>
      </w:r>
    </w:p>
    <w:p w:rsidR="005955E6" w:rsidRPr="0020329B" w:rsidRDefault="005955E6" w:rsidP="005955E6">
      <w:pPr>
        <w:rPr>
          <w:rFonts w:ascii="Calibri" w:hAnsi="Calibri"/>
          <w:b/>
          <w:sz w:val="20"/>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ayout w:type="fixed"/>
        <w:tblLook w:val="04A0" w:firstRow="1" w:lastRow="0" w:firstColumn="1" w:lastColumn="0" w:noHBand="0" w:noVBand="1"/>
      </w:tblPr>
      <w:tblGrid>
        <w:gridCol w:w="959"/>
        <w:gridCol w:w="1136"/>
        <w:gridCol w:w="2497"/>
        <w:gridCol w:w="2923"/>
        <w:gridCol w:w="2793"/>
      </w:tblGrid>
      <w:tr w:rsidR="00995251" w:rsidRPr="00995251" w:rsidTr="00995251">
        <w:trPr>
          <w:trHeight w:val="240"/>
          <w:tblHeader/>
        </w:trPr>
        <w:tc>
          <w:tcPr>
            <w:tcW w:w="465" w:type="pct"/>
            <w:shd w:val="clear" w:color="auto" w:fill="FFFFFF" w:themeFill="background1"/>
            <w:hideMark/>
          </w:tcPr>
          <w:p w:rsidR="00995251" w:rsidRPr="00995251" w:rsidRDefault="00995251" w:rsidP="00615AA5">
            <w:pPr>
              <w:rPr>
                <w:rFonts w:ascii="Calibri" w:hAnsi="Calibri" w:cs="Arial"/>
                <w:b/>
                <w:bCs/>
                <w:color w:val="000000"/>
                <w:sz w:val="20"/>
              </w:rPr>
            </w:pPr>
            <w:bookmarkStart w:id="96" w:name="ColumnTitle_5_4"/>
            <w:r w:rsidRPr="00995251">
              <w:rPr>
                <w:rFonts w:ascii="Calibri" w:hAnsi="Calibri" w:cs="Arial"/>
                <w:b/>
                <w:bCs/>
                <w:color w:val="000000"/>
                <w:sz w:val="20"/>
              </w:rPr>
              <w:t>Year</w:t>
            </w:r>
          </w:p>
        </w:tc>
        <w:tc>
          <w:tcPr>
            <w:tcW w:w="551" w:type="pct"/>
            <w:shd w:val="clear" w:color="auto" w:fill="FFFFFF" w:themeFill="background1"/>
            <w:vAlign w:val="center"/>
            <w:hideMark/>
          </w:tcPr>
          <w:p w:rsidR="00995251" w:rsidRPr="00995251" w:rsidRDefault="00995251" w:rsidP="002832A8">
            <w:pPr>
              <w:jc w:val="center"/>
              <w:rPr>
                <w:rFonts w:ascii="Calibri" w:hAnsi="Calibri" w:cs="Arial"/>
                <w:b/>
                <w:bCs/>
                <w:color w:val="000000"/>
                <w:sz w:val="20"/>
              </w:rPr>
            </w:pPr>
            <w:r w:rsidRPr="00995251">
              <w:rPr>
                <w:rFonts w:ascii="Calibri" w:hAnsi="Calibri" w:cs="Arial"/>
                <w:b/>
                <w:bCs/>
                <w:color w:val="000000"/>
                <w:sz w:val="20"/>
              </w:rPr>
              <w:t>Number of Bonds Reviewed</w:t>
            </w:r>
          </w:p>
        </w:tc>
        <w:tc>
          <w:tcPr>
            <w:tcW w:w="1211" w:type="pct"/>
            <w:shd w:val="clear" w:color="auto" w:fill="FFFFFF" w:themeFill="background1"/>
            <w:noWrap/>
            <w:vAlign w:val="center"/>
            <w:hideMark/>
          </w:tcPr>
          <w:p w:rsidR="00995251" w:rsidRPr="00995251" w:rsidRDefault="00995251" w:rsidP="005955E6">
            <w:pPr>
              <w:jc w:val="center"/>
              <w:rPr>
                <w:rFonts w:ascii="Calibri" w:hAnsi="Calibri" w:cs="Arial"/>
                <w:b/>
                <w:color w:val="000000"/>
                <w:sz w:val="20"/>
              </w:rPr>
            </w:pPr>
            <w:r w:rsidRPr="00995251">
              <w:rPr>
                <w:rFonts w:ascii="Calibri" w:hAnsi="Calibri" w:cs="Arial"/>
                <w:b/>
                <w:bCs/>
                <w:color w:val="000000"/>
                <w:sz w:val="20"/>
              </w:rPr>
              <w:t>Result of Bond Review:</w:t>
            </w:r>
            <w:r w:rsidRPr="00995251">
              <w:rPr>
                <w:rFonts w:ascii="Calibri" w:hAnsi="Calibri" w:cs="Arial"/>
                <w:b/>
                <w:color w:val="000000"/>
                <w:sz w:val="20"/>
              </w:rPr>
              <w:t xml:space="preserve"> Increase</w:t>
            </w:r>
          </w:p>
        </w:tc>
        <w:tc>
          <w:tcPr>
            <w:tcW w:w="1418" w:type="pct"/>
            <w:shd w:val="clear" w:color="auto" w:fill="FFFFFF" w:themeFill="background1"/>
            <w:noWrap/>
            <w:vAlign w:val="center"/>
            <w:hideMark/>
          </w:tcPr>
          <w:p w:rsidR="00995251" w:rsidRPr="00995251" w:rsidRDefault="00995251" w:rsidP="005955E6">
            <w:pPr>
              <w:jc w:val="center"/>
              <w:rPr>
                <w:rFonts w:ascii="Calibri" w:hAnsi="Calibri" w:cs="Arial"/>
                <w:b/>
                <w:color w:val="000000"/>
                <w:sz w:val="20"/>
              </w:rPr>
            </w:pPr>
            <w:r w:rsidRPr="00995251">
              <w:rPr>
                <w:rFonts w:ascii="Calibri" w:hAnsi="Calibri" w:cs="Arial"/>
                <w:b/>
                <w:bCs/>
                <w:color w:val="000000"/>
                <w:sz w:val="20"/>
              </w:rPr>
              <w:t>Result of Bond Review:</w:t>
            </w:r>
            <w:r w:rsidRPr="00995251">
              <w:rPr>
                <w:rFonts w:ascii="Calibri" w:hAnsi="Calibri" w:cs="Arial"/>
                <w:b/>
                <w:color w:val="000000"/>
                <w:sz w:val="20"/>
              </w:rPr>
              <w:t xml:space="preserve"> </w:t>
            </w:r>
          </w:p>
          <w:p w:rsidR="00995251" w:rsidRPr="00995251" w:rsidRDefault="00995251" w:rsidP="005955E6">
            <w:pPr>
              <w:jc w:val="center"/>
              <w:rPr>
                <w:rFonts w:ascii="Calibri" w:hAnsi="Calibri" w:cs="Arial"/>
                <w:b/>
                <w:color w:val="000000"/>
                <w:sz w:val="20"/>
              </w:rPr>
            </w:pPr>
            <w:r w:rsidRPr="00995251">
              <w:rPr>
                <w:rFonts w:ascii="Calibri" w:hAnsi="Calibri" w:cs="Arial"/>
                <w:b/>
                <w:color w:val="000000"/>
                <w:sz w:val="20"/>
              </w:rPr>
              <w:t>No Change</w:t>
            </w:r>
          </w:p>
        </w:tc>
        <w:tc>
          <w:tcPr>
            <w:tcW w:w="1355" w:type="pct"/>
            <w:shd w:val="clear" w:color="auto" w:fill="FFFFFF" w:themeFill="background1"/>
            <w:noWrap/>
            <w:vAlign w:val="center"/>
            <w:hideMark/>
          </w:tcPr>
          <w:p w:rsidR="00995251" w:rsidRPr="00995251" w:rsidRDefault="00995251" w:rsidP="005955E6">
            <w:pPr>
              <w:jc w:val="center"/>
              <w:rPr>
                <w:rFonts w:ascii="Calibri" w:hAnsi="Calibri" w:cs="Arial"/>
                <w:b/>
                <w:color w:val="000000"/>
                <w:sz w:val="20"/>
              </w:rPr>
            </w:pPr>
            <w:r w:rsidRPr="00995251">
              <w:rPr>
                <w:rFonts w:ascii="Calibri" w:hAnsi="Calibri" w:cs="Arial"/>
                <w:b/>
                <w:bCs/>
                <w:color w:val="000000"/>
                <w:sz w:val="20"/>
              </w:rPr>
              <w:t>Result of Bond Review:</w:t>
            </w:r>
            <w:r w:rsidRPr="00995251">
              <w:rPr>
                <w:rFonts w:ascii="Calibri" w:hAnsi="Calibri" w:cs="Arial"/>
                <w:b/>
                <w:color w:val="000000"/>
                <w:sz w:val="20"/>
              </w:rPr>
              <w:t xml:space="preserve"> Decrease</w:t>
            </w:r>
          </w:p>
        </w:tc>
      </w:tr>
      <w:bookmarkEnd w:id="96"/>
      <w:tr w:rsidR="00995251" w:rsidRPr="0020329B" w:rsidTr="00995251">
        <w:trPr>
          <w:trHeight w:val="240"/>
        </w:trPr>
        <w:tc>
          <w:tcPr>
            <w:tcW w:w="465" w:type="pct"/>
            <w:shd w:val="clear" w:color="auto" w:fill="FFFFFF" w:themeFill="background1"/>
            <w:noWrap/>
            <w:vAlign w:val="center"/>
            <w:hideMark/>
          </w:tcPr>
          <w:p w:rsidR="00995251" w:rsidRPr="005955E6" w:rsidRDefault="00995251" w:rsidP="00615AA5">
            <w:pPr>
              <w:rPr>
                <w:rFonts w:ascii="Calibri" w:hAnsi="Calibri" w:cs="Arial"/>
                <w:color w:val="000000"/>
                <w:sz w:val="20"/>
              </w:rPr>
            </w:pPr>
            <w:r w:rsidRPr="005955E6">
              <w:rPr>
                <w:rFonts w:ascii="Calibri" w:hAnsi="Calibri" w:cs="Arial"/>
                <w:color w:val="000000"/>
                <w:sz w:val="20"/>
              </w:rPr>
              <w:t>2006/07</w:t>
            </w:r>
          </w:p>
        </w:tc>
        <w:tc>
          <w:tcPr>
            <w:tcW w:w="551" w:type="pct"/>
            <w:shd w:val="clear" w:color="auto" w:fill="FFFFFF" w:themeFill="background1"/>
            <w:noWrap/>
            <w:vAlign w:val="center"/>
            <w:hideMark/>
          </w:tcPr>
          <w:p w:rsidR="00995251" w:rsidRPr="005955E6" w:rsidRDefault="00995251" w:rsidP="005955E6">
            <w:pPr>
              <w:jc w:val="center"/>
              <w:rPr>
                <w:rFonts w:ascii="Calibri" w:hAnsi="Calibri" w:cs="Arial"/>
                <w:color w:val="000000"/>
                <w:sz w:val="20"/>
              </w:rPr>
            </w:pPr>
            <w:r w:rsidRPr="005955E6">
              <w:rPr>
                <w:rFonts w:ascii="Calibri" w:hAnsi="Calibri" w:cs="Arial"/>
                <w:color w:val="000000"/>
                <w:sz w:val="20"/>
              </w:rPr>
              <w:t>258</w:t>
            </w:r>
          </w:p>
        </w:tc>
        <w:tc>
          <w:tcPr>
            <w:tcW w:w="1211" w:type="pct"/>
            <w:shd w:val="clear" w:color="auto" w:fill="FFFFFF" w:themeFill="background1"/>
            <w:noWrap/>
            <w:vAlign w:val="center"/>
            <w:hideMark/>
          </w:tcPr>
          <w:p w:rsidR="00995251" w:rsidRPr="005955E6" w:rsidRDefault="00995251" w:rsidP="005955E6">
            <w:pPr>
              <w:jc w:val="center"/>
              <w:rPr>
                <w:rFonts w:ascii="Calibri" w:hAnsi="Calibri" w:cs="Arial"/>
                <w:color w:val="000000"/>
                <w:sz w:val="20"/>
              </w:rPr>
            </w:pPr>
            <w:r w:rsidRPr="005955E6">
              <w:rPr>
                <w:rFonts w:ascii="Calibri" w:hAnsi="Calibri" w:cs="Arial"/>
                <w:color w:val="000000"/>
                <w:sz w:val="20"/>
              </w:rPr>
              <w:t>65</w:t>
            </w:r>
          </w:p>
        </w:tc>
        <w:tc>
          <w:tcPr>
            <w:tcW w:w="1418" w:type="pct"/>
            <w:shd w:val="clear" w:color="auto" w:fill="FFFFFF" w:themeFill="background1"/>
            <w:noWrap/>
            <w:vAlign w:val="center"/>
            <w:hideMark/>
          </w:tcPr>
          <w:p w:rsidR="00995251" w:rsidRPr="005955E6" w:rsidRDefault="00995251" w:rsidP="005955E6">
            <w:pPr>
              <w:jc w:val="center"/>
              <w:rPr>
                <w:rFonts w:ascii="Calibri" w:hAnsi="Calibri" w:cs="Arial"/>
                <w:color w:val="000000"/>
                <w:sz w:val="20"/>
              </w:rPr>
            </w:pPr>
            <w:r w:rsidRPr="005955E6">
              <w:rPr>
                <w:rFonts w:ascii="Calibri" w:hAnsi="Calibri" w:cs="Arial"/>
                <w:color w:val="000000"/>
                <w:sz w:val="20"/>
              </w:rPr>
              <w:t>190</w:t>
            </w:r>
          </w:p>
        </w:tc>
        <w:tc>
          <w:tcPr>
            <w:tcW w:w="1355" w:type="pct"/>
            <w:shd w:val="clear" w:color="auto" w:fill="FFFFFF" w:themeFill="background1"/>
            <w:noWrap/>
            <w:vAlign w:val="center"/>
            <w:hideMark/>
          </w:tcPr>
          <w:p w:rsidR="00995251" w:rsidRPr="005955E6" w:rsidRDefault="00995251" w:rsidP="005955E6">
            <w:pPr>
              <w:jc w:val="center"/>
              <w:rPr>
                <w:rFonts w:ascii="Calibri" w:hAnsi="Calibri" w:cs="Arial"/>
                <w:color w:val="000000"/>
                <w:sz w:val="20"/>
              </w:rPr>
            </w:pPr>
            <w:r w:rsidRPr="005955E6">
              <w:rPr>
                <w:rFonts w:ascii="Calibri" w:hAnsi="Calibri" w:cs="Arial"/>
                <w:color w:val="000000"/>
                <w:sz w:val="20"/>
              </w:rPr>
              <w:t>3</w:t>
            </w:r>
          </w:p>
        </w:tc>
      </w:tr>
      <w:tr w:rsidR="00995251" w:rsidRPr="0020329B" w:rsidTr="00995251">
        <w:trPr>
          <w:trHeight w:val="240"/>
        </w:trPr>
        <w:tc>
          <w:tcPr>
            <w:tcW w:w="465" w:type="pct"/>
            <w:shd w:val="clear" w:color="auto" w:fill="FFFFFF" w:themeFill="background1"/>
            <w:noWrap/>
            <w:vAlign w:val="center"/>
            <w:hideMark/>
          </w:tcPr>
          <w:p w:rsidR="00995251" w:rsidRPr="005955E6" w:rsidRDefault="00995251" w:rsidP="00615AA5">
            <w:pPr>
              <w:rPr>
                <w:rFonts w:ascii="Calibri" w:hAnsi="Calibri" w:cs="Arial"/>
                <w:color w:val="000000"/>
                <w:sz w:val="20"/>
              </w:rPr>
            </w:pPr>
            <w:r w:rsidRPr="005955E6">
              <w:rPr>
                <w:rFonts w:ascii="Calibri" w:hAnsi="Calibri" w:cs="Arial"/>
                <w:color w:val="000000"/>
                <w:sz w:val="20"/>
              </w:rPr>
              <w:t>2007/08</w:t>
            </w:r>
          </w:p>
        </w:tc>
        <w:tc>
          <w:tcPr>
            <w:tcW w:w="551" w:type="pct"/>
            <w:shd w:val="clear" w:color="auto" w:fill="FFFFFF" w:themeFill="background1"/>
            <w:noWrap/>
            <w:vAlign w:val="center"/>
            <w:hideMark/>
          </w:tcPr>
          <w:p w:rsidR="00995251" w:rsidRPr="005955E6" w:rsidRDefault="00995251" w:rsidP="005955E6">
            <w:pPr>
              <w:jc w:val="center"/>
              <w:rPr>
                <w:rFonts w:ascii="Calibri" w:hAnsi="Calibri" w:cs="Arial"/>
                <w:color w:val="000000"/>
                <w:sz w:val="20"/>
              </w:rPr>
            </w:pPr>
            <w:r w:rsidRPr="005955E6">
              <w:rPr>
                <w:rFonts w:ascii="Calibri" w:hAnsi="Calibri" w:cs="Arial"/>
                <w:color w:val="000000"/>
                <w:sz w:val="20"/>
              </w:rPr>
              <w:t>402</w:t>
            </w:r>
          </w:p>
        </w:tc>
        <w:tc>
          <w:tcPr>
            <w:tcW w:w="1211" w:type="pct"/>
            <w:shd w:val="clear" w:color="auto" w:fill="FFFFFF" w:themeFill="background1"/>
            <w:noWrap/>
            <w:vAlign w:val="center"/>
            <w:hideMark/>
          </w:tcPr>
          <w:p w:rsidR="00995251" w:rsidRPr="005955E6" w:rsidRDefault="00995251" w:rsidP="005955E6">
            <w:pPr>
              <w:jc w:val="center"/>
              <w:rPr>
                <w:rFonts w:ascii="Calibri" w:hAnsi="Calibri" w:cs="Arial"/>
                <w:color w:val="000000"/>
                <w:sz w:val="20"/>
              </w:rPr>
            </w:pPr>
            <w:r w:rsidRPr="005955E6">
              <w:rPr>
                <w:rFonts w:ascii="Calibri" w:hAnsi="Calibri" w:cs="Arial"/>
                <w:color w:val="000000"/>
                <w:sz w:val="20"/>
              </w:rPr>
              <w:t>58</w:t>
            </w:r>
          </w:p>
        </w:tc>
        <w:tc>
          <w:tcPr>
            <w:tcW w:w="1418" w:type="pct"/>
            <w:shd w:val="clear" w:color="auto" w:fill="FFFFFF" w:themeFill="background1"/>
            <w:noWrap/>
            <w:vAlign w:val="center"/>
            <w:hideMark/>
          </w:tcPr>
          <w:p w:rsidR="00995251" w:rsidRPr="005955E6" w:rsidRDefault="00995251" w:rsidP="005955E6">
            <w:pPr>
              <w:jc w:val="center"/>
              <w:rPr>
                <w:rFonts w:ascii="Calibri" w:hAnsi="Calibri" w:cs="Arial"/>
                <w:color w:val="000000"/>
                <w:sz w:val="20"/>
              </w:rPr>
            </w:pPr>
            <w:r w:rsidRPr="005955E6">
              <w:rPr>
                <w:rFonts w:ascii="Calibri" w:hAnsi="Calibri" w:cs="Arial"/>
                <w:color w:val="000000"/>
                <w:sz w:val="20"/>
              </w:rPr>
              <w:t>335</w:t>
            </w:r>
          </w:p>
        </w:tc>
        <w:tc>
          <w:tcPr>
            <w:tcW w:w="1355" w:type="pct"/>
            <w:shd w:val="clear" w:color="auto" w:fill="FFFFFF" w:themeFill="background1"/>
            <w:noWrap/>
            <w:vAlign w:val="center"/>
            <w:hideMark/>
          </w:tcPr>
          <w:p w:rsidR="00995251" w:rsidRPr="005955E6" w:rsidRDefault="00995251" w:rsidP="005955E6">
            <w:pPr>
              <w:jc w:val="center"/>
              <w:rPr>
                <w:rFonts w:ascii="Calibri" w:hAnsi="Calibri" w:cs="Arial"/>
                <w:color w:val="000000"/>
                <w:sz w:val="20"/>
              </w:rPr>
            </w:pPr>
            <w:r w:rsidRPr="005955E6">
              <w:rPr>
                <w:rFonts w:ascii="Calibri" w:hAnsi="Calibri" w:cs="Arial"/>
                <w:color w:val="000000"/>
                <w:sz w:val="20"/>
              </w:rPr>
              <w:t>9</w:t>
            </w:r>
          </w:p>
        </w:tc>
      </w:tr>
      <w:tr w:rsidR="00995251" w:rsidRPr="0020329B" w:rsidTr="00995251">
        <w:trPr>
          <w:trHeight w:val="240"/>
        </w:trPr>
        <w:tc>
          <w:tcPr>
            <w:tcW w:w="465" w:type="pct"/>
            <w:shd w:val="clear" w:color="auto" w:fill="FFFFFF" w:themeFill="background1"/>
            <w:noWrap/>
            <w:vAlign w:val="center"/>
            <w:hideMark/>
          </w:tcPr>
          <w:p w:rsidR="00995251" w:rsidRPr="005955E6" w:rsidRDefault="00995251" w:rsidP="00615AA5">
            <w:pPr>
              <w:rPr>
                <w:rFonts w:ascii="Calibri" w:hAnsi="Calibri" w:cs="Arial"/>
                <w:color w:val="000000"/>
                <w:sz w:val="20"/>
              </w:rPr>
            </w:pPr>
            <w:r w:rsidRPr="005955E6">
              <w:rPr>
                <w:rFonts w:ascii="Calibri" w:hAnsi="Calibri" w:cs="Arial"/>
                <w:color w:val="000000"/>
                <w:sz w:val="20"/>
              </w:rPr>
              <w:t>2008/09</w:t>
            </w:r>
          </w:p>
        </w:tc>
        <w:tc>
          <w:tcPr>
            <w:tcW w:w="551" w:type="pct"/>
            <w:shd w:val="clear" w:color="auto" w:fill="FFFFFF" w:themeFill="background1"/>
            <w:noWrap/>
            <w:vAlign w:val="center"/>
            <w:hideMark/>
          </w:tcPr>
          <w:p w:rsidR="00995251" w:rsidRPr="005955E6" w:rsidRDefault="00995251" w:rsidP="005955E6">
            <w:pPr>
              <w:jc w:val="center"/>
              <w:rPr>
                <w:rFonts w:ascii="Calibri" w:hAnsi="Calibri" w:cs="Arial"/>
                <w:color w:val="000000"/>
                <w:sz w:val="20"/>
              </w:rPr>
            </w:pPr>
            <w:r w:rsidRPr="005955E6">
              <w:rPr>
                <w:rFonts w:ascii="Calibri" w:hAnsi="Calibri" w:cs="Arial"/>
                <w:color w:val="000000"/>
                <w:sz w:val="20"/>
              </w:rPr>
              <w:t>382</w:t>
            </w:r>
          </w:p>
        </w:tc>
        <w:tc>
          <w:tcPr>
            <w:tcW w:w="1211" w:type="pct"/>
            <w:shd w:val="clear" w:color="auto" w:fill="FFFFFF" w:themeFill="background1"/>
            <w:noWrap/>
            <w:vAlign w:val="center"/>
            <w:hideMark/>
          </w:tcPr>
          <w:p w:rsidR="00995251" w:rsidRPr="005955E6" w:rsidRDefault="00995251" w:rsidP="005955E6">
            <w:pPr>
              <w:jc w:val="center"/>
              <w:rPr>
                <w:rFonts w:ascii="Calibri" w:hAnsi="Calibri" w:cs="Arial"/>
                <w:color w:val="000000"/>
                <w:sz w:val="20"/>
              </w:rPr>
            </w:pPr>
            <w:r w:rsidRPr="005955E6">
              <w:rPr>
                <w:rFonts w:ascii="Calibri" w:hAnsi="Calibri" w:cs="Arial"/>
                <w:color w:val="000000"/>
                <w:sz w:val="20"/>
              </w:rPr>
              <w:t>49</w:t>
            </w:r>
          </w:p>
        </w:tc>
        <w:tc>
          <w:tcPr>
            <w:tcW w:w="1418" w:type="pct"/>
            <w:shd w:val="clear" w:color="auto" w:fill="FFFFFF" w:themeFill="background1"/>
            <w:noWrap/>
            <w:vAlign w:val="center"/>
            <w:hideMark/>
          </w:tcPr>
          <w:p w:rsidR="00995251" w:rsidRPr="005955E6" w:rsidRDefault="00995251" w:rsidP="005955E6">
            <w:pPr>
              <w:jc w:val="center"/>
              <w:rPr>
                <w:rFonts w:ascii="Calibri" w:hAnsi="Calibri" w:cs="Arial"/>
                <w:color w:val="000000"/>
                <w:sz w:val="20"/>
              </w:rPr>
            </w:pPr>
            <w:r w:rsidRPr="005955E6">
              <w:rPr>
                <w:rFonts w:ascii="Calibri" w:hAnsi="Calibri" w:cs="Arial"/>
                <w:color w:val="000000"/>
                <w:sz w:val="20"/>
              </w:rPr>
              <w:t>323</w:t>
            </w:r>
          </w:p>
        </w:tc>
        <w:tc>
          <w:tcPr>
            <w:tcW w:w="1355" w:type="pct"/>
            <w:shd w:val="clear" w:color="auto" w:fill="FFFFFF" w:themeFill="background1"/>
            <w:noWrap/>
            <w:vAlign w:val="center"/>
            <w:hideMark/>
          </w:tcPr>
          <w:p w:rsidR="00995251" w:rsidRPr="005955E6" w:rsidRDefault="00995251" w:rsidP="005955E6">
            <w:pPr>
              <w:jc w:val="center"/>
              <w:rPr>
                <w:rFonts w:ascii="Calibri" w:hAnsi="Calibri" w:cs="Arial"/>
                <w:color w:val="000000"/>
                <w:sz w:val="20"/>
              </w:rPr>
            </w:pPr>
            <w:r w:rsidRPr="005955E6">
              <w:rPr>
                <w:rFonts w:ascii="Calibri" w:hAnsi="Calibri" w:cs="Arial"/>
                <w:color w:val="000000"/>
                <w:sz w:val="20"/>
              </w:rPr>
              <w:t>10</w:t>
            </w:r>
          </w:p>
        </w:tc>
      </w:tr>
      <w:tr w:rsidR="00995251" w:rsidRPr="0020329B" w:rsidTr="00995251">
        <w:trPr>
          <w:trHeight w:val="240"/>
        </w:trPr>
        <w:tc>
          <w:tcPr>
            <w:tcW w:w="465" w:type="pct"/>
            <w:shd w:val="clear" w:color="auto" w:fill="FFFFFF" w:themeFill="background1"/>
            <w:noWrap/>
            <w:vAlign w:val="center"/>
            <w:hideMark/>
          </w:tcPr>
          <w:p w:rsidR="00995251" w:rsidRPr="005955E6" w:rsidRDefault="00995251" w:rsidP="00615AA5">
            <w:pPr>
              <w:rPr>
                <w:rFonts w:ascii="Calibri" w:hAnsi="Calibri" w:cs="Arial"/>
                <w:color w:val="000000"/>
                <w:sz w:val="20"/>
              </w:rPr>
            </w:pPr>
            <w:r w:rsidRPr="005955E6">
              <w:rPr>
                <w:rFonts w:ascii="Calibri" w:hAnsi="Calibri" w:cs="Arial"/>
                <w:color w:val="000000"/>
                <w:sz w:val="20"/>
              </w:rPr>
              <w:t>2009/10</w:t>
            </w:r>
          </w:p>
        </w:tc>
        <w:tc>
          <w:tcPr>
            <w:tcW w:w="551" w:type="pct"/>
            <w:shd w:val="clear" w:color="auto" w:fill="FFFFFF" w:themeFill="background1"/>
            <w:noWrap/>
            <w:vAlign w:val="center"/>
            <w:hideMark/>
          </w:tcPr>
          <w:p w:rsidR="00995251" w:rsidRPr="005955E6" w:rsidRDefault="00995251" w:rsidP="005955E6">
            <w:pPr>
              <w:jc w:val="center"/>
              <w:rPr>
                <w:rFonts w:ascii="Calibri" w:hAnsi="Calibri" w:cs="Arial"/>
                <w:color w:val="000000"/>
                <w:sz w:val="20"/>
              </w:rPr>
            </w:pPr>
            <w:r w:rsidRPr="005955E6">
              <w:rPr>
                <w:rFonts w:ascii="Calibri" w:hAnsi="Calibri" w:cs="Arial"/>
                <w:color w:val="000000"/>
                <w:sz w:val="20"/>
              </w:rPr>
              <w:t>413</w:t>
            </w:r>
          </w:p>
        </w:tc>
        <w:tc>
          <w:tcPr>
            <w:tcW w:w="1211" w:type="pct"/>
            <w:shd w:val="clear" w:color="auto" w:fill="FFFFFF" w:themeFill="background1"/>
            <w:noWrap/>
            <w:vAlign w:val="center"/>
            <w:hideMark/>
          </w:tcPr>
          <w:p w:rsidR="00995251" w:rsidRPr="005955E6" w:rsidRDefault="00995251" w:rsidP="005955E6">
            <w:pPr>
              <w:jc w:val="center"/>
              <w:rPr>
                <w:rFonts w:ascii="Calibri" w:hAnsi="Calibri" w:cs="Arial"/>
                <w:color w:val="000000"/>
                <w:sz w:val="20"/>
              </w:rPr>
            </w:pPr>
            <w:r w:rsidRPr="005955E6">
              <w:rPr>
                <w:rFonts w:ascii="Calibri" w:hAnsi="Calibri" w:cs="Arial"/>
                <w:color w:val="000000"/>
                <w:sz w:val="20"/>
              </w:rPr>
              <w:t>55</w:t>
            </w:r>
          </w:p>
        </w:tc>
        <w:tc>
          <w:tcPr>
            <w:tcW w:w="1418" w:type="pct"/>
            <w:shd w:val="clear" w:color="auto" w:fill="FFFFFF" w:themeFill="background1"/>
            <w:noWrap/>
            <w:vAlign w:val="center"/>
            <w:hideMark/>
          </w:tcPr>
          <w:p w:rsidR="00995251" w:rsidRPr="005955E6" w:rsidRDefault="00995251" w:rsidP="005955E6">
            <w:pPr>
              <w:jc w:val="center"/>
              <w:rPr>
                <w:rFonts w:ascii="Calibri" w:hAnsi="Calibri" w:cs="Arial"/>
                <w:color w:val="000000"/>
                <w:sz w:val="20"/>
              </w:rPr>
            </w:pPr>
            <w:r w:rsidRPr="005955E6">
              <w:rPr>
                <w:rFonts w:ascii="Calibri" w:hAnsi="Calibri" w:cs="Arial"/>
                <w:color w:val="000000"/>
                <w:sz w:val="20"/>
              </w:rPr>
              <w:t>344</w:t>
            </w:r>
          </w:p>
        </w:tc>
        <w:tc>
          <w:tcPr>
            <w:tcW w:w="1355" w:type="pct"/>
            <w:shd w:val="clear" w:color="auto" w:fill="FFFFFF" w:themeFill="background1"/>
            <w:noWrap/>
            <w:vAlign w:val="center"/>
            <w:hideMark/>
          </w:tcPr>
          <w:p w:rsidR="00995251" w:rsidRPr="005955E6" w:rsidRDefault="00995251" w:rsidP="005955E6">
            <w:pPr>
              <w:jc w:val="center"/>
              <w:rPr>
                <w:rFonts w:ascii="Calibri" w:hAnsi="Calibri" w:cs="Arial"/>
                <w:color w:val="000000"/>
                <w:sz w:val="20"/>
              </w:rPr>
            </w:pPr>
            <w:r w:rsidRPr="005955E6">
              <w:rPr>
                <w:rFonts w:ascii="Calibri" w:hAnsi="Calibri" w:cs="Arial"/>
                <w:color w:val="000000"/>
                <w:sz w:val="20"/>
              </w:rPr>
              <w:t>14</w:t>
            </w:r>
          </w:p>
        </w:tc>
      </w:tr>
      <w:tr w:rsidR="00995251" w:rsidRPr="0020329B" w:rsidTr="00995251">
        <w:trPr>
          <w:trHeight w:val="240"/>
        </w:trPr>
        <w:tc>
          <w:tcPr>
            <w:tcW w:w="465" w:type="pct"/>
            <w:shd w:val="clear" w:color="auto" w:fill="FFFFFF" w:themeFill="background1"/>
            <w:noWrap/>
            <w:vAlign w:val="center"/>
            <w:hideMark/>
          </w:tcPr>
          <w:p w:rsidR="00995251" w:rsidRPr="005955E6" w:rsidRDefault="00995251" w:rsidP="00615AA5">
            <w:pPr>
              <w:rPr>
                <w:rFonts w:ascii="Calibri" w:hAnsi="Calibri" w:cs="Arial"/>
                <w:color w:val="000000"/>
                <w:sz w:val="20"/>
              </w:rPr>
            </w:pPr>
            <w:r w:rsidRPr="005955E6">
              <w:rPr>
                <w:rFonts w:ascii="Calibri" w:hAnsi="Calibri" w:cs="Arial"/>
                <w:color w:val="000000"/>
                <w:sz w:val="20"/>
              </w:rPr>
              <w:t>2010/11</w:t>
            </w:r>
          </w:p>
        </w:tc>
        <w:tc>
          <w:tcPr>
            <w:tcW w:w="551" w:type="pct"/>
            <w:shd w:val="clear" w:color="auto" w:fill="FFFFFF" w:themeFill="background1"/>
            <w:noWrap/>
            <w:vAlign w:val="center"/>
            <w:hideMark/>
          </w:tcPr>
          <w:p w:rsidR="00995251" w:rsidRPr="005955E6" w:rsidRDefault="00995251" w:rsidP="005955E6">
            <w:pPr>
              <w:jc w:val="center"/>
              <w:rPr>
                <w:rFonts w:ascii="Calibri" w:hAnsi="Calibri" w:cs="Arial"/>
                <w:bCs/>
                <w:color w:val="000000"/>
                <w:sz w:val="20"/>
              </w:rPr>
            </w:pPr>
            <w:r w:rsidRPr="005955E6">
              <w:rPr>
                <w:rFonts w:ascii="Calibri" w:hAnsi="Calibri" w:cs="Arial"/>
                <w:bCs/>
                <w:color w:val="000000"/>
                <w:sz w:val="20"/>
              </w:rPr>
              <w:t>185</w:t>
            </w:r>
          </w:p>
        </w:tc>
        <w:tc>
          <w:tcPr>
            <w:tcW w:w="1211" w:type="pct"/>
            <w:shd w:val="clear" w:color="auto" w:fill="FFFFFF" w:themeFill="background1"/>
            <w:noWrap/>
            <w:vAlign w:val="center"/>
            <w:hideMark/>
          </w:tcPr>
          <w:p w:rsidR="00995251" w:rsidRPr="005955E6" w:rsidRDefault="00995251" w:rsidP="005955E6">
            <w:pPr>
              <w:jc w:val="center"/>
              <w:rPr>
                <w:rFonts w:ascii="Calibri" w:hAnsi="Calibri" w:cs="Arial"/>
                <w:bCs/>
                <w:color w:val="000000"/>
                <w:sz w:val="20"/>
              </w:rPr>
            </w:pPr>
            <w:r w:rsidRPr="005955E6">
              <w:rPr>
                <w:rFonts w:ascii="Calibri" w:hAnsi="Calibri" w:cs="Arial"/>
                <w:bCs/>
                <w:color w:val="000000"/>
                <w:sz w:val="20"/>
              </w:rPr>
              <w:t>15</w:t>
            </w:r>
          </w:p>
        </w:tc>
        <w:tc>
          <w:tcPr>
            <w:tcW w:w="1418" w:type="pct"/>
            <w:shd w:val="clear" w:color="auto" w:fill="FFFFFF" w:themeFill="background1"/>
            <w:noWrap/>
            <w:vAlign w:val="center"/>
            <w:hideMark/>
          </w:tcPr>
          <w:p w:rsidR="00995251" w:rsidRPr="005955E6" w:rsidRDefault="00995251" w:rsidP="005955E6">
            <w:pPr>
              <w:jc w:val="center"/>
              <w:rPr>
                <w:rFonts w:ascii="Calibri" w:hAnsi="Calibri" w:cs="Arial"/>
                <w:bCs/>
                <w:color w:val="000000"/>
                <w:sz w:val="20"/>
              </w:rPr>
            </w:pPr>
            <w:r w:rsidRPr="005955E6">
              <w:rPr>
                <w:rFonts w:ascii="Calibri" w:hAnsi="Calibri" w:cs="Arial"/>
                <w:bCs/>
                <w:color w:val="000000"/>
                <w:sz w:val="20"/>
              </w:rPr>
              <w:t>166</w:t>
            </w:r>
          </w:p>
        </w:tc>
        <w:tc>
          <w:tcPr>
            <w:tcW w:w="1355" w:type="pct"/>
            <w:shd w:val="clear" w:color="auto" w:fill="FFFFFF" w:themeFill="background1"/>
            <w:noWrap/>
            <w:vAlign w:val="center"/>
            <w:hideMark/>
          </w:tcPr>
          <w:p w:rsidR="00995251" w:rsidRPr="005955E6" w:rsidRDefault="00995251" w:rsidP="005955E6">
            <w:pPr>
              <w:jc w:val="center"/>
              <w:rPr>
                <w:rFonts w:ascii="Calibri" w:hAnsi="Calibri" w:cs="Arial"/>
                <w:bCs/>
                <w:color w:val="000000"/>
                <w:sz w:val="20"/>
              </w:rPr>
            </w:pPr>
            <w:r w:rsidRPr="005955E6">
              <w:rPr>
                <w:rFonts w:ascii="Calibri" w:hAnsi="Calibri" w:cs="Arial"/>
                <w:bCs/>
                <w:color w:val="000000"/>
                <w:sz w:val="20"/>
              </w:rPr>
              <w:t>4</w:t>
            </w:r>
          </w:p>
        </w:tc>
      </w:tr>
      <w:tr w:rsidR="00995251" w:rsidRPr="0020329B" w:rsidTr="00995251">
        <w:trPr>
          <w:trHeight w:val="240"/>
        </w:trPr>
        <w:tc>
          <w:tcPr>
            <w:tcW w:w="465" w:type="pct"/>
            <w:shd w:val="clear" w:color="auto" w:fill="FFFFFF" w:themeFill="background1"/>
            <w:noWrap/>
            <w:vAlign w:val="center"/>
            <w:hideMark/>
          </w:tcPr>
          <w:p w:rsidR="00995251" w:rsidRPr="005955E6" w:rsidRDefault="00995251" w:rsidP="00615AA5">
            <w:pPr>
              <w:rPr>
                <w:rFonts w:ascii="Calibri" w:hAnsi="Calibri" w:cs="Arial"/>
                <w:color w:val="000000"/>
                <w:sz w:val="20"/>
              </w:rPr>
            </w:pPr>
            <w:r w:rsidRPr="005955E6">
              <w:rPr>
                <w:rFonts w:ascii="Calibri" w:hAnsi="Calibri" w:cs="Arial"/>
                <w:color w:val="000000"/>
                <w:sz w:val="20"/>
              </w:rPr>
              <w:t>2011/12</w:t>
            </w:r>
          </w:p>
        </w:tc>
        <w:tc>
          <w:tcPr>
            <w:tcW w:w="551" w:type="pct"/>
            <w:shd w:val="clear" w:color="auto" w:fill="FFFFFF" w:themeFill="background1"/>
            <w:noWrap/>
            <w:vAlign w:val="center"/>
            <w:hideMark/>
          </w:tcPr>
          <w:p w:rsidR="00995251" w:rsidRPr="005955E6" w:rsidRDefault="00995251" w:rsidP="005955E6">
            <w:pPr>
              <w:jc w:val="center"/>
              <w:rPr>
                <w:rFonts w:ascii="Calibri" w:hAnsi="Calibri" w:cs="Arial"/>
                <w:bCs/>
                <w:color w:val="000000"/>
                <w:sz w:val="20"/>
              </w:rPr>
            </w:pPr>
            <w:r w:rsidRPr="005955E6">
              <w:rPr>
                <w:rFonts w:ascii="Calibri" w:hAnsi="Calibri" w:cs="Arial"/>
                <w:bCs/>
                <w:color w:val="000000"/>
                <w:sz w:val="20"/>
              </w:rPr>
              <w:t>216</w:t>
            </w:r>
          </w:p>
        </w:tc>
        <w:tc>
          <w:tcPr>
            <w:tcW w:w="1211" w:type="pct"/>
            <w:shd w:val="clear" w:color="auto" w:fill="FFFFFF" w:themeFill="background1"/>
            <w:noWrap/>
            <w:vAlign w:val="center"/>
            <w:hideMark/>
          </w:tcPr>
          <w:p w:rsidR="00995251" w:rsidRPr="005955E6" w:rsidRDefault="00995251" w:rsidP="005955E6">
            <w:pPr>
              <w:jc w:val="center"/>
              <w:rPr>
                <w:rFonts w:ascii="Calibri" w:hAnsi="Calibri" w:cs="Arial"/>
                <w:bCs/>
                <w:color w:val="000000"/>
                <w:sz w:val="20"/>
              </w:rPr>
            </w:pPr>
            <w:r w:rsidRPr="005955E6">
              <w:rPr>
                <w:rFonts w:ascii="Calibri" w:hAnsi="Calibri" w:cs="Arial"/>
                <w:bCs/>
                <w:color w:val="000000"/>
                <w:sz w:val="20"/>
              </w:rPr>
              <w:t>19</w:t>
            </w:r>
          </w:p>
        </w:tc>
        <w:tc>
          <w:tcPr>
            <w:tcW w:w="1418" w:type="pct"/>
            <w:shd w:val="clear" w:color="auto" w:fill="FFFFFF" w:themeFill="background1"/>
            <w:noWrap/>
            <w:vAlign w:val="center"/>
            <w:hideMark/>
          </w:tcPr>
          <w:p w:rsidR="00995251" w:rsidRPr="005955E6" w:rsidRDefault="00995251" w:rsidP="005955E6">
            <w:pPr>
              <w:jc w:val="center"/>
              <w:rPr>
                <w:rFonts w:ascii="Calibri" w:hAnsi="Calibri" w:cs="Arial"/>
                <w:bCs/>
                <w:color w:val="000000"/>
                <w:sz w:val="20"/>
              </w:rPr>
            </w:pPr>
            <w:r w:rsidRPr="005955E6">
              <w:rPr>
                <w:rFonts w:ascii="Calibri" w:hAnsi="Calibri" w:cs="Arial"/>
                <w:bCs/>
                <w:color w:val="000000"/>
                <w:sz w:val="20"/>
              </w:rPr>
              <w:t>193</w:t>
            </w:r>
          </w:p>
        </w:tc>
        <w:tc>
          <w:tcPr>
            <w:tcW w:w="1355" w:type="pct"/>
            <w:shd w:val="clear" w:color="auto" w:fill="FFFFFF" w:themeFill="background1"/>
            <w:noWrap/>
            <w:vAlign w:val="center"/>
            <w:hideMark/>
          </w:tcPr>
          <w:p w:rsidR="00995251" w:rsidRPr="005955E6" w:rsidRDefault="00995251" w:rsidP="005955E6">
            <w:pPr>
              <w:jc w:val="center"/>
              <w:rPr>
                <w:rFonts w:ascii="Calibri" w:hAnsi="Calibri" w:cs="Arial"/>
                <w:bCs/>
                <w:color w:val="000000"/>
                <w:sz w:val="20"/>
              </w:rPr>
            </w:pPr>
            <w:r w:rsidRPr="005955E6">
              <w:rPr>
                <w:rFonts w:ascii="Calibri" w:hAnsi="Calibri" w:cs="Arial"/>
                <w:bCs/>
                <w:color w:val="000000"/>
                <w:sz w:val="20"/>
              </w:rPr>
              <w:t>4</w:t>
            </w:r>
          </w:p>
        </w:tc>
      </w:tr>
      <w:tr w:rsidR="00995251" w:rsidRPr="0020329B" w:rsidTr="00995251">
        <w:trPr>
          <w:trHeight w:val="240"/>
        </w:trPr>
        <w:tc>
          <w:tcPr>
            <w:tcW w:w="465" w:type="pct"/>
            <w:shd w:val="clear" w:color="auto" w:fill="FFFFFF" w:themeFill="background1"/>
            <w:noWrap/>
            <w:vAlign w:val="center"/>
            <w:hideMark/>
          </w:tcPr>
          <w:p w:rsidR="00995251" w:rsidRPr="005955E6" w:rsidRDefault="00995251" w:rsidP="00615AA5">
            <w:pPr>
              <w:rPr>
                <w:rFonts w:ascii="Calibri" w:hAnsi="Calibri" w:cs="Arial"/>
                <w:color w:val="000000"/>
                <w:sz w:val="20"/>
              </w:rPr>
            </w:pPr>
            <w:r w:rsidRPr="005955E6">
              <w:rPr>
                <w:rFonts w:ascii="Calibri" w:hAnsi="Calibri" w:cs="Arial"/>
                <w:color w:val="000000"/>
                <w:sz w:val="20"/>
              </w:rPr>
              <w:t>2012/13</w:t>
            </w:r>
          </w:p>
        </w:tc>
        <w:tc>
          <w:tcPr>
            <w:tcW w:w="551" w:type="pct"/>
            <w:shd w:val="clear" w:color="auto" w:fill="FFFFFF" w:themeFill="background1"/>
            <w:noWrap/>
            <w:vAlign w:val="center"/>
            <w:hideMark/>
          </w:tcPr>
          <w:p w:rsidR="00995251" w:rsidRPr="005955E6" w:rsidRDefault="00995251" w:rsidP="005955E6">
            <w:pPr>
              <w:jc w:val="center"/>
              <w:rPr>
                <w:rFonts w:ascii="Calibri" w:hAnsi="Calibri" w:cs="Arial"/>
                <w:bCs/>
                <w:color w:val="000000"/>
                <w:sz w:val="20"/>
              </w:rPr>
            </w:pPr>
            <w:r w:rsidRPr="005955E6">
              <w:rPr>
                <w:rFonts w:ascii="Calibri" w:hAnsi="Calibri" w:cs="Arial"/>
                <w:bCs/>
                <w:color w:val="000000"/>
                <w:sz w:val="20"/>
              </w:rPr>
              <w:t>258</w:t>
            </w:r>
          </w:p>
        </w:tc>
        <w:tc>
          <w:tcPr>
            <w:tcW w:w="1211" w:type="pct"/>
            <w:shd w:val="clear" w:color="auto" w:fill="FFFFFF" w:themeFill="background1"/>
            <w:noWrap/>
            <w:vAlign w:val="center"/>
            <w:hideMark/>
          </w:tcPr>
          <w:p w:rsidR="00995251" w:rsidRPr="005955E6" w:rsidRDefault="00995251" w:rsidP="005955E6">
            <w:pPr>
              <w:jc w:val="center"/>
              <w:rPr>
                <w:rFonts w:ascii="Calibri" w:hAnsi="Calibri" w:cs="Arial"/>
                <w:bCs/>
                <w:color w:val="000000"/>
                <w:sz w:val="20"/>
              </w:rPr>
            </w:pPr>
            <w:r w:rsidRPr="005955E6">
              <w:rPr>
                <w:rFonts w:ascii="Calibri" w:hAnsi="Calibri" w:cs="Arial"/>
                <w:bCs/>
                <w:color w:val="000000"/>
                <w:sz w:val="20"/>
              </w:rPr>
              <w:t>37</w:t>
            </w:r>
          </w:p>
        </w:tc>
        <w:tc>
          <w:tcPr>
            <w:tcW w:w="1418" w:type="pct"/>
            <w:shd w:val="clear" w:color="auto" w:fill="FFFFFF" w:themeFill="background1"/>
            <w:noWrap/>
            <w:vAlign w:val="center"/>
            <w:hideMark/>
          </w:tcPr>
          <w:p w:rsidR="00995251" w:rsidRPr="005955E6" w:rsidRDefault="00995251" w:rsidP="005955E6">
            <w:pPr>
              <w:jc w:val="center"/>
              <w:rPr>
                <w:rFonts w:ascii="Calibri" w:hAnsi="Calibri" w:cs="Arial"/>
                <w:bCs/>
                <w:color w:val="000000"/>
                <w:sz w:val="20"/>
              </w:rPr>
            </w:pPr>
            <w:r w:rsidRPr="005955E6">
              <w:rPr>
                <w:rFonts w:ascii="Calibri" w:hAnsi="Calibri" w:cs="Arial"/>
                <w:bCs/>
                <w:color w:val="000000"/>
                <w:sz w:val="20"/>
              </w:rPr>
              <w:t>220</w:t>
            </w:r>
          </w:p>
        </w:tc>
        <w:tc>
          <w:tcPr>
            <w:tcW w:w="1355" w:type="pct"/>
            <w:shd w:val="clear" w:color="auto" w:fill="FFFFFF" w:themeFill="background1"/>
            <w:noWrap/>
            <w:vAlign w:val="center"/>
            <w:hideMark/>
          </w:tcPr>
          <w:p w:rsidR="00995251" w:rsidRPr="005955E6" w:rsidRDefault="00995251" w:rsidP="005955E6">
            <w:pPr>
              <w:jc w:val="center"/>
              <w:rPr>
                <w:rFonts w:ascii="Calibri" w:hAnsi="Calibri" w:cs="Arial"/>
                <w:bCs/>
                <w:color w:val="000000"/>
                <w:sz w:val="20"/>
              </w:rPr>
            </w:pPr>
            <w:r w:rsidRPr="005955E6">
              <w:rPr>
                <w:rFonts w:ascii="Calibri" w:hAnsi="Calibri" w:cs="Arial"/>
                <w:bCs/>
                <w:color w:val="000000"/>
                <w:sz w:val="20"/>
              </w:rPr>
              <w:t>1</w:t>
            </w:r>
          </w:p>
        </w:tc>
      </w:tr>
      <w:tr w:rsidR="00995251" w:rsidRPr="0020329B" w:rsidTr="00995251">
        <w:trPr>
          <w:trHeight w:val="240"/>
        </w:trPr>
        <w:tc>
          <w:tcPr>
            <w:tcW w:w="465" w:type="pct"/>
            <w:shd w:val="clear" w:color="auto" w:fill="FFFFFF" w:themeFill="background1"/>
            <w:noWrap/>
            <w:vAlign w:val="center"/>
            <w:hideMark/>
          </w:tcPr>
          <w:p w:rsidR="00995251" w:rsidRPr="005955E6" w:rsidRDefault="00995251" w:rsidP="00615AA5">
            <w:pPr>
              <w:rPr>
                <w:rFonts w:ascii="Calibri" w:hAnsi="Calibri" w:cs="Arial"/>
                <w:color w:val="000000"/>
                <w:sz w:val="20"/>
              </w:rPr>
            </w:pPr>
            <w:r w:rsidRPr="005955E6">
              <w:rPr>
                <w:rFonts w:ascii="Calibri" w:hAnsi="Calibri" w:cs="Arial"/>
                <w:color w:val="000000"/>
                <w:sz w:val="20"/>
              </w:rPr>
              <w:t>2013/14</w:t>
            </w:r>
          </w:p>
        </w:tc>
        <w:tc>
          <w:tcPr>
            <w:tcW w:w="551" w:type="pct"/>
            <w:shd w:val="clear" w:color="auto" w:fill="FFFFFF" w:themeFill="background1"/>
            <w:noWrap/>
            <w:vAlign w:val="center"/>
            <w:hideMark/>
          </w:tcPr>
          <w:p w:rsidR="00995251" w:rsidRPr="005955E6" w:rsidRDefault="00995251" w:rsidP="005955E6">
            <w:pPr>
              <w:jc w:val="center"/>
              <w:rPr>
                <w:rFonts w:ascii="Calibri" w:hAnsi="Calibri" w:cs="Arial"/>
                <w:bCs/>
                <w:color w:val="000000"/>
                <w:sz w:val="20"/>
              </w:rPr>
            </w:pPr>
            <w:r w:rsidRPr="005955E6">
              <w:rPr>
                <w:rFonts w:ascii="Calibri" w:hAnsi="Calibri" w:cs="Arial"/>
                <w:bCs/>
                <w:color w:val="000000"/>
                <w:sz w:val="20"/>
              </w:rPr>
              <w:t>214</w:t>
            </w:r>
          </w:p>
        </w:tc>
        <w:tc>
          <w:tcPr>
            <w:tcW w:w="1211" w:type="pct"/>
            <w:shd w:val="clear" w:color="auto" w:fill="FFFFFF" w:themeFill="background1"/>
            <w:noWrap/>
            <w:vAlign w:val="center"/>
            <w:hideMark/>
          </w:tcPr>
          <w:p w:rsidR="00995251" w:rsidRPr="005955E6" w:rsidRDefault="00995251" w:rsidP="005955E6">
            <w:pPr>
              <w:jc w:val="center"/>
              <w:rPr>
                <w:rFonts w:ascii="Calibri" w:hAnsi="Calibri" w:cs="Arial"/>
                <w:bCs/>
                <w:color w:val="000000"/>
                <w:sz w:val="20"/>
              </w:rPr>
            </w:pPr>
            <w:r w:rsidRPr="005955E6">
              <w:rPr>
                <w:rFonts w:ascii="Calibri" w:hAnsi="Calibri" w:cs="Arial"/>
                <w:bCs/>
                <w:color w:val="000000"/>
                <w:sz w:val="20"/>
              </w:rPr>
              <w:t>66</w:t>
            </w:r>
          </w:p>
        </w:tc>
        <w:tc>
          <w:tcPr>
            <w:tcW w:w="1418" w:type="pct"/>
            <w:shd w:val="clear" w:color="auto" w:fill="FFFFFF" w:themeFill="background1"/>
            <w:noWrap/>
            <w:vAlign w:val="center"/>
            <w:hideMark/>
          </w:tcPr>
          <w:p w:rsidR="00995251" w:rsidRPr="005955E6" w:rsidRDefault="00995251" w:rsidP="005955E6">
            <w:pPr>
              <w:jc w:val="center"/>
              <w:rPr>
                <w:rFonts w:ascii="Calibri" w:hAnsi="Calibri" w:cs="Arial"/>
                <w:bCs/>
                <w:color w:val="000000"/>
                <w:sz w:val="20"/>
              </w:rPr>
            </w:pPr>
            <w:r w:rsidRPr="005955E6">
              <w:rPr>
                <w:rFonts w:ascii="Calibri" w:hAnsi="Calibri" w:cs="Arial"/>
                <w:bCs/>
                <w:color w:val="000000"/>
                <w:sz w:val="20"/>
              </w:rPr>
              <w:t>139</w:t>
            </w:r>
          </w:p>
        </w:tc>
        <w:tc>
          <w:tcPr>
            <w:tcW w:w="1355" w:type="pct"/>
            <w:shd w:val="clear" w:color="auto" w:fill="FFFFFF" w:themeFill="background1"/>
            <w:noWrap/>
            <w:vAlign w:val="center"/>
            <w:hideMark/>
          </w:tcPr>
          <w:p w:rsidR="00995251" w:rsidRPr="005955E6" w:rsidRDefault="00995251" w:rsidP="005955E6">
            <w:pPr>
              <w:jc w:val="center"/>
              <w:rPr>
                <w:rFonts w:ascii="Calibri" w:hAnsi="Calibri" w:cs="Arial"/>
                <w:bCs/>
                <w:color w:val="000000"/>
                <w:sz w:val="20"/>
              </w:rPr>
            </w:pPr>
            <w:r w:rsidRPr="005955E6">
              <w:rPr>
                <w:rFonts w:ascii="Calibri" w:hAnsi="Calibri" w:cs="Arial"/>
                <w:bCs/>
                <w:color w:val="000000"/>
                <w:sz w:val="20"/>
              </w:rPr>
              <w:t>9</w:t>
            </w:r>
          </w:p>
        </w:tc>
      </w:tr>
    </w:tbl>
    <w:p w:rsidR="005955E6" w:rsidRPr="0020329B" w:rsidRDefault="005955E6" w:rsidP="005955E6">
      <w:pPr>
        <w:rPr>
          <w:rFonts w:ascii="Calibri" w:hAnsi="Calibri"/>
          <w:sz w:val="20"/>
        </w:rPr>
      </w:pPr>
      <w:r w:rsidRPr="0020329B">
        <w:rPr>
          <w:rFonts w:ascii="Calibri" w:hAnsi="Calibri"/>
          <w:sz w:val="20"/>
        </w:rPr>
        <w:t>Source: DEDJTR</w:t>
      </w:r>
    </w:p>
    <w:p w:rsidR="005955E6" w:rsidRPr="0020329B" w:rsidRDefault="005955E6" w:rsidP="005955E6">
      <w:pPr>
        <w:spacing w:after="200" w:line="276" w:lineRule="auto"/>
        <w:rPr>
          <w:rFonts w:ascii="Calibri" w:hAnsi="Calibri"/>
          <w:b/>
          <w:noProof/>
          <w:kern w:val="32"/>
          <w:sz w:val="20"/>
        </w:rPr>
      </w:pPr>
      <w:r w:rsidRPr="0020329B">
        <w:rPr>
          <w:rFonts w:ascii="Calibri" w:hAnsi="Calibri"/>
          <w:sz w:val="20"/>
        </w:rPr>
        <w:br w:type="page"/>
      </w:r>
    </w:p>
    <w:p w:rsidR="005955E6" w:rsidRPr="005955E6" w:rsidRDefault="005955E6" w:rsidP="00615AA5">
      <w:pPr>
        <w:pStyle w:val="Heading1"/>
        <w:keepNext w:val="0"/>
        <w:framePr w:w="0" w:hRule="auto" w:hSpace="0" w:wrap="auto" w:vAnchor="margin" w:hAnchor="text" w:xAlign="left" w:yAlign="inline"/>
        <w:numPr>
          <w:ilvl w:val="0"/>
          <w:numId w:val="6"/>
        </w:numPr>
        <w:spacing w:after="0" w:line="240" w:lineRule="auto"/>
        <w:ind w:hanging="502"/>
        <w:rPr>
          <w:rFonts w:ascii="Calibri" w:hAnsi="Calibri"/>
        </w:rPr>
      </w:pPr>
      <w:r w:rsidRPr="005955E6">
        <w:rPr>
          <w:rFonts w:ascii="Calibri" w:hAnsi="Calibri"/>
        </w:rPr>
        <w:lastRenderedPageBreak/>
        <w:t>Monitoring, Compliance and Enforcement</w:t>
      </w:r>
    </w:p>
    <w:p w:rsidR="005955E6" w:rsidRPr="005955E6" w:rsidRDefault="005955E6" w:rsidP="005955E6">
      <w:pPr>
        <w:jc w:val="both"/>
        <w:rPr>
          <w:rFonts w:ascii="Calibri" w:hAnsi="Calibri"/>
          <w:sz w:val="20"/>
        </w:rPr>
      </w:pPr>
    </w:p>
    <w:p w:rsidR="003C097D" w:rsidRDefault="003C097D" w:rsidP="005955E6">
      <w:pPr>
        <w:jc w:val="both"/>
        <w:rPr>
          <w:rFonts w:ascii="Calibri" w:hAnsi="Calibri"/>
          <w:sz w:val="20"/>
        </w:rPr>
      </w:pPr>
    </w:p>
    <w:p w:rsidR="001B540A" w:rsidRDefault="005955E6" w:rsidP="001B540A">
      <w:pPr>
        <w:jc w:val="both"/>
        <w:rPr>
          <w:rFonts w:ascii="Calibri" w:hAnsi="Calibri"/>
          <w:sz w:val="20"/>
        </w:rPr>
      </w:pPr>
      <w:r w:rsidRPr="005955E6">
        <w:rPr>
          <w:rFonts w:ascii="Calibri" w:hAnsi="Calibri"/>
          <w:sz w:val="20"/>
        </w:rPr>
        <w:t>The Earth Resources Regulation Branch continued to be responsible for the regulation of the earth resources industries in 2013/14. The Branch undertakes a monitoring and compliance program to ensure that authority holders comply with their obligations and meet community expectations. DEDJTR monitoring, compliance and enforcement activities under the MRSDA are summarized in the table below.</w:t>
      </w:r>
    </w:p>
    <w:p w:rsidR="005955E6" w:rsidRPr="005955E6" w:rsidRDefault="005955E6" w:rsidP="001B540A">
      <w:pPr>
        <w:jc w:val="both"/>
        <w:rPr>
          <w:rFonts w:ascii="Calibri" w:hAnsi="Calibri"/>
          <w:sz w:val="20"/>
        </w:rPr>
      </w:pPr>
      <w:r w:rsidRPr="005955E6">
        <w:rPr>
          <w:rFonts w:ascii="Calibri" w:hAnsi="Calibri"/>
          <w:sz w:val="20"/>
        </w:rPr>
        <w:t xml:space="preserve"> </w:t>
      </w:r>
    </w:p>
    <w:p w:rsidR="005955E6" w:rsidRPr="005955E6" w:rsidRDefault="005955E6" w:rsidP="00995251">
      <w:pPr>
        <w:pStyle w:val="Heading3"/>
      </w:pPr>
      <w:r w:rsidRPr="005955E6">
        <w:t>Table 6.1 Monitoring, compliance and enforcement activities 2013/14</w:t>
      </w:r>
    </w:p>
    <w:p w:rsidR="005955E6" w:rsidRPr="005955E6" w:rsidRDefault="005955E6" w:rsidP="005955E6">
      <w:pPr>
        <w:jc w:val="both"/>
        <w:rPr>
          <w:rFonts w:ascii="Calibri" w:hAnsi="Calibri"/>
          <w:b/>
          <w:sz w:val="20"/>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ayout w:type="fixed"/>
        <w:tblLook w:val="04A0" w:firstRow="1" w:lastRow="0" w:firstColumn="1" w:lastColumn="0" w:noHBand="0" w:noVBand="1"/>
      </w:tblPr>
      <w:tblGrid>
        <w:gridCol w:w="3601"/>
        <w:gridCol w:w="2009"/>
        <w:gridCol w:w="2158"/>
        <w:gridCol w:w="2540"/>
      </w:tblGrid>
      <w:tr w:rsidR="003C097D" w:rsidRPr="008F5AFD" w:rsidTr="00995251">
        <w:trPr>
          <w:trHeight w:val="300"/>
          <w:tblHeader/>
        </w:trPr>
        <w:tc>
          <w:tcPr>
            <w:tcW w:w="1746" w:type="pct"/>
            <w:shd w:val="clear" w:color="auto" w:fill="FFFFFF" w:themeFill="background1"/>
            <w:noWrap/>
            <w:vAlign w:val="center"/>
            <w:hideMark/>
          </w:tcPr>
          <w:p w:rsidR="005955E6" w:rsidRPr="005955E6" w:rsidRDefault="005955E6" w:rsidP="00615AA5">
            <w:pPr>
              <w:rPr>
                <w:rFonts w:ascii="Calibri" w:hAnsi="Calibri"/>
                <w:b/>
                <w:sz w:val="20"/>
              </w:rPr>
            </w:pPr>
            <w:bookmarkStart w:id="97" w:name="ColumnTitle_6_1"/>
            <w:r w:rsidRPr="005955E6">
              <w:rPr>
                <w:rFonts w:ascii="Calibri" w:hAnsi="Calibri"/>
                <w:b/>
                <w:sz w:val="20"/>
              </w:rPr>
              <w:t>Description</w:t>
            </w:r>
          </w:p>
        </w:tc>
        <w:tc>
          <w:tcPr>
            <w:tcW w:w="974" w:type="pct"/>
            <w:shd w:val="clear" w:color="auto" w:fill="FFFFFF" w:themeFill="background1"/>
            <w:noWrap/>
            <w:vAlign w:val="center"/>
            <w:hideMark/>
          </w:tcPr>
          <w:p w:rsidR="005955E6" w:rsidRPr="005955E6" w:rsidRDefault="005955E6" w:rsidP="005955E6">
            <w:pPr>
              <w:jc w:val="center"/>
              <w:rPr>
                <w:rFonts w:ascii="Calibri" w:hAnsi="Calibri"/>
                <w:b/>
                <w:sz w:val="20"/>
              </w:rPr>
            </w:pPr>
            <w:r w:rsidRPr="005955E6">
              <w:rPr>
                <w:rFonts w:ascii="Calibri" w:hAnsi="Calibri"/>
                <w:b/>
                <w:sz w:val="20"/>
              </w:rPr>
              <w:t>Total 2012/2013</w:t>
            </w:r>
          </w:p>
        </w:tc>
        <w:tc>
          <w:tcPr>
            <w:tcW w:w="1047" w:type="pct"/>
            <w:shd w:val="clear" w:color="auto" w:fill="FFFFFF" w:themeFill="background1"/>
            <w:noWrap/>
            <w:vAlign w:val="center"/>
            <w:hideMark/>
          </w:tcPr>
          <w:p w:rsidR="005955E6" w:rsidRPr="005955E6" w:rsidRDefault="005955E6" w:rsidP="005955E6">
            <w:pPr>
              <w:jc w:val="center"/>
              <w:rPr>
                <w:rFonts w:ascii="Calibri" w:hAnsi="Calibri"/>
                <w:b/>
                <w:sz w:val="20"/>
              </w:rPr>
            </w:pPr>
            <w:r w:rsidRPr="005955E6">
              <w:rPr>
                <w:rFonts w:ascii="Calibri" w:hAnsi="Calibri"/>
                <w:b/>
                <w:sz w:val="20"/>
              </w:rPr>
              <w:t>Total 2013/2014</w:t>
            </w:r>
          </w:p>
        </w:tc>
        <w:tc>
          <w:tcPr>
            <w:tcW w:w="1232" w:type="pct"/>
            <w:shd w:val="clear" w:color="auto" w:fill="FFFFFF" w:themeFill="background1"/>
            <w:noWrap/>
            <w:vAlign w:val="center"/>
            <w:hideMark/>
          </w:tcPr>
          <w:p w:rsidR="005955E6" w:rsidRPr="005955E6" w:rsidRDefault="005955E6" w:rsidP="005955E6">
            <w:pPr>
              <w:jc w:val="center"/>
              <w:rPr>
                <w:rFonts w:ascii="Calibri" w:hAnsi="Calibri"/>
                <w:b/>
                <w:sz w:val="20"/>
              </w:rPr>
            </w:pPr>
            <w:r w:rsidRPr="005955E6">
              <w:rPr>
                <w:rFonts w:ascii="Calibri" w:hAnsi="Calibri"/>
                <w:b/>
                <w:sz w:val="20"/>
              </w:rPr>
              <w:t>Change Year-on-Year (%)</w:t>
            </w:r>
          </w:p>
        </w:tc>
      </w:tr>
      <w:bookmarkEnd w:id="97"/>
      <w:tr w:rsidR="003C097D" w:rsidRPr="008F5AFD" w:rsidTr="00995251">
        <w:trPr>
          <w:trHeight w:val="300"/>
        </w:trPr>
        <w:tc>
          <w:tcPr>
            <w:tcW w:w="1746" w:type="pct"/>
            <w:shd w:val="clear" w:color="auto" w:fill="FFFFFF" w:themeFill="background1"/>
            <w:noWrap/>
            <w:vAlign w:val="center"/>
            <w:hideMark/>
          </w:tcPr>
          <w:p w:rsidR="005955E6" w:rsidRPr="005955E6" w:rsidRDefault="005955E6" w:rsidP="00615AA5">
            <w:pPr>
              <w:rPr>
                <w:rFonts w:ascii="Calibri" w:hAnsi="Calibri"/>
                <w:sz w:val="20"/>
              </w:rPr>
            </w:pPr>
            <w:r w:rsidRPr="005955E6">
              <w:rPr>
                <w:rFonts w:ascii="Calibri" w:hAnsi="Calibri"/>
                <w:sz w:val="20"/>
              </w:rPr>
              <w:t xml:space="preserve">Inspections and Site Visits </w:t>
            </w:r>
          </w:p>
        </w:tc>
        <w:tc>
          <w:tcPr>
            <w:tcW w:w="974" w:type="pct"/>
            <w:shd w:val="clear" w:color="auto" w:fill="FFFFFF" w:themeFill="background1"/>
            <w:noWrap/>
            <w:vAlign w:val="center"/>
            <w:hideMark/>
          </w:tcPr>
          <w:p w:rsidR="005955E6" w:rsidRPr="005955E6" w:rsidRDefault="005955E6" w:rsidP="005955E6">
            <w:pPr>
              <w:jc w:val="center"/>
              <w:rPr>
                <w:rFonts w:ascii="Calibri" w:hAnsi="Calibri"/>
                <w:sz w:val="20"/>
              </w:rPr>
            </w:pPr>
            <w:r w:rsidRPr="005955E6">
              <w:rPr>
                <w:rFonts w:ascii="Calibri" w:hAnsi="Calibri"/>
                <w:sz w:val="20"/>
              </w:rPr>
              <w:t>443</w:t>
            </w:r>
          </w:p>
        </w:tc>
        <w:tc>
          <w:tcPr>
            <w:tcW w:w="1047" w:type="pct"/>
            <w:shd w:val="clear" w:color="auto" w:fill="FFFFFF" w:themeFill="background1"/>
            <w:noWrap/>
            <w:vAlign w:val="center"/>
            <w:hideMark/>
          </w:tcPr>
          <w:p w:rsidR="005955E6" w:rsidRPr="005955E6" w:rsidRDefault="005955E6" w:rsidP="005955E6">
            <w:pPr>
              <w:jc w:val="center"/>
              <w:rPr>
                <w:rFonts w:ascii="Calibri" w:hAnsi="Calibri"/>
                <w:sz w:val="20"/>
              </w:rPr>
            </w:pPr>
            <w:r w:rsidRPr="005955E6">
              <w:rPr>
                <w:rFonts w:ascii="Calibri" w:hAnsi="Calibri"/>
                <w:sz w:val="20"/>
              </w:rPr>
              <w:t>499</w:t>
            </w:r>
          </w:p>
        </w:tc>
        <w:tc>
          <w:tcPr>
            <w:tcW w:w="1232"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 xml:space="preserve">12.6 </w:t>
            </w:r>
          </w:p>
        </w:tc>
      </w:tr>
      <w:tr w:rsidR="003C097D" w:rsidRPr="008F5AFD" w:rsidTr="00995251">
        <w:trPr>
          <w:trHeight w:val="300"/>
        </w:trPr>
        <w:tc>
          <w:tcPr>
            <w:tcW w:w="1746" w:type="pct"/>
            <w:shd w:val="clear" w:color="auto" w:fill="FFFFFF" w:themeFill="background1"/>
            <w:noWrap/>
            <w:vAlign w:val="center"/>
            <w:hideMark/>
          </w:tcPr>
          <w:p w:rsidR="005955E6" w:rsidRPr="005955E6" w:rsidRDefault="005955E6" w:rsidP="00615AA5">
            <w:pPr>
              <w:rPr>
                <w:rFonts w:ascii="Calibri" w:hAnsi="Calibri"/>
                <w:sz w:val="20"/>
              </w:rPr>
            </w:pPr>
            <w:r w:rsidRPr="005955E6">
              <w:rPr>
                <w:rFonts w:ascii="Calibri" w:hAnsi="Calibri"/>
                <w:sz w:val="20"/>
              </w:rPr>
              <w:t>Completed Compliance Audits</w:t>
            </w:r>
          </w:p>
        </w:tc>
        <w:tc>
          <w:tcPr>
            <w:tcW w:w="974" w:type="pct"/>
            <w:shd w:val="clear" w:color="auto" w:fill="FFFFFF" w:themeFill="background1"/>
            <w:noWrap/>
            <w:vAlign w:val="center"/>
            <w:hideMark/>
          </w:tcPr>
          <w:p w:rsidR="005955E6" w:rsidRPr="005955E6" w:rsidRDefault="005955E6" w:rsidP="005955E6">
            <w:pPr>
              <w:jc w:val="center"/>
              <w:rPr>
                <w:rFonts w:ascii="Calibri" w:hAnsi="Calibri"/>
                <w:sz w:val="20"/>
              </w:rPr>
            </w:pPr>
            <w:r w:rsidRPr="005955E6">
              <w:rPr>
                <w:rFonts w:ascii="Calibri" w:hAnsi="Calibri"/>
                <w:sz w:val="20"/>
              </w:rPr>
              <w:t>62</w:t>
            </w:r>
          </w:p>
        </w:tc>
        <w:tc>
          <w:tcPr>
            <w:tcW w:w="1047" w:type="pct"/>
            <w:shd w:val="clear" w:color="auto" w:fill="FFFFFF" w:themeFill="background1"/>
            <w:noWrap/>
            <w:vAlign w:val="center"/>
            <w:hideMark/>
          </w:tcPr>
          <w:p w:rsidR="005955E6" w:rsidRPr="005955E6" w:rsidRDefault="005955E6" w:rsidP="005955E6">
            <w:pPr>
              <w:jc w:val="center"/>
              <w:rPr>
                <w:rFonts w:ascii="Calibri" w:hAnsi="Calibri"/>
                <w:sz w:val="20"/>
              </w:rPr>
            </w:pPr>
            <w:r w:rsidRPr="005955E6">
              <w:rPr>
                <w:rFonts w:ascii="Calibri" w:hAnsi="Calibri"/>
                <w:sz w:val="20"/>
              </w:rPr>
              <w:t>50</w:t>
            </w:r>
          </w:p>
        </w:tc>
        <w:tc>
          <w:tcPr>
            <w:tcW w:w="1232"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 xml:space="preserve">-19.4 </w:t>
            </w:r>
          </w:p>
        </w:tc>
      </w:tr>
      <w:tr w:rsidR="003C097D" w:rsidRPr="008F5AFD" w:rsidTr="00995251">
        <w:trPr>
          <w:trHeight w:val="300"/>
        </w:trPr>
        <w:tc>
          <w:tcPr>
            <w:tcW w:w="1746" w:type="pct"/>
            <w:shd w:val="clear" w:color="auto" w:fill="FFFFFF" w:themeFill="background1"/>
            <w:noWrap/>
            <w:vAlign w:val="center"/>
            <w:hideMark/>
          </w:tcPr>
          <w:p w:rsidR="005955E6" w:rsidRPr="005955E6" w:rsidRDefault="005955E6" w:rsidP="00615AA5">
            <w:pPr>
              <w:rPr>
                <w:rFonts w:ascii="Calibri" w:hAnsi="Calibri"/>
                <w:sz w:val="20"/>
              </w:rPr>
            </w:pPr>
            <w:r w:rsidRPr="005955E6">
              <w:rPr>
                <w:rFonts w:ascii="Calibri" w:hAnsi="Calibri"/>
                <w:sz w:val="20"/>
              </w:rPr>
              <w:t>High Risk Issues Audits</w:t>
            </w:r>
          </w:p>
        </w:tc>
        <w:tc>
          <w:tcPr>
            <w:tcW w:w="974" w:type="pct"/>
            <w:shd w:val="clear" w:color="auto" w:fill="FFFFFF" w:themeFill="background1"/>
            <w:noWrap/>
            <w:vAlign w:val="center"/>
            <w:hideMark/>
          </w:tcPr>
          <w:p w:rsidR="005955E6" w:rsidRPr="005955E6" w:rsidRDefault="005955E6" w:rsidP="005955E6">
            <w:pPr>
              <w:jc w:val="center"/>
              <w:rPr>
                <w:rFonts w:ascii="Calibri" w:hAnsi="Calibri"/>
                <w:sz w:val="20"/>
              </w:rPr>
            </w:pPr>
            <w:r w:rsidRPr="005955E6">
              <w:rPr>
                <w:rFonts w:ascii="Calibri" w:hAnsi="Calibri"/>
                <w:sz w:val="20"/>
              </w:rPr>
              <w:t>105</w:t>
            </w:r>
          </w:p>
        </w:tc>
        <w:tc>
          <w:tcPr>
            <w:tcW w:w="1047" w:type="pct"/>
            <w:shd w:val="clear" w:color="auto" w:fill="FFFFFF" w:themeFill="background1"/>
            <w:noWrap/>
            <w:vAlign w:val="center"/>
            <w:hideMark/>
          </w:tcPr>
          <w:p w:rsidR="005955E6" w:rsidRPr="005955E6" w:rsidRDefault="005955E6" w:rsidP="005955E6">
            <w:pPr>
              <w:jc w:val="center"/>
              <w:rPr>
                <w:rFonts w:ascii="Calibri" w:hAnsi="Calibri"/>
                <w:sz w:val="20"/>
              </w:rPr>
            </w:pPr>
            <w:r w:rsidRPr="005955E6">
              <w:rPr>
                <w:rFonts w:ascii="Calibri" w:hAnsi="Calibri"/>
                <w:sz w:val="20"/>
              </w:rPr>
              <w:t>112</w:t>
            </w:r>
          </w:p>
        </w:tc>
        <w:tc>
          <w:tcPr>
            <w:tcW w:w="1232"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 xml:space="preserve">6.7 </w:t>
            </w:r>
          </w:p>
        </w:tc>
      </w:tr>
      <w:tr w:rsidR="003C097D" w:rsidRPr="008F5AFD" w:rsidTr="00995251">
        <w:trPr>
          <w:trHeight w:val="300"/>
        </w:trPr>
        <w:tc>
          <w:tcPr>
            <w:tcW w:w="1746" w:type="pct"/>
            <w:shd w:val="clear" w:color="auto" w:fill="FFFFFF" w:themeFill="background1"/>
            <w:noWrap/>
            <w:vAlign w:val="center"/>
            <w:hideMark/>
          </w:tcPr>
          <w:p w:rsidR="005955E6" w:rsidRPr="005955E6" w:rsidRDefault="005955E6" w:rsidP="00615AA5">
            <w:pPr>
              <w:rPr>
                <w:rFonts w:ascii="Calibri" w:hAnsi="Calibri"/>
                <w:sz w:val="20"/>
              </w:rPr>
            </w:pPr>
            <w:r w:rsidRPr="005955E6">
              <w:rPr>
                <w:rFonts w:ascii="Calibri" w:hAnsi="Calibri"/>
                <w:sz w:val="20"/>
              </w:rPr>
              <w:t>Complaints Received</w:t>
            </w:r>
          </w:p>
        </w:tc>
        <w:tc>
          <w:tcPr>
            <w:tcW w:w="974" w:type="pct"/>
            <w:shd w:val="clear" w:color="auto" w:fill="FFFFFF" w:themeFill="background1"/>
            <w:noWrap/>
            <w:vAlign w:val="center"/>
            <w:hideMark/>
          </w:tcPr>
          <w:p w:rsidR="005955E6" w:rsidRPr="005955E6" w:rsidRDefault="005955E6" w:rsidP="005955E6">
            <w:pPr>
              <w:jc w:val="center"/>
              <w:rPr>
                <w:rFonts w:ascii="Calibri" w:hAnsi="Calibri"/>
                <w:sz w:val="20"/>
              </w:rPr>
            </w:pPr>
            <w:r w:rsidRPr="005955E6">
              <w:rPr>
                <w:rFonts w:ascii="Calibri" w:hAnsi="Calibri"/>
                <w:sz w:val="20"/>
              </w:rPr>
              <w:t>75</w:t>
            </w:r>
          </w:p>
        </w:tc>
        <w:tc>
          <w:tcPr>
            <w:tcW w:w="1047" w:type="pct"/>
            <w:shd w:val="clear" w:color="auto" w:fill="FFFFFF" w:themeFill="background1"/>
            <w:noWrap/>
            <w:vAlign w:val="center"/>
            <w:hideMark/>
          </w:tcPr>
          <w:p w:rsidR="005955E6" w:rsidRPr="005955E6" w:rsidRDefault="005955E6" w:rsidP="005955E6">
            <w:pPr>
              <w:jc w:val="center"/>
              <w:rPr>
                <w:rFonts w:ascii="Calibri" w:hAnsi="Calibri"/>
                <w:sz w:val="20"/>
              </w:rPr>
            </w:pPr>
            <w:r w:rsidRPr="005955E6">
              <w:rPr>
                <w:rFonts w:ascii="Calibri" w:hAnsi="Calibri"/>
                <w:sz w:val="20"/>
              </w:rPr>
              <w:t>46</w:t>
            </w:r>
          </w:p>
        </w:tc>
        <w:tc>
          <w:tcPr>
            <w:tcW w:w="1232"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 xml:space="preserve">-38.7 </w:t>
            </w:r>
          </w:p>
        </w:tc>
      </w:tr>
      <w:tr w:rsidR="003C097D" w:rsidRPr="008F5AFD" w:rsidTr="00995251">
        <w:trPr>
          <w:trHeight w:val="300"/>
        </w:trPr>
        <w:tc>
          <w:tcPr>
            <w:tcW w:w="1746" w:type="pct"/>
            <w:shd w:val="clear" w:color="auto" w:fill="FFFFFF" w:themeFill="background1"/>
            <w:noWrap/>
            <w:vAlign w:val="center"/>
            <w:hideMark/>
          </w:tcPr>
          <w:p w:rsidR="005955E6" w:rsidRPr="005955E6" w:rsidRDefault="005955E6" w:rsidP="00615AA5">
            <w:pPr>
              <w:rPr>
                <w:rFonts w:ascii="Calibri" w:hAnsi="Calibri"/>
                <w:sz w:val="20"/>
              </w:rPr>
            </w:pPr>
            <w:r w:rsidRPr="005955E6">
              <w:rPr>
                <w:rFonts w:ascii="Calibri" w:hAnsi="Calibri"/>
                <w:sz w:val="20"/>
              </w:rPr>
              <w:t>Investigations Initiated</w:t>
            </w:r>
          </w:p>
        </w:tc>
        <w:tc>
          <w:tcPr>
            <w:tcW w:w="974" w:type="pct"/>
            <w:shd w:val="clear" w:color="auto" w:fill="FFFFFF" w:themeFill="background1"/>
            <w:noWrap/>
            <w:vAlign w:val="center"/>
            <w:hideMark/>
          </w:tcPr>
          <w:p w:rsidR="005955E6" w:rsidRPr="005955E6" w:rsidRDefault="005955E6" w:rsidP="005955E6">
            <w:pPr>
              <w:jc w:val="center"/>
              <w:rPr>
                <w:rFonts w:ascii="Calibri" w:hAnsi="Calibri"/>
                <w:sz w:val="20"/>
              </w:rPr>
            </w:pPr>
            <w:r w:rsidRPr="005955E6">
              <w:rPr>
                <w:rFonts w:ascii="Calibri" w:hAnsi="Calibri"/>
                <w:sz w:val="20"/>
              </w:rPr>
              <w:t>2</w:t>
            </w:r>
          </w:p>
        </w:tc>
        <w:tc>
          <w:tcPr>
            <w:tcW w:w="1047" w:type="pct"/>
            <w:shd w:val="clear" w:color="auto" w:fill="FFFFFF" w:themeFill="background1"/>
            <w:noWrap/>
            <w:vAlign w:val="center"/>
            <w:hideMark/>
          </w:tcPr>
          <w:p w:rsidR="005955E6" w:rsidRPr="005955E6" w:rsidRDefault="005955E6" w:rsidP="005955E6">
            <w:pPr>
              <w:jc w:val="center"/>
              <w:rPr>
                <w:rFonts w:ascii="Calibri" w:hAnsi="Calibri"/>
                <w:sz w:val="20"/>
              </w:rPr>
            </w:pPr>
            <w:r w:rsidRPr="005955E6">
              <w:rPr>
                <w:rFonts w:ascii="Calibri" w:hAnsi="Calibri"/>
                <w:sz w:val="20"/>
              </w:rPr>
              <w:t>0</w:t>
            </w:r>
          </w:p>
        </w:tc>
        <w:tc>
          <w:tcPr>
            <w:tcW w:w="1232" w:type="pct"/>
            <w:shd w:val="clear" w:color="auto" w:fill="FFFFFF" w:themeFill="background1"/>
            <w:noWrap/>
            <w:vAlign w:val="bottom"/>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 xml:space="preserve">-100.0 </w:t>
            </w:r>
          </w:p>
        </w:tc>
      </w:tr>
      <w:tr w:rsidR="003C097D" w:rsidRPr="008F5AFD" w:rsidTr="00995251">
        <w:trPr>
          <w:trHeight w:val="300"/>
        </w:trPr>
        <w:tc>
          <w:tcPr>
            <w:tcW w:w="1746" w:type="pct"/>
            <w:shd w:val="clear" w:color="auto" w:fill="FFFFFF" w:themeFill="background1"/>
            <w:noWrap/>
            <w:vAlign w:val="center"/>
            <w:hideMark/>
          </w:tcPr>
          <w:p w:rsidR="005955E6" w:rsidRPr="005955E6" w:rsidRDefault="005955E6" w:rsidP="00615AA5">
            <w:pPr>
              <w:rPr>
                <w:rFonts w:ascii="Calibri" w:hAnsi="Calibri"/>
                <w:sz w:val="20"/>
              </w:rPr>
            </w:pPr>
            <w:r w:rsidRPr="005955E6">
              <w:rPr>
                <w:rFonts w:ascii="Calibri" w:hAnsi="Calibri"/>
                <w:sz w:val="20"/>
              </w:rPr>
              <w:t>MRSDA Notices Issued</w:t>
            </w:r>
          </w:p>
        </w:tc>
        <w:tc>
          <w:tcPr>
            <w:tcW w:w="974" w:type="pct"/>
            <w:shd w:val="clear" w:color="auto" w:fill="FFFFFF" w:themeFill="background1"/>
            <w:noWrap/>
            <w:vAlign w:val="center"/>
            <w:hideMark/>
          </w:tcPr>
          <w:p w:rsidR="005955E6" w:rsidRPr="005955E6" w:rsidRDefault="005955E6" w:rsidP="005955E6">
            <w:pPr>
              <w:jc w:val="center"/>
              <w:rPr>
                <w:rFonts w:ascii="Calibri" w:hAnsi="Calibri"/>
                <w:sz w:val="20"/>
              </w:rPr>
            </w:pPr>
            <w:r w:rsidRPr="005955E6">
              <w:rPr>
                <w:rFonts w:ascii="Calibri" w:hAnsi="Calibri"/>
                <w:sz w:val="20"/>
              </w:rPr>
              <w:t>26</w:t>
            </w:r>
          </w:p>
        </w:tc>
        <w:tc>
          <w:tcPr>
            <w:tcW w:w="1047" w:type="pct"/>
            <w:shd w:val="clear" w:color="auto" w:fill="FFFFFF" w:themeFill="background1"/>
            <w:noWrap/>
            <w:vAlign w:val="center"/>
            <w:hideMark/>
          </w:tcPr>
          <w:p w:rsidR="005955E6" w:rsidRPr="005955E6" w:rsidRDefault="005955E6" w:rsidP="005955E6">
            <w:pPr>
              <w:jc w:val="center"/>
              <w:rPr>
                <w:rFonts w:ascii="Calibri" w:hAnsi="Calibri"/>
                <w:sz w:val="20"/>
              </w:rPr>
            </w:pPr>
            <w:r w:rsidRPr="005955E6">
              <w:rPr>
                <w:rFonts w:ascii="Calibri" w:hAnsi="Calibri"/>
                <w:sz w:val="20"/>
              </w:rPr>
              <w:t>26</w:t>
            </w:r>
          </w:p>
        </w:tc>
        <w:tc>
          <w:tcPr>
            <w:tcW w:w="1232" w:type="pct"/>
            <w:shd w:val="clear" w:color="auto" w:fill="FFFFFF" w:themeFill="background1"/>
            <w:noWrap/>
            <w:vAlign w:val="center"/>
            <w:hideMark/>
          </w:tcPr>
          <w:p w:rsidR="005955E6" w:rsidRPr="005955E6" w:rsidRDefault="005955E6" w:rsidP="005955E6">
            <w:pPr>
              <w:jc w:val="center"/>
              <w:rPr>
                <w:rFonts w:ascii="Calibri" w:hAnsi="Calibri" w:cs="Arial"/>
                <w:color w:val="000000"/>
                <w:sz w:val="20"/>
              </w:rPr>
            </w:pPr>
            <w:r w:rsidRPr="005955E6">
              <w:rPr>
                <w:rFonts w:ascii="Calibri" w:hAnsi="Calibri" w:cs="Arial"/>
                <w:color w:val="000000"/>
                <w:sz w:val="20"/>
              </w:rPr>
              <w:t>0.0</w:t>
            </w:r>
          </w:p>
        </w:tc>
      </w:tr>
    </w:tbl>
    <w:p w:rsidR="005955E6" w:rsidRPr="005955E6" w:rsidRDefault="005955E6" w:rsidP="005955E6">
      <w:pPr>
        <w:jc w:val="both"/>
        <w:rPr>
          <w:rFonts w:ascii="Calibri" w:hAnsi="Calibri"/>
          <w:sz w:val="20"/>
        </w:rPr>
      </w:pPr>
      <w:r w:rsidRPr="005955E6">
        <w:rPr>
          <w:rFonts w:ascii="Calibri" w:hAnsi="Calibri"/>
          <w:sz w:val="20"/>
        </w:rPr>
        <w:t>Source: DEDJTR</w:t>
      </w:r>
    </w:p>
    <w:p w:rsidR="005955E6" w:rsidRPr="005955E6" w:rsidRDefault="005955E6" w:rsidP="005955E6">
      <w:pPr>
        <w:jc w:val="both"/>
        <w:rPr>
          <w:rFonts w:ascii="Calibri" w:hAnsi="Calibri"/>
          <w:sz w:val="20"/>
        </w:rPr>
      </w:pPr>
    </w:p>
    <w:sectPr w:rsidR="005955E6" w:rsidRPr="005955E6" w:rsidSect="00496D9C">
      <w:footerReference w:type="default" r:id="rId27"/>
      <w:pgSz w:w="11906" w:h="16838" w:code="9"/>
      <w:pgMar w:top="1162" w:right="907" w:bottom="1304" w:left="907" w:header="709" w:footer="454"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640" w:rsidRDefault="00821640">
      <w:r>
        <w:separator/>
      </w:r>
    </w:p>
    <w:p w:rsidR="00821640" w:rsidRDefault="00821640"/>
  </w:endnote>
  <w:endnote w:type="continuationSeparator" w:id="0">
    <w:p w:rsidR="00821640" w:rsidRDefault="00821640">
      <w:r>
        <w:continuationSeparator/>
      </w:r>
    </w:p>
    <w:p w:rsidR="00821640" w:rsidRDefault="00821640"/>
  </w:endnote>
  <w:endnote w:type="continuationNotice" w:id="1">
    <w:p w:rsidR="00821640" w:rsidRDefault="00821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old">
    <w:panose1 w:val="020B0704020202020204"/>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172485"/>
      <w:docPartObj>
        <w:docPartGallery w:val="Page Numbers (Bottom of Page)"/>
        <w:docPartUnique/>
      </w:docPartObj>
    </w:sdtPr>
    <w:sdtEndPr>
      <w:rPr>
        <w:noProof/>
      </w:rPr>
    </w:sdtEndPr>
    <w:sdtContent>
      <w:p w:rsidR="00995251" w:rsidRDefault="00995251">
        <w:pPr>
          <w:pStyle w:val="Footer"/>
        </w:pPr>
        <w:r>
          <w:fldChar w:fldCharType="begin"/>
        </w:r>
        <w:r>
          <w:instrText xml:space="preserve"> PAGE   \* MERGEFORMAT </w:instrText>
        </w:r>
        <w:r>
          <w:fldChar w:fldCharType="separate"/>
        </w:r>
        <w:r w:rsidR="00466D16">
          <w:rPr>
            <w:noProof/>
          </w:rPr>
          <w:t>7</w:t>
        </w:r>
        <w:r>
          <w:rPr>
            <w:noProof/>
          </w:rPr>
          <w:fldChar w:fldCharType="end"/>
        </w:r>
      </w:p>
    </w:sdtContent>
  </w:sdt>
  <w:p w:rsidR="004C689A" w:rsidRDefault="004C68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640" w:rsidRDefault="00821640">
      <w:r>
        <w:separator/>
      </w:r>
    </w:p>
    <w:p w:rsidR="00821640" w:rsidRDefault="00821640"/>
  </w:footnote>
  <w:footnote w:type="continuationSeparator" w:id="0">
    <w:p w:rsidR="00821640" w:rsidRDefault="00821640">
      <w:r>
        <w:continuationSeparator/>
      </w:r>
    </w:p>
    <w:p w:rsidR="00821640" w:rsidRDefault="00821640"/>
  </w:footnote>
  <w:footnote w:type="continuationNotice" w:id="1">
    <w:p w:rsidR="00821640" w:rsidRDefault="008216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8F7"/>
    <w:multiLevelType w:val="multilevel"/>
    <w:tmpl w:val="316C54F0"/>
    <w:lvl w:ilvl="0">
      <w:start w:val="1"/>
      <w:numFmt w:val="bullet"/>
      <w:pStyle w:val="Bulletpoin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ebdings" w:hAnsi="Web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FB2573F"/>
    <w:multiLevelType w:val="multilevel"/>
    <w:tmpl w:val="3AFA0A4E"/>
    <w:name w:val="DPITable"/>
    <w:lvl w:ilvl="0">
      <w:start w:val="1"/>
      <w:numFmt w:val="none"/>
      <w:pStyle w:val="TableBodyLeftAligned"/>
      <w:suff w:val="nothing"/>
      <w:lvlText w:val=""/>
      <w:lvlJc w:val="left"/>
      <w:pPr>
        <w:ind w:left="85" w:firstLine="0"/>
      </w:pPr>
      <w:rPr>
        <w:rFonts w:hint="default"/>
        <w:spacing w:val="-10"/>
      </w:rPr>
    </w:lvl>
    <w:lvl w:ilvl="1">
      <w:start w:val="1"/>
      <w:numFmt w:val="lowerLetter"/>
      <w:pStyle w:val="TableFootnotesAlpha"/>
      <w:lvlText w:val="(%2)"/>
      <w:lvlJc w:val="left"/>
      <w:pPr>
        <w:tabs>
          <w:tab w:val="num" w:pos="284"/>
        </w:tabs>
        <w:ind w:left="284" w:hanging="284"/>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1"/>
      <w:lvlJc w:val="left"/>
      <w:pPr>
        <w:tabs>
          <w:tab w:val="num" w:pos="0"/>
        </w:tabs>
        <w:ind w:left="-709" w:firstLine="709"/>
      </w:pPr>
      <w:rPr>
        <w:rFonts w:hint="default"/>
        <w:spacing w:val="-10"/>
        <w:w w:val="100"/>
      </w:rPr>
    </w:lvl>
    <w:lvl w:ilvl="4">
      <w:start w:val="1"/>
      <w:numFmt w:val="none"/>
      <w:lvlText w:val=""/>
      <w:lvlJc w:val="left"/>
      <w:pPr>
        <w:tabs>
          <w:tab w:val="num" w:pos="2835"/>
        </w:tabs>
        <w:ind w:left="2835" w:hanging="2835"/>
      </w:pPr>
      <w:rPr>
        <w:rFonts w:hint="default"/>
      </w:rPr>
    </w:lvl>
    <w:lvl w:ilvl="5">
      <w:start w:val="1"/>
      <w:numFmt w:val="none"/>
      <w:suff w:val="nothing"/>
      <w:lvlText w:val=""/>
      <w:lvlJc w:val="left"/>
      <w:pPr>
        <w:ind w:left="2016" w:hanging="2016"/>
      </w:pPr>
      <w:rPr>
        <w:rFonts w:hint="default"/>
      </w:rPr>
    </w:lvl>
    <w:lvl w:ilvl="6">
      <w:start w:val="1"/>
      <w:numFmt w:val="none"/>
      <w:lvlRestart w:val="1"/>
      <w:lvlText w:val=""/>
      <w:lvlJc w:val="left"/>
      <w:pPr>
        <w:tabs>
          <w:tab w:val="num" w:pos="369"/>
        </w:tabs>
        <w:ind w:left="369" w:hanging="369"/>
      </w:pPr>
      <w:rPr>
        <w:rFonts w:hint="default"/>
      </w:rPr>
    </w:lvl>
    <w:lvl w:ilvl="7">
      <w:start w:val="1"/>
      <w:numFmt w:val="none"/>
      <w:lvlText w:val=""/>
      <w:lvlJc w:val="left"/>
      <w:pPr>
        <w:tabs>
          <w:tab w:val="num" w:pos="737"/>
        </w:tabs>
        <w:ind w:left="737" w:hanging="737"/>
      </w:pPr>
      <w:rPr>
        <w:rFonts w:hint="default"/>
        <w:position w:val="0"/>
      </w:rPr>
    </w:lvl>
    <w:lvl w:ilvl="8">
      <w:start w:val="1"/>
      <w:numFmt w:val="none"/>
      <w:lvlText w:val=""/>
      <w:lvlJc w:val="left"/>
      <w:pPr>
        <w:tabs>
          <w:tab w:val="num" w:pos="1106"/>
        </w:tabs>
        <w:ind w:left="1106" w:hanging="1106"/>
      </w:pPr>
      <w:rPr>
        <w:rFonts w:hint="default"/>
        <w:position w:val="2"/>
        <w:sz w:val="20"/>
        <w:szCs w:val="20"/>
      </w:rPr>
    </w:lvl>
  </w:abstractNum>
  <w:abstractNum w:abstractNumId="2">
    <w:nsid w:val="15FF0A7C"/>
    <w:multiLevelType w:val="hybridMultilevel"/>
    <w:tmpl w:val="1466DA9C"/>
    <w:lvl w:ilvl="0" w:tplc="50BCA450">
      <w:start w:val="1"/>
      <w:numFmt w:val="bullet"/>
      <w:pStyle w:val="TableBodyBullet"/>
      <w:lvlText w:val=""/>
      <w:lvlJc w:val="left"/>
      <w:pPr>
        <w:tabs>
          <w:tab w:val="num" w:pos="227"/>
        </w:tabs>
        <w:ind w:left="227" w:hanging="142"/>
      </w:pPr>
      <w:rPr>
        <w:rFonts w:ascii="Symbol" w:hAnsi="Symbol" w:hint="default"/>
        <w:color w:val="auto"/>
        <w:position w:val="2"/>
        <w:sz w:val="14"/>
        <w:szCs w:val="18"/>
      </w:rPr>
    </w:lvl>
    <w:lvl w:ilvl="1" w:tplc="0A863242">
      <w:start w:val="1"/>
      <w:numFmt w:val="bullet"/>
      <w:lvlText w:val=""/>
      <w:lvlJc w:val="left"/>
      <w:pPr>
        <w:tabs>
          <w:tab w:val="num" w:pos="567"/>
        </w:tabs>
        <w:ind w:left="567" w:hanging="283"/>
      </w:pPr>
      <w:rPr>
        <w:rFonts w:ascii="Symbol" w:hAnsi="Symbol" w:hint="default"/>
        <w:color w:val="808080"/>
        <w:spacing w:val="-20"/>
        <w:position w:val="2"/>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6B66EDC"/>
    <w:multiLevelType w:val="multilevel"/>
    <w:tmpl w:val="3EC0C9EE"/>
    <w:lvl w:ilvl="0">
      <w:start w:val="1"/>
      <w:numFmt w:val="none"/>
      <w:pStyle w:val="BodyText"/>
      <w:suff w:val="nothing"/>
      <w:lvlText w:val="%1"/>
      <w:lvlJc w:val="left"/>
      <w:pPr>
        <w:ind w:left="0" w:firstLine="0"/>
      </w:pPr>
      <w:rPr>
        <w:rFonts w:ascii="Arial" w:hAnsi="Arial" w:hint="default"/>
        <w:b w:val="0"/>
        <w:i w:val="0"/>
        <w:sz w:val="18"/>
      </w:rPr>
    </w:lvl>
    <w:lvl w:ilvl="1">
      <w:start w:val="1"/>
      <w:numFmt w:val="decimal"/>
      <w:pStyle w:val="ListNumber"/>
      <w:lvlText w:val="%2."/>
      <w:lvlJc w:val="left"/>
      <w:pPr>
        <w:tabs>
          <w:tab w:val="num" w:pos="284"/>
        </w:tabs>
        <w:ind w:left="284" w:hanging="284"/>
      </w:pPr>
      <w:rPr>
        <w:rFonts w:ascii="Arial" w:hAnsi="Arial" w:hint="default"/>
        <w:b w:val="0"/>
        <w:i w:val="0"/>
        <w:caps w:val="0"/>
        <w:strike w:val="0"/>
        <w:dstrike w:val="0"/>
        <w:vanish w:val="0"/>
        <w:color w:val="auto"/>
        <w:spacing w:val="0"/>
        <w:w w:val="100"/>
        <w:kern w:val="0"/>
        <w:position w:val="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ListNumber2"/>
      <w:lvlText w:val=""/>
      <w:lvlJc w:val="left"/>
      <w:pPr>
        <w:tabs>
          <w:tab w:val="num" w:pos="454"/>
        </w:tabs>
        <w:ind w:left="454" w:hanging="170"/>
      </w:pPr>
      <w:rPr>
        <w:rFonts w:ascii="Symbol" w:hAnsi="Symbol" w:hint="default"/>
        <w:position w:val="2"/>
        <w:sz w:val="16"/>
      </w:rPr>
    </w:lvl>
    <w:lvl w:ilvl="3">
      <w:start w:val="1"/>
      <w:numFmt w:val="bullet"/>
      <w:pStyle w:val="ListNumber3"/>
      <w:lvlText w:val=""/>
      <w:lvlJc w:val="left"/>
      <w:pPr>
        <w:tabs>
          <w:tab w:val="num" w:pos="624"/>
        </w:tabs>
        <w:ind w:left="624" w:hanging="170"/>
      </w:pPr>
      <w:rPr>
        <w:rFonts w:ascii="Symbol" w:hAnsi="Symbol"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1183C93"/>
    <w:multiLevelType w:val="hybridMultilevel"/>
    <w:tmpl w:val="EA3ECC7A"/>
    <w:name w:val="SydListNumb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9E1669F"/>
    <w:multiLevelType w:val="hybridMultilevel"/>
    <w:tmpl w:val="C4020496"/>
    <w:name w:val="SydListNumb3"/>
    <w:lvl w:ilvl="0" w:tplc="631808FC">
      <w:start w:val="1"/>
      <w:numFmt w:val="lowerLetter"/>
      <w:pStyle w:val="BodyAlphaNumbering"/>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BF67B24"/>
    <w:multiLevelType w:val="multilevel"/>
    <w:tmpl w:val="E202F950"/>
    <w:lvl w:ilvl="0">
      <w:start w:val="1"/>
      <w:numFmt w:val="bullet"/>
      <w:pStyle w:val="BodyBullet"/>
      <w:lvlText w:val=""/>
      <w:lvlJc w:val="left"/>
      <w:pPr>
        <w:tabs>
          <w:tab w:val="num" w:pos="227"/>
        </w:tabs>
        <w:ind w:left="227" w:hanging="227"/>
      </w:pPr>
      <w:rPr>
        <w:rFonts w:ascii="Symbol" w:hAnsi="Symbol" w:hint="default"/>
        <w:color w:val="auto"/>
        <w:position w:val="2"/>
        <w:sz w:val="16"/>
      </w:rPr>
    </w:lvl>
    <w:lvl w:ilvl="1">
      <w:start w:val="1"/>
      <w:numFmt w:val="bullet"/>
      <w:pStyle w:val="BodyBullet2"/>
      <w:lvlText w:val=""/>
      <w:lvlJc w:val="left"/>
      <w:pPr>
        <w:tabs>
          <w:tab w:val="num" w:pos="454"/>
        </w:tabs>
        <w:ind w:left="454" w:hanging="227"/>
      </w:pPr>
      <w:rPr>
        <w:rFonts w:ascii="Symbol" w:hAnsi="Symbol" w:hint="default"/>
        <w:position w:val="2"/>
        <w:sz w:val="16"/>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4F9F3B60"/>
    <w:multiLevelType w:val="hybridMultilevel"/>
    <w:tmpl w:val="37A6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B7445F0"/>
    <w:multiLevelType w:val="hybridMultilevel"/>
    <w:tmpl w:val="9BC0C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37248A3"/>
    <w:multiLevelType w:val="multilevel"/>
    <w:tmpl w:val="CF849A80"/>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2"/>
  </w:num>
  <w:num w:numId="3">
    <w:abstractNumId w:val="1"/>
  </w:num>
  <w:num w:numId="4">
    <w:abstractNumId w:val="3"/>
  </w:num>
  <w:num w:numId="5">
    <w:abstractNumId w:val="5"/>
  </w:num>
  <w:num w:numId="6">
    <w:abstractNumId w:val="9"/>
  </w:num>
  <w:num w:numId="7">
    <w:abstractNumId w:val="0"/>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documentProtection w:formatting="1" w:enforcement="0"/>
  <w:defaultTabStop w:val="720"/>
  <w:drawingGridHorizontalSpacing w:val="90"/>
  <w:displayHorizontalDrawingGridEvery w:val="2"/>
  <w:characterSpacingControl w:val="doNotCompress"/>
  <w:hdrShapeDefaults>
    <o:shapedefaults v:ext="edit" spidmax="2049" style="mso-position-vertical-relative:page;v-text-anchor:middle" fillcolor="#7f7f7f" stroke="f" strokecolor="#4a7ebb">
      <v:fill color="#7f7f7f"/>
      <v:stroke color="#4a7ebb" on="f"/>
      <v:shadow on="t" color="black" opacity="22936f" origin=",.5" offset="0,.63889mm"/>
      <o:colormru v:ext="edit" colors="#7577c0,#fcf,#ffe5ff,#010a64"/>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C69"/>
    <w:rsid w:val="000031A2"/>
    <w:rsid w:val="00005327"/>
    <w:rsid w:val="000102A5"/>
    <w:rsid w:val="000104C4"/>
    <w:rsid w:val="00015AFC"/>
    <w:rsid w:val="00015C1B"/>
    <w:rsid w:val="00017F92"/>
    <w:rsid w:val="000231E3"/>
    <w:rsid w:val="00023B66"/>
    <w:rsid w:val="00023BEE"/>
    <w:rsid w:val="00026CBE"/>
    <w:rsid w:val="0003025C"/>
    <w:rsid w:val="00030374"/>
    <w:rsid w:val="00033007"/>
    <w:rsid w:val="0003305E"/>
    <w:rsid w:val="000336B5"/>
    <w:rsid w:val="00035D1B"/>
    <w:rsid w:val="0004188C"/>
    <w:rsid w:val="00042BC0"/>
    <w:rsid w:val="00043603"/>
    <w:rsid w:val="00045466"/>
    <w:rsid w:val="00050138"/>
    <w:rsid w:val="00050AF3"/>
    <w:rsid w:val="00051D2A"/>
    <w:rsid w:val="0005225F"/>
    <w:rsid w:val="0005265E"/>
    <w:rsid w:val="000555A4"/>
    <w:rsid w:val="00056E93"/>
    <w:rsid w:val="00056F79"/>
    <w:rsid w:val="00062CFD"/>
    <w:rsid w:val="00064E16"/>
    <w:rsid w:val="00066C31"/>
    <w:rsid w:val="000706DA"/>
    <w:rsid w:val="00070703"/>
    <w:rsid w:val="000723A9"/>
    <w:rsid w:val="000740DE"/>
    <w:rsid w:val="00081D1D"/>
    <w:rsid w:val="00084470"/>
    <w:rsid w:val="00085322"/>
    <w:rsid w:val="0009500C"/>
    <w:rsid w:val="0009640F"/>
    <w:rsid w:val="00096B37"/>
    <w:rsid w:val="00097C38"/>
    <w:rsid w:val="00097D86"/>
    <w:rsid w:val="000A0FFA"/>
    <w:rsid w:val="000A2F8F"/>
    <w:rsid w:val="000A3324"/>
    <w:rsid w:val="000A47DF"/>
    <w:rsid w:val="000A52BD"/>
    <w:rsid w:val="000B1618"/>
    <w:rsid w:val="000C2DB1"/>
    <w:rsid w:val="000C4C5C"/>
    <w:rsid w:val="000D05AA"/>
    <w:rsid w:val="000D11EC"/>
    <w:rsid w:val="000D15C9"/>
    <w:rsid w:val="000D1E7E"/>
    <w:rsid w:val="000D3103"/>
    <w:rsid w:val="000D371B"/>
    <w:rsid w:val="000E09E9"/>
    <w:rsid w:val="000E301F"/>
    <w:rsid w:val="000F13EC"/>
    <w:rsid w:val="000F2BB6"/>
    <w:rsid w:val="000F344F"/>
    <w:rsid w:val="000F5DB6"/>
    <w:rsid w:val="000F7935"/>
    <w:rsid w:val="001019C9"/>
    <w:rsid w:val="00101F94"/>
    <w:rsid w:val="00102118"/>
    <w:rsid w:val="0010387C"/>
    <w:rsid w:val="00103CFE"/>
    <w:rsid w:val="00103F6B"/>
    <w:rsid w:val="001055C0"/>
    <w:rsid w:val="00110E7A"/>
    <w:rsid w:val="0011139A"/>
    <w:rsid w:val="00112E0D"/>
    <w:rsid w:val="00113E49"/>
    <w:rsid w:val="0011475A"/>
    <w:rsid w:val="0011553A"/>
    <w:rsid w:val="00115C67"/>
    <w:rsid w:val="00121743"/>
    <w:rsid w:val="00121AED"/>
    <w:rsid w:val="00125A07"/>
    <w:rsid w:val="00126DD7"/>
    <w:rsid w:val="00131FC7"/>
    <w:rsid w:val="00132EE1"/>
    <w:rsid w:val="00135431"/>
    <w:rsid w:val="00136B27"/>
    <w:rsid w:val="00136DDA"/>
    <w:rsid w:val="001405A1"/>
    <w:rsid w:val="001416A4"/>
    <w:rsid w:val="00141C9C"/>
    <w:rsid w:val="00141FC9"/>
    <w:rsid w:val="001423C2"/>
    <w:rsid w:val="0014429F"/>
    <w:rsid w:val="001468C6"/>
    <w:rsid w:val="0015118E"/>
    <w:rsid w:val="00151602"/>
    <w:rsid w:val="00151C70"/>
    <w:rsid w:val="00156C58"/>
    <w:rsid w:val="001605AF"/>
    <w:rsid w:val="001614CE"/>
    <w:rsid w:val="00161EFC"/>
    <w:rsid w:val="00163033"/>
    <w:rsid w:val="00164834"/>
    <w:rsid w:val="00164C17"/>
    <w:rsid w:val="0016613F"/>
    <w:rsid w:val="00167723"/>
    <w:rsid w:val="001702BA"/>
    <w:rsid w:val="00171BDF"/>
    <w:rsid w:val="001736AD"/>
    <w:rsid w:val="001744A4"/>
    <w:rsid w:val="00180BC4"/>
    <w:rsid w:val="00180F0A"/>
    <w:rsid w:val="00181061"/>
    <w:rsid w:val="00181660"/>
    <w:rsid w:val="0018480F"/>
    <w:rsid w:val="001854E7"/>
    <w:rsid w:val="001907FB"/>
    <w:rsid w:val="001909C0"/>
    <w:rsid w:val="00190B12"/>
    <w:rsid w:val="001911A4"/>
    <w:rsid w:val="00195556"/>
    <w:rsid w:val="00195C07"/>
    <w:rsid w:val="00195DFB"/>
    <w:rsid w:val="001A621F"/>
    <w:rsid w:val="001A6411"/>
    <w:rsid w:val="001A6BA9"/>
    <w:rsid w:val="001A7037"/>
    <w:rsid w:val="001B1687"/>
    <w:rsid w:val="001B1B3C"/>
    <w:rsid w:val="001B355E"/>
    <w:rsid w:val="001B540A"/>
    <w:rsid w:val="001C1D3D"/>
    <w:rsid w:val="001C1DB2"/>
    <w:rsid w:val="001C66BE"/>
    <w:rsid w:val="001D279F"/>
    <w:rsid w:val="001E01A5"/>
    <w:rsid w:val="001E136E"/>
    <w:rsid w:val="001E354B"/>
    <w:rsid w:val="001F4EE8"/>
    <w:rsid w:val="001F4F7E"/>
    <w:rsid w:val="001F62C6"/>
    <w:rsid w:val="001F7B75"/>
    <w:rsid w:val="00201F1D"/>
    <w:rsid w:val="0020355A"/>
    <w:rsid w:val="002045EB"/>
    <w:rsid w:val="00206F64"/>
    <w:rsid w:val="00210FCC"/>
    <w:rsid w:val="00211AC4"/>
    <w:rsid w:val="0021425B"/>
    <w:rsid w:val="0021511E"/>
    <w:rsid w:val="0021644F"/>
    <w:rsid w:val="00225936"/>
    <w:rsid w:val="0022737C"/>
    <w:rsid w:val="00227BA7"/>
    <w:rsid w:val="0023266A"/>
    <w:rsid w:val="00232A3B"/>
    <w:rsid w:val="00235997"/>
    <w:rsid w:val="002422F2"/>
    <w:rsid w:val="00242BED"/>
    <w:rsid w:val="00251F9B"/>
    <w:rsid w:val="00252953"/>
    <w:rsid w:val="002536F6"/>
    <w:rsid w:val="00255B31"/>
    <w:rsid w:val="00257C15"/>
    <w:rsid w:val="0026018C"/>
    <w:rsid w:val="00265077"/>
    <w:rsid w:val="002679F8"/>
    <w:rsid w:val="00270098"/>
    <w:rsid w:val="002702C9"/>
    <w:rsid w:val="002708A8"/>
    <w:rsid w:val="002735C0"/>
    <w:rsid w:val="00275825"/>
    <w:rsid w:val="002768E9"/>
    <w:rsid w:val="00280464"/>
    <w:rsid w:val="00282FE0"/>
    <w:rsid w:val="0028499E"/>
    <w:rsid w:val="002868E9"/>
    <w:rsid w:val="0029028F"/>
    <w:rsid w:val="002913A9"/>
    <w:rsid w:val="00291709"/>
    <w:rsid w:val="002939C2"/>
    <w:rsid w:val="00293B25"/>
    <w:rsid w:val="00294509"/>
    <w:rsid w:val="002948A7"/>
    <w:rsid w:val="002A1582"/>
    <w:rsid w:val="002A19CB"/>
    <w:rsid w:val="002A6D2E"/>
    <w:rsid w:val="002A6EB3"/>
    <w:rsid w:val="002A7849"/>
    <w:rsid w:val="002B0C90"/>
    <w:rsid w:val="002B61EF"/>
    <w:rsid w:val="002B6A67"/>
    <w:rsid w:val="002B7174"/>
    <w:rsid w:val="002C0491"/>
    <w:rsid w:val="002C0731"/>
    <w:rsid w:val="002C17C0"/>
    <w:rsid w:val="002C2948"/>
    <w:rsid w:val="002C328C"/>
    <w:rsid w:val="002C4267"/>
    <w:rsid w:val="002C679B"/>
    <w:rsid w:val="002D0935"/>
    <w:rsid w:val="002D3D26"/>
    <w:rsid w:val="002D4EDD"/>
    <w:rsid w:val="002D4F39"/>
    <w:rsid w:val="002D5EFB"/>
    <w:rsid w:val="002E0CB3"/>
    <w:rsid w:val="002E3982"/>
    <w:rsid w:val="002E7304"/>
    <w:rsid w:val="002F032C"/>
    <w:rsid w:val="002F06F1"/>
    <w:rsid w:val="002F2439"/>
    <w:rsid w:val="002F442C"/>
    <w:rsid w:val="002F4B6B"/>
    <w:rsid w:val="002F6593"/>
    <w:rsid w:val="002F6B61"/>
    <w:rsid w:val="00303CD7"/>
    <w:rsid w:val="00305D43"/>
    <w:rsid w:val="00307D42"/>
    <w:rsid w:val="00307D6F"/>
    <w:rsid w:val="00313A73"/>
    <w:rsid w:val="00313BB8"/>
    <w:rsid w:val="00314184"/>
    <w:rsid w:val="00315C3D"/>
    <w:rsid w:val="003207D9"/>
    <w:rsid w:val="00321539"/>
    <w:rsid w:val="00322510"/>
    <w:rsid w:val="003238C1"/>
    <w:rsid w:val="003258D8"/>
    <w:rsid w:val="00326169"/>
    <w:rsid w:val="003312D6"/>
    <w:rsid w:val="00334538"/>
    <w:rsid w:val="00334B1B"/>
    <w:rsid w:val="00335BCB"/>
    <w:rsid w:val="003375EA"/>
    <w:rsid w:val="00340D87"/>
    <w:rsid w:val="003433F0"/>
    <w:rsid w:val="00344EB2"/>
    <w:rsid w:val="003451AA"/>
    <w:rsid w:val="003452D8"/>
    <w:rsid w:val="0034540F"/>
    <w:rsid w:val="003464C5"/>
    <w:rsid w:val="00351A7F"/>
    <w:rsid w:val="0035375E"/>
    <w:rsid w:val="00353FDF"/>
    <w:rsid w:val="00356370"/>
    <w:rsid w:val="00356690"/>
    <w:rsid w:val="003566AF"/>
    <w:rsid w:val="00361FA6"/>
    <w:rsid w:val="003660F4"/>
    <w:rsid w:val="00370E64"/>
    <w:rsid w:val="00371611"/>
    <w:rsid w:val="00371656"/>
    <w:rsid w:val="00371B1A"/>
    <w:rsid w:val="00373D86"/>
    <w:rsid w:val="003803BA"/>
    <w:rsid w:val="00383D4B"/>
    <w:rsid w:val="003868FD"/>
    <w:rsid w:val="00390CE4"/>
    <w:rsid w:val="003916C8"/>
    <w:rsid w:val="00392609"/>
    <w:rsid w:val="00393C5F"/>
    <w:rsid w:val="00394A34"/>
    <w:rsid w:val="00396260"/>
    <w:rsid w:val="003967C0"/>
    <w:rsid w:val="00397B2E"/>
    <w:rsid w:val="00397BCC"/>
    <w:rsid w:val="003A0386"/>
    <w:rsid w:val="003A2845"/>
    <w:rsid w:val="003A298E"/>
    <w:rsid w:val="003A63D2"/>
    <w:rsid w:val="003A6AF3"/>
    <w:rsid w:val="003B0FCB"/>
    <w:rsid w:val="003B2CC2"/>
    <w:rsid w:val="003B3AF5"/>
    <w:rsid w:val="003B3F0B"/>
    <w:rsid w:val="003B42F0"/>
    <w:rsid w:val="003B46CA"/>
    <w:rsid w:val="003B4C6A"/>
    <w:rsid w:val="003B639A"/>
    <w:rsid w:val="003B7250"/>
    <w:rsid w:val="003B745B"/>
    <w:rsid w:val="003C021B"/>
    <w:rsid w:val="003C0297"/>
    <w:rsid w:val="003C097D"/>
    <w:rsid w:val="003C0FC8"/>
    <w:rsid w:val="003D125E"/>
    <w:rsid w:val="003D1BB6"/>
    <w:rsid w:val="003D38DD"/>
    <w:rsid w:val="003D40C4"/>
    <w:rsid w:val="003D53E8"/>
    <w:rsid w:val="003D6D2D"/>
    <w:rsid w:val="003E0D32"/>
    <w:rsid w:val="003F172D"/>
    <w:rsid w:val="003F6F27"/>
    <w:rsid w:val="00405724"/>
    <w:rsid w:val="004065C4"/>
    <w:rsid w:val="00406D09"/>
    <w:rsid w:val="0041073B"/>
    <w:rsid w:val="004175E8"/>
    <w:rsid w:val="00420881"/>
    <w:rsid w:val="00422445"/>
    <w:rsid w:val="00422A9E"/>
    <w:rsid w:val="00424F4A"/>
    <w:rsid w:val="00427442"/>
    <w:rsid w:val="00431175"/>
    <w:rsid w:val="00431252"/>
    <w:rsid w:val="004348FD"/>
    <w:rsid w:val="00437777"/>
    <w:rsid w:val="0044073E"/>
    <w:rsid w:val="00440DF5"/>
    <w:rsid w:val="00442D40"/>
    <w:rsid w:val="00444AC1"/>
    <w:rsid w:val="004527EC"/>
    <w:rsid w:val="00454040"/>
    <w:rsid w:val="00454D1F"/>
    <w:rsid w:val="0045602A"/>
    <w:rsid w:val="00456CB6"/>
    <w:rsid w:val="00460670"/>
    <w:rsid w:val="00460CCC"/>
    <w:rsid w:val="00462293"/>
    <w:rsid w:val="00462FF2"/>
    <w:rsid w:val="00463F8F"/>
    <w:rsid w:val="00464FAB"/>
    <w:rsid w:val="00466565"/>
    <w:rsid w:val="00466D16"/>
    <w:rsid w:val="004744BF"/>
    <w:rsid w:val="0048051C"/>
    <w:rsid w:val="00480FFA"/>
    <w:rsid w:val="00481616"/>
    <w:rsid w:val="00484CE9"/>
    <w:rsid w:val="00485F1D"/>
    <w:rsid w:val="004865D4"/>
    <w:rsid w:val="00487E74"/>
    <w:rsid w:val="00490372"/>
    <w:rsid w:val="004930B9"/>
    <w:rsid w:val="004959A7"/>
    <w:rsid w:val="0049637D"/>
    <w:rsid w:val="00496B27"/>
    <w:rsid w:val="00496D9C"/>
    <w:rsid w:val="004A18EA"/>
    <w:rsid w:val="004A739D"/>
    <w:rsid w:val="004B303F"/>
    <w:rsid w:val="004B4527"/>
    <w:rsid w:val="004C05F7"/>
    <w:rsid w:val="004C06D2"/>
    <w:rsid w:val="004C32E9"/>
    <w:rsid w:val="004C689A"/>
    <w:rsid w:val="004D0E34"/>
    <w:rsid w:val="004D3739"/>
    <w:rsid w:val="004D506F"/>
    <w:rsid w:val="004D5A33"/>
    <w:rsid w:val="004D6A4B"/>
    <w:rsid w:val="004D7051"/>
    <w:rsid w:val="004E1607"/>
    <w:rsid w:val="004E2585"/>
    <w:rsid w:val="004E2C13"/>
    <w:rsid w:val="004E2EE7"/>
    <w:rsid w:val="004E4F9E"/>
    <w:rsid w:val="004E5D19"/>
    <w:rsid w:val="004E728B"/>
    <w:rsid w:val="004F00B4"/>
    <w:rsid w:val="004F1A95"/>
    <w:rsid w:val="004F1D44"/>
    <w:rsid w:val="004F2918"/>
    <w:rsid w:val="004F312D"/>
    <w:rsid w:val="004F3E62"/>
    <w:rsid w:val="004F482D"/>
    <w:rsid w:val="004F4DD1"/>
    <w:rsid w:val="00500D3B"/>
    <w:rsid w:val="00501076"/>
    <w:rsid w:val="00503E4E"/>
    <w:rsid w:val="005044AC"/>
    <w:rsid w:val="00504C69"/>
    <w:rsid w:val="00505C50"/>
    <w:rsid w:val="00510E6B"/>
    <w:rsid w:val="0051407D"/>
    <w:rsid w:val="00517DDC"/>
    <w:rsid w:val="00520716"/>
    <w:rsid w:val="0052143F"/>
    <w:rsid w:val="00522F6B"/>
    <w:rsid w:val="00524A6B"/>
    <w:rsid w:val="00527214"/>
    <w:rsid w:val="00527DC4"/>
    <w:rsid w:val="00530291"/>
    <w:rsid w:val="005321E1"/>
    <w:rsid w:val="00533FC1"/>
    <w:rsid w:val="0053476A"/>
    <w:rsid w:val="005371FB"/>
    <w:rsid w:val="00542D0A"/>
    <w:rsid w:val="005430BF"/>
    <w:rsid w:val="00545712"/>
    <w:rsid w:val="00547550"/>
    <w:rsid w:val="00556B7A"/>
    <w:rsid w:val="00560A88"/>
    <w:rsid w:val="0056433F"/>
    <w:rsid w:val="005701E4"/>
    <w:rsid w:val="0057570B"/>
    <w:rsid w:val="005759A6"/>
    <w:rsid w:val="00575DC1"/>
    <w:rsid w:val="00576187"/>
    <w:rsid w:val="00580155"/>
    <w:rsid w:val="00580963"/>
    <w:rsid w:val="00581CF8"/>
    <w:rsid w:val="005836FE"/>
    <w:rsid w:val="00587EF3"/>
    <w:rsid w:val="0059119B"/>
    <w:rsid w:val="00591222"/>
    <w:rsid w:val="00591429"/>
    <w:rsid w:val="0059265E"/>
    <w:rsid w:val="005955E2"/>
    <w:rsid w:val="005955E6"/>
    <w:rsid w:val="005957DA"/>
    <w:rsid w:val="0059782A"/>
    <w:rsid w:val="005A0F96"/>
    <w:rsid w:val="005A150C"/>
    <w:rsid w:val="005A15B0"/>
    <w:rsid w:val="005A1A66"/>
    <w:rsid w:val="005A4A11"/>
    <w:rsid w:val="005B197F"/>
    <w:rsid w:val="005B28F8"/>
    <w:rsid w:val="005B3E01"/>
    <w:rsid w:val="005B59DB"/>
    <w:rsid w:val="005C2233"/>
    <w:rsid w:val="005C3E25"/>
    <w:rsid w:val="005C4B8C"/>
    <w:rsid w:val="005C4E34"/>
    <w:rsid w:val="005C6FB6"/>
    <w:rsid w:val="005C78F2"/>
    <w:rsid w:val="005D5455"/>
    <w:rsid w:val="005E57BB"/>
    <w:rsid w:val="005E5E7D"/>
    <w:rsid w:val="005F4E77"/>
    <w:rsid w:val="005F5472"/>
    <w:rsid w:val="006010DB"/>
    <w:rsid w:val="00601EC7"/>
    <w:rsid w:val="0060274F"/>
    <w:rsid w:val="0060319E"/>
    <w:rsid w:val="00604E6D"/>
    <w:rsid w:val="00605D37"/>
    <w:rsid w:val="00610049"/>
    <w:rsid w:val="0061106E"/>
    <w:rsid w:val="006121B7"/>
    <w:rsid w:val="006135CA"/>
    <w:rsid w:val="006157D3"/>
    <w:rsid w:val="00615AA5"/>
    <w:rsid w:val="00623B9D"/>
    <w:rsid w:val="006241F4"/>
    <w:rsid w:val="00624623"/>
    <w:rsid w:val="006255BC"/>
    <w:rsid w:val="00626E92"/>
    <w:rsid w:val="00627911"/>
    <w:rsid w:val="00630544"/>
    <w:rsid w:val="00631DEF"/>
    <w:rsid w:val="00633DFB"/>
    <w:rsid w:val="00635266"/>
    <w:rsid w:val="00636766"/>
    <w:rsid w:val="00637892"/>
    <w:rsid w:val="00642626"/>
    <w:rsid w:val="00643C3F"/>
    <w:rsid w:val="00652FC4"/>
    <w:rsid w:val="006541F0"/>
    <w:rsid w:val="00656C96"/>
    <w:rsid w:val="006605B8"/>
    <w:rsid w:val="00661D73"/>
    <w:rsid w:val="00665A1E"/>
    <w:rsid w:val="00666C8D"/>
    <w:rsid w:val="0067099F"/>
    <w:rsid w:val="006713F3"/>
    <w:rsid w:val="00671FA8"/>
    <w:rsid w:val="00673E33"/>
    <w:rsid w:val="0067460A"/>
    <w:rsid w:val="00674980"/>
    <w:rsid w:val="00675451"/>
    <w:rsid w:val="00677730"/>
    <w:rsid w:val="006800D7"/>
    <w:rsid w:val="00682770"/>
    <w:rsid w:val="00683E6C"/>
    <w:rsid w:val="006855DF"/>
    <w:rsid w:val="00686D51"/>
    <w:rsid w:val="00690EDF"/>
    <w:rsid w:val="00692399"/>
    <w:rsid w:val="0069502A"/>
    <w:rsid w:val="00695134"/>
    <w:rsid w:val="006957C7"/>
    <w:rsid w:val="00697E1C"/>
    <w:rsid w:val="006A336F"/>
    <w:rsid w:val="006A547A"/>
    <w:rsid w:val="006B33FC"/>
    <w:rsid w:val="006C0017"/>
    <w:rsid w:val="006C00F7"/>
    <w:rsid w:val="006C2C42"/>
    <w:rsid w:val="006C332F"/>
    <w:rsid w:val="006C4665"/>
    <w:rsid w:val="006C48C2"/>
    <w:rsid w:val="006C5715"/>
    <w:rsid w:val="006C5F18"/>
    <w:rsid w:val="006C7FEE"/>
    <w:rsid w:val="006D183A"/>
    <w:rsid w:val="006D2519"/>
    <w:rsid w:val="006D6CE4"/>
    <w:rsid w:val="006E2AB7"/>
    <w:rsid w:val="006E2AD4"/>
    <w:rsid w:val="006E3B5F"/>
    <w:rsid w:val="006E3C71"/>
    <w:rsid w:val="006E648F"/>
    <w:rsid w:val="006E7C42"/>
    <w:rsid w:val="006F191B"/>
    <w:rsid w:val="006F1A86"/>
    <w:rsid w:val="006F2125"/>
    <w:rsid w:val="006F2C70"/>
    <w:rsid w:val="006F59DA"/>
    <w:rsid w:val="006F729D"/>
    <w:rsid w:val="00700AD7"/>
    <w:rsid w:val="00700F65"/>
    <w:rsid w:val="0071288C"/>
    <w:rsid w:val="00712FE4"/>
    <w:rsid w:val="00722498"/>
    <w:rsid w:val="00722F48"/>
    <w:rsid w:val="007238A6"/>
    <w:rsid w:val="00736622"/>
    <w:rsid w:val="00737F64"/>
    <w:rsid w:val="00741FB4"/>
    <w:rsid w:val="007426DD"/>
    <w:rsid w:val="0074339F"/>
    <w:rsid w:val="00743D25"/>
    <w:rsid w:val="00746F9D"/>
    <w:rsid w:val="00747426"/>
    <w:rsid w:val="007536AA"/>
    <w:rsid w:val="0076136C"/>
    <w:rsid w:val="007624C5"/>
    <w:rsid w:val="0077026D"/>
    <w:rsid w:val="0077205E"/>
    <w:rsid w:val="007725CD"/>
    <w:rsid w:val="00783716"/>
    <w:rsid w:val="00786525"/>
    <w:rsid w:val="00786ED7"/>
    <w:rsid w:val="007871BA"/>
    <w:rsid w:val="007900FC"/>
    <w:rsid w:val="00790B8C"/>
    <w:rsid w:val="00791FB9"/>
    <w:rsid w:val="00792415"/>
    <w:rsid w:val="00795CEF"/>
    <w:rsid w:val="007A11DD"/>
    <w:rsid w:val="007A34F1"/>
    <w:rsid w:val="007A3635"/>
    <w:rsid w:val="007A4312"/>
    <w:rsid w:val="007A5611"/>
    <w:rsid w:val="007A5CB7"/>
    <w:rsid w:val="007B1995"/>
    <w:rsid w:val="007B48D0"/>
    <w:rsid w:val="007B62F4"/>
    <w:rsid w:val="007C17A3"/>
    <w:rsid w:val="007C3858"/>
    <w:rsid w:val="007C4C3E"/>
    <w:rsid w:val="007C553A"/>
    <w:rsid w:val="007C60D5"/>
    <w:rsid w:val="007C65A2"/>
    <w:rsid w:val="007C76EB"/>
    <w:rsid w:val="007D0823"/>
    <w:rsid w:val="007D24B4"/>
    <w:rsid w:val="007D3487"/>
    <w:rsid w:val="007D4315"/>
    <w:rsid w:val="007D50B6"/>
    <w:rsid w:val="007D55A2"/>
    <w:rsid w:val="007D760A"/>
    <w:rsid w:val="007E58E4"/>
    <w:rsid w:val="007E5E60"/>
    <w:rsid w:val="007E612F"/>
    <w:rsid w:val="007E64A6"/>
    <w:rsid w:val="007E7B2E"/>
    <w:rsid w:val="007F1646"/>
    <w:rsid w:val="007F334E"/>
    <w:rsid w:val="007F39B8"/>
    <w:rsid w:val="007F3A58"/>
    <w:rsid w:val="007F4203"/>
    <w:rsid w:val="007F65A1"/>
    <w:rsid w:val="00803D35"/>
    <w:rsid w:val="0080669E"/>
    <w:rsid w:val="0081416A"/>
    <w:rsid w:val="00814D28"/>
    <w:rsid w:val="00816C1E"/>
    <w:rsid w:val="00817C52"/>
    <w:rsid w:val="00820FEA"/>
    <w:rsid w:val="00821640"/>
    <w:rsid w:val="00825689"/>
    <w:rsid w:val="00827BB5"/>
    <w:rsid w:val="008309DA"/>
    <w:rsid w:val="00831F00"/>
    <w:rsid w:val="00832618"/>
    <w:rsid w:val="00835F08"/>
    <w:rsid w:val="00836B45"/>
    <w:rsid w:val="00840710"/>
    <w:rsid w:val="00847888"/>
    <w:rsid w:val="008501D8"/>
    <w:rsid w:val="008506FF"/>
    <w:rsid w:val="00850EA7"/>
    <w:rsid w:val="00851165"/>
    <w:rsid w:val="0085657E"/>
    <w:rsid w:val="00857465"/>
    <w:rsid w:val="00857CFF"/>
    <w:rsid w:val="008604AA"/>
    <w:rsid w:val="0086075B"/>
    <w:rsid w:val="008629FA"/>
    <w:rsid w:val="00864291"/>
    <w:rsid w:val="0086594C"/>
    <w:rsid w:val="00867C4B"/>
    <w:rsid w:val="00870646"/>
    <w:rsid w:val="0087354F"/>
    <w:rsid w:val="0087407D"/>
    <w:rsid w:val="0087421D"/>
    <w:rsid w:val="00880008"/>
    <w:rsid w:val="00882327"/>
    <w:rsid w:val="0088292E"/>
    <w:rsid w:val="00886076"/>
    <w:rsid w:val="008875A7"/>
    <w:rsid w:val="008875F4"/>
    <w:rsid w:val="00890ED7"/>
    <w:rsid w:val="00895D2E"/>
    <w:rsid w:val="008A0517"/>
    <w:rsid w:val="008A3772"/>
    <w:rsid w:val="008A5223"/>
    <w:rsid w:val="008A533F"/>
    <w:rsid w:val="008A5423"/>
    <w:rsid w:val="008A72C9"/>
    <w:rsid w:val="008B07F2"/>
    <w:rsid w:val="008B14F9"/>
    <w:rsid w:val="008B69E7"/>
    <w:rsid w:val="008B7430"/>
    <w:rsid w:val="008C0AB5"/>
    <w:rsid w:val="008C22ED"/>
    <w:rsid w:val="008C2312"/>
    <w:rsid w:val="008C4DFB"/>
    <w:rsid w:val="008C6583"/>
    <w:rsid w:val="008C77A9"/>
    <w:rsid w:val="008D4BF7"/>
    <w:rsid w:val="008D6BFF"/>
    <w:rsid w:val="008D7B4A"/>
    <w:rsid w:val="008E0603"/>
    <w:rsid w:val="008E2746"/>
    <w:rsid w:val="008E54BB"/>
    <w:rsid w:val="008E6928"/>
    <w:rsid w:val="008F466F"/>
    <w:rsid w:val="008F798E"/>
    <w:rsid w:val="008F7CC1"/>
    <w:rsid w:val="00901A76"/>
    <w:rsid w:val="009045ED"/>
    <w:rsid w:val="0090702E"/>
    <w:rsid w:val="0091135F"/>
    <w:rsid w:val="009137A7"/>
    <w:rsid w:val="009147F8"/>
    <w:rsid w:val="00914834"/>
    <w:rsid w:val="0091555A"/>
    <w:rsid w:val="00920218"/>
    <w:rsid w:val="00920ACB"/>
    <w:rsid w:val="00923AA6"/>
    <w:rsid w:val="0092451D"/>
    <w:rsid w:val="009278A9"/>
    <w:rsid w:val="00931199"/>
    <w:rsid w:val="00931FC8"/>
    <w:rsid w:val="00933259"/>
    <w:rsid w:val="00933C34"/>
    <w:rsid w:val="009452ED"/>
    <w:rsid w:val="009455FD"/>
    <w:rsid w:val="00945DB6"/>
    <w:rsid w:val="00950A24"/>
    <w:rsid w:val="00951156"/>
    <w:rsid w:val="00952BE5"/>
    <w:rsid w:val="00955ECC"/>
    <w:rsid w:val="009568E9"/>
    <w:rsid w:val="009632B4"/>
    <w:rsid w:val="009634B3"/>
    <w:rsid w:val="00966E7F"/>
    <w:rsid w:val="00967D32"/>
    <w:rsid w:val="0097585F"/>
    <w:rsid w:val="00977B85"/>
    <w:rsid w:val="00980EC8"/>
    <w:rsid w:val="00985249"/>
    <w:rsid w:val="00986E6C"/>
    <w:rsid w:val="009901E3"/>
    <w:rsid w:val="00991DA8"/>
    <w:rsid w:val="00995251"/>
    <w:rsid w:val="0099573D"/>
    <w:rsid w:val="009A312F"/>
    <w:rsid w:val="009A5E89"/>
    <w:rsid w:val="009A6604"/>
    <w:rsid w:val="009B426A"/>
    <w:rsid w:val="009B5274"/>
    <w:rsid w:val="009B626A"/>
    <w:rsid w:val="009B6648"/>
    <w:rsid w:val="009C15ED"/>
    <w:rsid w:val="009C5F1E"/>
    <w:rsid w:val="009D074F"/>
    <w:rsid w:val="009D1A6B"/>
    <w:rsid w:val="009D3BDA"/>
    <w:rsid w:val="009D56BA"/>
    <w:rsid w:val="009D5904"/>
    <w:rsid w:val="009E088D"/>
    <w:rsid w:val="009E1D14"/>
    <w:rsid w:val="009E1FF2"/>
    <w:rsid w:val="009E5923"/>
    <w:rsid w:val="009F1447"/>
    <w:rsid w:val="009F4005"/>
    <w:rsid w:val="009F720A"/>
    <w:rsid w:val="009F72F2"/>
    <w:rsid w:val="00A00742"/>
    <w:rsid w:val="00A00D88"/>
    <w:rsid w:val="00A01134"/>
    <w:rsid w:val="00A045AE"/>
    <w:rsid w:val="00A05C43"/>
    <w:rsid w:val="00A06EC4"/>
    <w:rsid w:val="00A10C20"/>
    <w:rsid w:val="00A2261D"/>
    <w:rsid w:val="00A22DBB"/>
    <w:rsid w:val="00A26B24"/>
    <w:rsid w:val="00A3023B"/>
    <w:rsid w:val="00A37114"/>
    <w:rsid w:val="00A4218D"/>
    <w:rsid w:val="00A4224D"/>
    <w:rsid w:val="00A4559F"/>
    <w:rsid w:val="00A455A2"/>
    <w:rsid w:val="00A459FB"/>
    <w:rsid w:val="00A4713B"/>
    <w:rsid w:val="00A508AD"/>
    <w:rsid w:val="00A533DB"/>
    <w:rsid w:val="00A53975"/>
    <w:rsid w:val="00A540B0"/>
    <w:rsid w:val="00A5664D"/>
    <w:rsid w:val="00A57D1E"/>
    <w:rsid w:val="00A6001C"/>
    <w:rsid w:val="00A62468"/>
    <w:rsid w:val="00A6268B"/>
    <w:rsid w:val="00A62CE0"/>
    <w:rsid w:val="00A637AE"/>
    <w:rsid w:val="00A65659"/>
    <w:rsid w:val="00A701EB"/>
    <w:rsid w:val="00A70F13"/>
    <w:rsid w:val="00A71A2F"/>
    <w:rsid w:val="00A737CF"/>
    <w:rsid w:val="00A746AB"/>
    <w:rsid w:val="00A76F32"/>
    <w:rsid w:val="00A77602"/>
    <w:rsid w:val="00A94B68"/>
    <w:rsid w:val="00A951E3"/>
    <w:rsid w:val="00AA1E77"/>
    <w:rsid w:val="00AA2CE0"/>
    <w:rsid w:val="00AA5CAE"/>
    <w:rsid w:val="00AA666B"/>
    <w:rsid w:val="00AB028B"/>
    <w:rsid w:val="00AB4BEC"/>
    <w:rsid w:val="00AB5733"/>
    <w:rsid w:val="00AB6857"/>
    <w:rsid w:val="00AC4B1C"/>
    <w:rsid w:val="00AC57BF"/>
    <w:rsid w:val="00AC5803"/>
    <w:rsid w:val="00AC5DE1"/>
    <w:rsid w:val="00AC7A4E"/>
    <w:rsid w:val="00AD1D10"/>
    <w:rsid w:val="00AD7770"/>
    <w:rsid w:val="00AE0892"/>
    <w:rsid w:val="00AE390A"/>
    <w:rsid w:val="00AE6A32"/>
    <w:rsid w:val="00AF46FD"/>
    <w:rsid w:val="00AF4A99"/>
    <w:rsid w:val="00AF68C2"/>
    <w:rsid w:val="00AF696A"/>
    <w:rsid w:val="00B02F22"/>
    <w:rsid w:val="00B07D8C"/>
    <w:rsid w:val="00B16280"/>
    <w:rsid w:val="00B236F6"/>
    <w:rsid w:val="00B247F9"/>
    <w:rsid w:val="00B25670"/>
    <w:rsid w:val="00B25860"/>
    <w:rsid w:val="00B25F1F"/>
    <w:rsid w:val="00B2733A"/>
    <w:rsid w:val="00B27C2C"/>
    <w:rsid w:val="00B3129A"/>
    <w:rsid w:val="00B317C6"/>
    <w:rsid w:val="00B3441D"/>
    <w:rsid w:val="00B37277"/>
    <w:rsid w:val="00B4378E"/>
    <w:rsid w:val="00B4766C"/>
    <w:rsid w:val="00B51152"/>
    <w:rsid w:val="00B51649"/>
    <w:rsid w:val="00B51A00"/>
    <w:rsid w:val="00B57820"/>
    <w:rsid w:val="00B63C43"/>
    <w:rsid w:val="00B65AF5"/>
    <w:rsid w:val="00B66E1A"/>
    <w:rsid w:val="00B70FCA"/>
    <w:rsid w:val="00B71288"/>
    <w:rsid w:val="00B720C5"/>
    <w:rsid w:val="00B7515C"/>
    <w:rsid w:val="00B75A91"/>
    <w:rsid w:val="00B769B4"/>
    <w:rsid w:val="00B811C6"/>
    <w:rsid w:val="00B87950"/>
    <w:rsid w:val="00B93D2A"/>
    <w:rsid w:val="00BA2E1F"/>
    <w:rsid w:val="00BA320B"/>
    <w:rsid w:val="00BB0304"/>
    <w:rsid w:val="00BB1866"/>
    <w:rsid w:val="00BB40C1"/>
    <w:rsid w:val="00BD187B"/>
    <w:rsid w:val="00BD199E"/>
    <w:rsid w:val="00BD20AB"/>
    <w:rsid w:val="00BD2918"/>
    <w:rsid w:val="00BE387E"/>
    <w:rsid w:val="00BE6B6C"/>
    <w:rsid w:val="00BE6D8D"/>
    <w:rsid w:val="00BE7052"/>
    <w:rsid w:val="00BE7340"/>
    <w:rsid w:val="00BF1EE9"/>
    <w:rsid w:val="00BF29CD"/>
    <w:rsid w:val="00BF3234"/>
    <w:rsid w:val="00BF4FF5"/>
    <w:rsid w:val="00BF6531"/>
    <w:rsid w:val="00BF6680"/>
    <w:rsid w:val="00C0310C"/>
    <w:rsid w:val="00C035DD"/>
    <w:rsid w:val="00C10159"/>
    <w:rsid w:val="00C10549"/>
    <w:rsid w:val="00C161FF"/>
    <w:rsid w:val="00C1719E"/>
    <w:rsid w:val="00C1775C"/>
    <w:rsid w:val="00C260B0"/>
    <w:rsid w:val="00C31880"/>
    <w:rsid w:val="00C32CCA"/>
    <w:rsid w:val="00C36378"/>
    <w:rsid w:val="00C36BB1"/>
    <w:rsid w:val="00C41086"/>
    <w:rsid w:val="00C41577"/>
    <w:rsid w:val="00C4179C"/>
    <w:rsid w:val="00C41FE0"/>
    <w:rsid w:val="00C425BE"/>
    <w:rsid w:val="00C43AE4"/>
    <w:rsid w:val="00C43CAF"/>
    <w:rsid w:val="00C45AB2"/>
    <w:rsid w:val="00C566F6"/>
    <w:rsid w:val="00C57026"/>
    <w:rsid w:val="00C5726F"/>
    <w:rsid w:val="00C606AA"/>
    <w:rsid w:val="00C60DC2"/>
    <w:rsid w:val="00C60E62"/>
    <w:rsid w:val="00C63938"/>
    <w:rsid w:val="00C64309"/>
    <w:rsid w:val="00C644B5"/>
    <w:rsid w:val="00C65D32"/>
    <w:rsid w:val="00C70077"/>
    <w:rsid w:val="00C7284E"/>
    <w:rsid w:val="00C74F42"/>
    <w:rsid w:val="00C85193"/>
    <w:rsid w:val="00C92F5D"/>
    <w:rsid w:val="00CA11BF"/>
    <w:rsid w:val="00CA2AC0"/>
    <w:rsid w:val="00CA5523"/>
    <w:rsid w:val="00CB0911"/>
    <w:rsid w:val="00CB12BB"/>
    <w:rsid w:val="00CB135F"/>
    <w:rsid w:val="00CB2433"/>
    <w:rsid w:val="00CB27E4"/>
    <w:rsid w:val="00CB40A0"/>
    <w:rsid w:val="00CB63D2"/>
    <w:rsid w:val="00CC1319"/>
    <w:rsid w:val="00CC476D"/>
    <w:rsid w:val="00CC6DA9"/>
    <w:rsid w:val="00CC7C81"/>
    <w:rsid w:val="00CD15AC"/>
    <w:rsid w:val="00CD19F0"/>
    <w:rsid w:val="00CD1B72"/>
    <w:rsid w:val="00CD1E8A"/>
    <w:rsid w:val="00CD52F6"/>
    <w:rsid w:val="00CD5B62"/>
    <w:rsid w:val="00CD79AA"/>
    <w:rsid w:val="00CE0868"/>
    <w:rsid w:val="00CE3D56"/>
    <w:rsid w:val="00CE4412"/>
    <w:rsid w:val="00CE7B26"/>
    <w:rsid w:val="00CF1B5A"/>
    <w:rsid w:val="00CF4E16"/>
    <w:rsid w:val="00CF789C"/>
    <w:rsid w:val="00CF7A4A"/>
    <w:rsid w:val="00D05EA7"/>
    <w:rsid w:val="00D0796F"/>
    <w:rsid w:val="00D12F7A"/>
    <w:rsid w:val="00D136AF"/>
    <w:rsid w:val="00D15DE3"/>
    <w:rsid w:val="00D16E74"/>
    <w:rsid w:val="00D2020A"/>
    <w:rsid w:val="00D22A6D"/>
    <w:rsid w:val="00D257BE"/>
    <w:rsid w:val="00D26189"/>
    <w:rsid w:val="00D2643F"/>
    <w:rsid w:val="00D2731C"/>
    <w:rsid w:val="00D30839"/>
    <w:rsid w:val="00D3178C"/>
    <w:rsid w:val="00D3390E"/>
    <w:rsid w:val="00D36EBD"/>
    <w:rsid w:val="00D37DD7"/>
    <w:rsid w:val="00D421D5"/>
    <w:rsid w:val="00D44D51"/>
    <w:rsid w:val="00D467F6"/>
    <w:rsid w:val="00D46C67"/>
    <w:rsid w:val="00D5172C"/>
    <w:rsid w:val="00D517E5"/>
    <w:rsid w:val="00D52AB8"/>
    <w:rsid w:val="00D52BD6"/>
    <w:rsid w:val="00D52C64"/>
    <w:rsid w:val="00D67A08"/>
    <w:rsid w:val="00D72452"/>
    <w:rsid w:val="00D72933"/>
    <w:rsid w:val="00D74C1D"/>
    <w:rsid w:val="00D7760E"/>
    <w:rsid w:val="00D81133"/>
    <w:rsid w:val="00D8213C"/>
    <w:rsid w:val="00D900E2"/>
    <w:rsid w:val="00D968FC"/>
    <w:rsid w:val="00DA5950"/>
    <w:rsid w:val="00DB0932"/>
    <w:rsid w:val="00DB099C"/>
    <w:rsid w:val="00DB1239"/>
    <w:rsid w:val="00DC065C"/>
    <w:rsid w:val="00DC210B"/>
    <w:rsid w:val="00DC4A4C"/>
    <w:rsid w:val="00DD001B"/>
    <w:rsid w:val="00DD0DD4"/>
    <w:rsid w:val="00DD1AF5"/>
    <w:rsid w:val="00DD5F62"/>
    <w:rsid w:val="00DE59E9"/>
    <w:rsid w:val="00DF1A95"/>
    <w:rsid w:val="00DF1D73"/>
    <w:rsid w:val="00DF23E7"/>
    <w:rsid w:val="00DF2B38"/>
    <w:rsid w:val="00DF426B"/>
    <w:rsid w:val="00DF77C8"/>
    <w:rsid w:val="00E0299D"/>
    <w:rsid w:val="00E02B2A"/>
    <w:rsid w:val="00E033C7"/>
    <w:rsid w:val="00E05621"/>
    <w:rsid w:val="00E07301"/>
    <w:rsid w:val="00E1511F"/>
    <w:rsid w:val="00E1512D"/>
    <w:rsid w:val="00E156F3"/>
    <w:rsid w:val="00E1689E"/>
    <w:rsid w:val="00E16FE5"/>
    <w:rsid w:val="00E17D9F"/>
    <w:rsid w:val="00E17EAB"/>
    <w:rsid w:val="00E20DCC"/>
    <w:rsid w:val="00E257BE"/>
    <w:rsid w:val="00E27D87"/>
    <w:rsid w:val="00E30336"/>
    <w:rsid w:val="00E31CDA"/>
    <w:rsid w:val="00E31DB4"/>
    <w:rsid w:val="00E32FDC"/>
    <w:rsid w:val="00E33AB5"/>
    <w:rsid w:val="00E35925"/>
    <w:rsid w:val="00E4233F"/>
    <w:rsid w:val="00E430F0"/>
    <w:rsid w:val="00E440DA"/>
    <w:rsid w:val="00E4589B"/>
    <w:rsid w:val="00E5536E"/>
    <w:rsid w:val="00E57709"/>
    <w:rsid w:val="00E57AEF"/>
    <w:rsid w:val="00E60219"/>
    <w:rsid w:val="00E614A6"/>
    <w:rsid w:val="00E61E4B"/>
    <w:rsid w:val="00E62035"/>
    <w:rsid w:val="00E620F9"/>
    <w:rsid w:val="00E64251"/>
    <w:rsid w:val="00E66948"/>
    <w:rsid w:val="00E7025F"/>
    <w:rsid w:val="00E70A9F"/>
    <w:rsid w:val="00E72310"/>
    <w:rsid w:val="00E75998"/>
    <w:rsid w:val="00E76F52"/>
    <w:rsid w:val="00E7778F"/>
    <w:rsid w:val="00E80737"/>
    <w:rsid w:val="00E81982"/>
    <w:rsid w:val="00E83376"/>
    <w:rsid w:val="00E83CC9"/>
    <w:rsid w:val="00E840F2"/>
    <w:rsid w:val="00E84F4A"/>
    <w:rsid w:val="00E90913"/>
    <w:rsid w:val="00E91739"/>
    <w:rsid w:val="00E974C6"/>
    <w:rsid w:val="00E97614"/>
    <w:rsid w:val="00E9767A"/>
    <w:rsid w:val="00EA4617"/>
    <w:rsid w:val="00EB1584"/>
    <w:rsid w:val="00EB1AAD"/>
    <w:rsid w:val="00EB3B51"/>
    <w:rsid w:val="00EB5342"/>
    <w:rsid w:val="00EB6730"/>
    <w:rsid w:val="00EB7D0E"/>
    <w:rsid w:val="00EC021C"/>
    <w:rsid w:val="00EC11D4"/>
    <w:rsid w:val="00EC246D"/>
    <w:rsid w:val="00EC7F9B"/>
    <w:rsid w:val="00ED3712"/>
    <w:rsid w:val="00ED6F48"/>
    <w:rsid w:val="00ED7EFD"/>
    <w:rsid w:val="00ED7F68"/>
    <w:rsid w:val="00EE17AD"/>
    <w:rsid w:val="00EE23C8"/>
    <w:rsid w:val="00EE4A85"/>
    <w:rsid w:val="00EE7C89"/>
    <w:rsid w:val="00EF2E91"/>
    <w:rsid w:val="00EF30E0"/>
    <w:rsid w:val="00EF37D5"/>
    <w:rsid w:val="00EF6142"/>
    <w:rsid w:val="00EF6372"/>
    <w:rsid w:val="00EF708A"/>
    <w:rsid w:val="00EF741E"/>
    <w:rsid w:val="00F00D16"/>
    <w:rsid w:val="00F04056"/>
    <w:rsid w:val="00F05F97"/>
    <w:rsid w:val="00F1028B"/>
    <w:rsid w:val="00F1289E"/>
    <w:rsid w:val="00F145B5"/>
    <w:rsid w:val="00F14F94"/>
    <w:rsid w:val="00F159B5"/>
    <w:rsid w:val="00F21EAB"/>
    <w:rsid w:val="00F22696"/>
    <w:rsid w:val="00F22933"/>
    <w:rsid w:val="00F22EA8"/>
    <w:rsid w:val="00F25A86"/>
    <w:rsid w:val="00F26309"/>
    <w:rsid w:val="00F2675C"/>
    <w:rsid w:val="00F331AC"/>
    <w:rsid w:val="00F3324C"/>
    <w:rsid w:val="00F33264"/>
    <w:rsid w:val="00F3619E"/>
    <w:rsid w:val="00F364CD"/>
    <w:rsid w:val="00F37421"/>
    <w:rsid w:val="00F37D8B"/>
    <w:rsid w:val="00F37FD5"/>
    <w:rsid w:val="00F4136B"/>
    <w:rsid w:val="00F41A23"/>
    <w:rsid w:val="00F44956"/>
    <w:rsid w:val="00F45AD7"/>
    <w:rsid w:val="00F47361"/>
    <w:rsid w:val="00F479D5"/>
    <w:rsid w:val="00F52055"/>
    <w:rsid w:val="00F55698"/>
    <w:rsid w:val="00F612B5"/>
    <w:rsid w:val="00F678A6"/>
    <w:rsid w:val="00F67CDA"/>
    <w:rsid w:val="00F70DC1"/>
    <w:rsid w:val="00F71DC2"/>
    <w:rsid w:val="00F72384"/>
    <w:rsid w:val="00F72840"/>
    <w:rsid w:val="00F72AAF"/>
    <w:rsid w:val="00F740FA"/>
    <w:rsid w:val="00F75F59"/>
    <w:rsid w:val="00F76930"/>
    <w:rsid w:val="00F76F0A"/>
    <w:rsid w:val="00F77B57"/>
    <w:rsid w:val="00F81E1A"/>
    <w:rsid w:val="00F82584"/>
    <w:rsid w:val="00F828EF"/>
    <w:rsid w:val="00F85227"/>
    <w:rsid w:val="00F859F2"/>
    <w:rsid w:val="00F8748A"/>
    <w:rsid w:val="00F95303"/>
    <w:rsid w:val="00F97026"/>
    <w:rsid w:val="00FA221E"/>
    <w:rsid w:val="00FA33FA"/>
    <w:rsid w:val="00FA59CE"/>
    <w:rsid w:val="00FB376E"/>
    <w:rsid w:val="00FB4130"/>
    <w:rsid w:val="00FB68AE"/>
    <w:rsid w:val="00FB6E6A"/>
    <w:rsid w:val="00FC0495"/>
    <w:rsid w:val="00FC4165"/>
    <w:rsid w:val="00FC701B"/>
    <w:rsid w:val="00FD0060"/>
    <w:rsid w:val="00FD024C"/>
    <w:rsid w:val="00FD09E5"/>
    <w:rsid w:val="00FD1125"/>
    <w:rsid w:val="00FD1F45"/>
    <w:rsid w:val="00FD1FFD"/>
    <w:rsid w:val="00FD2B9F"/>
    <w:rsid w:val="00FD3F8D"/>
    <w:rsid w:val="00FD57D8"/>
    <w:rsid w:val="00FE106D"/>
    <w:rsid w:val="00FE1583"/>
    <w:rsid w:val="00FE3B38"/>
    <w:rsid w:val="00FE3E6A"/>
    <w:rsid w:val="00FE483C"/>
    <w:rsid w:val="00FF67F7"/>
    <w:rsid w:val="00FF76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v-text-anchor:middle" fillcolor="#7f7f7f" stroke="f" strokecolor="#4a7ebb">
      <v:fill color="#7f7f7f"/>
      <v:stroke color="#4a7ebb" on="f"/>
      <v:shadow on="t" color="black" opacity="22936f" origin=",.5" offset="0,.63889mm"/>
      <o:colormru v:ext="edit" colors="#7577c0,#fcf,#ffe5ff,#010a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qFormat="1"/>
    <w:lsdException w:name="macro"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Subtitle" w:qFormat="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Strong" w:uiPriority="22" w:qFormat="1"/>
    <w:lsdException w:name="Emphasis" w:qFormat="1"/>
    <w:lsdException w:name="No List"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A62468"/>
    <w:rPr>
      <w:rFonts w:ascii="Arial" w:hAnsi="Arial" w:cs="Mangal"/>
      <w:sz w:val="18"/>
      <w:szCs w:val="24"/>
    </w:rPr>
  </w:style>
  <w:style w:type="paragraph" w:styleId="Heading1">
    <w:name w:val="heading 1"/>
    <w:basedOn w:val="Introduction"/>
    <w:next w:val="Normal"/>
    <w:link w:val="Heading1Char"/>
    <w:qFormat/>
    <w:rsid w:val="006541F0"/>
    <w:pPr>
      <w:keepNext/>
      <w:framePr w:w="9849" w:h="907" w:hRule="exact" w:hSpace="181" w:wrap="around" w:vAnchor="page" w:hAnchor="page" w:x="903" w:y="1248"/>
      <w:spacing w:after="540" w:line="211" w:lineRule="auto"/>
      <w:outlineLvl w:val="0"/>
    </w:pPr>
    <w:rPr>
      <w:rFonts w:cs="Arial"/>
      <w:color w:val="F79646"/>
      <w:spacing w:val="-20"/>
      <w:kern w:val="32"/>
      <w:sz w:val="40"/>
      <w:szCs w:val="32"/>
    </w:rPr>
  </w:style>
  <w:style w:type="paragraph" w:styleId="Heading2">
    <w:name w:val="heading 2"/>
    <w:basedOn w:val="Normal"/>
    <w:next w:val="BodyText"/>
    <w:link w:val="Heading2Char"/>
    <w:qFormat/>
    <w:rsid w:val="006541F0"/>
    <w:pPr>
      <w:keepNext/>
      <w:spacing w:before="380"/>
      <w:jc w:val="both"/>
      <w:outlineLvl w:val="1"/>
    </w:pPr>
    <w:rPr>
      <w:rFonts w:cs="Arial"/>
      <w:b/>
      <w:iCs/>
      <w:color w:val="F79646"/>
      <w:spacing w:val="-6"/>
      <w:sz w:val="24"/>
      <w:szCs w:val="36"/>
      <w:lang w:eastAsia="en-US"/>
    </w:rPr>
  </w:style>
  <w:style w:type="paragraph" w:styleId="Heading3">
    <w:name w:val="heading 3"/>
    <w:basedOn w:val="Normal"/>
    <w:next w:val="BodyText"/>
    <w:link w:val="Heading3Char"/>
    <w:qFormat/>
    <w:rsid w:val="0067460A"/>
    <w:pPr>
      <w:spacing w:before="340"/>
      <w:outlineLvl w:val="2"/>
    </w:pPr>
    <w:rPr>
      <w:rFonts w:ascii="Arial Bold" w:hAnsi="Arial Bold"/>
      <w:b/>
      <w:color w:val="F79646"/>
      <w:spacing w:val="1"/>
      <w:sz w:val="20"/>
    </w:rPr>
  </w:style>
  <w:style w:type="paragraph" w:styleId="Heading4">
    <w:name w:val="heading 4"/>
    <w:basedOn w:val="Heading3"/>
    <w:next w:val="BodyText"/>
    <w:link w:val="Heading4Char"/>
    <w:qFormat/>
    <w:rsid w:val="00E1689E"/>
    <w:pPr>
      <w:spacing w:before="220"/>
      <w:outlineLvl w:val="3"/>
    </w:pPr>
    <w:rPr>
      <w:sz w:val="18"/>
      <w:szCs w:val="18"/>
    </w:rPr>
  </w:style>
  <w:style w:type="paragraph" w:styleId="Heading5">
    <w:name w:val="heading 5"/>
    <w:basedOn w:val="Normal"/>
    <w:next w:val="Normal"/>
    <w:link w:val="Heading5Char"/>
    <w:qFormat/>
    <w:rsid w:val="005955E6"/>
    <w:pPr>
      <w:keepNext/>
      <w:jc w:val="center"/>
      <w:outlineLvl w:val="4"/>
    </w:pPr>
    <w:rPr>
      <w:rFonts w:cs="Arial"/>
      <w:b/>
      <w:bCs/>
      <w:color w:val="000000"/>
      <w:szCs w:val="18"/>
    </w:rPr>
  </w:style>
  <w:style w:type="paragraph" w:styleId="Heading6">
    <w:name w:val="heading 6"/>
    <w:basedOn w:val="Normal"/>
    <w:next w:val="Normal"/>
    <w:link w:val="Heading6Char"/>
    <w:qFormat/>
    <w:locked/>
    <w:rsid w:val="005955E6"/>
    <w:pPr>
      <w:spacing w:before="240" w:after="60"/>
      <w:outlineLvl w:val="5"/>
    </w:pPr>
    <w:rPr>
      <w:rFonts w:ascii="Lucida Sans Unicode" w:hAnsi="Lucida Sans Unicode" w:cs="Times New Roman"/>
      <w:b/>
      <w:bCs/>
      <w:sz w:val="22"/>
      <w:szCs w:val="22"/>
    </w:rPr>
  </w:style>
  <w:style w:type="paragraph" w:styleId="Heading7">
    <w:name w:val="heading 7"/>
    <w:basedOn w:val="Normal"/>
    <w:next w:val="Normal"/>
    <w:link w:val="Heading7Char"/>
    <w:qFormat/>
    <w:locked/>
    <w:rsid w:val="005955E6"/>
    <w:pPr>
      <w:keepNext/>
      <w:outlineLvl w:val="6"/>
    </w:pPr>
    <w:rPr>
      <w:rFonts w:cs="Arial"/>
      <w:b/>
      <w:bCs/>
      <w:szCs w:val="18"/>
    </w:rPr>
  </w:style>
  <w:style w:type="paragraph" w:styleId="Heading8">
    <w:name w:val="heading 8"/>
    <w:basedOn w:val="Normal"/>
    <w:next w:val="Normal"/>
    <w:link w:val="Heading8Char"/>
    <w:qFormat/>
    <w:locked/>
    <w:rsid w:val="005955E6"/>
    <w:pPr>
      <w:spacing w:before="240" w:after="60"/>
      <w:outlineLvl w:val="7"/>
    </w:pPr>
    <w:rPr>
      <w:rFonts w:ascii="Lucida Sans Unicode" w:hAnsi="Lucida Sans Unicode" w:cs="Times New Roman"/>
      <w:i/>
      <w:iCs/>
      <w:sz w:val="21"/>
    </w:rPr>
  </w:style>
  <w:style w:type="paragraph" w:styleId="Heading9">
    <w:name w:val="heading 9"/>
    <w:basedOn w:val="Normal"/>
    <w:next w:val="Normal"/>
    <w:link w:val="Heading9Char"/>
    <w:qFormat/>
    <w:locked/>
    <w:rsid w:val="005955E6"/>
    <w:pPr>
      <w:keepNext/>
      <w:jc w:val="center"/>
      <w:outlineLvl w:val="8"/>
    </w:pPr>
    <w:rPr>
      <w:rFonts w:cs="Arial"/>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58E4"/>
    <w:pPr>
      <w:tabs>
        <w:tab w:val="center" w:pos="4153"/>
        <w:tab w:val="right" w:pos="8306"/>
      </w:tabs>
    </w:pPr>
  </w:style>
  <w:style w:type="paragraph" w:styleId="Footer">
    <w:name w:val="footer"/>
    <w:basedOn w:val="Normal"/>
    <w:link w:val="FooterChar"/>
    <w:uiPriority w:val="99"/>
    <w:rsid w:val="00835F08"/>
    <w:pPr>
      <w:tabs>
        <w:tab w:val="center" w:pos="4153"/>
        <w:tab w:val="right" w:pos="8306"/>
      </w:tabs>
    </w:pPr>
    <w:rPr>
      <w:sz w:val="14"/>
    </w:rPr>
  </w:style>
  <w:style w:type="paragraph" w:styleId="Subtitle">
    <w:name w:val="Subtitle"/>
    <w:basedOn w:val="Normal"/>
    <w:link w:val="SubtitleChar"/>
    <w:qFormat/>
    <w:rsid w:val="003C0FC8"/>
    <w:pPr>
      <w:spacing w:after="60"/>
      <w:jc w:val="right"/>
    </w:pPr>
    <w:rPr>
      <w:rFonts w:cs="Arial"/>
      <w:bCs/>
      <w:color w:val="FFFFFF"/>
      <w:spacing w:val="-12"/>
      <w:sz w:val="40"/>
      <w:lang w:eastAsia="en-US"/>
    </w:rPr>
  </w:style>
  <w:style w:type="paragraph" w:styleId="Title">
    <w:name w:val="Title"/>
    <w:basedOn w:val="Normal"/>
    <w:next w:val="Subtitle"/>
    <w:link w:val="TitleChar"/>
    <w:qFormat/>
    <w:rsid w:val="002735C0"/>
    <w:pPr>
      <w:spacing w:before="240" w:after="500"/>
      <w:jc w:val="right"/>
    </w:pPr>
    <w:rPr>
      <w:rFonts w:ascii="Times New Roman" w:hAnsi="Times New Roman" w:cs="Arial"/>
      <w:color w:val="FFFFFF"/>
      <w:spacing w:val="-40"/>
      <w:sz w:val="116"/>
      <w:szCs w:val="100"/>
      <w:lang w:eastAsia="en-US"/>
    </w:rPr>
  </w:style>
  <w:style w:type="character" w:styleId="Hyperlink">
    <w:name w:val="Hyperlink"/>
    <w:rsid w:val="00945DB6"/>
    <w:rPr>
      <w:color w:val="0000FF"/>
      <w:u w:val="single"/>
    </w:rPr>
  </w:style>
  <w:style w:type="paragraph" w:customStyle="1" w:styleId="DisclaimerText1">
    <w:name w:val="Disclaimer Text 1"/>
    <w:basedOn w:val="Normal"/>
    <w:rsid w:val="00126DD7"/>
    <w:pPr>
      <w:framePr w:hSpace="181" w:wrap="around" w:hAnchor="margin" w:yAlign="bottom"/>
      <w:spacing w:after="160" w:line="276" w:lineRule="auto"/>
      <w:suppressOverlap/>
    </w:pPr>
    <w:rPr>
      <w:rFonts w:cs="Times New Roman"/>
      <w:spacing w:val="1"/>
      <w:sz w:val="16"/>
      <w:szCs w:val="20"/>
      <w:lang w:eastAsia="en-US"/>
    </w:rPr>
  </w:style>
  <w:style w:type="paragraph" w:customStyle="1" w:styleId="DisclaimerText2">
    <w:name w:val="Disclaimer Text 2"/>
    <w:basedOn w:val="Normal"/>
    <w:link w:val="DisclaimerText2Char"/>
    <w:rsid w:val="00EC7F9B"/>
    <w:pPr>
      <w:framePr w:hSpace="181" w:wrap="around" w:hAnchor="margin" w:yAlign="bottom"/>
      <w:spacing w:after="120" w:line="276" w:lineRule="auto"/>
      <w:suppressOverlap/>
    </w:pPr>
    <w:rPr>
      <w:rFonts w:cs="Times New Roman"/>
      <w:sz w:val="13"/>
      <w:szCs w:val="20"/>
      <w:lang w:eastAsia="en-US"/>
    </w:rPr>
  </w:style>
  <w:style w:type="paragraph" w:customStyle="1" w:styleId="DisclaimerText2Bold">
    <w:name w:val="Disclaimer Text 2 Bold"/>
    <w:basedOn w:val="DisclaimerText2"/>
    <w:rsid w:val="00FB376E"/>
    <w:pPr>
      <w:framePr w:wrap="around"/>
      <w:spacing w:before="120" w:after="0" w:line="240" w:lineRule="auto"/>
    </w:pPr>
    <w:rPr>
      <w:b/>
    </w:rPr>
  </w:style>
  <w:style w:type="paragraph" w:customStyle="1" w:styleId="DisclaimerText3">
    <w:name w:val="Disclaimer Text 3"/>
    <w:basedOn w:val="Normal"/>
    <w:rsid w:val="00EC7F9B"/>
    <w:pPr>
      <w:framePr w:hSpace="181" w:wrap="around" w:vAnchor="page" w:hAnchor="margin" w:y="11341"/>
      <w:spacing w:after="120"/>
      <w:suppressOverlap/>
    </w:pPr>
    <w:rPr>
      <w:rFonts w:cs="Times New Roman"/>
      <w:sz w:val="13"/>
      <w:szCs w:val="20"/>
      <w:lang w:eastAsia="en-US"/>
    </w:rPr>
  </w:style>
  <w:style w:type="character" w:customStyle="1" w:styleId="xCondensed">
    <w:name w:val="xCondensed"/>
    <w:rsid w:val="00945DB6"/>
    <w:rPr>
      <w:spacing w:val="-2"/>
    </w:rPr>
  </w:style>
  <w:style w:type="character" w:customStyle="1" w:styleId="DisclaimerText2Char">
    <w:name w:val="Disclaimer Text 2 Char"/>
    <w:link w:val="DisclaimerText2"/>
    <w:rsid w:val="00EC7F9B"/>
    <w:rPr>
      <w:rFonts w:ascii="Arial" w:hAnsi="Arial"/>
      <w:sz w:val="13"/>
      <w:lang w:val="en-AU" w:eastAsia="en-US" w:bidi="ar-SA"/>
    </w:rPr>
  </w:style>
  <w:style w:type="paragraph" w:customStyle="1" w:styleId="DisclaimerText4">
    <w:name w:val="Disclaimer Text 4"/>
    <w:basedOn w:val="Normal"/>
    <w:rsid w:val="00CB135F"/>
    <w:pPr>
      <w:framePr w:hSpace="181" w:wrap="around" w:vAnchor="page" w:hAnchor="margin" w:y="11341"/>
      <w:suppressOverlap/>
    </w:pPr>
    <w:rPr>
      <w:rFonts w:cs="Times New Roman"/>
      <w:b/>
      <w:bCs/>
      <w:i/>
      <w:spacing w:val="1"/>
      <w:sz w:val="14"/>
      <w:szCs w:val="20"/>
      <w:lang w:eastAsia="en-US"/>
    </w:rPr>
  </w:style>
  <w:style w:type="paragraph" w:customStyle="1" w:styleId="TOCHeading1">
    <w:name w:val="TOC Heading1"/>
    <w:basedOn w:val="Normal"/>
    <w:next w:val="Normal"/>
    <w:qFormat/>
    <w:rsid w:val="00661D73"/>
    <w:pPr>
      <w:spacing w:after="560"/>
    </w:pPr>
    <w:rPr>
      <w:rFonts w:ascii="Times New Roman" w:hAnsi="Times New Roman" w:cs="Times New Roman"/>
      <w:bCs/>
      <w:color w:val="77216F"/>
      <w:spacing w:val="-20"/>
      <w:sz w:val="68"/>
      <w:szCs w:val="66"/>
      <w:lang w:eastAsia="en-US"/>
    </w:rPr>
  </w:style>
  <w:style w:type="paragraph" w:customStyle="1" w:styleId="ChapterTitle">
    <w:name w:val="Chapter Title"/>
    <w:basedOn w:val="Normal"/>
    <w:next w:val="BodyText"/>
    <w:rsid w:val="00A459FB"/>
    <w:pPr>
      <w:spacing w:before="7840"/>
    </w:pPr>
    <w:rPr>
      <w:rFonts w:ascii="Times New Roman" w:hAnsi="Times New Roman" w:cs="Times New Roman"/>
      <w:bCs/>
      <w:color w:val="FFFFFF"/>
      <w:spacing w:val="-24"/>
      <w:kern w:val="50"/>
      <w:sz w:val="116"/>
      <w:szCs w:val="116"/>
      <w:lang w:eastAsia="en-US"/>
    </w:rPr>
  </w:style>
  <w:style w:type="paragraph" w:styleId="BodyText">
    <w:name w:val="Body Text"/>
    <w:basedOn w:val="Normal"/>
    <w:link w:val="BodyTextChar"/>
    <w:rsid w:val="00097C38"/>
    <w:pPr>
      <w:numPr>
        <w:numId w:val="4"/>
      </w:numPr>
      <w:spacing w:before="180" w:line="276" w:lineRule="auto"/>
    </w:pPr>
    <w:rPr>
      <w:rFonts w:cs="Times New Roman"/>
      <w:szCs w:val="20"/>
      <w:lang w:eastAsia="en-US"/>
    </w:rPr>
  </w:style>
  <w:style w:type="paragraph" w:styleId="Caption">
    <w:name w:val="caption"/>
    <w:basedOn w:val="Normal"/>
    <w:next w:val="BodyText"/>
    <w:qFormat/>
    <w:rsid w:val="00097C38"/>
    <w:pPr>
      <w:spacing w:before="120"/>
    </w:pPr>
    <w:rPr>
      <w:rFonts w:cs="Times New Roman"/>
      <w:i/>
      <w:szCs w:val="18"/>
      <w:lang w:eastAsia="en-US"/>
    </w:rPr>
  </w:style>
  <w:style w:type="paragraph" w:customStyle="1" w:styleId="CaptionHeading">
    <w:name w:val="Caption Heading"/>
    <w:basedOn w:val="BodyText"/>
    <w:rsid w:val="006F191B"/>
    <w:pPr>
      <w:spacing w:before="0" w:after="120" w:line="240" w:lineRule="auto"/>
    </w:pPr>
    <w:rPr>
      <w:b/>
      <w:bCs/>
      <w:spacing w:val="1"/>
      <w:sz w:val="20"/>
      <w:szCs w:val="22"/>
    </w:rPr>
  </w:style>
  <w:style w:type="paragraph" w:customStyle="1" w:styleId="xImageLine">
    <w:name w:val="xImageLine"/>
    <w:basedOn w:val="BodyText"/>
    <w:rsid w:val="00C4179C"/>
    <w:pPr>
      <w:spacing w:before="0"/>
    </w:pPr>
  </w:style>
  <w:style w:type="paragraph" w:customStyle="1" w:styleId="BodyBullet">
    <w:name w:val="Body Bullet"/>
    <w:basedOn w:val="BodyText"/>
    <w:rsid w:val="006F191B"/>
    <w:pPr>
      <w:numPr>
        <w:numId w:val="1"/>
      </w:numPr>
    </w:pPr>
  </w:style>
  <w:style w:type="paragraph" w:customStyle="1" w:styleId="TableBodyBullet">
    <w:name w:val="Table Body Bullet"/>
    <w:basedOn w:val="TableBodyLeftAligned"/>
    <w:rsid w:val="00FF67F7"/>
    <w:pPr>
      <w:keepLines/>
      <w:numPr>
        <w:numId w:val="2"/>
      </w:numPr>
      <w:tabs>
        <w:tab w:val="left" w:pos="851"/>
        <w:tab w:val="left" w:pos="1134"/>
      </w:tabs>
    </w:pPr>
    <w:rPr>
      <w:rFonts w:cs="Arial"/>
      <w:lang w:eastAsia="en-US"/>
    </w:rPr>
  </w:style>
  <w:style w:type="character" w:customStyle="1" w:styleId="BodyTextChar">
    <w:name w:val="Body Text Char"/>
    <w:link w:val="BodyText"/>
    <w:rsid w:val="00097C38"/>
    <w:rPr>
      <w:rFonts w:ascii="Arial" w:hAnsi="Arial"/>
      <w:sz w:val="18"/>
      <w:lang w:eastAsia="en-US"/>
    </w:rPr>
  </w:style>
  <w:style w:type="paragraph" w:customStyle="1" w:styleId="Introduction">
    <w:name w:val="Introduction"/>
    <w:basedOn w:val="Normal"/>
    <w:next w:val="BodyText"/>
    <w:rsid w:val="0028499E"/>
    <w:pPr>
      <w:spacing w:line="276" w:lineRule="auto"/>
    </w:pPr>
    <w:rPr>
      <w:rFonts w:cs="Times New Roman"/>
      <w:color w:val="77216F"/>
      <w:spacing w:val="-1"/>
      <w:sz w:val="20"/>
      <w:szCs w:val="20"/>
      <w:lang w:eastAsia="en-US"/>
    </w:rPr>
  </w:style>
  <w:style w:type="paragraph" w:styleId="TOC1">
    <w:name w:val="toc 1"/>
    <w:basedOn w:val="Normal"/>
    <w:next w:val="Normal"/>
    <w:autoRedefine/>
    <w:rsid w:val="007C3858"/>
    <w:pPr>
      <w:tabs>
        <w:tab w:val="right" w:pos="6946"/>
      </w:tabs>
      <w:spacing w:after="260"/>
      <w:ind w:right="169"/>
      <w:jc w:val="both"/>
    </w:pPr>
    <w:rPr>
      <w:rFonts w:cs="Arial"/>
      <w:b/>
      <w:noProof/>
      <w:color w:val="F79646"/>
      <w:spacing w:val="2"/>
      <w:szCs w:val="20"/>
    </w:rPr>
  </w:style>
  <w:style w:type="paragraph" w:styleId="TOC2">
    <w:name w:val="toc 2"/>
    <w:basedOn w:val="Normal"/>
    <w:next w:val="Normal"/>
    <w:autoRedefine/>
    <w:rsid w:val="007C3858"/>
    <w:pPr>
      <w:tabs>
        <w:tab w:val="right" w:pos="6946"/>
      </w:tabs>
      <w:spacing w:after="260"/>
      <w:ind w:right="169"/>
    </w:pPr>
    <w:rPr>
      <w:rFonts w:cs="Arial"/>
      <w:b/>
      <w:noProof/>
      <w:color w:val="808080"/>
      <w:spacing w:val="2"/>
    </w:rPr>
  </w:style>
  <w:style w:type="paragraph" w:styleId="TOC3">
    <w:name w:val="toc 3"/>
    <w:basedOn w:val="Normal"/>
    <w:next w:val="Normal"/>
    <w:autoRedefine/>
    <w:rsid w:val="006E3B5F"/>
    <w:pPr>
      <w:tabs>
        <w:tab w:val="right" w:pos="4820"/>
      </w:tabs>
      <w:spacing w:after="260"/>
      <w:ind w:right="6124"/>
    </w:pPr>
    <w:rPr>
      <w:spacing w:val="2"/>
      <w:sz w:val="16"/>
    </w:rPr>
  </w:style>
  <w:style w:type="character" w:customStyle="1" w:styleId="Heading2Char">
    <w:name w:val="Heading 2 Char"/>
    <w:link w:val="Heading2"/>
    <w:rsid w:val="006541F0"/>
    <w:rPr>
      <w:rFonts w:ascii="Arial" w:hAnsi="Arial" w:cs="Arial"/>
      <w:b/>
      <w:iCs/>
      <w:color w:val="F79646"/>
      <w:spacing w:val="-6"/>
      <w:sz w:val="24"/>
      <w:szCs w:val="36"/>
      <w:lang w:eastAsia="en-US"/>
    </w:rPr>
  </w:style>
  <w:style w:type="paragraph" w:customStyle="1" w:styleId="TagLine">
    <w:name w:val="Tag Line"/>
    <w:basedOn w:val="Normal"/>
    <w:next w:val="Normal"/>
    <w:rsid w:val="00126DD7"/>
    <w:pPr>
      <w:framePr w:w="10240" w:hSpace="181" w:vSpace="737" w:wrap="notBeside" w:hAnchor="page" w:x="908" w:yAlign="bottom"/>
      <w:spacing w:line="259" w:lineRule="auto"/>
    </w:pPr>
    <w:rPr>
      <w:rFonts w:cs="Times New Roman"/>
      <w:bCs/>
      <w:color w:val="77216F"/>
      <w:spacing w:val="2"/>
      <w:sz w:val="36"/>
      <w:szCs w:val="40"/>
      <w:lang w:eastAsia="en-US"/>
    </w:rPr>
  </w:style>
  <w:style w:type="paragraph" w:styleId="TOC4">
    <w:name w:val="toc 4"/>
    <w:basedOn w:val="Normal"/>
    <w:next w:val="Normal"/>
    <w:autoRedefine/>
    <w:semiHidden/>
    <w:rsid w:val="004744BF"/>
    <w:pPr>
      <w:ind w:left="540"/>
    </w:pPr>
  </w:style>
  <w:style w:type="table" w:customStyle="1" w:styleId="DPITableNormal">
    <w:name w:val="DPI Table Normal"/>
    <w:basedOn w:val="TableGrid"/>
    <w:rsid w:val="008E6928"/>
    <w:rPr>
      <w:rFonts w:ascii="Arial" w:hAnsi="Arial"/>
      <w:spacing w:val="-1"/>
      <w:sz w:val="17"/>
    </w:rPr>
    <w:tblPr>
      <w:tblInd w:w="0" w:type="dxa"/>
      <w:tblBorders>
        <w:top w:val="single" w:sz="8" w:space="0" w:color="000000"/>
        <w:left w:val="single" w:sz="8" w:space="0" w:color="000000"/>
        <w:bottom w:val="single" w:sz="8" w:space="0" w:color="000000"/>
        <w:right w:val="single" w:sz="8" w:space="0" w:color="000000"/>
        <w:insideH w:val="none" w:sz="0" w:space="0" w:color="auto"/>
        <w:insideV w:val="single" w:sz="8" w:space="0" w:color="000000"/>
      </w:tblBorders>
      <w:tblCellMar>
        <w:top w:w="68" w:type="dxa"/>
        <w:left w:w="0" w:type="dxa"/>
        <w:bottom w:w="34" w:type="dxa"/>
        <w:right w:w="0" w:type="dxa"/>
      </w:tblCellMar>
    </w:tblPr>
    <w:tblStylePr w:type="firstRow">
      <w:rPr>
        <w:b/>
        <w:i w:val="0"/>
        <w:sz w:val="16"/>
        <w:szCs w:val="16"/>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l2br w:val="nil"/>
          <w:tr2bl w:val="nil"/>
        </w:tcBorders>
        <w:shd w:val="clear" w:color="auto" w:fill="E6E6E6"/>
      </w:tcPr>
    </w:tblStylePr>
    <w:tblStylePr w:type="lastRow">
      <w:rPr>
        <w:b/>
      </w:rPr>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E6E6E6"/>
      </w:tcPr>
    </w:tblStylePr>
  </w:style>
  <w:style w:type="table" w:styleId="TableGrid">
    <w:name w:val="Table Grid"/>
    <w:basedOn w:val="TableNormal"/>
    <w:uiPriority w:val="59"/>
    <w:rsid w:val="00C32CC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46F9D"/>
    <w:rPr>
      <w:color w:val="000000"/>
      <w:sz w:val="20"/>
    </w:rPr>
  </w:style>
  <w:style w:type="paragraph" w:customStyle="1" w:styleId="FooterTitle">
    <w:name w:val="Footer Title"/>
    <w:basedOn w:val="Footer"/>
    <w:rsid w:val="00E32FDC"/>
    <w:pPr>
      <w:framePr w:hSpace="181" w:wrap="auto" w:vAnchor="page" w:hAnchor="page" w:xAlign="right" w:yAlign="bottom"/>
      <w:spacing w:before="220"/>
      <w:suppressOverlap/>
      <w:jc w:val="right"/>
    </w:pPr>
    <w:rPr>
      <w:sz w:val="13"/>
      <w:szCs w:val="12"/>
    </w:rPr>
  </w:style>
  <w:style w:type="paragraph" w:customStyle="1" w:styleId="FooterNumber">
    <w:name w:val="Footer Number"/>
    <w:basedOn w:val="Footer"/>
    <w:rsid w:val="00CD5B62"/>
    <w:pPr>
      <w:framePr w:hSpace="181" w:wrap="around" w:vAnchor="page" w:hAnchor="page" w:xAlign="right" w:yAlign="bottom"/>
      <w:spacing w:before="150"/>
      <w:suppressOverlap/>
    </w:pPr>
    <w:rPr>
      <w:sz w:val="20"/>
    </w:rPr>
  </w:style>
  <w:style w:type="paragraph" w:customStyle="1" w:styleId="FooterTitleEven">
    <w:name w:val="Footer Title Even"/>
    <w:basedOn w:val="FooterTitle"/>
    <w:rsid w:val="00E32FDC"/>
    <w:pPr>
      <w:framePr w:wrap="auto"/>
      <w:jc w:val="left"/>
    </w:pPr>
  </w:style>
  <w:style w:type="paragraph" w:customStyle="1" w:styleId="FooterNumberEven">
    <w:name w:val="Footer Number Even"/>
    <w:basedOn w:val="FooterNumber"/>
    <w:rsid w:val="00344EB2"/>
    <w:pPr>
      <w:framePr w:wrap="around"/>
      <w:jc w:val="right"/>
    </w:pPr>
    <w:rPr>
      <w:color w:val="000000"/>
    </w:rPr>
  </w:style>
  <w:style w:type="paragraph" w:customStyle="1" w:styleId="FooterTitleEvenWhite">
    <w:name w:val="Footer Title Even White"/>
    <w:basedOn w:val="FooterTitle"/>
    <w:rsid w:val="00E32FDC"/>
    <w:pPr>
      <w:framePr w:wrap="auto"/>
      <w:jc w:val="left"/>
    </w:pPr>
    <w:rPr>
      <w:color w:val="FFFFFF"/>
    </w:rPr>
  </w:style>
  <w:style w:type="paragraph" w:customStyle="1" w:styleId="FooterNumberEvenWhite">
    <w:name w:val="Footer Number Even White"/>
    <w:basedOn w:val="FooterNumberEven"/>
    <w:rsid w:val="00E32FDC"/>
    <w:pPr>
      <w:framePr w:wrap="around"/>
    </w:pPr>
    <w:rPr>
      <w:color w:val="FFFFFF"/>
    </w:rPr>
  </w:style>
  <w:style w:type="paragraph" w:customStyle="1" w:styleId="HeaderRunningPages">
    <w:name w:val="Header Running Pages"/>
    <w:basedOn w:val="Header"/>
    <w:rsid w:val="00303CD7"/>
    <w:pPr>
      <w:spacing w:after="1540"/>
    </w:pPr>
  </w:style>
  <w:style w:type="table" w:customStyle="1" w:styleId="DPITableGrid">
    <w:name w:val="DPI Table Grid"/>
    <w:basedOn w:val="DPITableNormal"/>
    <w:rsid w:val="008E6928"/>
    <w:tblPr>
      <w:tblBorders>
        <w:top w:val="none" w:sz="0" w:space="0" w:color="auto"/>
        <w:left w:val="none" w:sz="0" w:space="0" w:color="auto"/>
        <w:bottom w:val="none" w:sz="0" w:space="0" w:color="auto"/>
        <w:right w:val="none" w:sz="0" w:space="0" w:color="auto"/>
        <w:insideH w:val="single" w:sz="8" w:space="0" w:color="000000"/>
        <w:insideV w:val="none" w:sz="0" w:space="0" w:color="auto"/>
      </w:tblBorders>
    </w:tblPr>
    <w:tblStylePr w:type="firstRow">
      <w:rPr>
        <w:b/>
        <w:i w:val="0"/>
        <w:sz w:val="16"/>
        <w:szCs w:val="16"/>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l2br w:val="nil"/>
          <w:tr2bl w:val="nil"/>
        </w:tcBorders>
        <w:shd w:val="clear" w:color="auto" w:fill="E6E6E6"/>
      </w:tcPr>
    </w:tblStylePr>
    <w:tblStylePr w:type="lastRow">
      <w:rPr>
        <w:b/>
      </w:rPr>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E6E6E6"/>
      </w:tcPr>
    </w:tblStylePr>
  </w:style>
  <w:style w:type="paragraph" w:customStyle="1" w:styleId="TableBodyLeftAligned">
    <w:name w:val="Table Body Left Aligned"/>
    <w:rsid w:val="00097C38"/>
    <w:pPr>
      <w:numPr>
        <w:numId w:val="3"/>
      </w:numPr>
      <w:spacing w:line="228" w:lineRule="auto"/>
      <w:ind w:right="85"/>
    </w:pPr>
    <w:rPr>
      <w:rFonts w:ascii="Arial" w:hAnsi="Arial"/>
      <w:sz w:val="18"/>
      <w:szCs w:val="16"/>
    </w:rPr>
  </w:style>
  <w:style w:type="paragraph" w:customStyle="1" w:styleId="TableFootnotesAlpha">
    <w:name w:val="Table Footnotes (Alpha)"/>
    <w:basedOn w:val="Normal"/>
    <w:rsid w:val="00097C38"/>
    <w:pPr>
      <w:numPr>
        <w:ilvl w:val="1"/>
        <w:numId w:val="3"/>
      </w:numPr>
      <w:spacing w:before="60" w:after="60" w:line="247" w:lineRule="auto"/>
    </w:pPr>
    <w:rPr>
      <w:rFonts w:cs="Arial"/>
      <w:sz w:val="16"/>
      <w:szCs w:val="18"/>
    </w:rPr>
  </w:style>
  <w:style w:type="paragraph" w:customStyle="1" w:styleId="TableBodyRightAligned">
    <w:name w:val="Table Body Right Aligned"/>
    <w:basedOn w:val="TableBodyLeftAligned"/>
    <w:rsid w:val="00315C3D"/>
    <w:pPr>
      <w:numPr>
        <w:numId w:val="0"/>
      </w:numPr>
      <w:jc w:val="right"/>
    </w:pPr>
  </w:style>
  <w:style w:type="paragraph" w:customStyle="1" w:styleId="TableHeading">
    <w:name w:val="Table Heading"/>
    <w:basedOn w:val="TableBodyLeftAligned"/>
    <w:rsid w:val="00FF67F7"/>
    <w:pPr>
      <w:numPr>
        <w:numId w:val="0"/>
      </w:numPr>
      <w:ind w:left="85"/>
    </w:pPr>
  </w:style>
  <w:style w:type="character" w:customStyle="1" w:styleId="DraftingNote">
    <w:name w:val="Drafting Note"/>
    <w:rsid w:val="00B4766C"/>
    <w:rPr>
      <w:color w:val="FF0000"/>
      <w:u w:val="dotted"/>
    </w:rPr>
  </w:style>
  <w:style w:type="paragraph" w:customStyle="1" w:styleId="BodyAlphaNumbering">
    <w:name w:val="Body Alpha Numbering"/>
    <w:basedOn w:val="BodyText"/>
    <w:rsid w:val="00F47361"/>
    <w:pPr>
      <w:numPr>
        <w:numId w:val="5"/>
      </w:numPr>
    </w:pPr>
    <w:rPr>
      <w:rFonts w:cs="Arial"/>
      <w:szCs w:val="18"/>
      <w:lang w:eastAsia="en-AU"/>
    </w:rPr>
  </w:style>
  <w:style w:type="character" w:customStyle="1" w:styleId="Bold">
    <w:name w:val="Bold"/>
    <w:rsid w:val="00351A7F"/>
    <w:rPr>
      <w:b/>
    </w:rPr>
  </w:style>
  <w:style w:type="character" w:customStyle="1" w:styleId="Italics">
    <w:name w:val="Italics"/>
    <w:rsid w:val="00351A7F"/>
    <w:rPr>
      <w:i/>
    </w:rPr>
  </w:style>
  <w:style w:type="character" w:customStyle="1" w:styleId="Underline">
    <w:name w:val="Underline"/>
    <w:rsid w:val="00351A7F"/>
    <w:rPr>
      <w:u w:val="single"/>
    </w:rPr>
  </w:style>
  <w:style w:type="character" w:customStyle="1" w:styleId="BoldItalics">
    <w:name w:val="Bold &amp; Italics"/>
    <w:rsid w:val="00351A7F"/>
    <w:rPr>
      <w:b/>
      <w:i/>
    </w:rPr>
  </w:style>
  <w:style w:type="character" w:customStyle="1" w:styleId="Superscript">
    <w:name w:val="Superscript"/>
    <w:rsid w:val="00351A7F"/>
    <w:rPr>
      <w:vertAlign w:val="superscript"/>
    </w:rPr>
  </w:style>
  <w:style w:type="character" w:customStyle="1" w:styleId="PageNumberWhite">
    <w:name w:val="Page Number White"/>
    <w:basedOn w:val="PageNumber"/>
    <w:rsid w:val="00746F9D"/>
    <w:rPr>
      <w:color w:val="000000"/>
      <w:sz w:val="20"/>
    </w:rPr>
  </w:style>
  <w:style w:type="character" w:customStyle="1" w:styleId="xWhite">
    <w:name w:val="xWhite"/>
    <w:rsid w:val="00190B12"/>
    <w:rPr>
      <w:color w:val="FFFFFF"/>
    </w:rPr>
  </w:style>
  <w:style w:type="paragraph" w:customStyle="1" w:styleId="HiddenText">
    <w:name w:val="Hidden Text"/>
    <w:basedOn w:val="BodyText"/>
    <w:rsid w:val="002708A8"/>
    <w:pPr>
      <w:spacing w:before="0" w:line="240" w:lineRule="auto"/>
    </w:pPr>
    <w:rPr>
      <w:vanish/>
      <w:color w:val="FF6600"/>
      <w:u w:val="dotted"/>
    </w:rPr>
  </w:style>
  <w:style w:type="paragraph" w:styleId="Date">
    <w:name w:val="Date"/>
    <w:basedOn w:val="Normal"/>
    <w:next w:val="Normal"/>
    <w:link w:val="DateChar"/>
    <w:rsid w:val="001702BA"/>
    <w:rPr>
      <w:rFonts w:cs="Times New Roman"/>
      <w:color w:val="FFFFFF"/>
      <w:spacing w:val="3"/>
      <w:sz w:val="12"/>
      <w:szCs w:val="20"/>
      <w:lang w:eastAsia="en-US"/>
    </w:rPr>
  </w:style>
  <w:style w:type="paragraph" w:styleId="TOC5">
    <w:name w:val="toc 5"/>
    <w:basedOn w:val="Normal"/>
    <w:next w:val="Normal"/>
    <w:autoRedefine/>
    <w:semiHidden/>
    <w:rsid w:val="004744BF"/>
    <w:pPr>
      <w:ind w:left="720"/>
    </w:pPr>
  </w:style>
  <w:style w:type="paragraph" w:customStyle="1" w:styleId="xWebAddress">
    <w:name w:val="xWebAddress"/>
    <w:basedOn w:val="Normal"/>
    <w:rsid w:val="00294509"/>
    <w:rPr>
      <w:rFonts w:cs="Arial Unicode MS"/>
      <w:b/>
      <w:color w:val="F3CF45"/>
      <w:sz w:val="22"/>
    </w:rPr>
  </w:style>
  <w:style w:type="paragraph" w:customStyle="1" w:styleId="xJobNo">
    <w:name w:val="xJobNo"/>
    <w:basedOn w:val="Date"/>
    <w:rsid w:val="00B27C2C"/>
  </w:style>
  <w:style w:type="paragraph" w:styleId="TOC6">
    <w:name w:val="toc 6"/>
    <w:basedOn w:val="Normal"/>
    <w:next w:val="Normal"/>
    <w:autoRedefine/>
    <w:semiHidden/>
    <w:rsid w:val="004744BF"/>
    <w:pPr>
      <w:ind w:left="900"/>
    </w:pPr>
  </w:style>
  <w:style w:type="paragraph" w:styleId="TOC7">
    <w:name w:val="toc 7"/>
    <w:basedOn w:val="Normal"/>
    <w:next w:val="Normal"/>
    <w:autoRedefine/>
    <w:semiHidden/>
    <w:rsid w:val="004744BF"/>
    <w:pPr>
      <w:ind w:left="1080"/>
    </w:pPr>
  </w:style>
  <w:style w:type="paragraph" w:styleId="TOC8">
    <w:name w:val="toc 8"/>
    <w:basedOn w:val="Normal"/>
    <w:next w:val="Normal"/>
    <w:autoRedefine/>
    <w:semiHidden/>
    <w:rsid w:val="004744BF"/>
    <w:pPr>
      <w:ind w:left="1260"/>
    </w:pPr>
  </w:style>
  <w:style w:type="paragraph" w:styleId="TOC9">
    <w:name w:val="toc 9"/>
    <w:basedOn w:val="Normal"/>
    <w:next w:val="Normal"/>
    <w:autoRedefine/>
    <w:semiHidden/>
    <w:rsid w:val="004744BF"/>
    <w:pPr>
      <w:ind w:left="1440"/>
    </w:pPr>
  </w:style>
  <w:style w:type="paragraph" w:customStyle="1" w:styleId="PreTableInsertion">
    <w:name w:val="Pre Table Insertion"/>
    <w:basedOn w:val="BodyText"/>
    <w:rsid w:val="000E09E9"/>
    <w:pPr>
      <w:spacing w:before="0"/>
    </w:pPr>
  </w:style>
  <w:style w:type="character" w:customStyle="1" w:styleId="DeptColour100pc">
    <w:name w:val="Dept Colour 100pc"/>
    <w:rsid w:val="00EB6730"/>
    <w:rPr>
      <w:color w:val="77216F"/>
    </w:rPr>
  </w:style>
  <w:style w:type="character" w:customStyle="1" w:styleId="DeptColour75pc">
    <w:name w:val="Dept Colour 75pc"/>
    <w:rsid w:val="00EB6730"/>
    <w:rPr>
      <w:color w:val="995993"/>
    </w:rPr>
  </w:style>
  <w:style w:type="character" w:customStyle="1" w:styleId="DeptColour50pc">
    <w:name w:val="Dept Colour 50pc"/>
    <w:rsid w:val="00EB6730"/>
    <w:rPr>
      <w:color w:val="BB90B7"/>
    </w:rPr>
  </w:style>
  <w:style w:type="character" w:customStyle="1" w:styleId="DeptColour25pc">
    <w:name w:val="Dept Colour 25pc"/>
    <w:rsid w:val="00EB6730"/>
    <w:rPr>
      <w:color w:val="DDC8DB"/>
    </w:rPr>
  </w:style>
  <w:style w:type="character" w:customStyle="1" w:styleId="Subscript">
    <w:name w:val="Subscript"/>
    <w:rsid w:val="004D7051"/>
    <w:rPr>
      <w:vertAlign w:val="subscript"/>
    </w:rPr>
  </w:style>
  <w:style w:type="paragraph" w:styleId="ListNumber">
    <w:name w:val="List Number"/>
    <w:basedOn w:val="BodyText"/>
    <w:rsid w:val="00656C96"/>
    <w:pPr>
      <w:numPr>
        <w:ilvl w:val="1"/>
      </w:numPr>
    </w:pPr>
  </w:style>
  <w:style w:type="character" w:customStyle="1" w:styleId="xGrey50">
    <w:name w:val="xGrey50%"/>
    <w:rsid w:val="00E16FE5"/>
    <w:rPr>
      <w:color w:val="808080"/>
    </w:rPr>
  </w:style>
  <w:style w:type="paragraph" w:styleId="ListNumber3">
    <w:name w:val="List Number 3"/>
    <w:basedOn w:val="ListNumber"/>
    <w:rsid w:val="00656C96"/>
    <w:pPr>
      <w:numPr>
        <w:ilvl w:val="3"/>
      </w:numPr>
    </w:pPr>
  </w:style>
  <w:style w:type="paragraph" w:styleId="ListNumber2">
    <w:name w:val="List Number 2"/>
    <w:basedOn w:val="ListNumber"/>
    <w:rsid w:val="00656C96"/>
    <w:pPr>
      <w:numPr>
        <w:ilvl w:val="2"/>
      </w:numPr>
    </w:pPr>
  </w:style>
  <w:style w:type="paragraph" w:customStyle="1" w:styleId="BodyBullet2">
    <w:name w:val="Body Bullet 2"/>
    <w:basedOn w:val="BodyBullet"/>
    <w:rsid w:val="002A6D2E"/>
    <w:pPr>
      <w:numPr>
        <w:ilvl w:val="1"/>
      </w:numPr>
    </w:pPr>
  </w:style>
  <w:style w:type="paragraph" w:customStyle="1" w:styleId="DisclaimerText5">
    <w:name w:val="Disclaimer Text 5"/>
    <w:basedOn w:val="DisclaimerText2"/>
    <w:rsid w:val="005C3E25"/>
    <w:pPr>
      <w:framePr w:wrap="around"/>
      <w:spacing w:after="0"/>
    </w:pPr>
  </w:style>
  <w:style w:type="paragraph" w:customStyle="1" w:styleId="xDoublePicBoxes">
    <w:name w:val="xDoublePicBoxes"/>
    <w:basedOn w:val="BodyText"/>
    <w:next w:val="BodyText"/>
    <w:rsid w:val="007C553A"/>
    <w:pPr>
      <w:tabs>
        <w:tab w:val="left" w:pos="2520"/>
      </w:tabs>
      <w:spacing w:before="0"/>
      <w:ind w:right="-113"/>
    </w:pPr>
  </w:style>
  <w:style w:type="table" w:customStyle="1" w:styleId="TableFooterBlack">
    <w:name w:val="Table Footer Black"/>
    <w:basedOn w:val="TableGrid"/>
    <w:rsid w:val="009901E3"/>
    <w:tblPr>
      <w:tblBorders>
        <w:top w:val="none" w:sz="0" w:space="0" w:color="auto"/>
        <w:left w:val="none" w:sz="0" w:space="0" w:color="auto"/>
        <w:bottom w:val="none" w:sz="0" w:space="0" w:color="auto"/>
        <w:right w:val="none" w:sz="0" w:space="0" w:color="auto"/>
        <w:insideH w:val="none" w:sz="0" w:space="0" w:color="auto"/>
        <w:insideV w:val="dashSmallGap" w:sz="4" w:space="0" w:color="auto"/>
      </w:tblBorders>
    </w:tblPr>
  </w:style>
  <w:style w:type="table" w:customStyle="1" w:styleId="TableFooterWhite">
    <w:name w:val="Table Footer White"/>
    <w:basedOn w:val="TableFooterBlack"/>
    <w:rsid w:val="00BB0304"/>
    <w:tblPr>
      <w:tblBorders>
        <w:insideV w:val="dashSmallGap" w:sz="4" w:space="0" w:color="FFFFFF"/>
      </w:tblBorders>
    </w:tblPr>
  </w:style>
  <w:style w:type="character" w:styleId="FollowedHyperlink">
    <w:name w:val="FollowedHyperlink"/>
    <w:rsid w:val="00795CEF"/>
    <w:rPr>
      <w:color w:val="800080"/>
      <w:u w:val="single"/>
    </w:rPr>
  </w:style>
  <w:style w:type="paragraph" w:styleId="BalloonText">
    <w:name w:val="Balloon Text"/>
    <w:basedOn w:val="Normal"/>
    <w:link w:val="BalloonTextChar"/>
    <w:semiHidden/>
    <w:rsid w:val="00F71DC2"/>
    <w:rPr>
      <w:rFonts w:ascii="Tahoma" w:hAnsi="Tahoma" w:cs="Tahoma"/>
      <w:sz w:val="16"/>
      <w:szCs w:val="16"/>
    </w:rPr>
  </w:style>
  <w:style w:type="paragraph" w:customStyle="1" w:styleId="Body">
    <w:name w:val="_Body"/>
    <w:qFormat/>
    <w:rsid w:val="00F52055"/>
    <w:pPr>
      <w:spacing w:after="113" w:line="240" w:lineRule="atLeast"/>
    </w:pPr>
    <w:rPr>
      <w:rFonts w:ascii="Arial" w:hAnsi="Arial" w:cs="Arial"/>
      <w:sz w:val="18"/>
      <w:szCs w:val="24"/>
      <w:lang w:eastAsia="en-US"/>
    </w:rPr>
  </w:style>
  <w:style w:type="paragraph" w:customStyle="1" w:styleId="HC">
    <w:name w:val="_HC"/>
    <w:next w:val="Body"/>
    <w:uiPriority w:val="2"/>
    <w:qFormat/>
    <w:rsid w:val="00F52055"/>
    <w:pPr>
      <w:spacing w:before="140" w:after="57" w:line="220" w:lineRule="atLeast"/>
    </w:pPr>
    <w:rPr>
      <w:rFonts w:ascii="Arial" w:hAnsi="Arial" w:cs="Arial"/>
      <w:b/>
      <w:sz w:val="18"/>
      <w:szCs w:val="24"/>
      <w:lang w:eastAsia="en-US"/>
    </w:rPr>
  </w:style>
  <w:style w:type="character" w:customStyle="1" w:styleId="FooterChar">
    <w:name w:val="Footer Char"/>
    <w:link w:val="Footer"/>
    <w:uiPriority w:val="99"/>
    <w:rsid w:val="00EF2E91"/>
    <w:rPr>
      <w:rFonts w:ascii="Arial" w:hAnsi="Arial" w:cs="Mangal"/>
      <w:sz w:val="14"/>
      <w:szCs w:val="24"/>
    </w:rPr>
  </w:style>
  <w:style w:type="character" w:styleId="CommentReference">
    <w:name w:val="annotation reference"/>
    <w:rsid w:val="003B0FCB"/>
    <w:rPr>
      <w:sz w:val="16"/>
      <w:szCs w:val="16"/>
    </w:rPr>
  </w:style>
  <w:style w:type="paragraph" w:styleId="CommentText">
    <w:name w:val="annotation text"/>
    <w:basedOn w:val="Normal"/>
    <w:link w:val="CommentTextChar"/>
    <w:rsid w:val="003B0FCB"/>
    <w:rPr>
      <w:sz w:val="20"/>
      <w:szCs w:val="18"/>
    </w:rPr>
  </w:style>
  <w:style w:type="character" w:customStyle="1" w:styleId="CommentTextChar">
    <w:name w:val="Comment Text Char"/>
    <w:link w:val="CommentText"/>
    <w:rsid w:val="003B0FCB"/>
    <w:rPr>
      <w:rFonts w:ascii="Arial" w:hAnsi="Arial" w:cs="Mangal"/>
      <w:szCs w:val="18"/>
    </w:rPr>
  </w:style>
  <w:style w:type="paragraph" w:styleId="CommentSubject">
    <w:name w:val="annotation subject"/>
    <w:basedOn w:val="CommentText"/>
    <w:next w:val="CommentText"/>
    <w:link w:val="CommentSubjectChar"/>
    <w:rsid w:val="003B0FCB"/>
    <w:rPr>
      <w:b/>
      <w:bCs/>
    </w:rPr>
  </w:style>
  <w:style w:type="character" w:customStyle="1" w:styleId="CommentSubjectChar">
    <w:name w:val="Comment Subject Char"/>
    <w:link w:val="CommentSubject"/>
    <w:rsid w:val="003B0FCB"/>
    <w:rPr>
      <w:rFonts w:ascii="Arial" w:hAnsi="Arial" w:cs="Mangal"/>
      <w:b/>
      <w:bCs/>
      <w:szCs w:val="18"/>
    </w:rPr>
  </w:style>
  <w:style w:type="paragraph" w:styleId="NormalWeb">
    <w:name w:val="Normal (Web)"/>
    <w:basedOn w:val="Normal"/>
    <w:rsid w:val="006541F0"/>
    <w:rPr>
      <w:rFonts w:ascii="Times New Roman" w:hAnsi="Times New Roman" w:cs="Times New Roman"/>
      <w:sz w:val="24"/>
      <w:lang w:eastAsia="en-US"/>
    </w:rPr>
  </w:style>
  <w:style w:type="character" w:styleId="Strong">
    <w:name w:val="Strong"/>
    <w:uiPriority w:val="22"/>
    <w:qFormat/>
    <w:rsid w:val="006541F0"/>
    <w:rPr>
      <w:b/>
      <w:bCs/>
    </w:rPr>
  </w:style>
  <w:style w:type="paragraph" w:customStyle="1" w:styleId="ImprintText">
    <w:name w:val="_ImprintText"/>
    <w:uiPriority w:val="9"/>
    <w:rsid w:val="006541F0"/>
    <w:pPr>
      <w:spacing w:after="85" w:line="170" w:lineRule="atLeast"/>
    </w:pPr>
    <w:rPr>
      <w:rFonts w:ascii="Arial" w:hAnsi="Arial" w:cs="Arial"/>
      <w:sz w:val="14"/>
      <w:szCs w:val="14"/>
      <w:lang w:eastAsia="en-US"/>
    </w:rPr>
  </w:style>
  <w:style w:type="paragraph" w:customStyle="1" w:styleId="MediumList2-Accent21">
    <w:name w:val="Medium List 2 - Accent 21"/>
    <w:hidden/>
    <w:uiPriority w:val="99"/>
    <w:semiHidden/>
    <w:rsid w:val="00E02B2A"/>
    <w:rPr>
      <w:rFonts w:ascii="Arial" w:hAnsi="Arial" w:cs="Mangal"/>
      <w:sz w:val="18"/>
      <w:szCs w:val="24"/>
    </w:rPr>
  </w:style>
  <w:style w:type="paragraph" w:customStyle="1" w:styleId="MediumGrid1-Accent21">
    <w:name w:val="Medium Grid 1 - Accent 21"/>
    <w:basedOn w:val="Normal"/>
    <w:uiPriority w:val="34"/>
    <w:qFormat/>
    <w:rsid w:val="00AC7A4E"/>
    <w:pPr>
      <w:ind w:left="720"/>
    </w:pPr>
  </w:style>
  <w:style w:type="character" w:customStyle="1" w:styleId="Heading5Char">
    <w:name w:val="Heading 5 Char"/>
    <w:link w:val="Heading5"/>
    <w:rsid w:val="005955E6"/>
    <w:rPr>
      <w:rFonts w:ascii="Arial" w:hAnsi="Arial" w:cs="Arial"/>
      <w:b/>
      <w:bCs/>
      <w:color w:val="000000"/>
      <w:sz w:val="18"/>
      <w:szCs w:val="18"/>
    </w:rPr>
  </w:style>
  <w:style w:type="character" w:customStyle="1" w:styleId="Heading6Char">
    <w:name w:val="Heading 6 Char"/>
    <w:link w:val="Heading6"/>
    <w:rsid w:val="005955E6"/>
    <w:rPr>
      <w:rFonts w:ascii="Lucida Sans Unicode" w:hAnsi="Lucida Sans Unicode"/>
      <w:b/>
      <w:bCs/>
      <w:sz w:val="22"/>
      <w:szCs w:val="22"/>
    </w:rPr>
  </w:style>
  <w:style w:type="character" w:customStyle="1" w:styleId="Heading7Char">
    <w:name w:val="Heading 7 Char"/>
    <w:link w:val="Heading7"/>
    <w:rsid w:val="005955E6"/>
    <w:rPr>
      <w:rFonts w:ascii="Arial" w:hAnsi="Arial" w:cs="Arial"/>
      <w:b/>
      <w:bCs/>
      <w:sz w:val="18"/>
      <w:szCs w:val="18"/>
    </w:rPr>
  </w:style>
  <w:style w:type="character" w:customStyle="1" w:styleId="Heading8Char">
    <w:name w:val="Heading 8 Char"/>
    <w:link w:val="Heading8"/>
    <w:rsid w:val="005955E6"/>
    <w:rPr>
      <w:rFonts w:ascii="Lucida Sans Unicode" w:hAnsi="Lucida Sans Unicode"/>
      <w:i/>
      <w:iCs/>
      <w:sz w:val="21"/>
      <w:szCs w:val="24"/>
    </w:rPr>
  </w:style>
  <w:style w:type="character" w:customStyle="1" w:styleId="Heading9Char">
    <w:name w:val="Heading 9 Char"/>
    <w:link w:val="Heading9"/>
    <w:rsid w:val="005955E6"/>
    <w:rPr>
      <w:rFonts w:ascii="Arial" w:hAnsi="Arial" w:cs="Arial"/>
      <w:b/>
      <w:bCs/>
      <w:sz w:val="18"/>
      <w:szCs w:val="18"/>
    </w:rPr>
  </w:style>
  <w:style w:type="character" w:customStyle="1" w:styleId="Heading1Char">
    <w:name w:val="Heading 1 Char"/>
    <w:link w:val="Heading1"/>
    <w:rsid w:val="005955E6"/>
    <w:rPr>
      <w:rFonts w:ascii="Arial" w:hAnsi="Arial" w:cs="Arial"/>
      <w:color w:val="F79646"/>
      <w:spacing w:val="-20"/>
      <w:kern w:val="32"/>
      <w:sz w:val="40"/>
      <w:szCs w:val="32"/>
      <w:lang w:eastAsia="en-US"/>
    </w:rPr>
  </w:style>
  <w:style w:type="character" w:customStyle="1" w:styleId="Heading3Char">
    <w:name w:val="Heading 3 Char"/>
    <w:link w:val="Heading3"/>
    <w:rsid w:val="005955E6"/>
    <w:rPr>
      <w:rFonts w:ascii="Arial Bold" w:hAnsi="Arial Bold" w:cs="Mangal"/>
      <w:b/>
      <w:color w:val="F79646"/>
      <w:spacing w:val="1"/>
      <w:szCs w:val="24"/>
    </w:rPr>
  </w:style>
  <w:style w:type="paragraph" w:customStyle="1" w:styleId="Source">
    <w:name w:val="Source"/>
    <w:basedOn w:val="Normal"/>
    <w:link w:val="SourceChar"/>
    <w:rsid w:val="005955E6"/>
    <w:rPr>
      <w:rFonts w:ascii="Lucida Sans Unicode" w:hAnsi="Lucida Sans Unicode" w:cs="Times New Roman"/>
      <w:sz w:val="16"/>
      <w:szCs w:val="20"/>
    </w:rPr>
  </w:style>
  <w:style w:type="paragraph" w:customStyle="1" w:styleId="Tableheading12ptafter">
    <w:name w:val="Table heading + 12pt after"/>
    <w:basedOn w:val="Normal"/>
    <w:rsid w:val="005955E6"/>
    <w:pPr>
      <w:spacing w:after="240"/>
    </w:pPr>
    <w:rPr>
      <w:rFonts w:ascii="Lucida Sans Unicode" w:hAnsi="Lucida Sans Unicode" w:cs="Times New Roman"/>
      <w:b/>
      <w:sz w:val="21"/>
      <w:szCs w:val="20"/>
    </w:rPr>
  </w:style>
  <w:style w:type="paragraph" w:customStyle="1" w:styleId="Tableheading12ptbeforeandafter">
    <w:name w:val="Table heading + 12 pt before and after"/>
    <w:basedOn w:val="Normal"/>
    <w:link w:val="Tableheading12ptbeforeandafterChar"/>
    <w:rsid w:val="005955E6"/>
    <w:pPr>
      <w:spacing w:before="240" w:after="240"/>
    </w:pPr>
    <w:rPr>
      <w:rFonts w:ascii="Lucida Sans Unicode" w:hAnsi="Lucida Sans Unicode" w:cs="Times New Roman"/>
      <w:b/>
      <w:sz w:val="21"/>
      <w:szCs w:val="20"/>
    </w:rPr>
  </w:style>
  <w:style w:type="character" w:customStyle="1" w:styleId="SourceChar">
    <w:name w:val="Source Char"/>
    <w:link w:val="Source"/>
    <w:rsid w:val="005955E6"/>
    <w:rPr>
      <w:rFonts w:ascii="Lucida Sans Unicode" w:hAnsi="Lucida Sans Unicode"/>
      <w:sz w:val="16"/>
    </w:rPr>
  </w:style>
  <w:style w:type="paragraph" w:customStyle="1" w:styleId="Chartheading12ptbeforeandaftersize10">
    <w:name w:val="Chart heading +12pt before and after size 10"/>
    <w:basedOn w:val="Normal"/>
    <w:rsid w:val="005955E6"/>
    <w:pPr>
      <w:spacing w:before="240" w:after="240"/>
    </w:pPr>
    <w:rPr>
      <w:rFonts w:ascii="Lucida Sans Unicode" w:hAnsi="Lucida Sans Unicode" w:cs="Times New Roman"/>
      <w:b/>
      <w:sz w:val="20"/>
      <w:szCs w:val="20"/>
    </w:rPr>
  </w:style>
  <w:style w:type="character" w:customStyle="1" w:styleId="Tableheading12ptbeforeandafterChar">
    <w:name w:val="Table heading + 12 pt before and after Char"/>
    <w:link w:val="Tableheading12ptbeforeandafter"/>
    <w:rsid w:val="005955E6"/>
    <w:rPr>
      <w:rFonts w:ascii="Lucida Sans Unicode" w:hAnsi="Lucida Sans Unicode"/>
      <w:b/>
      <w:sz w:val="21"/>
    </w:rPr>
  </w:style>
  <w:style w:type="character" w:customStyle="1" w:styleId="BalloonTextChar">
    <w:name w:val="Balloon Text Char"/>
    <w:link w:val="BalloonText"/>
    <w:semiHidden/>
    <w:rsid w:val="005955E6"/>
    <w:rPr>
      <w:rFonts w:ascii="Tahoma" w:hAnsi="Tahoma" w:cs="Tahoma"/>
      <w:sz w:val="16"/>
      <w:szCs w:val="16"/>
    </w:rPr>
  </w:style>
  <w:style w:type="character" w:customStyle="1" w:styleId="Heading4Char">
    <w:name w:val="Heading 4 Char"/>
    <w:link w:val="Heading4"/>
    <w:rsid w:val="005955E6"/>
    <w:rPr>
      <w:rFonts w:ascii="Arial Bold" w:hAnsi="Arial Bold" w:cs="Mangal"/>
      <w:b/>
      <w:color w:val="F79646"/>
      <w:spacing w:val="1"/>
      <w:sz w:val="18"/>
      <w:szCs w:val="18"/>
    </w:rPr>
  </w:style>
  <w:style w:type="paragraph" w:customStyle="1" w:styleId="Bulletpoint">
    <w:name w:val="Bullet point"/>
    <w:basedOn w:val="Normal"/>
    <w:rsid w:val="005955E6"/>
    <w:pPr>
      <w:numPr>
        <w:numId w:val="7"/>
      </w:numPr>
    </w:pPr>
    <w:rPr>
      <w:rFonts w:ascii="Lucida Sans Unicode" w:hAnsi="Lucida Sans Unicode" w:cs="Times New Roman"/>
      <w:sz w:val="21"/>
      <w:szCs w:val="20"/>
    </w:rPr>
  </w:style>
  <w:style w:type="paragraph" w:styleId="BodyTextIndent">
    <w:name w:val="Body Text Indent"/>
    <w:basedOn w:val="Normal"/>
    <w:link w:val="BodyTextIndentChar"/>
    <w:locked/>
    <w:rsid w:val="005955E6"/>
    <w:pPr>
      <w:ind w:left="426"/>
    </w:pPr>
    <w:rPr>
      <w:rFonts w:ascii="Lucida Sans Unicode" w:hAnsi="Lucida Sans Unicode" w:cs="Times New Roman"/>
      <w:b/>
      <w:sz w:val="21"/>
      <w:szCs w:val="20"/>
    </w:rPr>
  </w:style>
  <w:style w:type="character" w:customStyle="1" w:styleId="BodyTextIndentChar">
    <w:name w:val="Body Text Indent Char"/>
    <w:link w:val="BodyTextIndent"/>
    <w:rsid w:val="005955E6"/>
    <w:rPr>
      <w:rFonts w:ascii="Lucida Sans Unicode" w:hAnsi="Lucida Sans Unicode"/>
      <w:b/>
      <w:sz w:val="21"/>
    </w:rPr>
  </w:style>
  <w:style w:type="paragraph" w:styleId="BodyTextIndent2">
    <w:name w:val="Body Text Indent 2"/>
    <w:basedOn w:val="Normal"/>
    <w:link w:val="BodyTextIndent2Char"/>
    <w:locked/>
    <w:rsid w:val="005955E6"/>
    <w:pPr>
      <w:spacing w:after="360"/>
      <w:ind w:left="142" w:hanging="6"/>
    </w:pPr>
    <w:rPr>
      <w:rFonts w:ascii="Lucida Sans Unicode" w:hAnsi="Lucida Sans Unicode" w:cs="Times New Roman"/>
      <w:b/>
      <w:sz w:val="21"/>
      <w:szCs w:val="20"/>
    </w:rPr>
  </w:style>
  <w:style w:type="character" w:customStyle="1" w:styleId="BodyTextIndent2Char">
    <w:name w:val="Body Text Indent 2 Char"/>
    <w:link w:val="BodyTextIndent2"/>
    <w:rsid w:val="005955E6"/>
    <w:rPr>
      <w:rFonts w:ascii="Lucida Sans Unicode" w:hAnsi="Lucida Sans Unicode"/>
      <w:b/>
      <w:sz w:val="21"/>
    </w:rPr>
  </w:style>
  <w:style w:type="paragraph" w:styleId="BodyTextIndent3">
    <w:name w:val="Body Text Indent 3"/>
    <w:basedOn w:val="Normal"/>
    <w:link w:val="BodyTextIndent3Char"/>
    <w:locked/>
    <w:rsid w:val="005955E6"/>
    <w:pPr>
      <w:spacing w:after="360"/>
      <w:ind w:left="1038" w:hanging="1038"/>
    </w:pPr>
    <w:rPr>
      <w:rFonts w:ascii="Lucida Sans Unicode" w:hAnsi="Lucida Sans Unicode" w:cs="Times New Roman"/>
      <w:b/>
      <w:sz w:val="21"/>
      <w:szCs w:val="20"/>
    </w:rPr>
  </w:style>
  <w:style w:type="character" w:customStyle="1" w:styleId="BodyTextIndent3Char">
    <w:name w:val="Body Text Indent 3 Char"/>
    <w:link w:val="BodyTextIndent3"/>
    <w:rsid w:val="005955E6"/>
    <w:rPr>
      <w:rFonts w:ascii="Lucida Sans Unicode" w:hAnsi="Lucida Sans Unicode"/>
      <w:b/>
      <w:sz w:val="21"/>
    </w:rPr>
  </w:style>
  <w:style w:type="character" w:customStyle="1" w:styleId="HeaderChar">
    <w:name w:val="Header Char"/>
    <w:link w:val="Header"/>
    <w:uiPriority w:val="99"/>
    <w:rsid w:val="005955E6"/>
    <w:rPr>
      <w:rFonts w:ascii="Arial" w:hAnsi="Arial" w:cs="Mangal"/>
      <w:sz w:val="18"/>
      <w:szCs w:val="24"/>
    </w:rPr>
  </w:style>
  <w:style w:type="paragraph" w:customStyle="1" w:styleId="Figureheading">
    <w:name w:val="Figure heading"/>
    <w:basedOn w:val="Normal"/>
    <w:rsid w:val="005955E6"/>
    <w:pPr>
      <w:spacing w:before="120" w:after="120"/>
    </w:pPr>
    <w:rPr>
      <w:rFonts w:ascii="Lucida Sans Unicode" w:hAnsi="Lucida Sans Unicode" w:cs="Times New Roman"/>
      <w:b/>
      <w:sz w:val="21"/>
      <w:szCs w:val="20"/>
    </w:rPr>
  </w:style>
  <w:style w:type="paragraph" w:styleId="TableofFigures">
    <w:name w:val="table of figures"/>
    <w:basedOn w:val="Normal"/>
    <w:next w:val="Normal"/>
    <w:rsid w:val="005955E6"/>
    <w:pPr>
      <w:ind w:left="420" w:hanging="420"/>
    </w:pPr>
    <w:rPr>
      <w:rFonts w:ascii="Lucida Sans Unicode" w:hAnsi="Lucida Sans Unicode" w:cs="Times New Roman"/>
      <w:sz w:val="16"/>
      <w:szCs w:val="20"/>
    </w:rPr>
  </w:style>
  <w:style w:type="paragraph" w:styleId="Index1">
    <w:name w:val="index 1"/>
    <w:basedOn w:val="Normal"/>
    <w:next w:val="Normal"/>
    <w:autoRedefine/>
    <w:rsid w:val="005955E6"/>
    <w:pPr>
      <w:ind w:left="210" w:hanging="210"/>
    </w:pPr>
    <w:rPr>
      <w:rFonts w:ascii="Lucida Sans Unicode" w:hAnsi="Lucida Sans Unicode" w:cs="Times New Roman"/>
      <w:sz w:val="21"/>
      <w:szCs w:val="20"/>
    </w:rPr>
  </w:style>
  <w:style w:type="paragraph" w:styleId="BodyText2">
    <w:name w:val="Body Text 2"/>
    <w:basedOn w:val="Normal"/>
    <w:link w:val="BodyText2Char"/>
    <w:locked/>
    <w:rsid w:val="005955E6"/>
    <w:rPr>
      <w:rFonts w:ascii="Lucida Sans Unicode" w:hAnsi="Lucida Sans Unicode" w:cs="Times New Roman"/>
      <w:b/>
      <w:color w:val="0000FF"/>
      <w:sz w:val="21"/>
      <w:szCs w:val="20"/>
    </w:rPr>
  </w:style>
  <w:style w:type="character" w:customStyle="1" w:styleId="BodyText2Char">
    <w:name w:val="Body Text 2 Char"/>
    <w:link w:val="BodyText2"/>
    <w:rsid w:val="005955E6"/>
    <w:rPr>
      <w:rFonts w:ascii="Lucida Sans Unicode" w:hAnsi="Lucida Sans Unicode"/>
      <w:b/>
      <w:color w:val="0000FF"/>
      <w:sz w:val="21"/>
    </w:rPr>
  </w:style>
  <w:style w:type="paragraph" w:customStyle="1" w:styleId="Map31">
    <w:name w:val="Map 3.1"/>
    <w:basedOn w:val="Figureheading"/>
    <w:rsid w:val="005955E6"/>
  </w:style>
  <w:style w:type="paragraph" w:styleId="BodyText3">
    <w:name w:val="Body Text 3"/>
    <w:basedOn w:val="Normal"/>
    <w:link w:val="BodyText3Char"/>
    <w:locked/>
    <w:rsid w:val="005955E6"/>
    <w:rPr>
      <w:rFonts w:ascii="Lucida Sans Unicode" w:hAnsi="Lucida Sans Unicode" w:cs="Times New Roman"/>
      <w:sz w:val="20"/>
      <w:szCs w:val="20"/>
    </w:rPr>
  </w:style>
  <w:style w:type="character" w:customStyle="1" w:styleId="BodyText3Char">
    <w:name w:val="Body Text 3 Char"/>
    <w:link w:val="BodyText3"/>
    <w:rsid w:val="005955E6"/>
    <w:rPr>
      <w:rFonts w:ascii="Lucida Sans Unicode" w:hAnsi="Lucida Sans Unicode"/>
    </w:rPr>
  </w:style>
  <w:style w:type="paragraph" w:styleId="DocumentMap">
    <w:name w:val="Document Map"/>
    <w:basedOn w:val="Normal"/>
    <w:link w:val="DocumentMapChar"/>
    <w:rsid w:val="005955E6"/>
    <w:pPr>
      <w:shd w:val="clear" w:color="auto" w:fill="000080"/>
    </w:pPr>
    <w:rPr>
      <w:rFonts w:ascii="Tahoma" w:hAnsi="Tahoma" w:cs="Times New Roman"/>
      <w:sz w:val="21"/>
      <w:szCs w:val="20"/>
    </w:rPr>
  </w:style>
  <w:style w:type="character" w:customStyle="1" w:styleId="DocumentMapChar">
    <w:name w:val="Document Map Char"/>
    <w:link w:val="DocumentMap"/>
    <w:rsid w:val="005955E6"/>
    <w:rPr>
      <w:rFonts w:ascii="Tahoma" w:hAnsi="Tahoma"/>
      <w:sz w:val="21"/>
      <w:shd w:val="clear" w:color="auto" w:fill="000080"/>
    </w:rPr>
  </w:style>
  <w:style w:type="paragraph" w:styleId="FootnoteText">
    <w:name w:val="footnote text"/>
    <w:basedOn w:val="Normal"/>
    <w:link w:val="FootnoteTextChar"/>
    <w:rsid w:val="005955E6"/>
    <w:rPr>
      <w:rFonts w:ascii="Lucida Sans Unicode" w:hAnsi="Lucida Sans Unicode" w:cs="Times New Roman"/>
      <w:sz w:val="20"/>
      <w:szCs w:val="20"/>
    </w:rPr>
  </w:style>
  <w:style w:type="character" w:customStyle="1" w:styleId="FootnoteTextChar">
    <w:name w:val="Footnote Text Char"/>
    <w:link w:val="FootnoteText"/>
    <w:rsid w:val="005955E6"/>
    <w:rPr>
      <w:rFonts w:ascii="Lucida Sans Unicode" w:hAnsi="Lucida Sans Unicode"/>
    </w:rPr>
  </w:style>
  <w:style w:type="character" w:styleId="FootnoteReference">
    <w:name w:val="footnote reference"/>
    <w:rsid w:val="005955E6"/>
    <w:rPr>
      <w:vertAlign w:val="superscript"/>
    </w:rPr>
  </w:style>
  <w:style w:type="character" w:styleId="LineNumber">
    <w:name w:val="line number"/>
    <w:rsid w:val="005955E6"/>
  </w:style>
  <w:style w:type="paragraph" w:customStyle="1" w:styleId="BodyTextReport">
    <w:name w:val="BodyTextReport"/>
    <w:rsid w:val="005955E6"/>
    <w:pPr>
      <w:spacing w:before="240" w:after="240"/>
    </w:pPr>
    <w:rPr>
      <w:rFonts w:ascii="Microsoft Sans Serif" w:hAnsi="Microsoft Sans Serif"/>
      <w:sz w:val="22"/>
      <w:lang w:val="en-US"/>
    </w:rPr>
  </w:style>
  <w:style w:type="paragraph" w:customStyle="1" w:styleId="Note">
    <w:name w:val="Note"/>
    <w:basedOn w:val="Normal"/>
    <w:rsid w:val="005955E6"/>
    <w:pPr>
      <w:tabs>
        <w:tab w:val="left" w:pos="2127"/>
      </w:tabs>
      <w:spacing w:before="120"/>
      <w:ind w:left="2126" w:hanging="1899"/>
    </w:pPr>
    <w:rPr>
      <w:rFonts w:ascii="Microsoft Sans Serif" w:hAnsi="Microsoft Sans Serif" w:cs="Times New Roman"/>
      <w:szCs w:val="20"/>
    </w:rPr>
  </w:style>
  <w:style w:type="paragraph" w:customStyle="1" w:styleId="Chartheading12ptbefore">
    <w:name w:val="Chart heading+ 12pt before"/>
    <w:basedOn w:val="Normal"/>
    <w:link w:val="Chartheading12ptbeforeChar"/>
    <w:rsid w:val="005955E6"/>
    <w:pPr>
      <w:spacing w:before="240"/>
    </w:pPr>
    <w:rPr>
      <w:rFonts w:ascii="Lucida Sans Unicode" w:hAnsi="Lucida Sans Unicode" w:cs="Times New Roman"/>
      <w:b/>
      <w:sz w:val="21"/>
      <w:szCs w:val="20"/>
    </w:rPr>
  </w:style>
  <w:style w:type="paragraph" w:customStyle="1" w:styleId="Chartheading12ptafter">
    <w:name w:val="Chart heading + 12pt after"/>
    <w:basedOn w:val="Chartheading12ptbefore"/>
    <w:link w:val="Chartheading12ptafterChar"/>
    <w:rsid w:val="005955E6"/>
  </w:style>
  <w:style w:type="paragraph" w:customStyle="1" w:styleId="Chartheading12ptbeforesize10">
    <w:name w:val="Chart heading + 12 pt before size 10"/>
    <w:basedOn w:val="Chartheading12ptbefore"/>
    <w:link w:val="Chartheading12ptbeforesize10Char"/>
    <w:rsid w:val="005955E6"/>
  </w:style>
  <w:style w:type="paragraph" w:customStyle="1" w:styleId="Tableheading0">
    <w:name w:val="Table heading"/>
    <w:basedOn w:val="Normal"/>
    <w:link w:val="TableheadingChar"/>
    <w:rsid w:val="005955E6"/>
    <w:rPr>
      <w:rFonts w:ascii="Lucida Sans Unicode" w:hAnsi="Lucida Sans Unicode" w:cs="Times New Roman"/>
      <w:b/>
      <w:sz w:val="21"/>
      <w:szCs w:val="20"/>
    </w:rPr>
  </w:style>
  <w:style w:type="paragraph" w:customStyle="1" w:styleId="Chartheading">
    <w:name w:val="Chart heading"/>
    <w:basedOn w:val="Normal"/>
    <w:rsid w:val="005955E6"/>
    <w:rPr>
      <w:rFonts w:ascii="Lucida Sans Unicode" w:hAnsi="Lucida Sans Unicode" w:cs="Times New Roman"/>
      <w:b/>
      <w:sz w:val="21"/>
      <w:szCs w:val="20"/>
    </w:rPr>
  </w:style>
  <w:style w:type="paragraph" w:styleId="BlockText">
    <w:name w:val="Block Text"/>
    <w:basedOn w:val="Normal"/>
    <w:rsid w:val="005955E6"/>
    <w:pPr>
      <w:spacing w:after="120"/>
      <w:ind w:left="1440" w:right="1440"/>
    </w:pPr>
    <w:rPr>
      <w:rFonts w:ascii="Lucida Sans Unicode" w:hAnsi="Lucida Sans Unicode" w:cs="Times New Roman"/>
      <w:sz w:val="21"/>
      <w:szCs w:val="20"/>
    </w:rPr>
  </w:style>
  <w:style w:type="paragraph" w:styleId="BodyTextFirstIndent">
    <w:name w:val="Body Text First Indent"/>
    <w:basedOn w:val="BodyText"/>
    <w:link w:val="BodyTextFirstIndentChar"/>
    <w:locked/>
    <w:rsid w:val="005955E6"/>
    <w:pPr>
      <w:numPr>
        <w:numId w:val="0"/>
      </w:numPr>
      <w:spacing w:before="0" w:after="120" w:line="240" w:lineRule="auto"/>
      <w:ind w:firstLine="210"/>
    </w:pPr>
    <w:rPr>
      <w:rFonts w:ascii="Lucida Sans Unicode" w:hAnsi="Lucida Sans Unicode"/>
      <w:sz w:val="21"/>
      <w:lang w:eastAsia="en-AU"/>
    </w:rPr>
  </w:style>
  <w:style w:type="character" w:customStyle="1" w:styleId="BodyTextFirstIndentChar">
    <w:name w:val="Body Text First Indent Char"/>
    <w:link w:val="BodyTextFirstIndent"/>
    <w:rsid w:val="005955E6"/>
    <w:rPr>
      <w:rFonts w:ascii="Lucida Sans Unicode" w:hAnsi="Lucida Sans Unicode"/>
      <w:sz w:val="21"/>
      <w:lang w:eastAsia="en-US"/>
    </w:rPr>
  </w:style>
  <w:style w:type="paragraph" w:styleId="BodyTextFirstIndent2">
    <w:name w:val="Body Text First Indent 2"/>
    <w:basedOn w:val="BodyTextIndent"/>
    <w:link w:val="BodyTextFirstIndent2Char"/>
    <w:locked/>
    <w:rsid w:val="005955E6"/>
    <w:pPr>
      <w:spacing w:after="120"/>
      <w:ind w:left="283" w:firstLine="210"/>
    </w:pPr>
    <w:rPr>
      <w:b w:val="0"/>
    </w:rPr>
  </w:style>
  <w:style w:type="character" w:customStyle="1" w:styleId="BodyTextFirstIndent2Char">
    <w:name w:val="Body Text First Indent 2 Char"/>
    <w:link w:val="BodyTextFirstIndent2"/>
    <w:rsid w:val="005955E6"/>
    <w:rPr>
      <w:rFonts w:ascii="Lucida Sans Unicode" w:hAnsi="Lucida Sans Unicode"/>
      <w:b w:val="0"/>
      <w:sz w:val="21"/>
    </w:rPr>
  </w:style>
  <w:style w:type="paragraph" w:styleId="Closing">
    <w:name w:val="Closing"/>
    <w:basedOn w:val="Normal"/>
    <w:link w:val="ClosingChar"/>
    <w:rsid w:val="005955E6"/>
    <w:pPr>
      <w:ind w:left="4252"/>
    </w:pPr>
    <w:rPr>
      <w:rFonts w:ascii="Lucida Sans Unicode" w:hAnsi="Lucida Sans Unicode" w:cs="Times New Roman"/>
      <w:sz w:val="21"/>
      <w:szCs w:val="20"/>
    </w:rPr>
  </w:style>
  <w:style w:type="character" w:customStyle="1" w:styleId="ClosingChar">
    <w:name w:val="Closing Char"/>
    <w:link w:val="Closing"/>
    <w:rsid w:val="005955E6"/>
    <w:rPr>
      <w:rFonts w:ascii="Lucida Sans Unicode" w:hAnsi="Lucida Sans Unicode"/>
      <w:sz w:val="21"/>
    </w:rPr>
  </w:style>
  <w:style w:type="character" w:customStyle="1" w:styleId="DateChar">
    <w:name w:val="Date Char"/>
    <w:link w:val="Date"/>
    <w:rsid w:val="005955E6"/>
    <w:rPr>
      <w:rFonts w:ascii="Arial" w:hAnsi="Arial"/>
      <w:color w:val="FFFFFF"/>
      <w:spacing w:val="3"/>
      <w:sz w:val="12"/>
      <w:lang w:eastAsia="en-US"/>
    </w:rPr>
  </w:style>
  <w:style w:type="paragraph" w:styleId="E-mailSignature">
    <w:name w:val="E-mail Signature"/>
    <w:basedOn w:val="Normal"/>
    <w:link w:val="E-mailSignatureChar"/>
    <w:rsid w:val="005955E6"/>
    <w:rPr>
      <w:rFonts w:ascii="Lucida Sans Unicode" w:hAnsi="Lucida Sans Unicode" w:cs="Times New Roman"/>
      <w:sz w:val="21"/>
      <w:szCs w:val="20"/>
    </w:rPr>
  </w:style>
  <w:style w:type="character" w:customStyle="1" w:styleId="E-mailSignatureChar">
    <w:name w:val="E-mail Signature Char"/>
    <w:link w:val="E-mailSignature"/>
    <w:rsid w:val="005955E6"/>
    <w:rPr>
      <w:rFonts w:ascii="Lucida Sans Unicode" w:hAnsi="Lucida Sans Unicode"/>
      <w:sz w:val="21"/>
    </w:rPr>
  </w:style>
  <w:style w:type="paragraph" w:styleId="EndnoteText">
    <w:name w:val="endnote text"/>
    <w:basedOn w:val="Normal"/>
    <w:link w:val="EndnoteTextChar"/>
    <w:rsid w:val="005955E6"/>
    <w:rPr>
      <w:rFonts w:ascii="Lucida Sans Unicode" w:hAnsi="Lucida Sans Unicode" w:cs="Times New Roman"/>
      <w:sz w:val="20"/>
      <w:szCs w:val="20"/>
    </w:rPr>
  </w:style>
  <w:style w:type="character" w:customStyle="1" w:styleId="EndnoteTextChar">
    <w:name w:val="Endnote Text Char"/>
    <w:link w:val="EndnoteText"/>
    <w:rsid w:val="005955E6"/>
    <w:rPr>
      <w:rFonts w:ascii="Lucida Sans Unicode" w:hAnsi="Lucida Sans Unicode"/>
    </w:rPr>
  </w:style>
  <w:style w:type="paragraph" w:styleId="EnvelopeAddress">
    <w:name w:val="envelope address"/>
    <w:basedOn w:val="Normal"/>
    <w:rsid w:val="005955E6"/>
    <w:pPr>
      <w:framePr w:w="7920" w:h="1980" w:hRule="exact" w:hSpace="180" w:wrap="auto" w:hAnchor="page" w:xAlign="center" w:yAlign="bottom"/>
      <w:ind w:left="2880"/>
    </w:pPr>
    <w:rPr>
      <w:rFonts w:cs="Arial"/>
      <w:sz w:val="24"/>
    </w:rPr>
  </w:style>
  <w:style w:type="paragraph" w:styleId="EnvelopeReturn">
    <w:name w:val="envelope return"/>
    <w:basedOn w:val="Normal"/>
    <w:rsid w:val="005955E6"/>
    <w:rPr>
      <w:rFonts w:cs="Arial"/>
      <w:sz w:val="20"/>
      <w:szCs w:val="20"/>
    </w:rPr>
  </w:style>
  <w:style w:type="paragraph" w:styleId="HTMLAddress">
    <w:name w:val="HTML Address"/>
    <w:basedOn w:val="Normal"/>
    <w:link w:val="HTMLAddressChar"/>
    <w:rsid w:val="005955E6"/>
    <w:rPr>
      <w:rFonts w:ascii="Lucida Sans Unicode" w:hAnsi="Lucida Sans Unicode" w:cs="Times New Roman"/>
      <w:i/>
      <w:iCs/>
      <w:sz w:val="21"/>
      <w:szCs w:val="20"/>
    </w:rPr>
  </w:style>
  <w:style w:type="character" w:customStyle="1" w:styleId="HTMLAddressChar">
    <w:name w:val="HTML Address Char"/>
    <w:link w:val="HTMLAddress"/>
    <w:rsid w:val="005955E6"/>
    <w:rPr>
      <w:rFonts w:ascii="Lucida Sans Unicode" w:hAnsi="Lucida Sans Unicode"/>
      <w:i/>
      <w:iCs/>
      <w:sz w:val="21"/>
    </w:rPr>
  </w:style>
  <w:style w:type="paragraph" w:styleId="HTMLPreformatted">
    <w:name w:val="HTML Preformatted"/>
    <w:basedOn w:val="Normal"/>
    <w:link w:val="HTMLPreformattedChar"/>
    <w:rsid w:val="005955E6"/>
    <w:rPr>
      <w:rFonts w:ascii="Courier New" w:hAnsi="Courier New" w:cs="Courier New"/>
      <w:sz w:val="20"/>
      <w:szCs w:val="20"/>
    </w:rPr>
  </w:style>
  <w:style w:type="character" w:customStyle="1" w:styleId="HTMLPreformattedChar">
    <w:name w:val="HTML Preformatted Char"/>
    <w:link w:val="HTMLPreformatted"/>
    <w:rsid w:val="005955E6"/>
    <w:rPr>
      <w:rFonts w:ascii="Courier New" w:hAnsi="Courier New" w:cs="Courier New"/>
    </w:rPr>
  </w:style>
  <w:style w:type="paragraph" w:styleId="Index2">
    <w:name w:val="index 2"/>
    <w:basedOn w:val="Normal"/>
    <w:next w:val="Normal"/>
    <w:autoRedefine/>
    <w:rsid w:val="005955E6"/>
    <w:pPr>
      <w:ind w:left="420" w:hanging="210"/>
    </w:pPr>
    <w:rPr>
      <w:rFonts w:ascii="Lucida Sans Unicode" w:hAnsi="Lucida Sans Unicode" w:cs="Times New Roman"/>
      <w:sz w:val="21"/>
      <w:szCs w:val="20"/>
    </w:rPr>
  </w:style>
  <w:style w:type="paragraph" w:styleId="Index3">
    <w:name w:val="index 3"/>
    <w:basedOn w:val="Normal"/>
    <w:next w:val="Normal"/>
    <w:autoRedefine/>
    <w:rsid w:val="005955E6"/>
    <w:pPr>
      <w:ind w:left="630" w:hanging="210"/>
    </w:pPr>
    <w:rPr>
      <w:rFonts w:ascii="Lucida Sans Unicode" w:hAnsi="Lucida Sans Unicode" w:cs="Times New Roman"/>
      <w:sz w:val="21"/>
      <w:szCs w:val="20"/>
    </w:rPr>
  </w:style>
  <w:style w:type="paragraph" w:styleId="Index4">
    <w:name w:val="index 4"/>
    <w:basedOn w:val="Normal"/>
    <w:next w:val="Normal"/>
    <w:autoRedefine/>
    <w:rsid w:val="005955E6"/>
    <w:pPr>
      <w:ind w:left="840" w:hanging="210"/>
    </w:pPr>
    <w:rPr>
      <w:rFonts w:ascii="Lucida Sans Unicode" w:hAnsi="Lucida Sans Unicode" w:cs="Times New Roman"/>
      <w:sz w:val="21"/>
      <w:szCs w:val="20"/>
    </w:rPr>
  </w:style>
  <w:style w:type="paragraph" w:styleId="Index5">
    <w:name w:val="index 5"/>
    <w:basedOn w:val="Normal"/>
    <w:next w:val="Normal"/>
    <w:autoRedefine/>
    <w:rsid w:val="005955E6"/>
    <w:pPr>
      <w:ind w:left="1050" w:hanging="210"/>
    </w:pPr>
    <w:rPr>
      <w:rFonts w:ascii="Lucida Sans Unicode" w:hAnsi="Lucida Sans Unicode" w:cs="Times New Roman"/>
      <w:sz w:val="21"/>
      <w:szCs w:val="20"/>
    </w:rPr>
  </w:style>
  <w:style w:type="paragraph" w:styleId="Index6">
    <w:name w:val="index 6"/>
    <w:basedOn w:val="Normal"/>
    <w:next w:val="Normal"/>
    <w:autoRedefine/>
    <w:rsid w:val="005955E6"/>
    <w:pPr>
      <w:ind w:left="1260" w:hanging="210"/>
    </w:pPr>
    <w:rPr>
      <w:rFonts w:ascii="Lucida Sans Unicode" w:hAnsi="Lucida Sans Unicode" w:cs="Times New Roman"/>
      <w:sz w:val="21"/>
      <w:szCs w:val="20"/>
    </w:rPr>
  </w:style>
  <w:style w:type="paragraph" w:styleId="Index7">
    <w:name w:val="index 7"/>
    <w:basedOn w:val="Normal"/>
    <w:next w:val="Normal"/>
    <w:autoRedefine/>
    <w:rsid w:val="005955E6"/>
    <w:pPr>
      <w:ind w:left="1470" w:hanging="210"/>
    </w:pPr>
    <w:rPr>
      <w:rFonts w:ascii="Lucida Sans Unicode" w:hAnsi="Lucida Sans Unicode" w:cs="Times New Roman"/>
      <w:sz w:val="21"/>
      <w:szCs w:val="20"/>
    </w:rPr>
  </w:style>
  <w:style w:type="paragraph" w:styleId="Index8">
    <w:name w:val="index 8"/>
    <w:basedOn w:val="Normal"/>
    <w:next w:val="Normal"/>
    <w:autoRedefine/>
    <w:rsid w:val="005955E6"/>
    <w:pPr>
      <w:ind w:left="1680" w:hanging="210"/>
    </w:pPr>
    <w:rPr>
      <w:rFonts w:ascii="Lucida Sans Unicode" w:hAnsi="Lucida Sans Unicode" w:cs="Times New Roman"/>
      <w:sz w:val="21"/>
      <w:szCs w:val="20"/>
    </w:rPr>
  </w:style>
  <w:style w:type="paragraph" w:styleId="Index9">
    <w:name w:val="index 9"/>
    <w:basedOn w:val="Normal"/>
    <w:next w:val="Normal"/>
    <w:autoRedefine/>
    <w:rsid w:val="005955E6"/>
    <w:pPr>
      <w:ind w:left="1890" w:hanging="210"/>
    </w:pPr>
    <w:rPr>
      <w:rFonts w:ascii="Lucida Sans Unicode" w:hAnsi="Lucida Sans Unicode" w:cs="Times New Roman"/>
      <w:sz w:val="21"/>
      <w:szCs w:val="20"/>
    </w:rPr>
  </w:style>
  <w:style w:type="paragraph" w:styleId="IndexHeading">
    <w:name w:val="index heading"/>
    <w:basedOn w:val="Normal"/>
    <w:next w:val="Index1"/>
    <w:rsid w:val="005955E6"/>
    <w:rPr>
      <w:rFonts w:cs="Arial"/>
      <w:b/>
      <w:bCs/>
      <w:sz w:val="21"/>
      <w:szCs w:val="20"/>
    </w:rPr>
  </w:style>
  <w:style w:type="paragraph" w:styleId="List">
    <w:name w:val="List"/>
    <w:basedOn w:val="Normal"/>
    <w:locked/>
    <w:rsid w:val="005955E6"/>
    <w:pPr>
      <w:ind w:left="283" w:hanging="283"/>
    </w:pPr>
    <w:rPr>
      <w:rFonts w:ascii="Lucida Sans Unicode" w:hAnsi="Lucida Sans Unicode" w:cs="Times New Roman"/>
      <w:sz w:val="21"/>
      <w:szCs w:val="20"/>
    </w:rPr>
  </w:style>
  <w:style w:type="paragraph" w:styleId="List2">
    <w:name w:val="List 2"/>
    <w:basedOn w:val="Normal"/>
    <w:locked/>
    <w:rsid w:val="005955E6"/>
    <w:pPr>
      <w:ind w:left="566" w:hanging="283"/>
    </w:pPr>
    <w:rPr>
      <w:rFonts w:ascii="Lucida Sans Unicode" w:hAnsi="Lucida Sans Unicode" w:cs="Times New Roman"/>
      <w:sz w:val="21"/>
      <w:szCs w:val="20"/>
    </w:rPr>
  </w:style>
  <w:style w:type="paragraph" w:styleId="List3">
    <w:name w:val="List 3"/>
    <w:basedOn w:val="Normal"/>
    <w:locked/>
    <w:rsid w:val="005955E6"/>
    <w:pPr>
      <w:ind w:left="849" w:hanging="283"/>
    </w:pPr>
    <w:rPr>
      <w:rFonts w:ascii="Lucida Sans Unicode" w:hAnsi="Lucida Sans Unicode" w:cs="Times New Roman"/>
      <w:sz w:val="21"/>
      <w:szCs w:val="20"/>
    </w:rPr>
  </w:style>
  <w:style w:type="paragraph" w:styleId="List4">
    <w:name w:val="List 4"/>
    <w:basedOn w:val="Normal"/>
    <w:locked/>
    <w:rsid w:val="005955E6"/>
    <w:pPr>
      <w:ind w:left="1132" w:hanging="283"/>
    </w:pPr>
    <w:rPr>
      <w:rFonts w:ascii="Lucida Sans Unicode" w:hAnsi="Lucida Sans Unicode" w:cs="Times New Roman"/>
      <w:sz w:val="21"/>
      <w:szCs w:val="20"/>
    </w:rPr>
  </w:style>
  <w:style w:type="paragraph" w:styleId="List5">
    <w:name w:val="List 5"/>
    <w:basedOn w:val="Normal"/>
    <w:locked/>
    <w:rsid w:val="005955E6"/>
    <w:pPr>
      <w:ind w:left="1415" w:hanging="283"/>
    </w:pPr>
    <w:rPr>
      <w:rFonts w:ascii="Lucida Sans Unicode" w:hAnsi="Lucida Sans Unicode" w:cs="Times New Roman"/>
      <w:sz w:val="21"/>
      <w:szCs w:val="20"/>
    </w:rPr>
  </w:style>
  <w:style w:type="paragraph" w:styleId="ListBullet">
    <w:name w:val="List Bullet"/>
    <w:basedOn w:val="Normal"/>
    <w:locked/>
    <w:rsid w:val="005955E6"/>
    <w:pPr>
      <w:tabs>
        <w:tab w:val="num" w:pos="360"/>
      </w:tabs>
      <w:ind w:left="360" w:hanging="360"/>
    </w:pPr>
    <w:rPr>
      <w:rFonts w:ascii="Lucida Sans Unicode" w:hAnsi="Lucida Sans Unicode" w:cs="Times New Roman"/>
      <w:sz w:val="21"/>
      <w:szCs w:val="20"/>
    </w:rPr>
  </w:style>
  <w:style w:type="paragraph" w:styleId="ListBullet2">
    <w:name w:val="List Bullet 2"/>
    <w:basedOn w:val="Normal"/>
    <w:locked/>
    <w:rsid w:val="005955E6"/>
    <w:pPr>
      <w:tabs>
        <w:tab w:val="num" w:pos="643"/>
      </w:tabs>
      <w:ind w:left="643" w:hanging="360"/>
    </w:pPr>
    <w:rPr>
      <w:rFonts w:ascii="Lucida Sans Unicode" w:hAnsi="Lucida Sans Unicode" w:cs="Times New Roman"/>
      <w:sz w:val="21"/>
      <w:szCs w:val="20"/>
    </w:rPr>
  </w:style>
  <w:style w:type="paragraph" w:styleId="ListBullet3">
    <w:name w:val="List Bullet 3"/>
    <w:basedOn w:val="Normal"/>
    <w:locked/>
    <w:rsid w:val="005955E6"/>
    <w:pPr>
      <w:tabs>
        <w:tab w:val="num" w:pos="926"/>
      </w:tabs>
      <w:ind w:left="926" w:hanging="360"/>
    </w:pPr>
    <w:rPr>
      <w:rFonts w:ascii="Lucida Sans Unicode" w:hAnsi="Lucida Sans Unicode" w:cs="Times New Roman"/>
      <w:sz w:val="21"/>
      <w:szCs w:val="20"/>
    </w:rPr>
  </w:style>
  <w:style w:type="paragraph" w:styleId="ListBullet4">
    <w:name w:val="List Bullet 4"/>
    <w:basedOn w:val="Normal"/>
    <w:locked/>
    <w:rsid w:val="005955E6"/>
    <w:pPr>
      <w:tabs>
        <w:tab w:val="num" w:pos="1209"/>
      </w:tabs>
      <w:ind w:left="1209" w:hanging="360"/>
    </w:pPr>
    <w:rPr>
      <w:rFonts w:ascii="Lucida Sans Unicode" w:hAnsi="Lucida Sans Unicode" w:cs="Times New Roman"/>
      <w:sz w:val="21"/>
      <w:szCs w:val="20"/>
    </w:rPr>
  </w:style>
  <w:style w:type="paragraph" w:styleId="ListBullet5">
    <w:name w:val="List Bullet 5"/>
    <w:basedOn w:val="Normal"/>
    <w:locked/>
    <w:rsid w:val="005955E6"/>
    <w:pPr>
      <w:tabs>
        <w:tab w:val="num" w:pos="1492"/>
      </w:tabs>
      <w:ind w:left="1492" w:hanging="360"/>
    </w:pPr>
    <w:rPr>
      <w:rFonts w:ascii="Lucida Sans Unicode" w:hAnsi="Lucida Sans Unicode" w:cs="Times New Roman"/>
      <w:sz w:val="21"/>
      <w:szCs w:val="20"/>
    </w:rPr>
  </w:style>
  <w:style w:type="paragraph" w:styleId="ListContinue">
    <w:name w:val="List Continue"/>
    <w:basedOn w:val="Normal"/>
    <w:locked/>
    <w:rsid w:val="005955E6"/>
    <w:pPr>
      <w:spacing w:after="120"/>
      <w:ind w:left="283"/>
    </w:pPr>
    <w:rPr>
      <w:rFonts w:ascii="Lucida Sans Unicode" w:hAnsi="Lucida Sans Unicode" w:cs="Times New Roman"/>
      <w:sz w:val="21"/>
      <w:szCs w:val="20"/>
    </w:rPr>
  </w:style>
  <w:style w:type="paragraph" w:styleId="ListContinue2">
    <w:name w:val="List Continue 2"/>
    <w:basedOn w:val="Normal"/>
    <w:locked/>
    <w:rsid w:val="005955E6"/>
    <w:pPr>
      <w:spacing w:after="120"/>
      <w:ind w:left="566"/>
    </w:pPr>
    <w:rPr>
      <w:rFonts w:ascii="Lucida Sans Unicode" w:hAnsi="Lucida Sans Unicode" w:cs="Times New Roman"/>
      <w:sz w:val="21"/>
      <w:szCs w:val="20"/>
    </w:rPr>
  </w:style>
  <w:style w:type="paragraph" w:styleId="ListContinue3">
    <w:name w:val="List Continue 3"/>
    <w:basedOn w:val="Normal"/>
    <w:locked/>
    <w:rsid w:val="005955E6"/>
    <w:pPr>
      <w:spacing w:after="120"/>
      <w:ind w:left="849"/>
    </w:pPr>
    <w:rPr>
      <w:rFonts w:ascii="Lucida Sans Unicode" w:hAnsi="Lucida Sans Unicode" w:cs="Times New Roman"/>
      <w:sz w:val="21"/>
      <w:szCs w:val="20"/>
    </w:rPr>
  </w:style>
  <w:style w:type="paragraph" w:styleId="ListContinue4">
    <w:name w:val="List Continue 4"/>
    <w:basedOn w:val="Normal"/>
    <w:locked/>
    <w:rsid w:val="005955E6"/>
    <w:pPr>
      <w:spacing w:after="120"/>
      <w:ind w:left="1132"/>
    </w:pPr>
    <w:rPr>
      <w:rFonts w:ascii="Lucida Sans Unicode" w:hAnsi="Lucida Sans Unicode" w:cs="Times New Roman"/>
      <w:sz w:val="21"/>
      <w:szCs w:val="20"/>
    </w:rPr>
  </w:style>
  <w:style w:type="paragraph" w:styleId="ListContinue5">
    <w:name w:val="List Continue 5"/>
    <w:basedOn w:val="Normal"/>
    <w:locked/>
    <w:rsid w:val="005955E6"/>
    <w:pPr>
      <w:spacing w:after="120"/>
      <w:ind w:left="1415"/>
    </w:pPr>
    <w:rPr>
      <w:rFonts w:ascii="Lucida Sans Unicode" w:hAnsi="Lucida Sans Unicode" w:cs="Times New Roman"/>
      <w:sz w:val="21"/>
      <w:szCs w:val="20"/>
    </w:rPr>
  </w:style>
  <w:style w:type="paragraph" w:styleId="ListNumber4">
    <w:name w:val="List Number 4"/>
    <w:basedOn w:val="Normal"/>
    <w:locked/>
    <w:rsid w:val="005955E6"/>
    <w:pPr>
      <w:tabs>
        <w:tab w:val="num" w:pos="1209"/>
      </w:tabs>
      <w:ind w:left="1209" w:hanging="360"/>
    </w:pPr>
    <w:rPr>
      <w:rFonts w:ascii="Lucida Sans Unicode" w:hAnsi="Lucida Sans Unicode" w:cs="Times New Roman"/>
      <w:sz w:val="21"/>
      <w:szCs w:val="20"/>
    </w:rPr>
  </w:style>
  <w:style w:type="paragraph" w:styleId="ListNumber5">
    <w:name w:val="List Number 5"/>
    <w:basedOn w:val="Normal"/>
    <w:locked/>
    <w:rsid w:val="005955E6"/>
    <w:pPr>
      <w:tabs>
        <w:tab w:val="num" w:pos="1492"/>
      </w:tabs>
      <w:ind w:left="1492" w:hanging="360"/>
    </w:pPr>
    <w:rPr>
      <w:rFonts w:ascii="Lucida Sans Unicode" w:hAnsi="Lucida Sans Unicode" w:cs="Times New Roman"/>
      <w:sz w:val="21"/>
      <w:szCs w:val="20"/>
    </w:rPr>
  </w:style>
  <w:style w:type="paragraph" w:styleId="MacroText">
    <w:name w:val="macro"/>
    <w:link w:val="MacroTextChar"/>
    <w:locked/>
    <w:rsid w:val="005955E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955E6"/>
    <w:rPr>
      <w:rFonts w:ascii="Courier New" w:hAnsi="Courier New" w:cs="Courier New"/>
    </w:rPr>
  </w:style>
  <w:style w:type="paragraph" w:styleId="MessageHeader">
    <w:name w:val="Message Header"/>
    <w:basedOn w:val="Normal"/>
    <w:link w:val="MessageHeaderChar"/>
    <w:rsid w:val="005955E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955E6"/>
    <w:rPr>
      <w:rFonts w:ascii="Arial" w:hAnsi="Arial" w:cs="Arial"/>
      <w:sz w:val="24"/>
      <w:szCs w:val="24"/>
      <w:shd w:val="pct20" w:color="auto" w:fill="auto"/>
    </w:rPr>
  </w:style>
  <w:style w:type="paragraph" w:styleId="NormalIndent">
    <w:name w:val="Normal Indent"/>
    <w:basedOn w:val="Normal"/>
    <w:rsid w:val="005955E6"/>
    <w:pPr>
      <w:ind w:left="720"/>
    </w:pPr>
    <w:rPr>
      <w:rFonts w:ascii="Lucida Sans Unicode" w:hAnsi="Lucida Sans Unicode" w:cs="Times New Roman"/>
      <w:sz w:val="21"/>
      <w:szCs w:val="20"/>
    </w:rPr>
  </w:style>
  <w:style w:type="paragraph" w:styleId="NoteHeading">
    <w:name w:val="Note Heading"/>
    <w:basedOn w:val="Normal"/>
    <w:next w:val="Normal"/>
    <w:link w:val="NoteHeadingChar"/>
    <w:rsid w:val="005955E6"/>
    <w:rPr>
      <w:rFonts w:ascii="Lucida Sans Unicode" w:hAnsi="Lucida Sans Unicode" w:cs="Times New Roman"/>
      <w:sz w:val="21"/>
      <w:szCs w:val="20"/>
    </w:rPr>
  </w:style>
  <w:style w:type="character" w:customStyle="1" w:styleId="NoteHeadingChar">
    <w:name w:val="Note Heading Char"/>
    <w:link w:val="NoteHeading"/>
    <w:rsid w:val="005955E6"/>
    <w:rPr>
      <w:rFonts w:ascii="Lucida Sans Unicode" w:hAnsi="Lucida Sans Unicode"/>
      <w:sz w:val="21"/>
    </w:rPr>
  </w:style>
  <w:style w:type="paragraph" w:styleId="PlainText">
    <w:name w:val="Plain Text"/>
    <w:basedOn w:val="Normal"/>
    <w:link w:val="PlainTextChar"/>
    <w:rsid w:val="005955E6"/>
    <w:rPr>
      <w:rFonts w:ascii="Courier New" w:hAnsi="Courier New" w:cs="Courier New"/>
      <w:sz w:val="20"/>
      <w:szCs w:val="20"/>
    </w:rPr>
  </w:style>
  <w:style w:type="character" w:customStyle="1" w:styleId="PlainTextChar">
    <w:name w:val="Plain Text Char"/>
    <w:link w:val="PlainText"/>
    <w:rsid w:val="005955E6"/>
    <w:rPr>
      <w:rFonts w:ascii="Courier New" w:hAnsi="Courier New" w:cs="Courier New"/>
    </w:rPr>
  </w:style>
  <w:style w:type="paragraph" w:styleId="Salutation">
    <w:name w:val="Salutation"/>
    <w:basedOn w:val="Normal"/>
    <w:next w:val="Normal"/>
    <w:link w:val="SalutationChar"/>
    <w:rsid w:val="005955E6"/>
    <w:rPr>
      <w:rFonts w:ascii="Lucida Sans Unicode" w:hAnsi="Lucida Sans Unicode" w:cs="Times New Roman"/>
      <w:sz w:val="21"/>
      <w:szCs w:val="20"/>
    </w:rPr>
  </w:style>
  <w:style w:type="character" w:customStyle="1" w:styleId="SalutationChar">
    <w:name w:val="Salutation Char"/>
    <w:link w:val="Salutation"/>
    <w:rsid w:val="005955E6"/>
    <w:rPr>
      <w:rFonts w:ascii="Lucida Sans Unicode" w:hAnsi="Lucida Sans Unicode"/>
      <w:sz w:val="21"/>
    </w:rPr>
  </w:style>
  <w:style w:type="paragraph" w:styleId="Signature">
    <w:name w:val="Signature"/>
    <w:basedOn w:val="Normal"/>
    <w:link w:val="SignatureChar"/>
    <w:rsid w:val="005955E6"/>
    <w:pPr>
      <w:ind w:left="4252"/>
    </w:pPr>
    <w:rPr>
      <w:rFonts w:ascii="Lucida Sans Unicode" w:hAnsi="Lucida Sans Unicode" w:cs="Times New Roman"/>
      <w:sz w:val="21"/>
      <w:szCs w:val="20"/>
    </w:rPr>
  </w:style>
  <w:style w:type="character" w:customStyle="1" w:styleId="SignatureChar">
    <w:name w:val="Signature Char"/>
    <w:link w:val="Signature"/>
    <w:rsid w:val="005955E6"/>
    <w:rPr>
      <w:rFonts w:ascii="Lucida Sans Unicode" w:hAnsi="Lucida Sans Unicode"/>
      <w:sz w:val="21"/>
    </w:rPr>
  </w:style>
  <w:style w:type="character" w:customStyle="1" w:styleId="SubtitleChar">
    <w:name w:val="Subtitle Char"/>
    <w:link w:val="Subtitle"/>
    <w:rsid w:val="005955E6"/>
    <w:rPr>
      <w:rFonts w:ascii="Arial" w:hAnsi="Arial" w:cs="Arial"/>
      <w:bCs/>
      <w:color w:val="FFFFFF"/>
      <w:spacing w:val="-12"/>
      <w:sz w:val="40"/>
      <w:szCs w:val="24"/>
      <w:lang w:eastAsia="en-US"/>
    </w:rPr>
  </w:style>
  <w:style w:type="paragraph" w:styleId="TableofAuthorities">
    <w:name w:val="table of authorities"/>
    <w:basedOn w:val="Normal"/>
    <w:next w:val="Normal"/>
    <w:rsid w:val="005955E6"/>
    <w:pPr>
      <w:ind w:left="210" w:hanging="210"/>
    </w:pPr>
    <w:rPr>
      <w:rFonts w:ascii="Lucida Sans Unicode" w:hAnsi="Lucida Sans Unicode" w:cs="Times New Roman"/>
      <w:sz w:val="21"/>
      <w:szCs w:val="20"/>
    </w:rPr>
  </w:style>
  <w:style w:type="character" w:customStyle="1" w:styleId="TitleChar">
    <w:name w:val="Title Char"/>
    <w:link w:val="Title"/>
    <w:rsid w:val="005955E6"/>
    <w:rPr>
      <w:rFonts w:cs="Arial"/>
      <w:color w:val="FFFFFF"/>
      <w:spacing w:val="-40"/>
      <w:sz w:val="116"/>
      <w:szCs w:val="100"/>
      <w:lang w:eastAsia="en-US"/>
    </w:rPr>
  </w:style>
  <w:style w:type="paragraph" w:styleId="TOAHeading">
    <w:name w:val="toa heading"/>
    <w:basedOn w:val="Normal"/>
    <w:next w:val="Normal"/>
    <w:rsid w:val="005955E6"/>
    <w:pPr>
      <w:spacing w:before="120"/>
    </w:pPr>
    <w:rPr>
      <w:rFonts w:cs="Arial"/>
      <w:b/>
      <w:bCs/>
      <w:sz w:val="24"/>
    </w:rPr>
  </w:style>
  <w:style w:type="paragraph" w:customStyle="1" w:styleId="Default">
    <w:name w:val="Default"/>
    <w:rsid w:val="005955E6"/>
    <w:pPr>
      <w:autoSpaceDE w:val="0"/>
      <w:autoSpaceDN w:val="0"/>
      <w:adjustRightInd w:val="0"/>
    </w:pPr>
    <w:rPr>
      <w:color w:val="000000"/>
      <w:sz w:val="24"/>
      <w:szCs w:val="24"/>
    </w:rPr>
  </w:style>
  <w:style w:type="character" w:customStyle="1" w:styleId="Chartheading12ptbeforeChar">
    <w:name w:val="Chart heading+ 12pt before Char"/>
    <w:link w:val="Chartheading12ptbefore"/>
    <w:rsid w:val="005955E6"/>
    <w:rPr>
      <w:rFonts w:ascii="Lucida Sans Unicode" w:hAnsi="Lucida Sans Unicode"/>
      <w:b/>
      <w:sz w:val="21"/>
    </w:rPr>
  </w:style>
  <w:style w:type="character" w:customStyle="1" w:styleId="Chartheading12ptafterChar">
    <w:name w:val="Chart heading + 12pt after Char"/>
    <w:link w:val="Chartheading12ptafter"/>
    <w:rsid w:val="005955E6"/>
    <w:rPr>
      <w:rFonts w:ascii="Lucida Sans Unicode" w:hAnsi="Lucida Sans Unicode"/>
      <w:b/>
      <w:sz w:val="21"/>
    </w:rPr>
  </w:style>
  <w:style w:type="character" w:customStyle="1" w:styleId="Chartheading12ptbeforesize10Char">
    <w:name w:val="Chart heading + 12 pt before size 10 Char"/>
    <w:link w:val="Chartheading12ptbeforesize10"/>
    <w:rsid w:val="005955E6"/>
    <w:rPr>
      <w:rFonts w:ascii="Lucida Sans Unicode" w:hAnsi="Lucida Sans Unicode"/>
      <w:b/>
      <w:sz w:val="21"/>
    </w:rPr>
  </w:style>
  <w:style w:type="character" w:customStyle="1" w:styleId="TableheadingChar">
    <w:name w:val="Table heading Char"/>
    <w:link w:val="Tableheading0"/>
    <w:rsid w:val="005955E6"/>
    <w:rPr>
      <w:rFonts w:ascii="Lucida Sans Unicode" w:hAnsi="Lucida Sans Unicode"/>
      <w:b/>
      <w:sz w:val="21"/>
    </w:rPr>
  </w:style>
  <w:style w:type="table" w:customStyle="1" w:styleId="MO">
    <w:name w:val="MO"/>
    <w:basedOn w:val="TableGrid"/>
    <w:rsid w:val="005955E6"/>
    <w:tblPr>
      <w:tblInd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tcPr>
      <w:shd w:val="clear" w:color="auto" w:fill="CCFFCC"/>
    </w:tcPr>
  </w:style>
  <w:style w:type="paragraph" w:styleId="Revision">
    <w:name w:val="Revision"/>
    <w:hidden/>
    <w:uiPriority w:val="99"/>
    <w:semiHidden/>
    <w:rsid w:val="005955E6"/>
    <w:rPr>
      <w:rFonts w:ascii="Lucida Sans Unicode" w:hAnsi="Lucida Sans Unicode"/>
      <w:sz w:val="21"/>
    </w:rPr>
  </w:style>
  <w:style w:type="paragraph" w:styleId="ListParagraph">
    <w:name w:val="List Paragraph"/>
    <w:basedOn w:val="Normal"/>
    <w:uiPriority w:val="34"/>
    <w:qFormat/>
    <w:rsid w:val="005955E6"/>
    <w:pPr>
      <w:ind w:left="720"/>
      <w:contextualSpacing/>
    </w:pPr>
    <w:rPr>
      <w:rFonts w:ascii="Lucida Sans Unicode" w:hAnsi="Lucida Sans Unicode" w:cs="Times New Roman"/>
      <w:sz w:val="21"/>
      <w:szCs w:val="20"/>
    </w:rPr>
  </w:style>
  <w:style w:type="table" w:styleId="LightList-Accent4">
    <w:name w:val="Light List Accent 4"/>
    <w:basedOn w:val="TableNormal"/>
    <w:uiPriority w:val="61"/>
    <w:rsid w:val="005955E6"/>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Shading-Accent2">
    <w:name w:val="Light Shading Accent 2"/>
    <w:basedOn w:val="TableNormal"/>
    <w:uiPriority w:val="60"/>
    <w:rsid w:val="005955E6"/>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qFormat="1"/>
    <w:lsdException w:name="macro"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Subtitle" w:qFormat="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Strong" w:uiPriority="22" w:qFormat="1"/>
    <w:lsdException w:name="Emphasis" w:qFormat="1"/>
    <w:lsdException w:name="No List"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A62468"/>
    <w:rPr>
      <w:rFonts w:ascii="Arial" w:hAnsi="Arial" w:cs="Mangal"/>
      <w:sz w:val="18"/>
      <w:szCs w:val="24"/>
    </w:rPr>
  </w:style>
  <w:style w:type="paragraph" w:styleId="Heading1">
    <w:name w:val="heading 1"/>
    <w:basedOn w:val="Introduction"/>
    <w:next w:val="Normal"/>
    <w:link w:val="Heading1Char"/>
    <w:qFormat/>
    <w:rsid w:val="006541F0"/>
    <w:pPr>
      <w:keepNext/>
      <w:framePr w:w="9849" w:h="907" w:hRule="exact" w:hSpace="181" w:wrap="around" w:vAnchor="page" w:hAnchor="page" w:x="903" w:y="1248"/>
      <w:spacing w:after="540" w:line="211" w:lineRule="auto"/>
      <w:outlineLvl w:val="0"/>
    </w:pPr>
    <w:rPr>
      <w:rFonts w:cs="Arial"/>
      <w:color w:val="F79646"/>
      <w:spacing w:val="-20"/>
      <w:kern w:val="32"/>
      <w:sz w:val="40"/>
      <w:szCs w:val="32"/>
    </w:rPr>
  </w:style>
  <w:style w:type="paragraph" w:styleId="Heading2">
    <w:name w:val="heading 2"/>
    <w:basedOn w:val="Normal"/>
    <w:next w:val="BodyText"/>
    <w:link w:val="Heading2Char"/>
    <w:qFormat/>
    <w:rsid w:val="006541F0"/>
    <w:pPr>
      <w:keepNext/>
      <w:spacing w:before="380"/>
      <w:jc w:val="both"/>
      <w:outlineLvl w:val="1"/>
    </w:pPr>
    <w:rPr>
      <w:rFonts w:cs="Arial"/>
      <w:b/>
      <w:iCs/>
      <w:color w:val="F79646"/>
      <w:spacing w:val="-6"/>
      <w:sz w:val="24"/>
      <w:szCs w:val="36"/>
      <w:lang w:eastAsia="en-US"/>
    </w:rPr>
  </w:style>
  <w:style w:type="paragraph" w:styleId="Heading3">
    <w:name w:val="heading 3"/>
    <w:basedOn w:val="Normal"/>
    <w:next w:val="BodyText"/>
    <w:link w:val="Heading3Char"/>
    <w:qFormat/>
    <w:rsid w:val="0067460A"/>
    <w:pPr>
      <w:spacing w:before="340"/>
      <w:outlineLvl w:val="2"/>
    </w:pPr>
    <w:rPr>
      <w:rFonts w:ascii="Arial Bold" w:hAnsi="Arial Bold"/>
      <w:b/>
      <w:color w:val="F79646"/>
      <w:spacing w:val="1"/>
      <w:sz w:val="20"/>
    </w:rPr>
  </w:style>
  <w:style w:type="paragraph" w:styleId="Heading4">
    <w:name w:val="heading 4"/>
    <w:basedOn w:val="Heading3"/>
    <w:next w:val="BodyText"/>
    <w:link w:val="Heading4Char"/>
    <w:qFormat/>
    <w:rsid w:val="00E1689E"/>
    <w:pPr>
      <w:spacing w:before="220"/>
      <w:outlineLvl w:val="3"/>
    </w:pPr>
    <w:rPr>
      <w:sz w:val="18"/>
      <w:szCs w:val="18"/>
    </w:rPr>
  </w:style>
  <w:style w:type="paragraph" w:styleId="Heading5">
    <w:name w:val="heading 5"/>
    <w:basedOn w:val="Normal"/>
    <w:next w:val="Normal"/>
    <w:link w:val="Heading5Char"/>
    <w:qFormat/>
    <w:rsid w:val="005955E6"/>
    <w:pPr>
      <w:keepNext/>
      <w:jc w:val="center"/>
      <w:outlineLvl w:val="4"/>
    </w:pPr>
    <w:rPr>
      <w:rFonts w:cs="Arial"/>
      <w:b/>
      <w:bCs/>
      <w:color w:val="000000"/>
      <w:szCs w:val="18"/>
    </w:rPr>
  </w:style>
  <w:style w:type="paragraph" w:styleId="Heading6">
    <w:name w:val="heading 6"/>
    <w:basedOn w:val="Normal"/>
    <w:next w:val="Normal"/>
    <w:link w:val="Heading6Char"/>
    <w:qFormat/>
    <w:locked/>
    <w:rsid w:val="005955E6"/>
    <w:pPr>
      <w:spacing w:before="240" w:after="60"/>
      <w:outlineLvl w:val="5"/>
    </w:pPr>
    <w:rPr>
      <w:rFonts w:ascii="Lucida Sans Unicode" w:hAnsi="Lucida Sans Unicode" w:cs="Times New Roman"/>
      <w:b/>
      <w:bCs/>
      <w:sz w:val="22"/>
      <w:szCs w:val="22"/>
    </w:rPr>
  </w:style>
  <w:style w:type="paragraph" w:styleId="Heading7">
    <w:name w:val="heading 7"/>
    <w:basedOn w:val="Normal"/>
    <w:next w:val="Normal"/>
    <w:link w:val="Heading7Char"/>
    <w:qFormat/>
    <w:locked/>
    <w:rsid w:val="005955E6"/>
    <w:pPr>
      <w:keepNext/>
      <w:outlineLvl w:val="6"/>
    </w:pPr>
    <w:rPr>
      <w:rFonts w:cs="Arial"/>
      <w:b/>
      <w:bCs/>
      <w:szCs w:val="18"/>
    </w:rPr>
  </w:style>
  <w:style w:type="paragraph" w:styleId="Heading8">
    <w:name w:val="heading 8"/>
    <w:basedOn w:val="Normal"/>
    <w:next w:val="Normal"/>
    <w:link w:val="Heading8Char"/>
    <w:qFormat/>
    <w:locked/>
    <w:rsid w:val="005955E6"/>
    <w:pPr>
      <w:spacing w:before="240" w:after="60"/>
      <w:outlineLvl w:val="7"/>
    </w:pPr>
    <w:rPr>
      <w:rFonts w:ascii="Lucida Sans Unicode" w:hAnsi="Lucida Sans Unicode" w:cs="Times New Roman"/>
      <w:i/>
      <w:iCs/>
      <w:sz w:val="21"/>
    </w:rPr>
  </w:style>
  <w:style w:type="paragraph" w:styleId="Heading9">
    <w:name w:val="heading 9"/>
    <w:basedOn w:val="Normal"/>
    <w:next w:val="Normal"/>
    <w:link w:val="Heading9Char"/>
    <w:qFormat/>
    <w:locked/>
    <w:rsid w:val="005955E6"/>
    <w:pPr>
      <w:keepNext/>
      <w:jc w:val="center"/>
      <w:outlineLvl w:val="8"/>
    </w:pPr>
    <w:rPr>
      <w:rFonts w:cs="Arial"/>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58E4"/>
    <w:pPr>
      <w:tabs>
        <w:tab w:val="center" w:pos="4153"/>
        <w:tab w:val="right" w:pos="8306"/>
      </w:tabs>
    </w:pPr>
  </w:style>
  <w:style w:type="paragraph" w:styleId="Footer">
    <w:name w:val="footer"/>
    <w:basedOn w:val="Normal"/>
    <w:link w:val="FooterChar"/>
    <w:uiPriority w:val="99"/>
    <w:rsid w:val="00835F08"/>
    <w:pPr>
      <w:tabs>
        <w:tab w:val="center" w:pos="4153"/>
        <w:tab w:val="right" w:pos="8306"/>
      </w:tabs>
    </w:pPr>
    <w:rPr>
      <w:sz w:val="14"/>
    </w:rPr>
  </w:style>
  <w:style w:type="paragraph" w:styleId="Subtitle">
    <w:name w:val="Subtitle"/>
    <w:basedOn w:val="Normal"/>
    <w:link w:val="SubtitleChar"/>
    <w:qFormat/>
    <w:rsid w:val="003C0FC8"/>
    <w:pPr>
      <w:spacing w:after="60"/>
      <w:jc w:val="right"/>
    </w:pPr>
    <w:rPr>
      <w:rFonts w:cs="Arial"/>
      <w:bCs/>
      <w:color w:val="FFFFFF"/>
      <w:spacing w:val="-12"/>
      <w:sz w:val="40"/>
      <w:lang w:eastAsia="en-US"/>
    </w:rPr>
  </w:style>
  <w:style w:type="paragraph" w:styleId="Title">
    <w:name w:val="Title"/>
    <w:basedOn w:val="Normal"/>
    <w:next w:val="Subtitle"/>
    <w:link w:val="TitleChar"/>
    <w:qFormat/>
    <w:rsid w:val="002735C0"/>
    <w:pPr>
      <w:spacing w:before="240" w:after="500"/>
      <w:jc w:val="right"/>
    </w:pPr>
    <w:rPr>
      <w:rFonts w:ascii="Times New Roman" w:hAnsi="Times New Roman" w:cs="Arial"/>
      <w:color w:val="FFFFFF"/>
      <w:spacing w:val="-40"/>
      <w:sz w:val="116"/>
      <w:szCs w:val="100"/>
      <w:lang w:eastAsia="en-US"/>
    </w:rPr>
  </w:style>
  <w:style w:type="character" w:styleId="Hyperlink">
    <w:name w:val="Hyperlink"/>
    <w:rsid w:val="00945DB6"/>
    <w:rPr>
      <w:color w:val="0000FF"/>
      <w:u w:val="single"/>
    </w:rPr>
  </w:style>
  <w:style w:type="paragraph" w:customStyle="1" w:styleId="DisclaimerText1">
    <w:name w:val="Disclaimer Text 1"/>
    <w:basedOn w:val="Normal"/>
    <w:rsid w:val="00126DD7"/>
    <w:pPr>
      <w:framePr w:hSpace="181" w:wrap="around" w:hAnchor="margin" w:yAlign="bottom"/>
      <w:spacing w:after="160" w:line="276" w:lineRule="auto"/>
      <w:suppressOverlap/>
    </w:pPr>
    <w:rPr>
      <w:rFonts w:cs="Times New Roman"/>
      <w:spacing w:val="1"/>
      <w:sz w:val="16"/>
      <w:szCs w:val="20"/>
      <w:lang w:eastAsia="en-US"/>
    </w:rPr>
  </w:style>
  <w:style w:type="paragraph" w:customStyle="1" w:styleId="DisclaimerText2">
    <w:name w:val="Disclaimer Text 2"/>
    <w:basedOn w:val="Normal"/>
    <w:link w:val="DisclaimerText2Char"/>
    <w:rsid w:val="00EC7F9B"/>
    <w:pPr>
      <w:framePr w:hSpace="181" w:wrap="around" w:hAnchor="margin" w:yAlign="bottom"/>
      <w:spacing w:after="120" w:line="276" w:lineRule="auto"/>
      <w:suppressOverlap/>
    </w:pPr>
    <w:rPr>
      <w:rFonts w:cs="Times New Roman"/>
      <w:sz w:val="13"/>
      <w:szCs w:val="20"/>
      <w:lang w:eastAsia="en-US"/>
    </w:rPr>
  </w:style>
  <w:style w:type="paragraph" w:customStyle="1" w:styleId="DisclaimerText2Bold">
    <w:name w:val="Disclaimer Text 2 Bold"/>
    <w:basedOn w:val="DisclaimerText2"/>
    <w:rsid w:val="00FB376E"/>
    <w:pPr>
      <w:framePr w:wrap="around"/>
      <w:spacing w:before="120" w:after="0" w:line="240" w:lineRule="auto"/>
    </w:pPr>
    <w:rPr>
      <w:b/>
    </w:rPr>
  </w:style>
  <w:style w:type="paragraph" w:customStyle="1" w:styleId="DisclaimerText3">
    <w:name w:val="Disclaimer Text 3"/>
    <w:basedOn w:val="Normal"/>
    <w:rsid w:val="00EC7F9B"/>
    <w:pPr>
      <w:framePr w:hSpace="181" w:wrap="around" w:vAnchor="page" w:hAnchor="margin" w:y="11341"/>
      <w:spacing w:after="120"/>
      <w:suppressOverlap/>
    </w:pPr>
    <w:rPr>
      <w:rFonts w:cs="Times New Roman"/>
      <w:sz w:val="13"/>
      <w:szCs w:val="20"/>
      <w:lang w:eastAsia="en-US"/>
    </w:rPr>
  </w:style>
  <w:style w:type="character" w:customStyle="1" w:styleId="xCondensed">
    <w:name w:val="xCondensed"/>
    <w:rsid w:val="00945DB6"/>
    <w:rPr>
      <w:spacing w:val="-2"/>
    </w:rPr>
  </w:style>
  <w:style w:type="character" w:customStyle="1" w:styleId="DisclaimerText2Char">
    <w:name w:val="Disclaimer Text 2 Char"/>
    <w:link w:val="DisclaimerText2"/>
    <w:rsid w:val="00EC7F9B"/>
    <w:rPr>
      <w:rFonts w:ascii="Arial" w:hAnsi="Arial"/>
      <w:sz w:val="13"/>
      <w:lang w:val="en-AU" w:eastAsia="en-US" w:bidi="ar-SA"/>
    </w:rPr>
  </w:style>
  <w:style w:type="paragraph" w:customStyle="1" w:styleId="DisclaimerText4">
    <w:name w:val="Disclaimer Text 4"/>
    <w:basedOn w:val="Normal"/>
    <w:rsid w:val="00CB135F"/>
    <w:pPr>
      <w:framePr w:hSpace="181" w:wrap="around" w:vAnchor="page" w:hAnchor="margin" w:y="11341"/>
      <w:suppressOverlap/>
    </w:pPr>
    <w:rPr>
      <w:rFonts w:cs="Times New Roman"/>
      <w:b/>
      <w:bCs/>
      <w:i/>
      <w:spacing w:val="1"/>
      <w:sz w:val="14"/>
      <w:szCs w:val="20"/>
      <w:lang w:eastAsia="en-US"/>
    </w:rPr>
  </w:style>
  <w:style w:type="paragraph" w:customStyle="1" w:styleId="TOCHeading1">
    <w:name w:val="TOC Heading1"/>
    <w:basedOn w:val="Normal"/>
    <w:next w:val="Normal"/>
    <w:qFormat/>
    <w:rsid w:val="00661D73"/>
    <w:pPr>
      <w:spacing w:after="560"/>
    </w:pPr>
    <w:rPr>
      <w:rFonts w:ascii="Times New Roman" w:hAnsi="Times New Roman" w:cs="Times New Roman"/>
      <w:bCs/>
      <w:color w:val="77216F"/>
      <w:spacing w:val="-20"/>
      <w:sz w:val="68"/>
      <w:szCs w:val="66"/>
      <w:lang w:eastAsia="en-US"/>
    </w:rPr>
  </w:style>
  <w:style w:type="paragraph" w:customStyle="1" w:styleId="ChapterTitle">
    <w:name w:val="Chapter Title"/>
    <w:basedOn w:val="Normal"/>
    <w:next w:val="BodyText"/>
    <w:rsid w:val="00A459FB"/>
    <w:pPr>
      <w:spacing w:before="7840"/>
    </w:pPr>
    <w:rPr>
      <w:rFonts w:ascii="Times New Roman" w:hAnsi="Times New Roman" w:cs="Times New Roman"/>
      <w:bCs/>
      <w:color w:val="FFFFFF"/>
      <w:spacing w:val="-24"/>
      <w:kern w:val="50"/>
      <w:sz w:val="116"/>
      <w:szCs w:val="116"/>
      <w:lang w:eastAsia="en-US"/>
    </w:rPr>
  </w:style>
  <w:style w:type="paragraph" w:styleId="BodyText">
    <w:name w:val="Body Text"/>
    <w:basedOn w:val="Normal"/>
    <w:link w:val="BodyTextChar"/>
    <w:rsid w:val="00097C38"/>
    <w:pPr>
      <w:numPr>
        <w:numId w:val="4"/>
      </w:numPr>
      <w:spacing w:before="180" w:line="276" w:lineRule="auto"/>
    </w:pPr>
    <w:rPr>
      <w:rFonts w:cs="Times New Roman"/>
      <w:szCs w:val="20"/>
      <w:lang w:eastAsia="en-US"/>
    </w:rPr>
  </w:style>
  <w:style w:type="paragraph" w:styleId="Caption">
    <w:name w:val="caption"/>
    <w:basedOn w:val="Normal"/>
    <w:next w:val="BodyText"/>
    <w:qFormat/>
    <w:rsid w:val="00097C38"/>
    <w:pPr>
      <w:spacing w:before="120"/>
    </w:pPr>
    <w:rPr>
      <w:rFonts w:cs="Times New Roman"/>
      <w:i/>
      <w:szCs w:val="18"/>
      <w:lang w:eastAsia="en-US"/>
    </w:rPr>
  </w:style>
  <w:style w:type="paragraph" w:customStyle="1" w:styleId="CaptionHeading">
    <w:name w:val="Caption Heading"/>
    <w:basedOn w:val="BodyText"/>
    <w:rsid w:val="006F191B"/>
    <w:pPr>
      <w:spacing w:before="0" w:after="120" w:line="240" w:lineRule="auto"/>
    </w:pPr>
    <w:rPr>
      <w:b/>
      <w:bCs/>
      <w:spacing w:val="1"/>
      <w:sz w:val="20"/>
      <w:szCs w:val="22"/>
    </w:rPr>
  </w:style>
  <w:style w:type="paragraph" w:customStyle="1" w:styleId="xImageLine">
    <w:name w:val="xImageLine"/>
    <w:basedOn w:val="BodyText"/>
    <w:rsid w:val="00C4179C"/>
    <w:pPr>
      <w:spacing w:before="0"/>
    </w:pPr>
  </w:style>
  <w:style w:type="paragraph" w:customStyle="1" w:styleId="BodyBullet">
    <w:name w:val="Body Bullet"/>
    <w:basedOn w:val="BodyText"/>
    <w:rsid w:val="006F191B"/>
    <w:pPr>
      <w:numPr>
        <w:numId w:val="1"/>
      </w:numPr>
    </w:pPr>
  </w:style>
  <w:style w:type="paragraph" w:customStyle="1" w:styleId="TableBodyBullet">
    <w:name w:val="Table Body Bullet"/>
    <w:basedOn w:val="TableBodyLeftAligned"/>
    <w:rsid w:val="00FF67F7"/>
    <w:pPr>
      <w:keepLines/>
      <w:numPr>
        <w:numId w:val="2"/>
      </w:numPr>
      <w:tabs>
        <w:tab w:val="left" w:pos="851"/>
        <w:tab w:val="left" w:pos="1134"/>
      </w:tabs>
    </w:pPr>
    <w:rPr>
      <w:rFonts w:cs="Arial"/>
      <w:lang w:eastAsia="en-US"/>
    </w:rPr>
  </w:style>
  <w:style w:type="character" w:customStyle="1" w:styleId="BodyTextChar">
    <w:name w:val="Body Text Char"/>
    <w:link w:val="BodyText"/>
    <w:rsid w:val="00097C38"/>
    <w:rPr>
      <w:rFonts w:ascii="Arial" w:hAnsi="Arial"/>
      <w:sz w:val="18"/>
      <w:lang w:eastAsia="en-US"/>
    </w:rPr>
  </w:style>
  <w:style w:type="paragraph" w:customStyle="1" w:styleId="Introduction">
    <w:name w:val="Introduction"/>
    <w:basedOn w:val="Normal"/>
    <w:next w:val="BodyText"/>
    <w:rsid w:val="0028499E"/>
    <w:pPr>
      <w:spacing w:line="276" w:lineRule="auto"/>
    </w:pPr>
    <w:rPr>
      <w:rFonts w:cs="Times New Roman"/>
      <w:color w:val="77216F"/>
      <w:spacing w:val="-1"/>
      <w:sz w:val="20"/>
      <w:szCs w:val="20"/>
      <w:lang w:eastAsia="en-US"/>
    </w:rPr>
  </w:style>
  <w:style w:type="paragraph" w:styleId="TOC1">
    <w:name w:val="toc 1"/>
    <w:basedOn w:val="Normal"/>
    <w:next w:val="Normal"/>
    <w:autoRedefine/>
    <w:rsid w:val="007C3858"/>
    <w:pPr>
      <w:tabs>
        <w:tab w:val="right" w:pos="6946"/>
      </w:tabs>
      <w:spacing w:after="260"/>
      <w:ind w:right="169"/>
      <w:jc w:val="both"/>
    </w:pPr>
    <w:rPr>
      <w:rFonts w:cs="Arial"/>
      <w:b/>
      <w:noProof/>
      <w:color w:val="F79646"/>
      <w:spacing w:val="2"/>
      <w:szCs w:val="20"/>
    </w:rPr>
  </w:style>
  <w:style w:type="paragraph" w:styleId="TOC2">
    <w:name w:val="toc 2"/>
    <w:basedOn w:val="Normal"/>
    <w:next w:val="Normal"/>
    <w:autoRedefine/>
    <w:rsid w:val="007C3858"/>
    <w:pPr>
      <w:tabs>
        <w:tab w:val="right" w:pos="6946"/>
      </w:tabs>
      <w:spacing w:after="260"/>
      <w:ind w:right="169"/>
    </w:pPr>
    <w:rPr>
      <w:rFonts w:cs="Arial"/>
      <w:b/>
      <w:noProof/>
      <w:color w:val="808080"/>
      <w:spacing w:val="2"/>
    </w:rPr>
  </w:style>
  <w:style w:type="paragraph" w:styleId="TOC3">
    <w:name w:val="toc 3"/>
    <w:basedOn w:val="Normal"/>
    <w:next w:val="Normal"/>
    <w:autoRedefine/>
    <w:rsid w:val="006E3B5F"/>
    <w:pPr>
      <w:tabs>
        <w:tab w:val="right" w:pos="4820"/>
      </w:tabs>
      <w:spacing w:after="260"/>
      <w:ind w:right="6124"/>
    </w:pPr>
    <w:rPr>
      <w:spacing w:val="2"/>
      <w:sz w:val="16"/>
    </w:rPr>
  </w:style>
  <w:style w:type="character" w:customStyle="1" w:styleId="Heading2Char">
    <w:name w:val="Heading 2 Char"/>
    <w:link w:val="Heading2"/>
    <w:rsid w:val="006541F0"/>
    <w:rPr>
      <w:rFonts w:ascii="Arial" w:hAnsi="Arial" w:cs="Arial"/>
      <w:b/>
      <w:iCs/>
      <w:color w:val="F79646"/>
      <w:spacing w:val="-6"/>
      <w:sz w:val="24"/>
      <w:szCs w:val="36"/>
      <w:lang w:eastAsia="en-US"/>
    </w:rPr>
  </w:style>
  <w:style w:type="paragraph" w:customStyle="1" w:styleId="TagLine">
    <w:name w:val="Tag Line"/>
    <w:basedOn w:val="Normal"/>
    <w:next w:val="Normal"/>
    <w:rsid w:val="00126DD7"/>
    <w:pPr>
      <w:framePr w:w="10240" w:hSpace="181" w:vSpace="737" w:wrap="notBeside" w:hAnchor="page" w:x="908" w:yAlign="bottom"/>
      <w:spacing w:line="259" w:lineRule="auto"/>
    </w:pPr>
    <w:rPr>
      <w:rFonts w:cs="Times New Roman"/>
      <w:bCs/>
      <w:color w:val="77216F"/>
      <w:spacing w:val="2"/>
      <w:sz w:val="36"/>
      <w:szCs w:val="40"/>
      <w:lang w:eastAsia="en-US"/>
    </w:rPr>
  </w:style>
  <w:style w:type="paragraph" w:styleId="TOC4">
    <w:name w:val="toc 4"/>
    <w:basedOn w:val="Normal"/>
    <w:next w:val="Normal"/>
    <w:autoRedefine/>
    <w:semiHidden/>
    <w:rsid w:val="004744BF"/>
    <w:pPr>
      <w:ind w:left="540"/>
    </w:pPr>
  </w:style>
  <w:style w:type="table" w:customStyle="1" w:styleId="DPITableNormal">
    <w:name w:val="DPI Table Normal"/>
    <w:basedOn w:val="TableGrid"/>
    <w:rsid w:val="008E6928"/>
    <w:rPr>
      <w:rFonts w:ascii="Arial" w:hAnsi="Arial"/>
      <w:spacing w:val="-1"/>
      <w:sz w:val="17"/>
    </w:rPr>
    <w:tblPr>
      <w:tblInd w:w="0" w:type="dxa"/>
      <w:tblBorders>
        <w:top w:val="single" w:sz="8" w:space="0" w:color="000000"/>
        <w:left w:val="single" w:sz="8" w:space="0" w:color="000000"/>
        <w:bottom w:val="single" w:sz="8" w:space="0" w:color="000000"/>
        <w:right w:val="single" w:sz="8" w:space="0" w:color="000000"/>
        <w:insideH w:val="none" w:sz="0" w:space="0" w:color="auto"/>
        <w:insideV w:val="single" w:sz="8" w:space="0" w:color="000000"/>
      </w:tblBorders>
      <w:tblCellMar>
        <w:top w:w="68" w:type="dxa"/>
        <w:left w:w="0" w:type="dxa"/>
        <w:bottom w:w="34" w:type="dxa"/>
        <w:right w:w="0" w:type="dxa"/>
      </w:tblCellMar>
    </w:tblPr>
    <w:tblStylePr w:type="firstRow">
      <w:rPr>
        <w:b/>
        <w:i w:val="0"/>
        <w:sz w:val="16"/>
        <w:szCs w:val="16"/>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l2br w:val="nil"/>
          <w:tr2bl w:val="nil"/>
        </w:tcBorders>
        <w:shd w:val="clear" w:color="auto" w:fill="E6E6E6"/>
      </w:tcPr>
    </w:tblStylePr>
    <w:tblStylePr w:type="lastRow">
      <w:rPr>
        <w:b/>
      </w:rPr>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E6E6E6"/>
      </w:tcPr>
    </w:tblStylePr>
  </w:style>
  <w:style w:type="table" w:styleId="TableGrid">
    <w:name w:val="Table Grid"/>
    <w:basedOn w:val="TableNormal"/>
    <w:uiPriority w:val="59"/>
    <w:rsid w:val="00C32CC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46F9D"/>
    <w:rPr>
      <w:color w:val="000000"/>
      <w:sz w:val="20"/>
    </w:rPr>
  </w:style>
  <w:style w:type="paragraph" w:customStyle="1" w:styleId="FooterTitle">
    <w:name w:val="Footer Title"/>
    <w:basedOn w:val="Footer"/>
    <w:rsid w:val="00E32FDC"/>
    <w:pPr>
      <w:framePr w:hSpace="181" w:wrap="auto" w:vAnchor="page" w:hAnchor="page" w:xAlign="right" w:yAlign="bottom"/>
      <w:spacing w:before="220"/>
      <w:suppressOverlap/>
      <w:jc w:val="right"/>
    </w:pPr>
    <w:rPr>
      <w:sz w:val="13"/>
      <w:szCs w:val="12"/>
    </w:rPr>
  </w:style>
  <w:style w:type="paragraph" w:customStyle="1" w:styleId="FooterNumber">
    <w:name w:val="Footer Number"/>
    <w:basedOn w:val="Footer"/>
    <w:rsid w:val="00CD5B62"/>
    <w:pPr>
      <w:framePr w:hSpace="181" w:wrap="around" w:vAnchor="page" w:hAnchor="page" w:xAlign="right" w:yAlign="bottom"/>
      <w:spacing w:before="150"/>
      <w:suppressOverlap/>
    </w:pPr>
    <w:rPr>
      <w:sz w:val="20"/>
    </w:rPr>
  </w:style>
  <w:style w:type="paragraph" w:customStyle="1" w:styleId="FooterTitleEven">
    <w:name w:val="Footer Title Even"/>
    <w:basedOn w:val="FooterTitle"/>
    <w:rsid w:val="00E32FDC"/>
    <w:pPr>
      <w:framePr w:wrap="auto"/>
      <w:jc w:val="left"/>
    </w:pPr>
  </w:style>
  <w:style w:type="paragraph" w:customStyle="1" w:styleId="FooterNumberEven">
    <w:name w:val="Footer Number Even"/>
    <w:basedOn w:val="FooterNumber"/>
    <w:rsid w:val="00344EB2"/>
    <w:pPr>
      <w:framePr w:wrap="around"/>
      <w:jc w:val="right"/>
    </w:pPr>
    <w:rPr>
      <w:color w:val="000000"/>
    </w:rPr>
  </w:style>
  <w:style w:type="paragraph" w:customStyle="1" w:styleId="FooterTitleEvenWhite">
    <w:name w:val="Footer Title Even White"/>
    <w:basedOn w:val="FooterTitle"/>
    <w:rsid w:val="00E32FDC"/>
    <w:pPr>
      <w:framePr w:wrap="auto"/>
      <w:jc w:val="left"/>
    </w:pPr>
    <w:rPr>
      <w:color w:val="FFFFFF"/>
    </w:rPr>
  </w:style>
  <w:style w:type="paragraph" w:customStyle="1" w:styleId="FooterNumberEvenWhite">
    <w:name w:val="Footer Number Even White"/>
    <w:basedOn w:val="FooterNumberEven"/>
    <w:rsid w:val="00E32FDC"/>
    <w:pPr>
      <w:framePr w:wrap="around"/>
    </w:pPr>
    <w:rPr>
      <w:color w:val="FFFFFF"/>
    </w:rPr>
  </w:style>
  <w:style w:type="paragraph" w:customStyle="1" w:styleId="HeaderRunningPages">
    <w:name w:val="Header Running Pages"/>
    <w:basedOn w:val="Header"/>
    <w:rsid w:val="00303CD7"/>
    <w:pPr>
      <w:spacing w:after="1540"/>
    </w:pPr>
  </w:style>
  <w:style w:type="table" w:customStyle="1" w:styleId="DPITableGrid">
    <w:name w:val="DPI Table Grid"/>
    <w:basedOn w:val="DPITableNormal"/>
    <w:rsid w:val="008E6928"/>
    <w:tblPr>
      <w:tblBorders>
        <w:top w:val="none" w:sz="0" w:space="0" w:color="auto"/>
        <w:left w:val="none" w:sz="0" w:space="0" w:color="auto"/>
        <w:bottom w:val="none" w:sz="0" w:space="0" w:color="auto"/>
        <w:right w:val="none" w:sz="0" w:space="0" w:color="auto"/>
        <w:insideH w:val="single" w:sz="8" w:space="0" w:color="000000"/>
        <w:insideV w:val="none" w:sz="0" w:space="0" w:color="auto"/>
      </w:tblBorders>
    </w:tblPr>
    <w:tblStylePr w:type="firstRow">
      <w:rPr>
        <w:b/>
        <w:i w:val="0"/>
        <w:sz w:val="16"/>
        <w:szCs w:val="16"/>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l2br w:val="nil"/>
          <w:tr2bl w:val="nil"/>
        </w:tcBorders>
        <w:shd w:val="clear" w:color="auto" w:fill="E6E6E6"/>
      </w:tcPr>
    </w:tblStylePr>
    <w:tblStylePr w:type="lastRow">
      <w:rPr>
        <w:b/>
      </w:rPr>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E6E6E6"/>
      </w:tcPr>
    </w:tblStylePr>
  </w:style>
  <w:style w:type="paragraph" w:customStyle="1" w:styleId="TableBodyLeftAligned">
    <w:name w:val="Table Body Left Aligned"/>
    <w:rsid w:val="00097C38"/>
    <w:pPr>
      <w:numPr>
        <w:numId w:val="3"/>
      </w:numPr>
      <w:spacing w:line="228" w:lineRule="auto"/>
      <w:ind w:right="85"/>
    </w:pPr>
    <w:rPr>
      <w:rFonts w:ascii="Arial" w:hAnsi="Arial"/>
      <w:sz w:val="18"/>
      <w:szCs w:val="16"/>
    </w:rPr>
  </w:style>
  <w:style w:type="paragraph" w:customStyle="1" w:styleId="TableFootnotesAlpha">
    <w:name w:val="Table Footnotes (Alpha)"/>
    <w:basedOn w:val="Normal"/>
    <w:rsid w:val="00097C38"/>
    <w:pPr>
      <w:numPr>
        <w:ilvl w:val="1"/>
        <w:numId w:val="3"/>
      </w:numPr>
      <w:spacing w:before="60" w:after="60" w:line="247" w:lineRule="auto"/>
    </w:pPr>
    <w:rPr>
      <w:rFonts w:cs="Arial"/>
      <w:sz w:val="16"/>
      <w:szCs w:val="18"/>
    </w:rPr>
  </w:style>
  <w:style w:type="paragraph" w:customStyle="1" w:styleId="TableBodyRightAligned">
    <w:name w:val="Table Body Right Aligned"/>
    <w:basedOn w:val="TableBodyLeftAligned"/>
    <w:rsid w:val="00315C3D"/>
    <w:pPr>
      <w:numPr>
        <w:numId w:val="0"/>
      </w:numPr>
      <w:jc w:val="right"/>
    </w:pPr>
  </w:style>
  <w:style w:type="paragraph" w:customStyle="1" w:styleId="TableHeading">
    <w:name w:val="Table Heading"/>
    <w:basedOn w:val="TableBodyLeftAligned"/>
    <w:rsid w:val="00FF67F7"/>
    <w:pPr>
      <w:numPr>
        <w:numId w:val="0"/>
      </w:numPr>
      <w:ind w:left="85"/>
    </w:pPr>
  </w:style>
  <w:style w:type="character" w:customStyle="1" w:styleId="DraftingNote">
    <w:name w:val="Drafting Note"/>
    <w:rsid w:val="00B4766C"/>
    <w:rPr>
      <w:color w:val="FF0000"/>
      <w:u w:val="dotted"/>
    </w:rPr>
  </w:style>
  <w:style w:type="paragraph" w:customStyle="1" w:styleId="BodyAlphaNumbering">
    <w:name w:val="Body Alpha Numbering"/>
    <w:basedOn w:val="BodyText"/>
    <w:rsid w:val="00F47361"/>
    <w:pPr>
      <w:numPr>
        <w:numId w:val="5"/>
      </w:numPr>
    </w:pPr>
    <w:rPr>
      <w:rFonts w:cs="Arial"/>
      <w:szCs w:val="18"/>
      <w:lang w:eastAsia="en-AU"/>
    </w:rPr>
  </w:style>
  <w:style w:type="character" w:customStyle="1" w:styleId="Bold">
    <w:name w:val="Bold"/>
    <w:rsid w:val="00351A7F"/>
    <w:rPr>
      <w:b/>
    </w:rPr>
  </w:style>
  <w:style w:type="character" w:customStyle="1" w:styleId="Italics">
    <w:name w:val="Italics"/>
    <w:rsid w:val="00351A7F"/>
    <w:rPr>
      <w:i/>
    </w:rPr>
  </w:style>
  <w:style w:type="character" w:customStyle="1" w:styleId="Underline">
    <w:name w:val="Underline"/>
    <w:rsid w:val="00351A7F"/>
    <w:rPr>
      <w:u w:val="single"/>
    </w:rPr>
  </w:style>
  <w:style w:type="character" w:customStyle="1" w:styleId="BoldItalics">
    <w:name w:val="Bold &amp; Italics"/>
    <w:rsid w:val="00351A7F"/>
    <w:rPr>
      <w:b/>
      <w:i/>
    </w:rPr>
  </w:style>
  <w:style w:type="character" w:customStyle="1" w:styleId="Superscript">
    <w:name w:val="Superscript"/>
    <w:rsid w:val="00351A7F"/>
    <w:rPr>
      <w:vertAlign w:val="superscript"/>
    </w:rPr>
  </w:style>
  <w:style w:type="character" w:customStyle="1" w:styleId="PageNumberWhite">
    <w:name w:val="Page Number White"/>
    <w:basedOn w:val="PageNumber"/>
    <w:rsid w:val="00746F9D"/>
    <w:rPr>
      <w:color w:val="000000"/>
      <w:sz w:val="20"/>
    </w:rPr>
  </w:style>
  <w:style w:type="character" w:customStyle="1" w:styleId="xWhite">
    <w:name w:val="xWhite"/>
    <w:rsid w:val="00190B12"/>
    <w:rPr>
      <w:color w:val="FFFFFF"/>
    </w:rPr>
  </w:style>
  <w:style w:type="paragraph" w:customStyle="1" w:styleId="HiddenText">
    <w:name w:val="Hidden Text"/>
    <w:basedOn w:val="BodyText"/>
    <w:rsid w:val="002708A8"/>
    <w:pPr>
      <w:spacing w:before="0" w:line="240" w:lineRule="auto"/>
    </w:pPr>
    <w:rPr>
      <w:vanish/>
      <w:color w:val="FF6600"/>
      <w:u w:val="dotted"/>
    </w:rPr>
  </w:style>
  <w:style w:type="paragraph" w:styleId="Date">
    <w:name w:val="Date"/>
    <w:basedOn w:val="Normal"/>
    <w:next w:val="Normal"/>
    <w:link w:val="DateChar"/>
    <w:rsid w:val="001702BA"/>
    <w:rPr>
      <w:rFonts w:cs="Times New Roman"/>
      <w:color w:val="FFFFFF"/>
      <w:spacing w:val="3"/>
      <w:sz w:val="12"/>
      <w:szCs w:val="20"/>
      <w:lang w:eastAsia="en-US"/>
    </w:rPr>
  </w:style>
  <w:style w:type="paragraph" w:styleId="TOC5">
    <w:name w:val="toc 5"/>
    <w:basedOn w:val="Normal"/>
    <w:next w:val="Normal"/>
    <w:autoRedefine/>
    <w:semiHidden/>
    <w:rsid w:val="004744BF"/>
    <w:pPr>
      <w:ind w:left="720"/>
    </w:pPr>
  </w:style>
  <w:style w:type="paragraph" w:customStyle="1" w:styleId="xWebAddress">
    <w:name w:val="xWebAddress"/>
    <w:basedOn w:val="Normal"/>
    <w:rsid w:val="00294509"/>
    <w:rPr>
      <w:rFonts w:cs="Arial Unicode MS"/>
      <w:b/>
      <w:color w:val="F3CF45"/>
      <w:sz w:val="22"/>
    </w:rPr>
  </w:style>
  <w:style w:type="paragraph" w:customStyle="1" w:styleId="xJobNo">
    <w:name w:val="xJobNo"/>
    <w:basedOn w:val="Date"/>
    <w:rsid w:val="00B27C2C"/>
  </w:style>
  <w:style w:type="paragraph" w:styleId="TOC6">
    <w:name w:val="toc 6"/>
    <w:basedOn w:val="Normal"/>
    <w:next w:val="Normal"/>
    <w:autoRedefine/>
    <w:semiHidden/>
    <w:rsid w:val="004744BF"/>
    <w:pPr>
      <w:ind w:left="900"/>
    </w:pPr>
  </w:style>
  <w:style w:type="paragraph" w:styleId="TOC7">
    <w:name w:val="toc 7"/>
    <w:basedOn w:val="Normal"/>
    <w:next w:val="Normal"/>
    <w:autoRedefine/>
    <w:semiHidden/>
    <w:rsid w:val="004744BF"/>
    <w:pPr>
      <w:ind w:left="1080"/>
    </w:pPr>
  </w:style>
  <w:style w:type="paragraph" w:styleId="TOC8">
    <w:name w:val="toc 8"/>
    <w:basedOn w:val="Normal"/>
    <w:next w:val="Normal"/>
    <w:autoRedefine/>
    <w:semiHidden/>
    <w:rsid w:val="004744BF"/>
    <w:pPr>
      <w:ind w:left="1260"/>
    </w:pPr>
  </w:style>
  <w:style w:type="paragraph" w:styleId="TOC9">
    <w:name w:val="toc 9"/>
    <w:basedOn w:val="Normal"/>
    <w:next w:val="Normal"/>
    <w:autoRedefine/>
    <w:semiHidden/>
    <w:rsid w:val="004744BF"/>
    <w:pPr>
      <w:ind w:left="1440"/>
    </w:pPr>
  </w:style>
  <w:style w:type="paragraph" w:customStyle="1" w:styleId="PreTableInsertion">
    <w:name w:val="Pre Table Insertion"/>
    <w:basedOn w:val="BodyText"/>
    <w:rsid w:val="000E09E9"/>
    <w:pPr>
      <w:spacing w:before="0"/>
    </w:pPr>
  </w:style>
  <w:style w:type="character" w:customStyle="1" w:styleId="DeptColour100pc">
    <w:name w:val="Dept Colour 100pc"/>
    <w:rsid w:val="00EB6730"/>
    <w:rPr>
      <w:color w:val="77216F"/>
    </w:rPr>
  </w:style>
  <w:style w:type="character" w:customStyle="1" w:styleId="DeptColour75pc">
    <w:name w:val="Dept Colour 75pc"/>
    <w:rsid w:val="00EB6730"/>
    <w:rPr>
      <w:color w:val="995993"/>
    </w:rPr>
  </w:style>
  <w:style w:type="character" w:customStyle="1" w:styleId="DeptColour50pc">
    <w:name w:val="Dept Colour 50pc"/>
    <w:rsid w:val="00EB6730"/>
    <w:rPr>
      <w:color w:val="BB90B7"/>
    </w:rPr>
  </w:style>
  <w:style w:type="character" w:customStyle="1" w:styleId="DeptColour25pc">
    <w:name w:val="Dept Colour 25pc"/>
    <w:rsid w:val="00EB6730"/>
    <w:rPr>
      <w:color w:val="DDC8DB"/>
    </w:rPr>
  </w:style>
  <w:style w:type="character" w:customStyle="1" w:styleId="Subscript">
    <w:name w:val="Subscript"/>
    <w:rsid w:val="004D7051"/>
    <w:rPr>
      <w:vertAlign w:val="subscript"/>
    </w:rPr>
  </w:style>
  <w:style w:type="paragraph" w:styleId="ListNumber">
    <w:name w:val="List Number"/>
    <w:basedOn w:val="BodyText"/>
    <w:rsid w:val="00656C96"/>
    <w:pPr>
      <w:numPr>
        <w:ilvl w:val="1"/>
      </w:numPr>
    </w:pPr>
  </w:style>
  <w:style w:type="character" w:customStyle="1" w:styleId="xGrey50">
    <w:name w:val="xGrey50%"/>
    <w:rsid w:val="00E16FE5"/>
    <w:rPr>
      <w:color w:val="808080"/>
    </w:rPr>
  </w:style>
  <w:style w:type="paragraph" w:styleId="ListNumber3">
    <w:name w:val="List Number 3"/>
    <w:basedOn w:val="ListNumber"/>
    <w:rsid w:val="00656C96"/>
    <w:pPr>
      <w:numPr>
        <w:ilvl w:val="3"/>
      </w:numPr>
    </w:pPr>
  </w:style>
  <w:style w:type="paragraph" w:styleId="ListNumber2">
    <w:name w:val="List Number 2"/>
    <w:basedOn w:val="ListNumber"/>
    <w:rsid w:val="00656C96"/>
    <w:pPr>
      <w:numPr>
        <w:ilvl w:val="2"/>
      </w:numPr>
    </w:pPr>
  </w:style>
  <w:style w:type="paragraph" w:customStyle="1" w:styleId="BodyBullet2">
    <w:name w:val="Body Bullet 2"/>
    <w:basedOn w:val="BodyBullet"/>
    <w:rsid w:val="002A6D2E"/>
    <w:pPr>
      <w:numPr>
        <w:ilvl w:val="1"/>
      </w:numPr>
    </w:pPr>
  </w:style>
  <w:style w:type="paragraph" w:customStyle="1" w:styleId="DisclaimerText5">
    <w:name w:val="Disclaimer Text 5"/>
    <w:basedOn w:val="DisclaimerText2"/>
    <w:rsid w:val="005C3E25"/>
    <w:pPr>
      <w:framePr w:wrap="around"/>
      <w:spacing w:after="0"/>
    </w:pPr>
  </w:style>
  <w:style w:type="paragraph" w:customStyle="1" w:styleId="xDoublePicBoxes">
    <w:name w:val="xDoublePicBoxes"/>
    <w:basedOn w:val="BodyText"/>
    <w:next w:val="BodyText"/>
    <w:rsid w:val="007C553A"/>
    <w:pPr>
      <w:tabs>
        <w:tab w:val="left" w:pos="2520"/>
      </w:tabs>
      <w:spacing w:before="0"/>
      <w:ind w:right="-113"/>
    </w:pPr>
  </w:style>
  <w:style w:type="table" w:customStyle="1" w:styleId="TableFooterBlack">
    <w:name w:val="Table Footer Black"/>
    <w:basedOn w:val="TableGrid"/>
    <w:rsid w:val="009901E3"/>
    <w:tblPr>
      <w:tblBorders>
        <w:top w:val="none" w:sz="0" w:space="0" w:color="auto"/>
        <w:left w:val="none" w:sz="0" w:space="0" w:color="auto"/>
        <w:bottom w:val="none" w:sz="0" w:space="0" w:color="auto"/>
        <w:right w:val="none" w:sz="0" w:space="0" w:color="auto"/>
        <w:insideH w:val="none" w:sz="0" w:space="0" w:color="auto"/>
        <w:insideV w:val="dashSmallGap" w:sz="4" w:space="0" w:color="auto"/>
      </w:tblBorders>
    </w:tblPr>
  </w:style>
  <w:style w:type="table" w:customStyle="1" w:styleId="TableFooterWhite">
    <w:name w:val="Table Footer White"/>
    <w:basedOn w:val="TableFooterBlack"/>
    <w:rsid w:val="00BB0304"/>
    <w:tblPr>
      <w:tblBorders>
        <w:insideV w:val="dashSmallGap" w:sz="4" w:space="0" w:color="FFFFFF"/>
      </w:tblBorders>
    </w:tblPr>
  </w:style>
  <w:style w:type="character" w:styleId="FollowedHyperlink">
    <w:name w:val="FollowedHyperlink"/>
    <w:rsid w:val="00795CEF"/>
    <w:rPr>
      <w:color w:val="800080"/>
      <w:u w:val="single"/>
    </w:rPr>
  </w:style>
  <w:style w:type="paragraph" w:styleId="BalloonText">
    <w:name w:val="Balloon Text"/>
    <w:basedOn w:val="Normal"/>
    <w:link w:val="BalloonTextChar"/>
    <w:semiHidden/>
    <w:rsid w:val="00F71DC2"/>
    <w:rPr>
      <w:rFonts w:ascii="Tahoma" w:hAnsi="Tahoma" w:cs="Tahoma"/>
      <w:sz w:val="16"/>
      <w:szCs w:val="16"/>
    </w:rPr>
  </w:style>
  <w:style w:type="paragraph" w:customStyle="1" w:styleId="Body">
    <w:name w:val="_Body"/>
    <w:qFormat/>
    <w:rsid w:val="00F52055"/>
    <w:pPr>
      <w:spacing w:after="113" w:line="240" w:lineRule="atLeast"/>
    </w:pPr>
    <w:rPr>
      <w:rFonts w:ascii="Arial" w:hAnsi="Arial" w:cs="Arial"/>
      <w:sz w:val="18"/>
      <w:szCs w:val="24"/>
      <w:lang w:eastAsia="en-US"/>
    </w:rPr>
  </w:style>
  <w:style w:type="paragraph" w:customStyle="1" w:styleId="HC">
    <w:name w:val="_HC"/>
    <w:next w:val="Body"/>
    <w:uiPriority w:val="2"/>
    <w:qFormat/>
    <w:rsid w:val="00F52055"/>
    <w:pPr>
      <w:spacing w:before="140" w:after="57" w:line="220" w:lineRule="atLeast"/>
    </w:pPr>
    <w:rPr>
      <w:rFonts w:ascii="Arial" w:hAnsi="Arial" w:cs="Arial"/>
      <w:b/>
      <w:sz w:val="18"/>
      <w:szCs w:val="24"/>
      <w:lang w:eastAsia="en-US"/>
    </w:rPr>
  </w:style>
  <w:style w:type="character" w:customStyle="1" w:styleId="FooterChar">
    <w:name w:val="Footer Char"/>
    <w:link w:val="Footer"/>
    <w:uiPriority w:val="99"/>
    <w:rsid w:val="00EF2E91"/>
    <w:rPr>
      <w:rFonts w:ascii="Arial" w:hAnsi="Arial" w:cs="Mangal"/>
      <w:sz w:val="14"/>
      <w:szCs w:val="24"/>
    </w:rPr>
  </w:style>
  <w:style w:type="character" w:styleId="CommentReference">
    <w:name w:val="annotation reference"/>
    <w:rsid w:val="003B0FCB"/>
    <w:rPr>
      <w:sz w:val="16"/>
      <w:szCs w:val="16"/>
    </w:rPr>
  </w:style>
  <w:style w:type="paragraph" w:styleId="CommentText">
    <w:name w:val="annotation text"/>
    <w:basedOn w:val="Normal"/>
    <w:link w:val="CommentTextChar"/>
    <w:rsid w:val="003B0FCB"/>
    <w:rPr>
      <w:sz w:val="20"/>
      <w:szCs w:val="18"/>
    </w:rPr>
  </w:style>
  <w:style w:type="character" w:customStyle="1" w:styleId="CommentTextChar">
    <w:name w:val="Comment Text Char"/>
    <w:link w:val="CommentText"/>
    <w:rsid w:val="003B0FCB"/>
    <w:rPr>
      <w:rFonts w:ascii="Arial" w:hAnsi="Arial" w:cs="Mangal"/>
      <w:szCs w:val="18"/>
    </w:rPr>
  </w:style>
  <w:style w:type="paragraph" w:styleId="CommentSubject">
    <w:name w:val="annotation subject"/>
    <w:basedOn w:val="CommentText"/>
    <w:next w:val="CommentText"/>
    <w:link w:val="CommentSubjectChar"/>
    <w:rsid w:val="003B0FCB"/>
    <w:rPr>
      <w:b/>
      <w:bCs/>
    </w:rPr>
  </w:style>
  <w:style w:type="character" w:customStyle="1" w:styleId="CommentSubjectChar">
    <w:name w:val="Comment Subject Char"/>
    <w:link w:val="CommentSubject"/>
    <w:rsid w:val="003B0FCB"/>
    <w:rPr>
      <w:rFonts w:ascii="Arial" w:hAnsi="Arial" w:cs="Mangal"/>
      <w:b/>
      <w:bCs/>
      <w:szCs w:val="18"/>
    </w:rPr>
  </w:style>
  <w:style w:type="paragraph" w:styleId="NormalWeb">
    <w:name w:val="Normal (Web)"/>
    <w:basedOn w:val="Normal"/>
    <w:rsid w:val="006541F0"/>
    <w:rPr>
      <w:rFonts w:ascii="Times New Roman" w:hAnsi="Times New Roman" w:cs="Times New Roman"/>
      <w:sz w:val="24"/>
      <w:lang w:eastAsia="en-US"/>
    </w:rPr>
  </w:style>
  <w:style w:type="character" w:styleId="Strong">
    <w:name w:val="Strong"/>
    <w:uiPriority w:val="22"/>
    <w:qFormat/>
    <w:rsid w:val="006541F0"/>
    <w:rPr>
      <w:b/>
      <w:bCs/>
    </w:rPr>
  </w:style>
  <w:style w:type="paragraph" w:customStyle="1" w:styleId="ImprintText">
    <w:name w:val="_ImprintText"/>
    <w:uiPriority w:val="9"/>
    <w:rsid w:val="006541F0"/>
    <w:pPr>
      <w:spacing w:after="85" w:line="170" w:lineRule="atLeast"/>
    </w:pPr>
    <w:rPr>
      <w:rFonts w:ascii="Arial" w:hAnsi="Arial" w:cs="Arial"/>
      <w:sz w:val="14"/>
      <w:szCs w:val="14"/>
      <w:lang w:eastAsia="en-US"/>
    </w:rPr>
  </w:style>
  <w:style w:type="paragraph" w:customStyle="1" w:styleId="MediumList2-Accent21">
    <w:name w:val="Medium List 2 - Accent 21"/>
    <w:hidden/>
    <w:uiPriority w:val="99"/>
    <w:semiHidden/>
    <w:rsid w:val="00E02B2A"/>
    <w:rPr>
      <w:rFonts w:ascii="Arial" w:hAnsi="Arial" w:cs="Mangal"/>
      <w:sz w:val="18"/>
      <w:szCs w:val="24"/>
    </w:rPr>
  </w:style>
  <w:style w:type="paragraph" w:customStyle="1" w:styleId="MediumGrid1-Accent21">
    <w:name w:val="Medium Grid 1 - Accent 21"/>
    <w:basedOn w:val="Normal"/>
    <w:uiPriority w:val="34"/>
    <w:qFormat/>
    <w:rsid w:val="00AC7A4E"/>
    <w:pPr>
      <w:ind w:left="720"/>
    </w:pPr>
  </w:style>
  <w:style w:type="character" w:customStyle="1" w:styleId="Heading5Char">
    <w:name w:val="Heading 5 Char"/>
    <w:link w:val="Heading5"/>
    <w:rsid w:val="005955E6"/>
    <w:rPr>
      <w:rFonts w:ascii="Arial" w:hAnsi="Arial" w:cs="Arial"/>
      <w:b/>
      <w:bCs/>
      <w:color w:val="000000"/>
      <w:sz w:val="18"/>
      <w:szCs w:val="18"/>
    </w:rPr>
  </w:style>
  <w:style w:type="character" w:customStyle="1" w:styleId="Heading6Char">
    <w:name w:val="Heading 6 Char"/>
    <w:link w:val="Heading6"/>
    <w:rsid w:val="005955E6"/>
    <w:rPr>
      <w:rFonts w:ascii="Lucida Sans Unicode" w:hAnsi="Lucida Sans Unicode"/>
      <w:b/>
      <w:bCs/>
      <w:sz w:val="22"/>
      <w:szCs w:val="22"/>
    </w:rPr>
  </w:style>
  <w:style w:type="character" w:customStyle="1" w:styleId="Heading7Char">
    <w:name w:val="Heading 7 Char"/>
    <w:link w:val="Heading7"/>
    <w:rsid w:val="005955E6"/>
    <w:rPr>
      <w:rFonts w:ascii="Arial" w:hAnsi="Arial" w:cs="Arial"/>
      <w:b/>
      <w:bCs/>
      <w:sz w:val="18"/>
      <w:szCs w:val="18"/>
    </w:rPr>
  </w:style>
  <w:style w:type="character" w:customStyle="1" w:styleId="Heading8Char">
    <w:name w:val="Heading 8 Char"/>
    <w:link w:val="Heading8"/>
    <w:rsid w:val="005955E6"/>
    <w:rPr>
      <w:rFonts w:ascii="Lucida Sans Unicode" w:hAnsi="Lucida Sans Unicode"/>
      <w:i/>
      <w:iCs/>
      <w:sz w:val="21"/>
      <w:szCs w:val="24"/>
    </w:rPr>
  </w:style>
  <w:style w:type="character" w:customStyle="1" w:styleId="Heading9Char">
    <w:name w:val="Heading 9 Char"/>
    <w:link w:val="Heading9"/>
    <w:rsid w:val="005955E6"/>
    <w:rPr>
      <w:rFonts w:ascii="Arial" w:hAnsi="Arial" w:cs="Arial"/>
      <w:b/>
      <w:bCs/>
      <w:sz w:val="18"/>
      <w:szCs w:val="18"/>
    </w:rPr>
  </w:style>
  <w:style w:type="character" w:customStyle="1" w:styleId="Heading1Char">
    <w:name w:val="Heading 1 Char"/>
    <w:link w:val="Heading1"/>
    <w:rsid w:val="005955E6"/>
    <w:rPr>
      <w:rFonts w:ascii="Arial" w:hAnsi="Arial" w:cs="Arial"/>
      <w:color w:val="F79646"/>
      <w:spacing w:val="-20"/>
      <w:kern w:val="32"/>
      <w:sz w:val="40"/>
      <w:szCs w:val="32"/>
      <w:lang w:eastAsia="en-US"/>
    </w:rPr>
  </w:style>
  <w:style w:type="character" w:customStyle="1" w:styleId="Heading3Char">
    <w:name w:val="Heading 3 Char"/>
    <w:link w:val="Heading3"/>
    <w:rsid w:val="005955E6"/>
    <w:rPr>
      <w:rFonts w:ascii="Arial Bold" w:hAnsi="Arial Bold" w:cs="Mangal"/>
      <w:b/>
      <w:color w:val="F79646"/>
      <w:spacing w:val="1"/>
      <w:szCs w:val="24"/>
    </w:rPr>
  </w:style>
  <w:style w:type="paragraph" w:customStyle="1" w:styleId="Source">
    <w:name w:val="Source"/>
    <w:basedOn w:val="Normal"/>
    <w:link w:val="SourceChar"/>
    <w:rsid w:val="005955E6"/>
    <w:rPr>
      <w:rFonts w:ascii="Lucida Sans Unicode" w:hAnsi="Lucida Sans Unicode" w:cs="Times New Roman"/>
      <w:sz w:val="16"/>
      <w:szCs w:val="20"/>
    </w:rPr>
  </w:style>
  <w:style w:type="paragraph" w:customStyle="1" w:styleId="Tableheading12ptafter">
    <w:name w:val="Table heading + 12pt after"/>
    <w:basedOn w:val="Normal"/>
    <w:rsid w:val="005955E6"/>
    <w:pPr>
      <w:spacing w:after="240"/>
    </w:pPr>
    <w:rPr>
      <w:rFonts w:ascii="Lucida Sans Unicode" w:hAnsi="Lucida Sans Unicode" w:cs="Times New Roman"/>
      <w:b/>
      <w:sz w:val="21"/>
      <w:szCs w:val="20"/>
    </w:rPr>
  </w:style>
  <w:style w:type="paragraph" w:customStyle="1" w:styleId="Tableheading12ptbeforeandafter">
    <w:name w:val="Table heading + 12 pt before and after"/>
    <w:basedOn w:val="Normal"/>
    <w:link w:val="Tableheading12ptbeforeandafterChar"/>
    <w:rsid w:val="005955E6"/>
    <w:pPr>
      <w:spacing w:before="240" w:after="240"/>
    </w:pPr>
    <w:rPr>
      <w:rFonts w:ascii="Lucida Sans Unicode" w:hAnsi="Lucida Sans Unicode" w:cs="Times New Roman"/>
      <w:b/>
      <w:sz w:val="21"/>
      <w:szCs w:val="20"/>
    </w:rPr>
  </w:style>
  <w:style w:type="character" w:customStyle="1" w:styleId="SourceChar">
    <w:name w:val="Source Char"/>
    <w:link w:val="Source"/>
    <w:rsid w:val="005955E6"/>
    <w:rPr>
      <w:rFonts w:ascii="Lucida Sans Unicode" w:hAnsi="Lucida Sans Unicode"/>
      <w:sz w:val="16"/>
    </w:rPr>
  </w:style>
  <w:style w:type="paragraph" w:customStyle="1" w:styleId="Chartheading12ptbeforeandaftersize10">
    <w:name w:val="Chart heading +12pt before and after size 10"/>
    <w:basedOn w:val="Normal"/>
    <w:rsid w:val="005955E6"/>
    <w:pPr>
      <w:spacing w:before="240" w:after="240"/>
    </w:pPr>
    <w:rPr>
      <w:rFonts w:ascii="Lucida Sans Unicode" w:hAnsi="Lucida Sans Unicode" w:cs="Times New Roman"/>
      <w:b/>
      <w:sz w:val="20"/>
      <w:szCs w:val="20"/>
    </w:rPr>
  </w:style>
  <w:style w:type="character" w:customStyle="1" w:styleId="Tableheading12ptbeforeandafterChar">
    <w:name w:val="Table heading + 12 pt before and after Char"/>
    <w:link w:val="Tableheading12ptbeforeandafter"/>
    <w:rsid w:val="005955E6"/>
    <w:rPr>
      <w:rFonts w:ascii="Lucida Sans Unicode" w:hAnsi="Lucida Sans Unicode"/>
      <w:b/>
      <w:sz w:val="21"/>
    </w:rPr>
  </w:style>
  <w:style w:type="character" w:customStyle="1" w:styleId="BalloonTextChar">
    <w:name w:val="Balloon Text Char"/>
    <w:link w:val="BalloonText"/>
    <w:semiHidden/>
    <w:rsid w:val="005955E6"/>
    <w:rPr>
      <w:rFonts w:ascii="Tahoma" w:hAnsi="Tahoma" w:cs="Tahoma"/>
      <w:sz w:val="16"/>
      <w:szCs w:val="16"/>
    </w:rPr>
  </w:style>
  <w:style w:type="character" w:customStyle="1" w:styleId="Heading4Char">
    <w:name w:val="Heading 4 Char"/>
    <w:link w:val="Heading4"/>
    <w:rsid w:val="005955E6"/>
    <w:rPr>
      <w:rFonts w:ascii="Arial Bold" w:hAnsi="Arial Bold" w:cs="Mangal"/>
      <w:b/>
      <w:color w:val="F79646"/>
      <w:spacing w:val="1"/>
      <w:sz w:val="18"/>
      <w:szCs w:val="18"/>
    </w:rPr>
  </w:style>
  <w:style w:type="paragraph" w:customStyle="1" w:styleId="Bulletpoint">
    <w:name w:val="Bullet point"/>
    <w:basedOn w:val="Normal"/>
    <w:rsid w:val="005955E6"/>
    <w:pPr>
      <w:numPr>
        <w:numId w:val="7"/>
      </w:numPr>
    </w:pPr>
    <w:rPr>
      <w:rFonts w:ascii="Lucida Sans Unicode" w:hAnsi="Lucida Sans Unicode" w:cs="Times New Roman"/>
      <w:sz w:val="21"/>
      <w:szCs w:val="20"/>
    </w:rPr>
  </w:style>
  <w:style w:type="paragraph" w:styleId="BodyTextIndent">
    <w:name w:val="Body Text Indent"/>
    <w:basedOn w:val="Normal"/>
    <w:link w:val="BodyTextIndentChar"/>
    <w:locked/>
    <w:rsid w:val="005955E6"/>
    <w:pPr>
      <w:ind w:left="426"/>
    </w:pPr>
    <w:rPr>
      <w:rFonts w:ascii="Lucida Sans Unicode" w:hAnsi="Lucida Sans Unicode" w:cs="Times New Roman"/>
      <w:b/>
      <w:sz w:val="21"/>
      <w:szCs w:val="20"/>
    </w:rPr>
  </w:style>
  <w:style w:type="character" w:customStyle="1" w:styleId="BodyTextIndentChar">
    <w:name w:val="Body Text Indent Char"/>
    <w:link w:val="BodyTextIndent"/>
    <w:rsid w:val="005955E6"/>
    <w:rPr>
      <w:rFonts w:ascii="Lucida Sans Unicode" w:hAnsi="Lucida Sans Unicode"/>
      <w:b/>
      <w:sz w:val="21"/>
    </w:rPr>
  </w:style>
  <w:style w:type="paragraph" w:styleId="BodyTextIndent2">
    <w:name w:val="Body Text Indent 2"/>
    <w:basedOn w:val="Normal"/>
    <w:link w:val="BodyTextIndent2Char"/>
    <w:locked/>
    <w:rsid w:val="005955E6"/>
    <w:pPr>
      <w:spacing w:after="360"/>
      <w:ind w:left="142" w:hanging="6"/>
    </w:pPr>
    <w:rPr>
      <w:rFonts w:ascii="Lucida Sans Unicode" w:hAnsi="Lucida Sans Unicode" w:cs="Times New Roman"/>
      <w:b/>
      <w:sz w:val="21"/>
      <w:szCs w:val="20"/>
    </w:rPr>
  </w:style>
  <w:style w:type="character" w:customStyle="1" w:styleId="BodyTextIndent2Char">
    <w:name w:val="Body Text Indent 2 Char"/>
    <w:link w:val="BodyTextIndent2"/>
    <w:rsid w:val="005955E6"/>
    <w:rPr>
      <w:rFonts w:ascii="Lucida Sans Unicode" w:hAnsi="Lucida Sans Unicode"/>
      <w:b/>
      <w:sz w:val="21"/>
    </w:rPr>
  </w:style>
  <w:style w:type="paragraph" w:styleId="BodyTextIndent3">
    <w:name w:val="Body Text Indent 3"/>
    <w:basedOn w:val="Normal"/>
    <w:link w:val="BodyTextIndent3Char"/>
    <w:locked/>
    <w:rsid w:val="005955E6"/>
    <w:pPr>
      <w:spacing w:after="360"/>
      <w:ind w:left="1038" w:hanging="1038"/>
    </w:pPr>
    <w:rPr>
      <w:rFonts w:ascii="Lucida Sans Unicode" w:hAnsi="Lucida Sans Unicode" w:cs="Times New Roman"/>
      <w:b/>
      <w:sz w:val="21"/>
      <w:szCs w:val="20"/>
    </w:rPr>
  </w:style>
  <w:style w:type="character" w:customStyle="1" w:styleId="BodyTextIndent3Char">
    <w:name w:val="Body Text Indent 3 Char"/>
    <w:link w:val="BodyTextIndent3"/>
    <w:rsid w:val="005955E6"/>
    <w:rPr>
      <w:rFonts w:ascii="Lucida Sans Unicode" w:hAnsi="Lucida Sans Unicode"/>
      <w:b/>
      <w:sz w:val="21"/>
    </w:rPr>
  </w:style>
  <w:style w:type="character" w:customStyle="1" w:styleId="HeaderChar">
    <w:name w:val="Header Char"/>
    <w:link w:val="Header"/>
    <w:uiPriority w:val="99"/>
    <w:rsid w:val="005955E6"/>
    <w:rPr>
      <w:rFonts w:ascii="Arial" w:hAnsi="Arial" w:cs="Mangal"/>
      <w:sz w:val="18"/>
      <w:szCs w:val="24"/>
    </w:rPr>
  </w:style>
  <w:style w:type="paragraph" w:customStyle="1" w:styleId="Figureheading">
    <w:name w:val="Figure heading"/>
    <w:basedOn w:val="Normal"/>
    <w:rsid w:val="005955E6"/>
    <w:pPr>
      <w:spacing w:before="120" w:after="120"/>
    </w:pPr>
    <w:rPr>
      <w:rFonts w:ascii="Lucida Sans Unicode" w:hAnsi="Lucida Sans Unicode" w:cs="Times New Roman"/>
      <w:b/>
      <w:sz w:val="21"/>
      <w:szCs w:val="20"/>
    </w:rPr>
  </w:style>
  <w:style w:type="paragraph" w:styleId="TableofFigures">
    <w:name w:val="table of figures"/>
    <w:basedOn w:val="Normal"/>
    <w:next w:val="Normal"/>
    <w:rsid w:val="005955E6"/>
    <w:pPr>
      <w:ind w:left="420" w:hanging="420"/>
    </w:pPr>
    <w:rPr>
      <w:rFonts w:ascii="Lucida Sans Unicode" w:hAnsi="Lucida Sans Unicode" w:cs="Times New Roman"/>
      <w:sz w:val="16"/>
      <w:szCs w:val="20"/>
    </w:rPr>
  </w:style>
  <w:style w:type="paragraph" w:styleId="Index1">
    <w:name w:val="index 1"/>
    <w:basedOn w:val="Normal"/>
    <w:next w:val="Normal"/>
    <w:autoRedefine/>
    <w:rsid w:val="005955E6"/>
    <w:pPr>
      <w:ind w:left="210" w:hanging="210"/>
    </w:pPr>
    <w:rPr>
      <w:rFonts w:ascii="Lucida Sans Unicode" w:hAnsi="Lucida Sans Unicode" w:cs="Times New Roman"/>
      <w:sz w:val="21"/>
      <w:szCs w:val="20"/>
    </w:rPr>
  </w:style>
  <w:style w:type="paragraph" w:styleId="BodyText2">
    <w:name w:val="Body Text 2"/>
    <w:basedOn w:val="Normal"/>
    <w:link w:val="BodyText2Char"/>
    <w:locked/>
    <w:rsid w:val="005955E6"/>
    <w:rPr>
      <w:rFonts w:ascii="Lucida Sans Unicode" w:hAnsi="Lucida Sans Unicode" w:cs="Times New Roman"/>
      <w:b/>
      <w:color w:val="0000FF"/>
      <w:sz w:val="21"/>
      <w:szCs w:val="20"/>
    </w:rPr>
  </w:style>
  <w:style w:type="character" w:customStyle="1" w:styleId="BodyText2Char">
    <w:name w:val="Body Text 2 Char"/>
    <w:link w:val="BodyText2"/>
    <w:rsid w:val="005955E6"/>
    <w:rPr>
      <w:rFonts w:ascii="Lucida Sans Unicode" w:hAnsi="Lucida Sans Unicode"/>
      <w:b/>
      <w:color w:val="0000FF"/>
      <w:sz w:val="21"/>
    </w:rPr>
  </w:style>
  <w:style w:type="paragraph" w:customStyle="1" w:styleId="Map31">
    <w:name w:val="Map 3.1"/>
    <w:basedOn w:val="Figureheading"/>
    <w:rsid w:val="005955E6"/>
  </w:style>
  <w:style w:type="paragraph" w:styleId="BodyText3">
    <w:name w:val="Body Text 3"/>
    <w:basedOn w:val="Normal"/>
    <w:link w:val="BodyText3Char"/>
    <w:locked/>
    <w:rsid w:val="005955E6"/>
    <w:rPr>
      <w:rFonts w:ascii="Lucida Sans Unicode" w:hAnsi="Lucida Sans Unicode" w:cs="Times New Roman"/>
      <w:sz w:val="20"/>
      <w:szCs w:val="20"/>
    </w:rPr>
  </w:style>
  <w:style w:type="character" w:customStyle="1" w:styleId="BodyText3Char">
    <w:name w:val="Body Text 3 Char"/>
    <w:link w:val="BodyText3"/>
    <w:rsid w:val="005955E6"/>
    <w:rPr>
      <w:rFonts w:ascii="Lucida Sans Unicode" w:hAnsi="Lucida Sans Unicode"/>
    </w:rPr>
  </w:style>
  <w:style w:type="paragraph" w:styleId="DocumentMap">
    <w:name w:val="Document Map"/>
    <w:basedOn w:val="Normal"/>
    <w:link w:val="DocumentMapChar"/>
    <w:rsid w:val="005955E6"/>
    <w:pPr>
      <w:shd w:val="clear" w:color="auto" w:fill="000080"/>
    </w:pPr>
    <w:rPr>
      <w:rFonts w:ascii="Tahoma" w:hAnsi="Tahoma" w:cs="Times New Roman"/>
      <w:sz w:val="21"/>
      <w:szCs w:val="20"/>
    </w:rPr>
  </w:style>
  <w:style w:type="character" w:customStyle="1" w:styleId="DocumentMapChar">
    <w:name w:val="Document Map Char"/>
    <w:link w:val="DocumentMap"/>
    <w:rsid w:val="005955E6"/>
    <w:rPr>
      <w:rFonts w:ascii="Tahoma" w:hAnsi="Tahoma"/>
      <w:sz w:val="21"/>
      <w:shd w:val="clear" w:color="auto" w:fill="000080"/>
    </w:rPr>
  </w:style>
  <w:style w:type="paragraph" w:styleId="FootnoteText">
    <w:name w:val="footnote text"/>
    <w:basedOn w:val="Normal"/>
    <w:link w:val="FootnoteTextChar"/>
    <w:rsid w:val="005955E6"/>
    <w:rPr>
      <w:rFonts w:ascii="Lucida Sans Unicode" w:hAnsi="Lucida Sans Unicode" w:cs="Times New Roman"/>
      <w:sz w:val="20"/>
      <w:szCs w:val="20"/>
    </w:rPr>
  </w:style>
  <w:style w:type="character" w:customStyle="1" w:styleId="FootnoteTextChar">
    <w:name w:val="Footnote Text Char"/>
    <w:link w:val="FootnoteText"/>
    <w:rsid w:val="005955E6"/>
    <w:rPr>
      <w:rFonts w:ascii="Lucida Sans Unicode" w:hAnsi="Lucida Sans Unicode"/>
    </w:rPr>
  </w:style>
  <w:style w:type="character" w:styleId="FootnoteReference">
    <w:name w:val="footnote reference"/>
    <w:rsid w:val="005955E6"/>
    <w:rPr>
      <w:vertAlign w:val="superscript"/>
    </w:rPr>
  </w:style>
  <w:style w:type="character" w:styleId="LineNumber">
    <w:name w:val="line number"/>
    <w:rsid w:val="005955E6"/>
  </w:style>
  <w:style w:type="paragraph" w:customStyle="1" w:styleId="BodyTextReport">
    <w:name w:val="BodyTextReport"/>
    <w:rsid w:val="005955E6"/>
    <w:pPr>
      <w:spacing w:before="240" w:after="240"/>
    </w:pPr>
    <w:rPr>
      <w:rFonts w:ascii="Microsoft Sans Serif" w:hAnsi="Microsoft Sans Serif"/>
      <w:sz w:val="22"/>
      <w:lang w:val="en-US"/>
    </w:rPr>
  </w:style>
  <w:style w:type="paragraph" w:customStyle="1" w:styleId="Note">
    <w:name w:val="Note"/>
    <w:basedOn w:val="Normal"/>
    <w:rsid w:val="005955E6"/>
    <w:pPr>
      <w:tabs>
        <w:tab w:val="left" w:pos="2127"/>
      </w:tabs>
      <w:spacing w:before="120"/>
      <w:ind w:left="2126" w:hanging="1899"/>
    </w:pPr>
    <w:rPr>
      <w:rFonts w:ascii="Microsoft Sans Serif" w:hAnsi="Microsoft Sans Serif" w:cs="Times New Roman"/>
      <w:szCs w:val="20"/>
    </w:rPr>
  </w:style>
  <w:style w:type="paragraph" w:customStyle="1" w:styleId="Chartheading12ptbefore">
    <w:name w:val="Chart heading+ 12pt before"/>
    <w:basedOn w:val="Normal"/>
    <w:link w:val="Chartheading12ptbeforeChar"/>
    <w:rsid w:val="005955E6"/>
    <w:pPr>
      <w:spacing w:before="240"/>
    </w:pPr>
    <w:rPr>
      <w:rFonts w:ascii="Lucida Sans Unicode" w:hAnsi="Lucida Sans Unicode" w:cs="Times New Roman"/>
      <w:b/>
      <w:sz w:val="21"/>
      <w:szCs w:val="20"/>
    </w:rPr>
  </w:style>
  <w:style w:type="paragraph" w:customStyle="1" w:styleId="Chartheading12ptafter">
    <w:name w:val="Chart heading + 12pt after"/>
    <w:basedOn w:val="Chartheading12ptbefore"/>
    <w:link w:val="Chartheading12ptafterChar"/>
    <w:rsid w:val="005955E6"/>
  </w:style>
  <w:style w:type="paragraph" w:customStyle="1" w:styleId="Chartheading12ptbeforesize10">
    <w:name w:val="Chart heading + 12 pt before size 10"/>
    <w:basedOn w:val="Chartheading12ptbefore"/>
    <w:link w:val="Chartheading12ptbeforesize10Char"/>
    <w:rsid w:val="005955E6"/>
  </w:style>
  <w:style w:type="paragraph" w:customStyle="1" w:styleId="Tableheading0">
    <w:name w:val="Table heading"/>
    <w:basedOn w:val="Normal"/>
    <w:link w:val="TableheadingChar"/>
    <w:rsid w:val="005955E6"/>
    <w:rPr>
      <w:rFonts w:ascii="Lucida Sans Unicode" w:hAnsi="Lucida Sans Unicode" w:cs="Times New Roman"/>
      <w:b/>
      <w:sz w:val="21"/>
      <w:szCs w:val="20"/>
    </w:rPr>
  </w:style>
  <w:style w:type="paragraph" w:customStyle="1" w:styleId="Chartheading">
    <w:name w:val="Chart heading"/>
    <w:basedOn w:val="Normal"/>
    <w:rsid w:val="005955E6"/>
    <w:rPr>
      <w:rFonts w:ascii="Lucida Sans Unicode" w:hAnsi="Lucida Sans Unicode" w:cs="Times New Roman"/>
      <w:b/>
      <w:sz w:val="21"/>
      <w:szCs w:val="20"/>
    </w:rPr>
  </w:style>
  <w:style w:type="paragraph" w:styleId="BlockText">
    <w:name w:val="Block Text"/>
    <w:basedOn w:val="Normal"/>
    <w:rsid w:val="005955E6"/>
    <w:pPr>
      <w:spacing w:after="120"/>
      <w:ind w:left="1440" w:right="1440"/>
    </w:pPr>
    <w:rPr>
      <w:rFonts w:ascii="Lucida Sans Unicode" w:hAnsi="Lucida Sans Unicode" w:cs="Times New Roman"/>
      <w:sz w:val="21"/>
      <w:szCs w:val="20"/>
    </w:rPr>
  </w:style>
  <w:style w:type="paragraph" w:styleId="BodyTextFirstIndent">
    <w:name w:val="Body Text First Indent"/>
    <w:basedOn w:val="BodyText"/>
    <w:link w:val="BodyTextFirstIndentChar"/>
    <w:locked/>
    <w:rsid w:val="005955E6"/>
    <w:pPr>
      <w:numPr>
        <w:numId w:val="0"/>
      </w:numPr>
      <w:spacing w:before="0" w:after="120" w:line="240" w:lineRule="auto"/>
      <w:ind w:firstLine="210"/>
    </w:pPr>
    <w:rPr>
      <w:rFonts w:ascii="Lucida Sans Unicode" w:hAnsi="Lucida Sans Unicode"/>
      <w:sz w:val="21"/>
      <w:lang w:eastAsia="en-AU"/>
    </w:rPr>
  </w:style>
  <w:style w:type="character" w:customStyle="1" w:styleId="BodyTextFirstIndentChar">
    <w:name w:val="Body Text First Indent Char"/>
    <w:link w:val="BodyTextFirstIndent"/>
    <w:rsid w:val="005955E6"/>
    <w:rPr>
      <w:rFonts w:ascii="Lucida Sans Unicode" w:hAnsi="Lucida Sans Unicode"/>
      <w:sz w:val="21"/>
      <w:lang w:eastAsia="en-US"/>
    </w:rPr>
  </w:style>
  <w:style w:type="paragraph" w:styleId="BodyTextFirstIndent2">
    <w:name w:val="Body Text First Indent 2"/>
    <w:basedOn w:val="BodyTextIndent"/>
    <w:link w:val="BodyTextFirstIndent2Char"/>
    <w:locked/>
    <w:rsid w:val="005955E6"/>
    <w:pPr>
      <w:spacing w:after="120"/>
      <w:ind w:left="283" w:firstLine="210"/>
    </w:pPr>
    <w:rPr>
      <w:b w:val="0"/>
    </w:rPr>
  </w:style>
  <w:style w:type="character" w:customStyle="1" w:styleId="BodyTextFirstIndent2Char">
    <w:name w:val="Body Text First Indent 2 Char"/>
    <w:link w:val="BodyTextFirstIndent2"/>
    <w:rsid w:val="005955E6"/>
    <w:rPr>
      <w:rFonts w:ascii="Lucida Sans Unicode" w:hAnsi="Lucida Sans Unicode"/>
      <w:b w:val="0"/>
      <w:sz w:val="21"/>
    </w:rPr>
  </w:style>
  <w:style w:type="paragraph" w:styleId="Closing">
    <w:name w:val="Closing"/>
    <w:basedOn w:val="Normal"/>
    <w:link w:val="ClosingChar"/>
    <w:rsid w:val="005955E6"/>
    <w:pPr>
      <w:ind w:left="4252"/>
    </w:pPr>
    <w:rPr>
      <w:rFonts w:ascii="Lucida Sans Unicode" w:hAnsi="Lucida Sans Unicode" w:cs="Times New Roman"/>
      <w:sz w:val="21"/>
      <w:szCs w:val="20"/>
    </w:rPr>
  </w:style>
  <w:style w:type="character" w:customStyle="1" w:styleId="ClosingChar">
    <w:name w:val="Closing Char"/>
    <w:link w:val="Closing"/>
    <w:rsid w:val="005955E6"/>
    <w:rPr>
      <w:rFonts w:ascii="Lucida Sans Unicode" w:hAnsi="Lucida Sans Unicode"/>
      <w:sz w:val="21"/>
    </w:rPr>
  </w:style>
  <w:style w:type="character" w:customStyle="1" w:styleId="DateChar">
    <w:name w:val="Date Char"/>
    <w:link w:val="Date"/>
    <w:rsid w:val="005955E6"/>
    <w:rPr>
      <w:rFonts w:ascii="Arial" w:hAnsi="Arial"/>
      <w:color w:val="FFFFFF"/>
      <w:spacing w:val="3"/>
      <w:sz w:val="12"/>
      <w:lang w:eastAsia="en-US"/>
    </w:rPr>
  </w:style>
  <w:style w:type="paragraph" w:styleId="E-mailSignature">
    <w:name w:val="E-mail Signature"/>
    <w:basedOn w:val="Normal"/>
    <w:link w:val="E-mailSignatureChar"/>
    <w:rsid w:val="005955E6"/>
    <w:rPr>
      <w:rFonts w:ascii="Lucida Sans Unicode" w:hAnsi="Lucida Sans Unicode" w:cs="Times New Roman"/>
      <w:sz w:val="21"/>
      <w:szCs w:val="20"/>
    </w:rPr>
  </w:style>
  <w:style w:type="character" w:customStyle="1" w:styleId="E-mailSignatureChar">
    <w:name w:val="E-mail Signature Char"/>
    <w:link w:val="E-mailSignature"/>
    <w:rsid w:val="005955E6"/>
    <w:rPr>
      <w:rFonts w:ascii="Lucida Sans Unicode" w:hAnsi="Lucida Sans Unicode"/>
      <w:sz w:val="21"/>
    </w:rPr>
  </w:style>
  <w:style w:type="paragraph" w:styleId="EndnoteText">
    <w:name w:val="endnote text"/>
    <w:basedOn w:val="Normal"/>
    <w:link w:val="EndnoteTextChar"/>
    <w:rsid w:val="005955E6"/>
    <w:rPr>
      <w:rFonts w:ascii="Lucida Sans Unicode" w:hAnsi="Lucida Sans Unicode" w:cs="Times New Roman"/>
      <w:sz w:val="20"/>
      <w:szCs w:val="20"/>
    </w:rPr>
  </w:style>
  <w:style w:type="character" w:customStyle="1" w:styleId="EndnoteTextChar">
    <w:name w:val="Endnote Text Char"/>
    <w:link w:val="EndnoteText"/>
    <w:rsid w:val="005955E6"/>
    <w:rPr>
      <w:rFonts w:ascii="Lucida Sans Unicode" w:hAnsi="Lucida Sans Unicode"/>
    </w:rPr>
  </w:style>
  <w:style w:type="paragraph" w:styleId="EnvelopeAddress">
    <w:name w:val="envelope address"/>
    <w:basedOn w:val="Normal"/>
    <w:rsid w:val="005955E6"/>
    <w:pPr>
      <w:framePr w:w="7920" w:h="1980" w:hRule="exact" w:hSpace="180" w:wrap="auto" w:hAnchor="page" w:xAlign="center" w:yAlign="bottom"/>
      <w:ind w:left="2880"/>
    </w:pPr>
    <w:rPr>
      <w:rFonts w:cs="Arial"/>
      <w:sz w:val="24"/>
    </w:rPr>
  </w:style>
  <w:style w:type="paragraph" w:styleId="EnvelopeReturn">
    <w:name w:val="envelope return"/>
    <w:basedOn w:val="Normal"/>
    <w:rsid w:val="005955E6"/>
    <w:rPr>
      <w:rFonts w:cs="Arial"/>
      <w:sz w:val="20"/>
      <w:szCs w:val="20"/>
    </w:rPr>
  </w:style>
  <w:style w:type="paragraph" w:styleId="HTMLAddress">
    <w:name w:val="HTML Address"/>
    <w:basedOn w:val="Normal"/>
    <w:link w:val="HTMLAddressChar"/>
    <w:rsid w:val="005955E6"/>
    <w:rPr>
      <w:rFonts w:ascii="Lucida Sans Unicode" w:hAnsi="Lucida Sans Unicode" w:cs="Times New Roman"/>
      <w:i/>
      <w:iCs/>
      <w:sz w:val="21"/>
      <w:szCs w:val="20"/>
    </w:rPr>
  </w:style>
  <w:style w:type="character" w:customStyle="1" w:styleId="HTMLAddressChar">
    <w:name w:val="HTML Address Char"/>
    <w:link w:val="HTMLAddress"/>
    <w:rsid w:val="005955E6"/>
    <w:rPr>
      <w:rFonts w:ascii="Lucida Sans Unicode" w:hAnsi="Lucida Sans Unicode"/>
      <w:i/>
      <w:iCs/>
      <w:sz w:val="21"/>
    </w:rPr>
  </w:style>
  <w:style w:type="paragraph" w:styleId="HTMLPreformatted">
    <w:name w:val="HTML Preformatted"/>
    <w:basedOn w:val="Normal"/>
    <w:link w:val="HTMLPreformattedChar"/>
    <w:rsid w:val="005955E6"/>
    <w:rPr>
      <w:rFonts w:ascii="Courier New" w:hAnsi="Courier New" w:cs="Courier New"/>
      <w:sz w:val="20"/>
      <w:szCs w:val="20"/>
    </w:rPr>
  </w:style>
  <w:style w:type="character" w:customStyle="1" w:styleId="HTMLPreformattedChar">
    <w:name w:val="HTML Preformatted Char"/>
    <w:link w:val="HTMLPreformatted"/>
    <w:rsid w:val="005955E6"/>
    <w:rPr>
      <w:rFonts w:ascii="Courier New" w:hAnsi="Courier New" w:cs="Courier New"/>
    </w:rPr>
  </w:style>
  <w:style w:type="paragraph" w:styleId="Index2">
    <w:name w:val="index 2"/>
    <w:basedOn w:val="Normal"/>
    <w:next w:val="Normal"/>
    <w:autoRedefine/>
    <w:rsid w:val="005955E6"/>
    <w:pPr>
      <w:ind w:left="420" w:hanging="210"/>
    </w:pPr>
    <w:rPr>
      <w:rFonts w:ascii="Lucida Sans Unicode" w:hAnsi="Lucida Sans Unicode" w:cs="Times New Roman"/>
      <w:sz w:val="21"/>
      <w:szCs w:val="20"/>
    </w:rPr>
  </w:style>
  <w:style w:type="paragraph" w:styleId="Index3">
    <w:name w:val="index 3"/>
    <w:basedOn w:val="Normal"/>
    <w:next w:val="Normal"/>
    <w:autoRedefine/>
    <w:rsid w:val="005955E6"/>
    <w:pPr>
      <w:ind w:left="630" w:hanging="210"/>
    </w:pPr>
    <w:rPr>
      <w:rFonts w:ascii="Lucida Sans Unicode" w:hAnsi="Lucida Sans Unicode" w:cs="Times New Roman"/>
      <w:sz w:val="21"/>
      <w:szCs w:val="20"/>
    </w:rPr>
  </w:style>
  <w:style w:type="paragraph" w:styleId="Index4">
    <w:name w:val="index 4"/>
    <w:basedOn w:val="Normal"/>
    <w:next w:val="Normal"/>
    <w:autoRedefine/>
    <w:rsid w:val="005955E6"/>
    <w:pPr>
      <w:ind w:left="840" w:hanging="210"/>
    </w:pPr>
    <w:rPr>
      <w:rFonts w:ascii="Lucida Sans Unicode" w:hAnsi="Lucida Sans Unicode" w:cs="Times New Roman"/>
      <w:sz w:val="21"/>
      <w:szCs w:val="20"/>
    </w:rPr>
  </w:style>
  <w:style w:type="paragraph" w:styleId="Index5">
    <w:name w:val="index 5"/>
    <w:basedOn w:val="Normal"/>
    <w:next w:val="Normal"/>
    <w:autoRedefine/>
    <w:rsid w:val="005955E6"/>
    <w:pPr>
      <w:ind w:left="1050" w:hanging="210"/>
    </w:pPr>
    <w:rPr>
      <w:rFonts w:ascii="Lucida Sans Unicode" w:hAnsi="Lucida Sans Unicode" w:cs="Times New Roman"/>
      <w:sz w:val="21"/>
      <w:szCs w:val="20"/>
    </w:rPr>
  </w:style>
  <w:style w:type="paragraph" w:styleId="Index6">
    <w:name w:val="index 6"/>
    <w:basedOn w:val="Normal"/>
    <w:next w:val="Normal"/>
    <w:autoRedefine/>
    <w:rsid w:val="005955E6"/>
    <w:pPr>
      <w:ind w:left="1260" w:hanging="210"/>
    </w:pPr>
    <w:rPr>
      <w:rFonts w:ascii="Lucida Sans Unicode" w:hAnsi="Lucida Sans Unicode" w:cs="Times New Roman"/>
      <w:sz w:val="21"/>
      <w:szCs w:val="20"/>
    </w:rPr>
  </w:style>
  <w:style w:type="paragraph" w:styleId="Index7">
    <w:name w:val="index 7"/>
    <w:basedOn w:val="Normal"/>
    <w:next w:val="Normal"/>
    <w:autoRedefine/>
    <w:rsid w:val="005955E6"/>
    <w:pPr>
      <w:ind w:left="1470" w:hanging="210"/>
    </w:pPr>
    <w:rPr>
      <w:rFonts w:ascii="Lucida Sans Unicode" w:hAnsi="Lucida Sans Unicode" w:cs="Times New Roman"/>
      <w:sz w:val="21"/>
      <w:szCs w:val="20"/>
    </w:rPr>
  </w:style>
  <w:style w:type="paragraph" w:styleId="Index8">
    <w:name w:val="index 8"/>
    <w:basedOn w:val="Normal"/>
    <w:next w:val="Normal"/>
    <w:autoRedefine/>
    <w:rsid w:val="005955E6"/>
    <w:pPr>
      <w:ind w:left="1680" w:hanging="210"/>
    </w:pPr>
    <w:rPr>
      <w:rFonts w:ascii="Lucida Sans Unicode" w:hAnsi="Lucida Sans Unicode" w:cs="Times New Roman"/>
      <w:sz w:val="21"/>
      <w:szCs w:val="20"/>
    </w:rPr>
  </w:style>
  <w:style w:type="paragraph" w:styleId="Index9">
    <w:name w:val="index 9"/>
    <w:basedOn w:val="Normal"/>
    <w:next w:val="Normal"/>
    <w:autoRedefine/>
    <w:rsid w:val="005955E6"/>
    <w:pPr>
      <w:ind w:left="1890" w:hanging="210"/>
    </w:pPr>
    <w:rPr>
      <w:rFonts w:ascii="Lucida Sans Unicode" w:hAnsi="Lucida Sans Unicode" w:cs="Times New Roman"/>
      <w:sz w:val="21"/>
      <w:szCs w:val="20"/>
    </w:rPr>
  </w:style>
  <w:style w:type="paragraph" w:styleId="IndexHeading">
    <w:name w:val="index heading"/>
    <w:basedOn w:val="Normal"/>
    <w:next w:val="Index1"/>
    <w:rsid w:val="005955E6"/>
    <w:rPr>
      <w:rFonts w:cs="Arial"/>
      <w:b/>
      <w:bCs/>
      <w:sz w:val="21"/>
      <w:szCs w:val="20"/>
    </w:rPr>
  </w:style>
  <w:style w:type="paragraph" w:styleId="List">
    <w:name w:val="List"/>
    <w:basedOn w:val="Normal"/>
    <w:locked/>
    <w:rsid w:val="005955E6"/>
    <w:pPr>
      <w:ind w:left="283" w:hanging="283"/>
    </w:pPr>
    <w:rPr>
      <w:rFonts w:ascii="Lucida Sans Unicode" w:hAnsi="Lucida Sans Unicode" w:cs="Times New Roman"/>
      <w:sz w:val="21"/>
      <w:szCs w:val="20"/>
    </w:rPr>
  </w:style>
  <w:style w:type="paragraph" w:styleId="List2">
    <w:name w:val="List 2"/>
    <w:basedOn w:val="Normal"/>
    <w:locked/>
    <w:rsid w:val="005955E6"/>
    <w:pPr>
      <w:ind w:left="566" w:hanging="283"/>
    </w:pPr>
    <w:rPr>
      <w:rFonts w:ascii="Lucida Sans Unicode" w:hAnsi="Lucida Sans Unicode" w:cs="Times New Roman"/>
      <w:sz w:val="21"/>
      <w:szCs w:val="20"/>
    </w:rPr>
  </w:style>
  <w:style w:type="paragraph" w:styleId="List3">
    <w:name w:val="List 3"/>
    <w:basedOn w:val="Normal"/>
    <w:locked/>
    <w:rsid w:val="005955E6"/>
    <w:pPr>
      <w:ind w:left="849" w:hanging="283"/>
    </w:pPr>
    <w:rPr>
      <w:rFonts w:ascii="Lucida Sans Unicode" w:hAnsi="Lucida Sans Unicode" w:cs="Times New Roman"/>
      <w:sz w:val="21"/>
      <w:szCs w:val="20"/>
    </w:rPr>
  </w:style>
  <w:style w:type="paragraph" w:styleId="List4">
    <w:name w:val="List 4"/>
    <w:basedOn w:val="Normal"/>
    <w:locked/>
    <w:rsid w:val="005955E6"/>
    <w:pPr>
      <w:ind w:left="1132" w:hanging="283"/>
    </w:pPr>
    <w:rPr>
      <w:rFonts w:ascii="Lucida Sans Unicode" w:hAnsi="Lucida Sans Unicode" w:cs="Times New Roman"/>
      <w:sz w:val="21"/>
      <w:szCs w:val="20"/>
    </w:rPr>
  </w:style>
  <w:style w:type="paragraph" w:styleId="List5">
    <w:name w:val="List 5"/>
    <w:basedOn w:val="Normal"/>
    <w:locked/>
    <w:rsid w:val="005955E6"/>
    <w:pPr>
      <w:ind w:left="1415" w:hanging="283"/>
    </w:pPr>
    <w:rPr>
      <w:rFonts w:ascii="Lucida Sans Unicode" w:hAnsi="Lucida Sans Unicode" w:cs="Times New Roman"/>
      <w:sz w:val="21"/>
      <w:szCs w:val="20"/>
    </w:rPr>
  </w:style>
  <w:style w:type="paragraph" w:styleId="ListBullet">
    <w:name w:val="List Bullet"/>
    <w:basedOn w:val="Normal"/>
    <w:locked/>
    <w:rsid w:val="005955E6"/>
    <w:pPr>
      <w:tabs>
        <w:tab w:val="num" w:pos="360"/>
      </w:tabs>
      <w:ind w:left="360" w:hanging="360"/>
    </w:pPr>
    <w:rPr>
      <w:rFonts w:ascii="Lucida Sans Unicode" w:hAnsi="Lucida Sans Unicode" w:cs="Times New Roman"/>
      <w:sz w:val="21"/>
      <w:szCs w:val="20"/>
    </w:rPr>
  </w:style>
  <w:style w:type="paragraph" w:styleId="ListBullet2">
    <w:name w:val="List Bullet 2"/>
    <w:basedOn w:val="Normal"/>
    <w:locked/>
    <w:rsid w:val="005955E6"/>
    <w:pPr>
      <w:tabs>
        <w:tab w:val="num" w:pos="643"/>
      </w:tabs>
      <w:ind w:left="643" w:hanging="360"/>
    </w:pPr>
    <w:rPr>
      <w:rFonts w:ascii="Lucida Sans Unicode" w:hAnsi="Lucida Sans Unicode" w:cs="Times New Roman"/>
      <w:sz w:val="21"/>
      <w:szCs w:val="20"/>
    </w:rPr>
  </w:style>
  <w:style w:type="paragraph" w:styleId="ListBullet3">
    <w:name w:val="List Bullet 3"/>
    <w:basedOn w:val="Normal"/>
    <w:locked/>
    <w:rsid w:val="005955E6"/>
    <w:pPr>
      <w:tabs>
        <w:tab w:val="num" w:pos="926"/>
      </w:tabs>
      <w:ind w:left="926" w:hanging="360"/>
    </w:pPr>
    <w:rPr>
      <w:rFonts w:ascii="Lucida Sans Unicode" w:hAnsi="Lucida Sans Unicode" w:cs="Times New Roman"/>
      <w:sz w:val="21"/>
      <w:szCs w:val="20"/>
    </w:rPr>
  </w:style>
  <w:style w:type="paragraph" w:styleId="ListBullet4">
    <w:name w:val="List Bullet 4"/>
    <w:basedOn w:val="Normal"/>
    <w:locked/>
    <w:rsid w:val="005955E6"/>
    <w:pPr>
      <w:tabs>
        <w:tab w:val="num" w:pos="1209"/>
      </w:tabs>
      <w:ind w:left="1209" w:hanging="360"/>
    </w:pPr>
    <w:rPr>
      <w:rFonts w:ascii="Lucida Sans Unicode" w:hAnsi="Lucida Sans Unicode" w:cs="Times New Roman"/>
      <w:sz w:val="21"/>
      <w:szCs w:val="20"/>
    </w:rPr>
  </w:style>
  <w:style w:type="paragraph" w:styleId="ListBullet5">
    <w:name w:val="List Bullet 5"/>
    <w:basedOn w:val="Normal"/>
    <w:locked/>
    <w:rsid w:val="005955E6"/>
    <w:pPr>
      <w:tabs>
        <w:tab w:val="num" w:pos="1492"/>
      </w:tabs>
      <w:ind w:left="1492" w:hanging="360"/>
    </w:pPr>
    <w:rPr>
      <w:rFonts w:ascii="Lucida Sans Unicode" w:hAnsi="Lucida Sans Unicode" w:cs="Times New Roman"/>
      <w:sz w:val="21"/>
      <w:szCs w:val="20"/>
    </w:rPr>
  </w:style>
  <w:style w:type="paragraph" w:styleId="ListContinue">
    <w:name w:val="List Continue"/>
    <w:basedOn w:val="Normal"/>
    <w:locked/>
    <w:rsid w:val="005955E6"/>
    <w:pPr>
      <w:spacing w:after="120"/>
      <w:ind w:left="283"/>
    </w:pPr>
    <w:rPr>
      <w:rFonts w:ascii="Lucida Sans Unicode" w:hAnsi="Lucida Sans Unicode" w:cs="Times New Roman"/>
      <w:sz w:val="21"/>
      <w:szCs w:val="20"/>
    </w:rPr>
  </w:style>
  <w:style w:type="paragraph" w:styleId="ListContinue2">
    <w:name w:val="List Continue 2"/>
    <w:basedOn w:val="Normal"/>
    <w:locked/>
    <w:rsid w:val="005955E6"/>
    <w:pPr>
      <w:spacing w:after="120"/>
      <w:ind w:left="566"/>
    </w:pPr>
    <w:rPr>
      <w:rFonts w:ascii="Lucida Sans Unicode" w:hAnsi="Lucida Sans Unicode" w:cs="Times New Roman"/>
      <w:sz w:val="21"/>
      <w:szCs w:val="20"/>
    </w:rPr>
  </w:style>
  <w:style w:type="paragraph" w:styleId="ListContinue3">
    <w:name w:val="List Continue 3"/>
    <w:basedOn w:val="Normal"/>
    <w:locked/>
    <w:rsid w:val="005955E6"/>
    <w:pPr>
      <w:spacing w:after="120"/>
      <w:ind w:left="849"/>
    </w:pPr>
    <w:rPr>
      <w:rFonts w:ascii="Lucida Sans Unicode" w:hAnsi="Lucida Sans Unicode" w:cs="Times New Roman"/>
      <w:sz w:val="21"/>
      <w:szCs w:val="20"/>
    </w:rPr>
  </w:style>
  <w:style w:type="paragraph" w:styleId="ListContinue4">
    <w:name w:val="List Continue 4"/>
    <w:basedOn w:val="Normal"/>
    <w:locked/>
    <w:rsid w:val="005955E6"/>
    <w:pPr>
      <w:spacing w:after="120"/>
      <w:ind w:left="1132"/>
    </w:pPr>
    <w:rPr>
      <w:rFonts w:ascii="Lucida Sans Unicode" w:hAnsi="Lucida Sans Unicode" w:cs="Times New Roman"/>
      <w:sz w:val="21"/>
      <w:szCs w:val="20"/>
    </w:rPr>
  </w:style>
  <w:style w:type="paragraph" w:styleId="ListContinue5">
    <w:name w:val="List Continue 5"/>
    <w:basedOn w:val="Normal"/>
    <w:locked/>
    <w:rsid w:val="005955E6"/>
    <w:pPr>
      <w:spacing w:after="120"/>
      <w:ind w:left="1415"/>
    </w:pPr>
    <w:rPr>
      <w:rFonts w:ascii="Lucida Sans Unicode" w:hAnsi="Lucida Sans Unicode" w:cs="Times New Roman"/>
      <w:sz w:val="21"/>
      <w:szCs w:val="20"/>
    </w:rPr>
  </w:style>
  <w:style w:type="paragraph" w:styleId="ListNumber4">
    <w:name w:val="List Number 4"/>
    <w:basedOn w:val="Normal"/>
    <w:locked/>
    <w:rsid w:val="005955E6"/>
    <w:pPr>
      <w:tabs>
        <w:tab w:val="num" w:pos="1209"/>
      </w:tabs>
      <w:ind w:left="1209" w:hanging="360"/>
    </w:pPr>
    <w:rPr>
      <w:rFonts w:ascii="Lucida Sans Unicode" w:hAnsi="Lucida Sans Unicode" w:cs="Times New Roman"/>
      <w:sz w:val="21"/>
      <w:szCs w:val="20"/>
    </w:rPr>
  </w:style>
  <w:style w:type="paragraph" w:styleId="ListNumber5">
    <w:name w:val="List Number 5"/>
    <w:basedOn w:val="Normal"/>
    <w:locked/>
    <w:rsid w:val="005955E6"/>
    <w:pPr>
      <w:tabs>
        <w:tab w:val="num" w:pos="1492"/>
      </w:tabs>
      <w:ind w:left="1492" w:hanging="360"/>
    </w:pPr>
    <w:rPr>
      <w:rFonts w:ascii="Lucida Sans Unicode" w:hAnsi="Lucida Sans Unicode" w:cs="Times New Roman"/>
      <w:sz w:val="21"/>
      <w:szCs w:val="20"/>
    </w:rPr>
  </w:style>
  <w:style w:type="paragraph" w:styleId="MacroText">
    <w:name w:val="macro"/>
    <w:link w:val="MacroTextChar"/>
    <w:locked/>
    <w:rsid w:val="005955E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955E6"/>
    <w:rPr>
      <w:rFonts w:ascii="Courier New" w:hAnsi="Courier New" w:cs="Courier New"/>
    </w:rPr>
  </w:style>
  <w:style w:type="paragraph" w:styleId="MessageHeader">
    <w:name w:val="Message Header"/>
    <w:basedOn w:val="Normal"/>
    <w:link w:val="MessageHeaderChar"/>
    <w:rsid w:val="005955E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955E6"/>
    <w:rPr>
      <w:rFonts w:ascii="Arial" w:hAnsi="Arial" w:cs="Arial"/>
      <w:sz w:val="24"/>
      <w:szCs w:val="24"/>
      <w:shd w:val="pct20" w:color="auto" w:fill="auto"/>
    </w:rPr>
  </w:style>
  <w:style w:type="paragraph" w:styleId="NormalIndent">
    <w:name w:val="Normal Indent"/>
    <w:basedOn w:val="Normal"/>
    <w:rsid w:val="005955E6"/>
    <w:pPr>
      <w:ind w:left="720"/>
    </w:pPr>
    <w:rPr>
      <w:rFonts w:ascii="Lucida Sans Unicode" w:hAnsi="Lucida Sans Unicode" w:cs="Times New Roman"/>
      <w:sz w:val="21"/>
      <w:szCs w:val="20"/>
    </w:rPr>
  </w:style>
  <w:style w:type="paragraph" w:styleId="NoteHeading">
    <w:name w:val="Note Heading"/>
    <w:basedOn w:val="Normal"/>
    <w:next w:val="Normal"/>
    <w:link w:val="NoteHeadingChar"/>
    <w:rsid w:val="005955E6"/>
    <w:rPr>
      <w:rFonts w:ascii="Lucida Sans Unicode" w:hAnsi="Lucida Sans Unicode" w:cs="Times New Roman"/>
      <w:sz w:val="21"/>
      <w:szCs w:val="20"/>
    </w:rPr>
  </w:style>
  <w:style w:type="character" w:customStyle="1" w:styleId="NoteHeadingChar">
    <w:name w:val="Note Heading Char"/>
    <w:link w:val="NoteHeading"/>
    <w:rsid w:val="005955E6"/>
    <w:rPr>
      <w:rFonts w:ascii="Lucida Sans Unicode" w:hAnsi="Lucida Sans Unicode"/>
      <w:sz w:val="21"/>
    </w:rPr>
  </w:style>
  <w:style w:type="paragraph" w:styleId="PlainText">
    <w:name w:val="Plain Text"/>
    <w:basedOn w:val="Normal"/>
    <w:link w:val="PlainTextChar"/>
    <w:rsid w:val="005955E6"/>
    <w:rPr>
      <w:rFonts w:ascii="Courier New" w:hAnsi="Courier New" w:cs="Courier New"/>
      <w:sz w:val="20"/>
      <w:szCs w:val="20"/>
    </w:rPr>
  </w:style>
  <w:style w:type="character" w:customStyle="1" w:styleId="PlainTextChar">
    <w:name w:val="Plain Text Char"/>
    <w:link w:val="PlainText"/>
    <w:rsid w:val="005955E6"/>
    <w:rPr>
      <w:rFonts w:ascii="Courier New" w:hAnsi="Courier New" w:cs="Courier New"/>
    </w:rPr>
  </w:style>
  <w:style w:type="paragraph" w:styleId="Salutation">
    <w:name w:val="Salutation"/>
    <w:basedOn w:val="Normal"/>
    <w:next w:val="Normal"/>
    <w:link w:val="SalutationChar"/>
    <w:rsid w:val="005955E6"/>
    <w:rPr>
      <w:rFonts w:ascii="Lucida Sans Unicode" w:hAnsi="Lucida Sans Unicode" w:cs="Times New Roman"/>
      <w:sz w:val="21"/>
      <w:szCs w:val="20"/>
    </w:rPr>
  </w:style>
  <w:style w:type="character" w:customStyle="1" w:styleId="SalutationChar">
    <w:name w:val="Salutation Char"/>
    <w:link w:val="Salutation"/>
    <w:rsid w:val="005955E6"/>
    <w:rPr>
      <w:rFonts w:ascii="Lucida Sans Unicode" w:hAnsi="Lucida Sans Unicode"/>
      <w:sz w:val="21"/>
    </w:rPr>
  </w:style>
  <w:style w:type="paragraph" w:styleId="Signature">
    <w:name w:val="Signature"/>
    <w:basedOn w:val="Normal"/>
    <w:link w:val="SignatureChar"/>
    <w:rsid w:val="005955E6"/>
    <w:pPr>
      <w:ind w:left="4252"/>
    </w:pPr>
    <w:rPr>
      <w:rFonts w:ascii="Lucida Sans Unicode" w:hAnsi="Lucida Sans Unicode" w:cs="Times New Roman"/>
      <w:sz w:val="21"/>
      <w:szCs w:val="20"/>
    </w:rPr>
  </w:style>
  <w:style w:type="character" w:customStyle="1" w:styleId="SignatureChar">
    <w:name w:val="Signature Char"/>
    <w:link w:val="Signature"/>
    <w:rsid w:val="005955E6"/>
    <w:rPr>
      <w:rFonts w:ascii="Lucida Sans Unicode" w:hAnsi="Lucida Sans Unicode"/>
      <w:sz w:val="21"/>
    </w:rPr>
  </w:style>
  <w:style w:type="character" w:customStyle="1" w:styleId="SubtitleChar">
    <w:name w:val="Subtitle Char"/>
    <w:link w:val="Subtitle"/>
    <w:rsid w:val="005955E6"/>
    <w:rPr>
      <w:rFonts w:ascii="Arial" w:hAnsi="Arial" w:cs="Arial"/>
      <w:bCs/>
      <w:color w:val="FFFFFF"/>
      <w:spacing w:val="-12"/>
      <w:sz w:val="40"/>
      <w:szCs w:val="24"/>
      <w:lang w:eastAsia="en-US"/>
    </w:rPr>
  </w:style>
  <w:style w:type="paragraph" w:styleId="TableofAuthorities">
    <w:name w:val="table of authorities"/>
    <w:basedOn w:val="Normal"/>
    <w:next w:val="Normal"/>
    <w:rsid w:val="005955E6"/>
    <w:pPr>
      <w:ind w:left="210" w:hanging="210"/>
    </w:pPr>
    <w:rPr>
      <w:rFonts w:ascii="Lucida Sans Unicode" w:hAnsi="Lucida Sans Unicode" w:cs="Times New Roman"/>
      <w:sz w:val="21"/>
      <w:szCs w:val="20"/>
    </w:rPr>
  </w:style>
  <w:style w:type="character" w:customStyle="1" w:styleId="TitleChar">
    <w:name w:val="Title Char"/>
    <w:link w:val="Title"/>
    <w:rsid w:val="005955E6"/>
    <w:rPr>
      <w:rFonts w:cs="Arial"/>
      <w:color w:val="FFFFFF"/>
      <w:spacing w:val="-40"/>
      <w:sz w:val="116"/>
      <w:szCs w:val="100"/>
      <w:lang w:eastAsia="en-US"/>
    </w:rPr>
  </w:style>
  <w:style w:type="paragraph" w:styleId="TOAHeading">
    <w:name w:val="toa heading"/>
    <w:basedOn w:val="Normal"/>
    <w:next w:val="Normal"/>
    <w:rsid w:val="005955E6"/>
    <w:pPr>
      <w:spacing w:before="120"/>
    </w:pPr>
    <w:rPr>
      <w:rFonts w:cs="Arial"/>
      <w:b/>
      <w:bCs/>
      <w:sz w:val="24"/>
    </w:rPr>
  </w:style>
  <w:style w:type="paragraph" w:customStyle="1" w:styleId="Default">
    <w:name w:val="Default"/>
    <w:rsid w:val="005955E6"/>
    <w:pPr>
      <w:autoSpaceDE w:val="0"/>
      <w:autoSpaceDN w:val="0"/>
      <w:adjustRightInd w:val="0"/>
    </w:pPr>
    <w:rPr>
      <w:color w:val="000000"/>
      <w:sz w:val="24"/>
      <w:szCs w:val="24"/>
    </w:rPr>
  </w:style>
  <w:style w:type="character" w:customStyle="1" w:styleId="Chartheading12ptbeforeChar">
    <w:name w:val="Chart heading+ 12pt before Char"/>
    <w:link w:val="Chartheading12ptbefore"/>
    <w:rsid w:val="005955E6"/>
    <w:rPr>
      <w:rFonts w:ascii="Lucida Sans Unicode" w:hAnsi="Lucida Sans Unicode"/>
      <w:b/>
      <w:sz w:val="21"/>
    </w:rPr>
  </w:style>
  <w:style w:type="character" w:customStyle="1" w:styleId="Chartheading12ptafterChar">
    <w:name w:val="Chart heading + 12pt after Char"/>
    <w:link w:val="Chartheading12ptafter"/>
    <w:rsid w:val="005955E6"/>
    <w:rPr>
      <w:rFonts w:ascii="Lucida Sans Unicode" w:hAnsi="Lucida Sans Unicode"/>
      <w:b/>
      <w:sz w:val="21"/>
    </w:rPr>
  </w:style>
  <w:style w:type="character" w:customStyle="1" w:styleId="Chartheading12ptbeforesize10Char">
    <w:name w:val="Chart heading + 12 pt before size 10 Char"/>
    <w:link w:val="Chartheading12ptbeforesize10"/>
    <w:rsid w:val="005955E6"/>
    <w:rPr>
      <w:rFonts w:ascii="Lucida Sans Unicode" w:hAnsi="Lucida Sans Unicode"/>
      <w:b/>
      <w:sz w:val="21"/>
    </w:rPr>
  </w:style>
  <w:style w:type="character" w:customStyle="1" w:styleId="TableheadingChar">
    <w:name w:val="Table heading Char"/>
    <w:link w:val="Tableheading0"/>
    <w:rsid w:val="005955E6"/>
    <w:rPr>
      <w:rFonts w:ascii="Lucida Sans Unicode" w:hAnsi="Lucida Sans Unicode"/>
      <w:b/>
      <w:sz w:val="21"/>
    </w:rPr>
  </w:style>
  <w:style w:type="table" w:customStyle="1" w:styleId="MO">
    <w:name w:val="MO"/>
    <w:basedOn w:val="TableGrid"/>
    <w:rsid w:val="005955E6"/>
    <w:tblPr>
      <w:tblInd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tcPr>
      <w:shd w:val="clear" w:color="auto" w:fill="CCFFCC"/>
    </w:tcPr>
  </w:style>
  <w:style w:type="paragraph" w:styleId="Revision">
    <w:name w:val="Revision"/>
    <w:hidden/>
    <w:uiPriority w:val="99"/>
    <w:semiHidden/>
    <w:rsid w:val="005955E6"/>
    <w:rPr>
      <w:rFonts w:ascii="Lucida Sans Unicode" w:hAnsi="Lucida Sans Unicode"/>
      <w:sz w:val="21"/>
    </w:rPr>
  </w:style>
  <w:style w:type="paragraph" w:styleId="ListParagraph">
    <w:name w:val="List Paragraph"/>
    <w:basedOn w:val="Normal"/>
    <w:uiPriority w:val="34"/>
    <w:qFormat/>
    <w:rsid w:val="005955E6"/>
    <w:pPr>
      <w:ind w:left="720"/>
      <w:contextualSpacing/>
    </w:pPr>
    <w:rPr>
      <w:rFonts w:ascii="Lucida Sans Unicode" w:hAnsi="Lucida Sans Unicode" w:cs="Times New Roman"/>
      <w:sz w:val="21"/>
      <w:szCs w:val="20"/>
    </w:rPr>
  </w:style>
  <w:style w:type="table" w:styleId="LightList-Accent4">
    <w:name w:val="Light List Accent 4"/>
    <w:basedOn w:val="TableNormal"/>
    <w:uiPriority w:val="61"/>
    <w:rsid w:val="005955E6"/>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Shading-Accent2">
    <w:name w:val="Light Shading Accent 2"/>
    <w:basedOn w:val="TableNormal"/>
    <w:uiPriority w:val="60"/>
    <w:rsid w:val="005955E6"/>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customXml" Target="../customXml/item3.xml"/><Relationship Id="rId21" Type="http://schemas.openxmlformats.org/officeDocument/2006/relationships/chart" Target="charts/chart8.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hart" Target="charts/chart4.xml"/><Relationship Id="rId25" Type="http://schemas.openxmlformats.org/officeDocument/2006/relationships/chart" Target="charts/chart12.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hart" Target="charts/chart11.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chart" Target="charts/chart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ch05\Application%20Data\Microsoft\Templates\DPI%20Corporate\DPI%20Report.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ore.ournet\DSDBI\GroupData\ERRV\MPV\S-MPT\Statistical%20Report%202013_2014\Stats%20review%20graphs%20and%20tables%2013-14.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ore.ournet\DSDBI\GroupData\ERRV\MPV\S-MPT\Statistical%20Report%202013_2014\Stats%20review%20graphs%20and%20tables%2013-14.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ore.ournet\DSDBI\GroupData\ERRV\MPV\S-MPT\Statistical%20Report%202013_2014\Stats%20review%20graphs%20and%20tables%2013-14.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ore.ournet\DSDBI\GroupData\ERRV\MPV\S-MPT\Statistical%20Report%202013_2014\Stats%20review%20graphs%20and%20tables%2013-14.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ore.ournet\DSDBI\GroupData\ERRV\MPV\S-MPT\Statistical%20Report%202013_2014\Stats%20review%20graphs%20and%20tables%2013-14.xlsx" TargetMode="External"/><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oleObject" Target="file:///\\core.ournet\DSDBI\GroupData\ERRV\MPV\S-MPT\Statistical%20Report%202013_2014\Stats%20review%20graphs%20and%20tables%2013-14.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ore.ournet\DSDBI\GroupData\ERRV\MPV\S-MPT\Statistical%20Report%202013_2014\Stats%20review%20graphs%20and%20tables%2013-14.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ore.ournet\DSDBI\GroupData\ERRV\MPV\S-MPT\Statistical%20Report%202013_2014\Stats%20review%20graphs%20and%20tables%2013-14.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ore.ournet\DSDBI\GroupData\ERRV\MPV\S-MPT\Statistical%20Report%202013_2014\Stats%20review%20graphs%20and%20tables%2013-14.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ore.ournet\DSDBI\GroupData\ERRV\MPV\S-MPT\Statistical%20Report%202013_2014\Stats%20review%20graphs%20and%20tables%2013-14.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ore.ournet\DSDBI\GroupData\ERRV\MPV\S-MPT\Statistical%20Report%202013_2014\Stats%20review%20graphs%20and%20tables%2013-14.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ore.ournet\DSDBI\GroupData\ERRV\MPV\S-MPT\Statistical%20Report%202013_2014\Stats%20review%20graphs%20and%20tables%2013-14.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ore.ournet\DSDBI\GroupData\ERRV\MPV\S-MPT\Statistical%20Report%202013_2014\Stats%20review%20graphs%20and%20tables%2013-14.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214106311012557E-2"/>
          <c:y val="0.12565152402600288"/>
          <c:w val="0.67468929195125393"/>
          <c:h val="0.67450827233004762"/>
        </c:manualLayout>
      </c:layout>
      <c:barChart>
        <c:barDir val="col"/>
        <c:grouping val="stacked"/>
        <c:varyColors val="0"/>
        <c:ser>
          <c:idx val="0"/>
          <c:order val="0"/>
          <c:tx>
            <c:strRef>
              <c:f>'[1]Petroleum stats 2013_14'!$C$84:$C$85</c:f>
              <c:strCache>
                <c:ptCount val="1"/>
                <c:pt idx="0">
                  <c:v>Offshore (Victoria) Gippsland</c:v>
                </c:pt>
              </c:strCache>
            </c:strRef>
          </c:tx>
          <c:invertIfNegative val="0"/>
          <c:cat>
            <c:strRef>
              <c:f>'[1]Petroleum stats 2013_14'!$B$86:$B$100</c:f>
              <c:strCache>
                <c:ptCount val="15"/>
                <c:pt idx="0">
                  <c:v>1999/00</c:v>
                </c:pt>
                <c:pt idx="1">
                  <c:v>2000/01</c:v>
                </c:pt>
                <c:pt idx="2">
                  <c:v>2001/02</c:v>
                </c:pt>
                <c:pt idx="3">
                  <c:v>2002/03</c:v>
                </c:pt>
                <c:pt idx="4">
                  <c:v>2003/04</c:v>
                </c:pt>
                <c:pt idx="5">
                  <c:v>2004/05</c:v>
                </c:pt>
                <c:pt idx="6">
                  <c:v>2005/06</c:v>
                </c:pt>
                <c:pt idx="7">
                  <c:v>2006/07</c:v>
                </c:pt>
                <c:pt idx="8">
                  <c:v>2007/08</c:v>
                </c:pt>
                <c:pt idx="9">
                  <c:v>2008/09</c:v>
                </c:pt>
                <c:pt idx="10">
                  <c:v>2009/10</c:v>
                </c:pt>
                <c:pt idx="11">
                  <c:v>2010/11</c:v>
                </c:pt>
                <c:pt idx="12">
                  <c:v>2011/12</c:v>
                </c:pt>
                <c:pt idx="13">
                  <c:v>2012/13</c:v>
                </c:pt>
                <c:pt idx="14">
                  <c:v>2013/14</c:v>
                </c:pt>
              </c:strCache>
            </c:strRef>
          </c:cat>
          <c:val>
            <c:numRef>
              <c:f>'[1]Petroleum stats 2013_14'!$C$86:$C$100</c:f>
              <c:numCache>
                <c:formatCode>General</c:formatCode>
                <c:ptCount val="15"/>
                <c:pt idx="0">
                  <c:v>0</c:v>
                </c:pt>
                <c:pt idx="1">
                  <c:v>0</c:v>
                </c:pt>
                <c:pt idx="2">
                  <c:v>0</c:v>
                </c:pt>
                <c:pt idx="3">
                  <c:v>0</c:v>
                </c:pt>
                <c:pt idx="4">
                  <c:v>0</c:v>
                </c:pt>
                <c:pt idx="5">
                  <c:v>0</c:v>
                </c:pt>
                <c:pt idx="6">
                  <c:v>0</c:v>
                </c:pt>
                <c:pt idx="7">
                  <c:v>1</c:v>
                </c:pt>
                <c:pt idx="8">
                  <c:v>0</c:v>
                </c:pt>
                <c:pt idx="9">
                  <c:v>0</c:v>
                </c:pt>
                <c:pt idx="10">
                  <c:v>0</c:v>
                </c:pt>
                <c:pt idx="11">
                  <c:v>0</c:v>
                </c:pt>
                <c:pt idx="12">
                  <c:v>0</c:v>
                </c:pt>
                <c:pt idx="13">
                  <c:v>0</c:v>
                </c:pt>
                <c:pt idx="14">
                  <c:v>0</c:v>
                </c:pt>
              </c:numCache>
            </c:numRef>
          </c:val>
        </c:ser>
        <c:ser>
          <c:idx val="1"/>
          <c:order val="1"/>
          <c:tx>
            <c:strRef>
              <c:f>'[1]Petroleum stats 2013_14'!$D$84:$D$85</c:f>
              <c:strCache>
                <c:ptCount val="1"/>
                <c:pt idx="0">
                  <c:v>Offshore (Victoria) Otway</c:v>
                </c:pt>
              </c:strCache>
            </c:strRef>
          </c:tx>
          <c:invertIfNegative val="0"/>
          <c:cat>
            <c:strRef>
              <c:f>'[1]Petroleum stats 2013_14'!$B$86:$B$100</c:f>
              <c:strCache>
                <c:ptCount val="15"/>
                <c:pt idx="0">
                  <c:v>1999/00</c:v>
                </c:pt>
                <c:pt idx="1">
                  <c:v>2000/01</c:v>
                </c:pt>
                <c:pt idx="2">
                  <c:v>2001/02</c:v>
                </c:pt>
                <c:pt idx="3">
                  <c:v>2002/03</c:v>
                </c:pt>
                <c:pt idx="4">
                  <c:v>2003/04</c:v>
                </c:pt>
                <c:pt idx="5">
                  <c:v>2004/05</c:v>
                </c:pt>
                <c:pt idx="6">
                  <c:v>2005/06</c:v>
                </c:pt>
                <c:pt idx="7">
                  <c:v>2006/07</c:v>
                </c:pt>
                <c:pt idx="8">
                  <c:v>2007/08</c:v>
                </c:pt>
                <c:pt idx="9">
                  <c:v>2008/09</c:v>
                </c:pt>
                <c:pt idx="10">
                  <c:v>2009/10</c:v>
                </c:pt>
                <c:pt idx="11">
                  <c:v>2010/11</c:v>
                </c:pt>
                <c:pt idx="12">
                  <c:v>2011/12</c:v>
                </c:pt>
                <c:pt idx="13">
                  <c:v>2012/13</c:v>
                </c:pt>
                <c:pt idx="14">
                  <c:v>2013/14</c:v>
                </c:pt>
              </c:strCache>
            </c:strRef>
          </c:cat>
          <c:val>
            <c:numRef>
              <c:f>'[1]Petroleum stats 2013_14'!$D$86:$D$100</c:f>
              <c:numCache>
                <c:formatCode>General</c:formatCode>
                <c:ptCount val="15"/>
                <c:pt idx="0">
                  <c:v>0</c:v>
                </c:pt>
                <c:pt idx="1">
                  <c:v>0</c:v>
                </c:pt>
                <c:pt idx="2">
                  <c:v>0</c:v>
                </c:pt>
                <c:pt idx="3">
                  <c:v>0</c:v>
                </c:pt>
                <c:pt idx="4">
                  <c:v>0</c:v>
                </c:pt>
                <c:pt idx="5">
                  <c:v>1</c:v>
                </c:pt>
                <c:pt idx="6">
                  <c:v>0</c:v>
                </c:pt>
                <c:pt idx="7">
                  <c:v>0</c:v>
                </c:pt>
                <c:pt idx="8">
                  <c:v>0</c:v>
                </c:pt>
                <c:pt idx="9">
                  <c:v>0</c:v>
                </c:pt>
                <c:pt idx="10">
                  <c:v>0</c:v>
                </c:pt>
                <c:pt idx="11">
                  <c:v>0</c:v>
                </c:pt>
                <c:pt idx="12">
                  <c:v>0</c:v>
                </c:pt>
                <c:pt idx="13">
                  <c:v>0</c:v>
                </c:pt>
                <c:pt idx="14">
                  <c:v>0</c:v>
                </c:pt>
              </c:numCache>
            </c:numRef>
          </c:val>
        </c:ser>
        <c:ser>
          <c:idx val="2"/>
          <c:order val="2"/>
          <c:tx>
            <c:strRef>
              <c:f>'[1]Petroleum stats 2013_14'!$E$84:$E$85</c:f>
              <c:strCache>
                <c:ptCount val="1"/>
                <c:pt idx="0">
                  <c:v>Onshore Gippsland</c:v>
                </c:pt>
              </c:strCache>
            </c:strRef>
          </c:tx>
          <c:invertIfNegative val="0"/>
          <c:cat>
            <c:strRef>
              <c:f>'[1]Petroleum stats 2013_14'!$B$86:$B$100</c:f>
              <c:strCache>
                <c:ptCount val="15"/>
                <c:pt idx="0">
                  <c:v>1999/00</c:v>
                </c:pt>
                <c:pt idx="1">
                  <c:v>2000/01</c:v>
                </c:pt>
                <c:pt idx="2">
                  <c:v>2001/02</c:v>
                </c:pt>
                <c:pt idx="3">
                  <c:v>2002/03</c:v>
                </c:pt>
                <c:pt idx="4">
                  <c:v>2003/04</c:v>
                </c:pt>
                <c:pt idx="5">
                  <c:v>2004/05</c:v>
                </c:pt>
                <c:pt idx="6">
                  <c:v>2005/06</c:v>
                </c:pt>
                <c:pt idx="7">
                  <c:v>2006/07</c:v>
                </c:pt>
                <c:pt idx="8">
                  <c:v>2007/08</c:v>
                </c:pt>
                <c:pt idx="9">
                  <c:v>2008/09</c:v>
                </c:pt>
                <c:pt idx="10">
                  <c:v>2009/10</c:v>
                </c:pt>
                <c:pt idx="11">
                  <c:v>2010/11</c:v>
                </c:pt>
                <c:pt idx="12">
                  <c:v>2011/12</c:v>
                </c:pt>
                <c:pt idx="13">
                  <c:v>2012/13</c:v>
                </c:pt>
                <c:pt idx="14">
                  <c:v>2013/14</c:v>
                </c:pt>
              </c:strCache>
            </c:strRef>
          </c:cat>
          <c:val>
            <c:numRef>
              <c:f>'[1]Petroleum stats 2013_14'!$E$86:$E$100</c:f>
              <c:numCache>
                <c:formatCode>General</c:formatCode>
                <c:ptCount val="15"/>
                <c:pt idx="0">
                  <c:v>3</c:v>
                </c:pt>
                <c:pt idx="1">
                  <c:v>2</c:v>
                </c:pt>
                <c:pt idx="2">
                  <c:v>4</c:v>
                </c:pt>
                <c:pt idx="3">
                  <c:v>3</c:v>
                </c:pt>
                <c:pt idx="4">
                  <c:v>1</c:v>
                </c:pt>
                <c:pt idx="5">
                  <c:v>2</c:v>
                </c:pt>
                <c:pt idx="6">
                  <c:v>4</c:v>
                </c:pt>
                <c:pt idx="7">
                  <c:v>4</c:v>
                </c:pt>
                <c:pt idx="8">
                  <c:v>0</c:v>
                </c:pt>
                <c:pt idx="9">
                  <c:v>0</c:v>
                </c:pt>
                <c:pt idx="10">
                  <c:v>1</c:v>
                </c:pt>
                <c:pt idx="11">
                  <c:v>0</c:v>
                </c:pt>
                <c:pt idx="12">
                  <c:v>1</c:v>
                </c:pt>
                <c:pt idx="13">
                  <c:v>2</c:v>
                </c:pt>
                <c:pt idx="14">
                  <c:v>0</c:v>
                </c:pt>
              </c:numCache>
            </c:numRef>
          </c:val>
        </c:ser>
        <c:ser>
          <c:idx val="3"/>
          <c:order val="3"/>
          <c:tx>
            <c:strRef>
              <c:f>'[1]Petroleum stats 2013_14'!$F$84:$F$85</c:f>
              <c:strCache>
                <c:ptCount val="1"/>
                <c:pt idx="0">
                  <c:v>Onshore Otway</c:v>
                </c:pt>
              </c:strCache>
            </c:strRef>
          </c:tx>
          <c:invertIfNegative val="0"/>
          <c:cat>
            <c:strRef>
              <c:f>'[1]Petroleum stats 2013_14'!$B$86:$B$100</c:f>
              <c:strCache>
                <c:ptCount val="15"/>
                <c:pt idx="0">
                  <c:v>1999/00</c:v>
                </c:pt>
                <c:pt idx="1">
                  <c:v>2000/01</c:v>
                </c:pt>
                <c:pt idx="2">
                  <c:v>2001/02</c:v>
                </c:pt>
                <c:pt idx="3">
                  <c:v>2002/03</c:v>
                </c:pt>
                <c:pt idx="4">
                  <c:v>2003/04</c:v>
                </c:pt>
                <c:pt idx="5">
                  <c:v>2004/05</c:v>
                </c:pt>
                <c:pt idx="6">
                  <c:v>2005/06</c:v>
                </c:pt>
                <c:pt idx="7">
                  <c:v>2006/07</c:v>
                </c:pt>
                <c:pt idx="8">
                  <c:v>2007/08</c:v>
                </c:pt>
                <c:pt idx="9">
                  <c:v>2008/09</c:v>
                </c:pt>
                <c:pt idx="10">
                  <c:v>2009/10</c:v>
                </c:pt>
                <c:pt idx="11">
                  <c:v>2010/11</c:v>
                </c:pt>
                <c:pt idx="12">
                  <c:v>2011/12</c:v>
                </c:pt>
                <c:pt idx="13">
                  <c:v>2012/13</c:v>
                </c:pt>
                <c:pt idx="14">
                  <c:v>2013/14</c:v>
                </c:pt>
              </c:strCache>
            </c:strRef>
          </c:cat>
          <c:val>
            <c:numRef>
              <c:f>'[1]Petroleum stats 2013_14'!$F$86:$F$100</c:f>
              <c:numCache>
                <c:formatCode>General</c:formatCode>
                <c:ptCount val="15"/>
                <c:pt idx="0">
                  <c:v>2</c:v>
                </c:pt>
                <c:pt idx="1">
                  <c:v>5</c:v>
                </c:pt>
                <c:pt idx="2">
                  <c:v>7</c:v>
                </c:pt>
                <c:pt idx="3">
                  <c:v>4</c:v>
                </c:pt>
                <c:pt idx="4">
                  <c:v>2</c:v>
                </c:pt>
                <c:pt idx="5">
                  <c:v>0</c:v>
                </c:pt>
                <c:pt idx="6">
                  <c:v>4</c:v>
                </c:pt>
                <c:pt idx="7">
                  <c:v>2</c:v>
                </c:pt>
                <c:pt idx="8">
                  <c:v>2</c:v>
                </c:pt>
                <c:pt idx="9">
                  <c:v>1</c:v>
                </c:pt>
                <c:pt idx="10">
                  <c:v>0</c:v>
                </c:pt>
                <c:pt idx="11">
                  <c:v>0</c:v>
                </c:pt>
                <c:pt idx="12">
                  <c:v>1</c:v>
                </c:pt>
                <c:pt idx="13">
                  <c:v>0</c:v>
                </c:pt>
                <c:pt idx="14">
                  <c:v>0</c:v>
                </c:pt>
              </c:numCache>
            </c:numRef>
          </c:val>
        </c:ser>
        <c:ser>
          <c:idx val="4"/>
          <c:order val="4"/>
          <c:tx>
            <c:strRef>
              <c:f>'[1]Petroleum stats 2013_14'!$G$84:$G$85</c:f>
              <c:strCache>
                <c:ptCount val="1"/>
                <c:pt idx="0">
                  <c:v>Onshore Murray</c:v>
                </c:pt>
              </c:strCache>
            </c:strRef>
          </c:tx>
          <c:invertIfNegative val="0"/>
          <c:cat>
            <c:strRef>
              <c:f>'[1]Petroleum stats 2013_14'!$B$86:$B$100</c:f>
              <c:strCache>
                <c:ptCount val="15"/>
                <c:pt idx="0">
                  <c:v>1999/00</c:v>
                </c:pt>
                <c:pt idx="1">
                  <c:v>2000/01</c:v>
                </c:pt>
                <c:pt idx="2">
                  <c:v>2001/02</c:v>
                </c:pt>
                <c:pt idx="3">
                  <c:v>2002/03</c:v>
                </c:pt>
                <c:pt idx="4">
                  <c:v>2003/04</c:v>
                </c:pt>
                <c:pt idx="5">
                  <c:v>2004/05</c:v>
                </c:pt>
                <c:pt idx="6">
                  <c:v>2005/06</c:v>
                </c:pt>
                <c:pt idx="7">
                  <c:v>2006/07</c:v>
                </c:pt>
                <c:pt idx="8">
                  <c:v>2007/08</c:v>
                </c:pt>
                <c:pt idx="9">
                  <c:v>2008/09</c:v>
                </c:pt>
                <c:pt idx="10">
                  <c:v>2009/10</c:v>
                </c:pt>
                <c:pt idx="11">
                  <c:v>2010/11</c:v>
                </c:pt>
                <c:pt idx="12">
                  <c:v>2011/12</c:v>
                </c:pt>
                <c:pt idx="13">
                  <c:v>2012/13</c:v>
                </c:pt>
                <c:pt idx="14">
                  <c:v>2013/14</c:v>
                </c:pt>
              </c:strCache>
            </c:strRef>
          </c:cat>
          <c:val>
            <c:numRef>
              <c:f>'[1]Petroleum stats 2013_14'!$G$86:$G$100</c:f>
              <c:numCache>
                <c:formatCode>General</c:formatCode>
                <c:ptCount val="15"/>
                <c:pt idx="0">
                  <c:v>0</c:v>
                </c:pt>
                <c:pt idx="1">
                  <c:v>0</c:v>
                </c:pt>
                <c:pt idx="2">
                  <c:v>1</c:v>
                </c:pt>
                <c:pt idx="3">
                  <c:v>0</c:v>
                </c:pt>
                <c:pt idx="4">
                  <c:v>0</c:v>
                </c:pt>
                <c:pt idx="5">
                  <c:v>0</c:v>
                </c:pt>
                <c:pt idx="6">
                  <c:v>0</c:v>
                </c:pt>
                <c:pt idx="7">
                  <c:v>0</c:v>
                </c:pt>
                <c:pt idx="8">
                  <c:v>0</c:v>
                </c:pt>
                <c:pt idx="9">
                  <c:v>0</c:v>
                </c:pt>
                <c:pt idx="10">
                  <c:v>0</c:v>
                </c:pt>
                <c:pt idx="11">
                  <c:v>0</c:v>
                </c:pt>
                <c:pt idx="12">
                  <c:v>0</c:v>
                </c:pt>
                <c:pt idx="13">
                  <c:v>0</c:v>
                </c:pt>
                <c:pt idx="14">
                  <c:v>0</c:v>
                </c:pt>
              </c:numCache>
            </c:numRef>
          </c:val>
        </c:ser>
        <c:dLbls>
          <c:showLegendKey val="0"/>
          <c:showVal val="0"/>
          <c:showCatName val="0"/>
          <c:showSerName val="0"/>
          <c:showPercent val="0"/>
          <c:showBubbleSize val="0"/>
        </c:dLbls>
        <c:gapWidth val="300"/>
        <c:overlap val="100"/>
        <c:axId val="39772544"/>
        <c:axId val="39774080"/>
      </c:barChart>
      <c:catAx>
        <c:axId val="39772544"/>
        <c:scaling>
          <c:orientation val="minMax"/>
        </c:scaling>
        <c:delete val="0"/>
        <c:axPos val="b"/>
        <c:majorTickMark val="none"/>
        <c:minorTickMark val="none"/>
        <c:tickLblPos val="nextTo"/>
        <c:txPr>
          <a:bodyPr rot="-2700000"/>
          <a:lstStyle/>
          <a:p>
            <a:pPr>
              <a:defRPr/>
            </a:pPr>
            <a:endParaRPr lang="en-US"/>
          </a:p>
        </c:txPr>
        <c:crossAx val="39774080"/>
        <c:crosses val="autoZero"/>
        <c:auto val="1"/>
        <c:lblAlgn val="ctr"/>
        <c:lblOffset val="100"/>
        <c:noMultiLvlLbl val="0"/>
      </c:catAx>
      <c:valAx>
        <c:axId val="39774080"/>
        <c:scaling>
          <c:orientation val="minMax"/>
        </c:scaling>
        <c:delete val="0"/>
        <c:axPos val="l"/>
        <c:majorGridlines/>
        <c:title>
          <c:tx>
            <c:rich>
              <a:bodyPr/>
              <a:lstStyle/>
              <a:p>
                <a:pPr>
                  <a:defRPr/>
                </a:pPr>
                <a:r>
                  <a:rPr lang="en-US"/>
                  <a:t>Total Wells</a:t>
                </a:r>
              </a:p>
            </c:rich>
          </c:tx>
          <c:overlay val="0"/>
        </c:title>
        <c:numFmt formatCode="General" sourceLinked="1"/>
        <c:majorTickMark val="out"/>
        <c:minorTickMark val="none"/>
        <c:tickLblPos val="nextTo"/>
        <c:crossAx val="39772544"/>
        <c:crosses val="autoZero"/>
        <c:crossBetween val="between"/>
      </c:valAx>
    </c:plotArea>
    <c:legend>
      <c:legendPos val="r"/>
      <c:layout>
        <c:manualLayout>
          <c:xMode val="edge"/>
          <c:yMode val="edge"/>
          <c:x val="0.76681968273710555"/>
          <c:y val="0.255969261539091"/>
          <c:w val="0.21684545516225051"/>
          <c:h val="0.47006957348998202"/>
        </c:manualLayout>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892607174103239E-2"/>
          <c:y val="0.10081241047948888"/>
          <c:w val="0.85538066196239448"/>
          <c:h val="0.5911967840899669"/>
        </c:manualLayout>
      </c:layout>
      <c:barChart>
        <c:barDir val="col"/>
        <c:grouping val="clustered"/>
        <c:varyColors val="0"/>
        <c:ser>
          <c:idx val="0"/>
          <c:order val="0"/>
          <c:tx>
            <c:strRef>
              <c:f>'Chapter 4'!$V$1</c:f>
              <c:strCache>
                <c:ptCount val="1"/>
                <c:pt idx="0">
                  <c:v>Number of Quarries(x10)</c:v>
                </c:pt>
              </c:strCache>
            </c:strRef>
          </c:tx>
          <c:spPr>
            <a:solidFill>
              <a:srgbClr val="339966"/>
            </a:solidFill>
            <a:ln w="12700">
              <a:solidFill>
                <a:srgbClr val="000000"/>
              </a:solidFill>
              <a:prstDash val="solid"/>
            </a:ln>
          </c:spPr>
          <c:invertIfNegative val="0"/>
          <c:cat>
            <c:strRef>
              <c:f>'Chapter 4'!$U$2:$U$9</c:f>
              <c:strCache>
                <c:ptCount val="8"/>
                <c:pt idx="0">
                  <c:v>2006/07</c:v>
                </c:pt>
                <c:pt idx="1">
                  <c:v>2007/08</c:v>
                </c:pt>
                <c:pt idx="2">
                  <c:v>2008/09</c:v>
                </c:pt>
                <c:pt idx="3">
                  <c:v>2009/10</c:v>
                </c:pt>
                <c:pt idx="4">
                  <c:v>2010/11</c:v>
                </c:pt>
                <c:pt idx="5">
                  <c:v>2011/12</c:v>
                </c:pt>
                <c:pt idx="6">
                  <c:v>2012/13</c:v>
                </c:pt>
                <c:pt idx="7">
                  <c:v>2013/14</c:v>
                </c:pt>
              </c:strCache>
            </c:strRef>
          </c:cat>
          <c:val>
            <c:numRef>
              <c:f>'Chapter 4'!$V$2:$V$9</c:f>
              <c:numCache>
                <c:formatCode>General</c:formatCode>
                <c:ptCount val="8"/>
                <c:pt idx="0">
                  <c:v>86.5</c:v>
                </c:pt>
                <c:pt idx="1">
                  <c:v>86.8</c:v>
                </c:pt>
                <c:pt idx="2">
                  <c:v>86.3</c:v>
                </c:pt>
                <c:pt idx="3">
                  <c:v>86.9</c:v>
                </c:pt>
                <c:pt idx="4">
                  <c:v>87.6</c:v>
                </c:pt>
                <c:pt idx="5">
                  <c:v>88.4</c:v>
                </c:pt>
                <c:pt idx="6">
                  <c:v>88.2</c:v>
                </c:pt>
                <c:pt idx="7">
                  <c:v>88.1</c:v>
                </c:pt>
              </c:numCache>
            </c:numRef>
          </c:val>
        </c:ser>
        <c:ser>
          <c:idx val="1"/>
          <c:order val="1"/>
          <c:tx>
            <c:strRef>
              <c:f>'Chapter 4'!$W$1</c:f>
              <c:strCache>
                <c:ptCount val="1"/>
                <c:pt idx="0">
                  <c:v>Sales (million tonnes)</c:v>
                </c:pt>
              </c:strCache>
            </c:strRef>
          </c:tx>
          <c:spPr>
            <a:pattFill prst="pct60">
              <a:fgClr>
                <a:srgbClr val="1F497D">
                  <a:lumMod val="75000"/>
                </a:srgbClr>
              </a:fgClr>
              <a:bgClr>
                <a:sysClr val="window" lastClr="FFFFFF"/>
              </a:bgClr>
            </a:pattFill>
            <a:ln w="12700">
              <a:solidFill>
                <a:srgbClr val="000000"/>
              </a:solidFill>
              <a:prstDash val="solid"/>
            </a:ln>
          </c:spPr>
          <c:invertIfNegative val="0"/>
          <c:cat>
            <c:strRef>
              <c:f>'Chapter 4'!$U$2:$U$9</c:f>
              <c:strCache>
                <c:ptCount val="8"/>
                <c:pt idx="0">
                  <c:v>2006/07</c:v>
                </c:pt>
                <c:pt idx="1">
                  <c:v>2007/08</c:v>
                </c:pt>
                <c:pt idx="2">
                  <c:v>2008/09</c:v>
                </c:pt>
                <c:pt idx="3">
                  <c:v>2009/10</c:v>
                </c:pt>
                <c:pt idx="4">
                  <c:v>2010/11</c:v>
                </c:pt>
                <c:pt idx="5">
                  <c:v>2011/12</c:v>
                </c:pt>
                <c:pt idx="6">
                  <c:v>2012/13</c:v>
                </c:pt>
                <c:pt idx="7">
                  <c:v>2013/14</c:v>
                </c:pt>
              </c:strCache>
            </c:strRef>
          </c:cat>
          <c:val>
            <c:numRef>
              <c:f>'Chapter 4'!$W$2:$W$9</c:f>
              <c:numCache>
                <c:formatCode>General</c:formatCode>
                <c:ptCount val="8"/>
                <c:pt idx="0">
                  <c:v>52.3</c:v>
                </c:pt>
                <c:pt idx="1">
                  <c:v>53.9</c:v>
                </c:pt>
                <c:pt idx="2">
                  <c:v>48.9</c:v>
                </c:pt>
                <c:pt idx="3">
                  <c:v>46.1</c:v>
                </c:pt>
                <c:pt idx="4">
                  <c:v>52.2</c:v>
                </c:pt>
                <c:pt idx="5">
                  <c:v>58.1</c:v>
                </c:pt>
                <c:pt idx="6">
                  <c:v>47.4</c:v>
                </c:pt>
                <c:pt idx="7" formatCode="0.0">
                  <c:v>39.64</c:v>
                </c:pt>
              </c:numCache>
            </c:numRef>
          </c:val>
        </c:ser>
        <c:dLbls>
          <c:showLegendKey val="0"/>
          <c:showVal val="0"/>
          <c:showCatName val="0"/>
          <c:showSerName val="0"/>
          <c:showPercent val="0"/>
          <c:showBubbleSize val="0"/>
        </c:dLbls>
        <c:gapWidth val="150"/>
        <c:axId val="82795904"/>
        <c:axId val="82809984"/>
      </c:barChart>
      <c:catAx>
        <c:axId val="82795904"/>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900" b="0" i="0" u="none" strike="noStrike" baseline="0">
                <a:solidFill>
                  <a:srgbClr val="000000"/>
                </a:solidFill>
                <a:latin typeface="Arial"/>
                <a:ea typeface="Arial"/>
                <a:cs typeface="Arial"/>
              </a:defRPr>
            </a:pPr>
            <a:endParaRPr lang="en-US"/>
          </a:p>
        </c:txPr>
        <c:crossAx val="82809984"/>
        <c:crossesAt val="0"/>
        <c:auto val="1"/>
        <c:lblAlgn val="ctr"/>
        <c:lblOffset val="100"/>
        <c:tickLblSkip val="1"/>
        <c:tickMarkSkip val="1"/>
        <c:noMultiLvlLbl val="0"/>
      </c:catAx>
      <c:valAx>
        <c:axId val="82809984"/>
        <c:scaling>
          <c:orientation val="minMax"/>
          <c:max val="100"/>
          <c:min val="0"/>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82795904"/>
        <c:crosses val="autoZero"/>
        <c:crossBetween val="between"/>
        <c:majorUnit val="20"/>
        <c:minorUnit val="4"/>
      </c:valAx>
      <c:spPr>
        <a:noFill/>
        <a:ln w="3175">
          <a:solidFill>
            <a:srgbClr val="000000"/>
          </a:solidFill>
          <a:prstDash val="solid"/>
        </a:ln>
      </c:spPr>
    </c:plotArea>
    <c:legend>
      <c:legendPos val="t"/>
      <c:layout>
        <c:manualLayout>
          <c:xMode val="edge"/>
          <c:yMode val="edge"/>
          <c:x val="0.1215789953339166"/>
          <c:y val="0.89709948418609831"/>
          <c:w val="0.77594433508311456"/>
          <c:h val="9.7829281095026463E-2"/>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9525">
      <a:noFill/>
    </a:ln>
  </c:spPr>
  <c:txPr>
    <a:bodyPr/>
    <a:lstStyle/>
    <a:p>
      <a:pPr>
        <a:defRPr sz="1475" b="0" i="0" u="none" strike="noStrike" baseline="0">
          <a:solidFill>
            <a:srgbClr val="000000"/>
          </a:solidFill>
          <a:latin typeface="Arial"/>
          <a:ea typeface="Arial"/>
          <a:cs typeface="Aria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166213295082191"/>
          <c:y val="7.7017399852045525E-6"/>
          <c:w val="0.47645879026197885"/>
          <c:h val="0.91624803656299725"/>
        </c:manualLayout>
      </c:layout>
      <c:pieChart>
        <c:varyColors val="0"/>
        <c:ser>
          <c:idx val="0"/>
          <c:order val="0"/>
          <c:tx>
            <c:strRef>
              <c:f>'Chapter 5'!$C$3</c:f>
              <c:strCache>
                <c:ptCount val="1"/>
                <c:pt idx="0">
                  <c:v>Revenue ($A million)</c:v>
                </c:pt>
              </c:strCache>
            </c:strRef>
          </c:tx>
          <c:dPt>
            <c:idx val="0"/>
            <c:bubble3D val="0"/>
            <c:spPr>
              <a:pattFill prst="plaid">
                <a:fgClr>
                  <a:srgbClr val="4BACC6">
                    <a:lumMod val="40000"/>
                    <a:lumOff val="60000"/>
                  </a:srgbClr>
                </a:fgClr>
                <a:bgClr>
                  <a:sysClr val="window" lastClr="FFFFFF"/>
                </a:bgClr>
              </a:pattFill>
            </c:spPr>
          </c:dPt>
          <c:dPt>
            <c:idx val="1"/>
            <c:bubble3D val="0"/>
            <c:spPr>
              <a:pattFill prst="ltVert">
                <a:fgClr>
                  <a:srgbClr val="EEECE1">
                    <a:lumMod val="75000"/>
                  </a:srgbClr>
                </a:fgClr>
                <a:bgClr>
                  <a:sysClr val="window" lastClr="FFFFFF"/>
                </a:bgClr>
              </a:pattFill>
            </c:spPr>
          </c:dPt>
          <c:dPt>
            <c:idx val="2"/>
            <c:bubble3D val="0"/>
          </c:dPt>
          <c:dPt>
            <c:idx val="3"/>
            <c:bubble3D val="0"/>
            <c:spPr>
              <a:pattFill prst="pct70">
                <a:fgClr>
                  <a:srgbClr val="F79646">
                    <a:lumMod val="60000"/>
                    <a:lumOff val="40000"/>
                  </a:srgbClr>
                </a:fgClr>
                <a:bgClr>
                  <a:sysClr val="window" lastClr="FFFFFF"/>
                </a:bgClr>
              </a:pattFill>
            </c:spPr>
          </c:dPt>
          <c:dLbls>
            <c:dLbl>
              <c:idx val="0"/>
              <c:layout>
                <c:manualLayout>
                  <c:x val="-1.1489967361746072E-3"/>
                  <c:y val="2.3626716786420972E-2"/>
                </c:manualLayout>
              </c:layout>
              <c:showLegendKey val="0"/>
              <c:showVal val="0"/>
              <c:showCatName val="1"/>
              <c:showSerName val="0"/>
              <c:showPercent val="1"/>
              <c:showBubbleSize val="0"/>
            </c:dLbl>
            <c:dLbl>
              <c:idx val="1"/>
              <c:layout>
                <c:manualLayout>
                  <c:x val="3.5373889988666862E-3"/>
                  <c:y val="6.2308038033422247E-2"/>
                </c:manualLayout>
              </c:layout>
              <c:showLegendKey val="0"/>
              <c:showVal val="0"/>
              <c:showCatName val="1"/>
              <c:showSerName val="0"/>
              <c:showPercent val="1"/>
              <c:showBubbleSize val="0"/>
            </c:dLbl>
            <c:dLbl>
              <c:idx val="2"/>
              <c:layout>
                <c:manualLayout>
                  <c:x val="-2.6871077417464869E-3"/>
                  <c:y val="1.9773955238545516E-2"/>
                </c:manualLayout>
              </c:layout>
              <c:showLegendKey val="0"/>
              <c:showVal val="0"/>
              <c:showCatName val="1"/>
              <c:showSerName val="0"/>
              <c:showPercent val="1"/>
              <c:showBubbleSize val="0"/>
            </c:dLbl>
            <c:dLbl>
              <c:idx val="3"/>
              <c:layout>
                <c:manualLayout>
                  <c:x val="-6.9473319780912396E-2"/>
                  <c:y val="-8.1981208983421178E-2"/>
                </c:manualLayout>
              </c:layout>
              <c:showLegendKey val="0"/>
              <c:showVal val="0"/>
              <c:showCatName val="1"/>
              <c:showSerName val="0"/>
              <c:showPercent val="1"/>
              <c:showBubbleSize val="0"/>
            </c:dLbl>
            <c:showLegendKey val="0"/>
            <c:showVal val="0"/>
            <c:showCatName val="1"/>
            <c:showSerName val="0"/>
            <c:showPercent val="1"/>
            <c:showBubbleSize val="0"/>
            <c:showLeaderLines val="0"/>
          </c:dLbls>
          <c:cat>
            <c:strRef>
              <c:f>'Chapter 5'!$B$4:$B$7</c:f>
              <c:strCache>
                <c:ptCount val="4"/>
                <c:pt idx="0">
                  <c:v>Fees and charges </c:v>
                </c:pt>
                <c:pt idx="1">
                  <c:v>Rent</c:v>
                </c:pt>
                <c:pt idx="2">
                  <c:v>Royalty</c:v>
                </c:pt>
                <c:pt idx="3">
                  <c:v>Mine Stability Levy</c:v>
                </c:pt>
              </c:strCache>
            </c:strRef>
          </c:cat>
          <c:val>
            <c:numRef>
              <c:f>'Chapter 5'!$C$4:$C$7</c:f>
              <c:numCache>
                <c:formatCode>General</c:formatCode>
                <c:ptCount val="4"/>
                <c:pt idx="0">
                  <c:v>1.1000000000000001</c:v>
                </c:pt>
                <c:pt idx="1">
                  <c:v>2.6</c:v>
                </c:pt>
                <c:pt idx="2">
                  <c:v>45.1</c:v>
                </c:pt>
                <c:pt idx="3">
                  <c:v>1.3</c:v>
                </c:pt>
              </c:numCache>
            </c:numRef>
          </c:val>
        </c:ser>
        <c:dLbls>
          <c:showLegendKey val="0"/>
          <c:showVal val="0"/>
          <c:showCatName val="1"/>
          <c:showSerName val="0"/>
          <c:showPercent val="1"/>
          <c:showBubbleSize val="0"/>
          <c:showLeaderLines val="0"/>
        </c:dLbls>
        <c:firstSliceAng val="60"/>
      </c:pieChart>
      <c:spPr>
        <a:noFill/>
        <a:ln w="25400">
          <a:noFill/>
        </a:ln>
      </c:spPr>
    </c:plotArea>
    <c:plotVisOnly val="1"/>
    <c:dispBlanksAs val="zero"/>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0"/>
        <c:ser>
          <c:idx val="0"/>
          <c:order val="0"/>
          <c:tx>
            <c:strRef>
              <c:f>'Chapter 5'!$C$22</c:f>
              <c:strCache>
                <c:ptCount val="1"/>
                <c:pt idx="0">
                  <c:v>Royalties ($A million)</c:v>
                </c:pt>
              </c:strCache>
            </c:strRef>
          </c:tx>
          <c:dPt>
            <c:idx val="0"/>
            <c:bubble3D val="0"/>
          </c:dPt>
          <c:dPt>
            <c:idx val="1"/>
            <c:bubble3D val="0"/>
            <c:spPr>
              <a:pattFill prst="pct60">
                <a:fgClr>
                  <a:srgbClr val="EEECE1">
                    <a:lumMod val="75000"/>
                  </a:srgbClr>
                </a:fgClr>
                <a:bgClr>
                  <a:sysClr val="window" lastClr="FFFFFF"/>
                </a:bgClr>
              </a:pattFill>
            </c:spPr>
          </c:dPt>
          <c:dPt>
            <c:idx val="2"/>
            <c:bubble3D val="0"/>
          </c:dPt>
          <c:cat>
            <c:strRef>
              <c:f>'Chapter 5'!$B$23:$B$25</c:f>
              <c:strCache>
                <c:ptCount val="3"/>
                <c:pt idx="0">
                  <c:v>Mining</c:v>
                </c:pt>
                <c:pt idx="1">
                  <c:v>Extractive</c:v>
                </c:pt>
                <c:pt idx="2">
                  <c:v>Petroleum (Onshore)*</c:v>
                </c:pt>
              </c:strCache>
            </c:strRef>
          </c:cat>
          <c:val>
            <c:numRef>
              <c:f>'Chapter 5'!$C$23:$C$25</c:f>
              <c:numCache>
                <c:formatCode>General</c:formatCode>
                <c:ptCount val="3"/>
                <c:pt idx="0">
                  <c:v>40.6</c:v>
                </c:pt>
                <c:pt idx="1">
                  <c:v>4.4000000000000004</c:v>
                </c:pt>
                <c:pt idx="2">
                  <c:v>0.1</c:v>
                </c:pt>
              </c:numCache>
            </c:numRef>
          </c:val>
        </c:ser>
        <c:dLbls>
          <c:showLegendKey val="0"/>
          <c:showVal val="0"/>
          <c:showCatName val="1"/>
          <c:showSerName val="0"/>
          <c:showPercent val="1"/>
          <c:showBubbleSize val="0"/>
          <c:showLeaderLines val="0"/>
        </c:dLbls>
        <c:firstSliceAng val="120"/>
      </c:pieChart>
    </c:plotArea>
    <c:plotVisOnly val="1"/>
    <c:dispBlanksAs val="zero"/>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'Chapter 5'!$C$48</c:f>
              <c:strCache>
                <c:ptCount val="1"/>
                <c:pt idx="0">
                  <c:v>Exploration Licence</c:v>
                </c:pt>
              </c:strCache>
            </c:strRef>
          </c:tx>
          <c:invertIfNegative val="0"/>
          <c:cat>
            <c:strRef>
              <c:f>'Chapter 5'!$B$49:$B$56</c:f>
              <c:strCache>
                <c:ptCount val="8"/>
                <c:pt idx="0">
                  <c:v>2006/07</c:v>
                </c:pt>
                <c:pt idx="1">
                  <c:v>2007/08</c:v>
                </c:pt>
                <c:pt idx="2">
                  <c:v>2008/09</c:v>
                </c:pt>
                <c:pt idx="3">
                  <c:v>2009/10</c:v>
                </c:pt>
                <c:pt idx="4">
                  <c:v>2010/11</c:v>
                </c:pt>
                <c:pt idx="5">
                  <c:v>2011/12</c:v>
                </c:pt>
                <c:pt idx="6">
                  <c:v>2012/13</c:v>
                </c:pt>
                <c:pt idx="7">
                  <c:v>2013/14</c:v>
                </c:pt>
              </c:strCache>
            </c:strRef>
          </c:cat>
          <c:val>
            <c:numRef>
              <c:f>'Chapter 5'!$C$49:$C$56</c:f>
              <c:numCache>
                <c:formatCode>General</c:formatCode>
                <c:ptCount val="8"/>
                <c:pt idx="0">
                  <c:v>2.8</c:v>
                </c:pt>
                <c:pt idx="1">
                  <c:v>3.1</c:v>
                </c:pt>
                <c:pt idx="2">
                  <c:v>2</c:v>
                </c:pt>
                <c:pt idx="3">
                  <c:v>2.2999999999999998</c:v>
                </c:pt>
                <c:pt idx="4">
                  <c:v>1.9</c:v>
                </c:pt>
                <c:pt idx="5">
                  <c:v>2.5</c:v>
                </c:pt>
                <c:pt idx="6">
                  <c:v>2.4</c:v>
                </c:pt>
                <c:pt idx="7" formatCode="0.0">
                  <c:v>2.101</c:v>
                </c:pt>
              </c:numCache>
            </c:numRef>
          </c:val>
        </c:ser>
        <c:ser>
          <c:idx val="1"/>
          <c:order val="1"/>
          <c:tx>
            <c:strRef>
              <c:f>'Chapter 5'!$D$48</c:f>
              <c:strCache>
                <c:ptCount val="1"/>
                <c:pt idx="0">
                  <c:v>Mining Licence </c:v>
                </c:pt>
              </c:strCache>
            </c:strRef>
          </c:tx>
          <c:spPr>
            <a:pattFill prst="pct25">
              <a:fgClr>
                <a:srgbClr val="F79646">
                  <a:lumMod val="60000"/>
                  <a:lumOff val="40000"/>
                </a:srgbClr>
              </a:fgClr>
              <a:bgClr>
                <a:sysClr val="window" lastClr="FFFFFF"/>
              </a:bgClr>
            </a:pattFill>
          </c:spPr>
          <c:invertIfNegative val="0"/>
          <c:cat>
            <c:strRef>
              <c:f>'Chapter 5'!$B$49:$B$56</c:f>
              <c:strCache>
                <c:ptCount val="8"/>
                <c:pt idx="0">
                  <c:v>2006/07</c:v>
                </c:pt>
                <c:pt idx="1">
                  <c:v>2007/08</c:v>
                </c:pt>
                <c:pt idx="2">
                  <c:v>2008/09</c:v>
                </c:pt>
                <c:pt idx="3">
                  <c:v>2009/10</c:v>
                </c:pt>
                <c:pt idx="4">
                  <c:v>2010/11</c:v>
                </c:pt>
                <c:pt idx="5">
                  <c:v>2011/12</c:v>
                </c:pt>
                <c:pt idx="6">
                  <c:v>2012/13</c:v>
                </c:pt>
                <c:pt idx="7">
                  <c:v>2013/14</c:v>
                </c:pt>
              </c:strCache>
            </c:strRef>
          </c:cat>
          <c:val>
            <c:numRef>
              <c:f>'Chapter 5'!$D$49:$D$56</c:f>
              <c:numCache>
                <c:formatCode>General</c:formatCode>
                <c:ptCount val="8"/>
                <c:pt idx="0">
                  <c:v>73.7</c:v>
                </c:pt>
                <c:pt idx="1">
                  <c:v>75.599999999999994</c:v>
                </c:pt>
                <c:pt idx="2">
                  <c:v>97.1</c:v>
                </c:pt>
                <c:pt idx="3">
                  <c:v>103.7</c:v>
                </c:pt>
                <c:pt idx="4">
                  <c:v>122.1</c:v>
                </c:pt>
                <c:pt idx="5">
                  <c:v>156.9</c:v>
                </c:pt>
                <c:pt idx="6">
                  <c:v>158.30000000000001</c:v>
                </c:pt>
                <c:pt idx="7" formatCode="0.0">
                  <c:v>183.37565599999999</c:v>
                </c:pt>
              </c:numCache>
            </c:numRef>
          </c:val>
        </c:ser>
        <c:ser>
          <c:idx val="2"/>
          <c:order val="2"/>
          <c:tx>
            <c:strRef>
              <c:f>'Chapter 5'!$E$48</c:f>
              <c:strCache>
                <c:ptCount val="1"/>
                <c:pt idx="0">
                  <c:v>Prospecting Licence </c:v>
                </c:pt>
              </c:strCache>
            </c:strRef>
          </c:tx>
          <c:invertIfNegative val="0"/>
          <c:cat>
            <c:strRef>
              <c:f>'Chapter 5'!$B$49:$B$56</c:f>
              <c:strCache>
                <c:ptCount val="8"/>
                <c:pt idx="0">
                  <c:v>2006/07</c:v>
                </c:pt>
                <c:pt idx="1">
                  <c:v>2007/08</c:v>
                </c:pt>
                <c:pt idx="2">
                  <c:v>2008/09</c:v>
                </c:pt>
                <c:pt idx="3">
                  <c:v>2009/10</c:v>
                </c:pt>
                <c:pt idx="4">
                  <c:v>2010/11</c:v>
                </c:pt>
                <c:pt idx="5">
                  <c:v>2011/12</c:v>
                </c:pt>
                <c:pt idx="6">
                  <c:v>2012/13</c:v>
                </c:pt>
                <c:pt idx="7">
                  <c:v>2013/14</c:v>
                </c:pt>
              </c:strCache>
            </c:strRef>
          </c:cat>
          <c:val>
            <c:numRef>
              <c:f>'Chapter 5'!$E$49:$E$56</c:f>
              <c:numCache>
                <c:formatCode>General</c:formatCode>
                <c:ptCount val="8"/>
                <c:pt idx="0">
                  <c:v>0</c:v>
                </c:pt>
                <c:pt idx="1">
                  <c:v>0</c:v>
                </c:pt>
                <c:pt idx="2">
                  <c:v>0</c:v>
                </c:pt>
                <c:pt idx="3">
                  <c:v>0</c:v>
                </c:pt>
                <c:pt idx="4">
                  <c:v>0</c:v>
                </c:pt>
                <c:pt idx="5">
                  <c:v>0</c:v>
                </c:pt>
                <c:pt idx="6">
                  <c:v>2.5000000000000001E-2</c:v>
                </c:pt>
                <c:pt idx="7" formatCode="0.000">
                  <c:v>9.0999999999999998E-2</c:v>
                </c:pt>
              </c:numCache>
            </c:numRef>
          </c:val>
        </c:ser>
        <c:ser>
          <c:idx val="3"/>
          <c:order val="3"/>
          <c:tx>
            <c:strRef>
              <c:f>'Chapter 5'!$G$48</c:f>
              <c:strCache>
                <c:ptCount val="1"/>
                <c:pt idx="0">
                  <c:v>Extractive Industry Work Authority</c:v>
                </c:pt>
              </c:strCache>
            </c:strRef>
          </c:tx>
          <c:spPr>
            <a:pattFill prst="ltHorz">
              <a:fgClr>
                <a:srgbClr val="1F497D">
                  <a:lumMod val="75000"/>
                </a:srgbClr>
              </a:fgClr>
              <a:bgClr>
                <a:sysClr val="window" lastClr="FFFFFF"/>
              </a:bgClr>
            </a:pattFill>
          </c:spPr>
          <c:invertIfNegative val="0"/>
          <c:cat>
            <c:strRef>
              <c:f>'Chapter 5'!$B$49:$B$56</c:f>
              <c:strCache>
                <c:ptCount val="8"/>
                <c:pt idx="0">
                  <c:v>2006/07</c:v>
                </c:pt>
                <c:pt idx="1">
                  <c:v>2007/08</c:v>
                </c:pt>
                <c:pt idx="2">
                  <c:v>2008/09</c:v>
                </c:pt>
                <c:pt idx="3">
                  <c:v>2009/10</c:v>
                </c:pt>
                <c:pt idx="4">
                  <c:v>2010/11</c:v>
                </c:pt>
                <c:pt idx="5">
                  <c:v>2011/12</c:v>
                </c:pt>
                <c:pt idx="6">
                  <c:v>2012/13</c:v>
                </c:pt>
                <c:pt idx="7">
                  <c:v>2013/14</c:v>
                </c:pt>
              </c:strCache>
            </c:strRef>
          </c:cat>
          <c:val>
            <c:numRef>
              <c:f>'Chapter 5'!$G$49:$G$56</c:f>
              <c:numCache>
                <c:formatCode>General</c:formatCode>
                <c:ptCount val="8"/>
                <c:pt idx="0">
                  <c:v>57.5</c:v>
                </c:pt>
                <c:pt idx="1">
                  <c:v>58.8</c:v>
                </c:pt>
                <c:pt idx="2">
                  <c:v>64.900000000000006</c:v>
                </c:pt>
                <c:pt idx="3">
                  <c:v>72.3</c:v>
                </c:pt>
                <c:pt idx="4">
                  <c:v>65</c:v>
                </c:pt>
                <c:pt idx="5">
                  <c:v>80.900000000000006</c:v>
                </c:pt>
                <c:pt idx="6">
                  <c:v>81</c:v>
                </c:pt>
                <c:pt idx="7" formatCode="0.0">
                  <c:v>90.933733000000004</c:v>
                </c:pt>
              </c:numCache>
            </c:numRef>
          </c:val>
        </c:ser>
        <c:ser>
          <c:idx val="4"/>
          <c:order val="4"/>
          <c:tx>
            <c:strRef>
              <c:f>'Chapter 5'!$F$48</c:f>
              <c:strCache>
                <c:ptCount val="1"/>
                <c:pt idx="0">
                  <c:v>Retention Licence </c:v>
                </c:pt>
              </c:strCache>
            </c:strRef>
          </c:tx>
          <c:invertIfNegative val="0"/>
          <c:val>
            <c:numRef>
              <c:f>'Chapter 5'!$F$56</c:f>
              <c:numCache>
                <c:formatCode>0.000</c:formatCode>
                <c:ptCount val="1"/>
                <c:pt idx="0">
                  <c:v>0.01</c:v>
                </c:pt>
              </c:numCache>
            </c:numRef>
          </c:val>
        </c:ser>
        <c:dLbls>
          <c:showLegendKey val="0"/>
          <c:showVal val="0"/>
          <c:showCatName val="0"/>
          <c:showSerName val="0"/>
          <c:showPercent val="0"/>
          <c:showBubbleSize val="0"/>
        </c:dLbls>
        <c:gapWidth val="150"/>
        <c:axId val="82895616"/>
        <c:axId val="82897152"/>
      </c:barChart>
      <c:catAx>
        <c:axId val="82895616"/>
        <c:scaling>
          <c:orientation val="minMax"/>
        </c:scaling>
        <c:delete val="0"/>
        <c:axPos val="b"/>
        <c:numFmt formatCode="mmm\-yy" sourceLinked="1"/>
        <c:majorTickMark val="out"/>
        <c:minorTickMark val="none"/>
        <c:tickLblPos val="nextTo"/>
        <c:crossAx val="82897152"/>
        <c:crosses val="autoZero"/>
        <c:auto val="1"/>
        <c:lblAlgn val="ctr"/>
        <c:lblOffset val="100"/>
        <c:noMultiLvlLbl val="0"/>
      </c:catAx>
      <c:valAx>
        <c:axId val="82897152"/>
        <c:scaling>
          <c:orientation val="minMax"/>
        </c:scaling>
        <c:delete val="0"/>
        <c:axPos val="l"/>
        <c:majorGridlines/>
        <c:numFmt formatCode="General" sourceLinked="1"/>
        <c:majorTickMark val="out"/>
        <c:minorTickMark val="none"/>
        <c:tickLblPos val="nextTo"/>
        <c:crossAx val="82895616"/>
        <c:crosses val="autoZero"/>
        <c:crossBetween val="between"/>
      </c:valAx>
    </c:plotArea>
    <c:legend>
      <c:legendPos val="r"/>
      <c:legendEntry>
        <c:idx val="2"/>
        <c:delete val="1"/>
      </c:legendEntry>
      <c:legendEntry>
        <c:idx val="4"/>
        <c:delete val="1"/>
      </c:legendEntry>
      <c:layout>
        <c:manualLayout>
          <c:xMode val="edge"/>
          <c:yMode val="edge"/>
          <c:x val="0.70682582772306435"/>
          <c:y val="0.22570027704870224"/>
          <c:w val="0.27892685949401097"/>
          <c:h val="0.54396981627296592"/>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79734219269103"/>
          <c:y val="4.2134831460674156E-2"/>
          <c:w val="0.88538205980066442"/>
          <c:h val="0.8707865168539326"/>
        </c:manualLayout>
      </c:layout>
      <c:barChart>
        <c:barDir val="col"/>
        <c:grouping val="clustered"/>
        <c:varyColors val="0"/>
        <c:ser>
          <c:idx val="0"/>
          <c:order val="0"/>
          <c:tx>
            <c:strRef>
              <c:f>'Chapter 3  Types and Area'!$A$4</c:f>
              <c:strCache>
                <c:ptCount val="1"/>
                <c:pt idx="0">
                  <c:v>Exploration Licences</c:v>
                </c:pt>
              </c:strCache>
            </c:strRef>
          </c:tx>
          <c:spPr>
            <a:solidFill>
              <a:schemeClr val="accent6">
                <a:lumMod val="75000"/>
              </a:schemeClr>
            </a:solidFill>
          </c:spPr>
          <c:invertIfNegative val="0"/>
          <c:cat>
            <c:strRef>
              <c:f>'Chapter 3  Types and Area'!$B$3:$I$3</c:f>
              <c:strCache>
                <c:ptCount val="8"/>
                <c:pt idx="0">
                  <c:v>2006/07</c:v>
                </c:pt>
                <c:pt idx="1">
                  <c:v>2007/08</c:v>
                </c:pt>
                <c:pt idx="2">
                  <c:v>2008/09</c:v>
                </c:pt>
                <c:pt idx="3">
                  <c:v>2009/10</c:v>
                </c:pt>
                <c:pt idx="4">
                  <c:v>2010/11</c:v>
                </c:pt>
                <c:pt idx="5">
                  <c:v>2011/12</c:v>
                </c:pt>
                <c:pt idx="6">
                  <c:v>2012/13</c:v>
                </c:pt>
                <c:pt idx="7">
                  <c:v>2013/2014</c:v>
                </c:pt>
              </c:strCache>
            </c:strRef>
          </c:cat>
          <c:val>
            <c:numRef>
              <c:f>'Chapter 3  Types and Area'!$B$4:$I$4</c:f>
              <c:numCache>
                <c:formatCode>General</c:formatCode>
                <c:ptCount val="8"/>
                <c:pt idx="0">
                  <c:v>280</c:v>
                </c:pt>
                <c:pt idx="1">
                  <c:v>326</c:v>
                </c:pt>
                <c:pt idx="2">
                  <c:v>298</c:v>
                </c:pt>
                <c:pt idx="3">
                  <c:v>285</c:v>
                </c:pt>
                <c:pt idx="4">
                  <c:v>302</c:v>
                </c:pt>
                <c:pt idx="5">
                  <c:v>326</c:v>
                </c:pt>
                <c:pt idx="6">
                  <c:v>311</c:v>
                </c:pt>
                <c:pt idx="7">
                  <c:v>271</c:v>
                </c:pt>
              </c:numCache>
            </c:numRef>
          </c:val>
        </c:ser>
        <c:ser>
          <c:idx val="1"/>
          <c:order val="1"/>
          <c:tx>
            <c:strRef>
              <c:f>'Chapter 3  Types and Area'!$A$5</c:f>
              <c:strCache>
                <c:ptCount val="1"/>
                <c:pt idx="0">
                  <c:v>Mining Licences</c:v>
                </c:pt>
              </c:strCache>
            </c:strRef>
          </c:tx>
          <c:spPr>
            <a:solidFill>
              <a:srgbClr val="00B050"/>
            </a:solidFill>
          </c:spPr>
          <c:invertIfNegative val="0"/>
          <c:cat>
            <c:strRef>
              <c:f>'Chapter 3  Types and Area'!$B$3:$I$3</c:f>
              <c:strCache>
                <c:ptCount val="8"/>
                <c:pt idx="0">
                  <c:v>2006/07</c:v>
                </c:pt>
                <c:pt idx="1">
                  <c:v>2007/08</c:v>
                </c:pt>
                <c:pt idx="2">
                  <c:v>2008/09</c:v>
                </c:pt>
                <c:pt idx="3">
                  <c:v>2009/10</c:v>
                </c:pt>
                <c:pt idx="4">
                  <c:v>2010/11</c:v>
                </c:pt>
                <c:pt idx="5">
                  <c:v>2011/12</c:v>
                </c:pt>
                <c:pt idx="6">
                  <c:v>2012/13</c:v>
                </c:pt>
                <c:pt idx="7">
                  <c:v>2013/2014</c:v>
                </c:pt>
              </c:strCache>
            </c:strRef>
          </c:cat>
          <c:val>
            <c:numRef>
              <c:f>'Chapter 3  Types and Area'!$B$5:$I$5</c:f>
              <c:numCache>
                <c:formatCode>General</c:formatCode>
                <c:ptCount val="8"/>
                <c:pt idx="0">
                  <c:v>240</c:v>
                </c:pt>
                <c:pt idx="1">
                  <c:v>236</c:v>
                </c:pt>
                <c:pt idx="2">
                  <c:v>211</c:v>
                </c:pt>
                <c:pt idx="3">
                  <c:v>216</c:v>
                </c:pt>
                <c:pt idx="4">
                  <c:v>218</c:v>
                </c:pt>
                <c:pt idx="5">
                  <c:v>208</c:v>
                </c:pt>
                <c:pt idx="6">
                  <c:v>212</c:v>
                </c:pt>
                <c:pt idx="7">
                  <c:v>191</c:v>
                </c:pt>
              </c:numCache>
            </c:numRef>
          </c:val>
        </c:ser>
        <c:ser>
          <c:idx val="2"/>
          <c:order val="2"/>
          <c:tx>
            <c:strRef>
              <c:f>'Chapter 3  Types and Area'!$A$6</c:f>
              <c:strCache>
                <c:ptCount val="1"/>
                <c:pt idx="0">
                  <c:v>Prospecting Licences</c:v>
                </c:pt>
              </c:strCache>
            </c:strRef>
          </c:tx>
          <c:spPr>
            <a:solidFill>
              <a:srgbClr val="7030A0"/>
            </a:solidFill>
          </c:spPr>
          <c:invertIfNegative val="0"/>
          <c:cat>
            <c:strRef>
              <c:f>'Chapter 3  Types and Area'!$B$3:$I$3</c:f>
              <c:strCache>
                <c:ptCount val="8"/>
                <c:pt idx="0">
                  <c:v>2006/07</c:v>
                </c:pt>
                <c:pt idx="1">
                  <c:v>2007/08</c:v>
                </c:pt>
                <c:pt idx="2">
                  <c:v>2008/09</c:v>
                </c:pt>
                <c:pt idx="3">
                  <c:v>2009/10</c:v>
                </c:pt>
                <c:pt idx="4">
                  <c:v>2010/11</c:v>
                </c:pt>
                <c:pt idx="5">
                  <c:v>2011/12</c:v>
                </c:pt>
                <c:pt idx="6">
                  <c:v>2012/13</c:v>
                </c:pt>
                <c:pt idx="7">
                  <c:v>2013/2014</c:v>
                </c:pt>
              </c:strCache>
            </c:strRef>
          </c:cat>
          <c:val>
            <c:numRef>
              <c:f>'Chapter 3  Types and Area'!$B$6:$I$6</c:f>
              <c:numCache>
                <c:formatCode>0</c:formatCode>
                <c:ptCount val="8"/>
                <c:pt idx="0">
                  <c:v>0</c:v>
                </c:pt>
                <c:pt idx="1">
                  <c:v>0</c:v>
                </c:pt>
                <c:pt idx="2">
                  <c:v>0</c:v>
                </c:pt>
                <c:pt idx="3">
                  <c:v>0</c:v>
                </c:pt>
                <c:pt idx="4">
                  <c:v>0</c:v>
                </c:pt>
                <c:pt idx="5">
                  <c:v>1</c:v>
                </c:pt>
                <c:pt idx="6">
                  <c:v>13</c:v>
                </c:pt>
                <c:pt idx="7">
                  <c:v>31</c:v>
                </c:pt>
              </c:numCache>
            </c:numRef>
          </c:val>
        </c:ser>
        <c:ser>
          <c:idx val="3"/>
          <c:order val="3"/>
          <c:tx>
            <c:strRef>
              <c:f>'Chapter 3  Types and Area'!$A$7</c:f>
              <c:strCache>
                <c:ptCount val="1"/>
                <c:pt idx="0">
                  <c:v>Retention Licences</c:v>
                </c:pt>
              </c:strCache>
            </c:strRef>
          </c:tx>
          <c:invertIfNegative val="0"/>
          <c:cat>
            <c:strRef>
              <c:f>'Chapter 3  Types and Area'!$B$3:$I$3</c:f>
              <c:strCache>
                <c:ptCount val="8"/>
                <c:pt idx="0">
                  <c:v>2006/07</c:v>
                </c:pt>
                <c:pt idx="1">
                  <c:v>2007/08</c:v>
                </c:pt>
                <c:pt idx="2">
                  <c:v>2008/09</c:v>
                </c:pt>
                <c:pt idx="3">
                  <c:v>2009/10</c:v>
                </c:pt>
                <c:pt idx="4">
                  <c:v>2010/11</c:v>
                </c:pt>
                <c:pt idx="5">
                  <c:v>2011/12</c:v>
                </c:pt>
                <c:pt idx="6">
                  <c:v>2012/13</c:v>
                </c:pt>
                <c:pt idx="7">
                  <c:v>2013/2014</c:v>
                </c:pt>
              </c:strCache>
            </c:strRef>
          </c:cat>
          <c:val>
            <c:numRef>
              <c:f>'Chapter 3  Types and Area'!$B$7:$I$7</c:f>
              <c:numCache>
                <c:formatCode>0</c:formatCode>
                <c:ptCount val="8"/>
                <c:pt idx="0">
                  <c:v>0</c:v>
                </c:pt>
                <c:pt idx="1">
                  <c:v>0</c:v>
                </c:pt>
                <c:pt idx="2">
                  <c:v>0</c:v>
                </c:pt>
                <c:pt idx="3">
                  <c:v>0</c:v>
                </c:pt>
                <c:pt idx="4">
                  <c:v>0</c:v>
                </c:pt>
                <c:pt idx="5">
                  <c:v>0</c:v>
                </c:pt>
                <c:pt idx="6">
                  <c:v>0</c:v>
                </c:pt>
                <c:pt idx="7">
                  <c:v>1</c:v>
                </c:pt>
              </c:numCache>
            </c:numRef>
          </c:val>
        </c:ser>
        <c:dLbls>
          <c:showLegendKey val="0"/>
          <c:showVal val="0"/>
          <c:showCatName val="0"/>
          <c:showSerName val="0"/>
          <c:showPercent val="0"/>
          <c:showBubbleSize val="0"/>
        </c:dLbls>
        <c:gapWidth val="150"/>
        <c:axId val="80359808"/>
        <c:axId val="80361344"/>
      </c:barChart>
      <c:catAx>
        <c:axId val="80359808"/>
        <c:scaling>
          <c:orientation val="minMax"/>
        </c:scaling>
        <c:delete val="0"/>
        <c:axPos val="b"/>
        <c:numFmt formatCode="0;[Red]0" sourceLinked="0"/>
        <c:majorTickMark val="out"/>
        <c:minorTickMark val="none"/>
        <c:tickLblPos val="nextTo"/>
        <c:txPr>
          <a:bodyPr rot="0" vert="horz"/>
          <a:lstStyle/>
          <a:p>
            <a:pPr>
              <a:defRPr/>
            </a:pPr>
            <a:endParaRPr lang="en-US"/>
          </a:p>
        </c:txPr>
        <c:crossAx val="80361344"/>
        <c:crosses val="autoZero"/>
        <c:auto val="1"/>
        <c:lblAlgn val="ctr"/>
        <c:lblOffset val="100"/>
        <c:tickLblSkip val="1"/>
        <c:tickMarkSkip val="1"/>
        <c:noMultiLvlLbl val="0"/>
      </c:catAx>
      <c:valAx>
        <c:axId val="80361344"/>
        <c:scaling>
          <c:orientation val="minMax"/>
        </c:scaling>
        <c:delete val="0"/>
        <c:axPos val="l"/>
        <c:title>
          <c:tx>
            <c:rich>
              <a:bodyPr/>
              <a:lstStyle/>
              <a:p>
                <a:pPr>
                  <a:defRPr/>
                </a:pPr>
                <a:r>
                  <a:rPr lang="en-AU"/>
                  <a:t>Number of Licences</a:t>
                </a:r>
              </a:p>
            </c:rich>
          </c:tx>
          <c:layout>
            <c:manualLayout>
              <c:xMode val="edge"/>
              <c:yMode val="edge"/>
              <c:x val="8.3056478405315621E-3"/>
              <c:y val="0.31741573033707865"/>
            </c:manualLayout>
          </c:layout>
          <c:overlay val="0"/>
        </c:title>
        <c:numFmt formatCode="General" sourceLinked="1"/>
        <c:majorTickMark val="out"/>
        <c:minorTickMark val="none"/>
        <c:tickLblPos val="nextTo"/>
        <c:txPr>
          <a:bodyPr rot="0" vert="horz"/>
          <a:lstStyle/>
          <a:p>
            <a:pPr>
              <a:defRPr/>
            </a:pPr>
            <a:endParaRPr lang="en-US"/>
          </a:p>
        </c:txPr>
        <c:crossAx val="80359808"/>
        <c:crosses val="autoZero"/>
        <c:crossBetween val="between"/>
      </c:valAx>
    </c:plotArea>
    <c:legend>
      <c:legendPos val="r"/>
      <c:layout>
        <c:manualLayout>
          <c:xMode val="edge"/>
          <c:yMode val="edge"/>
          <c:x val="0.12225696195243485"/>
          <c:y val="0"/>
          <c:w val="0.87774303804756515"/>
          <c:h val="0.1340565038065894"/>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6505902033315272E-2"/>
          <c:y val="4.2553246749873708E-2"/>
          <c:w val="0.90349417637271212"/>
          <c:h val="0.87411459205897135"/>
        </c:manualLayout>
      </c:layout>
      <c:barChart>
        <c:barDir val="col"/>
        <c:grouping val="clustered"/>
        <c:varyColors val="0"/>
        <c:ser>
          <c:idx val="0"/>
          <c:order val="0"/>
          <c:tx>
            <c:strRef>
              <c:f>'Chapter 3 Licence Grants'!$A$14</c:f>
              <c:strCache>
                <c:ptCount val="1"/>
                <c:pt idx="0">
                  <c:v>Exploration Licences Granted</c:v>
                </c:pt>
              </c:strCache>
            </c:strRef>
          </c:tx>
          <c:spPr>
            <a:solidFill>
              <a:srgbClr val="339966"/>
            </a:solidFill>
            <a:ln w="25400">
              <a:noFill/>
            </a:ln>
          </c:spPr>
          <c:invertIfNegative val="0"/>
          <c:cat>
            <c:strRef>
              <c:f>'Chapter 3 Licence Grants'!$B$13:$I$13</c:f>
              <c:strCache>
                <c:ptCount val="8"/>
                <c:pt idx="0">
                  <c:v>2006/07</c:v>
                </c:pt>
                <c:pt idx="1">
                  <c:v>2007/08</c:v>
                </c:pt>
                <c:pt idx="2">
                  <c:v>2008/09</c:v>
                </c:pt>
                <c:pt idx="3">
                  <c:v>2009/10</c:v>
                </c:pt>
                <c:pt idx="4">
                  <c:v>2010/11</c:v>
                </c:pt>
                <c:pt idx="5">
                  <c:v>2011/12</c:v>
                </c:pt>
                <c:pt idx="6">
                  <c:v>2012/13</c:v>
                </c:pt>
                <c:pt idx="7">
                  <c:v>2013/14</c:v>
                </c:pt>
              </c:strCache>
            </c:strRef>
          </c:cat>
          <c:val>
            <c:numRef>
              <c:f>'Chapter 3 Licence Grants'!$B$14:$I$14</c:f>
              <c:numCache>
                <c:formatCode>General</c:formatCode>
                <c:ptCount val="8"/>
                <c:pt idx="0">
                  <c:v>89</c:v>
                </c:pt>
                <c:pt idx="1">
                  <c:v>91</c:v>
                </c:pt>
                <c:pt idx="2">
                  <c:v>57</c:v>
                </c:pt>
                <c:pt idx="3">
                  <c:v>61</c:v>
                </c:pt>
                <c:pt idx="4">
                  <c:v>73</c:v>
                </c:pt>
                <c:pt idx="5">
                  <c:v>62</c:v>
                </c:pt>
                <c:pt idx="6">
                  <c:v>41</c:v>
                </c:pt>
                <c:pt idx="7">
                  <c:v>37</c:v>
                </c:pt>
              </c:numCache>
            </c:numRef>
          </c:val>
        </c:ser>
        <c:ser>
          <c:idx val="1"/>
          <c:order val="1"/>
          <c:tx>
            <c:strRef>
              <c:f>'Chapter 3 Licence Grants'!$A$15</c:f>
              <c:strCache>
                <c:ptCount val="1"/>
                <c:pt idx="0">
                  <c:v>Exploration Licences Renewed</c:v>
                </c:pt>
              </c:strCache>
            </c:strRef>
          </c:tx>
          <c:spPr>
            <a:pattFill prst="pct60">
              <a:fgClr>
                <a:srgbClr val="1F497D">
                  <a:lumMod val="75000"/>
                </a:srgbClr>
              </a:fgClr>
              <a:bgClr>
                <a:sysClr val="window" lastClr="FFFFFF"/>
              </a:bgClr>
            </a:pattFill>
            <a:ln w="25400">
              <a:noFill/>
            </a:ln>
          </c:spPr>
          <c:invertIfNegative val="0"/>
          <c:cat>
            <c:strRef>
              <c:f>'Chapter 3 Licence Grants'!$B$13:$I$13</c:f>
              <c:strCache>
                <c:ptCount val="8"/>
                <c:pt idx="0">
                  <c:v>2006/07</c:v>
                </c:pt>
                <c:pt idx="1">
                  <c:v>2007/08</c:v>
                </c:pt>
                <c:pt idx="2">
                  <c:v>2008/09</c:v>
                </c:pt>
                <c:pt idx="3">
                  <c:v>2009/10</c:v>
                </c:pt>
                <c:pt idx="4">
                  <c:v>2010/11</c:v>
                </c:pt>
                <c:pt idx="5">
                  <c:v>2011/12</c:v>
                </c:pt>
                <c:pt idx="6">
                  <c:v>2012/13</c:v>
                </c:pt>
                <c:pt idx="7">
                  <c:v>2013/14</c:v>
                </c:pt>
              </c:strCache>
            </c:strRef>
          </c:cat>
          <c:val>
            <c:numRef>
              <c:f>'Chapter 3 Licence Grants'!$B$15:$I$15</c:f>
              <c:numCache>
                <c:formatCode>General</c:formatCode>
                <c:ptCount val="8"/>
                <c:pt idx="0">
                  <c:v>59</c:v>
                </c:pt>
                <c:pt idx="1">
                  <c:v>58</c:v>
                </c:pt>
                <c:pt idx="2">
                  <c:v>51</c:v>
                </c:pt>
                <c:pt idx="3">
                  <c:v>55</c:v>
                </c:pt>
                <c:pt idx="4">
                  <c:v>60</c:v>
                </c:pt>
                <c:pt idx="5">
                  <c:v>74</c:v>
                </c:pt>
                <c:pt idx="6">
                  <c:v>52</c:v>
                </c:pt>
                <c:pt idx="7">
                  <c:v>57</c:v>
                </c:pt>
              </c:numCache>
            </c:numRef>
          </c:val>
        </c:ser>
        <c:dLbls>
          <c:showLegendKey val="0"/>
          <c:showVal val="0"/>
          <c:showCatName val="0"/>
          <c:showSerName val="0"/>
          <c:showPercent val="0"/>
          <c:showBubbleSize val="0"/>
        </c:dLbls>
        <c:gapWidth val="150"/>
        <c:axId val="80378496"/>
        <c:axId val="80384384"/>
      </c:barChart>
      <c:catAx>
        <c:axId val="803784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0384384"/>
        <c:crosses val="autoZero"/>
        <c:auto val="1"/>
        <c:lblAlgn val="ctr"/>
        <c:lblOffset val="100"/>
        <c:tickLblSkip val="1"/>
        <c:tickMarkSkip val="1"/>
        <c:noMultiLvlLbl val="0"/>
      </c:catAx>
      <c:valAx>
        <c:axId val="80384384"/>
        <c:scaling>
          <c:orientation val="minMax"/>
        </c:scaling>
        <c:delete val="0"/>
        <c:axPos val="l"/>
        <c:title>
          <c:tx>
            <c:rich>
              <a:bodyPr/>
              <a:lstStyle/>
              <a:p>
                <a:pPr>
                  <a:defRPr sz="900" b="0" i="0" u="none" strike="noStrike" baseline="0">
                    <a:solidFill>
                      <a:srgbClr val="000000"/>
                    </a:solidFill>
                    <a:latin typeface="Arial"/>
                    <a:ea typeface="Arial"/>
                    <a:cs typeface="Arial"/>
                  </a:defRPr>
                </a:pPr>
                <a:r>
                  <a:rPr lang="en-AU"/>
                  <a:t>Number of Licences</a:t>
                </a:r>
              </a:p>
            </c:rich>
          </c:tx>
          <c:layout>
            <c:manualLayout>
              <c:xMode val="edge"/>
              <c:yMode val="edge"/>
              <c:x val="1.3311148086522463E-2"/>
              <c:y val="0.3297877924833863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0378496"/>
        <c:crosses val="autoZero"/>
        <c:crossBetween val="between"/>
      </c:valAx>
    </c:plotArea>
    <c:legend>
      <c:legendPos val="r"/>
      <c:layout>
        <c:manualLayout>
          <c:xMode val="edge"/>
          <c:yMode val="edge"/>
          <c:x val="0.33412681858476306"/>
          <c:y val="4.7872200412988723E-2"/>
          <c:w val="0.33879781420765026"/>
          <c:h val="0.13211072453152659"/>
        </c:manualLayout>
      </c:layout>
      <c:overlay val="0"/>
      <c:spPr>
        <a:solidFill>
          <a:srgbClr val="FFFFFF"/>
        </a:solidFill>
        <a:ln w="25400">
          <a:noFill/>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pattFill prst="pct5">
      <a:fgClr>
        <a:srgbClr val="FFFFFF"/>
      </a:fgClr>
      <a:bgClr>
        <a:sysClr val="window" lastClr="FFFFFF"/>
      </a:bgClr>
    </a:pattFill>
    <a:ln w="9525">
      <a:noFill/>
    </a:ln>
  </c:spPr>
  <c:txPr>
    <a:bodyPr/>
    <a:lstStyle/>
    <a:p>
      <a:pPr>
        <a:defRPr sz="1200" b="0" i="0" u="none" strike="noStrike" baseline="0">
          <a:solidFill>
            <a:srgbClr val="000000"/>
          </a:solidFill>
          <a:latin typeface="Arial"/>
          <a:ea typeface="Arial"/>
          <a:cs typeface="Aria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8006644518272429E-2"/>
          <c:y val="3.7500045776423067E-2"/>
          <c:w val="0.89534883720930236"/>
          <c:h val="0.88500132006591226"/>
        </c:manualLayout>
      </c:layout>
      <c:barChart>
        <c:barDir val="col"/>
        <c:grouping val="clustered"/>
        <c:varyColors val="0"/>
        <c:ser>
          <c:idx val="0"/>
          <c:order val="0"/>
          <c:tx>
            <c:strRef>
              <c:f>'Chapter 3 Licence Grants'!$A$17</c:f>
              <c:strCache>
                <c:ptCount val="1"/>
                <c:pt idx="0">
                  <c:v>Mining Licences Granted</c:v>
                </c:pt>
              </c:strCache>
            </c:strRef>
          </c:tx>
          <c:spPr>
            <a:solidFill>
              <a:srgbClr val="339966"/>
            </a:solidFill>
            <a:ln w="25400">
              <a:noFill/>
            </a:ln>
          </c:spPr>
          <c:invertIfNegative val="0"/>
          <c:cat>
            <c:strRef>
              <c:f>'Chapter 3 Licence Grants'!$B$13:$I$13</c:f>
              <c:strCache>
                <c:ptCount val="8"/>
                <c:pt idx="0">
                  <c:v>2006/07</c:v>
                </c:pt>
                <c:pt idx="1">
                  <c:v>2007/08</c:v>
                </c:pt>
                <c:pt idx="2">
                  <c:v>2008/09</c:v>
                </c:pt>
                <c:pt idx="3">
                  <c:v>2009/10</c:v>
                </c:pt>
                <c:pt idx="4">
                  <c:v>2010/11</c:v>
                </c:pt>
                <c:pt idx="5">
                  <c:v>2011/12</c:v>
                </c:pt>
                <c:pt idx="6">
                  <c:v>2012/13</c:v>
                </c:pt>
                <c:pt idx="7">
                  <c:v>2013/14</c:v>
                </c:pt>
              </c:strCache>
            </c:strRef>
          </c:cat>
          <c:val>
            <c:numRef>
              <c:f>'Chapter 3 Licence Grants'!$B$17:$I$17</c:f>
              <c:numCache>
                <c:formatCode>General</c:formatCode>
                <c:ptCount val="8"/>
                <c:pt idx="0">
                  <c:v>19</c:v>
                </c:pt>
                <c:pt idx="1">
                  <c:v>11</c:v>
                </c:pt>
                <c:pt idx="2">
                  <c:v>14</c:v>
                </c:pt>
                <c:pt idx="3">
                  <c:v>15</c:v>
                </c:pt>
                <c:pt idx="4">
                  <c:v>20</c:v>
                </c:pt>
                <c:pt idx="5">
                  <c:v>12</c:v>
                </c:pt>
                <c:pt idx="6">
                  <c:v>11</c:v>
                </c:pt>
                <c:pt idx="7">
                  <c:v>9</c:v>
                </c:pt>
              </c:numCache>
            </c:numRef>
          </c:val>
        </c:ser>
        <c:ser>
          <c:idx val="1"/>
          <c:order val="1"/>
          <c:tx>
            <c:strRef>
              <c:f>'Chapter 3 Licence Grants'!$A$18</c:f>
              <c:strCache>
                <c:ptCount val="1"/>
                <c:pt idx="0">
                  <c:v>Mining Licences Renewed</c:v>
                </c:pt>
              </c:strCache>
            </c:strRef>
          </c:tx>
          <c:spPr>
            <a:pattFill prst="pct60">
              <a:fgClr>
                <a:srgbClr val="1F497D">
                  <a:lumMod val="75000"/>
                </a:srgbClr>
              </a:fgClr>
              <a:bgClr>
                <a:sysClr val="window" lastClr="FFFFFF"/>
              </a:bgClr>
            </a:pattFill>
            <a:ln w="25400">
              <a:noFill/>
            </a:ln>
          </c:spPr>
          <c:invertIfNegative val="0"/>
          <c:cat>
            <c:strRef>
              <c:f>'Chapter 3 Licence Grants'!$B$13:$I$13</c:f>
              <c:strCache>
                <c:ptCount val="8"/>
                <c:pt idx="0">
                  <c:v>2006/07</c:v>
                </c:pt>
                <c:pt idx="1">
                  <c:v>2007/08</c:v>
                </c:pt>
                <c:pt idx="2">
                  <c:v>2008/09</c:v>
                </c:pt>
                <c:pt idx="3">
                  <c:v>2009/10</c:v>
                </c:pt>
                <c:pt idx="4">
                  <c:v>2010/11</c:v>
                </c:pt>
                <c:pt idx="5">
                  <c:v>2011/12</c:v>
                </c:pt>
                <c:pt idx="6">
                  <c:v>2012/13</c:v>
                </c:pt>
                <c:pt idx="7">
                  <c:v>2013/14</c:v>
                </c:pt>
              </c:strCache>
            </c:strRef>
          </c:cat>
          <c:val>
            <c:numRef>
              <c:f>'Chapter 3 Licence Grants'!$B$18:$I$18</c:f>
              <c:numCache>
                <c:formatCode>General</c:formatCode>
                <c:ptCount val="8"/>
                <c:pt idx="0">
                  <c:v>56</c:v>
                </c:pt>
                <c:pt idx="1">
                  <c:v>21</c:v>
                </c:pt>
                <c:pt idx="2">
                  <c:v>41</c:v>
                </c:pt>
                <c:pt idx="3">
                  <c:v>30</c:v>
                </c:pt>
                <c:pt idx="4">
                  <c:v>23</c:v>
                </c:pt>
                <c:pt idx="5">
                  <c:v>21</c:v>
                </c:pt>
                <c:pt idx="6">
                  <c:v>14</c:v>
                </c:pt>
                <c:pt idx="7">
                  <c:v>28</c:v>
                </c:pt>
              </c:numCache>
            </c:numRef>
          </c:val>
        </c:ser>
        <c:dLbls>
          <c:showLegendKey val="0"/>
          <c:showVal val="0"/>
          <c:showCatName val="0"/>
          <c:showSerName val="0"/>
          <c:showPercent val="0"/>
          <c:showBubbleSize val="0"/>
        </c:dLbls>
        <c:gapWidth val="150"/>
        <c:axId val="82642048"/>
        <c:axId val="82643584"/>
      </c:barChart>
      <c:catAx>
        <c:axId val="826420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2643584"/>
        <c:crosses val="autoZero"/>
        <c:auto val="1"/>
        <c:lblAlgn val="ctr"/>
        <c:lblOffset val="100"/>
        <c:tickLblSkip val="1"/>
        <c:tickMarkSkip val="1"/>
        <c:noMultiLvlLbl val="0"/>
      </c:catAx>
      <c:valAx>
        <c:axId val="82643584"/>
        <c:scaling>
          <c:orientation val="minMax"/>
        </c:scaling>
        <c:delete val="0"/>
        <c:axPos val="l"/>
        <c:title>
          <c:tx>
            <c:rich>
              <a:bodyPr/>
              <a:lstStyle/>
              <a:p>
                <a:pPr>
                  <a:defRPr sz="900" b="0" i="0" u="none" strike="noStrike" baseline="0">
                    <a:solidFill>
                      <a:srgbClr val="000000"/>
                    </a:solidFill>
                    <a:latin typeface="Arial"/>
                    <a:ea typeface="Arial"/>
                    <a:cs typeface="Arial"/>
                  </a:defRPr>
                </a:pPr>
                <a:r>
                  <a:rPr lang="en-AU"/>
                  <a:t>Number of Licences</a:t>
                </a:r>
              </a:p>
            </c:rich>
          </c:tx>
          <c:layout>
            <c:manualLayout>
              <c:xMode val="edge"/>
              <c:yMode val="edge"/>
              <c:x val="8.3056478405315621E-3"/>
              <c:y val="0.3400005249343831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2642048"/>
        <c:crosses val="autoZero"/>
        <c:crossBetween val="between"/>
      </c:valAx>
      <c:spPr>
        <a:noFill/>
        <a:ln w="25400">
          <a:noFill/>
        </a:ln>
      </c:spPr>
    </c:plotArea>
    <c:legend>
      <c:legendPos val="r"/>
      <c:legendEntry>
        <c:idx val="0"/>
        <c:txPr>
          <a:bodyPr/>
          <a:lstStyle/>
          <a:p>
            <a:pPr>
              <a:defRPr sz="735" b="0" i="0" u="none" strike="noStrike" baseline="0">
                <a:solidFill>
                  <a:srgbClr val="000000"/>
                </a:solidFill>
                <a:latin typeface="Arial"/>
                <a:ea typeface="Arial"/>
                <a:cs typeface="Arial"/>
              </a:defRPr>
            </a:pPr>
            <a:endParaRPr lang="en-US"/>
          </a:p>
        </c:txPr>
      </c:legendEntry>
      <c:legendEntry>
        <c:idx val="1"/>
        <c:txPr>
          <a:bodyPr/>
          <a:lstStyle/>
          <a:p>
            <a:pPr>
              <a:defRPr sz="735" b="0" i="0" u="none" strike="noStrike" baseline="0">
                <a:solidFill>
                  <a:srgbClr val="000000"/>
                </a:solidFill>
                <a:latin typeface="Arial"/>
                <a:ea typeface="Arial"/>
                <a:cs typeface="Arial"/>
              </a:defRPr>
            </a:pPr>
            <a:endParaRPr lang="en-US"/>
          </a:p>
        </c:txPr>
      </c:legendEntry>
      <c:layout>
        <c:manualLayout>
          <c:xMode val="edge"/>
          <c:yMode val="edge"/>
          <c:x val="0.27352791847174651"/>
          <c:y val="2.2817721401160163E-2"/>
          <c:w val="0.32520288883925252"/>
          <c:h val="0.18556698413772968"/>
        </c:manualLayout>
      </c:layout>
      <c:overlay val="0"/>
      <c:spPr>
        <a:solidFill>
          <a:srgbClr val="FFFFFF"/>
        </a:solidFill>
        <a:ln w="25400">
          <a:noFill/>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006644518272429E-2"/>
          <c:y val="3.7500045776423067E-2"/>
          <c:w val="0.89534883720930236"/>
          <c:h val="0.88500125635461657"/>
        </c:manualLayout>
      </c:layout>
      <c:barChart>
        <c:barDir val="col"/>
        <c:grouping val="clustered"/>
        <c:varyColors val="0"/>
        <c:ser>
          <c:idx val="0"/>
          <c:order val="0"/>
          <c:tx>
            <c:strRef>
              <c:f>'Chapter 3 Licence Grants'!$A$20</c:f>
              <c:strCache>
                <c:ptCount val="1"/>
                <c:pt idx="0">
                  <c:v>Prospecting Licences Granted</c:v>
                </c:pt>
              </c:strCache>
            </c:strRef>
          </c:tx>
          <c:spPr>
            <a:solidFill>
              <a:srgbClr val="339966"/>
            </a:solidFill>
            <a:ln w="25400">
              <a:noFill/>
            </a:ln>
          </c:spPr>
          <c:invertIfNegative val="0"/>
          <c:cat>
            <c:strRef>
              <c:f>'Chapter 3 Licence Grants'!$G$13:$I$13</c:f>
              <c:strCache>
                <c:ptCount val="3"/>
                <c:pt idx="0">
                  <c:v>2011/12</c:v>
                </c:pt>
                <c:pt idx="1">
                  <c:v>2012/13</c:v>
                </c:pt>
                <c:pt idx="2">
                  <c:v>2013/14</c:v>
                </c:pt>
              </c:strCache>
            </c:strRef>
          </c:cat>
          <c:val>
            <c:numRef>
              <c:f>'Chapter 3 Licence Grants'!$G$20:$I$20</c:f>
              <c:numCache>
                <c:formatCode>General</c:formatCode>
                <c:ptCount val="3"/>
                <c:pt idx="0">
                  <c:v>1</c:v>
                </c:pt>
                <c:pt idx="1">
                  <c:v>12</c:v>
                </c:pt>
                <c:pt idx="2">
                  <c:v>18</c:v>
                </c:pt>
              </c:numCache>
            </c:numRef>
          </c:val>
        </c:ser>
        <c:ser>
          <c:idx val="1"/>
          <c:order val="1"/>
          <c:tx>
            <c:strRef>
              <c:f>'Chapter 3 Licence Grants'!$A$21</c:f>
              <c:strCache>
                <c:ptCount val="1"/>
                <c:pt idx="0">
                  <c:v>Retention Licences Granted</c:v>
                </c:pt>
              </c:strCache>
            </c:strRef>
          </c:tx>
          <c:spPr>
            <a:pattFill prst="pct60">
              <a:fgClr>
                <a:srgbClr val="1F497D">
                  <a:lumMod val="75000"/>
                </a:srgbClr>
              </a:fgClr>
              <a:bgClr>
                <a:sysClr val="window" lastClr="FFFFFF"/>
              </a:bgClr>
            </a:pattFill>
          </c:spPr>
          <c:invertIfNegative val="0"/>
          <c:val>
            <c:numRef>
              <c:f>'Chapter 3 Licence Grants'!$G$21:$I$21</c:f>
              <c:numCache>
                <c:formatCode>General</c:formatCode>
                <c:ptCount val="3"/>
                <c:pt idx="0">
                  <c:v>0</c:v>
                </c:pt>
                <c:pt idx="1">
                  <c:v>0</c:v>
                </c:pt>
                <c:pt idx="2">
                  <c:v>1</c:v>
                </c:pt>
              </c:numCache>
            </c:numRef>
          </c:val>
        </c:ser>
        <c:dLbls>
          <c:showLegendKey val="0"/>
          <c:showVal val="0"/>
          <c:showCatName val="0"/>
          <c:showSerName val="0"/>
          <c:showPercent val="0"/>
          <c:showBubbleSize val="0"/>
        </c:dLbls>
        <c:gapWidth val="150"/>
        <c:axId val="82678144"/>
        <c:axId val="82679680"/>
      </c:barChart>
      <c:catAx>
        <c:axId val="826781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2679680"/>
        <c:crosses val="autoZero"/>
        <c:auto val="1"/>
        <c:lblAlgn val="ctr"/>
        <c:lblOffset val="100"/>
        <c:tickLblSkip val="1"/>
        <c:tickMarkSkip val="1"/>
        <c:noMultiLvlLbl val="0"/>
      </c:catAx>
      <c:valAx>
        <c:axId val="82679680"/>
        <c:scaling>
          <c:orientation val="minMax"/>
        </c:scaling>
        <c:delete val="0"/>
        <c:axPos val="l"/>
        <c:title>
          <c:tx>
            <c:rich>
              <a:bodyPr/>
              <a:lstStyle/>
              <a:p>
                <a:pPr>
                  <a:defRPr sz="900" b="0" i="0" u="none" strike="noStrike" baseline="0">
                    <a:solidFill>
                      <a:srgbClr val="000000"/>
                    </a:solidFill>
                    <a:latin typeface="Arial"/>
                    <a:ea typeface="Arial"/>
                    <a:cs typeface="Arial"/>
                  </a:defRPr>
                </a:pPr>
                <a:r>
                  <a:rPr lang="en-AU"/>
                  <a:t>Number of Licences</a:t>
                </a:r>
              </a:p>
            </c:rich>
          </c:tx>
          <c:layout>
            <c:manualLayout>
              <c:xMode val="edge"/>
              <c:yMode val="edge"/>
              <c:x val="8.3056478405315621E-3"/>
              <c:y val="0.3400005249343831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2678144"/>
        <c:crosses val="autoZero"/>
        <c:crossBetween val="between"/>
      </c:valAx>
      <c:spPr>
        <a:noFill/>
        <a:ln w="25400">
          <a:noFill/>
        </a:ln>
      </c:spPr>
    </c:plotArea>
    <c:legend>
      <c:legendPos val="r"/>
      <c:legendEntry>
        <c:idx val="0"/>
        <c:txPr>
          <a:bodyPr/>
          <a:lstStyle/>
          <a:p>
            <a:pPr>
              <a:defRPr sz="735" b="0" i="0" u="none" strike="noStrike" baseline="0">
                <a:solidFill>
                  <a:srgbClr val="000000"/>
                </a:solidFill>
                <a:latin typeface="Arial"/>
                <a:ea typeface="Arial"/>
                <a:cs typeface="Arial"/>
              </a:defRPr>
            </a:pPr>
            <a:endParaRPr lang="en-US"/>
          </a:p>
        </c:txPr>
      </c:legendEntry>
      <c:layout>
        <c:manualLayout>
          <c:xMode val="edge"/>
          <c:yMode val="edge"/>
          <c:x val="0.16273687038843168"/>
          <c:y val="2.0513135978195048E-3"/>
          <c:w val="0.2479144239476159"/>
          <c:h val="0.15531022864930344"/>
        </c:manualLayout>
      </c:layout>
      <c:overlay val="0"/>
      <c:spPr>
        <a:solidFill>
          <a:srgbClr val="FFFFFF"/>
        </a:solidFill>
        <a:ln w="25400">
          <a:noFill/>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575764501850297"/>
          <c:y val="3.4644194756554308E-2"/>
          <c:w val="0.88538205980066442"/>
          <c:h val="0.8707865168539326"/>
        </c:manualLayout>
      </c:layout>
      <c:barChart>
        <c:barDir val="col"/>
        <c:grouping val="clustered"/>
        <c:varyColors val="0"/>
        <c:ser>
          <c:idx val="2"/>
          <c:order val="0"/>
          <c:tx>
            <c:strRef>
              <c:f>'Chapter 3  Types and Area'!$A$34</c:f>
              <c:strCache>
                <c:ptCount val="1"/>
                <c:pt idx="0">
                  <c:v>Total area covered by exploration licences, both current and in application (km2)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invertIfNegative val="0"/>
          <c:cat>
            <c:numRef>
              <c:f>'Chapter 3  Types and Area'!$B$33:$I$33</c:f>
              <c:numCache>
                <c:formatCode>General</c:formatCode>
                <c:ptCount val="8"/>
                <c:pt idx="0">
                  <c:v>2007</c:v>
                </c:pt>
                <c:pt idx="1">
                  <c:v>2008</c:v>
                </c:pt>
                <c:pt idx="2">
                  <c:v>2009</c:v>
                </c:pt>
                <c:pt idx="3">
                  <c:v>2010</c:v>
                </c:pt>
                <c:pt idx="4">
                  <c:v>2011</c:v>
                </c:pt>
                <c:pt idx="5">
                  <c:v>2012</c:v>
                </c:pt>
                <c:pt idx="6">
                  <c:v>2013</c:v>
                </c:pt>
                <c:pt idx="7">
                  <c:v>2014</c:v>
                </c:pt>
              </c:numCache>
            </c:numRef>
          </c:cat>
          <c:val>
            <c:numRef>
              <c:f>'Chapter 3  Types and Area'!$B$34:$I$34</c:f>
              <c:numCache>
                <c:formatCode>_-* #,##0_-;\-* #,##0_-;_-* "-"??_-;_-@_-</c:formatCode>
                <c:ptCount val="8"/>
                <c:pt idx="0">
                  <c:v>91500</c:v>
                </c:pt>
                <c:pt idx="1">
                  <c:v>98086</c:v>
                </c:pt>
                <c:pt idx="2">
                  <c:v>95240</c:v>
                </c:pt>
                <c:pt idx="3">
                  <c:v>86365</c:v>
                </c:pt>
                <c:pt idx="4">
                  <c:v>75753</c:v>
                </c:pt>
                <c:pt idx="5">
                  <c:v>83900</c:v>
                </c:pt>
                <c:pt idx="6">
                  <c:v>77366</c:v>
                </c:pt>
                <c:pt idx="7">
                  <c:v>75018</c:v>
                </c:pt>
              </c:numCache>
            </c:numRef>
          </c:val>
        </c:ser>
        <c:dLbls>
          <c:showLegendKey val="0"/>
          <c:showVal val="0"/>
          <c:showCatName val="0"/>
          <c:showSerName val="0"/>
          <c:showPercent val="0"/>
          <c:showBubbleSize val="0"/>
        </c:dLbls>
        <c:gapWidth val="150"/>
        <c:axId val="82696448"/>
        <c:axId val="82702336"/>
      </c:barChart>
      <c:catAx>
        <c:axId val="82696448"/>
        <c:scaling>
          <c:orientation val="minMax"/>
        </c:scaling>
        <c:delete val="0"/>
        <c:axPos val="b"/>
        <c:numFmt formatCode="0;[Red]0" sourceLinked="0"/>
        <c:majorTickMark val="out"/>
        <c:minorTickMark val="none"/>
        <c:tickLblPos val="nextTo"/>
        <c:txPr>
          <a:bodyPr rot="0" vert="horz"/>
          <a:lstStyle/>
          <a:p>
            <a:pPr>
              <a:defRPr/>
            </a:pPr>
            <a:endParaRPr lang="en-US"/>
          </a:p>
        </c:txPr>
        <c:crossAx val="82702336"/>
        <c:crosses val="autoZero"/>
        <c:auto val="1"/>
        <c:lblAlgn val="ctr"/>
        <c:lblOffset val="100"/>
        <c:tickLblSkip val="1"/>
        <c:tickMarkSkip val="1"/>
        <c:noMultiLvlLbl val="0"/>
      </c:catAx>
      <c:valAx>
        <c:axId val="82702336"/>
        <c:scaling>
          <c:orientation val="minMax"/>
        </c:scaling>
        <c:delete val="0"/>
        <c:axPos val="l"/>
        <c:numFmt formatCode="_-* #,##0_-;\-* #,##0_-;_-* &quot;-&quot;??_-;_-@_-" sourceLinked="1"/>
        <c:majorTickMark val="out"/>
        <c:minorTickMark val="none"/>
        <c:tickLblPos val="nextTo"/>
        <c:txPr>
          <a:bodyPr rot="0" vert="horz"/>
          <a:lstStyle/>
          <a:p>
            <a:pPr>
              <a:defRPr/>
            </a:pPr>
            <a:endParaRPr lang="en-US"/>
          </a:p>
        </c:txPr>
        <c:crossAx val="82696448"/>
        <c:crosses val="autoZero"/>
        <c:crossBetween val="between"/>
      </c:valAx>
    </c:plotArea>
    <c:legend>
      <c:legendPos val="r"/>
      <c:layout>
        <c:manualLayout>
          <c:xMode val="edge"/>
          <c:yMode val="edge"/>
          <c:x val="0.14205298938187202"/>
          <c:y val="4.7752808988764044E-2"/>
          <c:w val="0.80351844452857968"/>
          <c:h val="0.14232209737827714"/>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5136712261879193E-2"/>
          <c:y val="4.0106951871657755E-2"/>
          <c:w val="0.91940013367717632"/>
          <c:h val="0.86898395721925137"/>
        </c:manualLayout>
      </c:layout>
      <c:barChart>
        <c:barDir val="col"/>
        <c:grouping val="clustered"/>
        <c:varyColors val="0"/>
        <c:ser>
          <c:idx val="0"/>
          <c:order val="0"/>
          <c:tx>
            <c:strRef>
              <c:f>'Chapter 3 Expenditure'!$A$5</c:f>
              <c:strCache>
                <c:ptCount val="1"/>
                <c:pt idx="0">
                  <c:v>Mineral Exploration (ABS)1</c:v>
                </c:pt>
              </c:strCache>
            </c:strRef>
          </c:tx>
          <c:spPr>
            <a:pattFill prst="wdDnDiag">
              <a:fgClr>
                <a:srgbClr val="808000"/>
              </a:fgClr>
              <a:bgClr>
                <a:sysClr val="window" lastClr="FFFFFF"/>
              </a:bgClr>
            </a:pattFill>
            <a:ln w="25400">
              <a:noFill/>
            </a:ln>
          </c:spPr>
          <c:invertIfNegative val="0"/>
          <c:cat>
            <c:strRef>
              <c:f>'Chapter 3 Expenditure'!$B$4:$I$4</c:f>
              <c:strCache>
                <c:ptCount val="8"/>
                <c:pt idx="0">
                  <c:v>2006/07</c:v>
                </c:pt>
                <c:pt idx="1">
                  <c:v>2007/08</c:v>
                </c:pt>
                <c:pt idx="2">
                  <c:v>2008/09</c:v>
                </c:pt>
                <c:pt idx="3">
                  <c:v>2009/10</c:v>
                </c:pt>
                <c:pt idx="4">
                  <c:v>2010/11</c:v>
                </c:pt>
                <c:pt idx="5">
                  <c:v>2011/12</c:v>
                </c:pt>
                <c:pt idx="6">
                  <c:v>2012/13</c:v>
                </c:pt>
                <c:pt idx="7">
                  <c:v>2013/14</c:v>
                </c:pt>
              </c:strCache>
            </c:strRef>
          </c:cat>
          <c:val>
            <c:numRef>
              <c:f>'Chapter 3 Expenditure'!$B$5:$I$5</c:f>
              <c:numCache>
                <c:formatCode>General</c:formatCode>
                <c:ptCount val="8"/>
                <c:pt idx="0">
                  <c:v>82.5</c:v>
                </c:pt>
                <c:pt idx="1">
                  <c:v>93.7</c:v>
                </c:pt>
                <c:pt idx="2">
                  <c:v>62.2</c:v>
                </c:pt>
                <c:pt idx="3">
                  <c:v>84.8</c:v>
                </c:pt>
                <c:pt idx="4">
                  <c:v>57.4</c:v>
                </c:pt>
                <c:pt idx="5">
                  <c:v>58.5</c:v>
                </c:pt>
                <c:pt idx="6">
                  <c:v>38.6</c:v>
                </c:pt>
                <c:pt idx="7">
                  <c:v>32.6</c:v>
                </c:pt>
              </c:numCache>
            </c:numRef>
          </c:val>
        </c:ser>
        <c:ser>
          <c:idx val="1"/>
          <c:order val="1"/>
          <c:tx>
            <c:strRef>
              <c:f>'Chapter 3 Expenditure'!$A$6</c:f>
              <c:strCache>
                <c:ptCount val="1"/>
                <c:pt idx="0">
                  <c:v>MRSDA Exploration2 </c:v>
                </c:pt>
              </c:strCache>
            </c:strRef>
          </c:tx>
          <c:spPr>
            <a:solidFill>
              <a:srgbClr val="339966"/>
            </a:solidFill>
            <a:ln w="25400">
              <a:noFill/>
            </a:ln>
          </c:spPr>
          <c:invertIfNegative val="0"/>
          <c:cat>
            <c:strRef>
              <c:f>'Chapter 3 Expenditure'!$B$4:$I$4</c:f>
              <c:strCache>
                <c:ptCount val="8"/>
                <c:pt idx="0">
                  <c:v>2006/07</c:v>
                </c:pt>
                <c:pt idx="1">
                  <c:v>2007/08</c:v>
                </c:pt>
                <c:pt idx="2">
                  <c:v>2008/09</c:v>
                </c:pt>
                <c:pt idx="3">
                  <c:v>2009/10</c:v>
                </c:pt>
                <c:pt idx="4">
                  <c:v>2010/11</c:v>
                </c:pt>
                <c:pt idx="5">
                  <c:v>2011/12</c:v>
                </c:pt>
                <c:pt idx="6">
                  <c:v>2012/13</c:v>
                </c:pt>
                <c:pt idx="7">
                  <c:v>2013/14</c:v>
                </c:pt>
              </c:strCache>
            </c:strRef>
          </c:cat>
          <c:val>
            <c:numRef>
              <c:f>'Chapter 3 Expenditure'!$B$6:$I$6</c:f>
              <c:numCache>
                <c:formatCode>General</c:formatCode>
                <c:ptCount val="8"/>
                <c:pt idx="0">
                  <c:v>105.4</c:v>
                </c:pt>
                <c:pt idx="1">
                  <c:v>107.8</c:v>
                </c:pt>
                <c:pt idx="2">
                  <c:v>103.3</c:v>
                </c:pt>
                <c:pt idx="3">
                  <c:v>94.3</c:v>
                </c:pt>
                <c:pt idx="4">
                  <c:v>64.599999999999994</c:v>
                </c:pt>
                <c:pt idx="5">
                  <c:v>65.099999999999994</c:v>
                </c:pt>
                <c:pt idx="6">
                  <c:v>59.7</c:v>
                </c:pt>
                <c:pt idx="7" formatCode="0.0">
                  <c:v>53.548476409999999</c:v>
                </c:pt>
              </c:numCache>
            </c:numRef>
          </c:val>
        </c:ser>
        <c:ser>
          <c:idx val="2"/>
          <c:order val="2"/>
          <c:tx>
            <c:strRef>
              <c:f>'Chapter 3 Expenditure'!$A$7</c:f>
              <c:strCache>
                <c:ptCount val="1"/>
                <c:pt idx="0">
                  <c:v>MRSDA Mining3 </c:v>
                </c:pt>
              </c:strCache>
            </c:strRef>
          </c:tx>
          <c:spPr>
            <a:pattFill prst="pct60">
              <a:fgClr>
                <a:srgbClr val="1F497D">
                  <a:lumMod val="75000"/>
                </a:srgbClr>
              </a:fgClr>
              <a:bgClr>
                <a:sysClr val="window" lastClr="FFFFFF"/>
              </a:bgClr>
            </a:pattFill>
            <a:ln w="25400">
              <a:noFill/>
            </a:ln>
          </c:spPr>
          <c:invertIfNegative val="0"/>
          <c:cat>
            <c:strRef>
              <c:f>'Chapter 3 Expenditure'!$B$4:$I$4</c:f>
              <c:strCache>
                <c:ptCount val="8"/>
                <c:pt idx="0">
                  <c:v>2006/07</c:v>
                </c:pt>
                <c:pt idx="1">
                  <c:v>2007/08</c:v>
                </c:pt>
                <c:pt idx="2">
                  <c:v>2008/09</c:v>
                </c:pt>
                <c:pt idx="3">
                  <c:v>2009/10</c:v>
                </c:pt>
                <c:pt idx="4">
                  <c:v>2010/11</c:v>
                </c:pt>
                <c:pt idx="5">
                  <c:v>2011/12</c:v>
                </c:pt>
                <c:pt idx="6">
                  <c:v>2012/13</c:v>
                </c:pt>
                <c:pt idx="7">
                  <c:v>2013/14</c:v>
                </c:pt>
              </c:strCache>
            </c:strRef>
          </c:cat>
          <c:val>
            <c:numRef>
              <c:f>'Chapter 3 Expenditure'!$B$7:$I$7</c:f>
              <c:numCache>
                <c:formatCode>General</c:formatCode>
                <c:ptCount val="8"/>
                <c:pt idx="0">
                  <c:v>527.79999999999995</c:v>
                </c:pt>
                <c:pt idx="1">
                  <c:v>576.6</c:v>
                </c:pt>
                <c:pt idx="2">
                  <c:v>923.3</c:v>
                </c:pt>
                <c:pt idx="3">
                  <c:v>742</c:v>
                </c:pt>
                <c:pt idx="4">
                  <c:v>719.2</c:v>
                </c:pt>
                <c:pt idx="5">
                  <c:v>813.8</c:v>
                </c:pt>
                <c:pt idx="6">
                  <c:v>701.2</c:v>
                </c:pt>
                <c:pt idx="7" formatCode="0.0">
                  <c:v>650.31120225999985</c:v>
                </c:pt>
              </c:numCache>
            </c:numRef>
          </c:val>
        </c:ser>
        <c:dLbls>
          <c:showLegendKey val="0"/>
          <c:showVal val="0"/>
          <c:showCatName val="0"/>
          <c:showSerName val="0"/>
          <c:showPercent val="0"/>
          <c:showBubbleSize val="0"/>
        </c:dLbls>
        <c:gapWidth val="150"/>
        <c:axId val="82732160"/>
        <c:axId val="82733696"/>
      </c:barChart>
      <c:catAx>
        <c:axId val="82732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2733696"/>
        <c:crosses val="autoZero"/>
        <c:auto val="1"/>
        <c:lblAlgn val="ctr"/>
        <c:lblOffset val="100"/>
        <c:tickLblSkip val="1"/>
        <c:tickMarkSkip val="1"/>
        <c:noMultiLvlLbl val="0"/>
      </c:catAx>
      <c:valAx>
        <c:axId val="82733696"/>
        <c:scaling>
          <c:orientation val="minMax"/>
        </c:scaling>
        <c:delete val="0"/>
        <c:axPos val="l"/>
        <c:title>
          <c:tx>
            <c:rich>
              <a:bodyPr/>
              <a:lstStyle/>
              <a:p>
                <a:pPr>
                  <a:defRPr sz="900" b="0" i="0" u="none" strike="noStrike" baseline="0">
                    <a:solidFill>
                      <a:srgbClr val="000000"/>
                    </a:solidFill>
                    <a:latin typeface="Arial"/>
                    <a:ea typeface="Arial"/>
                    <a:cs typeface="Arial"/>
                  </a:defRPr>
                </a:pPr>
                <a:r>
                  <a:rPr lang="en-AU"/>
                  <a:t>$A million</a:t>
                </a:r>
              </a:p>
            </c:rich>
          </c:tx>
          <c:layout>
            <c:manualLayout>
              <c:xMode val="edge"/>
              <c:yMode val="edge"/>
              <c:x val="6.8306010928961746E-3"/>
              <c:y val="0.35294117647058826"/>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2732160"/>
        <c:crosses val="autoZero"/>
        <c:crossBetween val="between"/>
      </c:valAx>
      <c:spPr>
        <a:noFill/>
        <a:ln w="25400">
          <a:noFill/>
        </a:ln>
      </c:spPr>
    </c:plotArea>
    <c:legend>
      <c:legendPos val="r"/>
      <c:layout>
        <c:manualLayout>
          <c:xMode val="edge"/>
          <c:yMode val="edge"/>
          <c:x val="0.1147542417853506"/>
          <c:y val="7.4866310160427801E-2"/>
          <c:w val="0.21536089709418491"/>
          <c:h val="0.26132609340857438"/>
        </c:manualLayout>
      </c:layout>
      <c:overlay val="0"/>
      <c:spPr>
        <a:solidFill>
          <a:srgbClr val="FFFFFF"/>
        </a:solidFill>
        <a:ln w="25400">
          <a:noFill/>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a:ea typeface="Arial"/>
          <a:cs typeface="Aria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535125659037334"/>
          <c:y val="4.0431266846361183E-2"/>
          <c:w val="0.88796059126171811"/>
          <c:h val="0.84905660377358494"/>
        </c:manualLayout>
      </c:layout>
      <c:barChart>
        <c:barDir val="col"/>
        <c:grouping val="clustered"/>
        <c:varyColors val="0"/>
        <c:ser>
          <c:idx val="0"/>
          <c:order val="0"/>
          <c:tx>
            <c:strRef>
              <c:f>'Chapter 3 Expenditure'!$U$38</c:f>
              <c:strCache>
                <c:ptCount val="1"/>
                <c:pt idx="0">
                  <c:v>Exploration ($A million) </c:v>
                </c:pt>
              </c:strCache>
            </c:strRef>
          </c:tx>
          <c:spPr>
            <a:solidFill>
              <a:srgbClr val="339966"/>
            </a:solidFill>
            <a:ln w="25400">
              <a:noFill/>
            </a:ln>
          </c:spPr>
          <c:invertIfNegative val="0"/>
          <c:cat>
            <c:strRef>
              <c:f>'Chapter 3 Expenditure'!$T$39:$T$42</c:f>
              <c:strCache>
                <c:ptCount val="4"/>
                <c:pt idx="0">
                  <c:v>Brown Coal </c:v>
                </c:pt>
                <c:pt idx="1">
                  <c:v>Gold </c:v>
                </c:pt>
                <c:pt idx="2">
                  <c:v>Heavy Mineral Sands</c:v>
                </c:pt>
                <c:pt idx="3">
                  <c:v>Other</c:v>
                </c:pt>
              </c:strCache>
            </c:strRef>
          </c:cat>
          <c:val>
            <c:numRef>
              <c:f>'Chapter 3 Expenditure'!$U$39:$U$42</c:f>
              <c:numCache>
                <c:formatCode>_-* #,##0.0_-;\-* #,##0.0_-;_-* "-"??_-;_-@_-</c:formatCode>
                <c:ptCount val="4"/>
                <c:pt idx="0">
                  <c:v>1.2</c:v>
                </c:pt>
                <c:pt idx="1">
                  <c:v>18.5</c:v>
                </c:pt>
                <c:pt idx="2">
                  <c:v>4.2</c:v>
                </c:pt>
                <c:pt idx="3">
                  <c:v>29.648476410000001</c:v>
                </c:pt>
              </c:numCache>
            </c:numRef>
          </c:val>
        </c:ser>
        <c:ser>
          <c:idx val="1"/>
          <c:order val="1"/>
          <c:tx>
            <c:strRef>
              <c:f>'Chapter 3 Expenditure'!$W$38</c:f>
              <c:strCache>
                <c:ptCount val="1"/>
                <c:pt idx="0">
                  <c:v>Mining ($A million)</c:v>
                </c:pt>
              </c:strCache>
            </c:strRef>
          </c:tx>
          <c:spPr>
            <a:pattFill prst="pct60">
              <a:fgClr>
                <a:srgbClr val="1F497D">
                  <a:lumMod val="75000"/>
                </a:srgbClr>
              </a:fgClr>
              <a:bgClr>
                <a:sysClr val="window" lastClr="FFFFFF"/>
              </a:bgClr>
            </a:pattFill>
            <a:ln w="25400">
              <a:noFill/>
            </a:ln>
          </c:spPr>
          <c:invertIfNegative val="0"/>
          <c:cat>
            <c:strRef>
              <c:f>'Chapter 3 Expenditure'!$T$39:$T$42</c:f>
              <c:strCache>
                <c:ptCount val="4"/>
                <c:pt idx="0">
                  <c:v>Brown Coal </c:v>
                </c:pt>
                <c:pt idx="1">
                  <c:v>Gold </c:v>
                </c:pt>
                <c:pt idx="2">
                  <c:v>Heavy Mineral Sands</c:v>
                </c:pt>
                <c:pt idx="3">
                  <c:v>Other</c:v>
                </c:pt>
              </c:strCache>
            </c:strRef>
          </c:cat>
          <c:val>
            <c:numRef>
              <c:f>'Chapter 3 Expenditure'!$W$39:$W$42</c:f>
              <c:numCache>
                <c:formatCode>_-* #,##0.0_-;\-* #,##0.0_-;_-* "-"??_-;_-@_-</c:formatCode>
                <c:ptCount val="4"/>
                <c:pt idx="0">
                  <c:v>260.96426409999998</c:v>
                </c:pt>
                <c:pt idx="1">
                  <c:v>216.00926280000002</c:v>
                </c:pt>
                <c:pt idx="2">
                  <c:v>96.063571999999994</c:v>
                </c:pt>
                <c:pt idx="3">
                  <c:v>77.274103359999799</c:v>
                </c:pt>
              </c:numCache>
            </c:numRef>
          </c:val>
        </c:ser>
        <c:dLbls>
          <c:showLegendKey val="0"/>
          <c:showVal val="0"/>
          <c:showCatName val="0"/>
          <c:showSerName val="0"/>
          <c:showPercent val="0"/>
          <c:showBubbleSize val="0"/>
        </c:dLbls>
        <c:gapWidth val="150"/>
        <c:axId val="82742656"/>
        <c:axId val="82756736"/>
      </c:barChart>
      <c:catAx>
        <c:axId val="82742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2756736"/>
        <c:crosses val="autoZero"/>
        <c:auto val="1"/>
        <c:lblAlgn val="ctr"/>
        <c:lblOffset val="100"/>
        <c:tickLblSkip val="1"/>
        <c:tickMarkSkip val="1"/>
        <c:noMultiLvlLbl val="0"/>
      </c:catAx>
      <c:valAx>
        <c:axId val="82756736"/>
        <c:scaling>
          <c:orientation val="minMax"/>
        </c:scaling>
        <c:delete val="0"/>
        <c:axPos val="l"/>
        <c:title>
          <c:tx>
            <c:rich>
              <a:bodyPr/>
              <a:lstStyle/>
              <a:p>
                <a:pPr>
                  <a:defRPr sz="900" b="0" i="0" u="none" strike="noStrike" baseline="0">
                    <a:solidFill>
                      <a:srgbClr val="000000"/>
                    </a:solidFill>
                    <a:latin typeface="Arial"/>
                    <a:ea typeface="Arial"/>
                    <a:cs typeface="Arial"/>
                  </a:defRPr>
                </a:pPr>
                <a:r>
                  <a:rPr lang="en-AU"/>
                  <a:t>$A million</a:t>
                </a:r>
              </a:p>
            </c:rich>
          </c:tx>
          <c:layout>
            <c:manualLayout>
              <c:xMode val="edge"/>
              <c:yMode val="edge"/>
              <c:x val="8.3612040133779261E-3"/>
              <c:y val="0.38544474393530997"/>
            </c:manualLayout>
          </c:layout>
          <c:overlay val="0"/>
          <c:spPr>
            <a:noFill/>
            <a:ln w="25400">
              <a:noFill/>
            </a:ln>
          </c:spPr>
        </c:title>
        <c:numFmt formatCode="_-* #,##0.0_-;\-* #,##0.0_-;_-* &quot;-&quot;??_-;_-@_-"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2742656"/>
        <c:crosses val="autoZero"/>
        <c:crossBetween val="between"/>
      </c:valAx>
      <c:spPr>
        <a:noFill/>
        <a:ln w="25400">
          <a:noFill/>
        </a:ln>
      </c:spPr>
    </c:plotArea>
    <c:legend>
      <c:legendPos val="r"/>
      <c:layout>
        <c:manualLayout>
          <c:xMode val="edge"/>
          <c:yMode val="edge"/>
          <c:x val="0.59531825244252501"/>
          <c:y val="5.9299191374663072E-2"/>
          <c:w val="0.24414733275397427"/>
          <c:h val="0.29237479125340698"/>
        </c:manualLayout>
      </c:layout>
      <c:overlay val="0"/>
      <c:spPr>
        <a:solidFill>
          <a:srgbClr val="FFFFFF"/>
        </a:solidFill>
        <a:ln w="25400">
          <a:noFill/>
        </a:ln>
      </c:spPr>
      <c:txPr>
        <a:bodyPr/>
        <a:lstStyle/>
        <a:p>
          <a:pPr>
            <a:defRPr sz="80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a:ea typeface="Arial"/>
          <a:cs typeface="Aria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'Chapter 3 Production'!$C$2</c:f>
              <c:strCache>
                <c:ptCount val="1"/>
                <c:pt idx="0">
                  <c:v>Gold</c:v>
                </c:pt>
              </c:strCache>
            </c:strRef>
          </c:tx>
          <c:invertIfNegative val="0"/>
          <c:cat>
            <c:strRef>
              <c:f>'Chapter 3 Production'!$A$4:$A$24</c:f>
              <c:strCache>
                <c:ptCount val="21"/>
                <c:pt idx="0">
                  <c:v>1993/94</c:v>
                </c:pt>
                <c:pt idx="1">
                  <c:v>1994/95</c:v>
                </c:pt>
                <c:pt idx="2">
                  <c:v>1995/96</c:v>
                </c:pt>
                <c:pt idx="3">
                  <c:v>1996/97</c:v>
                </c:pt>
                <c:pt idx="4">
                  <c:v>1997/98</c:v>
                </c:pt>
                <c:pt idx="5">
                  <c:v>1998/99</c:v>
                </c:pt>
                <c:pt idx="6">
                  <c:v>1999/00</c:v>
                </c:pt>
                <c:pt idx="7">
                  <c:v>2000/01</c:v>
                </c:pt>
                <c:pt idx="8">
                  <c:v>2001/02</c:v>
                </c:pt>
                <c:pt idx="9">
                  <c:v>2002/03</c:v>
                </c:pt>
                <c:pt idx="10">
                  <c:v>2003/04</c:v>
                </c:pt>
                <c:pt idx="11">
                  <c:v>2004/05</c:v>
                </c:pt>
                <c:pt idx="12">
                  <c:v>2005/06</c:v>
                </c:pt>
                <c:pt idx="13">
                  <c:v>2006/07</c:v>
                </c:pt>
                <c:pt idx="14">
                  <c:v>2007/08</c:v>
                </c:pt>
                <c:pt idx="15">
                  <c:v>2008/09</c:v>
                </c:pt>
                <c:pt idx="16">
                  <c:v>2009/10</c:v>
                </c:pt>
                <c:pt idx="17">
                  <c:v>2010/11</c:v>
                </c:pt>
                <c:pt idx="18">
                  <c:v>2011/12</c:v>
                </c:pt>
                <c:pt idx="19">
                  <c:v>2012/13</c:v>
                </c:pt>
                <c:pt idx="20">
                  <c:v>2013/14</c:v>
                </c:pt>
              </c:strCache>
            </c:strRef>
          </c:cat>
          <c:val>
            <c:numRef>
              <c:f>'Chapter 3 Production'!$C$4:$C$24</c:f>
              <c:numCache>
                <c:formatCode>#,##0</c:formatCode>
                <c:ptCount val="21"/>
                <c:pt idx="0">
                  <c:v>125960</c:v>
                </c:pt>
                <c:pt idx="1">
                  <c:v>138876</c:v>
                </c:pt>
                <c:pt idx="2">
                  <c:v>155550</c:v>
                </c:pt>
                <c:pt idx="3">
                  <c:v>151229</c:v>
                </c:pt>
                <c:pt idx="4">
                  <c:v>160122</c:v>
                </c:pt>
                <c:pt idx="5">
                  <c:v>159088</c:v>
                </c:pt>
                <c:pt idx="6">
                  <c:v>154043</c:v>
                </c:pt>
                <c:pt idx="7">
                  <c:v>122632</c:v>
                </c:pt>
                <c:pt idx="8">
                  <c:v>112283</c:v>
                </c:pt>
                <c:pt idx="9">
                  <c:v>107544</c:v>
                </c:pt>
                <c:pt idx="10">
                  <c:v>104188</c:v>
                </c:pt>
                <c:pt idx="11">
                  <c:v>123308</c:v>
                </c:pt>
                <c:pt idx="12">
                  <c:v>203352</c:v>
                </c:pt>
                <c:pt idx="13">
                  <c:v>224927</c:v>
                </c:pt>
                <c:pt idx="14">
                  <c:v>181100</c:v>
                </c:pt>
                <c:pt idx="15">
                  <c:v>248918</c:v>
                </c:pt>
                <c:pt idx="16">
                  <c:v>241965</c:v>
                </c:pt>
                <c:pt idx="17">
                  <c:v>186146</c:v>
                </c:pt>
                <c:pt idx="18">
                  <c:v>211201</c:v>
                </c:pt>
                <c:pt idx="19">
                  <c:v>225776</c:v>
                </c:pt>
                <c:pt idx="20">
                  <c:v>225167.88259333334</c:v>
                </c:pt>
              </c:numCache>
            </c:numRef>
          </c:val>
        </c:ser>
        <c:dLbls>
          <c:showLegendKey val="0"/>
          <c:showVal val="0"/>
          <c:showCatName val="0"/>
          <c:showSerName val="0"/>
          <c:showPercent val="0"/>
          <c:showBubbleSize val="0"/>
        </c:dLbls>
        <c:gapWidth val="300"/>
        <c:overlap val="100"/>
        <c:axId val="82781696"/>
        <c:axId val="82783232"/>
      </c:barChart>
      <c:catAx>
        <c:axId val="82781696"/>
        <c:scaling>
          <c:orientation val="minMax"/>
        </c:scaling>
        <c:delete val="0"/>
        <c:axPos val="b"/>
        <c:numFmt formatCode="General" sourceLinked="1"/>
        <c:majorTickMark val="none"/>
        <c:minorTickMark val="none"/>
        <c:tickLblPos val="nextTo"/>
        <c:txPr>
          <a:bodyPr rot="-3600000"/>
          <a:lstStyle/>
          <a:p>
            <a:pPr>
              <a:defRPr/>
            </a:pPr>
            <a:endParaRPr lang="en-US"/>
          </a:p>
        </c:txPr>
        <c:crossAx val="82783232"/>
        <c:crosses val="autoZero"/>
        <c:auto val="1"/>
        <c:lblAlgn val="ctr"/>
        <c:lblOffset val="100"/>
        <c:noMultiLvlLbl val="0"/>
      </c:catAx>
      <c:valAx>
        <c:axId val="82783232"/>
        <c:scaling>
          <c:orientation val="minMax"/>
        </c:scaling>
        <c:delete val="0"/>
        <c:axPos val="l"/>
        <c:majorGridlines/>
        <c:title>
          <c:tx>
            <c:rich>
              <a:bodyPr/>
              <a:lstStyle/>
              <a:p>
                <a:pPr>
                  <a:defRPr/>
                </a:pPr>
                <a:r>
                  <a:rPr lang="en-US"/>
                  <a:t>Gold (oz)</a:t>
                </a:r>
              </a:p>
            </c:rich>
          </c:tx>
          <c:overlay val="0"/>
        </c:title>
        <c:numFmt formatCode="#,##0_);\(#,##0\)" sourceLinked="0"/>
        <c:majorTickMark val="out"/>
        <c:minorTickMark val="none"/>
        <c:tickLblPos val="nextTo"/>
        <c:crossAx val="82781696"/>
        <c:crosses val="autoZero"/>
        <c:crossBetween val="between"/>
      </c:valAx>
    </c:plotArea>
    <c:plotVisOnly val="0"/>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CFF54072E4E45897E61D0934B90D8" ma:contentTypeVersion="12" ma:contentTypeDescription="Create a new document." ma:contentTypeScope="" ma:versionID="877e5025954a4fa58324743869760680">
  <xsd:schema xmlns:xsd="http://www.w3.org/2001/XMLSchema" xmlns:p="http://schemas.microsoft.com/office/2006/metadata/properties" xmlns:ns2="63b81dba-1390-494b-a5b4-f5ffbb88ba04" targetNamespace="http://schemas.microsoft.com/office/2006/metadata/properties" ma:root="true" ma:fieldsID="ddfdc755c78e77487df86fbd7a3366ae" ns2:_="">
    <xsd:import namespace="63b81dba-1390-494b-a5b4-f5ffbb88ba04"/>
    <xsd:element name="properties">
      <xsd:complexType>
        <xsd:sequence>
          <xsd:element name="documentManagement">
            <xsd:complexType>
              <xsd:all>
                <xsd:element ref="ns2:Description0" minOccurs="0"/>
                <xsd:element ref="ns2:Document_x0020_Category"/>
                <xsd:element ref="ns2:Document_x0020_Status" minOccurs="0"/>
                <xsd:element ref="ns2:Date_x0020_Created"/>
                <xsd:element ref="ns2:Catchment" minOccurs="0"/>
                <xsd:element ref="ns2:File_x0020_Type0" minOccurs="0"/>
                <xsd:element ref="ns2:Comments" minOccurs="0"/>
                <xsd:element ref="ns2:Species" minOccurs="0"/>
              </xsd:all>
            </xsd:complexType>
          </xsd:element>
        </xsd:sequence>
      </xsd:complexType>
    </xsd:element>
  </xsd:schema>
  <xsd:schema xmlns:xsd="http://www.w3.org/2001/XMLSchema" xmlns:dms="http://schemas.microsoft.com/office/2006/documentManagement/types" targetNamespace="63b81dba-1390-494b-a5b4-f5ffbb88ba04" elementFormDefault="qualified">
    <xsd:import namespace="http://schemas.microsoft.com/office/2006/documentManagement/types"/>
    <xsd:element name="Description0" ma:index="2" nillable="true" ma:displayName="Description" ma:description="Description of the document you are adding" ma:internalName="Description0">
      <xsd:simpleType>
        <xsd:restriction base="dms:Note"/>
      </xsd:simpleType>
    </xsd:element>
    <xsd:element name="Document_x0020_Category" ma:index="3" ma:displayName="Document Category" ma:description="Please choose the category of document that best fits the document you are adding" ma:format="Dropdown" ma:internalName="Document_x0020_Category" ma:readOnly="false">
      <xsd:simpleType>
        <xsd:restriction base="dms:Choice">
          <xsd:enumeration value="Communications/Engagement"/>
          <xsd:enumeration value="Contract"/>
          <xsd:enumeration value="Correspondence"/>
          <xsd:enumeration value="Evaluation"/>
          <xsd:enumeration value="Form"/>
          <xsd:enumeration value="Mapping/GIS"/>
          <xsd:enumeration value="Meeting-Agenda/Minutes"/>
          <xsd:enumeration value="Policy/Strategy"/>
          <xsd:enumeration value="Presentation"/>
          <xsd:enumeration value="Procedure"/>
          <xsd:enumeration value="Project Documentation"/>
          <xsd:enumeration value="Report"/>
          <xsd:enumeration value="Schedule/Project Management"/>
          <xsd:enumeration value="Staffing"/>
          <xsd:enumeration value="Standard"/>
          <xsd:enumeration value="Template"/>
          <xsd:enumeration value="Training Document"/>
        </xsd:restriction>
      </xsd:simpleType>
    </xsd:element>
    <xsd:element name="Document_x0020_Status" ma:index="4" nillable="true" ma:displayName="Document Status" ma:default="In Progress" ma:description="Please assign a status of the document your are adding" ma:format="Dropdown" ma:internalName="Document_x0020_Status">
      <xsd:simpleType>
        <xsd:restriction base="dms:Choice">
          <xsd:enumeration value="In Progress"/>
          <xsd:enumeration value="Draft for comment"/>
          <xsd:enumeration value="Final"/>
          <xsd:enumeration value="Approved/Endorsed"/>
          <xsd:enumeration value="Historic"/>
        </xsd:restriction>
      </xsd:simpleType>
    </xsd:element>
    <xsd:element name="Date_x0020_Created" ma:index="5" ma:displayName="Date Created" ma:description="Date the document was created" ma:format="DateOnly" ma:internalName="Date_x0020_Created" ma:readOnly="false">
      <xsd:simpleType>
        <xsd:restriction base="dms:DateTime"/>
      </xsd:simpleType>
    </xsd:element>
    <xsd:element name="Catchment" ma:index="6" nillable="true" ma:displayName="Catchment" ma:default="All Catchments" ma:description="Please choose which catchment this document applies to" ma:internalName="Catchment">
      <xsd:complexType>
        <xsd:complexContent>
          <xsd:extension base="dms:MultiChoice">
            <xsd:sequence>
              <xsd:element name="Value" maxOccurs="unbounded" minOccurs="0" nillable="true">
                <xsd:simpleType>
                  <xsd:restriction base="dms:Choice">
                    <xsd:enumeration value="All Catchments"/>
                    <xsd:enumeration value="Corangamite"/>
                    <xsd:enumeration value="Port Phillip"/>
                    <xsd:enumeration value="East Gippsland"/>
                    <xsd:enumeration value="West Gippsland"/>
                    <xsd:enumeration value="Mallee"/>
                    <xsd:enumeration value="North Central"/>
                    <xsd:enumeration value="North East"/>
                    <xsd:enumeration value="Goulburn Broken"/>
                    <xsd:enumeration value="Wimmera"/>
                    <xsd:enumeration value="Glenelg-Hopkins"/>
                  </xsd:restriction>
                </xsd:simpleType>
              </xsd:element>
            </xsd:sequence>
          </xsd:extension>
        </xsd:complexContent>
      </xsd:complexType>
    </xsd:element>
    <xsd:element name="File_x0020_Type0" ma:index="7" nillable="true" ma:displayName="File Type" ma:description="Please select the file type of the document you are adding" ma:format="Dropdown" ma:internalName="File_x0020_Type0">
      <xsd:simpleType>
        <xsd:union memberTypes="dms:Text">
          <xsd:simpleType>
            <xsd:restriction base="dms:Choice">
              <xsd:enumeration value="Microsoft Word (.doc, .dot)"/>
              <xsd:enumeration value="Microsoft Excel (.xls)"/>
              <xsd:enumeration value="Microsoft Powerpoint (.ppt)"/>
              <xsd:enumeration value="Microsoft Publisher (.pub)"/>
              <xsd:enumeration value="Microsoft Visio (.vsd)"/>
              <xsd:enumeration value="Adobe PDF/Acrobat (.pdf)"/>
              <xsd:enumeration value="Text (.txt, .rtf)"/>
              <xsd:enumeration value="Spatial file (eg. ArcView shapefile)"/>
              <xsd:enumeration value="Image (.jpg, .eps, .tif, .psd, .bmp, .wmf)"/>
              <xsd:enumeration value="Document link"/>
              <xsd:enumeration value="Zip or Compressed file (.zip, .rar)"/>
              <xsd:enumeration value="Other"/>
            </xsd:restriction>
          </xsd:simpleType>
        </xsd:union>
      </xsd:simpleType>
    </xsd:element>
    <xsd:element name="Comments" ma:index="8" nillable="true" ma:displayName="Comments" ma:description="Add a comment about the document you are adding" ma:internalName="Comments">
      <xsd:simpleType>
        <xsd:restriction base="dms:Note"/>
      </xsd:simpleType>
    </xsd:element>
    <xsd:element name="Species" ma:index="15" nillable="true" ma:displayName="Species" ma:format="Dropdown" ma:internalName="Species">
      <xsd:simpleType>
        <xsd:union memberTypes="dms:Text">
          <xsd:simpleType>
            <xsd:restriction base="dms:Choice">
              <xsd:enumeration value="European rabbit"/>
              <xsd:enumeration value="European hare"/>
              <xsd:enumeration value="Red fox"/>
              <xsd:enumeration value="Feral pig"/>
              <xsd:enumeration value="Feral goat"/>
              <xsd:enumeration value="Wild dog"/>
              <xsd:enumeration value="Fox and wild dog bounty"/>
              <xsd:enumeration value="Other specie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atchment xmlns="63b81dba-1390-494b-a5b4-f5ffbb88ba04">
      <Value>All Catchments</Value>
    </Catchment>
    <Comments xmlns="63b81dba-1390-494b-a5b4-f5ffbb88ba04" xsi:nil="true"/>
    <Document_x0020_Category xmlns="63b81dba-1390-494b-a5b4-f5ffbb88ba04">Procedure</Document_x0020_Category>
    <File_x0020_Type0 xmlns="63b81dba-1390-494b-a5b4-f5ffbb88ba04">Microsoft Word (.doc, .dot)</File_x0020_Type0>
    <Species xmlns="63b81dba-1390-494b-a5b4-f5ffbb88ba04">Feral goat</Species>
    <Description0 xmlns="63b81dba-1390-494b-a5b4-f5ffbb88ba04">2014 DEPI formatted version</Description0>
    <Date_x0020_Created xmlns="63b81dba-1390-494b-a5b4-f5ffbb88ba04">2014-08-24T14:00:00+00:00</Date_x0020_Created>
    <Document_x0020_Status xmlns="63b81dba-1390-494b-a5b4-f5ffbb88ba04">Final</Document_x0020_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E6171-A009-491F-AA7D-B73989EB4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81dba-1390-494b-a5b4-f5ffbb88ba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675E51F-D57C-44D3-8C74-0D596A436351}">
  <ds:schemaRefs>
    <ds:schemaRef ds:uri="http://schemas.microsoft.com/sharepoint/v3/contenttype/forms"/>
  </ds:schemaRefs>
</ds:datastoreItem>
</file>

<file path=customXml/itemProps3.xml><?xml version="1.0" encoding="utf-8"?>
<ds:datastoreItem xmlns:ds="http://schemas.openxmlformats.org/officeDocument/2006/customXml" ds:itemID="{E43E1056-FDCC-473D-A99A-6870FBD5F09A}">
  <ds:schemaRefs>
    <ds:schemaRef ds:uri="http://schemas.microsoft.com/office/2006/metadata/longProperties"/>
  </ds:schemaRefs>
</ds:datastoreItem>
</file>

<file path=customXml/itemProps4.xml><?xml version="1.0" encoding="utf-8"?>
<ds:datastoreItem xmlns:ds="http://schemas.openxmlformats.org/officeDocument/2006/customXml" ds:itemID="{23C9F434-1EBB-4A68-A779-CA6D6B4FD396}">
  <ds:schemaRefs>
    <ds:schemaRef ds:uri="http://schemas.microsoft.com/office/2006/metadata/properties"/>
    <ds:schemaRef ds:uri="http://schemas.microsoft.com/office/infopath/2007/PartnerControls"/>
    <ds:schemaRef ds:uri="63b81dba-1390-494b-a5b4-f5ffbb88ba04"/>
  </ds:schemaRefs>
</ds:datastoreItem>
</file>

<file path=customXml/itemProps5.xml><?xml version="1.0" encoding="utf-8"?>
<ds:datastoreItem xmlns:ds="http://schemas.openxmlformats.org/officeDocument/2006/customXml" ds:itemID="{09E995AB-BE54-4270-B97F-46A5EB44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 Report.dot</Template>
  <TotalTime>0</TotalTime>
  <Pages>25</Pages>
  <Words>5455</Words>
  <Characters>29949</Characters>
  <Application>Microsoft Office Word</Application>
  <DocSecurity>0</DocSecurity>
  <Lines>2303</Lines>
  <Paragraphs>1966</Paragraphs>
  <ScaleCrop>false</ScaleCrop>
  <HeadingPairs>
    <vt:vector size="2" baseType="variant">
      <vt:variant>
        <vt:lpstr>Title</vt:lpstr>
      </vt:variant>
      <vt:variant>
        <vt:i4>1</vt:i4>
      </vt:variant>
    </vt:vector>
  </HeadingPairs>
  <TitlesOfParts>
    <vt:vector size="1" baseType="lpstr">
      <vt:lpstr>Earth Resources Regulation statistical report 2013-14</vt:lpstr>
    </vt:vector>
  </TitlesOfParts>
  <Company>Templates Express</Company>
  <LinksUpToDate>false</LinksUpToDate>
  <CharactersWithSpaces>33438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Resources Regulation statistical report 2013-14</dc:title>
  <dc:creator>lv09</dc:creator>
  <cp:lastModifiedBy>David Higgins</cp:lastModifiedBy>
  <cp:revision>2</cp:revision>
  <cp:lastPrinted>2016-05-03T04:57:00Z</cp:lastPrinted>
  <dcterms:created xsi:type="dcterms:W3CDTF">2016-05-30T23:10:00Z</dcterms:created>
  <dcterms:modified xsi:type="dcterms:W3CDTF">2016-05-30T23:10:00Z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Standard Operating Procedure: Aerial Shooting of Feral Goats in Victoria</vt:lpwstr>
  </property>
  <property fmtid="{D5CDD505-2E9C-101B-9397-08002B2CF9AE}" pid="3" name="xSubtitle">
    <vt:lpwstr/>
  </property>
  <property fmtid="{D5CDD505-2E9C-101B-9397-08002B2CF9AE}" pid="4" name="xFooter">
    <vt:lpwstr/>
  </property>
  <property fmtid="{D5CDD505-2E9C-101B-9397-08002B2CF9AE}" pid="5" name="xPubDate">
    <vt:lpwstr>November 2012</vt:lpwstr>
  </property>
  <property fmtid="{D5CDD505-2E9C-101B-9397-08002B2CF9AE}" pid="6" name="xBranch">
    <vt:lpwstr>Invasive Plants and Animals Operations Branch</vt:lpwstr>
  </property>
  <property fmtid="{D5CDD505-2E9C-101B-9397-08002B2CF9AE}" pid="7" name="xCopyrightDate">
    <vt:lpwstr>2012</vt:lpwstr>
  </property>
  <property fmtid="{D5CDD505-2E9C-101B-9397-08002B2CF9AE}" pid="8" name="xCoverPath">
    <vt:lpwstr>J:\b-cas\caleb hurrell\photos\photos for web site\EIA web update 2012\permission to use on EIA section of web site, training package, COPs and SOPs only\Feral Goats\Goat (Scott Jennings, Department of Environment and Heritage.jpg</vt:lpwstr>
  </property>
  <property fmtid="{D5CDD505-2E9C-101B-9397-08002B2CF9AE}" pid="9" name="xDivision">
    <vt:lpwstr>Biosecurity</vt:lpwstr>
  </property>
  <property fmtid="{D5CDD505-2E9C-101B-9397-08002B2CF9AE}" pid="10" name="xJobNo">
    <vt:lpwstr/>
  </property>
  <property fmtid="{D5CDD505-2E9C-101B-9397-08002B2CF9AE}" pid="11" name="xBackCover">
    <vt:lpwstr>Y</vt:lpwstr>
  </property>
  <property fmtid="{D5CDD505-2E9C-101B-9397-08002B2CF9AE}" pid="12" name="xTOCH3">
    <vt:lpwstr>Y</vt:lpwstr>
  </property>
  <property fmtid="{D5CDD505-2E9C-101B-9397-08002B2CF9AE}" pid="13" name="xTOCH2">
    <vt:lpwstr>Y</vt:lpwstr>
  </property>
  <property fmtid="{D5CDD505-2E9C-101B-9397-08002B2CF9AE}" pid="14" name="xPageLayout">
    <vt:lpwstr>D</vt:lpwstr>
  </property>
  <property fmtid="{D5CDD505-2E9C-101B-9397-08002B2CF9AE}" pid="15" name="xISBN1">
    <vt:lpwstr/>
  </property>
  <property fmtid="{D5CDD505-2E9C-101B-9397-08002B2CF9AE}" pid="16" name="xISBN2">
    <vt:lpwstr/>
  </property>
  <property fmtid="{D5CDD505-2E9C-101B-9397-08002B2CF9AE}" pid="17" name="xChapterPageStart">
    <vt:lpwstr>N</vt:lpwstr>
  </property>
  <property fmtid="{D5CDD505-2E9C-101B-9397-08002B2CF9AE}" pid="18" name="xChapterPageStartChange">
    <vt:lpwstr/>
  </property>
  <property fmtid="{D5CDD505-2E9C-101B-9397-08002B2CF9AE}" pid="19" name="ContentType">
    <vt:lpwstr>Document</vt:lpwstr>
  </property>
  <property fmtid="{D5CDD505-2E9C-101B-9397-08002B2CF9AE}" pid="20" name="URL">
    <vt:lpwstr/>
  </property>
  <property fmtid="{D5CDD505-2E9C-101B-9397-08002B2CF9AE}" pid="21" name="TitusGUID">
    <vt:lpwstr>73ead3e4-06d8-4259-846d-6a5c9963f513</vt:lpwstr>
  </property>
  <property fmtid="{D5CDD505-2E9C-101B-9397-08002B2CF9AE}" pid="22" name="DSDBI ClassificationCLASSIFICATION">
    <vt:lpwstr>UNCLASSIFIED</vt:lpwstr>
  </property>
  <property fmtid="{D5CDD505-2E9C-101B-9397-08002B2CF9AE}" pid="23" name="DSDBI ClassificationDLM FOR SEC-MARKINGS">
    <vt:lpwstr>NONE</vt:lpwstr>
  </property>
  <property fmtid="{D5CDD505-2E9C-101B-9397-08002B2CF9AE}" pid="24" name="Classification">
    <vt:lpwstr>UNCLASSIFIED
NONE
</vt:lpwstr>
  </property>
</Properties>
</file>