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44B4" w14:textId="71A97337" w:rsidR="00323C30" w:rsidRPr="00323C30" w:rsidRDefault="00323C30" w:rsidP="00323C30">
      <w:pPr>
        <w:pStyle w:val="Title"/>
      </w:pPr>
      <w:r w:rsidRPr="00323C30">
        <w:t>Land access and compensation</w:t>
      </w:r>
      <w:r w:rsidRPr="00323C30">
        <w:br/>
        <w:t>for landholders</w:t>
      </w:r>
    </w:p>
    <w:p w14:paraId="5FBC0183" w14:textId="3EA60AE7" w:rsidR="007968FE" w:rsidRPr="00323C30" w:rsidRDefault="00323C30" w:rsidP="00323C30">
      <w:pPr>
        <w:pStyle w:val="Subtitle"/>
      </w:pPr>
      <w:r w:rsidRPr="00323C30">
        <w:t>Granting access to privately owned land to exploration companies</w:t>
      </w:r>
    </w:p>
    <w:p w14:paraId="20C36172" w14:textId="77777777" w:rsidR="00323C30" w:rsidRPr="00323C30" w:rsidRDefault="00323C30" w:rsidP="00323C30">
      <w:pPr>
        <w:pStyle w:val="BodyText"/>
        <w:rPr>
          <w:b/>
          <w:bCs/>
        </w:rPr>
      </w:pPr>
      <w:r w:rsidRPr="00323C30">
        <w:rPr>
          <w:b/>
          <w:bCs/>
        </w:rPr>
        <w:t>Exploration companies must have the informed consent of a landholder or a written compensation agreement before they can enter privately owned property or commence exploration work on that land.</w:t>
      </w:r>
    </w:p>
    <w:p w14:paraId="027E26DD" w14:textId="77777777" w:rsidR="00323C30" w:rsidRPr="00323C30" w:rsidRDefault="00323C30" w:rsidP="00323C30">
      <w:pPr>
        <w:pStyle w:val="BodyText"/>
        <w:spacing w:after="80"/>
      </w:pPr>
      <w:r w:rsidRPr="00323C30">
        <w:t xml:space="preserve">While informed verbal consent is not deﬁned in the </w:t>
      </w:r>
      <w:r w:rsidRPr="00323C30">
        <w:rPr>
          <w:i/>
          <w:iCs/>
        </w:rPr>
        <w:t xml:space="preserve">Mineral Resources (Sustainable Development) Act 1990 </w:t>
      </w:r>
      <w:r w:rsidRPr="00323C30">
        <w:t xml:space="preserve">(MRSD Act), the </w:t>
      </w:r>
      <w:r w:rsidRPr="00323C30">
        <w:rPr>
          <w:i/>
          <w:iCs/>
        </w:rPr>
        <w:t>Code of Practice for Mineral Exploration</w:t>
      </w:r>
      <w:r w:rsidRPr="00323C30">
        <w:t xml:space="preserve"> suggests that as a minimum, the licensee should provide the landholder with the following information:</w:t>
      </w:r>
    </w:p>
    <w:p w14:paraId="3CA59499" w14:textId="77777777" w:rsidR="00323C30" w:rsidRPr="00323C30" w:rsidRDefault="00323C30" w:rsidP="00323C30">
      <w:pPr>
        <w:pStyle w:val="ListBullet"/>
      </w:pPr>
      <w:r w:rsidRPr="00323C30">
        <w:t>the nature, extent, duration, and potential impacts of the proposed exploration on the land</w:t>
      </w:r>
    </w:p>
    <w:p w14:paraId="374280C9" w14:textId="77777777" w:rsidR="00323C30" w:rsidRPr="00323C30" w:rsidRDefault="00323C30" w:rsidP="00323C30">
      <w:pPr>
        <w:pStyle w:val="ListBullet"/>
      </w:pPr>
      <w:r w:rsidRPr="00323C30">
        <w:t>that compensation is payable for loss or damage that may be or has been sustained because of exploration</w:t>
      </w:r>
    </w:p>
    <w:p w14:paraId="0D536947" w14:textId="77777777" w:rsidR="00323C30" w:rsidRPr="00323C30" w:rsidRDefault="00323C30" w:rsidP="00323C30">
      <w:pPr>
        <w:pStyle w:val="ListBullet"/>
      </w:pPr>
      <w:r w:rsidRPr="00323C30">
        <w:t>that exploration work can only be undertaken on private land with landholders’ consent</w:t>
      </w:r>
    </w:p>
    <w:p w14:paraId="53FA7C7E" w14:textId="77777777" w:rsidR="00323C30" w:rsidRPr="00323C30" w:rsidRDefault="00323C30" w:rsidP="00323C30">
      <w:pPr>
        <w:pStyle w:val="ListBullet"/>
      </w:pPr>
      <w:r w:rsidRPr="00323C30">
        <w:t>or alternatively, there is a written, signed, and registered compensation agreement</w:t>
      </w:r>
    </w:p>
    <w:p w14:paraId="4B86D45A" w14:textId="77777777" w:rsidR="00323C30" w:rsidRPr="00323C30" w:rsidRDefault="00323C30" w:rsidP="00323C30">
      <w:pPr>
        <w:pStyle w:val="BodyText"/>
      </w:pPr>
      <w:r w:rsidRPr="00323C30">
        <w:t>When consenting to allow access, landholders and occupiers should put this consent and any conditions of entry in writing and have it signed by both parties.</w:t>
      </w:r>
    </w:p>
    <w:p w14:paraId="0E8D4DBA" w14:textId="77777777" w:rsidR="00323C30" w:rsidRPr="00323C30" w:rsidRDefault="00323C30" w:rsidP="00323C30">
      <w:pPr>
        <w:pStyle w:val="Heading1"/>
      </w:pPr>
      <w:r w:rsidRPr="00323C30">
        <w:lastRenderedPageBreak/>
        <w:t>Written or verbal agreement</w:t>
      </w:r>
    </w:p>
    <w:p w14:paraId="5DEB818E" w14:textId="20639AA6" w:rsidR="00323C30" w:rsidRPr="00323C30" w:rsidRDefault="00323C30" w:rsidP="00323C30">
      <w:pPr>
        <w:pStyle w:val="BodyText"/>
      </w:pPr>
      <w:r w:rsidRPr="00323C30">
        <w:t>Minerals exploration licence holders can obtain landholder consent verbally only if they are undertaking reconnaissance exploration such as rock and surface water sampling, aerial surveying, and geological mapping.</w:t>
      </w:r>
    </w:p>
    <w:p w14:paraId="2ED60C23" w14:textId="2830A7CD" w:rsidR="00323C30" w:rsidRPr="00323C30" w:rsidRDefault="00323C30" w:rsidP="00323C30">
      <w:pPr>
        <w:pStyle w:val="BodyText"/>
      </w:pPr>
      <w:r w:rsidRPr="00323C30">
        <w:t xml:space="preserve">If the exploration </w:t>
      </w:r>
      <w:proofErr w:type="gramStart"/>
      <w:r w:rsidRPr="00323C30">
        <w:t>work</w:t>
      </w:r>
      <w:proofErr w:type="gramEnd"/>
      <w:r w:rsidRPr="00323C30">
        <w:t xml:space="preserve"> to be undertaken includes the use of equipment (other than non-mechanical hand tools) to excavate or involves the removal of or damage to any tree or shrub, then written consent is required from the landholder.</w:t>
      </w:r>
    </w:p>
    <w:p w14:paraId="649C759A" w14:textId="77777777" w:rsidR="00323C30" w:rsidRPr="00323C30" w:rsidRDefault="00323C30" w:rsidP="00323C30">
      <w:pPr>
        <w:pStyle w:val="BodyText"/>
      </w:pPr>
      <w:r w:rsidRPr="00323C30">
        <w:t xml:space="preserve">If the exploration </w:t>
      </w:r>
      <w:proofErr w:type="gramStart"/>
      <w:r w:rsidRPr="00323C30">
        <w:t>work</w:t>
      </w:r>
      <w:proofErr w:type="gramEnd"/>
      <w:r w:rsidRPr="00323C30">
        <w:t xml:space="preserve"> to be undertaken is not low impact and requires an approved Work Plan from Resources Victoria’s Earth Resources Regulator, then a written compensation agreement (which includes land access consent) is required.</w:t>
      </w:r>
    </w:p>
    <w:p w14:paraId="61587B72" w14:textId="77777777" w:rsidR="00323C30" w:rsidRPr="00323C30" w:rsidRDefault="00323C30" w:rsidP="00323C30">
      <w:pPr>
        <w:pStyle w:val="Heading1"/>
      </w:pPr>
      <w:r w:rsidRPr="00323C30">
        <w:t>Land Access Agreement Guide</w:t>
      </w:r>
    </w:p>
    <w:p w14:paraId="1A84B0D7" w14:textId="77777777" w:rsidR="00323C30" w:rsidRPr="00323C30" w:rsidRDefault="00323C30" w:rsidP="00323C30">
      <w:pPr>
        <w:pStyle w:val="BodyText"/>
      </w:pPr>
      <w:r w:rsidRPr="00323C30">
        <w:t>Resources Victoria has developed a land access guide to help landholders understand the exploration process and reach an agreement with an explorer.</w:t>
      </w:r>
    </w:p>
    <w:p w14:paraId="6F80D536" w14:textId="77777777" w:rsidR="00323C30" w:rsidRPr="00323C30" w:rsidRDefault="00323C30" w:rsidP="00323C30">
      <w:pPr>
        <w:pStyle w:val="BodyText"/>
      </w:pPr>
      <w:r w:rsidRPr="00323C30">
        <w:t>Through the guide, landowners and occupiers have the opportunity to establish an agreed approach regarding critical farming activities such as cropping, livestock movements, calving or lambing, establish access points, biosecurity protocols, ﬁre plans and to work through any other potential impacts on the farm business.</w:t>
      </w:r>
    </w:p>
    <w:p w14:paraId="3C805FCB" w14:textId="73030D4E" w:rsidR="00323C30" w:rsidRPr="00323C30" w:rsidRDefault="00323C30" w:rsidP="00323C30">
      <w:pPr>
        <w:pStyle w:val="BodyText"/>
      </w:pPr>
      <w:r w:rsidRPr="00323C30">
        <w:t>Our Commercial Consent Agreement for Access to Private Land in Victoria is a simple, voluntary agreement, which may include compensation, and can be tailored to your needs.</w:t>
      </w:r>
      <w:r>
        <w:t xml:space="preserve"> </w:t>
      </w:r>
      <w:r w:rsidRPr="00323C30">
        <w:t xml:space="preserve">It can be found at </w:t>
      </w:r>
      <w:hyperlink r:id="rId8" w:tooltip="Hyperlink to the PDF document 'Guide-to-Commercial-Consent-Agreement-for-Access-to-Private-Land-in-Victoria-Updated-2021-09-21.pdf' (834Kb)" w:history="1">
        <w:r w:rsidR="00747263">
          <w:rPr>
            <w:rStyle w:val="Hyperlink"/>
          </w:rPr>
          <w:t>http://resources.vic.gov.au/__data/assets/pdf_file/0006/469752/Guide-to-Commercial-Consent-Agreement-for-Access-to-Private-Land-in-Victoria-Updated-2021-09-21.pdf</w:t>
        </w:r>
      </w:hyperlink>
      <w:r w:rsidRPr="00323C30">
        <w:t>.</w:t>
      </w:r>
    </w:p>
    <w:p w14:paraId="4F617DD1" w14:textId="77777777" w:rsidR="00323C30" w:rsidRDefault="00323C30" w:rsidP="00747263">
      <w:pPr>
        <w:pStyle w:val="BodyText"/>
        <w:tabs>
          <w:tab w:val="left" w:pos="3317"/>
        </w:tabs>
        <w:spacing w:after="0"/>
      </w:pPr>
      <w:r w:rsidRPr="00323C30">
        <w:lastRenderedPageBreak/>
        <w:t>Find the agreement through this QR code</w:t>
      </w:r>
      <w:r>
        <w:t>:</w:t>
      </w:r>
    </w:p>
    <w:p w14:paraId="66742658" w14:textId="5FE007B6" w:rsidR="00461BEA" w:rsidRDefault="00461BEA" w:rsidP="00747263">
      <w:pPr>
        <w:pStyle w:val="BodyText"/>
        <w:tabs>
          <w:tab w:val="left" w:pos="3317"/>
        </w:tabs>
        <w:spacing w:after="0"/>
      </w:pPr>
      <w:r>
        <w:rPr>
          <w:noProof/>
        </w:rPr>
        <w:drawing>
          <wp:inline distT="0" distB="0" distL="0" distR="0" wp14:anchorId="3094A9C2" wp14:editId="5FABEE19">
            <wp:extent cx="1915611" cy="1915611"/>
            <wp:effectExtent l="0" t="0" r="0" b="0"/>
            <wp:docPr id="2837417" name="Picture 1" descr="Image of a QR code which hyperlinks to the PDF document titled ‘Guide-to-Commercial-Consent-Agreement-for-Access-to-Private-Land-in-Victoria-Updated-2021-09-21.pdf’ (834Kb)">
              <a:hlinkClick xmlns:a="http://schemas.openxmlformats.org/drawingml/2006/main" r:id="rId9" tooltip="Hyperlink to the PDF document 'Guide-to-Commercial-Consent-Agreement-for-Access-to-Private-Land-in-Victoria-Updated-2021-09-21.pdf' (834K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417" name="Picture 1" descr="Image of a QR code which hyperlinks to the PDF document titled ‘Guide-to-Commercial-Consent-Agreement-for-Access-to-Private-Land-in-Victoria-Updated-2021-09-21.pdf’ (834Kb)">
                      <a:hlinkClick r:id="rId9" tooltip="Hyperlink to the PDF document 'Guide-to-Commercial-Consent-Agreement-for-Access-to-Private-Land-in-Victoria-Updated-2021-09-21.pdf' (834Kb)"/>
                    </pic:cNvPr>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1924683" cy="1924683"/>
                    </a:xfrm>
                    <a:prstGeom prst="rect">
                      <a:avLst/>
                    </a:prstGeom>
                  </pic:spPr>
                </pic:pic>
              </a:graphicData>
            </a:graphic>
          </wp:inline>
        </w:drawing>
      </w:r>
    </w:p>
    <w:p w14:paraId="3AF7940A" w14:textId="77777777" w:rsidR="00323C30" w:rsidRPr="00323C30" w:rsidRDefault="00323C30" w:rsidP="00323C30">
      <w:pPr>
        <w:pStyle w:val="Heading1"/>
      </w:pPr>
      <w:r w:rsidRPr="00323C30">
        <w:t>Who owns the land and the minerals?</w:t>
      </w:r>
    </w:p>
    <w:p w14:paraId="46F70412" w14:textId="77777777" w:rsidR="00323C30" w:rsidRPr="00323C30" w:rsidRDefault="00323C30" w:rsidP="00323C30">
      <w:pPr>
        <w:pStyle w:val="BodyText"/>
      </w:pPr>
      <w:r w:rsidRPr="00323C30">
        <w:t>Generally, landholders own their land to a depth of 15 metres, depending upon the land title. Like elsewhere in Australia, the Crown (State) owns minerals on behalf of the whole community.</w:t>
      </w:r>
    </w:p>
    <w:p w14:paraId="0D640879" w14:textId="6DA2209D" w:rsidR="00323C30" w:rsidRPr="00323C30" w:rsidRDefault="00323C30" w:rsidP="00323C30">
      <w:pPr>
        <w:pStyle w:val="BodyText"/>
      </w:pPr>
      <w:r w:rsidRPr="00323C30">
        <w:t>The State can issue licences to companies and individuals to explore for minerals anywhere in Victoria, unless there is a specific exemption at that location. Exemptions can include areas of National Parks or anywhere the Minister for Energy and Resources deems necessary under section 7 of the MRSD Act.</w:t>
      </w:r>
    </w:p>
    <w:p w14:paraId="51A5CCF1" w14:textId="77777777" w:rsidR="00323C30" w:rsidRPr="00323C30" w:rsidRDefault="00323C30" w:rsidP="00323C30">
      <w:pPr>
        <w:pStyle w:val="Heading1"/>
      </w:pPr>
      <w:r w:rsidRPr="00323C30">
        <w:t>What compensation am I entitled to?</w:t>
      </w:r>
    </w:p>
    <w:p w14:paraId="60B42239" w14:textId="77777777" w:rsidR="00323C30" w:rsidRPr="00323C30" w:rsidRDefault="00323C30" w:rsidP="00323C30">
      <w:pPr>
        <w:pStyle w:val="BodyText"/>
        <w:spacing w:after="60"/>
      </w:pPr>
      <w:r w:rsidRPr="00323C30">
        <w:t>Exploration licence conditions require a licensee to take all reasonable steps to minimise the impact of exploration on a landholder. Under the MRSD Act, compensation is also payable if any of the following scenarios arise from exploration work, or from a proposal to carry out exploration on or below private land:</w:t>
      </w:r>
    </w:p>
    <w:p w14:paraId="7991DB64" w14:textId="77777777" w:rsidR="00323C30" w:rsidRPr="00323C30" w:rsidRDefault="00323C30" w:rsidP="00323C30">
      <w:pPr>
        <w:pStyle w:val="ListBullet"/>
      </w:pPr>
      <w:r w:rsidRPr="00323C30">
        <w:t>deprivation of possession of the whole or part of the surface of the land</w:t>
      </w:r>
    </w:p>
    <w:p w14:paraId="6B9A80BD" w14:textId="77777777" w:rsidR="00323C30" w:rsidRPr="00323C30" w:rsidRDefault="00323C30" w:rsidP="00323C30">
      <w:pPr>
        <w:pStyle w:val="ListBullet"/>
      </w:pPr>
      <w:r w:rsidRPr="00323C30">
        <w:t>damage to the surface of the land and to any improvements on the land</w:t>
      </w:r>
    </w:p>
    <w:p w14:paraId="2149C4C7" w14:textId="77777777" w:rsidR="00323C30" w:rsidRPr="00323C30" w:rsidRDefault="00323C30" w:rsidP="00323C30">
      <w:pPr>
        <w:pStyle w:val="ListBullet"/>
      </w:pPr>
      <w:r w:rsidRPr="00323C30">
        <w:t>severance of the land from other land of the owner or occupier</w:t>
      </w:r>
    </w:p>
    <w:p w14:paraId="260ED259" w14:textId="77777777" w:rsidR="00323C30" w:rsidRPr="00323C30" w:rsidRDefault="00323C30" w:rsidP="00323C30">
      <w:pPr>
        <w:pStyle w:val="ListBullet"/>
      </w:pPr>
      <w:r w:rsidRPr="00323C30">
        <w:lastRenderedPageBreak/>
        <w:t>loss of amenity including recreational and conservation values</w:t>
      </w:r>
    </w:p>
    <w:p w14:paraId="21A861D2" w14:textId="77777777" w:rsidR="00323C30" w:rsidRPr="00323C30" w:rsidRDefault="00323C30" w:rsidP="00323C30">
      <w:pPr>
        <w:pStyle w:val="ListBullet"/>
      </w:pPr>
      <w:r w:rsidRPr="00323C30">
        <w:t>loss of opportunity to make planned improvements</w:t>
      </w:r>
    </w:p>
    <w:p w14:paraId="53BD85B0" w14:textId="77777777" w:rsidR="00323C30" w:rsidRPr="00323C30" w:rsidRDefault="00323C30" w:rsidP="00323C30">
      <w:pPr>
        <w:pStyle w:val="ListBullet"/>
      </w:pPr>
      <w:r w:rsidRPr="00323C30">
        <w:t>any decrease in market value of the owner’s or occupier’s interest in the land</w:t>
      </w:r>
    </w:p>
    <w:p w14:paraId="28BE86F5" w14:textId="77777777" w:rsidR="00323C30" w:rsidRPr="00323C30" w:rsidRDefault="00323C30" w:rsidP="00323C30">
      <w:pPr>
        <w:pStyle w:val="LastBulletinList"/>
      </w:pPr>
      <w:r w:rsidRPr="00323C30">
        <w:t>any reasonable incidental expense in obtaining or moving to replace land (when required).</w:t>
      </w:r>
    </w:p>
    <w:p w14:paraId="304C2C90" w14:textId="7FCA0943" w:rsidR="00323C30" w:rsidRPr="00323C30" w:rsidRDefault="00323C30" w:rsidP="00323C30">
      <w:pPr>
        <w:pStyle w:val="BodyText"/>
      </w:pPr>
      <w:r w:rsidRPr="00323C30">
        <w:t>The MRSD Act does not state that these are only factors for which compensation is payable. It also does not stipulate which type of activity requires compensation to be paid. Landholders may seek compensation for matters such as access and land use required for any exploration work.</w:t>
      </w:r>
    </w:p>
    <w:p w14:paraId="755655B1" w14:textId="77777777" w:rsidR="00323C30" w:rsidRPr="00323C30" w:rsidRDefault="00323C30" w:rsidP="00323C30">
      <w:pPr>
        <w:pStyle w:val="BodyText"/>
      </w:pPr>
      <w:r w:rsidRPr="00323C30">
        <w:t>Written compensation agreements must be lodged with the mining registrar for registration. Compensation may include a cash payment or in-kind payments (including things of value to the landholder, such as a new access road or fences).</w:t>
      </w:r>
    </w:p>
    <w:p w14:paraId="0C226F26" w14:textId="77777777" w:rsidR="00323C30" w:rsidRPr="00323C30" w:rsidRDefault="00323C30" w:rsidP="00323C30">
      <w:pPr>
        <w:pStyle w:val="Heading1"/>
      </w:pPr>
      <w:r w:rsidRPr="00323C30">
        <w:t>Did you know?</w:t>
      </w:r>
    </w:p>
    <w:p w14:paraId="200EC46C" w14:textId="77777777" w:rsidR="00323C30" w:rsidRPr="00323C30" w:rsidRDefault="00323C30" w:rsidP="00323C30">
      <w:pPr>
        <w:pStyle w:val="BodyText"/>
      </w:pPr>
      <w:r w:rsidRPr="00323C30">
        <w:t>Minerals exploration companies must meet biosecurity obligations set out in legislation. For example, licensees must take all reasonable measures to minimise the spread of weeds, pest animals and plant diseases and to prevent adverse impacts to livestock and crops whilst undertaking exploration activities.</w:t>
      </w:r>
    </w:p>
    <w:p w14:paraId="71921EE0" w14:textId="77777777" w:rsidR="00323C30" w:rsidRPr="00323C30" w:rsidRDefault="00323C30" w:rsidP="00323C30">
      <w:pPr>
        <w:pStyle w:val="Heading1"/>
      </w:pPr>
      <w:r w:rsidRPr="00323C30">
        <w:t>What if we cannot reach an agreement?</w:t>
      </w:r>
    </w:p>
    <w:p w14:paraId="0DB767B2" w14:textId="77777777" w:rsidR="00323C30" w:rsidRPr="00323C30" w:rsidRDefault="00323C30" w:rsidP="00323C30">
      <w:pPr>
        <w:pStyle w:val="BodyText"/>
      </w:pPr>
      <w:r w:rsidRPr="00323C30">
        <w:t xml:space="preserve">If agreement cannot be reached, landholders and exploration companies can seek mediation through the Mining Warden. If mediation does not achieve an outcome, the landholder does not provide consent and/or an appropriate amount of compensation </w:t>
      </w:r>
      <w:r w:rsidRPr="00323C30">
        <w:lastRenderedPageBreak/>
        <w:t>cannot be agreed, then either party may refer to the Victorian Civil and Administrative Tribunal (VCAT).</w:t>
      </w:r>
    </w:p>
    <w:p w14:paraId="5011D5EE" w14:textId="77777777" w:rsidR="00323C30" w:rsidRPr="00323C30" w:rsidRDefault="00323C30" w:rsidP="00323C30">
      <w:pPr>
        <w:pStyle w:val="BodyText"/>
      </w:pPr>
      <w:r w:rsidRPr="00323C30">
        <w:t>VCAT does not determine the right to access land, rather the amount of compensation to be paid to the landholder. VCAT is available where conciliation between the parties has failed to achieve a satisfactory settlement negotiation and should be used as a last resort.</w:t>
      </w:r>
    </w:p>
    <w:p w14:paraId="5748E320" w14:textId="77777777" w:rsidR="00323C30" w:rsidRPr="00323C30" w:rsidRDefault="00323C30" w:rsidP="00323C30">
      <w:pPr>
        <w:pStyle w:val="Heading1"/>
      </w:pPr>
      <w:r w:rsidRPr="00323C30">
        <w:t>Guides to assist landholders</w:t>
      </w:r>
    </w:p>
    <w:p w14:paraId="223E3066" w14:textId="3E98F1B5" w:rsidR="00323C30" w:rsidRPr="00323C30" w:rsidRDefault="00323C30" w:rsidP="00323C30">
      <w:pPr>
        <w:pStyle w:val="BodyText"/>
      </w:pPr>
      <w:r w:rsidRPr="00323C30">
        <w:t>Landholders seeking to understand more about their rights in relation to minerals exploration on their property can access several guides.</w:t>
      </w:r>
      <w:r>
        <w:t xml:space="preserve"> </w:t>
      </w:r>
      <w:r w:rsidRPr="00323C30">
        <w:t xml:space="preserve">These can be found at </w:t>
      </w:r>
      <w:hyperlink r:id="rId12" w:tooltip="Hyperlink to the Resources Victoria website" w:history="1">
        <w:r w:rsidR="006D37F3">
          <w:rPr>
            <w:rStyle w:val="Hyperlink"/>
          </w:rPr>
          <w:t>http://resources.vic.gov.au/community-and-land-use/commercial-consent-agreement</w:t>
        </w:r>
      </w:hyperlink>
      <w:r w:rsidRPr="00323C30">
        <w:t>.</w:t>
      </w:r>
    </w:p>
    <w:p w14:paraId="6E571978" w14:textId="77777777" w:rsidR="00747263" w:rsidRDefault="00323C30" w:rsidP="00747263">
      <w:pPr>
        <w:pStyle w:val="BodyText"/>
        <w:tabs>
          <w:tab w:val="left" w:pos="3317"/>
        </w:tabs>
        <w:spacing w:after="0"/>
      </w:pPr>
      <w:r w:rsidRPr="00323C30">
        <w:t>Find the guides through this QR code</w:t>
      </w:r>
      <w:r w:rsidR="00747263">
        <w:t>:</w:t>
      </w:r>
    </w:p>
    <w:p w14:paraId="057E2548" w14:textId="7AE83669" w:rsidR="00461BEA" w:rsidRDefault="00461BEA" w:rsidP="00747263">
      <w:pPr>
        <w:pStyle w:val="BodyText"/>
        <w:tabs>
          <w:tab w:val="left" w:pos="3317"/>
        </w:tabs>
        <w:spacing w:after="0"/>
      </w:pPr>
      <w:r>
        <w:rPr>
          <w:noProof/>
        </w:rPr>
        <w:drawing>
          <wp:inline distT="0" distB="0" distL="0" distR="0" wp14:anchorId="397C48BD" wp14:editId="20B0C71B">
            <wp:extent cx="1980000" cy="1980000"/>
            <wp:effectExtent l="0" t="0" r="0" b="0"/>
            <wp:docPr id="1279540857" name="Picture 2" descr="An image of a QR code which hyperlinks to the Resources Victoria website">
              <a:hlinkClick xmlns:a="http://schemas.openxmlformats.org/drawingml/2006/main" r:id="rId12" tooltip="Hyperlink to the Resources Victoria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40857" name="Picture 2" descr="An image of a QR code which hyperlinks to the Resources Victoria website">
                      <a:hlinkClick r:id="rId12" tooltip="Hyperlink to the Resources Victoria website"/>
                    </pic:cNvPr>
                    <pic:cNvPicPr/>
                  </pic:nvPicPr>
                  <pic:blipFill>
                    <a:blip r:embed="rId13"/>
                    <a:stretch>
                      <a:fillRect/>
                    </a:stretch>
                  </pic:blipFill>
                  <pic:spPr>
                    <a:xfrm>
                      <a:off x="0" y="0"/>
                      <a:ext cx="1980000" cy="1980000"/>
                    </a:xfrm>
                    <a:prstGeom prst="rect">
                      <a:avLst/>
                    </a:prstGeom>
                  </pic:spPr>
                </pic:pic>
              </a:graphicData>
            </a:graphic>
          </wp:inline>
        </w:drawing>
      </w:r>
    </w:p>
    <w:p w14:paraId="006A913B" w14:textId="77777777" w:rsidR="00323C30" w:rsidRPr="00323C30" w:rsidRDefault="00323C30" w:rsidP="00323C30">
      <w:pPr>
        <w:pStyle w:val="Heading1"/>
      </w:pPr>
      <w:r w:rsidRPr="00323C30">
        <w:t>Further information</w:t>
      </w:r>
    </w:p>
    <w:p w14:paraId="135223D5" w14:textId="17EF2556" w:rsidR="00323C30" w:rsidRPr="00323C30" w:rsidRDefault="00323C30" w:rsidP="00323C30">
      <w:pPr>
        <w:pStyle w:val="BodyText"/>
      </w:pPr>
      <w:r w:rsidRPr="00323C30">
        <w:t xml:space="preserve">For detailed information and to register to receive updates visit: </w:t>
      </w:r>
      <w:hyperlink r:id="rId14" w:tooltip="Hyperlink to the Resources Victoria website" w:history="1">
        <w:r w:rsidR="006D37F3">
          <w:rPr>
            <w:rStyle w:val="Hyperlink"/>
          </w:rPr>
          <w:t>resources.vic.gov.au</w:t>
        </w:r>
      </w:hyperlink>
    </w:p>
    <w:p w14:paraId="36DEC98D" w14:textId="04D254A4" w:rsidR="00885AAB" w:rsidRDefault="00323C30" w:rsidP="00323C30">
      <w:pPr>
        <w:pStyle w:val="BodyText"/>
      </w:pPr>
      <w:r w:rsidRPr="00323C30">
        <w:rPr>
          <w:lang w:val="en-AU"/>
        </w:rPr>
        <w:t>Alternatively, we can be contacted via email at </w:t>
      </w:r>
      <w:hyperlink r:id="rId15" w:tooltip="Hyperlink to send an email to DEECA" w:history="1">
        <w:r w:rsidR="006D37F3">
          <w:rPr>
            <w:rStyle w:val="Hyperlink"/>
            <w:lang w:val="en-AU"/>
          </w:rPr>
          <w:t>ERRFeedback@deeca.vic.gov.au</w:t>
        </w:r>
      </w:hyperlink>
      <w:r w:rsidRPr="00323C30">
        <w:rPr>
          <w:lang w:val="en-AU"/>
        </w:rPr>
        <w:t xml:space="preserve"> or </w:t>
      </w:r>
      <w:r w:rsidR="006D37F3">
        <w:rPr>
          <w:lang w:val="en-AU"/>
        </w:rPr>
        <w:t>telephone</w:t>
      </w:r>
      <w:r w:rsidRPr="00323C30">
        <w:rPr>
          <w:lang w:val="en-AU"/>
        </w:rPr>
        <w:t xml:space="preserve"> </w:t>
      </w:r>
      <w:r w:rsidRPr="0057189D">
        <w:rPr>
          <w:b/>
          <w:bCs/>
          <w:lang w:val="en-AU"/>
        </w:rPr>
        <w:t>1300 366 356</w:t>
      </w:r>
      <w:r w:rsidRPr="00323C30">
        <w:rPr>
          <w:lang w:val="en-AU"/>
        </w:rPr>
        <w:t>.</w:t>
      </w:r>
    </w:p>
    <w:p w14:paraId="1BE6F008" w14:textId="77777777" w:rsidR="00222FF2" w:rsidRDefault="00222FF2" w:rsidP="00885AAB">
      <w:pPr>
        <w:pStyle w:val="Heading1"/>
        <w:pageBreakBefore/>
        <w:spacing w:after="240"/>
      </w:pPr>
      <w:bookmarkStart w:id="0" w:name="_Toc184285036"/>
      <w:r w:rsidRPr="00AD02AB">
        <w:lastRenderedPageBreak/>
        <w:t>Publication information</w:t>
      </w:r>
      <w:bookmarkEnd w:id="0"/>
    </w:p>
    <w:p w14:paraId="0593132A" w14:textId="77777777" w:rsidR="00222FF2" w:rsidRPr="001C7BB6" w:rsidRDefault="00222FF2" w:rsidP="00C51A83">
      <w:pPr>
        <w:pStyle w:val="Heading2"/>
        <w:spacing w:before="0" w:after="80"/>
        <w:rPr>
          <w:sz w:val="32"/>
          <w:szCs w:val="32"/>
        </w:rPr>
      </w:pPr>
      <w:r w:rsidRPr="001C7BB6">
        <w:rPr>
          <w:sz w:val="32"/>
          <w:szCs w:val="32"/>
        </w:rPr>
        <w:t>Acknowledgements</w:t>
      </w:r>
    </w:p>
    <w:p w14:paraId="587DC2CB" w14:textId="30276699" w:rsidR="00222FF2" w:rsidRPr="00323C30" w:rsidRDefault="00323C30" w:rsidP="00323C30">
      <w:pPr>
        <w:pStyle w:val="BodyText"/>
      </w:pPr>
      <w:r w:rsidRPr="00323C30">
        <w:t>The Victorian Government acknowledges Aboriginal Traditional Owners of Country throughout Victoria and pays respect to their cultures and Elders past and present</w:t>
      </w:r>
      <w:r w:rsidR="00FF45EB" w:rsidRPr="00323C30">
        <w:rPr>
          <w:lang w:val="en-US"/>
        </w:rPr>
        <w:t>.</w:t>
      </w:r>
    </w:p>
    <w:p w14:paraId="6BA6D5D6" w14:textId="77777777" w:rsidR="00222FF2" w:rsidRPr="001C7BB6" w:rsidRDefault="00222FF2" w:rsidP="00C51A83">
      <w:pPr>
        <w:pStyle w:val="Heading2"/>
        <w:spacing w:before="0" w:after="80"/>
        <w:rPr>
          <w:sz w:val="32"/>
          <w:szCs w:val="32"/>
        </w:rPr>
      </w:pPr>
      <w:r w:rsidRPr="001C7BB6">
        <w:rPr>
          <w:sz w:val="32"/>
          <w:szCs w:val="32"/>
        </w:rPr>
        <w:t>Copyright</w:t>
      </w:r>
    </w:p>
    <w:p w14:paraId="7A6668C0" w14:textId="6D88D0EE" w:rsidR="00222FF2" w:rsidRPr="00747263" w:rsidRDefault="00222FF2" w:rsidP="00747263">
      <w:pPr>
        <w:pStyle w:val="BodyText"/>
        <w:spacing w:after="120"/>
        <w:ind w:right="-427"/>
        <w:rPr>
          <w:lang w:val="en-AU"/>
        </w:rPr>
      </w:pPr>
      <w:r w:rsidRPr="00F666C5">
        <w:rPr>
          <w:lang w:val="en-US"/>
        </w:rPr>
        <w:t xml:space="preserve">© </w:t>
      </w:r>
      <w:r w:rsidR="00747263" w:rsidRPr="00747263">
        <w:rPr>
          <w:lang w:val="en-AU"/>
        </w:rPr>
        <w:t>The State of Victoria Department of Energy, Environment and Climate Action February 2025</w:t>
      </w:r>
      <w:r w:rsidRPr="006D3BAD">
        <w:t>.</w:t>
      </w:r>
    </w:p>
    <w:p w14:paraId="45CD9140" w14:textId="77777777" w:rsidR="00222FF2" w:rsidRPr="001C7BB6" w:rsidRDefault="00222FF2" w:rsidP="00C51A83">
      <w:pPr>
        <w:pStyle w:val="Heading2"/>
        <w:spacing w:before="0" w:after="80"/>
        <w:rPr>
          <w:sz w:val="32"/>
          <w:szCs w:val="32"/>
        </w:rPr>
      </w:pPr>
      <w:r w:rsidRPr="001C7BB6">
        <w:rPr>
          <w:sz w:val="32"/>
          <w:szCs w:val="32"/>
        </w:rPr>
        <w:t>Creative Commons</w:t>
      </w:r>
    </w:p>
    <w:p w14:paraId="7A4A15B2"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6" w:tooltip="Hyperlink to Creative Commons website" w:history="1">
        <w:r w:rsidRPr="00F666C5">
          <w:rPr>
            <w:rStyle w:val="Hyperlink"/>
            <w:lang w:val="en-US"/>
          </w:rPr>
          <w:t>Creative Commons website</w:t>
        </w:r>
      </w:hyperlink>
      <w:r w:rsidRPr="00F666C5">
        <w:rPr>
          <w:lang w:val="en-US"/>
        </w:rPr>
        <w:t xml:space="preserve"> (</w:t>
      </w:r>
      <w:hyperlink r:id="rId17" w:tooltip="Hyperlink to Creative Commons website" w:history="1">
        <w:r w:rsidRPr="00F666C5">
          <w:rPr>
            <w:rStyle w:val="Hyperlink"/>
            <w:lang w:val="en-US"/>
          </w:rPr>
          <w:t>http://creativecommons.org/licenses/by/4.0/</w:t>
        </w:r>
      </w:hyperlink>
      <w:r w:rsidRPr="00F666C5">
        <w:rPr>
          <w:lang w:val="en-US"/>
        </w:rPr>
        <w:t>).</w:t>
      </w:r>
    </w:p>
    <w:p w14:paraId="072F3884" w14:textId="77777777" w:rsidR="00222FF2" w:rsidRPr="00F666C5" w:rsidRDefault="00222FF2" w:rsidP="00747263">
      <w:pPr>
        <w:pStyle w:val="BodyText"/>
        <w:spacing w:after="120"/>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10B3B358" w14:textId="4976EE53" w:rsidR="00222FF2" w:rsidRPr="00F666C5" w:rsidRDefault="00747263" w:rsidP="00C51A83">
      <w:pPr>
        <w:pStyle w:val="BodyText"/>
        <w:spacing w:after="120"/>
        <w:ind w:right="-285"/>
        <w:rPr>
          <w:lang w:val="en-US"/>
        </w:rPr>
      </w:pPr>
      <w:r w:rsidRPr="00747263">
        <w:rPr>
          <w:lang w:val="en-US"/>
        </w:rPr>
        <w:t xml:space="preserve">ISBN 978-1-76176-109-6 (print) </w:t>
      </w:r>
      <w:r w:rsidRPr="00747263">
        <w:rPr>
          <w:lang w:val="en-US"/>
        </w:rPr>
        <w:br/>
        <w:t>ISBN 978-1-76176-110-2 (pdf</w:t>
      </w:r>
      <w:r w:rsidR="00222FF2" w:rsidRPr="00F666C5">
        <w:rPr>
          <w:lang w:val="en-US"/>
        </w:rPr>
        <w:t>)</w:t>
      </w:r>
    </w:p>
    <w:p w14:paraId="58F3E725" w14:textId="77777777" w:rsidR="00222FF2" w:rsidRPr="001C7BB6" w:rsidRDefault="00222FF2" w:rsidP="00C51A83">
      <w:pPr>
        <w:pStyle w:val="Heading2"/>
        <w:spacing w:before="0" w:after="80"/>
        <w:rPr>
          <w:sz w:val="32"/>
          <w:szCs w:val="32"/>
        </w:rPr>
      </w:pPr>
      <w:r w:rsidRPr="001C7BB6">
        <w:rPr>
          <w:sz w:val="32"/>
          <w:szCs w:val="32"/>
        </w:rPr>
        <w:t>Disclaimer</w:t>
      </w:r>
    </w:p>
    <w:p w14:paraId="1FF76EC7" w14:textId="77777777" w:rsidR="00222FF2" w:rsidRPr="005A5FCD" w:rsidRDefault="00222FF2" w:rsidP="00747263">
      <w:pPr>
        <w:pStyle w:val="BodyText"/>
        <w:spacing w:after="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guarantee that the publication is without flaw of any kind or is wholly appropriate for your particular purposes and therefore disclaims all liability for any error, loss or other consequence which</w:t>
      </w:r>
      <w:r>
        <w:t xml:space="preserve"> </w:t>
      </w:r>
      <w:r w:rsidRPr="005A5FCD">
        <w:t>may arise from you relying on any information in this publication</w:t>
      </w:r>
      <w:r>
        <w:t>.</w:t>
      </w:r>
    </w:p>
    <w:p w14:paraId="72619731" w14:textId="77777777" w:rsidR="00222FF2" w:rsidRPr="001C7BB6" w:rsidRDefault="00222FF2" w:rsidP="00C51A83">
      <w:pPr>
        <w:pStyle w:val="Heading2"/>
        <w:spacing w:before="0" w:after="80"/>
        <w:rPr>
          <w:sz w:val="32"/>
          <w:szCs w:val="32"/>
        </w:rPr>
      </w:pPr>
      <w:r w:rsidRPr="001C7BB6">
        <w:rPr>
          <w:sz w:val="32"/>
          <w:szCs w:val="32"/>
        </w:rPr>
        <w:t>Accessibility</w:t>
      </w:r>
    </w:p>
    <w:p w14:paraId="24F216E8" w14:textId="77777777" w:rsidR="00222FF2" w:rsidRPr="00CB4B87" w:rsidRDefault="00222FF2" w:rsidP="00C51A83">
      <w:pPr>
        <w:pStyle w:val="BodyText"/>
        <w:spacing w:after="120"/>
      </w:pPr>
      <w:r>
        <w:t xml:space="preserve">To receive this document in an alternative format, phone the Customer Service Centre on 136 186, email </w:t>
      </w:r>
      <w:hyperlink r:id="rId18" w:tooltip="Send an email to customer service" w:history="1">
        <w:r w:rsidRPr="0078282A">
          <w:rPr>
            <w:rStyle w:val="Hyperlink"/>
          </w:rPr>
          <w:t>customer.service@delwp.vic.gov.au</w:t>
        </w:r>
      </w:hyperlink>
      <w:r>
        <w:t>, or contact National Relay Service on 133 677. Available at DEECA website (</w:t>
      </w:r>
      <w:hyperlink r:id="rId19" w:tooltip="Hyperlink to the DEECA website" w:history="1">
        <w:r w:rsidRPr="0078282A">
          <w:rPr>
            <w:rStyle w:val="Hyperlink"/>
          </w:rPr>
          <w:t>www.deeca.vic.gov.au</w:t>
        </w:r>
      </w:hyperlink>
      <w:r>
        <w:t>).</w:t>
      </w:r>
    </w:p>
    <w:p w14:paraId="76658F88" w14:textId="77777777" w:rsidR="00F767CD" w:rsidRPr="00F767CD" w:rsidRDefault="00222FF2" w:rsidP="00C51A83">
      <w:pPr>
        <w:pStyle w:val="BodyText"/>
        <w:spacing w:before="240" w:after="0"/>
        <w:rPr>
          <w:b/>
          <w:bCs/>
        </w:rPr>
      </w:pPr>
      <w:r w:rsidRPr="00F767CD">
        <w:rPr>
          <w:b/>
          <w:bCs/>
        </w:rPr>
        <w:t>End of document.</w:t>
      </w:r>
    </w:p>
    <w:sectPr w:rsidR="00F767CD" w:rsidRPr="00F767CD" w:rsidSect="00EB277B">
      <w:footerReference w:type="default" r:id="rId20"/>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94D52" w14:textId="77777777" w:rsidR="0001708F" w:rsidRDefault="0001708F" w:rsidP="00F2730B">
      <w:pPr>
        <w:spacing w:after="0" w:line="240" w:lineRule="auto"/>
      </w:pPr>
      <w:r>
        <w:separator/>
      </w:r>
    </w:p>
  </w:endnote>
  <w:endnote w:type="continuationSeparator" w:id="0">
    <w:p w14:paraId="31BE1BF3" w14:textId="77777777" w:rsidR="0001708F" w:rsidRDefault="0001708F"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4FD700E2"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49D0D2" w14:textId="2A72B53E" w:rsidR="00B165A7" w:rsidRDefault="006D37F3" w:rsidP="006D37F3">
    <w:pPr>
      <w:pStyle w:val="Footer"/>
      <w:ind w:right="360"/>
    </w:pPr>
    <w:r>
      <w:t xml:space="preserve">Land access and compensation for </w:t>
    </w:r>
    <w:proofErr w:type="gramStart"/>
    <w:r>
      <w:t>landholders</w:t>
    </w:r>
    <w:proofErr w:type="gramEnd"/>
    <w:r>
      <w:t xml:space="preserve"> fact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7691C" w14:textId="77777777" w:rsidR="0001708F" w:rsidRDefault="0001708F" w:rsidP="00F2730B">
      <w:pPr>
        <w:spacing w:after="0" w:line="240" w:lineRule="auto"/>
      </w:pPr>
      <w:r>
        <w:separator/>
      </w:r>
    </w:p>
  </w:footnote>
  <w:footnote w:type="continuationSeparator" w:id="0">
    <w:p w14:paraId="007880C5" w14:textId="77777777" w:rsidR="0001708F" w:rsidRDefault="0001708F"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359CC"/>
    <w:multiLevelType w:val="hybridMultilevel"/>
    <w:tmpl w:val="5554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2"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3"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8"/>
  </w:num>
  <w:num w:numId="2" w16cid:durableId="601570190">
    <w:abstractNumId w:val="43"/>
  </w:num>
  <w:num w:numId="3" w16cid:durableId="1813522522">
    <w:abstractNumId w:val="3"/>
  </w:num>
  <w:num w:numId="4" w16cid:durableId="533276510">
    <w:abstractNumId w:val="41"/>
  </w:num>
  <w:num w:numId="5" w16cid:durableId="771362055">
    <w:abstractNumId w:val="2"/>
  </w:num>
  <w:num w:numId="6" w16cid:durableId="3823149">
    <w:abstractNumId w:val="28"/>
  </w:num>
  <w:num w:numId="7" w16cid:durableId="338390637">
    <w:abstractNumId w:val="5"/>
  </w:num>
  <w:num w:numId="8" w16cid:durableId="182984412">
    <w:abstractNumId w:val="33"/>
  </w:num>
  <w:num w:numId="9" w16cid:durableId="853954488">
    <w:abstractNumId w:val="26"/>
  </w:num>
  <w:num w:numId="10" w16cid:durableId="307325374">
    <w:abstractNumId w:val="11"/>
  </w:num>
  <w:num w:numId="11" w16cid:durableId="1207567416">
    <w:abstractNumId w:val="17"/>
  </w:num>
  <w:num w:numId="12" w16cid:durableId="1714499310">
    <w:abstractNumId w:val="16"/>
  </w:num>
  <w:num w:numId="13" w16cid:durableId="1557817223">
    <w:abstractNumId w:val="30"/>
  </w:num>
  <w:num w:numId="14" w16cid:durableId="766468131">
    <w:abstractNumId w:val="7"/>
  </w:num>
  <w:num w:numId="15" w16cid:durableId="401634644">
    <w:abstractNumId w:val="4"/>
  </w:num>
  <w:num w:numId="16" w16cid:durableId="2004504209">
    <w:abstractNumId w:val="21"/>
    <w:lvlOverride w:ilvl="0">
      <w:lvl w:ilvl="0">
        <w:start w:val="1"/>
        <w:numFmt w:val="bullet"/>
        <w:lvlText w:val=""/>
        <w:lvlJc w:val="left"/>
        <w:pPr>
          <w:ind w:left="360" w:hanging="360"/>
        </w:pPr>
        <w:rPr>
          <w:rFonts w:ascii="Symbol" w:hAnsi="Symbol" w:hint="default"/>
        </w:rPr>
      </w:lvl>
    </w:lvlOverride>
  </w:num>
  <w:num w:numId="17" w16cid:durableId="1333338980">
    <w:abstractNumId w:val="9"/>
  </w:num>
  <w:num w:numId="18" w16cid:durableId="2077896738">
    <w:abstractNumId w:val="24"/>
  </w:num>
  <w:num w:numId="19" w16cid:durableId="318195612">
    <w:abstractNumId w:val="0"/>
  </w:num>
  <w:num w:numId="20" w16cid:durableId="172572898">
    <w:abstractNumId w:val="27"/>
  </w:num>
  <w:num w:numId="21" w16cid:durableId="1306818322">
    <w:abstractNumId w:val="1"/>
  </w:num>
  <w:num w:numId="22" w16cid:durableId="1536767415">
    <w:abstractNumId w:val="34"/>
  </w:num>
  <w:num w:numId="23" w16cid:durableId="54209663">
    <w:abstractNumId w:val="6"/>
  </w:num>
  <w:num w:numId="24" w16cid:durableId="1347441872">
    <w:abstractNumId w:val="37"/>
  </w:num>
  <w:num w:numId="25" w16cid:durableId="1336883623">
    <w:abstractNumId w:val="32"/>
  </w:num>
  <w:num w:numId="26" w16cid:durableId="1859196455">
    <w:abstractNumId w:val="10"/>
  </w:num>
  <w:num w:numId="27" w16cid:durableId="1643851276">
    <w:abstractNumId w:val="22"/>
  </w:num>
  <w:num w:numId="28" w16cid:durableId="1329362202">
    <w:abstractNumId w:val="20"/>
  </w:num>
  <w:num w:numId="29" w16cid:durableId="1795561713">
    <w:abstractNumId w:val="34"/>
  </w:num>
  <w:num w:numId="30" w16cid:durableId="71048478">
    <w:abstractNumId w:val="34"/>
  </w:num>
  <w:num w:numId="31" w16cid:durableId="755857827">
    <w:abstractNumId w:val="25"/>
  </w:num>
  <w:num w:numId="32" w16cid:durableId="1933396817">
    <w:abstractNumId w:val="34"/>
  </w:num>
  <w:num w:numId="33" w16cid:durableId="1457986831">
    <w:abstractNumId w:val="34"/>
  </w:num>
  <w:num w:numId="34" w16cid:durableId="1703019878">
    <w:abstractNumId w:val="34"/>
  </w:num>
  <w:num w:numId="35" w16cid:durableId="1865440867">
    <w:abstractNumId w:val="34"/>
  </w:num>
  <w:num w:numId="36" w16cid:durableId="829516848">
    <w:abstractNumId w:val="34"/>
  </w:num>
  <w:num w:numId="37" w16cid:durableId="2076001543">
    <w:abstractNumId w:val="36"/>
  </w:num>
  <w:num w:numId="38" w16cid:durableId="1204173423">
    <w:abstractNumId w:val="31"/>
  </w:num>
  <w:num w:numId="39" w16cid:durableId="1448893088">
    <w:abstractNumId w:val="42"/>
  </w:num>
  <w:num w:numId="40" w16cid:durableId="1900021242">
    <w:abstractNumId w:val="39"/>
  </w:num>
  <w:num w:numId="41" w16cid:durableId="995105162">
    <w:abstractNumId w:val="38"/>
  </w:num>
  <w:num w:numId="42" w16cid:durableId="1581451535">
    <w:abstractNumId w:val="14"/>
  </w:num>
  <w:num w:numId="43" w16cid:durableId="1752506282">
    <w:abstractNumId w:val="3"/>
  </w:num>
  <w:num w:numId="44" w16cid:durableId="1456093856">
    <w:abstractNumId w:val="3"/>
  </w:num>
  <w:num w:numId="45" w16cid:durableId="1900241663">
    <w:abstractNumId w:val="3"/>
  </w:num>
  <w:num w:numId="46" w16cid:durableId="1535843761">
    <w:abstractNumId w:val="23"/>
  </w:num>
  <w:num w:numId="47" w16cid:durableId="1818298069">
    <w:abstractNumId w:val="15"/>
  </w:num>
  <w:num w:numId="48" w16cid:durableId="2061048727">
    <w:abstractNumId w:val="13"/>
  </w:num>
  <w:num w:numId="49" w16cid:durableId="1849246280">
    <w:abstractNumId w:val="12"/>
  </w:num>
  <w:num w:numId="50" w16cid:durableId="785197264">
    <w:abstractNumId w:val="35"/>
  </w:num>
  <w:num w:numId="51" w16cid:durableId="1299335420">
    <w:abstractNumId w:val="19"/>
  </w:num>
  <w:num w:numId="52" w16cid:durableId="1754938255">
    <w:abstractNumId w:val="21"/>
  </w:num>
  <w:num w:numId="53" w16cid:durableId="1013340051">
    <w:abstractNumId w:val="40"/>
  </w:num>
  <w:num w:numId="54" w16cid:durableId="888301183">
    <w:abstractNumId w:val="29"/>
  </w:num>
  <w:num w:numId="55" w16cid:durableId="22433737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97"/>
    <w:rsid w:val="00001E7A"/>
    <w:rsid w:val="000031BB"/>
    <w:rsid w:val="000055D4"/>
    <w:rsid w:val="00010851"/>
    <w:rsid w:val="00010D69"/>
    <w:rsid w:val="000138AF"/>
    <w:rsid w:val="000159E0"/>
    <w:rsid w:val="00016269"/>
    <w:rsid w:val="0001708F"/>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597"/>
    <w:rsid w:val="00083F92"/>
    <w:rsid w:val="000848DE"/>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8CF"/>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3C30"/>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1BEA"/>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189D"/>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4758D"/>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37F3"/>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47263"/>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4C3E"/>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3117"/>
    <w:rsid w:val="00E2494E"/>
    <w:rsid w:val="00E25D0B"/>
    <w:rsid w:val="00E27B9E"/>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2A9"/>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CBFF6"/>
  <w14:defaultImageDpi w14:val="0"/>
  <w15:docId w15:val="{6178A353-9162-394D-9B13-34DC4968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323C30"/>
    <w:pPr>
      <w:keepNext/>
      <w:keepLines/>
      <w:spacing w:after="360" w:line="7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323C30"/>
    <w:pPr>
      <w:spacing w:after="240" w:line="1000" w:lineRule="exact"/>
    </w:pPr>
    <w:rPr>
      <w:rFonts w:asciiTheme="majorHAnsi" w:eastAsiaTheme="majorEastAsia" w:hAnsiTheme="majorHAnsi" w:cs="Times New Roman (Headings CS)"/>
      <w:b/>
      <w:bCs/>
      <w:spacing w:val="8"/>
      <w:kern w:val="28"/>
      <w:sz w:val="60"/>
      <w:szCs w:val="60"/>
      <w:lang w:val="en-GB"/>
    </w:rPr>
  </w:style>
  <w:style w:type="character" w:customStyle="1" w:styleId="TitleChar">
    <w:name w:val="Title Char"/>
    <w:basedOn w:val="DefaultParagraphFont"/>
    <w:link w:val="Title"/>
    <w:uiPriority w:val="10"/>
    <w:rsid w:val="00323C30"/>
    <w:rPr>
      <w:rFonts w:asciiTheme="majorHAnsi" w:eastAsiaTheme="majorEastAsia" w:hAnsiTheme="majorHAnsi" w:cs="Times New Roman (Headings CS)"/>
      <w:b/>
      <w:bCs/>
      <w:spacing w:val="8"/>
      <w:kern w:val="28"/>
      <w:sz w:val="60"/>
      <w:szCs w:val="60"/>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323C30"/>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32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vic.gov.au/__data/assets/pdf_file/0006/469752/Guide-to-Commercial-Consent-Agreement-for-Access-to-Private-Land-in-Victoria-Updated-2021-09-21.pdf" TargetMode="External"/><Relationship Id="rId13" Type="http://schemas.openxmlformats.org/officeDocument/2006/relationships/image" Target="media/image2.png"/><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sources.vic.gov.au/community-and-land-use/commercial-consent-agreement" TargetMode="External"/><Relationship Id="rId17"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mailto:ERRFeedback@deeca.vic.gov.au" TargetMode="External"/><Relationship Id="rId10" Type="http://schemas.openxmlformats.org/officeDocument/2006/relationships/image" Target="media/image1.png"/><Relationship Id="rId19" Type="http://schemas.openxmlformats.org/officeDocument/2006/relationships/hyperlink" Target="http://www.deeca.vic.gov.au/" TargetMode="External"/><Relationship Id="rId4" Type="http://schemas.openxmlformats.org/officeDocument/2006/relationships/settings" Target="settings.xml"/><Relationship Id="rId9" Type="http://schemas.openxmlformats.org/officeDocument/2006/relationships/hyperlink" Target="https://resources.vic.gov.au/__data/assets/pdf_file/0006/469752/Guide-to-Commercial-Consent-Agreement-for-Access-to-Private-Land-in-Victoria-Updated-2021-09-21.pdf" TargetMode="External"/><Relationship Id="rId14" Type="http://schemas.openxmlformats.org/officeDocument/2006/relationships/hyperlink" Target="http://resources.vic.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ocuments/Freelance%20Work/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32</TotalTime>
  <Pages>6</Pages>
  <Words>1204</Words>
  <Characters>7385</Characters>
  <Application>Microsoft Office Word</Application>
  <DocSecurity>0</DocSecurity>
  <Lines>153</Lines>
  <Paragraphs>104</Paragraphs>
  <ScaleCrop>false</ScaleCrop>
  <HeadingPairs>
    <vt:vector size="2" baseType="variant">
      <vt:variant>
        <vt:lpstr>Title</vt:lpstr>
      </vt:variant>
      <vt:variant>
        <vt:i4>1</vt:i4>
      </vt:variant>
    </vt:vector>
  </HeadingPairs>
  <TitlesOfParts>
    <vt:vector size="1" baseType="lpstr">
      <vt:lpstr>Land access and compensation for landholders fact sheet</vt:lpstr>
    </vt:vector>
  </TitlesOfParts>
  <Manager>N/A</Manager>
  <Company>Department of Energy, Environment and Climate Action</Company>
  <LinksUpToDate>false</LinksUpToDate>
  <CharactersWithSpaces>8485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access and compensation for landholders fact sheet</dc:title>
  <dc:subject>Land access and compensation for landholders</dc:subject>
  <dc:creator>Department of Energy, Environment and Climate Action</dc:creator>
  <cp:keywords>Land, access, compensation, landholders, fact, sheet</cp:keywords>
  <dc:description>© The State of Victoria Department of Energy, Environment and Climate Action February 2025.</dc:description>
  <cp:lastModifiedBy>John Allen</cp:lastModifiedBy>
  <cp:revision>4</cp:revision>
  <dcterms:created xsi:type="dcterms:W3CDTF">2025-04-14T23:55:00Z</dcterms:created>
  <dcterms:modified xsi:type="dcterms:W3CDTF">2025-04-15T01:31:00Z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