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C44B4" w14:textId="5790DC94" w:rsidR="00323C30" w:rsidRPr="00323C30" w:rsidRDefault="00702EC5" w:rsidP="00702EC5">
      <w:pPr>
        <w:pStyle w:val="Title"/>
      </w:pPr>
      <w:r w:rsidRPr="00702EC5">
        <w:t>How minerals exploration is regulated</w:t>
      </w:r>
    </w:p>
    <w:p w14:paraId="5FBC0183" w14:textId="2DCD4807" w:rsidR="007968FE" w:rsidRPr="00702EC5" w:rsidRDefault="00702EC5" w:rsidP="00702EC5">
      <w:pPr>
        <w:pStyle w:val="Subtitle"/>
        <w:numPr>
          <w:ilvl w:val="0"/>
          <w:numId w:val="0"/>
        </w:numPr>
        <w:rPr>
          <w:lang w:val="en-GB"/>
        </w:rPr>
      </w:pPr>
      <w:r w:rsidRPr="00702EC5">
        <w:rPr>
          <w:lang w:val="en-GB"/>
        </w:rPr>
        <w:t>The regulatory framework</w:t>
      </w:r>
    </w:p>
    <w:p w14:paraId="32F3CA84" w14:textId="6FA16E5E" w:rsidR="00702EC5" w:rsidRPr="00702EC5" w:rsidRDefault="00702EC5" w:rsidP="00702EC5">
      <w:pPr>
        <w:pStyle w:val="BodyText"/>
        <w:rPr>
          <w:b/>
          <w:bCs/>
        </w:rPr>
      </w:pPr>
      <w:r w:rsidRPr="00702EC5">
        <w:rPr>
          <w:b/>
          <w:bCs/>
        </w:rPr>
        <w:t xml:space="preserve">Minerals exploration and mining in Victoria are governed under a robust regulatory framework. This is to ensure community </w:t>
      </w:r>
      <w:r w:rsidR="00A347C0" w:rsidRPr="00702EC5">
        <w:rPr>
          <w:b/>
          <w:bCs/>
        </w:rPr>
        <w:t>interests,</w:t>
      </w:r>
      <w:r w:rsidRPr="00702EC5">
        <w:rPr>
          <w:b/>
          <w:bCs/>
        </w:rPr>
        <w:t xml:space="preserve"> and the environment are safeguarded, while allowing explorers to look for mineral resources and better understand their economic potential.</w:t>
      </w:r>
    </w:p>
    <w:p w14:paraId="4DACFAA6" w14:textId="77777777" w:rsidR="00702EC5" w:rsidRPr="00702EC5" w:rsidRDefault="00702EC5" w:rsidP="00702EC5">
      <w:pPr>
        <w:pStyle w:val="BodyText"/>
      </w:pPr>
      <w:r w:rsidRPr="00702EC5">
        <w:t xml:space="preserve">Resources Victoria serves as the exploration and mining regulator on behalf of the Minister for Energy and Resources and oversees administration of the </w:t>
      </w:r>
      <w:r w:rsidRPr="00702EC5">
        <w:rPr>
          <w:i/>
          <w:iCs/>
        </w:rPr>
        <w:t>Mineral Resources (Sustainable Development) Act 1990</w:t>
      </w:r>
      <w:r w:rsidRPr="00702EC5">
        <w:t xml:space="preserve"> (MRSD Act).</w:t>
      </w:r>
    </w:p>
    <w:p w14:paraId="0018A433" w14:textId="77777777" w:rsidR="00702EC5" w:rsidRPr="00702EC5" w:rsidRDefault="00702EC5" w:rsidP="00702EC5">
      <w:pPr>
        <w:pStyle w:val="BodyText"/>
      </w:pPr>
      <w:r w:rsidRPr="00702EC5">
        <w:t>The MRSD Act establishes the legal framework to ensure that any risks posed by minerals exploration to the environment, or to land, property or infrastructure are identiﬁed and eliminated or appropriately managed.</w:t>
      </w:r>
    </w:p>
    <w:p w14:paraId="4C5FEF99" w14:textId="77777777" w:rsidR="00702EC5" w:rsidRPr="00702EC5" w:rsidRDefault="00702EC5" w:rsidP="00702EC5">
      <w:pPr>
        <w:pStyle w:val="Heading1"/>
      </w:pPr>
      <w:r w:rsidRPr="00702EC5">
        <w:rPr>
          <w:i/>
          <w:iCs/>
        </w:rPr>
        <w:t>The Mineral Resources (Sustainable Development) Act 1990</w:t>
      </w:r>
      <w:r w:rsidRPr="00702EC5">
        <w:t xml:space="preserve"> requires:</w:t>
      </w:r>
    </w:p>
    <w:p w14:paraId="1777ADD5" w14:textId="77777777" w:rsidR="00702EC5" w:rsidRPr="00702EC5" w:rsidRDefault="00702EC5" w:rsidP="00702EC5">
      <w:pPr>
        <w:pStyle w:val="ListBullet"/>
      </w:pPr>
      <w:r w:rsidRPr="00702EC5">
        <w:t>rehabilitation to be undertaken</w:t>
      </w:r>
    </w:p>
    <w:p w14:paraId="65547F0C" w14:textId="77777777" w:rsidR="00702EC5" w:rsidRPr="00702EC5" w:rsidRDefault="00702EC5" w:rsidP="00702EC5">
      <w:pPr>
        <w:pStyle w:val="ListBullet"/>
      </w:pPr>
      <w:r w:rsidRPr="00702EC5">
        <w:t>fair compensation paid for any loss or damage sustained from exploration</w:t>
      </w:r>
    </w:p>
    <w:p w14:paraId="759AD1D0" w14:textId="77777777" w:rsidR="00702EC5" w:rsidRPr="00702EC5" w:rsidRDefault="00702EC5" w:rsidP="00702EC5">
      <w:pPr>
        <w:pStyle w:val="ListBullet"/>
      </w:pPr>
      <w:r w:rsidRPr="00702EC5">
        <w:t>conditions in licences and approvals to be enforced</w:t>
      </w:r>
    </w:p>
    <w:p w14:paraId="4F700C53" w14:textId="77777777" w:rsidR="00702EC5" w:rsidRPr="00702EC5" w:rsidRDefault="00702EC5" w:rsidP="00702EC5">
      <w:pPr>
        <w:pStyle w:val="ListBullet"/>
      </w:pPr>
      <w:r w:rsidRPr="00702EC5">
        <w:t>that dispute resolution procedures are effective.</w:t>
      </w:r>
    </w:p>
    <w:p w14:paraId="1895BE6C" w14:textId="77777777" w:rsidR="00702EC5" w:rsidRPr="00702EC5" w:rsidRDefault="00702EC5" w:rsidP="00702EC5">
      <w:pPr>
        <w:pStyle w:val="Heading1"/>
      </w:pPr>
      <w:r w:rsidRPr="00702EC5">
        <w:lastRenderedPageBreak/>
        <w:t>Safeguarding special places</w:t>
      </w:r>
    </w:p>
    <w:p w14:paraId="43B6E8C9" w14:textId="77777777" w:rsidR="00702EC5" w:rsidRPr="00702EC5" w:rsidRDefault="00702EC5" w:rsidP="00702EC5">
      <w:pPr>
        <w:pStyle w:val="BodyText"/>
      </w:pPr>
      <w:r w:rsidRPr="00702EC5">
        <w:t xml:space="preserve">Exploration and mining in national parks (such as the Greater Bendigo National Park) and state parks (such as </w:t>
      </w:r>
      <w:proofErr w:type="spellStart"/>
      <w:r w:rsidRPr="00702EC5">
        <w:t>Kooyoora</w:t>
      </w:r>
      <w:proofErr w:type="spellEnd"/>
      <w:r w:rsidRPr="00702EC5">
        <w:t xml:space="preserve"> State Park), and wilderness areas are prohibited under legislation.</w:t>
      </w:r>
    </w:p>
    <w:p w14:paraId="5B0D3FA9" w14:textId="77777777" w:rsidR="00702EC5" w:rsidRPr="00702EC5" w:rsidRDefault="00702EC5" w:rsidP="00702EC5">
      <w:pPr>
        <w:pStyle w:val="BodyText"/>
      </w:pPr>
      <w:r w:rsidRPr="00702EC5">
        <w:t>Additional, dedicated legislation provides speciﬁc safeguards for matters that are important to local communities, such as the environment, Indigenous heritage, water, land, wildlife, Native Title, ﬂora and fauna, biodiversity and water catchments.</w:t>
      </w:r>
    </w:p>
    <w:p w14:paraId="26500BAA" w14:textId="77777777" w:rsidR="00702EC5" w:rsidRPr="00702EC5" w:rsidRDefault="00702EC5" w:rsidP="00702EC5">
      <w:pPr>
        <w:pStyle w:val="Heading1"/>
      </w:pPr>
      <w:r w:rsidRPr="00702EC5">
        <w:t>Support to assist landholders</w:t>
      </w:r>
    </w:p>
    <w:p w14:paraId="67DC475B" w14:textId="77777777" w:rsidR="00702EC5" w:rsidRPr="00702EC5" w:rsidRDefault="00702EC5" w:rsidP="00702EC5">
      <w:pPr>
        <w:pStyle w:val="BodyText"/>
      </w:pPr>
      <w:r w:rsidRPr="00702EC5">
        <w:t>In addition to the existing legislative requirements for managing minerals explorers’ access to private land, support tools have been developed by Resources Victoria to assist landholders and their advisors to feel more conﬁdent in negotiating fair land access conditions with explorers.</w:t>
      </w:r>
    </w:p>
    <w:p w14:paraId="682F9D2B" w14:textId="21391AB8" w:rsidR="00702EC5" w:rsidRDefault="00702EC5" w:rsidP="00702EC5">
      <w:pPr>
        <w:pStyle w:val="BodyText"/>
        <w:rPr>
          <w:lang w:val="en-AU"/>
        </w:rPr>
      </w:pPr>
      <w:r w:rsidRPr="00702EC5">
        <w:rPr>
          <w:lang w:val="en-AU"/>
        </w:rPr>
        <w:t xml:space="preserve">You can ﬁnd out more about land access in a separate fact sheet Land Access and Compensation for Landholders or at </w:t>
      </w:r>
      <w:hyperlink r:id="rId8" w:tooltip="Hyperlink to the Resources Victoria website" w:history="1">
        <w:r w:rsidRPr="00E5194E">
          <w:rPr>
            <w:rStyle w:val="Hyperlink"/>
            <w:lang w:val="en-AU"/>
          </w:rPr>
          <w:t>resources.vic.gov.au/community-and-land-use/commercial-consent-agreement.</w:t>
        </w:r>
      </w:hyperlink>
    </w:p>
    <w:p w14:paraId="4F617DD1" w14:textId="0ABBF841" w:rsidR="00323C30" w:rsidRDefault="00323C30" w:rsidP="00702EC5">
      <w:pPr>
        <w:pStyle w:val="BodyText"/>
        <w:tabs>
          <w:tab w:val="left" w:pos="3317"/>
        </w:tabs>
        <w:spacing w:after="0"/>
      </w:pPr>
      <w:r w:rsidRPr="00323C30">
        <w:t>Find the agreement through this QR code</w:t>
      </w:r>
      <w:r>
        <w:t>:</w:t>
      </w:r>
    </w:p>
    <w:p w14:paraId="3571E7CF" w14:textId="7F41E488" w:rsidR="00702EC5" w:rsidRDefault="009D7ED8" w:rsidP="00702EC5">
      <w:pPr>
        <w:pStyle w:val="BodyText"/>
        <w:tabs>
          <w:tab w:val="left" w:pos="3317"/>
        </w:tabs>
        <w:spacing w:after="0"/>
      </w:pPr>
      <w:r>
        <w:rPr>
          <w:noProof/>
        </w:rPr>
        <w:drawing>
          <wp:inline distT="0" distB="0" distL="0" distR="0" wp14:anchorId="7C411474" wp14:editId="793595BD">
            <wp:extent cx="2077656" cy="2077656"/>
            <wp:effectExtent l="0" t="0" r="0" b="0"/>
            <wp:docPr id="87367089" name="Picture 1" descr="Image of a QR code which hyperlinks to the Resources Victoria website">
              <a:hlinkClick xmlns:a="http://schemas.openxmlformats.org/drawingml/2006/main" r:id="rId8" tooltip="Hyperlink to the Resources Victoria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7089" name="Picture 1" descr="Image of a QR code which hyperlinks to the Resources Victoria website">
                      <a:hlinkClick r:id="rId8" tooltip="Hyperlink to the Resources Victoria website"/>
                    </pic:cNvPr>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2104510" cy="2104510"/>
                    </a:xfrm>
                    <a:prstGeom prst="rect">
                      <a:avLst/>
                    </a:prstGeom>
                  </pic:spPr>
                </pic:pic>
              </a:graphicData>
            </a:graphic>
          </wp:inline>
        </w:drawing>
      </w:r>
    </w:p>
    <w:p w14:paraId="77E947B4" w14:textId="77777777" w:rsidR="00702EC5" w:rsidRPr="00702EC5" w:rsidRDefault="00702EC5" w:rsidP="00702EC5">
      <w:pPr>
        <w:pStyle w:val="Heading1"/>
      </w:pPr>
      <w:r w:rsidRPr="00702EC5">
        <w:lastRenderedPageBreak/>
        <w:t>The Code of Practice for Mineral Exploration</w:t>
      </w:r>
    </w:p>
    <w:p w14:paraId="4B70C1BF" w14:textId="77777777" w:rsidR="00702EC5" w:rsidRPr="00702EC5" w:rsidRDefault="00702EC5" w:rsidP="00702EC5">
      <w:pPr>
        <w:pStyle w:val="BodyText"/>
      </w:pPr>
      <w:r w:rsidRPr="00702EC5">
        <w:t>The Code of Practice for Mineral Exploration provides practical guidance about how exploration work should be conducted in Victoria to meet the regulatory requirements and environmental standards under the MRSD Act and associated regulations.</w:t>
      </w:r>
    </w:p>
    <w:p w14:paraId="3FC591E1" w14:textId="77777777" w:rsidR="00702EC5" w:rsidRPr="00702EC5" w:rsidRDefault="00702EC5" w:rsidP="00702EC5">
      <w:pPr>
        <w:pStyle w:val="BodyText"/>
      </w:pPr>
      <w:r w:rsidRPr="00702EC5">
        <w:t>Exploration activities are regulated according to the degree of disturbance that planned exploration activities are expected to have on the landscape and environment.</w:t>
      </w:r>
    </w:p>
    <w:p w14:paraId="197A483F" w14:textId="7A4BE7D7" w:rsidR="00702EC5" w:rsidRPr="00702EC5" w:rsidRDefault="00702EC5" w:rsidP="00702EC5">
      <w:pPr>
        <w:pStyle w:val="BodyText"/>
      </w:pPr>
      <w:r w:rsidRPr="00702EC5">
        <w:t>For any exploration activity that is not considered to be low impact, the exploration licensee must submit a Work Plan. A Work Plan outlines possible impacts to local communities and the environment and explains how an explorer will manage and mitigate the impacts.</w:t>
      </w:r>
    </w:p>
    <w:p w14:paraId="033254C2" w14:textId="77777777" w:rsidR="00702EC5" w:rsidRPr="00702EC5" w:rsidRDefault="00702EC5" w:rsidP="00702EC5">
      <w:pPr>
        <w:pStyle w:val="BodyText"/>
      </w:pPr>
      <w:r w:rsidRPr="00702EC5">
        <w:t>Where required, these detailed Work Plans are referred to government agencies for further assessment against matters such as compliance with legislative requirements for the water, environment, ﬂora and fauna and so on.</w:t>
      </w:r>
    </w:p>
    <w:p w14:paraId="3CEA4EF9" w14:textId="77777777" w:rsidR="00702EC5" w:rsidRPr="00702EC5" w:rsidRDefault="00702EC5" w:rsidP="00702EC5">
      <w:pPr>
        <w:pStyle w:val="BodyText"/>
      </w:pPr>
      <w:r w:rsidRPr="00702EC5">
        <w:t>Compliance with Work Plans is monitored by Resources Victoria’s Earth Resources Regulator.</w:t>
      </w:r>
    </w:p>
    <w:p w14:paraId="03E47EA7" w14:textId="77777777" w:rsidR="00702EC5" w:rsidRPr="00702EC5" w:rsidRDefault="00702EC5" w:rsidP="00702EC5">
      <w:pPr>
        <w:pStyle w:val="BodyText"/>
      </w:pPr>
      <w:r w:rsidRPr="00702EC5">
        <w:t>The Code of Practice for Mineral Exploration is based on the principle that well-planned and managed exploration projects should have little or no lasting impact on the environment and impose minimal disruption to other land users and the community.</w:t>
      </w:r>
    </w:p>
    <w:p w14:paraId="6FDB8F20" w14:textId="77777777" w:rsidR="00702EC5" w:rsidRPr="00702EC5" w:rsidRDefault="00702EC5" w:rsidP="00702EC5">
      <w:pPr>
        <w:pStyle w:val="Heading1"/>
      </w:pPr>
      <w:r w:rsidRPr="00702EC5">
        <w:t>Did you know?</w:t>
      </w:r>
    </w:p>
    <w:p w14:paraId="550EC33F" w14:textId="77777777" w:rsidR="00702EC5" w:rsidRPr="00702EC5" w:rsidRDefault="00702EC5" w:rsidP="00702EC5">
      <w:pPr>
        <w:pStyle w:val="Normalbeforebullets"/>
        <w:spacing w:after="60" w:line="480" w:lineRule="auto"/>
      </w:pPr>
      <w:r w:rsidRPr="00702EC5">
        <w:t>Exploration companies have a duty to:</w:t>
      </w:r>
    </w:p>
    <w:p w14:paraId="3265350F" w14:textId="77777777" w:rsidR="00702EC5" w:rsidRPr="00702EC5" w:rsidRDefault="00702EC5" w:rsidP="00702EC5">
      <w:pPr>
        <w:pStyle w:val="ListBullet"/>
      </w:pPr>
      <w:r w:rsidRPr="00702EC5">
        <w:t>consult with the landholder or occupier</w:t>
      </w:r>
    </w:p>
    <w:p w14:paraId="6FB14CE0" w14:textId="77777777" w:rsidR="00702EC5" w:rsidRPr="00702EC5" w:rsidRDefault="00702EC5" w:rsidP="00702EC5">
      <w:pPr>
        <w:pStyle w:val="ListBullet"/>
      </w:pPr>
      <w:r w:rsidRPr="00702EC5">
        <w:t>manage environmental impacts</w:t>
      </w:r>
    </w:p>
    <w:p w14:paraId="7FDF11B3" w14:textId="77777777" w:rsidR="00702EC5" w:rsidRPr="00702EC5" w:rsidRDefault="00702EC5" w:rsidP="00702EC5">
      <w:pPr>
        <w:pStyle w:val="ListBullet"/>
      </w:pPr>
      <w:r w:rsidRPr="00702EC5">
        <w:lastRenderedPageBreak/>
        <w:t>consider public safety and land use concerns</w:t>
      </w:r>
    </w:p>
    <w:p w14:paraId="2BB708A0" w14:textId="77777777" w:rsidR="00702EC5" w:rsidRPr="00702EC5" w:rsidRDefault="00702EC5" w:rsidP="00702EC5">
      <w:pPr>
        <w:pStyle w:val="ListBullet"/>
      </w:pPr>
      <w:r w:rsidRPr="00702EC5">
        <w:t>negotiate access and/or have compensation agreements in place with landholders</w:t>
      </w:r>
    </w:p>
    <w:p w14:paraId="27D29AB3" w14:textId="77777777" w:rsidR="00702EC5" w:rsidRPr="00702EC5" w:rsidRDefault="00702EC5" w:rsidP="00702EC5">
      <w:pPr>
        <w:pStyle w:val="LastBulletinList"/>
      </w:pPr>
      <w:r w:rsidRPr="00702EC5">
        <w:t>share information on any activities authorised under the licence and provide the community with a reasonable opportunity to express views about those activities.</w:t>
      </w:r>
    </w:p>
    <w:p w14:paraId="3A5006D9" w14:textId="524E292D" w:rsidR="00702EC5" w:rsidRDefault="00702EC5" w:rsidP="00702EC5">
      <w:pPr>
        <w:pStyle w:val="BodyText"/>
      </w:pPr>
      <w:r w:rsidRPr="00702EC5">
        <w:t>They must ensure that all reasonable measures are taken to minimise the impacts of drilling operations and that the operations are conducted in a manner that ensures protection of the environment, human health and amenity.</w:t>
      </w:r>
    </w:p>
    <w:p w14:paraId="006A913B" w14:textId="184C1861" w:rsidR="00323C30" w:rsidRPr="00323C30" w:rsidRDefault="00323C30" w:rsidP="00323C30">
      <w:pPr>
        <w:pStyle w:val="Heading1"/>
      </w:pPr>
      <w:r w:rsidRPr="00323C30">
        <w:t>Further information</w:t>
      </w:r>
    </w:p>
    <w:p w14:paraId="135223D5" w14:textId="17EF2556" w:rsidR="00323C30" w:rsidRPr="00323C30" w:rsidRDefault="00323C30" w:rsidP="00323C30">
      <w:pPr>
        <w:pStyle w:val="BodyText"/>
      </w:pPr>
      <w:r w:rsidRPr="00323C30">
        <w:t xml:space="preserve">For detailed information and to register to receive updates visit: </w:t>
      </w:r>
      <w:hyperlink r:id="rId11" w:tooltip="Hyperlink to the Resources Victoria website" w:history="1">
        <w:r w:rsidR="006D37F3">
          <w:rPr>
            <w:rStyle w:val="Hyperlink"/>
          </w:rPr>
          <w:t>resources.vic.gov.au</w:t>
        </w:r>
      </w:hyperlink>
    </w:p>
    <w:p w14:paraId="36DEC98D" w14:textId="04D254A4" w:rsidR="00885AAB" w:rsidRDefault="00323C30" w:rsidP="00323C30">
      <w:pPr>
        <w:pStyle w:val="BodyText"/>
        <w:rPr>
          <w:lang w:val="en-AU"/>
        </w:rPr>
      </w:pPr>
      <w:r w:rsidRPr="00323C30">
        <w:rPr>
          <w:lang w:val="en-AU"/>
        </w:rPr>
        <w:t>Alternatively, we can be contacted via email at </w:t>
      </w:r>
      <w:hyperlink r:id="rId12" w:tooltip="Hyperlink to send an email to DEECA" w:history="1">
        <w:r w:rsidR="006D37F3">
          <w:rPr>
            <w:rStyle w:val="Hyperlink"/>
            <w:lang w:val="en-AU"/>
          </w:rPr>
          <w:t>ERRFeedback@deeca.vic.gov.au</w:t>
        </w:r>
      </w:hyperlink>
      <w:r w:rsidRPr="00323C30">
        <w:rPr>
          <w:lang w:val="en-AU"/>
        </w:rPr>
        <w:t xml:space="preserve"> or </w:t>
      </w:r>
      <w:r w:rsidR="006D37F3">
        <w:rPr>
          <w:lang w:val="en-AU"/>
        </w:rPr>
        <w:t>telephone</w:t>
      </w:r>
      <w:r w:rsidRPr="00323C30">
        <w:rPr>
          <w:lang w:val="en-AU"/>
        </w:rPr>
        <w:t xml:space="preserve"> </w:t>
      </w:r>
      <w:r w:rsidRPr="0057189D">
        <w:rPr>
          <w:b/>
          <w:bCs/>
          <w:lang w:val="en-AU"/>
        </w:rPr>
        <w:t>1300 366 356</w:t>
      </w:r>
      <w:r w:rsidRPr="00323C30">
        <w:rPr>
          <w:lang w:val="en-AU"/>
        </w:rPr>
        <w:t>.</w:t>
      </w:r>
    </w:p>
    <w:p w14:paraId="0DECEC6A" w14:textId="423344B6" w:rsidR="00702EC5" w:rsidRPr="00702EC5" w:rsidRDefault="00702EC5" w:rsidP="00702EC5">
      <w:pPr>
        <w:pStyle w:val="Heading1"/>
      </w:pPr>
      <w:r w:rsidRPr="00702EC5">
        <w:t>Key legislation, regulations and</w:t>
      </w:r>
      <w:r>
        <w:t xml:space="preserve"> </w:t>
      </w:r>
      <w:r w:rsidRPr="00702EC5">
        <w:t>policies</w:t>
      </w:r>
      <w:r>
        <w:t xml:space="preserve"> </w:t>
      </w:r>
      <w:r w:rsidRPr="00702EC5">
        <w:t>governing</w:t>
      </w:r>
      <w:r>
        <w:t xml:space="preserve"> </w:t>
      </w:r>
      <w:r w:rsidRPr="00702EC5">
        <w:t>minerals exploration in</w:t>
      </w:r>
      <w:r>
        <w:t xml:space="preserve"> </w:t>
      </w:r>
      <w:r w:rsidRPr="00702EC5">
        <w:t>Victoria</w:t>
      </w:r>
    </w:p>
    <w:p w14:paraId="55364A1D" w14:textId="77777777" w:rsidR="00702EC5" w:rsidRPr="00F460BB" w:rsidRDefault="00702EC5" w:rsidP="00702EC5">
      <w:pPr>
        <w:pStyle w:val="ListBullet"/>
        <w:rPr>
          <w:i/>
          <w:iCs/>
        </w:rPr>
      </w:pPr>
      <w:r w:rsidRPr="00F460BB">
        <w:rPr>
          <w:i/>
          <w:iCs/>
        </w:rPr>
        <w:t>Mineral Resources (Sustainable Development) Act 1990 and associated Regulations</w:t>
      </w:r>
    </w:p>
    <w:p w14:paraId="1EC62FCD" w14:textId="77777777" w:rsidR="00702EC5" w:rsidRPr="00F460BB" w:rsidRDefault="00702EC5" w:rsidP="00702EC5">
      <w:pPr>
        <w:pStyle w:val="ListBullet"/>
        <w:rPr>
          <w:i/>
          <w:iCs/>
        </w:rPr>
      </w:pPr>
      <w:r w:rsidRPr="00F460BB">
        <w:rPr>
          <w:i/>
          <w:iCs/>
        </w:rPr>
        <w:t>Forest Act 1958</w:t>
      </w:r>
    </w:p>
    <w:p w14:paraId="34248937" w14:textId="77777777" w:rsidR="00702EC5" w:rsidRPr="00F460BB" w:rsidRDefault="00702EC5" w:rsidP="00702EC5">
      <w:pPr>
        <w:pStyle w:val="ListBullet"/>
        <w:rPr>
          <w:i/>
          <w:iCs/>
        </w:rPr>
      </w:pPr>
      <w:r w:rsidRPr="00F460BB">
        <w:rPr>
          <w:i/>
          <w:iCs/>
        </w:rPr>
        <w:t>Land Act 1958</w:t>
      </w:r>
    </w:p>
    <w:p w14:paraId="78B0D03A" w14:textId="77777777" w:rsidR="00702EC5" w:rsidRPr="00F460BB" w:rsidRDefault="00702EC5" w:rsidP="00702EC5">
      <w:pPr>
        <w:pStyle w:val="ListBullet"/>
        <w:rPr>
          <w:i/>
          <w:iCs/>
        </w:rPr>
      </w:pPr>
      <w:r w:rsidRPr="00F460BB">
        <w:rPr>
          <w:i/>
          <w:iCs/>
        </w:rPr>
        <w:t>Environmental Protection Act 1970</w:t>
      </w:r>
    </w:p>
    <w:p w14:paraId="32314BB0" w14:textId="77777777" w:rsidR="00702EC5" w:rsidRPr="00F460BB" w:rsidRDefault="00702EC5" w:rsidP="00702EC5">
      <w:pPr>
        <w:pStyle w:val="ListBullet"/>
        <w:rPr>
          <w:i/>
          <w:iCs/>
        </w:rPr>
      </w:pPr>
      <w:r w:rsidRPr="00F460BB">
        <w:rPr>
          <w:i/>
          <w:iCs/>
        </w:rPr>
        <w:t>National Parks Act 1975</w:t>
      </w:r>
    </w:p>
    <w:p w14:paraId="28317A21" w14:textId="77777777" w:rsidR="00702EC5" w:rsidRPr="00F460BB" w:rsidRDefault="00702EC5" w:rsidP="00702EC5">
      <w:pPr>
        <w:pStyle w:val="ListBullet"/>
        <w:rPr>
          <w:i/>
          <w:iCs/>
        </w:rPr>
      </w:pPr>
      <w:r w:rsidRPr="00F460BB">
        <w:rPr>
          <w:i/>
          <w:iCs/>
        </w:rPr>
        <w:t>Wildlife Act 1975</w:t>
      </w:r>
    </w:p>
    <w:p w14:paraId="0D26F9A4" w14:textId="77777777" w:rsidR="00702EC5" w:rsidRPr="00F460BB" w:rsidRDefault="00702EC5" w:rsidP="00702EC5">
      <w:pPr>
        <w:pStyle w:val="ListBullet"/>
        <w:rPr>
          <w:i/>
          <w:iCs/>
        </w:rPr>
      </w:pPr>
      <w:r w:rsidRPr="00F460BB">
        <w:rPr>
          <w:i/>
          <w:iCs/>
        </w:rPr>
        <w:t>Crown Land (Reserves Act) 1978</w:t>
      </w:r>
    </w:p>
    <w:p w14:paraId="2B43BE27" w14:textId="77777777" w:rsidR="00702EC5" w:rsidRPr="00F460BB" w:rsidRDefault="00702EC5" w:rsidP="00702EC5">
      <w:pPr>
        <w:pStyle w:val="ListBullet"/>
        <w:rPr>
          <w:i/>
          <w:iCs/>
        </w:rPr>
      </w:pPr>
      <w:r w:rsidRPr="00F460BB">
        <w:rPr>
          <w:i/>
          <w:iCs/>
        </w:rPr>
        <w:lastRenderedPageBreak/>
        <w:t>Environmental Effects Act 1978</w:t>
      </w:r>
    </w:p>
    <w:p w14:paraId="60E2B323" w14:textId="77777777" w:rsidR="00702EC5" w:rsidRPr="00F460BB" w:rsidRDefault="00702EC5" w:rsidP="00702EC5">
      <w:pPr>
        <w:pStyle w:val="ListBullet"/>
        <w:rPr>
          <w:i/>
          <w:iCs/>
        </w:rPr>
      </w:pPr>
      <w:r w:rsidRPr="00F460BB">
        <w:rPr>
          <w:i/>
          <w:iCs/>
        </w:rPr>
        <w:t>Aboriginal and Torres Strait Islander Heritage Protection Act 1984 (Part IIA)</w:t>
      </w:r>
    </w:p>
    <w:p w14:paraId="73FF1ECD" w14:textId="77777777" w:rsidR="00702EC5" w:rsidRPr="00F460BB" w:rsidRDefault="00702EC5" w:rsidP="00702EC5">
      <w:pPr>
        <w:pStyle w:val="ListBullet"/>
        <w:rPr>
          <w:i/>
          <w:iCs/>
        </w:rPr>
      </w:pPr>
      <w:r w:rsidRPr="00F460BB">
        <w:rPr>
          <w:i/>
          <w:iCs/>
        </w:rPr>
        <w:t>Planning and Environment Act 1987</w:t>
      </w:r>
    </w:p>
    <w:p w14:paraId="1D4D9D8E" w14:textId="77777777" w:rsidR="00702EC5" w:rsidRPr="00F460BB" w:rsidRDefault="00702EC5" w:rsidP="00702EC5">
      <w:pPr>
        <w:pStyle w:val="ListBullet"/>
        <w:rPr>
          <w:i/>
          <w:iCs/>
        </w:rPr>
      </w:pPr>
      <w:r w:rsidRPr="00F460BB">
        <w:rPr>
          <w:i/>
          <w:iCs/>
        </w:rPr>
        <w:t>Flora and Fauna Guarantee Act 1988</w:t>
      </w:r>
    </w:p>
    <w:p w14:paraId="45A20676" w14:textId="77777777" w:rsidR="00702EC5" w:rsidRPr="00F460BB" w:rsidRDefault="00702EC5" w:rsidP="00702EC5">
      <w:pPr>
        <w:pStyle w:val="ListBullet"/>
        <w:rPr>
          <w:i/>
          <w:iCs/>
        </w:rPr>
      </w:pPr>
      <w:r w:rsidRPr="00F460BB">
        <w:rPr>
          <w:i/>
          <w:iCs/>
        </w:rPr>
        <w:t>Water Act 1989</w:t>
      </w:r>
    </w:p>
    <w:p w14:paraId="73DEA758" w14:textId="77777777" w:rsidR="00702EC5" w:rsidRPr="00F460BB" w:rsidRDefault="00702EC5" w:rsidP="00702EC5">
      <w:pPr>
        <w:pStyle w:val="ListBullet"/>
        <w:rPr>
          <w:i/>
          <w:iCs/>
        </w:rPr>
      </w:pPr>
      <w:r w:rsidRPr="00F460BB">
        <w:rPr>
          <w:i/>
          <w:iCs/>
        </w:rPr>
        <w:t>Native Title Act 1993</w:t>
      </w:r>
    </w:p>
    <w:p w14:paraId="3FC6C9F0" w14:textId="77777777" w:rsidR="00702EC5" w:rsidRPr="00F460BB" w:rsidRDefault="00702EC5" w:rsidP="00702EC5">
      <w:pPr>
        <w:pStyle w:val="ListBullet"/>
        <w:rPr>
          <w:i/>
          <w:iCs/>
        </w:rPr>
      </w:pPr>
      <w:r w:rsidRPr="00F460BB">
        <w:rPr>
          <w:i/>
          <w:iCs/>
        </w:rPr>
        <w:t>Catchment and Land Protection Act 1994</w:t>
      </w:r>
    </w:p>
    <w:p w14:paraId="483DD67A" w14:textId="77777777" w:rsidR="00702EC5" w:rsidRPr="00F460BB" w:rsidRDefault="00702EC5" w:rsidP="00702EC5">
      <w:pPr>
        <w:pStyle w:val="ListBullet"/>
        <w:rPr>
          <w:i/>
          <w:iCs/>
        </w:rPr>
      </w:pPr>
      <w:r w:rsidRPr="00F460BB">
        <w:rPr>
          <w:i/>
          <w:iCs/>
        </w:rPr>
        <w:t>Heritage Act 1995</w:t>
      </w:r>
    </w:p>
    <w:p w14:paraId="0759DB71" w14:textId="77777777" w:rsidR="00702EC5" w:rsidRPr="00F460BB" w:rsidRDefault="00702EC5" w:rsidP="00702EC5">
      <w:pPr>
        <w:pStyle w:val="ListBullet"/>
        <w:rPr>
          <w:i/>
          <w:iCs/>
        </w:rPr>
      </w:pPr>
      <w:r w:rsidRPr="00F460BB">
        <w:rPr>
          <w:i/>
          <w:iCs/>
        </w:rPr>
        <w:t>Environment Protection and Biodiversity Conservation Act 1999 (Commonwealth)</w:t>
      </w:r>
    </w:p>
    <w:p w14:paraId="1D443EB7" w14:textId="77777777" w:rsidR="00702EC5" w:rsidRPr="00F460BB" w:rsidRDefault="00702EC5" w:rsidP="00702EC5">
      <w:pPr>
        <w:pStyle w:val="ListBullet"/>
        <w:rPr>
          <w:i/>
          <w:iCs/>
        </w:rPr>
      </w:pPr>
      <w:r w:rsidRPr="00F460BB">
        <w:rPr>
          <w:i/>
          <w:iCs/>
        </w:rPr>
        <w:t>Aboriginal Heritage Act 2006</w:t>
      </w:r>
    </w:p>
    <w:p w14:paraId="5E26C2F4" w14:textId="77777777" w:rsidR="00702EC5" w:rsidRPr="00F460BB" w:rsidRDefault="00702EC5" w:rsidP="00702EC5">
      <w:pPr>
        <w:pStyle w:val="ListBullet"/>
        <w:rPr>
          <w:i/>
          <w:iCs/>
        </w:rPr>
      </w:pPr>
      <w:r w:rsidRPr="00F460BB">
        <w:rPr>
          <w:i/>
          <w:iCs/>
        </w:rPr>
        <w:t>Traditional Owner Settlement Act 2010</w:t>
      </w:r>
    </w:p>
    <w:p w14:paraId="1011E7A1" w14:textId="43DFD4C8" w:rsidR="00702EC5" w:rsidRPr="00F460BB" w:rsidRDefault="00702EC5" w:rsidP="00F460BB">
      <w:pPr>
        <w:pStyle w:val="LastBulletinList"/>
      </w:pPr>
      <w:r w:rsidRPr="00F460BB">
        <w:t>State Environment Protection Policies (air, land and groundwater, noise, and water)</w:t>
      </w:r>
    </w:p>
    <w:p w14:paraId="5DB5A682" w14:textId="6D89FC2B" w:rsidR="00702EC5" w:rsidRDefault="00702EC5" w:rsidP="00702EC5">
      <w:pPr>
        <w:pStyle w:val="BodyText"/>
        <w:rPr>
          <w:u w:val="thick"/>
        </w:rPr>
      </w:pPr>
      <w:r w:rsidRPr="00702EC5">
        <w:t xml:space="preserve">More information on the regulation of minerals exploration in Victoria, including the Code of Practice for Mineral Exploration can be found at: </w:t>
      </w:r>
      <w:hyperlink r:id="rId13" w:tooltip="Hyperlink to list of Legislation and regulations at Resources Victoria website" w:history="1">
        <w:r w:rsidR="00E5194E">
          <w:rPr>
            <w:rStyle w:val="Hyperlink"/>
          </w:rPr>
          <w:t>http://resources.vic.gov.au/legislation-and-regulations</w:t>
        </w:r>
      </w:hyperlink>
    </w:p>
    <w:p w14:paraId="6E168411" w14:textId="1565F636" w:rsidR="00E5194E" w:rsidRPr="00316F6F" w:rsidRDefault="00E5194E" w:rsidP="00316F6F">
      <w:pPr>
        <w:pStyle w:val="BodyText"/>
        <w:spacing w:after="0" w:line="276" w:lineRule="auto"/>
      </w:pPr>
      <w:r w:rsidRPr="00E5194E">
        <w:t>Find legislations and regulations through this QR code</w:t>
      </w:r>
      <w:r>
        <w:t>:</w:t>
      </w:r>
    </w:p>
    <w:p w14:paraId="1208EB2D" w14:textId="69B566F9" w:rsidR="00316F6F" w:rsidRPr="00F460BB" w:rsidRDefault="00316F6F" w:rsidP="00316F6F">
      <w:pPr>
        <w:rPr>
          <w:u w:val="thick"/>
        </w:rPr>
      </w:pPr>
      <w:r w:rsidRPr="00316F6F">
        <w:drawing>
          <wp:inline distT="0" distB="0" distL="0" distR="0" wp14:anchorId="6F3C5C1C" wp14:editId="6B8C2053">
            <wp:extent cx="2077200" cy="2077200"/>
            <wp:effectExtent l="0" t="0" r="0" b="0"/>
            <wp:docPr id="212480009" name="Picture 2" descr="Image of a QR code which is hyperlinked to a list of Legislation and regulations at Resources Victoria website">
              <a:hlinkClick xmlns:a="http://schemas.openxmlformats.org/drawingml/2006/main" r:id="rId13" tooltip="Hyperlink to list of Legislation and regulations at Resources Victoria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0009" name="Picture 2" descr="Image of a QR code which is hyperlinked to a list of Legislation and regulations at Resources Victoria website">
                      <a:hlinkClick r:id="rId13" tooltip="Hyperlink to list of Legislation and regulations at Resources Victoria website"/>
                    </pic:cNvPr>
                    <pic:cNvPicPr/>
                  </pic:nvPicPr>
                  <pic:blipFill>
                    <a:blip r:embed="rId14"/>
                    <a:stretch>
                      <a:fillRect/>
                    </a:stretch>
                  </pic:blipFill>
                  <pic:spPr>
                    <a:xfrm>
                      <a:off x="0" y="0"/>
                      <a:ext cx="2077200" cy="2077200"/>
                    </a:xfrm>
                    <a:prstGeom prst="rect">
                      <a:avLst/>
                    </a:prstGeom>
                  </pic:spPr>
                </pic:pic>
              </a:graphicData>
            </a:graphic>
          </wp:inline>
        </w:drawing>
      </w:r>
    </w:p>
    <w:p w14:paraId="1BE6F008" w14:textId="77777777" w:rsidR="00222FF2" w:rsidRDefault="00222FF2" w:rsidP="00885AAB">
      <w:pPr>
        <w:pStyle w:val="Heading1"/>
        <w:pageBreakBefore/>
        <w:spacing w:after="240"/>
      </w:pPr>
      <w:bookmarkStart w:id="0" w:name="_Toc184285036"/>
      <w:r w:rsidRPr="00AD02AB">
        <w:lastRenderedPageBreak/>
        <w:t>Publication information</w:t>
      </w:r>
      <w:bookmarkEnd w:id="0"/>
    </w:p>
    <w:p w14:paraId="0593132A" w14:textId="77777777" w:rsidR="00222FF2" w:rsidRPr="001C7BB6" w:rsidRDefault="00222FF2" w:rsidP="00C51A83">
      <w:pPr>
        <w:pStyle w:val="Heading2"/>
        <w:spacing w:before="0" w:after="80"/>
        <w:rPr>
          <w:sz w:val="32"/>
          <w:szCs w:val="32"/>
        </w:rPr>
      </w:pPr>
      <w:r w:rsidRPr="001C7BB6">
        <w:rPr>
          <w:sz w:val="32"/>
          <w:szCs w:val="32"/>
        </w:rPr>
        <w:t>Acknowledgements</w:t>
      </w:r>
    </w:p>
    <w:p w14:paraId="587DC2CB" w14:textId="30276699" w:rsidR="00222FF2" w:rsidRPr="00323C30" w:rsidRDefault="00323C30" w:rsidP="00323C30">
      <w:pPr>
        <w:pStyle w:val="BodyText"/>
      </w:pPr>
      <w:r w:rsidRPr="00323C30">
        <w:t>The Victorian Government acknowledges Aboriginal Traditional Owners of Country throughout Victoria and pays respect to their cultures and Elders past and present</w:t>
      </w:r>
      <w:r w:rsidR="00FF45EB" w:rsidRPr="00323C30">
        <w:rPr>
          <w:lang w:val="en-US"/>
        </w:rPr>
        <w:t>.</w:t>
      </w:r>
    </w:p>
    <w:p w14:paraId="6BA6D5D6" w14:textId="77777777" w:rsidR="00222FF2" w:rsidRPr="001C7BB6" w:rsidRDefault="00222FF2" w:rsidP="00C51A83">
      <w:pPr>
        <w:pStyle w:val="Heading2"/>
        <w:spacing w:before="0" w:after="80"/>
        <w:rPr>
          <w:sz w:val="32"/>
          <w:szCs w:val="32"/>
        </w:rPr>
      </w:pPr>
      <w:r w:rsidRPr="001C7BB6">
        <w:rPr>
          <w:sz w:val="32"/>
          <w:szCs w:val="32"/>
        </w:rPr>
        <w:t>Copyright</w:t>
      </w:r>
    </w:p>
    <w:p w14:paraId="7A6668C0" w14:textId="6D88D0EE" w:rsidR="00222FF2" w:rsidRPr="00747263" w:rsidRDefault="00222FF2" w:rsidP="00747263">
      <w:pPr>
        <w:pStyle w:val="BodyText"/>
        <w:spacing w:after="120"/>
        <w:ind w:right="-427"/>
        <w:rPr>
          <w:lang w:val="en-AU"/>
        </w:rPr>
      </w:pPr>
      <w:r w:rsidRPr="00F666C5">
        <w:rPr>
          <w:lang w:val="en-US"/>
        </w:rPr>
        <w:t xml:space="preserve">© </w:t>
      </w:r>
      <w:r w:rsidR="00747263" w:rsidRPr="00747263">
        <w:rPr>
          <w:lang w:val="en-AU"/>
        </w:rPr>
        <w:t>The State of Victoria Department of Energy, Environment and Climate Action February 2025</w:t>
      </w:r>
      <w:r w:rsidRPr="006D3BAD">
        <w:t>.</w:t>
      </w:r>
    </w:p>
    <w:p w14:paraId="45CD9140" w14:textId="77777777" w:rsidR="00222FF2" w:rsidRPr="001C7BB6" w:rsidRDefault="00222FF2" w:rsidP="00C51A83">
      <w:pPr>
        <w:pStyle w:val="Heading2"/>
        <w:spacing w:before="0" w:after="80"/>
        <w:rPr>
          <w:sz w:val="32"/>
          <w:szCs w:val="32"/>
        </w:rPr>
      </w:pPr>
      <w:r w:rsidRPr="001C7BB6">
        <w:rPr>
          <w:sz w:val="32"/>
          <w:szCs w:val="32"/>
        </w:rPr>
        <w:t>Creative Commons</w:t>
      </w:r>
    </w:p>
    <w:p w14:paraId="7A4A15B2" w14:textId="77777777"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15" w:tooltip="Hyperlink to Creative Commons website" w:history="1">
        <w:r w:rsidRPr="00F666C5">
          <w:rPr>
            <w:rStyle w:val="Hyperlink"/>
            <w:lang w:val="en-US"/>
          </w:rPr>
          <w:t>Creative Commons website</w:t>
        </w:r>
      </w:hyperlink>
      <w:r w:rsidRPr="00F666C5">
        <w:rPr>
          <w:lang w:val="en-US"/>
        </w:rPr>
        <w:t xml:space="preserve"> (</w:t>
      </w:r>
      <w:hyperlink r:id="rId16" w:tooltip="Hyperlink to Creative Commons website" w:history="1">
        <w:r w:rsidRPr="00F666C5">
          <w:rPr>
            <w:rStyle w:val="Hyperlink"/>
            <w:lang w:val="en-US"/>
          </w:rPr>
          <w:t>http://creativecommons.org/licenses/by/4.0/</w:t>
        </w:r>
      </w:hyperlink>
      <w:r w:rsidRPr="00F666C5">
        <w:rPr>
          <w:lang w:val="en-US"/>
        </w:rPr>
        <w:t>).</w:t>
      </w:r>
    </w:p>
    <w:p w14:paraId="072F3884" w14:textId="77777777" w:rsidR="00222FF2" w:rsidRPr="00F666C5" w:rsidRDefault="00222FF2" w:rsidP="00747263">
      <w:pPr>
        <w:pStyle w:val="BodyText"/>
        <w:spacing w:after="120"/>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The </w:t>
      </w:r>
      <w:proofErr w:type="spellStart"/>
      <w:r w:rsidRPr="00F666C5">
        <w:rPr>
          <w:lang w:val="en-US"/>
        </w:rPr>
        <w:t>licence</w:t>
      </w:r>
      <w:proofErr w:type="spellEnd"/>
      <w:r w:rsidRPr="00F666C5">
        <w:rPr>
          <w:lang w:val="en-US"/>
        </w:rPr>
        <w:t xml:space="preserve"> does not apply to any images, photographs or branding, including the Victorian Coat of Arms, and the Victorian Government and Department logos.</w:t>
      </w:r>
    </w:p>
    <w:p w14:paraId="3DD182D2" w14:textId="77777777" w:rsidR="0059384F" w:rsidRDefault="006E1F70" w:rsidP="0059384F">
      <w:pPr>
        <w:pStyle w:val="BodyText"/>
        <w:spacing w:after="120" w:line="240" w:lineRule="auto"/>
        <w:ind w:right="-285"/>
        <w:rPr>
          <w:lang w:val="en-US"/>
        </w:rPr>
      </w:pPr>
      <w:r w:rsidRPr="006E1F70">
        <w:rPr>
          <w:lang w:val="en-US"/>
        </w:rPr>
        <w:t xml:space="preserve">ISBN 978-1-76176-107-2 (print) </w:t>
      </w:r>
    </w:p>
    <w:p w14:paraId="10B3B358" w14:textId="17C00D78" w:rsidR="00222FF2" w:rsidRPr="00F666C5" w:rsidRDefault="006E1F70" w:rsidP="00C51A83">
      <w:pPr>
        <w:pStyle w:val="BodyText"/>
        <w:spacing w:after="120"/>
        <w:ind w:right="-285"/>
        <w:rPr>
          <w:lang w:val="en-US"/>
        </w:rPr>
      </w:pPr>
      <w:r w:rsidRPr="006E1F70">
        <w:rPr>
          <w:lang w:val="en-US"/>
        </w:rPr>
        <w:t>ISBN 978-1-76176-108-9 (pdf</w:t>
      </w:r>
      <w:r w:rsidR="00222FF2" w:rsidRPr="00F666C5">
        <w:rPr>
          <w:lang w:val="en-US"/>
        </w:rPr>
        <w:t>)</w:t>
      </w:r>
    </w:p>
    <w:p w14:paraId="58F3E725" w14:textId="77777777" w:rsidR="00222FF2" w:rsidRPr="001C7BB6" w:rsidRDefault="00222FF2" w:rsidP="00C51A83">
      <w:pPr>
        <w:pStyle w:val="Heading2"/>
        <w:spacing w:before="0" w:after="80"/>
        <w:rPr>
          <w:sz w:val="32"/>
          <w:szCs w:val="32"/>
        </w:rPr>
      </w:pPr>
      <w:r w:rsidRPr="001C7BB6">
        <w:rPr>
          <w:sz w:val="32"/>
          <w:szCs w:val="32"/>
        </w:rPr>
        <w:t>Disclaimer</w:t>
      </w:r>
    </w:p>
    <w:p w14:paraId="1FF76EC7" w14:textId="77777777" w:rsidR="00222FF2" w:rsidRPr="005A5FCD" w:rsidRDefault="00222FF2" w:rsidP="00747263">
      <w:pPr>
        <w:pStyle w:val="BodyText"/>
        <w:spacing w:after="0"/>
      </w:pPr>
      <w:r w:rsidRPr="005A5FCD">
        <w:t xml:space="preserve">This publication may be of assistance to </w:t>
      </w:r>
      <w:proofErr w:type="gramStart"/>
      <w:r w:rsidRPr="005A5FCD">
        <w:t>you</w:t>
      </w:r>
      <w:proofErr w:type="gramEnd"/>
      <w:r w:rsidRPr="005A5FCD">
        <w:t xml:space="preserve"> but the State of Victoria and its employees do not</w:t>
      </w:r>
      <w:r>
        <w:t xml:space="preserve"> </w:t>
      </w:r>
      <w:r w:rsidRPr="005A5FCD">
        <w:t>guarantee that the publication is without flaw of any kind or is wholly appropriate for your particular purposes and therefore disclaims all liability for any error, loss or other consequence which</w:t>
      </w:r>
      <w:r>
        <w:t xml:space="preserve"> </w:t>
      </w:r>
      <w:r w:rsidRPr="005A5FCD">
        <w:t>may arise from you relying on any information in this publication</w:t>
      </w:r>
      <w:r>
        <w:t>.</w:t>
      </w:r>
    </w:p>
    <w:p w14:paraId="72619731" w14:textId="77777777" w:rsidR="00222FF2" w:rsidRPr="001C7BB6" w:rsidRDefault="00222FF2" w:rsidP="00C51A83">
      <w:pPr>
        <w:pStyle w:val="Heading2"/>
        <w:spacing w:before="0" w:after="80"/>
        <w:rPr>
          <w:sz w:val="32"/>
          <w:szCs w:val="32"/>
        </w:rPr>
      </w:pPr>
      <w:r w:rsidRPr="001C7BB6">
        <w:rPr>
          <w:sz w:val="32"/>
          <w:szCs w:val="32"/>
        </w:rPr>
        <w:t>Accessibility</w:t>
      </w:r>
    </w:p>
    <w:p w14:paraId="24F216E8" w14:textId="77777777" w:rsidR="00222FF2" w:rsidRPr="00CB4B87" w:rsidRDefault="00222FF2" w:rsidP="00C51A83">
      <w:pPr>
        <w:pStyle w:val="BodyText"/>
        <w:spacing w:after="120"/>
      </w:pPr>
      <w:r>
        <w:t xml:space="preserve">To receive this document in an alternative format, phone the Customer Service Centre on 136 186, email </w:t>
      </w:r>
      <w:hyperlink r:id="rId17" w:tooltip="Send an email to customer service" w:history="1">
        <w:r w:rsidRPr="0078282A">
          <w:rPr>
            <w:rStyle w:val="Hyperlink"/>
          </w:rPr>
          <w:t>customer.service@delwp.vic.gov.au</w:t>
        </w:r>
      </w:hyperlink>
      <w:r>
        <w:t>, or contact National Relay Service on 133 677. Available at DEECA website (</w:t>
      </w:r>
      <w:hyperlink r:id="rId18" w:tooltip="Hyperlink to the DEECA website" w:history="1">
        <w:r w:rsidRPr="0078282A">
          <w:rPr>
            <w:rStyle w:val="Hyperlink"/>
          </w:rPr>
          <w:t>www.deeca.vic.gov.au</w:t>
        </w:r>
      </w:hyperlink>
      <w:r>
        <w:t>).</w:t>
      </w:r>
    </w:p>
    <w:p w14:paraId="76658F88" w14:textId="77777777" w:rsidR="00F767CD" w:rsidRPr="00F767CD" w:rsidRDefault="00222FF2" w:rsidP="00C51A83">
      <w:pPr>
        <w:pStyle w:val="BodyText"/>
        <w:spacing w:before="240" w:after="0"/>
        <w:rPr>
          <w:b/>
          <w:bCs/>
        </w:rPr>
      </w:pPr>
      <w:r w:rsidRPr="00F767CD">
        <w:rPr>
          <w:b/>
          <w:bCs/>
        </w:rPr>
        <w:t>End of document.</w:t>
      </w:r>
    </w:p>
    <w:sectPr w:rsidR="00F767CD" w:rsidRPr="00F767CD" w:rsidSect="00EB277B">
      <w:footerReference w:type="default" r:id="rId19"/>
      <w:pgSz w:w="11906" w:h="16838"/>
      <w:pgMar w:top="1134" w:right="1134" w:bottom="1134" w:left="1134"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C6546" w14:textId="77777777" w:rsidR="00131AD1" w:rsidRDefault="00131AD1" w:rsidP="00F2730B">
      <w:pPr>
        <w:spacing w:after="0" w:line="240" w:lineRule="auto"/>
      </w:pPr>
      <w:r>
        <w:separator/>
      </w:r>
    </w:p>
  </w:endnote>
  <w:endnote w:type="continuationSeparator" w:id="0">
    <w:p w14:paraId="7D0A6E27" w14:textId="77777777" w:rsidR="00131AD1" w:rsidRDefault="00131AD1"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7704047"/>
      <w:docPartObj>
        <w:docPartGallery w:val="Page Numbers (Bottom of Page)"/>
        <w:docPartUnique/>
      </w:docPartObj>
    </w:sdtPr>
    <w:sdtContent>
      <w:p w14:paraId="4FD700E2" w14:textId="77777777" w:rsidR="00885AAB" w:rsidRDefault="00885AAB" w:rsidP="00FE2D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49D0D2" w14:textId="2CA7BE92" w:rsidR="00B165A7" w:rsidRDefault="006E1F70" w:rsidP="006E1F70">
    <w:pPr>
      <w:pStyle w:val="Footer"/>
      <w:ind w:right="360"/>
    </w:pPr>
    <w:r>
      <w:t>How minerals exploration is regulated: The regulatory framework fact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9D65A" w14:textId="77777777" w:rsidR="00131AD1" w:rsidRDefault="00131AD1" w:rsidP="00F2730B">
      <w:pPr>
        <w:spacing w:after="0" w:line="240" w:lineRule="auto"/>
      </w:pPr>
      <w:r>
        <w:separator/>
      </w:r>
    </w:p>
  </w:footnote>
  <w:footnote w:type="continuationSeparator" w:id="0">
    <w:p w14:paraId="029B69CA" w14:textId="77777777" w:rsidR="00131AD1" w:rsidRDefault="00131AD1"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5359CC"/>
    <w:multiLevelType w:val="hybridMultilevel"/>
    <w:tmpl w:val="5554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4"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2"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3"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8"/>
  </w:num>
  <w:num w:numId="2" w16cid:durableId="601570190">
    <w:abstractNumId w:val="43"/>
  </w:num>
  <w:num w:numId="3" w16cid:durableId="1813522522">
    <w:abstractNumId w:val="3"/>
  </w:num>
  <w:num w:numId="4" w16cid:durableId="533276510">
    <w:abstractNumId w:val="41"/>
  </w:num>
  <w:num w:numId="5" w16cid:durableId="771362055">
    <w:abstractNumId w:val="2"/>
  </w:num>
  <w:num w:numId="6" w16cid:durableId="3823149">
    <w:abstractNumId w:val="28"/>
  </w:num>
  <w:num w:numId="7" w16cid:durableId="338390637">
    <w:abstractNumId w:val="5"/>
  </w:num>
  <w:num w:numId="8" w16cid:durableId="182984412">
    <w:abstractNumId w:val="33"/>
  </w:num>
  <w:num w:numId="9" w16cid:durableId="853954488">
    <w:abstractNumId w:val="26"/>
  </w:num>
  <w:num w:numId="10" w16cid:durableId="307325374">
    <w:abstractNumId w:val="11"/>
  </w:num>
  <w:num w:numId="11" w16cid:durableId="1207567416">
    <w:abstractNumId w:val="17"/>
  </w:num>
  <w:num w:numId="12" w16cid:durableId="1714499310">
    <w:abstractNumId w:val="16"/>
  </w:num>
  <w:num w:numId="13" w16cid:durableId="1557817223">
    <w:abstractNumId w:val="30"/>
  </w:num>
  <w:num w:numId="14" w16cid:durableId="766468131">
    <w:abstractNumId w:val="7"/>
  </w:num>
  <w:num w:numId="15" w16cid:durableId="401634644">
    <w:abstractNumId w:val="4"/>
  </w:num>
  <w:num w:numId="16" w16cid:durableId="2004504209">
    <w:abstractNumId w:val="21"/>
    <w:lvlOverride w:ilvl="0">
      <w:lvl w:ilvl="0">
        <w:start w:val="1"/>
        <w:numFmt w:val="bullet"/>
        <w:lvlText w:val=""/>
        <w:lvlJc w:val="left"/>
        <w:pPr>
          <w:ind w:left="360" w:hanging="360"/>
        </w:pPr>
        <w:rPr>
          <w:rFonts w:ascii="Symbol" w:hAnsi="Symbol" w:hint="default"/>
        </w:rPr>
      </w:lvl>
    </w:lvlOverride>
  </w:num>
  <w:num w:numId="17" w16cid:durableId="1333338980">
    <w:abstractNumId w:val="9"/>
  </w:num>
  <w:num w:numId="18" w16cid:durableId="2077896738">
    <w:abstractNumId w:val="24"/>
  </w:num>
  <w:num w:numId="19" w16cid:durableId="318195612">
    <w:abstractNumId w:val="0"/>
  </w:num>
  <w:num w:numId="20" w16cid:durableId="172572898">
    <w:abstractNumId w:val="27"/>
  </w:num>
  <w:num w:numId="21" w16cid:durableId="1306818322">
    <w:abstractNumId w:val="1"/>
  </w:num>
  <w:num w:numId="22" w16cid:durableId="1536767415">
    <w:abstractNumId w:val="34"/>
  </w:num>
  <w:num w:numId="23" w16cid:durableId="54209663">
    <w:abstractNumId w:val="6"/>
  </w:num>
  <w:num w:numId="24" w16cid:durableId="1347441872">
    <w:abstractNumId w:val="37"/>
  </w:num>
  <w:num w:numId="25" w16cid:durableId="1336883623">
    <w:abstractNumId w:val="32"/>
  </w:num>
  <w:num w:numId="26" w16cid:durableId="1859196455">
    <w:abstractNumId w:val="10"/>
  </w:num>
  <w:num w:numId="27" w16cid:durableId="1643851276">
    <w:abstractNumId w:val="22"/>
  </w:num>
  <w:num w:numId="28" w16cid:durableId="1329362202">
    <w:abstractNumId w:val="20"/>
  </w:num>
  <w:num w:numId="29" w16cid:durableId="1795561713">
    <w:abstractNumId w:val="34"/>
  </w:num>
  <w:num w:numId="30" w16cid:durableId="71048478">
    <w:abstractNumId w:val="34"/>
  </w:num>
  <w:num w:numId="31" w16cid:durableId="755857827">
    <w:abstractNumId w:val="25"/>
  </w:num>
  <w:num w:numId="32" w16cid:durableId="1933396817">
    <w:abstractNumId w:val="34"/>
  </w:num>
  <w:num w:numId="33" w16cid:durableId="1457986831">
    <w:abstractNumId w:val="34"/>
  </w:num>
  <w:num w:numId="34" w16cid:durableId="1703019878">
    <w:abstractNumId w:val="34"/>
  </w:num>
  <w:num w:numId="35" w16cid:durableId="1865440867">
    <w:abstractNumId w:val="34"/>
  </w:num>
  <w:num w:numId="36" w16cid:durableId="829516848">
    <w:abstractNumId w:val="34"/>
  </w:num>
  <w:num w:numId="37" w16cid:durableId="2076001543">
    <w:abstractNumId w:val="36"/>
  </w:num>
  <w:num w:numId="38" w16cid:durableId="1204173423">
    <w:abstractNumId w:val="31"/>
  </w:num>
  <w:num w:numId="39" w16cid:durableId="1448893088">
    <w:abstractNumId w:val="42"/>
  </w:num>
  <w:num w:numId="40" w16cid:durableId="1900021242">
    <w:abstractNumId w:val="39"/>
  </w:num>
  <w:num w:numId="41" w16cid:durableId="995105162">
    <w:abstractNumId w:val="38"/>
  </w:num>
  <w:num w:numId="42" w16cid:durableId="1581451535">
    <w:abstractNumId w:val="14"/>
  </w:num>
  <w:num w:numId="43" w16cid:durableId="1752506282">
    <w:abstractNumId w:val="3"/>
  </w:num>
  <w:num w:numId="44" w16cid:durableId="1456093856">
    <w:abstractNumId w:val="3"/>
  </w:num>
  <w:num w:numId="45" w16cid:durableId="1900241663">
    <w:abstractNumId w:val="3"/>
  </w:num>
  <w:num w:numId="46" w16cid:durableId="1535843761">
    <w:abstractNumId w:val="23"/>
  </w:num>
  <w:num w:numId="47" w16cid:durableId="1818298069">
    <w:abstractNumId w:val="15"/>
  </w:num>
  <w:num w:numId="48" w16cid:durableId="2061048727">
    <w:abstractNumId w:val="13"/>
  </w:num>
  <w:num w:numId="49" w16cid:durableId="1849246280">
    <w:abstractNumId w:val="12"/>
  </w:num>
  <w:num w:numId="50" w16cid:durableId="785197264">
    <w:abstractNumId w:val="35"/>
  </w:num>
  <w:num w:numId="51" w16cid:durableId="1299335420">
    <w:abstractNumId w:val="19"/>
  </w:num>
  <w:num w:numId="52" w16cid:durableId="1754938255">
    <w:abstractNumId w:val="21"/>
  </w:num>
  <w:num w:numId="53" w16cid:durableId="1013340051">
    <w:abstractNumId w:val="40"/>
  </w:num>
  <w:num w:numId="54" w16cid:durableId="888301183">
    <w:abstractNumId w:val="29"/>
  </w:num>
  <w:num w:numId="55" w16cid:durableId="22433737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97"/>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597"/>
    <w:rsid w:val="00083F92"/>
    <w:rsid w:val="000848DE"/>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4CDD"/>
    <w:rsid w:val="00125150"/>
    <w:rsid w:val="001252BF"/>
    <w:rsid w:val="001273C5"/>
    <w:rsid w:val="00131AD1"/>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8CF"/>
    <w:rsid w:val="00295CE3"/>
    <w:rsid w:val="002A2BEF"/>
    <w:rsid w:val="002A3002"/>
    <w:rsid w:val="002B01C3"/>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16F6F"/>
    <w:rsid w:val="00320AAB"/>
    <w:rsid w:val="00320E94"/>
    <w:rsid w:val="003211A9"/>
    <w:rsid w:val="003226E3"/>
    <w:rsid w:val="00323C30"/>
    <w:rsid w:val="00324579"/>
    <w:rsid w:val="00332FE6"/>
    <w:rsid w:val="003360B7"/>
    <w:rsid w:val="003367D8"/>
    <w:rsid w:val="00336EEE"/>
    <w:rsid w:val="00337320"/>
    <w:rsid w:val="0034155C"/>
    <w:rsid w:val="0034757B"/>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8A"/>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189D"/>
    <w:rsid w:val="00573734"/>
    <w:rsid w:val="005740D5"/>
    <w:rsid w:val="0057561A"/>
    <w:rsid w:val="00576223"/>
    <w:rsid w:val="00577C9B"/>
    <w:rsid w:val="0058075A"/>
    <w:rsid w:val="0059384F"/>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5230"/>
    <w:rsid w:val="006462C8"/>
    <w:rsid w:val="006466AF"/>
    <w:rsid w:val="00646D7A"/>
    <w:rsid w:val="0064758D"/>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37F3"/>
    <w:rsid w:val="006D4F10"/>
    <w:rsid w:val="006D5080"/>
    <w:rsid w:val="006D5699"/>
    <w:rsid w:val="006E1F70"/>
    <w:rsid w:val="006E5AC4"/>
    <w:rsid w:val="006E5B70"/>
    <w:rsid w:val="006E7774"/>
    <w:rsid w:val="006E786E"/>
    <w:rsid w:val="006F1B27"/>
    <w:rsid w:val="006F6B4C"/>
    <w:rsid w:val="00700646"/>
    <w:rsid w:val="00700BF1"/>
    <w:rsid w:val="007012DF"/>
    <w:rsid w:val="00702EC5"/>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47263"/>
    <w:rsid w:val="00750D1B"/>
    <w:rsid w:val="007520C4"/>
    <w:rsid w:val="00752E0C"/>
    <w:rsid w:val="00753D3B"/>
    <w:rsid w:val="00753ECA"/>
    <w:rsid w:val="007547F5"/>
    <w:rsid w:val="00760099"/>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4C3E"/>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5AAB"/>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F350A"/>
    <w:rsid w:val="00900F9F"/>
    <w:rsid w:val="009033BD"/>
    <w:rsid w:val="00904039"/>
    <w:rsid w:val="0090795E"/>
    <w:rsid w:val="00910401"/>
    <w:rsid w:val="00911A34"/>
    <w:rsid w:val="00912683"/>
    <w:rsid w:val="00912B69"/>
    <w:rsid w:val="00912DD1"/>
    <w:rsid w:val="00920E49"/>
    <w:rsid w:val="0092332B"/>
    <w:rsid w:val="00926553"/>
    <w:rsid w:val="00932E1F"/>
    <w:rsid w:val="009337EB"/>
    <w:rsid w:val="00933FE2"/>
    <w:rsid w:val="0093403C"/>
    <w:rsid w:val="00935387"/>
    <w:rsid w:val="009434B7"/>
    <w:rsid w:val="00944A06"/>
    <w:rsid w:val="0094720E"/>
    <w:rsid w:val="009506BB"/>
    <w:rsid w:val="00953CAC"/>
    <w:rsid w:val="00955571"/>
    <w:rsid w:val="0096063F"/>
    <w:rsid w:val="009620CC"/>
    <w:rsid w:val="009628AD"/>
    <w:rsid w:val="00962DA1"/>
    <w:rsid w:val="0096541E"/>
    <w:rsid w:val="00965F42"/>
    <w:rsid w:val="00967BC8"/>
    <w:rsid w:val="00973E49"/>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538A"/>
    <w:rsid w:val="009D7B95"/>
    <w:rsid w:val="009D7ED8"/>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47C0"/>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4C09"/>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5309"/>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4560"/>
    <w:rsid w:val="00C44F82"/>
    <w:rsid w:val="00C45CF0"/>
    <w:rsid w:val="00C47BD5"/>
    <w:rsid w:val="00C51A83"/>
    <w:rsid w:val="00C52ADC"/>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457C"/>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3117"/>
    <w:rsid w:val="00E2494E"/>
    <w:rsid w:val="00E25D0B"/>
    <w:rsid w:val="00E27B9E"/>
    <w:rsid w:val="00E33504"/>
    <w:rsid w:val="00E33DED"/>
    <w:rsid w:val="00E34982"/>
    <w:rsid w:val="00E3623C"/>
    <w:rsid w:val="00E37BF1"/>
    <w:rsid w:val="00E43E76"/>
    <w:rsid w:val="00E44349"/>
    <w:rsid w:val="00E5194E"/>
    <w:rsid w:val="00E540DA"/>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277B"/>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42A9"/>
    <w:rsid w:val="00F253F6"/>
    <w:rsid w:val="00F26E05"/>
    <w:rsid w:val="00F2730B"/>
    <w:rsid w:val="00F27576"/>
    <w:rsid w:val="00F32C3C"/>
    <w:rsid w:val="00F32F35"/>
    <w:rsid w:val="00F33A7A"/>
    <w:rsid w:val="00F33DF2"/>
    <w:rsid w:val="00F3506F"/>
    <w:rsid w:val="00F35C0A"/>
    <w:rsid w:val="00F419FE"/>
    <w:rsid w:val="00F41B13"/>
    <w:rsid w:val="00F460BB"/>
    <w:rsid w:val="00F46B85"/>
    <w:rsid w:val="00F47930"/>
    <w:rsid w:val="00F50E2C"/>
    <w:rsid w:val="00F5165D"/>
    <w:rsid w:val="00F526A1"/>
    <w:rsid w:val="00F52BB0"/>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45EB"/>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BCBFF6"/>
  <w14:defaultImageDpi w14:val="0"/>
  <w15:docId w15:val="{6178A353-9162-394D-9B13-34DC4968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323C30"/>
    <w:pPr>
      <w:keepNext/>
      <w:keepLines/>
      <w:spacing w:after="360" w:line="700" w:lineRule="exact"/>
      <w:outlineLvl w:val="0"/>
    </w:pPr>
    <w:rPr>
      <w:rFonts w:asciiTheme="majorHAnsi" w:eastAsiaTheme="majorEastAsia" w:hAnsiTheme="majorHAnsi" w:cs="Times New Roman (Headings CS)"/>
      <w:b/>
      <w:bCs/>
      <w:sz w:val="40"/>
      <w:szCs w:val="36"/>
      <w:lang w:val="en-GB"/>
    </w:rPr>
  </w:style>
  <w:style w:type="paragraph" w:styleId="Heading2">
    <w:name w:val="heading 2"/>
    <w:basedOn w:val="Normal"/>
    <w:next w:val="Normal"/>
    <w:link w:val="Heading2Char"/>
    <w:uiPriority w:val="9"/>
    <w:unhideWhenUsed/>
    <w:qFormat/>
    <w:rsid w:val="00BC02FA"/>
    <w:pPr>
      <w:keepNext/>
      <w:keepLines/>
      <w:spacing w:before="120" w:after="240" w:line="46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323C30"/>
    <w:pPr>
      <w:spacing w:after="240" w:line="1000" w:lineRule="exact"/>
    </w:pPr>
    <w:rPr>
      <w:rFonts w:asciiTheme="majorHAnsi" w:eastAsiaTheme="majorEastAsia" w:hAnsiTheme="majorHAnsi" w:cs="Times New Roman (Headings CS)"/>
      <w:b/>
      <w:bCs/>
      <w:spacing w:val="8"/>
      <w:kern w:val="28"/>
      <w:sz w:val="60"/>
      <w:szCs w:val="60"/>
      <w:lang w:val="en-GB"/>
    </w:rPr>
  </w:style>
  <w:style w:type="character" w:customStyle="1" w:styleId="TitleChar">
    <w:name w:val="Title Char"/>
    <w:basedOn w:val="DefaultParagraphFont"/>
    <w:link w:val="Title"/>
    <w:uiPriority w:val="10"/>
    <w:rsid w:val="00323C30"/>
    <w:rPr>
      <w:rFonts w:asciiTheme="majorHAnsi" w:eastAsiaTheme="majorEastAsia" w:hAnsiTheme="majorHAnsi" w:cs="Times New Roman (Headings CS)"/>
      <w:b/>
      <w:bCs/>
      <w:spacing w:val="8"/>
      <w:kern w:val="28"/>
      <w:sz w:val="60"/>
      <w:szCs w:val="60"/>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323C30"/>
    <w:rPr>
      <w:rFonts w:asciiTheme="majorHAnsi" w:eastAsiaTheme="majorEastAsia" w:hAnsiTheme="majorHAnsi" w:cs="Times New Roman (Headings CS)"/>
      <w:b/>
      <w:bCs/>
      <w:sz w:val="40"/>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BC02FA"/>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3"/>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E540DA"/>
    <w:pPr>
      <w:spacing w:before="120" w:after="120" w:line="360" w:lineRule="auto"/>
    </w:pPr>
    <w:rPr>
      <w:b/>
      <w:iCs/>
      <w:color w:val="000000" w:themeColor="text1"/>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885AAB"/>
    <w:pPr>
      <w:spacing w:after="0" w:line="360" w:lineRule="auto"/>
    </w:pPr>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2"/>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85AAB"/>
    <w:pPr>
      <w:spacing w:after="28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323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ources.vic.gov.au/community-and-land-use/commercial-consent-agreement" TargetMode="External"/><Relationship Id="rId13" Type="http://schemas.openxmlformats.org/officeDocument/2006/relationships/hyperlink" Target="http://resources.vic.gov.au/legislation-and-regulations" TargetMode="External"/><Relationship Id="rId18" Type="http://schemas.openxmlformats.org/officeDocument/2006/relationships/hyperlink" Target="http://www.deeca.vic.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RRFeedback@deeca.vic.gov.au" TargetMode="External"/><Relationship Id="rId17"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ources.vic.gov.au/" TargetMode="Externa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allen/Documents/Freelance%20Work/DECCA%20Work/Document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Document_accessible.dotx</Template>
  <TotalTime>11</TotalTime>
  <Pages>6</Pages>
  <Words>1061</Words>
  <Characters>6505</Characters>
  <Application>Microsoft Office Word</Application>
  <DocSecurity>0</DocSecurity>
  <Lines>135</Lines>
  <Paragraphs>92</Paragraphs>
  <ScaleCrop>false</ScaleCrop>
  <HeadingPairs>
    <vt:vector size="2" baseType="variant">
      <vt:variant>
        <vt:lpstr>Title</vt:lpstr>
      </vt:variant>
      <vt:variant>
        <vt:i4>1</vt:i4>
      </vt:variant>
    </vt:vector>
  </HeadingPairs>
  <TitlesOfParts>
    <vt:vector size="1" baseType="lpstr">
      <vt:lpstr>How minerals exploration is regulated: The regulatory framework fact sheet</vt:lpstr>
    </vt:vector>
  </TitlesOfParts>
  <Manager>N/A</Manager>
  <Company>Department of Energy, Environment and Climate Action</Company>
  <LinksUpToDate>false</LinksUpToDate>
  <CharactersWithSpaces>7474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minerals exploration is regulated: The regulatory framework fact sheet</dc:title>
  <dc:subject>How minerals exploration is regulated: The regulatory framework fact sheet</dc:subject>
  <dc:creator>Department of Energy, Environment and Climate Action</dc:creator>
  <cp:keywords>Minerals, exploration, regulated, regulatory, framework, fact, sheet</cp:keywords>
  <dc:description>© The State of Victoria Department of Energy, Environment and Climate Action February 2025.</dc:description>
  <cp:lastModifiedBy>John Allen</cp:lastModifiedBy>
  <cp:revision>6</cp:revision>
  <dcterms:created xsi:type="dcterms:W3CDTF">2025-04-15T01:08:00Z</dcterms:created>
  <dcterms:modified xsi:type="dcterms:W3CDTF">2025-04-15T01:23:00Z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